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EC54" w14:textId="3CDE6C93" w:rsidR="00354A06" w:rsidRPr="003E3375" w:rsidRDefault="002127D2" w:rsidP="00E72E98">
      <w:pPr>
        <w:pStyle w:val="BTNSSBodyTextNoSpacingSmall"/>
        <w:spacing w:line="276" w:lineRule="auto"/>
        <w:rPr>
          <w:rFonts w:asciiTheme="minorHAnsi" w:hAnsiTheme="minorHAnsi" w:cstheme="minorHAnsi"/>
          <w:color w:val="000000" w:themeColor="text1"/>
          <w:sz w:val="2"/>
          <w:szCs w:val="2"/>
        </w:rPr>
      </w:pPr>
      <w:r>
        <w:rPr>
          <w:rFonts w:asciiTheme="minorHAnsi" w:hAnsiTheme="minorHAnsi" w:cstheme="minorHAnsi"/>
          <w:color w:val="000000" w:themeColor="text1"/>
          <w:sz w:val="2"/>
          <w:szCs w:val="2"/>
        </w:rPr>
        <w:t>acc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747DB" w:rsidRPr="00B747DB" w14:paraId="0AE37FF2" w14:textId="77777777" w:rsidTr="008A4C51">
        <w:trPr>
          <w:trHeight w:val="4365"/>
        </w:trPr>
        <w:tc>
          <w:tcPr>
            <w:tcW w:w="9060" w:type="dxa"/>
          </w:tcPr>
          <w:p w14:paraId="19255100" w14:textId="77777777" w:rsidR="005714C3" w:rsidRPr="003E3375" w:rsidRDefault="005714C3" w:rsidP="00E72E98">
            <w:pPr>
              <w:pStyle w:val="BTBodyText"/>
              <w:spacing w:after="240" w:line="276" w:lineRule="auto"/>
              <w:jc w:val="center"/>
              <w:rPr>
                <w:rFonts w:asciiTheme="minorHAnsi" w:hAnsiTheme="minorHAnsi" w:cstheme="minorHAnsi"/>
                <w:b/>
                <w:bCs/>
                <w:color w:val="000000" w:themeColor="text1"/>
                <w:sz w:val="32"/>
                <w:szCs w:val="32"/>
              </w:rPr>
            </w:pPr>
            <w:r w:rsidRPr="003E3375">
              <w:rPr>
                <w:rFonts w:asciiTheme="minorHAnsi" w:hAnsiTheme="minorHAnsi" w:cstheme="minorHAnsi"/>
                <w:b/>
                <w:bCs/>
                <w:color w:val="000000" w:themeColor="text1"/>
                <w:sz w:val="32"/>
                <w:szCs w:val="32"/>
              </w:rPr>
              <w:t>Before the World Trade Organization</w:t>
            </w:r>
          </w:p>
          <w:p w14:paraId="47A11D07" w14:textId="77777777" w:rsidR="005714C3" w:rsidRPr="003E3375" w:rsidRDefault="005714C3" w:rsidP="00E72E98">
            <w:pPr>
              <w:pStyle w:val="BTBodyText"/>
              <w:spacing w:after="240" w:line="276" w:lineRule="auto"/>
              <w:jc w:val="center"/>
              <w:rPr>
                <w:rFonts w:asciiTheme="minorHAnsi" w:hAnsiTheme="minorHAnsi" w:cstheme="minorHAnsi"/>
                <w:b/>
                <w:bCs/>
                <w:color w:val="000000" w:themeColor="text1"/>
                <w:sz w:val="32"/>
                <w:szCs w:val="32"/>
              </w:rPr>
            </w:pPr>
            <w:r w:rsidRPr="003E3375">
              <w:rPr>
                <w:rFonts w:asciiTheme="minorHAnsi" w:hAnsiTheme="minorHAnsi" w:cstheme="minorHAnsi"/>
                <w:b/>
                <w:bCs/>
                <w:color w:val="000000" w:themeColor="text1"/>
                <w:sz w:val="32"/>
                <w:szCs w:val="32"/>
              </w:rPr>
              <w:t>Panel Proceedings</w:t>
            </w:r>
          </w:p>
        </w:tc>
      </w:tr>
      <w:tr w:rsidR="00B747DB" w:rsidRPr="00B747DB" w14:paraId="0289C4A9" w14:textId="77777777" w:rsidTr="00BE0B1C">
        <w:trPr>
          <w:trHeight w:val="737"/>
        </w:trPr>
        <w:tc>
          <w:tcPr>
            <w:tcW w:w="9060" w:type="dxa"/>
          </w:tcPr>
          <w:p w14:paraId="54B017B1" w14:textId="445EA79C" w:rsidR="005714C3" w:rsidRPr="003E3375" w:rsidRDefault="00612803" w:rsidP="00E72E98">
            <w:pPr>
              <w:pStyle w:val="WTODTWTODisputeTitle"/>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China – Anti-Dumping and Countervailing Dut</w:t>
            </w:r>
            <w:r w:rsidR="00FB5332" w:rsidRPr="003E3375">
              <w:rPr>
                <w:rFonts w:asciiTheme="minorHAnsi" w:hAnsiTheme="minorHAnsi" w:cstheme="minorHAnsi"/>
                <w:color w:val="000000" w:themeColor="text1"/>
              </w:rPr>
              <w:t>y</w:t>
            </w:r>
            <w:r w:rsidRPr="003E3375">
              <w:rPr>
                <w:rFonts w:asciiTheme="minorHAnsi" w:hAnsiTheme="minorHAnsi" w:cstheme="minorHAnsi"/>
                <w:color w:val="000000" w:themeColor="text1"/>
              </w:rPr>
              <w:t xml:space="preserve"> Measures on Barley from Australia</w:t>
            </w:r>
          </w:p>
        </w:tc>
      </w:tr>
      <w:tr w:rsidR="00B747DB" w:rsidRPr="00B747DB" w14:paraId="0BEC9842" w14:textId="77777777" w:rsidTr="008A4C51">
        <w:trPr>
          <w:trHeight w:val="3175"/>
        </w:trPr>
        <w:tc>
          <w:tcPr>
            <w:tcW w:w="9060" w:type="dxa"/>
          </w:tcPr>
          <w:p w14:paraId="7A4A3553" w14:textId="1AA145E1" w:rsidR="005714C3" w:rsidRPr="003E3375" w:rsidRDefault="005714C3" w:rsidP="00E72E98">
            <w:pPr>
              <w:pStyle w:val="DSNDSNumber"/>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(DS</w:t>
            </w:r>
            <w:r w:rsidR="00612803" w:rsidRPr="003E3375">
              <w:rPr>
                <w:rFonts w:asciiTheme="minorHAnsi" w:hAnsiTheme="minorHAnsi" w:cstheme="minorHAnsi"/>
                <w:color w:val="000000" w:themeColor="text1"/>
              </w:rPr>
              <w:t>598</w:t>
            </w:r>
            <w:r w:rsidRPr="003E3375">
              <w:rPr>
                <w:rFonts w:asciiTheme="minorHAnsi" w:hAnsiTheme="minorHAnsi" w:cstheme="minorHAnsi"/>
                <w:color w:val="000000" w:themeColor="text1"/>
              </w:rPr>
              <w:t>)</w:t>
            </w:r>
          </w:p>
        </w:tc>
      </w:tr>
      <w:tr w:rsidR="00B747DB" w:rsidRPr="00B747DB" w14:paraId="40D1C31E" w14:textId="77777777" w:rsidTr="00DD4BA0">
        <w:trPr>
          <w:trHeight w:val="3798"/>
        </w:trPr>
        <w:tc>
          <w:tcPr>
            <w:tcW w:w="9060" w:type="dxa"/>
          </w:tcPr>
          <w:p w14:paraId="5B2E5862" w14:textId="11AF2C41" w:rsidR="005714C3" w:rsidRPr="003E3375" w:rsidRDefault="00612803" w:rsidP="00E72E98">
            <w:pPr>
              <w:pStyle w:val="DTDocumentTitle"/>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Australia's </w:t>
            </w:r>
            <w:r w:rsidR="00CB4C1D" w:rsidRPr="003E3375">
              <w:rPr>
                <w:rFonts w:asciiTheme="minorHAnsi" w:hAnsiTheme="minorHAnsi" w:cstheme="minorHAnsi"/>
                <w:color w:val="000000" w:themeColor="text1"/>
              </w:rPr>
              <w:t>Executive Summary</w:t>
            </w:r>
          </w:p>
          <w:p w14:paraId="13536138" w14:textId="51A8FFDC" w:rsidR="00FB4FCC" w:rsidRPr="003E3375" w:rsidRDefault="00FB4FCC" w:rsidP="00E72E98">
            <w:pPr>
              <w:pStyle w:val="DTDocumentTitle"/>
              <w:spacing w:line="276" w:lineRule="auto"/>
              <w:rPr>
                <w:rFonts w:asciiTheme="minorHAnsi" w:hAnsiTheme="minorHAnsi" w:cstheme="minorHAnsi"/>
                <w:color w:val="000000" w:themeColor="text1"/>
              </w:rPr>
            </w:pPr>
          </w:p>
          <w:p w14:paraId="5B6C7E20" w14:textId="77777777" w:rsidR="00FB4FCC" w:rsidRPr="003E3375" w:rsidRDefault="00FB4FCC" w:rsidP="00E72E98">
            <w:pPr>
              <w:pStyle w:val="DTDocumentTitle"/>
              <w:spacing w:line="276" w:lineRule="auto"/>
              <w:rPr>
                <w:rFonts w:asciiTheme="minorHAnsi" w:hAnsiTheme="minorHAnsi" w:cstheme="minorHAnsi"/>
                <w:color w:val="000000" w:themeColor="text1"/>
              </w:rPr>
            </w:pPr>
          </w:p>
          <w:p w14:paraId="19344173" w14:textId="632A69CF" w:rsidR="00FB4FCC" w:rsidRPr="003E3375" w:rsidRDefault="00FB4FCC" w:rsidP="00E72E98">
            <w:pPr>
              <w:spacing w:line="276" w:lineRule="auto"/>
              <w:jc w:val="center"/>
              <w:rPr>
                <w:rFonts w:asciiTheme="minorHAnsi" w:hAnsiTheme="minorHAnsi" w:cstheme="minorHAnsi"/>
                <w:color w:val="000000" w:themeColor="text1"/>
                <w:sz w:val="36"/>
                <w:szCs w:val="36"/>
              </w:rPr>
            </w:pPr>
            <w:r w:rsidRPr="003E3375">
              <w:rPr>
                <w:rFonts w:asciiTheme="minorHAnsi" w:hAnsiTheme="minorHAnsi" w:cstheme="minorHAnsi"/>
                <w:b/>
                <w:bCs/>
                <w:color w:val="000000" w:themeColor="text1"/>
                <w:sz w:val="36"/>
                <w:szCs w:val="36"/>
              </w:rPr>
              <w:t xml:space="preserve">Business Confidential Information </w:t>
            </w:r>
            <w:r w:rsidR="009002EB">
              <w:rPr>
                <w:rFonts w:asciiTheme="minorHAnsi" w:hAnsiTheme="minorHAnsi" w:cstheme="minorHAnsi"/>
                <w:b/>
                <w:bCs/>
                <w:color w:val="000000" w:themeColor="text1"/>
                <w:sz w:val="36"/>
                <w:szCs w:val="36"/>
              </w:rPr>
              <w:t>- REDACTED</w:t>
            </w:r>
          </w:p>
          <w:p w14:paraId="00A19FCC" w14:textId="028AA66C" w:rsidR="005106C1" w:rsidRPr="003E3375" w:rsidRDefault="005106C1" w:rsidP="00E72E98">
            <w:pPr>
              <w:spacing w:line="276" w:lineRule="auto"/>
              <w:rPr>
                <w:rFonts w:asciiTheme="minorHAnsi" w:hAnsiTheme="minorHAnsi" w:cstheme="minorHAnsi"/>
                <w:b/>
                <w:bCs/>
                <w:smallCaps/>
                <w:color w:val="000000" w:themeColor="text1"/>
                <w:sz w:val="36"/>
                <w:szCs w:val="36"/>
              </w:rPr>
            </w:pPr>
          </w:p>
          <w:p w14:paraId="56B30790" w14:textId="35E12FCA" w:rsidR="005106C1" w:rsidRPr="003E3375" w:rsidRDefault="005106C1" w:rsidP="00E72E98">
            <w:pPr>
              <w:spacing w:line="276" w:lineRule="auto"/>
              <w:rPr>
                <w:rFonts w:asciiTheme="minorHAnsi" w:hAnsiTheme="minorHAnsi" w:cstheme="minorHAnsi"/>
                <w:b/>
                <w:bCs/>
                <w:smallCaps/>
                <w:color w:val="000000" w:themeColor="text1"/>
                <w:sz w:val="36"/>
                <w:szCs w:val="36"/>
              </w:rPr>
            </w:pPr>
          </w:p>
          <w:p w14:paraId="0E99E423" w14:textId="569BCCBB" w:rsidR="005106C1" w:rsidRPr="003E3375" w:rsidRDefault="005106C1" w:rsidP="00E72E98">
            <w:pPr>
              <w:spacing w:line="276" w:lineRule="auto"/>
              <w:rPr>
                <w:rFonts w:asciiTheme="minorHAnsi" w:hAnsiTheme="minorHAnsi" w:cstheme="minorHAnsi"/>
                <w:color w:val="000000" w:themeColor="text1"/>
              </w:rPr>
            </w:pPr>
          </w:p>
        </w:tc>
      </w:tr>
      <w:tr w:rsidR="005714C3" w:rsidRPr="00B747DB" w14:paraId="442360D4" w14:textId="77777777" w:rsidTr="00BE0B1C">
        <w:trPr>
          <w:trHeight w:val="624"/>
        </w:trPr>
        <w:tc>
          <w:tcPr>
            <w:tcW w:w="9060" w:type="dxa"/>
          </w:tcPr>
          <w:p w14:paraId="4A373CC6" w14:textId="3434C3F5" w:rsidR="005714C3" w:rsidRPr="003E3375" w:rsidRDefault="00B91199" w:rsidP="00E72E98">
            <w:pPr>
              <w:pStyle w:val="DDDocumentDate"/>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19</w:t>
            </w:r>
            <w:r w:rsidR="00CB4C1D" w:rsidRPr="003E3375">
              <w:rPr>
                <w:rFonts w:asciiTheme="minorHAnsi" w:hAnsiTheme="minorHAnsi" w:cstheme="minorHAnsi"/>
                <w:color w:val="000000" w:themeColor="text1"/>
              </w:rPr>
              <w:t xml:space="preserve"> September</w:t>
            </w:r>
            <w:r w:rsidR="00622912" w:rsidRPr="003E3375">
              <w:rPr>
                <w:rFonts w:asciiTheme="minorHAnsi" w:hAnsiTheme="minorHAnsi" w:cstheme="minorHAnsi"/>
                <w:color w:val="000000" w:themeColor="text1"/>
              </w:rPr>
              <w:t xml:space="preserve"> 2022</w:t>
            </w:r>
          </w:p>
        </w:tc>
      </w:tr>
    </w:tbl>
    <w:p w14:paraId="1C468A3F" w14:textId="77777777" w:rsidR="005714C3" w:rsidRPr="003E3375" w:rsidRDefault="005714C3" w:rsidP="00E72E98">
      <w:pPr>
        <w:pStyle w:val="BTNSSBodyTextNoSpacingSmall"/>
        <w:spacing w:line="276" w:lineRule="auto"/>
        <w:rPr>
          <w:rFonts w:asciiTheme="minorHAnsi" w:hAnsiTheme="minorHAnsi" w:cstheme="minorHAnsi"/>
          <w:color w:val="000000" w:themeColor="text1"/>
        </w:rPr>
      </w:pPr>
    </w:p>
    <w:p w14:paraId="59325592" w14:textId="77777777" w:rsidR="00006269" w:rsidRPr="003E3375" w:rsidRDefault="00006269" w:rsidP="00E72E98">
      <w:pPr>
        <w:pStyle w:val="BTNSSBodyTextNoSpacingSmall"/>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br w:type="page"/>
      </w:r>
    </w:p>
    <w:p w14:paraId="7B09B533" w14:textId="77777777" w:rsidR="00F01A73" w:rsidRPr="003E3375" w:rsidRDefault="00F01A73" w:rsidP="00E72E98">
      <w:pPr>
        <w:pStyle w:val="BTNSSBodyTextNoSpacingSmall"/>
        <w:spacing w:line="276" w:lineRule="auto"/>
        <w:rPr>
          <w:rFonts w:asciiTheme="minorHAnsi" w:hAnsiTheme="minorHAnsi" w:cstheme="minorHAnsi"/>
          <w:color w:val="000000" w:themeColor="text1"/>
          <w:sz w:val="2"/>
          <w:szCs w:val="2"/>
        </w:rPr>
      </w:pPr>
    </w:p>
    <w:sdt>
      <w:sdtPr>
        <w:rPr>
          <w:rFonts w:asciiTheme="minorHAnsi" w:hAnsiTheme="minorHAnsi" w:cstheme="minorHAnsi"/>
          <w:b w:val="0"/>
          <w:caps w:val="0"/>
          <w:color w:val="000000" w:themeColor="text1"/>
          <w:sz w:val="8"/>
          <w:szCs w:val="8"/>
          <w:lang w:val="en-AU"/>
        </w:rPr>
        <w:id w:val="-1730524273"/>
        <w:docPartObj>
          <w:docPartGallery w:val="Table of Contents"/>
          <w:docPartUnique/>
        </w:docPartObj>
      </w:sdtPr>
      <w:sdtEndPr>
        <w:rPr>
          <w:bCs/>
        </w:rPr>
      </w:sdtEndPr>
      <w:sdtContent>
        <w:p w14:paraId="3E796CB3" w14:textId="77777777" w:rsidR="00D47F18" w:rsidRPr="003E3375" w:rsidRDefault="00D47F18" w:rsidP="00E72E98">
          <w:pPr>
            <w:pStyle w:val="TOCHeading"/>
            <w:spacing w:line="276" w:lineRule="auto"/>
            <w:rPr>
              <w:rFonts w:asciiTheme="minorHAnsi" w:hAnsiTheme="minorHAnsi" w:cstheme="minorHAnsi"/>
              <w:color w:val="000000" w:themeColor="text1"/>
              <w:lang w:val="en-AU"/>
            </w:rPr>
          </w:pPr>
          <w:r w:rsidRPr="003E3375">
            <w:rPr>
              <w:rFonts w:asciiTheme="minorHAnsi" w:hAnsiTheme="minorHAnsi" w:cstheme="minorHAnsi"/>
              <w:color w:val="000000" w:themeColor="text1"/>
              <w:lang w:val="en-AU"/>
            </w:rPr>
            <w:t>Table of Contents</w:t>
          </w:r>
        </w:p>
        <w:p w14:paraId="6A145006" w14:textId="54F3EDB6" w:rsidR="002313E0" w:rsidRDefault="00F945DB">
          <w:pPr>
            <w:pStyle w:val="TOC1"/>
            <w:rPr>
              <w:rFonts w:asciiTheme="minorHAnsi" w:eastAsiaTheme="minorEastAsia" w:hAnsiTheme="minorHAnsi"/>
              <w:b w:val="0"/>
              <w:caps w:val="0"/>
              <w:noProof/>
              <w:sz w:val="22"/>
              <w:szCs w:val="22"/>
              <w:lang w:eastAsia="en-AU"/>
            </w:rPr>
          </w:pPr>
          <w:r w:rsidRPr="003E3375">
            <w:rPr>
              <w:rFonts w:asciiTheme="minorHAnsi" w:hAnsiTheme="minorHAnsi" w:cstheme="minorHAnsi"/>
              <w:color w:val="000000" w:themeColor="text1"/>
            </w:rPr>
            <w:fldChar w:fldCharType="begin"/>
          </w:r>
          <w:r w:rsidRPr="003E3375">
            <w:rPr>
              <w:rFonts w:asciiTheme="minorHAnsi" w:hAnsiTheme="minorHAnsi" w:cstheme="minorHAnsi"/>
              <w:color w:val="000000" w:themeColor="text1"/>
            </w:rPr>
            <w:instrText xml:space="preserve"> TOC \o "1-5" \h \z \u </w:instrText>
          </w:r>
          <w:r w:rsidRPr="003E3375">
            <w:rPr>
              <w:rFonts w:asciiTheme="minorHAnsi" w:hAnsiTheme="minorHAnsi" w:cstheme="minorHAnsi"/>
              <w:color w:val="000000" w:themeColor="text1"/>
            </w:rPr>
            <w:fldChar w:fldCharType="separate"/>
          </w:r>
          <w:hyperlink w:anchor="_Toc114492214" w:history="1">
            <w:r w:rsidR="002313E0" w:rsidRPr="00A53F5D">
              <w:rPr>
                <w:rStyle w:val="Hyperlink"/>
                <w:rFonts w:cstheme="minorHAnsi"/>
                <w:noProof/>
              </w:rPr>
              <w:t>Table of Cases</w:t>
            </w:r>
            <w:r w:rsidR="002313E0">
              <w:rPr>
                <w:noProof/>
                <w:webHidden/>
              </w:rPr>
              <w:tab/>
            </w:r>
            <w:r w:rsidR="002313E0">
              <w:rPr>
                <w:noProof/>
                <w:webHidden/>
              </w:rPr>
              <w:fldChar w:fldCharType="begin"/>
            </w:r>
            <w:r w:rsidR="002313E0">
              <w:rPr>
                <w:noProof/>
                <w:webHidden/>
              </w:rPr>
              <w:instrText xml:space="preserve"> PAGEREF _Toc114492214 \h </w:instrText>
            </w:r>
            <w:r w:rsidR="002313E0">
              <w:rPr>
                <w:noProof/>
                <w:webHidden/>
              </w:rPr>
            </w:r>
            <w:r w:rsidR="002313E0">
              <w:rPr>
                <w:noProof/>
                <w:webHidden/>
              </w:rPr>
              <w:fldChar w:fldCharType="separate"/>
            </w:r>
            <w:r w:rsidR="002313E0">
              <w:rPr>
                <w:noProof/>
                <w:webHidden/>
              </w:rPr>
              <w:t>iii</w:t>
            </w:r>
            <w:r w:rsidR="002313E0">
              <w:rPr>
                <w:noProof/>
                <w:webHidden/>
              </w:rPr>
              <w:fldChar w:fldCharType="end"/>
            </w:r>
          </w:hyperlink>
        </w:p>
        <w:p w14:paraId="284EF1D0" w14:textId="0658D364" w:rsidR="002313E0" w:rsidRDefault="00000000">
          <w:pPr>
            <w:pStyle w:val="TOC1"/>
            <w:rPr>
              <w:rFonts w:asciiTheme="minorHAnsi" w:eastAsiaTheme="minorEastAsia" w:hAnsiTheme="minorHAnsi"/>
              <w:b w:val="0"/>
              <w:caps w:val="0"/>
              <w:noProof/>
              <w:sz w:val="22"/>
              <w:szCs w:val="22"/>
              <w:lang w:eastAsia="en-AU"/>
            </w:rPr>
          </w:pPr>
          <w:hyperlink w:anchor="_Toc114492215" w:history="1">
            <w:r w:rsidR="002313E0" w:rsidRPr="00A53F5D">
              <w:rPr>
                <w:rStyle w:val="Hyperlink"/>
                <w:rFonts w:cstheme="minorHAnsi"/>
                <w:noProof/>
              </w:rPr>
              <w:t>List of Abbreviations and Short Forms</w:t>
            </w:r>
            <w:r w:rsidR="002313E0">
              <w:rPr>
                <w:noProof/>
                <w:webHidden/>
              </w:rPr>
              <w:tab/>
            </w:r>
            <w:r w:rsidR="002313E0">
              <w:rPr>
                <w:noProof/>
                <w:webHidden/>
              </w:rPr>
              <w:fldChar w:fldCharType="begin"/>
            </w:r>
            <w:r w:rsidR="002313E0">
              <w:rPr>
                <w:noProof/>
                <w:webHidden/>
              </w:rPr>
              <w:instrText xml:space="preserve"> PAGEREF _Toc114492215 \h </w:instrText>
            </w:r>
            <w:r w:rsidR="002313E0">
              <w:rPr>
                <w:noProof/>
                <w:webHidden/>
              </w:rPr>
            </w:r>
            <w:r w:rsidR="002313E0">
              <w:rPr>
                <w:noProof/>
                <w:webHidden/>
              </w:rPr>
              <w:fldChar w:fldCharType="separate"/>
            </w:r>
            <w:r w:rsidR="002313E0">
              <w:rPr>
                <w:noProof/>
                <w:webHidden/>
              </w:rPr>
              <w:t>vi</w:t>
            </w:r>
            <w:r w:rsidR="002313E0">
              <w:rPr>
                <w:noProof/>
                <w:webHidden/>
              </w:rPr>
              <w:fldChar w:fldCharType="end"/>
            </w:r>
          </w:hyperlink>
        </w:p>
        <w:p w14:paraId="779F8729" w14:textId="55EF3EFE" w:rsidR="002313E0" w:rsidRDefault="00000000">
          <w:pPr>
            <w:pStyle w:val="TOC1"/>
            <w:rPr>
              <w:rFonts w:asciiTheme="minorHAnsi" w:eastAsiaTheme="minorEastAsia" w:hAnsiTheme="minorHAnsi"/>
              <w:b w:val="0"/>
              <w:caps w:val="0"/>
              <w:noProof/>
              <w:sz w:val="22"/>
              <w:szCs w:val="22"/>
              <w:lang w:eastAsia="en-AU"/>
            </w:rPr>
          </w:pPr>
          <w:hyperlink w:anchor="_Toc114492216" w:history="1">
            <w:r w:rsidR="002313E0" w:rsidRPr="00A53F5D">
              <w:rPr>
                <w:rStyle w:val="Hyperlink"/>
                <w:noProof/>
              </w:rPr>
              <w:t>I.</w:t>
            </w:r>
            <w:r w:rsidR="002313E0">
              <w:rPr>
                <w:rFonts w:asciiTheme="minorHAnsi" w:eastAsiaTheme="minorEastAsia" w:hAnsiTheme="minorHAnsi"/>
                <w:b w:val="0"/>
                <w:caps w:val="0"/>
                <w:noProof/>
                <w:sz w:val="22"/>
                <w:szCs w:val="22"/>
                <w:lang w:eastAsia="en-AU"/>
              </w:rPr>
              <w:tab/>
            </w:r>
            <w:r w:rsidR="002313E0" w:rsidRPr="00A53F5D">
              <w:rPr>
                <w:rStyle w:val="Hyperlink"/>
                <w:noProof/>
              </w:rPr>
              <w:t>Introduction</w:t>
            </w:r>
            <w:r w:rsidR="002313E0">
              <w:rPr>
                <w:noProof/>
                <w:webHidden/>
              </w:rPr>
              <w:tab/>
            </w:r>
            <w:r w:rsidR="002313E0">
              <w:rPr>
                <w:noProof/>
                <w:webHidden/>
              </w:rPr>
              <w:fldChar w:fldCharType="begin"/>
            </w:r>
            <w:r w:rsidR="002313E0">
              <w:rPr>
                <w:noProof/>
                <w:webHidden/>
              </w:rPr>
              <w:instrText xml:space="preserve"> PAGEREF _Toc114492216 \h </w:instrText>
            </w:r>
            <w:r w:rsidR="002313E0">
              <w:rPr>
                <w:noProof/>
                <w:webHidden/>
              </w:rPr>
            </w:r>
            <w:r w:rsidR="002313E0">
              <w:rPr>
                <w:noProof/>
                <w:webHidden/>
              </w:rPr>
              <w:fldChar w:fldCharType="separate"/>
            </w:r>
            <w:r w:rsidR="002313E0">
              <w:rPr>
                <w:noProof/>
                <w:webHidden/>
              </w:rPr>
              <w:t>1</w:t>
            </w:r>
            <w:r w:rsidR="002313E0">
              <w:rPr>
                <w:noProof/>
                <w:webHidden/>
              </w:rPr>
              <w:fldChar w:fldCharType="end"/>
            </w:r>
          </w:hyperlink>
        </w:p>
        <w:p w14:paraId="3E111E7D" w14:textId="376C3CF8" w:rsidR="002313E0" w:rsidRDefault="00000000">
          <w:pPr>
            <w:pStyle w:val="TOC2"/>
            <w:rPr>
              <w:rFonts w:asciiTheme="minorHAnsi" w:eastAsiaTheme="minorEastAsia" w:hAnsiTheme="minorHAnsi"/>
              <w:b w:val="0"/>
              <w:smallCaps w:val="0"/>
              <w:noProof/>
              <w:sz w:val="22"/>
              <w:szCs w:val="22"/>
              <w:lang w:eastAsia="en-AU"/>
            </w:rPr>
          </w:pPr>
          <w:hyperlink w:anchor="_Toc114492217" w:history="1">
            <w:r w:rsidR="002313E0" w:rsidRPr="00A53F5D">
              <w:rPr>
                <w:rStyle w:val="Hyperlink"/>
                <w:rFonts w:cstheme="minorHAnsi"/>
                <w:noProof/>
              </w:rPr>
              <w:t>A.</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Measures at issue</w:t>
            </w:r>
            <w:r w:rsidR="002313E0">
              <w:rPr>
                <w:noProof/>
                <w:webHidden/>
              </w:rPr>
              <w:tab/>
            </w:r>
            <w:r w:rsidR="002313E0">
              <w:rPr>
                <w:noProof/>
                <w:webHidden/>
              </w:rPr>
              <w:fldChar w:fldCharType="begin"/>
            </w:r>
            <w:r w:rsidR="002313E0">
              <w:rPr>
                <w:noProof/>
                <w:webHidden/>
              </w:rPr>
              <w:instrText xml:space="preserve"> PAGEREF _Toc114492217 \h </w:instrText>
            </w:r>
            <w:r w:rsidR="002313E0">
              <w:rPr>
                <w:noProof/>
                <w:webHidden/>
              </w:rPr>
            </w:r>
            <w:r w:rsidR="002313E0">
              <w:rPr>
                <w:noProof/>
                <w:webHidden/>
              </w:rPr>
              <w:fldChar w:fldCharType="separate"/>
            </w:r>
            <w:r w:rsidR="002313E0">
              <w:rPr>
                <w:noProof/>
                <w:webHidden/>
              </w:rPr>
              <w:t>1</w:t>
            </w:r>
            <w:r w:rsidR="002313E0">
              <w:rPr>
                <w:noProof/>
                <w:webHidden/>
              </w:rPr>
              <w:fldChar w:fldCharType="end"/>
            </w:r>
          </w:hyperlink>
        </w:p>
        <w:p w14:paraId="31CB7F26" w14:textId="47CED85B" w:rsidR="002313E0" w:rsidRDefault="00000000">
          <w:pPr>
            <w:pStyle w:val="TOC2"/>
            <w:rPr>
              <w:rFonts w:asciiTheme="minorHAnsi" w:eastAsiaTheme="minorEastAsia" w:hAnsiTheme="minorHAnsi"/>
              <w:b w:val="0"/>
              <w:smallCaps w:val="0"/>
              <w:noProof/>
              <w:sz w:val="22"/>
              <w:szCs w:val="22"/>
              <w:lang w:eastAsia="en-AU"/>
            </w:rPr>
          </w:pPr>
          <w:hyperlink w:anchor="_Toc114492218" w:history="1">
            <w:r w:rsidR="002313E0" w:rsidRPr="00A53F5D">
              <w:rPr>
                <w:rStyle w:val="Hyperlink"/>
                <w:rFonts w:cstheme="minorHAnsi"/>
                <w:noProof/>
              </w:rPr>
              <w:t>B.</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Standard of review</w:t>
            </w:r>
            <w:r w:rsidR="002313E0">
              <w:rPr>
                <w:noProof/>
                <w:webHidden/>
              </w:rPr>
              <w:tab/>
            </w:r>
            <w:r w:rsidR="002313E0">
              <w:rPr>
                <w:noProof/>
                <w:webHidden/>
              </w:rPr>
              <w:fldChar w:fldCharType="begin"/>
            </w:r>
            <w:r w:rsidR="002313E0">
              <w:rPr>
                <w:noProof/>
                <w:webHidden/>
              </w:rPr>
              <w:instrText xml:space="preserve"> PAGEREF _Toc114492218 \h </w:instrText>
            </w:r>
            <w:r w:rsidR="002313E0">
              <w:rPr>
                <w:noProof/>
                <w:webHidden/>
              </w:rPr>
            </w:r>
            <w:r w:rsidR="002313E0">
              <w:rPr>
                <w:noProof/>
                <w:webHidden/>
              </w:rPr>
              <w:fldChar w:fldCharType="separate"/>
            </w:r>
            <w:r w:rsidR="002313E0">
              <w:rPr>
                <w:noProof/>
                <w:webHidden/>
              </w:rPr>
              <w:t>1</w:t>
            </w:r>
            <w:r w:rsidR="002313E0">
              <w:rPr>
                <w:noProof/>
                <w:webHidden/>
              </w:rPr>
              <w:fldChar w:fldCharType="end"/>
            </w:r>
          </w:hyperlink>
        </w:p>
        <w:p w14:paraId="66D99132" w14:textId="2F9EBF82" w:rsidR="002313E0" w:rsidRDefault="00000000">
          <w:pPr>
            <w:pStyle w:val="TOC1"/>
            <w:rPr>
              <w:rFonts w:asciiTheme="minorHAnsi" w:eastAsiaTheme="minorEastAsia" w:hAnsiTheme="minorHAnsi"/>
              <w:b w:val="0"/>
              <w:caps w:val="0"/>
              <w:noProof/>
              <w:sz w:val="22"/>
              <w:szCs w:val="22"/>
              <w:lang w:eastAsia="en-AU"/>
            </w:rPr>
          </w:pPr>
          <w:hyperlink w:anchor="_Toc114492219" w:history="1">
            <w:r w:rsidR="002313E0" w:rsidRPr="00A53F5D">
              <w:rPr>
                <w:rStyle w:val="Hyperlink"/>
                <w:rFonts w:cstheme="minorHAnsi"/>
                <w:noProof/>
              </w:rPr>
              <w:t>II.</w:t>
            </w:r>
            <w:r w:rsidR="002313E0">
              <w:rPr>
                <w:rFonts w:asciiTheme="minorHAnsi" w:eastAsiaTheme="minorEastAsia" w:hAnsiTheme="minorHAnsi"/>
                <w:b w:val="0"/>
                <w:caps w:val="0"/>
                <w:noProof/>
                <w:sz w:val="22"/>
                <w:szCs w:val="22"/>
                <w:lang w:eastAsia="en-AU"/>
              </w:rPr>
              <w:tab/>
            </w:r>
            <w:r w:rsidR="002313E0" w:rsidRPr="00A53F5D">
              <w:rPr>
                <w:rStyle w:val="Hyperlink"/>
                <w:rFonts w:cstheme="minorHAnsi"/>
                <w:noProof/>
              </w:rPr>
              <w:t>MOFCOM's definition of domestic industry lacked any evidentiary basis</w:t>
            </w:r>
            <w:r w:rsidR="002313E0">
              <w:rPr>
                <w:noProof/>
                <w:webHidden/>
              </w:rPr>
              <w:tab/>
            </w:r>
            <w:r w:rsidR="002313E0">
              <w:rPr>
                <w:noProof/>
                <w:webHidden/>
              </w:rPr>
              <w:fldChar w:fldCharType="begin"/>
            </w:r>
            <w:r w:rsidR="002313E0">
              <w:rPr>
                <w:noProof/>
                <w:webHidden/>
              </w:rPr>
              <w:instrText xml:space="preserve"> PAGEREF _Toc114492219 \h </w:instrText>
            </w:r>
            <w:r w:rsidR="002313E0">
              <w:rPr>
                <w:noProof/>
                <w:webHidden/>
              </w:rPr>
            </w:r>
            <w:r w:rsidR="002313E0">
              <w:rPr>
                <w:noProof/>
                <w:webHidden/>
              </w:rPr>
              <w:fldChar w:fldCharType="separate"/>
            </w:r>
            <w:r w:rsidR="002313E0">
              <w:rPr>
                <w:noProof/>
                <w:webHidden/>
              </w:rPr>
              <w:t>2</w:t>
            </w:r>
            <w:r w:rsidR="002313E0">
              <w:rPr>
                <w:noProof/>
                <w:webHidden/>
              </w:rPr>
              <w:fldChar w:fldCharType="end"/>
            </w:r>
          </w:hyperlink>
        </w:p>
        <w:p w14:paraId="43A41470" w14:textId="63FFF522" w:rsidR="002313E0" w:rsidRDefault="00000000">
          <w:pPr>
            <w:pStyle w:val="TOC1"/>
            <w:rPr>
              <w:rFonts w:asciiTheme="minorHAnsi" w:eastAsiaTheme="minorEastAsia" w:hAnsiTheme="minorHAnsi"/>
              <w:b w:val="0"/>
              <w:caps w:val="0"/>
              <w:noProof/>
              <w:sz w:val="22"/>
              <w:szCs w:val="22"/>
              <w:lang w:eastAsia="en-AU"/>
            </w:rPr>
          </w:pPr>
          <w:hyperlink w:anchor="_Toc114492220" w:history="1">
            <w:r w:rsidR="002313E0" w:rsidRPr="00A53F5D">
              <w:rPr>
                <w:rStyle w:val="Hyperlink"/>
                <w:rFonts w:cstheme="minorHAnsi"/>
                <w:noProof/>
              </w:rPr>
              <w:t>III.</w:t>
            </w:r>
            <w:r w:rsidR="002313E0">
              <w:rPr>
                <w:rFonts w:asciiTheme="minorHAnsi" w:eastAsiaTheme="minorEastAsia" w:hAnsiTheme="minorHAnsi"/>
                <w:b w:val="0"/>
                <w:caps w:val="0"/>
                <w:noProof/>
                <w:sz w:val="22"/>
                <w:szCs w:val="22"/>
                <w:lang w:eastAsia="en-AU"/>
              </w:rPr>
              <w:tab/>
            </w:r>
            <w:r w:rsidR="002313E0" w:rsidRPr="00A53F5D">
              <w:rPr>
                <w:rStyle w:val="Hyperlink"/>
                <w:rFonts w:cstheme="minorHAnsi"/>
                <w:noProof/>
              </w:rPr>
              <w:t>Initiation</w:t>
            </w:r>
            <w:r w:rsidR="002313E0">
              <w:rPr>
                <w:noProof/>
                <w:webHidden/>
              </w:rPr>
              <w:tab/>
            </w:r>
            <w:r w:rsidR="002313E0">
              <w:rPr>
                <w:noProof/>
                <w:webHidden/>
              </w:rPr>
              <w:fldChar w:fldCharType="begin"/>
            </w:r>
            <w:r w:rsidR="002313E0">
              <w:rPr>
                <w:noProof/>
                <w:webHidden/>
              </w:rPr>
              <w:instrText xml:space="preserve"> PAGEREF _Toc114492220 \h </w:instrText>
            </w:r>
            <w:r w:rsidR="002313E0">
              <w:rPr>
                <w:noProof/>
                <w:webHidden/>
              </w:rPr>
            </w:r>
            <w:r w:rsidR="002313E0">
              <w:rPr>
                <w:noProof/>
                <w:webHidden/>
              </w:rPr>
              <w:fldChar w:fldCharType="separate"/>
            </w:r>
            <w:r w:rsidR="002313E0">
              <w:rPr>
                <w:noProof/>
                <w:webHidden/>
              </w:rPr>
              <w:t>4</w:t>
            </w:r>
            <w:r w:rsidR="002313E0">
              <w:rPr>
                <w:noProof/>
                <w:webHidden/>
              </w:rPr>
              <w:fldChar w:fldCharType="end"/>
            </w:r>
          </w:hyperlink>
        </w:p>
        <w:p w14:paraId="08B0EE66" w14:textId="180BA994" w:rsidR="002313E0" w:rsidRDefault="00000000">
          <w:pPr>
            <w:pStyle w:val="TOC2"/>
            <w:rPr>
              <w:rFonts w:asciiTheme="minorHAnsi" w:eastAsiaTheme="minorEastAsia" w:hAnsiTheme="minorHAnsi"/>
              <w:b w:val="0"/>
              <w:smallCaps w:val="0"/>
              <w:noProof/>
              <w:sz w:val="22"/>
              <w:szCs w:val="22"/>
              <w:lang w:eastAsia="en-AU"/>
            </w:rPr>
          </w:pPr>
          <w:hyperlink w:anchor="_Toc114492221" w:history="1">
            <w:r w:rsidR="002313E0" w:rsidRPr="00A53F5D">
              <w:rPr>
                <w:rStyle w:val="Hyperlink"/>
                <w:rFonts w:cstheme="minorHAnsi"/>
                <w:noProof/>
              </w:rPr>
              <w:t>A.</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Applications were not made by or on behalf of domestic industry, and the Applicant did not have standing</w:t>
            </w:r>
            <w:r w:rsidR="002313E0">
              <w:rPr>
                <w:noProof/>
                <w:webHidden/>
              </w:rPr>
              <w:tab/>
            </w:r>
            <w:r w:rsidR="002313E0">
              <w:rPr>
                <w:noProof/>
                <w:webHidden/>
              </w:rPr>
              <w:fldChar w:fldCharType="begin"/>
            </w:r>
            <w:r w:rsidR="002313E0">
              <w:rPr>
                <w:noProof/>
                <w:webHidden/>
              </w:rPr>
              <w:instrText xml:space="preserve"> PAGEREF _Toc114492221 \h </w:instrText>
            </w:r>
            <w:r w:rsidR="002313E0">
              <w:rPr>
                <w:noProof/>
                <w:webHidden/>
              </w:rPr>
            </w:r>
            <w:r w:rsidR="002313E0">
              <w:rPr>
                <w:noProof/>
                <w:webHidden/>
              </w:rPr>
              <w:fldChar w:fldCharType="separate"/>
            </w:r>
            <w:r w:rsidR="002313E0">
              <w:rPr>
                <w:noProof/>
                <w:webHidden/>
              </w:rPr>
              <w:t>4</w:t>
            </w:r>
            <w:r w:rsidR="002313E0">
              <w:rPr>
                <w:noProof/>
                <w:webHidden/>
              </w:rPr>
              <w:fldChar w:fldCharType="end"/>
            </w:r>
          </w:hyperlink>
        </w:p>
        <w:p w14:paraId="06B66D24" w14:textId="5AF2C380" w:rsidR="002313E0" w:rsidRDefault="00000000">
          <w:pPr>
            <w:pStyle w:val="TOC2"/>
            <w:rPr>
              <w:rFonts w:asciiTheme="minorHAnsi" w:eastAsiaTheme="minorEastAsia" w:hAnsiTheme="minorHAnsi"/>
              <w:b w:val="0"/>
              <w:smallCaps w:val="0"/>
              <w:noProof/>
              <w:sz w:val="22"/>
              <w:szCs w:val="22"/>
              <w:lang w:eastAsia="en-AU"/>
            </w:rPr>
          </w:pPr>
          <w:hyperlink w:anchor="_Toc114492222" w:history="1">
            <w:r w:rsidR="002313E0" w:rsidRPr="00A53F5D">
              <w:rPr>
                <w:rStyle w:val="Hyperlink"/>
                <w:rFonts w:cstheme="minorHAnsi"/>
                <w:noProof/>
              </w:rPr>
              <w:t>B.</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MOFCOM had insufficient evidence to justify initiation</w:t>
            </w:r>
            <w:r w:rsidR="002313E0">
              <w:rPr>
                <w:noProof/>
                <w:webHidden/>
              </w:rPr>
              <w:tab/>
            </w:r>
            <w:r w:rsidR="002313E0">
              <w:rPr>
                <w:noProof/>
                <w:webHidden/>
              </w:rPr>
              <w:fldChar w:fldCharType="begin"/>
            </w:r>
            <w:r w:rsidR="002313E0">
              <w:rPr>
                <w:noProof/>
                <w:webHidden/>
              </w:rPr>
              <w:instrText xml:space="preserve"> PAGEREF _Toc114492222 \h </w:instrText>
            </w:r>
            <w:r w:rsidR="002313E0">
              <w:rPr>
                <w:noProof/>
                <w:webHidden/>
              </w:rPr>
            </w:r>
            <w:r w:rsidR="002313E0">
              <w:rPr>
                <w:noProof/>
                <w:webHidden/>
              </w:rPr>
              <w:fldChar w:fldCharType="separate"/>
            </w:r>
            <w:r w:rsidR="002313E0">
              <w:rPr>
                <w:noProof/>
                <w:webHidden/>
              </w:rPr>
              <w:t>5</w:t>
            </w:r>
            <w:r w:rsidR="002313E0">
              <w:rPr>
                <w:noProof/>
                <w:webHidden/>
              </w:rPr>
              <w:fldChar w:fldCharType="end"/>
            </w:r>
          </w:hyperlink>
        </w:p>
        <w:p w14:paraId="1F85A664" w14:textId="71F7AA74" w:rsidR="002313E0" w:rsidRDefault="00000000">
          <w:pPr>
            <w:pStyle w:val="TOC1"/>
            <w:rPr>
              <w:rFonts w:asciiTheme="minorHAnsi" w:eastAsiaTheme="minorEastAsia" w:hAnsiTheme="minorHAnsi"/>
              <w:b w:val="0"/>
              <w:caps w:val="0"/>
              <w:noProof/>
              <w:sz w:val="22"/>
              <w:szCs w:val="22"/>
              <w:lang w:eastAsia="en-AU"/>
            </w:rPr>
          </w:pPr>
          <w:hyperlink w:anchor="_Toc114492223" w:history="1">
            <w:r w:rsidR="002313E0" w:rsidRPr="00A53F5D">
              <w:rPr>
                <w:rStyle w:val="Hyperlink"/>
                <w:rFonts w:cstheme="minorHAnsi"/>
                <w:noProof/>
              </w:rPr>
              <w:t>IV.</w:t>
            </w:r>
            <w:r w:rsidR="002313E0">
              <w:rPr>
                <w:rFonts w:asciiTheme="minorHAnsi" w:eastAsiaTheme="minorEastAsia" w:hAnsiTheme="minorHAnsi"/>
                <w:b w:val="0"/>
                <w:caps w:val="0"/>
                <w:noProof/>
                <w:sz w:val="22"/>
                <w:szCs w:val="22"/>
                <w:lang w:eastAsia="en-AU"/>
              </w:rPr>
              <w:tab/>
            </w:r>
            <w:r w:rsidR="002313E0" w:rsidRPr="00A53F5D">
              <w:rPr>
                <w:rStyle w:val="Hyperlink"/>
                <w:rFonts w:cstheme="minorHAnsi"/>
                <w:noProof/>
              </w:rPr>
              <w:t>Dumping determination</w:t>
            </w:r>
            <w:r w:rsidR="002313E0">
              <w:rPr>
                <w:noProof/>
                <w:webHidden/>
              </w:rPr>
              <w:tab/>
            </w:r>
            <w:r w:rsidR="002313E0">
              <w:rPr>
                <w:noProof/>
                <w:webHidden/>
              </w:rPr>
              <w:fldChar w:fldCharType="begin"/>
            </w:r>
            <w:r w:rsidR="002313E0">
              <w:rPr>
                <w:noProof/>
                <w:webHidden/>
              </w:rPr>
              <w:instrText xml:space="preserve"> PAGEREF _Toc114492223 \h </w:instrText>
            </w:r>
            <w:r w:rsidR="002313E0">
              <w:rPr>
                <w:noProof/>
                <w:webHidden/>
              </w:rPr>
            </w:r>
            <w:r w:rsidR="002313E0">
              <w:rPr>
                <w:noProof/>
                <w:webHidden/>
              </w:rPr>
              <w:fldChar w:fldCharType="separate"/>
            </w:r>
            <w:r w:rsidR="002313E0">
              <w:rPr>
                <w:noProof/>
                <w:webHidden/>
              </w:rPr>
              <w:t>6</w:t>
            </w:r>
            <w:r w:rsidR="002313E0">
              <w:rPr>
                <w:noProof/>
                <w:webHidden/>
              </w:rPr>
              <w:fldChar w:fldCharType="end"/>
            </w:r>
          </w:hyperlink>
        </w:p>
        <w:p w14:paraId="654D1986" w14:textId="4253D2FA" w:rsidR="002313E0" w:rsidRDefault="00000000">
          <w:pPr>
            <w:pStyle w:val="TOC2"/>
            <w:rPr>
              <w:rFonts w:asciiTheme="minorHAnsi" w:eastAsiaTheme="minorEastAsia" w:hAnsiTheme="minorHAnsi"/>
              <w:b w:val="0"/>
              <w:smallCaps w:val="0"/>
              <w:noProof/>
              <w:sz w:val="22"/>
              <w:szCs w:val="22"/>
              <w:lang w:eastAsia="en-AU"/>
            </w:rPr>
          </w:pPr>
          <w:hyperlink w:anchor="_Toc114492224" w:history="1">
            <w:r w:rsidR="002313E0" w:rsidRPr="00A53F5D">
              <w:rPr>
                <w:rStyle w:val="Hyperlink"/>
                <w:rFonts w:cstheme="minorHAnsi"/>
                <w:noProof/>
              </w:rPr>
              <w:t>A.</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Improper recourse to, and selection of, facts available</w:t>
            </w:r>
            <w:r w:rsidR="002313E0">
              <w:rPr>
                <w:noProof/>
                <w:webHidden/>
              </w:rPr>
              <w:tab/>
            </w:r>
            <w:r w:rsidR="002313E0">
              <w:rPr>
                <w:noProof/>
                <w:webHidden/>
              </w:rPr>
              <w:fldChar w:fldCharType="begin"/>
            </w:r>
            <w:r w:rsidR="002313E0">
              <w:rPr>
                <w:noProof/>
                <w:webHidden/>
              </w:rPr>
              <w:instrText xml:space="preserve"> PAGEREF _Toc114492224 \h </w:instrText>
            </w:r>
            <w:r w:rsidR="002313E0">
              <w:rPr>
                <w:noProof/>
                <w:webHidden/>
              </w:rPr>
            </w:r>
            <w:r w:rsidR="002313E0">
              <w:rPr>
                <w:noProof/>
                <w:webHidden/>
              </w:rPr>
              <w:fldChar w:fldCharType="separate"/>
            </w:r>
            <w:r w:rsidR="002313E0">
              <w:rPr>
                <w:noProof/>
                <w:webHidden/>
              </w:rPr>
              <w:t>6</w:t>
            </w:r>
            <w:r w:rsidR="002313E0">
              <w:rPr>
                <w:noProof/>
                <w:webHidden/>
              </w:rPr>
              <w:fldChar w:fldCharType="end"/>
            </w:r>
          </w:hyperlink>
        </w:p>
        <w:p w14:paraId="59D929A8" w14:textId="43945C94" w:rsidR="002313E0" w:rsidRDefault="00000000">
          <w:pPr>
            <w:pStyle w:val="TOC2"/>
            <w:rPr>
              <w:rFonts w:asciiTheme="minorHAnsi" w:eastAsiaTheme="minorEastAsia" w:hAnsiTheme="minorHAnsi"/>
              <w:b w:val="0"/>
              <w:smallCaps w:val="0"/>
              <w:noProof/>
              <w:sz w:val="22"/>
              <w:szCs w:val="22"/>
              <w:lang w:eastAsia="en-AU"/>
            </w:rPr>
          </w:pPr>
          <w:hyperlink w:anchor="_Toc114492225" w:history="1">
            <w:r w:rsidR="002313E0" w:rsidRPr="00A53F5D">
              <w:rPr>
                <w:rStyle w:val="Hyperlink"/>
                <w:rFonts w:cstheme="minorHAnsi"/>
                <w:noProof/>
              </w:rPr>
              <w:t>B.</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Improper comparison of normal value and export price</w:t>
            </w:r>
            <w:r w:rsidR="002313E0">
              <w:rPr>
                <w:noProof/>
                <w:webHidden/>
              </w:rPr>
              <w:tab/>
            </w:r>
            <w:r w:rsidR="002313E0">
              <w:rPr>
                <w:noProof/>
                <w:webHidden/>
              </w:rPr>
              <w:fldChar w:fldCharType="begin"/>
            </w:r>
            <w:r w:rsidR="002313E0">
              <w:rPr>
                <w:noProof/>
                <w:webHidden/>
              </w:rPr>
              <w:instrText xml:space="preserve"> PAGEREF _Toc114492225 \h </w:instrText>
            </w:r>
            <w:r w:rsidR="002313E0">
              <w:rPr>
                <w:noProof/>
                <w:webHidden/>
              </w:rPr>
            </w:r>
            <w:r w:rsidR="002313E0">
              <w:rPr>
                <w:noProof/>
                <w:webHidden/>
              </w:rPr>
              <w:fldChar w:fldCharType="separate"/>
            </w:r>
            <w:r w:rsidR="002313E0">
              <w:rPr>
                <w:noProof/>
                <w:webHidden/>
              </w:rPr>
              <w:t>10</w:t>
            </w:r>
            <w:r w:rsidR="002313E0">
              <w:rPr>
                <w:noProof/>
                <w:webHidden/>
              </w:rPr>
              <w:fldChar w:fldCharType="end"/>
            </w:r>
          </w:hyperlink>
        </w:p>
        <w:p w14:paraId="7B1FF528" w14:textId="5AEBE0DE" w:rsidR="002313E0" w:rsidRDefault="00000000">
          <w:pPr>
            <w:pStyle w:val="TOC2"/>
            <w:rPr>
              <w:rFonts w:asciiTheme="minorHAnsi" w:eastAsiaTheme="minorEastAsia" w:hAnsiTheme="minorHAnsi"/>
              <w:b w:val="0"/>
              <w:smallCaps w:val="0"/>
              <w:noProof/>
              <w:sz w:val="22"/>
              <w:szCs w:val="22"/>
              <w:lang w:eastAsia="en-AU"/>
            </w:rPr>
          </w:pPr>
          <w:hyperlink w:anchor="_Toc114492226" w:history="1">
            <w:r w:rsidR="002313E0" w:rsidRPr="00A53F5D">
              <w:rPr>
                <w:rStyle w:val="Hyperlink"/>
                <w:rFonts w:cstheme="minorHAnsi"/>
                <w:noProof/>
              </w:rPr>
              <w:t>C.</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Failure to determine individual dumping margins</w:t>
            </w:r>
            <w:r w:rsidR="002313E0">
              <w:rPr>
                <w:noProof/>
                <w:webHidden/>
              </w:rPr>
              <w:tab/>
            </w:r>
            <w:r w:rsidR="002313E0">
              <w:rPr>
                <w:noProof/>
                <w:webHidden/>
              </w:rPr>
              <w:fldChar w:fldCharType="begin"/>
            </w:r>
            <w:r w:rsidR="002313E0">
              <w:rPr>
                <w:noProof/>
                <w:webHidden/>
              </w:rPr>
              <w:instrText xml:space="preserve"> PAGEREF _Toc114492226 \h </w:instrText>
            </w:r>
            <w:r w:rsidR="002313E0">
              <w:rPr>
                <w:noProof/>
                <w:webHidden/>
              </w:rPr>
            </w:r>
            <w:r w:rsidR="002313E0">
              <w:rPr>
                <w:noProof/>
                <w:webHidden/>
              </w:rPr>
              <w:fldChar w:fldCharType="separate"/>
            </w:r>
            <w:r w:rsidR="002313E0">
              <w:rPr>
                <w:noProof/>
                <w:webHidden/>
              </w:rPr>
              <w:t>11</w:t>
            </w:r>
            <w:r w:rsidR="002313E0">
              <w:rPr>
                <w:noProof/>
                <w:webHidden/>
              </w:rPr>
              <w:fldChar w:fldCharType="end"/>
            </w:r>
          </w:hyperlink>
        </w:p>
        <w:p w14:paraId="140D0BA6" w14:textId="03FF20D8" w:rsidR="002313E0" w:rsidRDefault="00000000">
          <w:pPr>
            <w:pStyle w:val="TOC1"/>
            <w:rPr>
              <w:rFonts w:asciiTheme="minorHAnsi" w:eastAsiaTheme="minorEastAsia" w:hAnsiTheme="minorHAnsi"/>
              <w:b w:val="0"/>
              <w:caps w:val="0"/>
              <w:noProof/>
              <w:sz w:val="22"/>
              <w:szCs w:val="22"/>
              <w:lang w:eastAsia="en-AU"/>
            </w:rPr>
          </w:pPr>
          <w:hyperlink w:anchor="_Toc114492227" w:history="1">
            <w:r w:rsidR="002313E0" w:rsidRPr="00A53F5D">
              <w:rPr>
                <w:rStyle w:val="Hyperlink"/>
                <w:rFonts w:cstheme="minorHAnsi"/>
                <w:noProof/>
              </w:rPr>
              <w:t>V.</w:t>
            </w:r>
            <w:r w:rsidR="002313E0">
              <w:rPr>
                <w:rFonts w:asciiTheme="minorHAnsi" w:eastAsiaTheme="minorEastAsia" w:hAnsiTheme="minorHAnsi"/>
                <w:b w:val="0"/>
                <w:caps w:val="0"/>
                <w:noProof/>
                <w:sz w:val="22"/>
                <w:szCs w:val="22"/>
                <w:lang w:eastAsia="en-AU"/>
              </w:rPr>
              <w:tab/>
            </w:r>
            <w:r w:rsidR="002313E0" w:rsidRPr="00A53F5D">
              <w:rPr>
                <w:rStyle w:val="Hyperlink"/>
                <w:rFonts w:cstheme="minorHAnsi"/>
                <w:noProof/>
              </w:rPr>
              <w:t>Subsidy determination</w:t>
            </w:r>
            <w:r w:rsidR="002313E0">
              <w:rPr>
                <w:noProof/>
                <w:webHidden/>
              </w:rPr>
              <w:tab/>
            </w:r>
            <w:r w:rsidR="002313E0">
              <w:rPr>
                <w:noProof/>
                <w:webHidden/>
              </w:rPr>
              <w:fldChar w:fldCharType="begin"/>
            </w:r>
            <w:r w:rsidR="002313E0">
              <w:rPr>
                <w:noProof/>
                <w:webHidden/>
              </w:rPr>
              <w:instrText xml:space="preserve"> PAGEREF _Toc114492227 \h </w:instrText>
            </w:r>
            <w:r w:rsidR="002313E0">
              <w:rPr>
                <w:noProof/>
                <w:webHidden/>
              </w:rPr>
            </w:r>
            <w:r w:rsidR="002313E0">
              <w:rPr>
                <w:noProof/>
                <w:webHidden/>
              </w:rPr>
              <w:fldChar w:fldCharType="separate"/>
            </w:r>
            <w:r w:rsidR="002313E0">
              <w:rPr>
                <w:noProof/>
                <w:webHidden/>
              </w:rPr>
              <w:t>12</w:t>
            </w:r>
            <w:r w:rsidR="002313E0">
              <w:rPr>
                <w:noProof/>
                <w:webHidden/>
              </w:rPr>
              <w:fldChar w:fldCharType="end"/>
            </w:r>
          </w:hyperlink>
        </w:p>
        <w:p w14:paraId="5384AC8E" w14:textId="32BCFC3C" w:rsidR="002313E0" w:rsidRDefault="00000000">
          <w:pPr>
            <w:pStyle w:val="TOC2"/>
            <w:rPr>
              <w:rFonts w:asciiTheme="minorHAnsi" w:eastAsiaTheme="minorEastAsia" w:hAnsiTheme="minorHAnsi"/>
              <w:b w:val="0"/>
              <w:smallCaps w:val="0"/>
              <w:noProof/>
              <w:sz w:val="22"/>
              <w:szCs w:val="22"/>
              <w:lang w:eastAsia="en-AU"/>
            </w:rPr>
          </w:pPr>
          <w:hyperlink w:anchor="_Toc114492228" w:history="1">
            <w:r w:rsidR="002313E0" w:rsidRPr="00A53F5D">
              <w:rPr>
                <w:rStyle w:val="Hyperlink"/>
                <w:rFonts w:cstheme="minorHAnsi"/>
                <w:noProof/>
              </w:rPr>
              <w:t>A.</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Financial contributions did not exist</w:t>
            </w:r>
            <w:r w:rsidR="002313E0">
              <w:rPr>
                <w:noProof/>
                <w:webHidden/>
              </w:rPr>
              <w:tab/>
            </w:r>
            <w:r w:rsidR="002313E0">
              <w:rPr>
                <w:noProof/>
                <w:webHidden/>
              </w:rPr>
              <w:fldChar w:fldCharType="begin"/>
            </w:r>
            <w:r w:rsidR="002313E0">
              <w:rPr>
                <w:noProof/>
                <w:webHidden/>
              </w:rPr>
              <w:instrText xml:space="preserve"> PAGEREF _Toc114492228 \h </w:instrText>
            </w:r>
            <w:r w:rsidR="002313E0">
              <w:rPr>
                <w:noProof/>
                <w:webHidden/>
              </w:rPr>
            </w:r>
            <w:r w:rsidR="002313E0">
              <w:rPr>
                <w:noProof/>
                <w:webHidden/>
              </w:rPr>
              <w:fldChar w:fldCharType="separate"/>
            </w:r>
            <w:r w:rsidR="002313E0">
              <w:rPr>
                <w:noProof/>
                <w:webHidden/>
              </w:rPr>
              <w:t>13</w:t>
            </w:r>
            <w:r w:rsidR="002313E0">
              <w:rPr>
                <w:noProof/>
                <w:webHidden/>
              </w:rPr>
              <w:fldChar w:fldCharType="end"/>
            </w:r>
          </w:hyperlink>
        </w:p>
        <w:p w14:paraId="23DCA7D8" w14:textId="1B6ED595" w:rsidR="002313E0" w:rsidRDefault="00000000">
          <w:pPr>
            <w:pStyle w:val="TOC2"/>
            <w:rPr>
              <w:rFonts w:asciiTheme="minorHAnsi" w:eastAsiaTheme="minorEastAsia" w:hAnsiTheme="minorHAnsi"/>
              <w:b w:val="0"/>
              <w:smallCaps w:val="0"/>
              <w:noProof/>
              <w:sz w:val="22"/>
              <w:szCs w:val="22"/>
              <w:lang w:eastAsia="en-AU"/>
            </w:rPr>
          </w:pPr>
          <w:hyperlink w:anchor="_Toc114492229" w:history="1">
            <w:r w:rsidR="002313E0" w:rsidRPr="00A53F5D">
              <w:rPr>
                <w:rStyle w:val="Hyperlink"/>
                <w:noProof/>
              </w:rPr>
              <w:t>B.</w:t>
            </w:r>
            <w:r w:rsidR="002313E0">
              <w:rPr>
                <w:rFonts w:asciiTheme="minorHAnsi" w:eastAsiaTheme="minorEastAsia" w:hAnsiTheme="minorHAnsi"/>
                <w:b w:val="0"/>
                <w:smallCaps w:val="0"/>
                <w:noProof/>
                <w:sz w:val="22"/>
                <w:szCs w:val="22"/>
                <w:lang w:eastAsia="en-AU"/>
              </w:rPr>
              <w:tab/>
            </w:r>
            <w:r w:rsidR="002313E0" w:rsidRPr="00A53F5D">
              <w:rPr>
                <w:rStyle w:val="Hyperlink"/>
                <w:noProof/>
              </w:rPr>
              <w:t>No identified program conferred a benefit on the barley industry</w:t>
            </w:r>
            <w:r w:rsidR="002313E0">
              <w:rPr>
                <w:noProof/>
                <w:webHidden/>
              </w:rPr>
              <w:tab/>
            </w:r>
            <w:r w:rsidR="002313E0">
              <w:rPr>
                <w:noProof/>
                <w:webHidden/>
              </w:rPr>
              <w:fldChar w:fldCharType="begin"/>
            </w:r>
            <w:r w:rsidR="002313E0">
              <w:rPr>
                <w:noProof/>
                <w:webHidden/>
              </w:rPr>
              <w:instrText xml:space="preserve"> PAGEREF _Toc114492229 \h </w:instrText>
            </w:r>
            <w:r w:rsidR="002313E0">
              <w:rPr>
                <w:noProof/>
                <w:webHidden/>
              </w:rPr>
            </w:r>
            <w:r w:rsidR="002313E0">
              <w:rPr>
                <w:noProof/>
                <w:webHidden/>
              </w:rPr>
              <w:fldChar w:fldCharType="separate"/>
            </w:r>
            <w:r w:rsidR="002313E0">
              <w:rPr>
                <w:noProof/>
                <w:webHidden/>
              </w:rPr>
              <w:t>14</w:t>
            </w:r>
            <w:r w:rsidR="002313E0">
              <w:rPr>
                <w:noProof/>
                <w:webHidden/>
              </w:rPr>
              <w:fldChar w:fldCharType="end"/>
            </w:r>
          </w:hyperlink>
        </w:p>
        <w:p w14:paraId="631FBE4B" w14:textId="45B7D573" w:rsidR="002313E0" w:rsidRDefault="00000000">
          <w:pPr>
            <w:pStyle w:val="TOC2"/>
            <w:rPr>
              <w:rFonts w:asciiTheme="minorHAnsi" w:eastAsiaTheme="minorEastAsia" w:hAnsiTheme="minorHAnsi"/>
              <w:b w:val="0"/>
              <w:smallCaps w:val="0"/>
              <w:noProof/>
              <w:sz w:val="22"/>
              <w:szCs w:val="22"/>
              <w:lang w:eastAsia="en-AU"/>
            </w:rPr>
          </w:pPr>
          <w:hyperlink w:anchor="_Toc114492230" w:history="1">
            <w:r w:rsidR="002313E0" w:rsidRPr="00A53F5D">
              <w:rPr>
                <w:rStyle w:val="Hyperlink"/>
                <w:rFonts w:cstheme="minorHAnsi"/>
                <w:noProof/>
              </w:rPr>
              <w:t>C.</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No identified program was specific</w:t>
            </w:r>
            <w:r w:rsidR="002313E0">
              <w:rPr>
                <w:noProof/>
                <w:webHidden/>
              </w:rPr>
              <w:tab/>
            </w:r>
            <w:r w:rsidR="002313E0">
              <w:rPr>
                <w:noProof/>
                <w:webHidden/>
              </w:rPr>
              <w:fldChar w:fldCharType="begin"/>
            </w:r>
            <w:r w:rsidR="002313E0">
              <w:rPr>
                <w:noProof/>
                <w:webHidden/>
              </w:rPr>
              <w:instrText xml:space="preserve"> PAGEREF _Toc114492230 \h </w:instrText>
            </w:r>
            <w:r w:rsidR="002313E0">
              <w:rPr>
                <w:noProof/>
                <w:webHidden/>
              </w:rPr>
            </w:r>
            <w:r w:rsidR="002313E0">
              <w:rPr>
                <w:noProof/>
                <w:webHidden/>
              </w:rPr>
              <w:fldChar w:fldCharType="separate"/>
            </w:r>
            <w:r w:rsidR="002313E0">
              <w:rPr>
                <w:noProof/>
                <w:webHidden/>
              </w:rPr>
              <w:t>15</w:t>
            </w:r>
            <w:r w:rsidR="002313E0">
              <w:rPr>
                <w:noProof/>
                <w:webHidden/>
              </w:rPr>
              <w:fldChar w:fldCharType="end"/>
            </w:r>
          </w:hyperlink>
        </w:p>
        <w:p w14:paraId="53D41F42" w14:textId="554A75E4" w:rsidR="002313E0" w:rsidRDefault="00000000">
          <w:pPr>
            <w:pStyle w:val="TOC2"/>
            <w:rPr>
              <w:rFonts w:asciiTheme="minorHAnsi" w:eastAsiaTheme="minorEastAsia" w:hAnsiTheme="minorHAnsi"/>
              <w:b w:val="0"/>
              <w:smallCaps w:val="0"/>
              <w:noProof/>
              <w:sz w:val="22"/>
              <w:szCs w:val="22"/>
              <w:lang w:eastAsia="en-AU"/>
            </w:rPr>
          </w:pPr>
          <w:hyperlink w:anchor="_Toc114492231" w:history="1">
            <w:r w:rsidR="002313E0" w:rsidRPr="00A53F5D">
              <w:rPr>
                <w:rStyle w:val="Hyperlink"/>
                <w:rFonts w:cstheme="minorHAnsi"/>
                <w:noProof/>
              </w:rPr>
              <w:t>D.</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Improper recourse to, and selection of, facts available</w:t>
            </w:r>
            <w:r w:rsidR="002313E0">
              <w:rPr>
                <w:noProof/>
                <w:webHidden/>
              </w:rPr>
              <w:tab/>
            </w:r>
            <w:r w:rsidR="002313E0">
              <w:rPr>
                <w:noProof/>
                <w:webHidden/>
              </w:rPr>
              <w:fldChar w:fldCharType="begin"/>
            </w:r>
            <w:r w:rsidR="002313E0">
              <w:rPr>
                <w:noProof/>
                <w:webHidden/>
              </w:rPr>
              <w:instrText xml:space="preserve"> PAGEREF _Toc114492231 \h </w:instrText>
            </w:r>
            <w:r w:rsidR="002313E0">
              <w:rPr>
                <w:noProof/>
                <w:webHidden/>
              </w:rPr>
            </w:r>
            <w:r w:rsidR="002313E0">
              <w:rPr>
                <w:noProof/>
                <w:webHidden/>
              </w:rPr>
              <w:fldChar w:fldCharType="separate"/>
            </w:r>
            <w:r w:rsidR="002313E0">
              <w:rPr>
                <w:noProof/>
                <w:webHidden/>
              </w:rPr>
              <w:t>15</w:t>
            </w:r>
            <w:r w:rsidR="002313E0">
              <w:rPr>
                <w:noProof/>
                <w:webHidden/>
              </w:rPr>
              <w:fldChar w:fldCharType="end"/>
            </w:r>
          </w:hyperlink>
        </w:p>
        <w:p w14:paraId="0BC002EB" w14:textId="26CC50BE" w:rsidR="002313E0" w:rsidRDefault="00000000">
          <w:pPr>
            <w:pStyle w:val="TOC1"/>
            <w:rPr>
              <w:rFonts w:asciiTheme="minorHAnsi" w:eastAsiaTheme="minorEastAsia" w:hAnsiTheme="minorHAnsi"/>
              <w:b w:val="0"/>
              <w:caps w:val="0"/>
              <w:noProof/>
              <w:sz w:val="22"/>
              <w:szCs w:val="22"/>
              <w:lang w:eastAsia="en-AU"/>
            </w:rPr>
          </w:pPr>
          <w:hyperlink w:anchor="_Toc114492232" w:history="1">
            <w:r w:rsidR="002313E0" w:rsidRPr="00A53F5D">
              <w:rPr>
                <w:rStyle w:val="Hyperlink"/>
                <w:rFonts w:cstheme="minorHAnsi"/>
                <w:noProof/>
              </w:rPr>
              <w:t>VI.</w:t>
            </w:r>
            <w:r w:rsidR="002313E0">
              <w:rPr>
                <w:rFonts w:asciiTheme="minorHAnsi" w:eastAsiaTheme="minorEastAsia" w:hAnsiTheme="minorHAnsi"/>
                <w:b w:val="0"/>
                <w:caps w:val="0"/>
                <w:noProof/>
                <w:sz w:val="22"/>
                <w:szCs w:val="22"/>
                <w:lang w:eastAsia="en-AU"/>
              </w:rPr>
              <w:tab/>
            </w:r>
            <w:r w:rsidR="002313E0" w:rsidRPr="00A53F5D">
              <w:rPr>
                <w:rStyle w:val="Hyperlink"/>
                <w:rFonts w:cstheme="minorHAnsi"/>
                <w:noProof/>
              </w:rPr>
              <w:t>Injury and causation</w:t>
            </w:r>
            <w:r w:rsidR="002313E0">
              <w:rPr>
                <w:noProof/>
                <w:webHidden/>
              </w:rPr>
              <w:tab/>
            </w:r>
            <w:r w:rsidR="002313E0">
              <w:rPr>
                <w:noProof/>
                <w:webHidden/>
              </w:rPr>
              <w:fldChar w:fldCharType="begin"/>
            </w:r>
            <w:r w:rsidR="002313E0">
              <w:rPr>
                <w:noProof/>
                <w:webHidden/>
              </w:rPr>
              <w:instrText xml:space="preserve"> PAGEREF _Toc114492232 \h </w:instrText>
            </w:r>
            <w:r w:rsidR="002313E0">
              <w:rPr>
                <w:noProof/>
                <w:webHidden/>
              </w:rPr>
            </w:r>
            <w:r w:rsidR="002313E0">
              <w:rPr>
                <w:noProof/>
                <w:webHidden/>
              </w:rPr>
              <w:fldChar w:fldCharType="separate"/>
            </w:r>
            <w:r w:rsidR="002313E0">
              <w:rPr>
                <w:noProof/>
                <w:webHidden/>
              </w:rPr>
              <w:t>17</w:t>
            </w:r>
            <w:r w:rsidR="002313E0">
              <w:rPr>
                <w:noProof/>
                <w:webHidden/>
              </w:rPr>
              <w:fldChar w:fldCharType="end"/>
            </w:r>
          </w:hyperlink>
        </w:p>
        <w:p w14:paraId="603C9FFA" w14:textId="1DA8E3E9" w:rsidR="002313E0" w:rsidRDefault="00000000">
          <w:pPr>
            <w:pStyle w:val="TOC2"/>
            <w:rPr>
              <w:rFonts w:asciiTheme="minorHAnsi" w:eastAsiaTheme="minorEastAsia" w:hAnsiTheme="minorHAnsi"/>
              <w:b w:val="0"/>
              <w:smallCaps w:val="0"/>
              <w:noProof/>
              <w:sz w:val="22"/>
              <w:szCs w:val="22"/>
              <w:lang w:eastAsia="en-AU"/>
            </w:rPr>
          </w:pPr>
          <w:hyperlink w:anchor="_Toc114492233" w:history="1">
            <w:r w:rsidR="002313E0" w:rsidRPr="00A53F5D">
              <w:rPr>
                <w:rStyle w:val="Hyperlink"/>
                <w:noProof/>
              </w:rPr>
              <w:t>A.</w:t>
            </w:r>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MOFCOM's flawed analyses of changes in volume of subject imports</w:t>
            </w:r>
            <w:r w:rsidR="002313E0">
              <w:rPr>
                <w:noProof/>
                <w:webHidden/>
              </w:rPr>
              <w:tab/>
            </w:r>
            <w:r w:rsidR="002313E0">
              <w:rPr>
                <w:noProof/>
                <w:webHidden/>
              </w:rPr>
              <w:fldChar w:fldCharType="begin"/>
            </w:r>
            <w:r w:rsidR="002313E0">
              <w:rPr>
                <w:noProof/>
                <w:webHidden/>
              </w:rPr>
              <w:instrText xml:space="preserve"> PAGEREF _Toc114492233 \h </w:instrText>
            </w:r>
            <w:r w:rsidR="002313E0">
              <w:rPr>
                <w:noProof/>
                <w:webHidden/>
              </w:rPr>
            </w:r>
            <w:r w:rsidR="002313E0">
              <w:rPr>
                <w:noProof/>
                <w:webHidden/>
              </w:rPr>
              <w:fldChar w:fldCharType="separate"/>
            </w:r>
            <w:r w:rsidR="002313E0">
              <w:rPr>
                <w:noProof/>
                <w:webHidden/>
              </w:rPr>
              <w:t>17</w:t>
            </w:r>
            <w:r w:rsidR="002313E0">
              <w:rPr>
                <w:noProof/>
                <w:webHidden/>
              </w:rPr>
              <w:fldChar w:fldCharType="end"/>
            </w:r>
          </w:hyperlink>
        </w:p>
        <w:p w14:paraId="10D212EA" w14:textId="559A71A0" w:rsidR="002313E0" w:rsidRDefault="00000000">
          <w:pPr>
            <w:pStyle w:val="TOC2"/>
            <w:rPr>
              <w:rFonts w:asciiTheme="minorHAnsi" w:eastAsiaTheme="minorEastAsia" w:hAnsiTheme="minorHAnsi"/>
              <w:b w:val="0"/>
              <w:smallCaps w:val="0"/>
              <w:noProof/>
              <w:sz w:val="22"/>
              <w:szCs w:val="22"/>
              <w:lang w:eastAsia="en-AU"/>
            </w:rPr>
          </w:pPr>
          <w:hyperlink w:anchor="_Toc114492234" w:history="1">
            <w:r w:rsidR="002313E0" w:rsidRPr="00A53F5D">
              <w:rPr>
                <w:rStyle w:val="Hyperlink"/>
                <w:noProof/>
              </w:rPr>
              <w:t>B.</w:t>
            </w:r>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MOFCOM's flawed price effects analyses</w:t>
            </w:r>
            <w:r w:rsidR="002313E0">
              <w:rPr>
                <w:noProof/>
                <w:webHidden/>
              </w:rPr>
              <w:tab/>
            </w:r>
            <w:r w:rsidR="002313E0">
              <w:rPr>
                <w:noProof/>
                <w:webHidden/>
              </w:rPr>
              <w:fldChar w:fldCharType="begin"/>
            </w:r>
            <w:r w:rsidR="002313E0">
              <w:rPr>
                <w:noProof/>
                <w:webHidden/>
              </w:rPr>
              <w:instrText xml:space="preserve"> PAGEREF _Toc114492234 \h </w:instrText>
            </w:r>
            <w:r w:rsidR="002313E0">
              <w:rPr>
                <w:noProof/>
                <w:webHidden/>
              </w:rPr>
            </w:r>
            <w:r w:rsidR="002313E0">
              <w:rPr>
                <w:noProof/>
                <w:webHidden/>
              </w:rPr>
              <w:fldChar w:fldCharType="separate"/>
            </w:r>
            <w:r w:rsidR="002313E0">
              <w:rPr>
                <w:noProof/>
                <w:webHidden/>
              </w:rPr>
              <w:t>19</w:t>
            </w:r>
            <w:r w:rsidR="002313E0">
              <w:rPr>
                <w:noProof/>
                <w:webHidden/>
              </w:rPr>
              <w:fldChar w:fldCharType="end"/>
            </w:r>
          </w:hyperlink>
        </w:p>
        <w:p w14:paraId="662C4D5C" w14:textId="2D78164A" w:rsidR="002313E0" w:rsidRDefault="00000000">
          <w:pPr>
            <w:pStyle w:val="TOC2"/>
            <w:rPr>
              <w:rFonts w:asciiTheme="minorHAnsi" w:eastAsiaTheme="minorEastAsia" w:hAnsiTheme="minorHAnsi"/>
              <w:b w:val="0"/>
              <w:smallCaps w:val="0"/>
              <w:noProof/>
              <w:sz w:val="22"/>
              <w:szCs w:val="22"/>
              <w:lang w:eastAsia="en-AU"/>
            </w:rPr>
          </w:pPr>
          <w:hyperlink w:anchor="_Toc114492235" w:history="1">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MOFCOM's failure to evaluate all relevant economic factors</w:t>
            </w:r>
            <w:r w:rsidR="002313E0">
              <w:rPr>
                <w:noProof/>
                <w:webHidden/>
              </w:rPr>
              <w:tab/>
            </w:r>
            <w:r w:rsidR="002313E0">
              <w:rPr>
                <w:noProof/>
                <w:webHidden/>
              </w:rPr>
              <w:fldChar w:fldCharType="begin"/>
            </w:r>
            <w:r w:rsidR="002313E0">
              <w:rPr>
                <w:noProof/>
                <w:webHidden/>
              </w:rPr>
              <w:instrText xml:space="preserve"> PAGEREF _Toc114492235 \h </w:instrText>
            </w:r>
            <w:r w:rsidR="002313E0">
              <w:rPr>
                <w:noProof/>
                <w:webHidden/>
              </w:rPr>
            </w:r>
            <w:r w:rsidR="002313E0">
              <w:rPr>
                <w:noProof/>
                <w:webHidden/>
              </w:rPr>
              <w:fldChar w:fldCharType="separate"/>
            </w:r>
            <w:r w:rsidR="002313E0">
              <w:rPr>
                <w:noProof/>
                <w:webHidden/>
              </w:rPr>
              <w:t>21</w:t>
            </w:r>
            <w:r w:rsidR="002313E0">
              <w:rPr>
                <w:noProof/>
                <w:webHidden/>
              </w:rPr>
              <w:fldChar w:fldCharType="end"/>
            </w:r>
          </w:hyperlink>
        </w:p>
        <w:p w14:paraId="4CA09EA8" w14:textId="7B417603" w:rsidR="002313E0" w:rsidRDefault="00000000">
          <w:pPr>
            <w:pStyle w:val="TOC2"/>
            <w:rPr>
              <w:rFonts w:asciiTheme="minorHAnsi" w:eastAsiaTheme="minorEastAsia" w:hAnsiTheme="minorHAnsi"/>
              <w:b w:val="0"/>
              <w:smallCaps w:val="0"/>
              <w:noProof/>
              <w:sz w:val="22"/>
              <w:szCs w:val="22"/>
              <w:lang w:eastAsia="en-AU"/>
            </w:rPr>
          </w:pPr>
          <w:hyperlink w:anchor="_Toc114492236" w:history="1">
            <w:r w:rsidR="002313E0" w:rsidRPr="00A53F5D">
              <w:rPr>
                <w:rStyle w:val="Hyperlink"/>
                <w:noProof/>
              </w:rPr>
              <w:t>D.</w:t>
            </w:r>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MOFCOM's flawed causation analyses</w:t>
            </w:r>
            <w:r w:rsidR="002313E0">
              <w:rPr>
                <w:noProof/>
                <w:webHidden/>
              </w:rPr>
              <w:tab/>
            </w:r>
            <w:r w:rsidR="002313E0">
              <w:rPr>
                <w:noProof/>
                <w:webHidden/>
              </w:rPr>
              <w:fldChar w:fldCharType="begin"/>
            </w:r>
            <w:r w:rsidR="002313E0">
              <w:rPr>
                <w:noProof/>
                <w:webHidden/>
              </w:rPr>
              <w:instrText xml:space="preserve"> PAGEREF _Toc114492236 \h </w:instrText>
            </w:r>
            <w:r w:rsidR="002313E0">
              <w:rPr>
                <w:noProof/>
                <w:webHidden/>
              </w:rPr>
            </w:r>
            <w:r w:rsidR="002313E0">
              <w:rPr>
                <w:noProof/>
                <w:webHidden/>
              </w:rPr>
              <w:fldChar w:fldCharType="separate"/>
            </w:r>
            <w:r w:rsidR="002313E0">
              <w:rPr>
                <w:noProof/>
                <w:webHidden/>
              </w:rPr>
              <w:t>22</w:t>
            </w:r>
            <w:r w:rsidR="002313E0">
              <w:rPr>
                <w:noProof/>
                <w:webHidden/>
              </w:rPr>
              <w:fldChar w:fldCharType="end"/>
            </w:r>
          </w:hyperlink>
        </w:p>
        <w:p w14:paraId="48F383DF" w14:textId="72AF064D" w:rsidR="002313E0" w:rsidRDefault="00000000">
          <w:pPr>
            <w:pStyle w:val="TOC1"/>
            <w:rPr>
              <w:rFonts w:asciiTheme="minorHAnsi" w:eastAsiaTheme="minorEastAsia" w:hAnsiTheme="minorHAnsi"/>
              <w:b w:val="0"/>
              <w:caps w:val="0"/>
              <w:noProof/>
              <w:sz w:val="22"/>
              <w:szCs w:val="22"/>
              <w:lang w:eastAsia="en-AU"/>
            </w:rPr>
          </w:pPr>
          <w:hyperlink w:anchor="_Toc114492237" w:history="1">
            <w:r w:rsidR="002313E0" w:rsidRPr="00A53F5D">
              <w:rPr>
                <w:rStyle w:val="Hyperlink"/>
                <w:rFonts w:cstheme="minorHAnsi"/>
                <w:noProof/>
              </w:rPr>
              <w:t>VII.</w:t>
            </w:r>
            <w:r w:rsidR="002313E0">
              <w:rPr>
                <w:rFonts w:asciiTheme="minorHAnsi" w:eastAsiaTheme="minorEastAsia" w:hAnsiTheme="minorHAnsi"/>
                <w:b w:val="0"/>
                <w:caps w:val="0"/>
                <w:noProof/>
                <w:sz w:val="22"/>
                <w:szCs w:val="22"/>
                <w:lang w:eastAsia="en-AU"/>
              </w:rPr>
              <w:tab/>
            </w:r>
            <w:r w:rsidR="002313E0" w:rsidRPr="00A53F5D">
              <w:rPr>
                <w:rStyle w:val="Hyperlink"/>
                <w:rFonts w:cstheme="minorHAnsi"/>
                <w:noProof/>
              </w:rPr>
              <w:t>Conduct of the investigations</w:t>
            </w:r>
            <w:r w:rsidR="002313E0">
              <w:rPr>
                <w:noProof/>
                <w:webHidden/>
              </w:rPr>
              <w:tab/>
            </w:r>
            <w:r w:rsidR="002313E0">
              <w:rPr>
                <w:noProof/>
                <w:webHidden/>
              </w:rPr>
              <w:fldChar w:fldCharType="begin"/>
            </w:r>
            <w:r w:rsidR="002313E0">
              <w:rPr>
                <w:noProof/>
                <w:webHidden/>
              </w:rPr>
              <w:instrText xml:space="preserve"> PAGEREF _Toc114492237 \h </w:instrText>
            </w:r>
            <w:r w:rsidR="002313E0">
              <w:rPr>
                <w:noProof/>
                <w:webHidden/>
              </w:rPr>
            </w:r>
            <w:r w:rsidR="002313E0">
              <w:rPr>
                <w:noProof/>
                <w:webHidden/>
              </w:rPr>
              <w:fldChar w:fldCharType="separate"/>
            </w:r>
            <w:r w:rsidR="002313E0">
              <w:rPr>
                <w:noProof/>
                <w:webHidden/>
              </w:rPr>
              <w:t>23</w:t>
            </w:r>
            <w:r w:rsidR="002313E0">
              <w:rPr>
                <w:noProof/>
                <w:webHidden/>
              </w:rPr>
              <w:fldChar w:fldCharType="end"/>
            </w:r>
          </w:hyperlink>
        </w:p>
        <w:p w14:paraId="4116F0FB" w14:textId="2381930B" w:rsidR="002313E0" w:rsidRDefault="00000000">
          <w:pPr>
            <w:pStyle w:val="TOC2"/>
            <w:rPr>
              <w:rFonts w:asciiTheme="minorHAnsi" w:eastAsiaTheme="minorEastAsia" w:hAnsiTheme="minorHAnsi"/>
              <w:b w:val="0"/>
              <w:smallCaps w:val="0"/>
              <w:noProof/>
              <w:sz w:val="22"/>
              <w:szCs w:val="22"/>
              <w:lang w:eastAsia="en-AU"/>
            </w:rPr>
          </w:pPr>
          <w:hyperlink w:anchor="_Toc114492238" w:history="1">
            <w:r w:rsidR="002313E0" w:rsidRPr="00A53F5D">
              <w:rPr>
                <w:rStyle w:val="Hyperlink"/>
                <w:rFonts w:cstheme="minorHAnsi"/>
                <w:noProof/>
              </w:rPr>
              <w:t>A.</w:t>
            </w:r>
            <w:r w:rsidR="002313E0">
              <w:rPr>
                <w:rFonts w:asciiTheme="minorHAnsi" w:eastAsiaTheme="minorEastAsia" w:hAnsiTheme="minorHAnsi"/>
                <w:b w:val="0"/>
                <w:smallCaps w:val="0"/>
                <w:noProof/>
                <w:sz w:val="22"/>
                <w:szCs w:val="22"/>
                <w:lang w:eastAsia="en-AU"/>
              </w:rPr>
              <w:tab/>
            </w:r>
            <w:r w:rsidR="002313E0" w:rsidRPr="00A53F5D">
              <w:rPr>
                <w:rStyle w:val="Hyperlink"/>
                <w:rFonts w:cstheme="minorHAnsi"/>
                <w:noProof/>
              </w:rPr>
              <w:t>MOFCOM failed to provide interested parties with ample opportunities to present evidence that they considered relevant</w:t>
            </w:r>
            <w:r w:rsidR="002313E0">
              <w:rPr>
                <w:noProof/>
                <w:webHidden/>
              </w:rPr>
              <w:tab/>
            </w:r>
            <w:r w:rsidR="002313E0">
              <w:rPr>
                <w:noProof/>
                <w:webHidden/>
              </w:rPr>
              <w:fldChar w:fldCharType="begin"/>
            </w:r>
            <w:r w:rsidR="002313E0">
              <w:rPr>
                <w:noProof/>
                <w:webHidden/>
              </w:rPr>
              <w:instrText xml:space="preserve"> PAGEREF _Toc114492238 \h </w:instrText>
            </w:r>
            <w:r w:rsidR="002313E0">
              <w:rPr>
                <w:noProof/>
                <w:webHidden/>
              </w:rPr>
            </w:r>
            <w:r w:rsidR="002313E0">
              <w:rPr>
                <w:noProof/>
                <w:webHidden/>
              </w:rPr>
              <w:fldChar w:fldCharType="separate"/>
            </w:r>
            <w:r w:rsidR="002313E0">
              <w:rPr>
                <w:noProof/>
                <w:webHidden/>
              </w:rPr>
              <w:t>23</w:t>
            </w:r>
            <w:r w:rsidR="002313E0">
              <w:rPr>
                <w:noProof/>
                <w:webHidden/>
              </w:rPr>
              <w:fldChar w:fldCharType="end"/>
            </w:r>
          </w:hyperlink>
        </w:p>
        <w:p w14:paraId="2827A766" w14:textId="5F3C6248" w:rsidR="002313E0" w:rsidRDefault="00000000">
          <w:pPr>
            <w:pStyle w:val="TOC2"/>
            <w:rPr>
              <w:rFonts w:asciiTheme="minorHAnsi" w:eastAsiaTheme="minorEastAsia" w:hAnsiTheme="minorHAnsi"/>
              <w:b w:val="0"/>
              <w:smallCaps w:val="0"/>
              <w:noProof/>
              <w:sz w:val="22"/>
              <w:szCs w:val="22"/>
              <w:lang w:eastAsia="en-AU"/>
            </w:rPr>
          </w:pPr>
          <w:hyperlink w:anchor="_Toc114492239" w:history="1">
            <w:r w:rsidR="002313E0" w:rsidRPr="00A53F5D">
              <w:rPr>
                <w:rStyle w:val="Hyperlink"/>
                <w:rFonts w:cstheme="minorHAnsi"/>
                <w:noProof/>
              </w:rPr>
              <w:t>B.</w:t>
            </w:r>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 failed to provide opportunities to see all information</w:t>
            </w:r>
            <w:r w:rsidR="002313E0">
              <w:rPr>
                <w:noProof/>
                <w:webHidden/>
              </w:rPr>
              <w:tab/>
            </w:r>
            <w:r w:rsidR="002313E0">
              <w:rPr>
                <w:noProof/>
                <w:webHidden/>
              </w:rPr>
              <w:fldChar w:fldCharType="begin"/>
            </w:r>
            <w:r w:rsidR="002313E0">
              <w:rPr>
                <w:noProof/>
                <w:webHidden/>
              </w:rPr>
              <w:instrText xml:space="preserve"> PAGEREF _Toc114492239 \h </w:instrText>
            </w:r>
            <w:r w:rsidR="002313E0">
              <w:rPr>
                <w:noProof/>
                <w:webHidden/>
              </w:rPr>
            </w:r>
            <w:r w:rsidR="002313E0">
              <w:rPr>
                <w:noProof/>
                <w:webHidden/>
              </w:rPr>
              <w:fldChar w:fldCharType="separate"/>
            </w:r>
            <w:r w:rsidR="002313E0">
              <w:rPr>
                <w:noProof/>
                <w:webHidden/>
              </w:rPr>
              <w:t>25</w:t>
            </w:r>
            <w:r w:rsidR="002313E0">
              <w:rPr>
                <w:noProof/>
                <w:webHidden/>
              </w:rPr>
              <w:fldChar w:fldCharType="end"/>
            </w:r>
          </w:hyperlink>
        </w:p>
        <w:p w14:paraId="144DC235" w14:textId="2798E6D7" w:rsidR="002313E0" w:rsidRDefault="00000000">
          <w:pPr>
            <w:pStyle w:val="TOC2"/>
            <w:rPr>
              <w:rFonts w:asciiTheme="minorHAnsi" w:eastAsiaTheme="minorEastAsia" w:hAnsiTheme="minorHAnsi"/>
              <w:b w:val="0"/>
              <w:smallCaps w:val="0"/>
              <w:noProof/>
              <w:sz w:val="22"/>
              <w:szCs w:val="22"/>
              <w:lang w:eastAsia="en-AU"/>
            </w:rPr>
          </w:pPr>
          <w:hyperlink w:anchor="_Toc114492240" w:history="1">
            <w:r w:rsidR="002313E0" w:rsidRPr="00A53F5D">
              <w:rPr>
                <w:rStyle w:val="Hyperlink"/>
                <w:rFonts w:cstheme="minorHAnsi"/>
                <w:noProof/>
              </w:rPr>
              <w:t>C.</w:t>
            </w:r>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 failed to require that interested parties furnish non</w:t>
            </w:r>
            <w:r w:rsidR="002313E0" w:rsidRPr="00A53F5D">
              <w:rPr>
                <w:rStyle w:val="Hyperlink"/>
                <w:noProof/>
              </w:rPr>
              <w:noBreakHyphen/>
              <w:t>confidential summaries</w:t>
            </w:r>
            <w:r w:rsidR="002313E0">
              <w:rPr>
                <w:noProof/>
                <w:webHidden/>
              </w:rPr>
              <w:tab/>
            </w:r>
            <w:r w:rsidR="002313E0">
              <w:rPr>
                <w:noProof/>
                <w:webHidden/>
              </w:rPr>
              <w:fldChar w:fldCharType="begin"/>
            </w:r>
            <w:r w:rsidR="002313E0">
              <w:rPr>
                <w:noProof/>
                <w:webHidden/>
              </w:rPr>
              <w:instrText xml:space="preserve"> PAGEREF _Toc114492240 \h </w:instrText>
            </w:r>
            <w:r w:rsidR="002313E0">
              <w:rPr>
                <w:noProof/>
                <w:webHidden/>
              </w:rPr>
            </w:r>
            <w:r w:rsidR="002313E0">
              <w:rPr>
                <w:noProof/>
                <w:webHidden/>
              </w:rPr>
              <w:fldChar w:fldCharType="separate"/>
            </w:r>
            <w:r w:rsidR="002313E0">
              <w:rPr>
                <w:noProof/>
                <w:webHidden/>
              </w:rPr>
              <w:t>25</w:t>
            </w:r>
            <w:r w:rsidR="002313E0">
              <w:rPr>
                <w:noProof/>
                <w:webHidden/>
              </w:rPr>
              <w:fldChar w:fldCharType="end"/>
            </w:r>
          </w:hyperlink>
        </w:p>
        <w:p w14:paraId="0620300B" w14:textId="6155AAF5" w:rsidR="002313E0" w:rsidRDefault="00000000">
          <w:pPr>
            <w:pStyle w:val="TOC2"/>
            <w:rPr>
              <w:rFonts w:asciiTheme="minorHAnsi" w:eastAsiaTheme="minorEastAsia" w:hAnsiTheme="minorHAnsi"/>
              <w:b w:val="0"/>
              <w:smallCaps w:val="0"/>
              <w:noProof/>
              <w:sz w:val="22"/>
              <w:szCs w:val="22"/>
              <w:lang w:eastAsia="en-AU"/>
            </w:rPr>
          </w:pPr>
          <w:hyperlink w:anchor="_Toc114492241" w:history="1">
            <w:r w:rsidR="002313E0" w:rsidRPr="00A53F5D">
              <w:rPr>
                <w:rStyle w:val="Hyperlink"/>
                <w:noProof/>
              </w:rPr>
              <w:t>D.</w:t>
            </w:r>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 failed to satisfy itself as to the accuracy of the information</w:t>
            </w:r>
            <w:r w:rsidR="002313E0">
              <w:rPr>
                <w:noProof/>
                <w:webHidden/>
              </w:rPr>
              <w:tab/>
            </w:r>
            <w:r w:rsidR="002313E0">
              <w:rPr>
                <w:noProof/>
                <w:webHidden/>
              </w:rPr>
              <w:fldChar w:fldCharType="begin"/>
            </w:r>
            <w:r w:rsidR="002313E0">
              <w:rPr>
                <w:noProof/>
                <w:webHidden/>
              </w:rPr>
              <w:instrText xml:space="preserve"> PAGEREF _Toc114492241 \h </w:instrText>
            </w:r>
            <w:r w:rsidR="002313E0">
              <w:rPr>
                <w:noProof/>
                <w:webHidden/>
              </w:rPr>
            </w:r>
            <w:r w:rsidR="002313E0">
              <w:rPr>
                <w:noProof/>
                <w:webHidden/>
              </w:rPr>
              <w:fldChar w:fldCharType="separate"/>
            </w:r>
            <w:r w:rsidR="002313E0">
              <w:rPr>
                <w:noProof/>
                <w:webHidden/>
              </w:rPr>
              <w:t>26</w:t>
            </w:r>
            <w:r w:rsidR="002313E0">
              <w:rPr>
                <w:noProof/>
                <w:webHidden/>
              </w:rPr>
              <w:fldChar w:fldCharType="end"/>
            </w:r>
          </w:hyperlink>
        </w:p>
        <w:p w14:paraId="1BDFBFBC" w14:textId="2FECF21D" w:rsidR="002313E0" w:rsidRDefault="00000000">
          <w:pPr>
            <w:pStyle w:val="TOC2"/>
            <w:rPr>
              <w:rFonts w:asciiTheme="minorHAnsi" w:eastAsiaTheme="minorEastAsia" w:hAnsiTheme="minorHAnsi"/>
              <w:b w:val="0"/>
              <w:smallCaps w:val="0"/>
              <w:noProof/>
              <w:sz w:val="22"/>
              <w:szCs w:val="22"/>
              <w:lang w:eastAsia="en-AU"/>
            </w:rPr>
          </w:pPr>
          <w:hyperlink w:anchor="_Toc114492242" w:history="1">
            <w:r w:rsidR="002313E0" w:rsidRPr="00A53F5D">
              <w:rPr>
                <w:rStyle w:val="Hyperlink"/>
                <w:noProof/>
              </w:rPr>
              <w:t>E.</w:t>
            </w:r>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 failed to disclose essential facts</w:t>
            </w:r>
            <w:r w:rsidR="002313E0">
              <w:rPr>
                <w:noProof/>
                <w:webHidden/>
              </w:rPr>
              <w:tab/>
            </w:r>
            <w:r w:rsidR="002313E0">
              <w:rPr>
                <w:noProof/>
                <w:webHidden/>
              </w:rPr>
              <w:fldChar w:fldCharType="begin"/>
            </w:r>
            <w:r w:rsidR="002313E0">
              <w:rPr>
                <w:noProof/>
                <w:webHidden/>
              </w:rPr>
              <w:instrText xml:space="preserve"> PAGEREF _Toc114492242 \h </w:instrText>
            </w:r>
            <w:r w:rsidR="002313E0">
              <w:rPr>
                <w:noProof/>
                <w:webHidden/>
              </w:rPr>
            </w:r>
            <w:r w:rsidR="002313E0">
              <w:rPr>
                <w:noProof/>
                <w:webHidden/>
              </w:rPr>
              <w:fldChar w:fldCharType="separate"/>
            </w:r>
            <w:r w:rsidR="002313E0">
              <w:rPr>
                <w:noProof/>
                <w:webHidden/>
              </w:rPr>
              <w:t>26</w:t>
            </w:r>
            <w:r w:rsidR="002313E0">
              <w:rPr>
                <w:noProof/>
                <w:webHidden/>
              </w:rPr>
              <w:fldChar w:fldCharType="end"/>
            </w:r>
          </w:hyperlink>
        </w:p>
        <w:p w14:paraId="71CB4970" w14:textId="6863C7A3" w:rsidR="002313E0" w:rsidRDefault="00000000">
          <w:pPr>
            <w:pStyle w:val="TOC2"/>
            <w:rPr>
              <w:rFonts w:asciiTheme="minorHAnsi" w:eastAsiaTheme="minorEastAsia" w:hAnsiTheme="minorHAnsi"/>
              <w:b w:val="0"/>
              <w:smallCaps w:val="0"/>
              <w:noProof/>
              <w:sz w:val="22"/>
              <w:szCs w:val="22"/>
              <w:lang w:eastAsia="en-AU"/>
            </w:rPr>
          </w:pPr>
          <w:hyperlink w:anchor="_Toc114492243" w:history="1">
            <w:r w:rsidR="002313E0" w:rsidRPr="00A53F5D">
              <w:rPr>
                <w:rStyle w:val="Hyperlink"/>
                <w:noProof/>
              </w:rPr>
              <w:t>F.</w:t>
            </w:r>
            <w:r w:rsidR="002313E0">
              <w:rPr>
                <w:rFonts w:asciiTheme="minorHAnsi" w:eastAsiaTheme="minorEastAsia" w:hAnsiTheme="minorHAnsi"/>
                <w:b w:val="0"/>
                <w:smallCaps w:val="0"/>
                <w:noProof/>
                <w:sz w:val="22"/>
                <w:szCs w:val="22"/>
                <w:lang w:eastAsia="en-AU"/>
              </w:rPr>
              <w:tab/>
            </w:r>
            <w:r w:rsidR="002313E0" w:rsidRPr="00A53F5D">
              <w:rPr>
                <w:rStyle w:val="Hyperlink"/>
                <w:noProof/>
              </w:rPr>
              <w:t>MOFCOM's public notices failed to contain all relevant information</w:t>
            </w:r>
            <w:r w:rsidR="002313E0">
              <w:rPr>
                <w:noProof/>
                <w:webHidden/>
              </w:rPr>
              <w:tab/>
            </w:r>
            <w:r w:rsidR="002313E0">
              <w:rPr>
                <w:noProof/>
                <w:webHidden/>
              </w:rPr>
              <w:fldChar w:fldCharType="begin"/>
            </w:r>
            <w:r w:rsidR="002313E0">
              <w:rPr>
                <w:noProof/>
                <w:webHidden/>
              </w:rPr>
              <w:instrText xml:space="preserve"> PAGEREF _Toc114492243 \h </w:instrText>
            </w:r>
            <w:r w:rsidR="002313E0">
              <w:rPr>
                <w:noProof/>
                <w:webHidden/>
              </w:rPr>
            </w:r>
            <w:r w:rsidR="002313E0">
              <w:rPr>
                <w:noProof/>
                <w:webHidden/>
              </w:rPr>
              <w:fldChar w:fldCharType="separate"/>
            </w:r>
            <w:r w:rsidR="002313E0">
              <w:rPr>
                <w:noProof/>
                <w:webHidden/>
              </w:rPr>
              <w:t>27</w:t>
            </w:r>
            <w:r w:rsidR="002313E0">
              <w:rPr>
                <w:noProof/>
                <w:webHidden/>
              </w:rPr>
              <w:fldChar w:fldCharType="end"/>
            </w:r>
          </w:hyperlink>
        </w:p>
        <w:p w14:paraId="1ECD4C18" w14:textId="6C78B974" w:rsidR="002313E0" w:rsidRDefault="00000000">
          <w:pPr>
            <w:pStyle w:val="TOC1"/>
            <w:rPr>
              <w:rFonts w:asciiTheme="minorHAnsi" w:eastAsiaTheme="minorEastAsia" w:hAnsiTheme="minorHAnsi"/>
              <w:b w:val="0"/>
              <w:caps w:val="0"/>
              <w:noProof/>
              <w:sz w:val="22"/>
              <w:szCs w:val="22"/>
              <w:lang w:eastAsia="en-AU"/>
            </w:rPr>
          </w:pPr>
          <w:hyperlink w:anchor="_Toc114492244" w:history="1">
            <w:r w:rsidR="002313E0" w:rsidRPr="00A53F5D">
              <w:rPr>
                <w:rStyle w:val="Hyperlink"/>
                <w:noProof/>
              </w:rPr>
              <w:t>VIII.</w:t>
            </w:r>
            <w:r w:rsidR="002313E0">
              <w:rPr>
                <w:rFonts w:asciiTheme="minorHAnsi" w:eastAsiaTheme="minorEastAsia" w:hAnsiTheme="minorHAnsi"/>
                <w:b w:val="0"/>
                <w:caps w:val="0"/>
                <w:noProof/>
                <w:sz w:val="22"/>
                <w:szCs w:val="22"/>
                <w:lang w:eastAsia="en-AU"/>
              </w:rPr>
              <w:tab/>
            </w:r>
            <w:r w:rsidR="002313E0" w:rsidRPr="00A53F5D">
              <w:rPr>
                <w:rStyle w:val="Hyperlink"/>
                <w:noProof/>
              </w:rPr>
              <w:t>Duty imposition</w:t>
            </w:r>
            <w:r w:rsidR="002313E0">
              <w:rPr>
                <w:noProof/>
                <w:webHidden/>
              </w:rPr>
              <w:tab/>
            </w:r>
            <w:r w:rsidR="002313E0">
              <w:rPr>
                <w:noProof/>
                <w:webHidden/>
              </w:rPr>
              <w:fldChar w:fldCharType="begin"/>
            </w:r>
            <w:r w:rsidR="002313E0">
              <w:rPr>
                <w:noProof/>
                <w:webHidden/>
              </w:rPr>
              <w:instrText xml:space="preserve"> PAGEREF _Toc114492244 \h </w:instrText>
            </w:r>
            <w:r w:rsidR="002313E0">
              <w:rPr>
                <w:noProof/>
                <w:webHidden/>
              </w:rPr>
            </w:r>
            <w:r w:rsidR="002313E0">
              <w:rPr>
                <w:noProof/>
                <w:webHidden/>
              </w:rPr>
              <w:fldChar w:fldCharType="separate"/>
            </w:r>
            <w:r w:rsidR="002313E0">
              <w:rPr>
                <w:noProof/>
                <w:webHidden/>
              </w:rPr>
              <w:t>27</w:t>
            </w:r>
            <w:r w:rsidR="002313E0">
              <w:rPr>
                <w:noProof/>
                <w:webHidden/>
              </w:rPr>
              <w:fldChar w:fldCharType="end"/>
            </w:r>
          </w:hyperlink>
        </w:p>
        <w:p w14:paraId="44ECF8AE" w14:textId="09B881C2" w:rsidR="002313E0" w:rsidRDefault="00000000">
          <w:pPr>
            <w:pStyle w:val="TOC1"/>
            <w:rPr>
              <w:rFonts w:asciiTheme="minorHAnsi" w:eastAsiaTheme="minorEastAsia" w:hAnsiTheme="minorHAnsi"/>
              <w:b w:val="0"/>
              <w:caps w:val="0"/>
              <w:noProof/>
              <w:sz w:val="22"/>
              <w:szCs w:val="22"/>
              <w:lang w:eastAsia="en-AU"/>
            </w:rPr>
          </w:pPr>
          <w:hyperlink w:anchor="_Toc114492245" w:history="1">
            <w:r w:rsidR="002313E0" w:rsidRPr="00A53F5D">
              <w:rPr>
                <w:rStyle w:val="Hyperlink"/>
                <w:noProof/>
              </w:rPr>
              <w:t>IX.</w:t>
            </w:r>
            <w:r w:rsidR="002313E0">
              <w:rPr>
                <w:rFonts w:asciiTheme="minorHAnsi" w:eastAsiaTheme="minorEastAsia" w:hAnsiTheme="minorHAnsi"/>
                <w:b w:val="0"/>
                <w:caps w:val="0"/>
                <w:noProof/>
                <w:sz w:val="22"/>
                <w:szCs w:val="22"/>
                <w:lang w:eastAsia="en-AU"/>
              </w:rPr>
              <w:tab/>
            </w:r>
            <w:r w:rsidR="002313E0" w:rsidRPr="00A53F5D">
              <w:rPr>
                <w:rStyle w:val="Hyperlink"/>
                <w:noProof/>
              </w:rPr>
              <w:t>Conclusion</w:t>
            </w:r>
            <w:r w:rsidR="002313E0">
              <w:rPr>
                <w:noProof/>
                <w:webHidden/>
              </w:rPr>
              <w:tab/>
            </w:r>
            <w:r w:rsidR="002313E0">
              <w:rPr>
                <w:noProof/>
                <w:webHidden/>
              </w:rPr>
              <w:fldChar w:fldCharType="begin"/>
            </w:r>
            <w:r w:rsidR="002313E0">
              <w:rPr>
                <w:noProof/>
                <w:webHidden/>
              </w:rPr>
              <w:instrText xml:space="preserve"> PAGEREF _Toc114492245 \h </w:instrText>
            </w:r>
            <w:r w:rsidR="002313E0">
              <w:rPr>
                <w:noProof/>
                <w:webHidden/>
              </w:rPr>
            </w:r>
            <w:r w:rsidR="002313E0">
              <w:rPr>
                <w:noProof/>
                <w:webHidden/>
              </w:rPr>
              <w:fldChar w:fldCharType="separate"/>
            </w:r>
            <w:r w:rsidR="002313E0">
              <w:rPr>
                <w:noProof/>
                <w:webHidden/>
              </w:rPr>
              <w:t>28</w:t>
            </w:r>
            <w:r w:rsidR="002313E0">
              <w:rPr>
                <w:noProof/>
                <w:webHidden/>
              </w:rPr>
              <w:fldChar w:fldCharType="end"/>
            </w:r>
          </w:hyperlink>
        </w:p>
        <w:p w14:paraId="71426C44" w14:textId="520CFB62" w:rsidR="00D47F18" w:rsidRPr="003E3375" w:rsidRDefault="00F945DB" w:rsidP="00E72E98">
          <w:pPr>
            <w:pStyle w:val="BTNSSBodyTextNoSpacingSmall"/>
            <w:spacing w:line="276" w:lineRule="auto"/>
            <w:rPr>
              <w:rFonts w:asciiTheme="minorHAnsi" w:hAnsiTheme="minorHAnsi" w:cstheme="minorHAnsi"/>
              <w:color w:val="000000" w:themeColor="text1"/>
            </w:rPr>
          </w:pPr>
          <w:r w:rsidRPr="003E3375">
            <w:rPr>
              <w:rFonts w:asciiTheme="minorHAnsi" w:eastAsiaTheme="majorEastAsia" w:hAnsiTheme="minorHAnsi" w:cstheme="minorHAnsi"/>
              <w:color w:val="000000" w:themeColor="text1"/>
              <w:sz w:val="24"/>
              <w:szCs w:val="32"/>
            </w:rPr>
            <w:fldChar w:fldCharType="end"/>
          </w:r>
        </w:p>
      </w:sdtContent>
    </w:sdt>
    <w:p w14:paraId="1C406125" w14:textId="77777777" w:rsidR="004D7079" w:rsidRPr="003E3375" w:rsidRDefault="004D7079" w:rsidP="00E72E98">
      <w:pPr>
        <w:pStyle w:val="BTNSSBodyTextNoSpacingSmall"/>
        <w:spacing w:line="276" w:lineRule="auto"/>
        <w:rPr>
          <w:rFonts w:asciiTheme="minorHAnsi" w:hAnsiTheme="minorHAnsi" w:cstheme="minorHAnsi"/>
          <w:color w:val="000000" w:themeColor="text1"/>
        </w:rPr>
      </w:pPr>
    </w:p>
    <w:p w14:paraId="63B8DB51" w14:textId="0C3AF064" w:rsidR="004D7079" w:rsidRPr="003E3375" w:rsidRDefault="004D7079" w:rsidP="00E72E98">
      <w:pPr>
        <w:pStyle w:val="BTNSSBodyTextNoSpacingSmall"/>
        <w:spacing w:line="276" w:lineRule="auto"/>
        <w:rPr>
          <w:rFonts w:asciiTheme="minorHAnsi" w:hAnsiTheme="minorHAnsi" w:cstheme="minorHAnsi"/>
          <w:color w:val="000000" w:themeColor="text1"/>
        </w:rPr>
      </w:pPr>
    </w:p>
    <w:p w14:paraId="625F7679" w14:textId="7681A142" w:rsidR="00CB4C1D" w:rsidRPr="003E3375" w:rsidRDefault="00CB4C1D" w:rsidP="00E72E98">
      <w:pPr>
        <w:pStyle w:val="SHSectionHeading"/>
        <w:spacing w:line="276" w:lineRule="auto"/>
        <w:rPr>
          <w:rFonts w:asciiTheme="minorHAnsi" w:hAnsiTheme="minorHAnsi" w:cstheme="minorHAnsi"/>
          <w:color w:val="000000" w:themeColor="text1"/>
        </w:rPr>
      </w:pPr>
      <w:bookmarkStart w:id="0" w:name="_Toc114492214"/>
      <w:r w:rsidRPr="003E3375">
        <w:rPr>
          <w:rFonts w:asciiTheme="minorHAnsi" w:hAnsiTheme="minorHAnsi" w:cstheme="minorHAnsi"/>
          <w:color w:val="000000" w:themeColor="text1"/>
        </w:rPr>
        <w:t>Table of Cases</w:t>
      </w:r>
      <w:bookmarkEnd w:id="0"/>
    </w:p>
    <w:tbl>
      <w:tblPr>
        <w:tblStyle w:val="TableGrid"/>
        <w:tblW w:w="4976" w:type="pct"/>
        <w:tblLook w:val="04A0" w:firstRow="1" w:lastRow="0" w:firstColumn="1" w:lastColumn="0" w:noHBand="0" w:noVBand="1"/>
      </w:tblPr>
      <w:tblGrid>
        <w:gridCol w:w="2826"/>
        <w:gridCol w:w="6191"/>
      </w:tblGrid>
      <w:tr w:rsidR="00B747DB" w:rsidRPr="00B747DB" w14:paraId="75299EBF" w14:textId="77777777" w:rsidTr="001265FB">
        <w:trPr>
          <w:trHeight w:val="397"/>
          <w:tblHeader/>
        </w:trPr>
        <w:tc>
          <w:tcPr>
            <w:tcW w:w="2826" w:type="dxa"/>
            <w:hideMark/>
          </w:tcPr>
          <w:p w14:paraId="501AF439" w14:textId="77777777" w:rsidR="00B747DB" w:rsidRPr="003E3375" w:rsidRDefault="00B747DB" w:rsidP="00651197">
            <w:pPr>
              <w:pStyle w:val="THTableHeading"/>
              <w:spacing w:line="276" w:lineRule="auto"/>
              <w:jc w:val="center"/>
              <w:rPr>
                <w:rFonts w:asciiTheme="minorHAnsi" w:hAnsiTheme="minorHAnsi" w:cstheme="minorHAnsi"/>
                <w:color w:val="000000" w:themeColor="text1"/>
              </w:rPr>
            </w:pPr>
            <w:r w:rsidRPr="003E3375">
              <w:rPr>
                <w:rFonts w:asciiTheme="minorHAnsi" w:hAnsiTheme="minorHAnsi" w:cstheme="minorHAnsi"/>
                <w:color w:val="000000" w:themeColor="text1"/>
              </w:rPr>
              <w:t>Short Title</w:t>
            </w:r>
          </w:p>
        </w:tc>
        <w:tc>
          <w:tcPr>
            <w:tcW w:w="6191" w:type="dxa"/>
            <w:hideMark/>
          </w:tcPr>
          <w:p w14:paraId="351802A1" w14:textId="77777777" w:rsidR="00B747DB" w:rsidRPr="003E3375" w:rsidRDefault="00B747DB" w:rsidP="00651197">
            <w:pPr>
              <w:pStyle w:val="THTableHeading"/>
              <w:spacing w:line="276" w:lineRule="auto"/>
              <w:jc w:val="center"/>
              <w:rPr>
                <w:rFonts w:asciiTheme="minorHAnsi" w:hAnsiTheme="minorHAnsi" w:cstheme="minorHAnsi"/>
                <w:color w:val="000000" w:themeColor="text1"/>
              </w:rPr>
            </w:pPr>
            <w:r w:rsidRPr="003E3375">
              <w:rPr>
                <w:rFonts w:asciiTheme="minorHAnsi" w:hAnsiTheme="minorHAnsi" w:cstheme="minorHAnsi"/>
                <w:color w:val="000000" w:themeColor="text1"/>
              </w:rPr>
              <w:t>Full Case Title and Citation</w:t>
            </w:r>
          </w:p>
        </w:tc>
      </w:tr>
      <w:tr w:rsidR="00B747DB" w:rsidRPr="00B747DB" w14:paraId="1046E697" w14:textId="77777777" w:rsidTr="00B747DB">
        <w:trPr>
          <w:trHeight w:val="397"/>
        </w:trPr>
        <w:tc>
          <w:tcPr>
            <w:tcW w:w="2826" w:type="dxa"/>
            <w:hideMark/>
          </w:tcPr>
          <w:p w14:paraId="58BBF16F" w14:textId="77777777" w:rsidR="00B747DB" w:rsidRPr="003E3375" w:rsidRDefault="00B747DB" w:rsidP="00651197">
            <w:pPr>
              <w:spacing w:line="276" w:lineRule="auto"/>
              <w:jc w:val="left"/>
              <w:rPr>
                <w:rFonts w:asciiTheme="minorHAnsi" w:hAnsiTheme="minorHAnsi" w:cstheme="minorHAnsi"/>
                <w:i/>
                <w:iCs/>
                <w:color w:val="000000" w:themeColor="text1"/>
              </w:rPr>
            </w:pPr>
            <w:bookmarkStart w:id="1" w:name="_Hlk114491299"/>
            <w:r w:rsidRPr="003E3375">
              <w:rPr>
                <w:rFonts w:asciiTheme="minorHAnsi" w:hAnsiTheme="minorHAnsi" w:cstheme="minorHAnsi"/>
                <w:i/>
                <w:iCs/>
                <w:color w:val="000000" w:themeColor="text1"/>
              </w:rPr>
              <w:t>Canada – Welded Pipe</w:t>
            </w:r>
          </w:p>
        </w:tc>
        <w:tc>
          <w:tcPr>
            <w:tcW w:w="6191" w:type="dxa"/>
            <w:hideMark/>
          </w:tcPr>
          <w:p w14:paraId="3D2A0677"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iCs/>
                <w:color w:val="000000" w:themeColor="text1"/>
                <w:lang w:val="en-GB"/>
              </w:rPr>
              <w:t xml:space="preserve">Canada – Anti-Dumping Measures on Imports of Certain Carbon Steel Welded Pipe from the Separate Customs Territory of Taiwan, Penghu, Kinmen and Matsu, </w:t>
            </w:r>
            <w:r w:rsidRPr="003E3375">
              <w:rPr>
                <w:rFonts w:asciiTheme="minorHAnsi" w:hAnsiTheme="minorHAnsi" w:cstheme="minorHAnsi"/>
                <w:color w:val="000000" w:themeColor="text1"/>
                <w:u w:val="single"/>
                <w:lang w:val="en-GB"/>
              </w:rPr>
              <w:t>WT/DS482/R</w:t>
            </w:r>
            <w:r w:rsidRPr="003E3375">
              <w:rPr>
                <w:rFonts w:asciiTheme="minorHAnsi" w:hAnsiTheme="minorHAnsi" w:cstheme="minorHAnsi"/>
                <w:color w:val="000000" w:themeColor="text1"/>
                <w:lang w:val="en-GB"/>
              </w:rPr>
              <w:t xml:space="preserve"> and Add.1, adopted 25 January 2017, DSR 2017:I, p. 7</w:t>
            </w:r>
          </w:p>
        </w:tc>
      </w:tr>
      <w:tr w:rsidR="00B747DB" w:rsidRPr="00B747DB" w14:paraId="34F766B4" w14:textId="77777777" w:rsidTr="00B747DB">
        <w:trPr>
          <w:trHeight w:val="397"/>
        </w:trPr>
        <w:tc>
          <w:tcPr>
            <w:tcW w:w="2826" w:type="dxa"/>
            <w:hideMark/>
          </w:tcPr>
          <w:p w14:paraId="0B08DCCA" w14:textId="77777777" w:rsidR="00B747DB" w:rsidRPr="003E3375" w:rsidRDefault="00B747DB" w:rsidP="00651197">
            <w:pPr>
              <w:spacing w:line="276" w:lineRule="auto"/>
              <w:jc w:val="left"/>
              <w:rPr>
                <w:rFonts w:asciiTheme="minorHAnsi" w:hAnsiTheme="minorHAnsi" w:cstheme="minorHAnsi"/>
                <w:i/>
                <w:iCs/>
                <w:color w:val="000000" w:themeColor="text1"/>
              </w:rPr>
            </w:pPr>
            <w:r w:rsidRPr="003E3375">
              <w:rPr>
                <w:rFonts w:asciiTheme="minorHAnsi" w:hAnsiTheme="minorHAnsi" w:cstheme="minorHAnsi"/>
                <w:i/>
                <w:iCs/>
                <w:color w:val="000000" w:themeColor="text1"/>
              </w:rPr>
              <w:t xml:space="preserve">Canada – Aircraft </w:t>
            </w:r>
          </w:p>
        </w:tc>
        <w:tc>
          <w:tcPr>
            <w:tcW w:w="6191" w:type="dxa"/>
            <w:hideMark/>
          </w:tcPr>
          <w:p w14:paraId="6E0AF21E"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Appellate Body Report, </w:t>
            </w:r>
            <w:r w:rsidRPr="003E3375">
              <w:rPr>
                <w:rFonts w:asciiTheme="minorHAnsi" w:hAnsiTheme="minorHAnsi" w:cstheme="minorHAnsi"/>
                <w:i/>
                <w:iCs/>
                <w:color w:val="000000" w:themeColor="text1"/>
                <w:lang w:val="en-GB"/>
              </w:rPr>
              <w:t>Canada – Measures Affecting the Export of Civilian Aircraft,</w:t>
            </w:r>
            <w:r w:rsidRPr="003E3375">
              <w:rPr>
                <w:rFonts w:asciiTheme="minorHAnsi" w:hAnsiTheme="minorHAnsi" w:cstheme="minorHAnsi"/>
                <w:color w:val="000000" w:themeColor="text1"/>
                <w:lang w:val="en-GB"/>
              </w:rPr>
              <w:t xml:space="preserve"> </w:t>
            </w:r>
            <w:r w:rsidRPr="003E3375">
              <w:rPr>
                <w:rFonts w:asciiTheme="minorHAnsi" w:hAnsiTheme="minorHAnsi" w:cstheme="minorHAnsi"/>
                <w:color w:val="000000" w:themeColor="text1"/>
                <w:u w:val="single"/>
                <w:lang w:val="en-GB"/>
              </w:rPr>
              <w:t>WT/DS70/AB/R</w:t>
            </w:r>
            <w:r w:rsidRPr="003E3375">
              <w:rPr>
                <w:rFonts w:asciiTheme="minorHAnsi" w:hAnsiTheme="minorHAnsi" w:cstheme="minorHAnsi"/>
                <w:color w:val="000000" w:themeColor="text1"/>
                <w:lang w:val="en-GB"/>
              </w:rPr>
              <w:t>, adopted 20 August 1999, DSR 1999:III, p. 1377</w:t>
            </w:r>
          </w:p>
        </w:tc>
      </w:tr>
      <w:tr w:rsidR="00B747DB" w:rsidRPr="00B747DB" w14:paraId="0648FC84" w14:textId="77777777" w:rsidTr="00B747DB">
        <w:trPr>
          <w:trHeight w:val="397"/>
        </w:trPr>
        <w:tc>
          <w:tcPr>
            <w:tcW w:w="2826" w:type="dxa"/>
            <w:hideMark/>
          </w:tcPr>
          <w:p w14:paraId="122BE055" w14:textId="77777777" w:rsidR="00B747DB" w:rsidRPr="003E3375" w:rsidRDefault="00B747DB" w:rsidP="00651197">
            <w:pPr>
              <w:spacing w:line="276" w:lineRule="auto"/>
              <w:jc w:val="left"/>
              <w:rPr>
                <w:rFonts w:asciiTheme="minorHAnsi" w:hAnsiTheme="minorHAnsi" w:cstheme="minorHAnsi"/>
                <w:i/>
                <w:iCs/>
                <w:color w:val="000000" w:themeColor="text1"/>
              </w:rPr>
            </w:pPr>
            <w:r w:rsidRPr="003E3375">
              <w:rPr>
                <w:rFonts w:asciiTheme="minorHAnsi" w:hAnsiTheme="minorHAnsi" w:cstheme="minorHAnsi"/>
                <w:i/>
                <w:iCs/>
                <w:color w:val="000000" w:themeColor="text1"/>
              </w:rPr>
              <w:t>China – Broiler Products</w:t>
            </w:r>
          </w:p>
        </w:tc>
        <w:tc>
          <w:tcPr>
            <w:tcW w:w="6191" w:type="dxa"/>
            <w:hideMark/>
          </w:tcPr>
          <w:p w14:paraId="3849E7A8"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color w:val="000000" w:themeColor="text1"/>
                <w:lang w:val="en-GB"/>
              </w:rPr>
              <w:t xml:space="preserve">China </w:t>
            </w:r>
            <w:r w:rsidRPr="003E3375">
              <w:rPr>
                <w:rFonts w:asciiTheme="minorHAnsi" w:hAnsiTheme="minorHAnsi" w:cstheme="minorHAnsi"/>
                <w:i/>
                <w:color w:val="000000" w:themeColor="text1"/>
                <w:lang w:val="en-GB"/>
              </w:rPr>
              <w:sym w:font="Symbol" w:char="F02D"/>
            </w:r>
            <w:r w:rsidRPr="003E3375">
              <w:rPr>
                <w:rFonts w:asciiTheme="minorHAnsi" w:hAnsiTheme="minorHAnsi" w:cstheme="minorHAnsi"/>
                <w:i/>
                <w:color w:val="000000" w:themeColor="text1"/>
                <w:lang w:val="en-GB"/>
              </w:rPr>
              <w:t xml:space="preserve"> Anti-Dumping and Countervailing Duty Measures on Broiler Products from the United States</w:t>
            </w:r>
            <w:r w:rsidRPr="003E3375">
              <w:rPr>
                <w:rFonts w:asciiTheme="minorHAnsi" w:hAnsiTheme="minorHAnsi" w:cstheme="minorHAnsi"/>
                <w:color w:val="000000" w:themeColor="text1"/>
                <w:lang w:val="en-GB"/>
              </w:rPr>
              <w:t xml:space="preserve">, </w:t>
            </w:r>
            <w:hyperlink r:id="rId8" w:history="1">
              <w:r w:rsidRPr="003E3375">
                <w:rPr>
                  <w:rStyle w:val="Hyperlink"/>
                  <w:rFonts w:asciiTheme="minorHAnsi" w:hAnsiTheme="minorHAnsi" w:cstheme="minorHAnsi"/>
                  <w:color w:val="000000" w:themeColor="text1"/>
                  <w:lang w:val="en-GB"/>
                </w:rPr>
                <w:t>WT/DS427/R</w:t>
              </w:r>
            </w:hyperlink>
            <w:r w:rsidRPr="003E3375">
              <w:rPr>
                <w:rFonts w:asciiTheme="minorHAnsi" w:hAnsiTheme="minorHAnsi" w:cstheme="minorHAnsi"/>
                <w:color w:val="000000" w:themeColor="text1"/>
                <w:lang w:val="en-GB"/>
              </w:rPr>
              <w:t xml:space="preserve"> and Add.1, adopted 25 September 2013, DSR 2013:IV, p. 1041</w:t>
            </w:r>
          </w:p>
        </w:tc>
      </w:tr>
      <w:tr w:rsidR="00B747DB" w:rsidRPr="00B747DB" w14:paraId="15B1A9C0" w14:textId="77777777" w:rsidTr="00B747DB">
        <w:trPr>
          <w:trHeight w:val="397"/>
        </w:trPr>
        <w:tc>
          <w:tcPr>
            <w:tcW w:w="2826" w:type="dxa"/>
            <w:hideMark/>
          </w:tcPr>
          <w:p w14:paraId="390BF752" w14:textId="77777777" w:rsidR="00B747DB" w:rsidRPr="003E3375" w:rsidRDefault="00B747DB" w:rsidP="00651197">
            <w:pPr>
              <w:spacing w:line="276" w:lineRule="auto"/>
              <w:jc w:val="left"/>
              <w:rPr>
                <w:rFonts w:asciiTheme="minorHAnsi" w:hAnsiTheme="minorHAnsi" w:cstheme="minorHAnsi"/>
                <w:i/>
                <w:iCs/>
                <w:color w:val="000000" w:themeColor="text1"/>
              </w:rPr>
            </w:pPr>
            <w:r w:rsidRPr="003E3375">
              <w:rPr>
                <w:rFonts w:asciiTheme="minorHAnsi" w:hAnsiTheme="minorHAnsi" w:cstheme="minorHAnsi"/>
                <w:i/>
                <w:iCs/>
                <w:color w:val="000000" w:themeColor="text1"/>
              </w:rPr>
              <w:t>China – Broiler Products (Article 21.5 – US)</w:t>
            </w:r>
          </w:p>
        </w:tc>
        <w:tc>
          <w:tcPr>
            <w:tcW w:w="6191" w:type="dxa"/>
            <w:hideMark/>
          </w:tcPr>
          <w:p w14:paraId="1B1BD471"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color w:val="000000" w:themeColor="text1"/>
                <w:lang w:val="en-GB"/>
              </w:rPr>
              <w:t xml:space="preserve">China </w:t>
            </w:r>
            <w:r w:rsidRPr="003E3375">
              <w:rPr>
                <w:rFonts w:asciiTheme="minorHAnsi" w:hAnsiTheme="minorHAnsi" w:cstheme="minorHAnsi"/>
                <w:i/>
                <w:color w:val="000000" w:themeColor="text1"/>
                <w:lang w:val="en-GB"/>
              </w:rPr>
              <w:sym w:font="Symbol" w:char="F02D"/>
            </w:r>
            <w:r w:rsidRPr="003E3375">
              <w:rPr>
                <w:rFonts w:asciiTheme="minorHAnsi" w:hAnsiTheme="minorHAnsi" w:cstheme="minorHAnsi"/>
                <w:i/>
                <w:color w:val="000000" w:themeColor="text1"/>
                <w:lang w:val="en-GB"/>
              </w:rPr>
              <w:t xml:space="preserve"> Anti-Dumping and Countervailing Duty Measures on Broiler Products from the United States – Recourse to Article 21.5 of the DSU by the United States</w:t>
            </w:r>
            <w:r w:rsidRPr="003E3375">
              <w:rPr>
                <w:rFonts w:asciiTheme="minorHAnsi" w:hAnsiTheme="minorHAnsi" w:cstheme="minorHAnsi"/>
                <w:color w:val="000000" w:themeColor="text1"/>
                <w:lang w:val="en-GB"/>
              </w:rPr>
              <w:t xml:space="preserve">, </w:t>
            </w:r>
            <w:hyperlink r:id="rId9" w:history="1">
              <w:r w:rsidRPr="003E3375">
                <w:rPr>
                  <w:rStyle w:val="Hyperlink"/>
                  <w:rFonts w:asciiTheme="minorHAnsi" w:hAnsiTheme="minorHAnsi" w:cstheme="minorHAnsi"/>
                  <w:color w:val="000000" w:themeColor="text1"/>
                  <w:lang w:val="en-GB"/>
                </w:rPr>
                <w:t>WT/DS427/RW</w:t>
              </w:r>
            </w:hyperlink>
            <w:r w:rsidRPr="003E3375">
              <w:rPr>
                <w:rFonts w:asciiTheme="minorHAnsi" w:hAnsiTheme="minorHAnsi" w:cstheme="minorHAnsi"/>
                <w:color w:val="000000" w:themeColor="text1"/>
                <w:lang w:val="en-GB"/>
              </w:rPr>
              <w:t xml:space="preserve"> and Add.1, adopted 28 February 2018, DSR 2018:II, p. 839</w:t>
            </w:r>
          </w:p>
        </w:tc>
      </w:tr>
      <w:tr w:rsidR="00B747DB" w:rsidRPr="00B747DB" w14:paraId="2FD56CF5" w14:textId="77777777" w:rsidTr="00B747DB">
        <w:trPr>
          <w:trHeight w:val="397"/>
        </w:trPr>
        <w:tc>
          <w:tcPr>
            <w:tcW w:w="2826" w:type="dxa"/>
            <w:hideMark/>
          </w:tcPr>
          <w:p w14:paraId="5BC9F527" w14:textId="77777777" w:rsidR="00B747DB" w:rsidRPr="003E3375" w:rsidRDefault="00B747DB" w:rsidP="00651197">
            <w:pPr>
              <w:spacing w:line="276" w:lineRule="auto"/>
              <w:jc w:val="left"/>
              <w:rPr>
                <w:rFonts w:asciiTheme="minorHAnsi" w:hAnsiTheme="minorHAnsi" w:cstheme="minorHAnsi"/>
                <w:i/>
                <w:iCs/>
                <w:color w:val="000000" w:themeColor="text1"/>
              </w:rPr>
            </w:pPr>
            <w:r w:rsidRPr="003E3375">
              <w:rPr>
                <w:i/>
                <w:iCs/>
                <w:color w:val="000000" w:themeColor="text1"/>
              </w:rPr>
              <w:t>China – GOES</w:t>
            </w:r>
          </w:p>
        </w:tc>
        <w:tc>
          <w:tcPr>
            <w:tcW w:w="6191" w:type="dxa"/>
            <w:hideMark/>
          </w:tcPr>
          <w:p w14:paraId="6DCEC12A"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Appellate Body Report, </w:t>
            </w:r>
            <w:r w:rsidRPr="003E3375">
              <w:rPr>
                <w:rFonts w:asciiTheme="minorHAnsi" w:hAnsiTheme="minorHAnsi" w:cstheme="minorHAnsi"/>
                <w:i/>
                <w:iCs/>
                <w:color w:val="000000" w:themeColor="text1"/>
              </w:rPr>
              <w:t>China – Countervailing and Anti-Dumping Duties on Grain Oriented Flat-Rolled Electrical Steel from the United States</w:t>
            </w:r>
            <w:r w:rsidRPr="003E3375">
              <w:rPr>
                <w:rFonts w:asciiTheme="minorHAnsi" w:hAnsiTheme="minorHAnsi" w:cstheme="minorHAnsi"/>
                <w:color w:val="000000" w:themeColor="text1"/>
              </w:rPr>
              <w:t xml:space="preserve">, </w:t>
            </w:r>
            <w:hyperlink r:id="rId10" w:history="1">
              <w:r w:rsidRPr="003E3375">
                <w:rPr>
                  <w:rStyle w:val="Hyperlink"/>
                  <w:rFonts w:asciiTheme="minorHAnsi" w:hAnsiTheme="minorHAnsi" w:cstheme="minorHAnsi"/>
                  <w:color w:val="000000" w:themeColor="text1"/>
                </w:rPr>
                <w:t>WT/DS414/AB/R</w:t>
              </w:r>
            </w:hyperlink>
            <w:r w:rsidRPr="003E3375">
              <w:rPr>
                <w:rFonts w:asciiTheme="minorHAnsi" w:hAnsiTheme="minorHAnsi" w:cstheme="minorHAnsi"/>
                <w:color w:val="000000" w:themeColor="text1"/>
              </w:rPr>
              <w:t>, adopted 16 November 2012, DSR 2012:XII, p. 6251</w:t>
            </w:r>
          </w:p>
        </w:tc>
      </w:tr>
      <w:tr w:rsidR="00B747DB" w:rsidRPr="00B747DB" w14:paraId="2B1B6805" w14:textId="77777777" w:rsidTr="00B747DB">
        <w:trPr>
          <w:trHeight w:val="397"/>
        </w:trPr>
        <w:tc>
          <w:tcPr>
            <w:tcW w:w="2826" w:type="dxa"/>
          </w:tcPr>
          <w:p w14:paraId="7554DB60" w14:textId="77777777" w:rsidR="00B747DB" w:rsidRPr="003E3375" w:rsidRDefault="00B747DB" w:rsidP="00651197">
            <w:pPr>
              <w:spacing w:line="276" w:lineRule="auto"/>
              <w:jc w:val="left"/>
              <w:rPr>
                <w:rFonts w:asciiTheme="minorHAnsi" w:hAnsiTheme="minorHAnsi" w:cstheme="minorHAnsi"/>
                <w:i/>
                <w:iCs/>
                <w:color w:val="000000" w:themeColor="text1"/>
              </w:rPr>
            </w:pPr>
            <w:r w:rsidRPr="003E3375">
              <w:rPr>
                <w:i/>
                <w:iCs/>
                <w:color w:val="000000" w:themeColor="text1"/>
              </w:rPr>
              <w:t>China – X-Ray Equipment</w:t>
            </w:r>
          </w:p>
        </w:tc>
        <w:tc>
          <w:tcPr>
            <w:tcW w:w="6191" w:type="dxa"/>
          </w:tcPr>
          <w:p w14:paraId="5370D800"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Panel Report, </w:t>
            </w:r>
            <w:r w:rsidRPr="003E3375">
              <w:rPr>
                <w:rFonts w:asciiTheme="minorHAnsi" w:hAnsiTheme="minorHAnsi" w:cstheme="minorHAnsi"/>
                <w:i/>
                <w:iCs/>
                <w:color w:val="000000" w:themeColor="text1"/>
              </w:rPr>
              <w:t>China – Definitive Anti-Dumping Duties on X-Ray Security Inspection Equipment from the European Union</w:t>
            </w:r>
            <w:r w:rsidRPr="003E3375">
              <w:rPr>
                <w:rFonts w:asciiTheme="minorHAnsi" w:hAnsiTheme="minorHAnsi" w:cstheme="minorHAnsi"/>
                <w:color w:val="000000" w:themeColor="text1"/>
              </w:rPr>
              <w:t xml:space="preserve">, </w:t>
            </w:r>
            <w:hyperlink r:id="rId11" w:history="1">
              <w:r w:rsidRPr="003E3375">
                <w:rPr>
                  <w:rStyle w:val="Hyperlink"/>
                  <w:rFonts w:asciiTheme="minorHAnsi" w:hAnsiTheme="minorHAnsi" w:cstheme="minorHAnsi"/>
                  <w:color w:val="000000" w:themeColor="text1"/>
                </w:rPr>
                <w:t>WT/DS425/R</w:t>
              </w:r>
            </w:hyperlink>
            <w:r w:rsidRPr="003E3375">
              <w:rPr>
                <w:rFonts w:asciiTheme="minorHAnsi" w:hAnsiTheme="minorHAnsi" w:cstheme="minorHAnsi"/>
                <w:color w:val="000000" w:themeColor="text1"/>
              </w:rPr>
              <w:t xml:space="preserve"> and Add.1, adopted 24 April 2013, DSR 2013:III, p. 659</w:t>
            </w:r>
          </w:p>
        </w:tc>
      </w:tr>
      <w:tr w:rsidR="00B747DB" w:rsidRPr="00B747DB" w14:paraId="3CADE3F6" w14:textId="77777777" w:rsidTr="00B747DB">
        <w:trPr>
          <w:trHeight w:val="397"/>
        </w:trPr>
        <w:tc>
          <w:tcPr>
            <w:tcW w:w="2826" w:type="dxa"/>
          </w:tcPr>
          <w:p w14:paraId="47E8A573" w14:textId="77777777" w:rsidR="00B747DB" w:rsidRPr="003E3375" w:rsidRDefault="00B747DB" w:rsidP="00651197">
            <w:pPr>
              <w:spacing w:line="276" w:lineRule="auto"/>
              <w:jc w:val="left"/>
              <w:rPr>
                <w:rFonts w:asciiTheme="minorHAnsi" w:hAnsiTheme="minorHAnsi" w:cstheme="minorHAnsi"/>
                <w:i/>
                <w:iCs/>
                <w:color w:val="000000" w:themeColor="text1"/>
              </w:rPr>
            </w:pPr>
            <w:r w:rsidRPr="003E3375">
              <w:rPr>
                <w:i/>
                <w:iCs/>
                <w:color w:val="000000" w:themeColor="text1"/>
              </w:rPr>
              <w:t>EC – Bed Linen (Article 21.5 – India)</w:t>
            </w:r>
          </w:p>
        </w:tc>
        <w:tc>
          <w:tcPr>
            <w:tcW w:w="6191" w:type="dxa"/>
          </w:tcPr>
          <w:p w14:paraId="431FF95B" w14:textId="77777777" w:rsidR="00B747DB" w:rsidRPr="003E3375" w:rsidRDefault="00B747DB" w:rsidP="00651197">
            <w:pPr>
              <w:pStyle w:val="TTTableText"/>
              <w:spacing w:line="276" w:lineRule="auto"/>
              <w:jc w:val="both"/>
              <w:rPr>
                <w:rFonts w:cstheme="minorHAnsi"/>
                <w:color w:val="000000" w:themeColor="text1"/>
                <w:lang w:val="en-GB"/>
              </w:rPr>
            </w:pPr>
            <w:r w:rsidRPr="003E3375">
              <w:rPr>
                <w:color w:val="000000" w:themeColor="text1"/>
              </w:rPr>
              <w:t xml:space="preserve">Appellate Body Report, </w:t>
            </w:r>
            <w:r w:rsidRPr="003E3375">
              <w:rPr>
                <w:i/>
                <w:iCs/>
                <w:color w:val="000000" w:themeColor="text1"/>
              </w:rPr>
              <w:t>European Communities – Anti-Dumping Duties on Imports of Cotton-Type Bed Linen from India – Recourse to Article 21.5 of the DSU by India</w:t>
            </w:r>
            <w:r w:rsidRPr="003E3375">
              <w:rPr>
                <w:color w:val="000000" w:themeColor="text1"/>
              </w:rPr>
              <w:t xml:space="preserve">, </w:t>
            </w:r>
            <w:hyperlink r:id="rId12" w:history="1">
              <w:r w:rsidRPr="003E3375">
                <w:rPr>
                  <w:rStyle w:val="Hyperlink"/>
                  <w:color w:val="000000" w:themeColor="text1"/>
                </w:rPr>
                <w:t>WT/DS141/AB/RW</w:t>
              </w:r>
            </w:hyperlink>
            <w:r w:rsidRPr="003E3375">
              <w:rPr>
                <w:color w:val="000000" w:themeColor="text1"/>
              </w:rPr>
              <w:t>, adopted 24 April 2003, DSR 2003:III, p. 965</w:t>
            </w:r>
          </w:p>
        </w:tc>
      </w:tr>
      <w:tr w:rsidR="00B747DB" w:rsidRPr="00B747DB" w14:paraId="2DAE5F74" w14:textId="77777777" w:rsidTr="00B747DB">
        <w:trPr>
          <w:trHeight w:val="397"/>
        </w:trPr>
        <w:tc>
          <w:tcPr>
            <w:tcW w:w="2826" w:type="dxa"/>
            <w:hideMark/>
          </w:tcPr>
          <w:p w14:paraId="760F2E47" w14:textId="77777777" w:rsidR="00B747DB" w:rsidRPr="003E3375" w:rsidRDefault="00B747DB" w:rsidP="00651197">
            <w:pPr>
              <w:spacing w:line="276" w:lineRule="auto"/>
              <w:jc w:val="left"/>
              <w:rPr>
                <w:rFonts w:asciiTheme="minorHAnsi" w:hAnsiTheme="minorHAnsi" w:cstheme="minorHAnsi"/>
                <w:color w:val="000000" w:themeColor="text1"/>
              </w:rPr>
            </w:pPr>
            <w:r w:rsidRPr="003E3375">
              <w:rPr>
                <w:rFonts w:asciiTheme="minorHAnsi" w:hAnsiTheme="minorHAnsi" w:cstheme="minorHAnsi"/>
                <w:i/>
                <w:color w:val="000000" w:themeColor="text1"/>
              </w:rPr>
              <w:lastRenderedPageBreak/>
              <w:t>EC – Fasteners (China)</w:t>
            </w:r>
          </w:p>
        </w:tc>
        <w:tc>
          <w:tcPr>
            <w:tcW w:w="6191" w:type="dxa"/>
            <w:hideMark/>
          </w:tcPr>
          <w:p w14:paraId="3F6F58CC"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rPr>
              <w:t xml:space="preserve">Appellate Body Report, </w:t>
            </w:r>
            <w:r w:rsidRPr="003E3375">
              <w:rPr>
                <w:rFonts w:asciiTheme="minorHAnsi" w:hAnsiTheme="minorHAnsi" w:cstheme="minorHAnsi"/>
                <w:i/>
                <w:iCs/>
                <w:color w:val="000000" w:themeColor="text1"/>
              </w:rPr>
              <w:t>European Communities – Definitive Anti-Dumping Measures on Certain Iron or Steel Fasteners from China</w:t>
            </w:r>
            <w:r w:rsidRPr="003E3375">
              <w:rPr>
                <w:rFonts w:asciiTheme="minorHAnsi" w:hAnsiTheme="minorHAnsi" w:cstheme="minorHAnsi"/>
                <w:color w:val="000000" w:themeColor="text1"/>
              </w:rPr>
              <w:t xml:space="preserve">, </w:t>
            </w:r>
            <w:hyperlink r:id="rId13" w:history="1">
              <w:r w:rsidRPr="003E3375">
                <w:rPr>
                  <w:rStyle w:val="Hyperlink"/>
                  <w:rFonts w:asciiTheme="minorHAnsi" w:hAnsiTheme="minorHAnsi" w:cstheme="minorHAnsi"/>
                  <w:color w:val="000000" w:themeColor="text1"/>
                </w:rPr>
                <w:t>WT/DS397/AB/R</w:t>
              </w:r>
            </w:hyperlink>
            <w:r w:rsidRPr="003E3375">
              <w:rPr>
                <w:rFonts w:asciiTheme="minorHAnsi" w:hAnsiTheme="minorHAnsi" w:cstheme="minorHAnsi"/>
                <w:color w:val="000000" w:themeColor="text1"/>
              </w:rPr>
              <w:t>, adopted 28 July 2011, DSR 2011:VII, p. 3995</w:t>
            </w:r>
          </w:p>
        </w:tc>
      </w:tr>
      <w:tr w:rsidR="00B747DB" w:rsidRPr="00B747DB" w14:paraId="78113B2D" w14:textId="77777777" w:rsidTr="00B747DB">
        <w:trPr>
          <w:trHeight w:val="397"/>
        </w:trPr>
        <w:tc>
          <w:tcPr>
            <w:tcW w:w="2826" w:type="dxa"/>
            <w:hideMark/>
          </w:tcPr>
          <w:p w14:paraId="1590BAB6"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EC – Fasteners (China) (Article 21.5 – China)</w:t>
            </w:r>
          </w:p>
        </w:tc>
        <w:tc>
          <w:tcPr>
            <w:tcW w:w="6191" w:type="dxa"/>
            <w:hideMark/>
          </w:tcPr>
          <w:p w14:paraId="6C579C3A"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rPr>
              <w:t xml:space="preserve">Appellate Body Report, </w:t>
            </w:r>
            <w:r w:rsidRPr="003E3375">
              <w:rPr>
                <w:rFonts w:asciiTheme="minorHAnsi" w:hAnsiTheme="minorHAnsi" w:cstheme="minorHAnsi"/>
                <w:i/>
                <w:iCs/>
                <w:color w:val="000000" w:themeColor="text1"/>
              </w:rPr>
              <w:t>European Communities – Definitive Anti-Dumping Measures on Certain Iron or Steel Fasteners from China – Recourse to Article 21.5 of the DSU by China</w:t>
            </w:r>
            <w:r w:rsidRPr="003E3375">
              <w:rPr>
                <w:rFonts w:asciiTheme="minorHAnsi" w:hAnsiTheme="minorHAnsi" w:cstheme="minorHAnsi"/>
                <w:color w:val="000000" w:themeColor="text1"/>
              </w:rPr>
              <w:t xml:space="preserve">, </w:t>
            </w:r>
            <w:hyperlink r:id="rId14" w:history="1">
              <w:r w:rsidRPr="003E3375">
                <w:rPr>
                  <w:rStyle w:val="Hyperlink"/>
                  <w:rFonts w:asciiTheme="minorHAnsi" w:hAnsiTheme="minorHAnsi" w:cstheme="minorHAnsi"/>
                  <w:color w:val="000000" w:themeColor="text1"/>
                </w:rPr>
                <w:t>WT/DS397/AB/RW</w:t>
              </w:r>
            </w:hyperlink>
            <w:r w:rsidRPr="003E3375">
              <w:rPr>
                <w:rFonts w:asciiTheme="minorHAnsi" w:hAnsiTheme="minorHAnsi" w:cstheme="minorHAnsi"/>
                <w:color w:val="000000" w:themeColor="text1"/>
              </w:rPr>
              <w:t xml:space="preserve"> and Add.1, adopted 12 February 2016, DSR 2016:I, p. 7</w:t>
            </w:r>
          </w:p>
        </w:tc>
      </w:tr>
      <w:tr w:rsidR="00B747DB" w:rsidRPr="00B747DB" w14:paraId="0B751195" w14:textId="77777777" w:rsidTr="00B747DB">
        <w:trPr>
          <w:trHeight w:val="397"/>
        </w:trPr>
        <w:tc>
          <w:tcPr>
            <w:tcW w:w="2826" w:type="dxa"/>
            <w:hideMark/>
          </w:tcPr>
          <w:p w14:paraId="481832F2"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EC – Salmon (Norway)</w:t>
            </w:r>
          </w:p>
        </w:tc>
        <w:tc>
          <w:tcPr>
            <w:tcW w:w="6191" w:type="dxa"/>
            <w:hideMark/>
          </w:tcPr>
          <w:p w14:paraId="636742A8"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rPr>
              <w:t xml:space="preserve">Panel Report, </w:t>
            </w:r>
            <w:r w:rsidRPr="003E3375">
              <w:rPr>
                <w:rFonts w:asciiTheme="minorHAnsi" w:hAnsiTheme="minorHAnsi" w:cstheme="minorHAnsi"/>
                <w:i/>
                <w:iCs/>
                <w:color w:val="000000" w:themeColor="text1"/>
              </w:rPr>
              <w:t>European Communities – Anti-Dumping Measure on Farmed Salmon from Norway</w:t>
            </w:r>
            <w:r w:rsidRPr="003E3375">
              <w:rPr>
                <w:rFonts w:asciiTheme="minorHAnsi" w:hAnsiTheme="minorHAnsi" w:cstheme="minorHAnsi"/>
                <w:color w:val="000000" w:themeColor="text1"/>
              </w:rPr>
              <w:t xml:space="preserve">, </w:t>
            </w:r>
            <w:hyperlink r:id="rId15" w:history="1">
              <w:r w:rsidRPr="003E3375">
                <w:rPr>
                  <w:rStyle w:val="Hyperlink"/>
                  <w:rFonts w:asciiTheme="minorHAnsi" w:hAnsiTheme="minorHAnsi" w:cstheme="minorHAnsi"/>
                  <w:color w:val="000000" w:themeColor="text1"/>
                </w:rPr>
                <w:t>WT/DS337/R</w:t>
              </w:r>
            </w:hyperlink>
            <w:r w:rsidRPr="003E3375">
              <w:rPr>
                <w:rFonts w:asciiTheme="minorHAnsi" w:hAnsiTheme="minorHAnsi" w:cstheme="minorHAnsi"/>
                <w:color w:val="000000" w:themeColor="text1"/>
              </w:rPr>
              <w:t>, adopted 15 January 2008, and Corr.1, DSR 2008:I, p. 3</w:t>
            </w:r>
          </w:p>
        </w:tc>
      </w:tr>
      <w:tr w:rsidR="00B747DB" w:rsidRPr="00B747DB" w14:paraId="036B552D" w14:textId="77777777" w:rsidTr="00B747DB">
        <w:trPr>
          <w:trHeight w:val="397"/>
        </w:trPr>
        <w:tc>
          <w:tcPr>
            <w:tcW w:w="2826" w:type="dxa"/>
            <w:hideMark/>
          </w:tcPr>
          <w:p w14:paraId="25303FD9"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i/>
                <w:iCs/>
                <w:color w:val="000000" w:themeColor="text1"/>
              </w:rPr>
              <w:t>EC – Tube or Pipe Fittings</w:t>
            </w:r>
          </w:p>
        </w:tc>
        <w:tc>
          <w:tcPr>
            <w:tcW w:w="6191" w:type="dxa"/>
            <w:hideMark/>
          </w:tcPr>
          <w:p w14:paraId="470E1C95"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color w:val="000000" w:themeColor="text1"/>
              </w:rPr>
              <w:t xml:space="preserve">Panel Report, </w:t>
            </w:r>
            <w:r w:rsidRPr="003E3375">
              <w:rPr>
                <w:i/>
                <w:iCs/>
                <w:color w:val="000000" w:themeColor="text1"/>
              </w:rPr>
              <w:t>European Communities – Anti-Dumping Duties on Malleable Cast Iron Tube or Pipe Fittings from Brazil</w:t>
            </w:r>
            <w:r w:rsidRPr="003E3375">
              <w:rPr>
                <w:color w:val="000000" w:themeColor="text1"/>
              </w:rPr>
              <w:t xml:space="preserve">, </w:t>
            </w:r>
            <w:hyperlink r:id="rId16" w:history="1">
              <w:r w:rsidRPr="003E3375">
                <w:rPr>
                  <w:rStyle w:val="Hyperlink"/>
                  <w:color w:val="000000" w:themeColor="text1"/>
                </w:rPr>
                <w:t>WT/DS219/R</w:t>
              </w:r>
            </w:hyperlink>
            <w:r w:rsidRPr="003E3375">
              <w:rPr>
                <w:color w:val="000000" w:themeColor="text1"/>
              </w:rPr>
              <w:t>, adopted 18 August 2003, as modified by Appellate Body Report WT/DS219/AB/R, DSR 2003:VII, p. 2701</w:t>
            </w:r>
          </w:p>
        </w:tc>
      </w:tr>
      <w:tr w:rsidR="00B747DB" w:rsidRPr="00B747DB" w14:paraId="39E3B078" w14:textId="77777777" w:rsidTr="00B747DB">
        <w:trPr>
          <w:trHeight w:val="397"/>
        </w:trPr>
        <w:tc>
          <w:tcPr>
            <w:tcW w:w="2826" w:type="dxa"/>
            <w:hideMark/>
          </w:tcPr>
          <w:p w14:paraId="47AF590B"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Egypt – Steel Rebar</w:t>
            </w:r>
          </w:p>
        </w:tc>
        <w:tc>
          <w:tcPr>
            <w:tcW w:w="6191" w:type="dxa"/>
            <w:hideMark/>
          </w:tcPr>
          <w:p w14:paraId="2CF7CF97"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color w:val="000000" w:themeColor="text1"/>
                <w:lang w:val="en-GB"/>
              </w:rPr>
              <w:t>Egypt – Definitive Anti-Dumping Measures on Steel Rebar from Turkey</w:t>
            </w:r>
            <w:r w:rsidRPr="003E3375">
              <w:rPr>
                <w:rFonts w:asciiTheme="minorHAnsi" w:hAnsiTheme="minorHAnsi" w:cstheme="minorHAnsi"/>
                <w:color w:val="000000" w:themeColor="text1"/>
                <w:lang w:val="en-GB"/>
              </w:rPr>
              <w:t xml:space="preserve">, </w:t>
            </w:r>
            <w:hyperlink r:id="rId17" w:history="1">
              <w:r w:rsidRPr="003E3375">
                <w:rPr>
                  <w:rStyle w:val="Hyperlink"/>
                  <w:rFonts w:asciiTheme="minorHAnsi" w:hAnsiTheme="minorHAnsi" w:cstheme="minorHAnsi"/>
                  <w:color w:val="000000" w:themeColor="text1"/>
                  <w:lang w:val="en-GB"/>
                </w:rPr>
                <w:t>WT/DS211/R</w:t>
              </w:r>
            </w:hyperlink>
            <w:r w:rsidRPr="003E3375">
              <w:rPr>
                <w:rFonts w:asciiTheme="minorHAnsi" w:hAnsiTheme="minorHAnsi" w:cstheme="minorHAnsi"/>
                <w:color w:val="000000" w:themeColor="text1"/>
                <w:lang w:val="en-GB"/>
              </w:rPr>
              <w:t>, adopted 1 October 2002, DSR 2002:VII, p. 2667</w:t>
            </w:r>
          </w:p>
        </w:tc>
      </w:tr>
      <w:tr w:rsidR="00B747DB" w:rsidRPr="00B747DB" w14:paraId="531047BA" w14:textId="77777777" w:rsidTr="00B747DB">
        <w:trPr>
          <w:trHeight w:val="397"/>
        </w:trPr>
        <w:tc>
          <w:tcPr>
            <w:tcW w:w="2826" w:type="dxa"/>
          </w:tcPr>
          <w:p w14:paraId="6EF5B28C" w14:textId="77777777" w:rsidR="00B747DB" w:rsidRPr="003E3375" w:rsidRDefault="00B747DB" w:rsidP="00651197">
            <w:pPr>
              <w:pStyle w:val="TTTableText"/>
              <w:spacing w:line="276" w:lineRule="auto"/>
              <w:jc w:val="both"/>
              <w:rPr>
                <w:rFonts w:cstheme="minorHAnsi"/>
                <w:i/>
                <w:iCs/>
                <w:color w:val="000000" w:themeColor="text1"/>
              </w:rPr>
            </w:pPr>
            <w:r w:rsidRPr="003E3375">
              <w:rPr>
                <w:i/>
                <w:iCs/>
                <w:color w:val="000000" w:themeColor="text1"/>
              </w:rPr>
              <w:t>EU – Footwear (China)</w:t>
            </w:r>
          </w:p>
        </w:tc>
        <w:tc>
          <w:tcPr>
            <w:tcW w:w="6191" w:type="dxa"/>
          </w:tcPr>
          <w:p w14:paraId="62CFA596" w14:textId="77777777" w:rsidR="00B747DB" w:rsidRPr="003E3375" w:rsidRDefault="00B747DB" w:rsidP="00651197">
            <w:pPr>
              <w:pStyle w:val="TTTableText"/>
              <w:spacing w:line="276" w:lineRule="auto"/>
              <w:jc w:val="both"/>
              <w:rPr>
                <w:rFonts w:cstheme="minorHAnsi"/>
                <w:color w:val="000000" w:themeColor="text1"/>
                <w:lang w:val="en-GB"/>
              </w:rPr>
            </w:pPr>
            <w:r w:rsidRPr="003E3375">
              <w:rPr>
                <w:color w:val="000000" w:themeColor="text1"/>
              </w:rPr>
              <w:t xml:space="preserve">Panel Report, </w:t>
            </w:r>
            <w:r w:rsidRPr="003E3375">
              <w:rPr>
                <w:i/>
                <w:iCs/>
                <w:color w:val="000000" w:themeColor="text1"/>
              </w:rPr>
              <w:t>European Union – Anti-Dumping Measures on Certain Footwear from China</w:t>
            </w:r>
            <w:r w:rsidRPr="003E3375">
              <w:rPr>
                <w:color w:val="000000" w:themeColor="text1"/>
              </w:rPr>
              <w:t xml:space="preserve">, </w:t>
            </w:r>
            <w:hyperlink r:id="rId18" w:history="1">
              <w:r w:rsidRPr="003E3375">
                <w:rPr>
                  <w:rStyle w:val="Hyperlink"/>
                  <w:color w:val="000000" w:themeColor="text1"/>
                </w:rPr>
                <w:t>WT/DS405/R</w:t>
              </w:r>
            </w:hyperlink>
            <w:r w:rsidRPr="003E3375">
              <w:rPr>
                <w:color w:val="000000" w:themeColor="text1"/>
              </w:rPr>
              <w:t>, adopted 22 February 2012, DSR 2012:IX, p. 4585</w:t>
            </w:r>
          </w:p>
        </w:tc>
      </w:tr>
      <w:tr w:rsidR="00B747DB" w:rsidRPr="00B747DB" w14:paraId="364204C0" w14:textId="77777777" w:rsidTr="00B747DB">
        <w:trPr>
          <w:trHeight w:val="397"/>
        </w:trPr>
        <w:tc>
          <w:tcPr>
            <w:tcW w:w="2826" w:type="dxa"/>
            <w:hideMark/>
          </w:tcPr>
          <w:p w14:paraId="329C9B6A" w14:textId="77777777" w:rsidR="00B747DB" w:rsidRPr="003E3375" w:rsidRDefault="00B747DB" w:rsidP="00651197">
            <w:pPr>
              <w:tabs>
                <w:tab w:val="left" w:pos="3987"/>
              </w:tabs>
              <w:spacing w:line="276" w:lineRule="auto"/>
              <w:jc w:val="left"/>
              <w:rPr>
                <w:rFonts w:asciiTheme="minorHAnsi" w:hAnsiTheme="minorHAnsi" w:cstheme="minorHAnsi"/>
                <w:i/>
                <w:iCs/>
                <w:color w:val="000000" w:themeColor="text1"/>
                <w:lang w:val="en-GB"/>
              </w:rPr>
            </w:pPr>
            <w:r w:rsidRPr="003E3375">
              <w:rPr>
                <w:rFonts w:asciiTheme="minorHAnsi" w:hAnsiTheme="minorHAnsi" w:cstheme="minorHAnsi"/>
                <w:i/>
                <w:iCs/>
                <w:color w:val="000000" w:themeColor="text1"/>
                <w:lang w:val="en-GB"/>
              </w:rPr>
              <w:t>Guatemala – Cement II</w:t>
            </w:r>
          </w:p>
        </w:tc>
        <w:tc>
          <w:tcPr>
            <w:tcW w:w="6191" w:type="dxa"/>
            <w:hideMark/>
          </w:tcPr>
          <w:p w14:paraId="3D02FA1D"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iCs/>
                <w:color w:val="000000" w:themeColor="text1"/>
                <w:lang w:val="en-GB"/>
              </w:rPr>
              <w:t>Guatemala – Definitive Anti-Dumping Measures on Grey Portland Cement from Mexico</w:t>
            </w:r>
            <w:r w:rsidRPr="003E3375">
              <w:rPr>
                <w:rFonts w:asciiTheme="minorHAnsi" w:hAnsiTheme="minorHAnsi" w:cstheme="minorHAnsi"/>
                <w:color w:val="000000" w:themeColor="text1"/>
                <w:lang w:val="en-GB"/>
              </w:rPr>
              <w:t xml:space="preserve">, </w:t>
            </w:r>
            <w:r w:rsidRPr="003E3375">
              <w:rPr>
                <w:rFonts w:asciiTheme="minorHAnsi" w:hAnsiTheme="minorHAnsi" w:cstheme="minorHAnsi"/>
                <w:color w:val="000000" w:themeColor="text1"/>
                <w:u w:val="single"/>
                <w:lang w:val="en-GB"/>
              </w:rPr>
              <w:t>WT/DS156/R</w:t>
            </w:r>
            <w:r w:rsidRPr="003E3375">
              <w:rPr>
                <w:rFonts w:asciiTheme="minorHAnsi" w:hAnsiTheme="minorHAnsi" w:cstheme="minorHAnsi"/>
                <w:color w:val="000000" w:themeColor="text1"/>
                <w:lang w:val="en-GB"/>
              </w:rPr>
              <w:t>, adopted 17 November 2000, DSR 2000:XI, p. 5295</w:t>
            </w:r>
          </w:p>
        </w:tc>
      </w:tr>
      <w:tr w:rsidR="00B747DB" w:rsidRPr="00B747DB" w14:paraId="247FE27E" w14:textId="77777777" w:rsidTr="00B747DB">
        <w:trPr>
          <w:trHeight w:val="397"/>
        </w:trPr>
        <w:tc>
          <w:tcPr>
            <w:tcW w:w="2826" w:type="dxa"/>
            <w:hideMark/>
          </w:tcPr>
          <w:p w14:paraId="1DBD07E7" w14:textId="77777777" w:rsidR="00B747DB" w:rsidRPr="003E3375" w:rsidRDefault="00B747DB" w:rsidP="00651197">
            <w:pPr>
              <w:tabs>
                <w:tab w:val="left" w:pos="3987"/>
              </w:tabs>
              <w:spacing w:line="276" w:lineRule="auto"/>
              <w:jc w:val="left"/>
              <w:rPr>
                <w:rFonts w:asciiTheme="minorHAnsi" w:hAnsiTheme="minorHAnsi" w:cstheme="minorHAnsi"/>
                <w:i/>
                <w:iCs/>
                <w:color w:val="000000" w:themeColor="text1"/>
                <w:lang w:val="en-GB"/>
              </w:rPr>
            </w:pPr>
            <w:r w:rsidRPr="003E3375">
              <w:rPr>
                <w:rFonts w:asciiTheme="minorHAnsi" w:hAnsiTheme="minorHAnsi" w:cstheme="minorHAnsi"/>
                <w:i/>
                <w:iCs/>
                <w:color w:val="000000" w:themeColor="text1"/>
                <w:lang w:val="en-GB"/>
              </w:rPr>
              <w:t>Korea – Certain Paper</w:t>
            </w:r>
          </w:p>
        </w:tc>
        <w:tc>
          <w:tcPr>
            <w:tcW w:w="6191" w:type="dxa"/>
            <w:hideMark/>
          </w:tcPr>
          <w:p w14:paraId="77E4EDB3"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Panel Report, </w:t>
            </w:r>
            <w:r w:rsidRPr="003E3375">
              <w:rPr>
                <w:rFonts w:asciiTheme="minorHAnsi" w:hAnsiTheme="minorHAnsi" w:cstheme="minorHAnsi"/>
                <w:i/>
                <w:iCs/>
                <w:color w:val="000000" w:themeColor="text1"/>
              </w:rPr>
              <w:t>Korea – Anti-Dumping Duties on Imports of Certain Paper from Indonesia</w:t>
            </w:r>
            <w:r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u w:val="single"/>
              </w:rPr>
              <w:t>WT/DS312/R</w:t>
            </w:r>
            <w:r w:rsidRPr="003E3375">
              <w:rPr>
                <w:rFonts w:asciiTheme="minorHAnsi" w:hAnsiTheme="minorHAnsi" w:cstheme="minorHAnsi"/>
                <w:color w:val="000000" w:themeColor="text1"/>
              </w:rPr>
              <w:t>, adopted 28 November 2005, DSR 2005:XXII, p. 10637</w:t>
            </w:r>
          </w:p>
        </w:tc>
      </w:tr>
      <w:tr w:rsidR="00B747DB" w:rsidRPr="00B747DB" w14:paraId="374EDA1A" w14:textId="77777777" w:rsidTr="00B747DB">
        <w:trPr>
          <w:trHeight w:val="397"/>
        </w:trPr>
        <w:tc>
          <w:tcPr>
            <w:tcW w:w="2826" w:type="dxa"/>
          </w:tcPr>
          <w:p w14:paraId="5920B5FE"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i/>
                <w:iCs/>
                <w:color w:val="000000" w:themeColor="text1"/>
              </w:rPr>
              <w:t xml:space="preserve">Korea – Stainless Steel Bars </w:t>
            </w:r>
          </w:p>
          <w:p w14:paraId="56F2B048" w14:textId="77777777" w:rsidR="00B747DB" w:rsidRPr="003E3375" w:rsidRDefault="00B747DB" w:rsidP="00651197">
            <w:pPr>
              <w:tabs>
                <w:tab w:val="left" w:pos="3987"/>
              </w:tabs>
              <w:spacing w:line="276" w:lineRule="auto"/>
              <w:jc w:val="left"/>
              <w:rPr>
                <w:rFonts w:asciiTheme="minorHAnsi" w:hAnsiTheme="minorHAnsi" w:cstheme="minorHAnsi"/>
                <w:i/>
                <w:iCs/>
                <w:color w:val="000000" w:themeColor="text1"/>
                <w:lang w:val="en-GB"/>
              </w:rPr>
            </w:pPr>
          </w:p>
        </w:tc>
        <w:tc>
          <w:tcPr>
            <w:tcW w:w="6191" w:type="dxa"/>
            <w:hideMark/>
          </w:tcPr>
          <w:p w14:paraId="3761A049"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Panel Report, </w:t>
            </w:r>
            <w:r w:rsidRPr="003E3375">
              <w:rPr>
                <w:rFonts w:asciiTheme="minorHAnsi" w:hAnsiTheme="minorHAnsi" w:cstheme="minorHAnsi"/>
                <w:i/>
                <w:iCs/>
                <w:color w:val="000000" w:themeColor="text1"/>
              </w:rPr>
              <w:t>Korea – Sunset Review of Anti-Dumping Duties on Stainless Steel Bars</w:t>
            </w:r>
            <w:r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u w:val="single"/>
              </w:rPr>
              <w:t>WT/DS553/R</w:t>
            </w:r>
            <w:r w:rsidRPr="003E3375">
              <w:rPr>
                <w:rFonts w:asciiTheme="minorHAnsi" w:hAnsiTheme="minorHAnsi" w:cstheme="minorHAnsi"/>
                <w:color w:val="000000" w:themeColor="text1"/>
              </w:rPr>
              <w:t xml:space="preserve"> and Add.1, circulated to WTO Members 30 November 2020, appealed by Korea 22 January 2021</w:t>
            </w:r>
          </w:p>
        </w:tc>
      </w:tr>
      <w:tr w:rsidR="00B747DB" w:rsidRPr="00B747DB" w14:paraId="3FF3B366" w14:textId="77777777" w:rsidTr="00B747DB">
        <w:trPr>
          <w:trHeight w:val="397"/>
        </w:trPr>
        <w:tc>
          <w:tcPr>
            <w:tcW w:w="2826" w:type="dxa"/>
            <w:hideMark/>
          </w:tcPr>
          <w:p w14:paraId="6711D928" w14:textId="77777777" w:rsidR="00B747DB" w:rsidRPr="003E3375" w:rsidRDefault="00B747DB" w:rsidP="00651197">
            <w:pPr>
              <w:tabs>
                <w:tab w:val="left" w:pos="3987"/>
              </w:tabs>
              <w:spacing w:line="276" w:lineRule="auto"/>
              <w:jc w:val="left"/>
              <w:rPr>
                <w:rFonts w:asciiTheme="minorHAnsi" w:hAnsiTheme="minorHAnsi" w:cstheme="minorHAnsi"/>
                <w:i/>
                <w:iCs/>
                <w:color w:val="000000" w:themeColor="text1"/>
                <w:lang w:val="en-GB"/>
              </w:rPr>
            </w:pPr>
            <w:r w:rsidRPr="003E3375">
              <w:rPr>
                <w:rFonts w:asciiTheme="minorHAnsi" w:hAnsiTheme="minorHAnsi" w:cstheme="minorHAnsi"/>
                <w:i/>
                <w:iCs/>
                <w:color w:val="000000" w:themeColor="text1"/>
                <w:lang w:val="en-GB"/>
              </w:rPr>
              <w:t>Mexico – Anti-Dumping Measures on Rice</w:t>
            </w:r>
          </w:p>
        </w:tc>
        <w:tc>
          <w:tcPr>
            <w:tcW w:w="6191" w:type="dxa"/>
            <w:hideMark/>
          </w:tcPr>
          <w:p w14:paraId="32C4B8D6"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color w:val="000000" w:themeColor="text1"/>
                <w:lang w:val="en-GB"/>
              </w:rPr>
              <w:t>Mexico – Definitive Anti-Dumping Measures on Beef and Rice, Complaint with Respect to Rice</w:t>
            </w:r>
            <w:r w:rsidRPr="003E3375">
              <w:rPr>
                <w:rFonts w:asciiTheme="minorHAnsi" w:hAnsiTheme="minorHAnsi" w:cstheme="minorHAnsi"/>
                <w:color w:val="000000" w:themeColor="text1"/>
                <w:lang w:val="en-GB"/>
              </w:rPr>
              <w:t xml:space="preserve">, </w:t>
            </w:r>
            <w:hyperlink r:id="rId19" w:history="1">
              <w:r w:rsidRPr="003E3375">
                <w:rPr>
                  <w:rStyle w:val="Hyperlink"/>
                  <w:rFonts w:asciiTheme="minorHAnsi" w:hAnsiTheme="minorHAnsi" w:cstheme="minorHAnsi"/>
                  <w:color w:val="000000" w:themeColor="text1"/>
                  <w:lang w:val="en-GB"/>
                </w:rPr>
                <w:t>WT/DS295/AB/R</w:t>
              </w:r>
            </w:hyperlink>
            <w:r w:rsidRPr="003E3375">
              <w:rPr>
                <w:rFonts w:asciiTheme="minorHAnsi" w:hAnsiTheme="minorHAnsi" w:cstheme="minorHAnsi"/>
                <w:color w:val="000000" w:themeColor="text1"/>
                <w:lang w:val="en-GB"/>
              </w:rPr>
              <w:t xml:space="preserve">, adopted 20 December 2005, </w:t>
            </w:r>
            <w:r w:rsidRPr="003E3375">
              <w:rPr>
                <w:color w:val="000000" w:themeColor="text1"/>
              </w:rPr>
              <w:t xml:space="preserve">as modified by </w:t>
            </w:r>
            <w:r w:rsidRPr="003E3375">
              <w:rPr>
                <w:color w:val="000000" w:themeColor="text1"/>
              </w:rPr>
              <w:lastRenderedPageBreak/>
              <w:t>Appellate Body Report WT/DS295/AB/R, DSR 2005:XXIII, p. 11007</w:t>
            </w:r>
          </w:p>
        </w:tc>
      </w:tr>
      <w:tr w:rsidR="00B747DB" w:rsidRPr="00B747DB" w14:paraId="6E27C9B6" w14:textId="77777777" w:rsidTr="00B747DB">
        <w:trPr>
          <w:trHeight w:val="397"/>
        </w:trPr>
        <w:tc>
          <w:tcPr>
            <w:tcW w:w="2826" w:type="dxa"/>
            <w:hideMark/>
          </w:tcPr>
          <w:p w14:paraId="033618BD" w14:textId="77777777" w:rsidR="00B747DB" w:rsidRPr="003E3375" w:rsidRDefault="00B747DB" w:rsidP="00651197">
            <w:pPr>
              <w:tabs>
                <w:tab w:val="left" w:pos="3987"/>
              </w:tabs>
              <w:spacing w:line="276" w:lineRule="auto"/>
              <w:jc w:val="left"/>
              <w:rPr>
                <w:rFonts w:asciiTheme="minorHAnsi" w:hAnsiTheme="minorHAnsi" w:cstheme="minorHAnsi"/>
                <w:i/>
                <w:iCs/>
                <w:color w:val="000000" w:themeColor="text1"/>
                <w:lang w:val="en-GB"/>
              </w:rPr>
            </w:pPr>
            <w:r w:rsidRPr="003E3375">
              <w:rPr>
                <w:rFonts w:asciiTheme="minorHAnsi" w:hAnsiTheme="minorHAnsi" w:cstheme="minorHAnsi"/>
                <w:i/>
                <w:iCs/>
                <w:color w:val="000000" w:themeColor="text1"/>
                <w:lang w:val="en-GB"/>
              </w:rPr>
              <w:lastRenderedPageBreak/>
              <w:t>Mexico – Corn Syrup</w:t>
            </w:r>
          </w:p>
        </w:tc>
        <w:tc>
          <w:tcPr>
            <w:tcW w:w="6191" w:type="dxa"/>
            <w:hideMark/>
          </w:tcPr>
          <w:p w14:paraId="4D5FC57A"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iCs/>
                <w:color w:val="000000" w:themeColor="text1"/>
                <w:lang w:val="en-GB"/>
              </w:rPr>
              <w:t xml:space="preserve">Mexico – Anti-Dumping Investigation of High Fructose Corn Syrup (HFCS) from the United States, </w:t>
            </w:r>
            <w:r w:rsidRPr="003E3375">
              <w:rPr>
                <w:rFonts w:asciiTheme="minorHAnsi" w:hAnsiTheme="minorHAnsi" w:cstheme="minorHAnsi"/>
                <w:color w:val="000000" w:themeColor="text1"/>
                <w:u w:val="single"/>
                <w:lang w:val="en-GB"/>
              </w:rPr>
              <w:t>WT/DS132/R</w:t>
            </w:r>
            <w:r w:rsidRPr="003E3375">
              <w:rPr>
                <w:rFonts w:asciiTheme="minorHAnsi" w:hAnsiTheme="minorHAnsi" w:cstheme="minorHAnsi"/>
                <w:color w:val="000000" w:themeColor="text1"/>
                <w:lang w:val="en-GB"/>
              </w:rPr>
              <w:t>, adopted 24 February 2000, and Corr.1, DSR 2000:III, p. 1345</w:t>
            </w:r>
          </w:p>
        </w:tc>
      </w:tr>
      <w:tr w:rsidR="00B747DB" w:rsidRPr="00B747DB" w14:paraId="36E7CC9C" w14:textId="77777777" w:rsidTr="00B747DB">
        <w:trPr>
          <w:trHeight w:val="397"/>
        </w:trPr>
        <w:tc>
          <w:tcPr>
            <w:tcW w:w="2826" w:type="dxa"/>
            <w:hideMark/>
          </w:tcPr>
          <w:p w14:paraId="07724DA5" w14:textId="77777777" w:rsidR="00B747DB" w:rsidRPr="003E3375" w:rsidRDefault="00B747DB" w:rsidP="00651197">
            <w:pPr>
              <w:tabs>
                <w:tab w:val="left" w:pos="3987"/>
              </w:tabs>
              <w:spacing w:line="276" w:lineRule="auto"/>
              <w:jc w:val="left"/>
              <w:rPr>
                <w:rFonts w:asciiTheme="minorHAnsi" w:hAnsiTheme="minorHAnsi" w:cstheme="minorHAnsi"/>
                <w:i/>
                <w:iCs/>
                <w:color w:val="000000" w:themeColor="text1"/>
                <w:lang w:val="en-GB"/>
              </w:rPr>
            </w:pPr>
            <w:r w:rsidRPr="003E3375">
              <w:rPr>
                <w:rFonts w:asciiTheme="minorHAnsi" w:hAnsiTheme="minorHAnsi" w:cstheme="minorHAnsi"/>
                <w:i/>
                <w:iCs/>
                <w:color w:val="000000" w:themeColor="text1"/>
                <w:lang w:val="en-GB"/>
              </w:rPr>
              <w:t>Mexico – Steel Pipes and Tubes</w:t>
            </w:r>
          </w:p>
        </w:tc>
        <w:tc>
          <w:tcPr>
            <w:tcW w:w="6191" w:type="dxa"/>
            <w:hideMark/>
          </w:tcPr>
          <w:p w14:paraId="4719769A"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iCs/>
                <w:color w:val="000000" w:themeColor="text1"/>
                <w:lang w:val="en-GB"/>
              </w:rPr>
              <w:t xml:space="preserve">Mexico – Anti-Dumping Duties on Steel Pipes and Tubes from Guatemala, </w:t>
            </w:r>
            <w:r w:rsidRPr="003E3375">
              <w:rPr>
                <w:rFonts w:asciiTheme="minorHAnsi" w:hAnsiTheme="minorHAnsi" w:cstheme="minorHAnsi"/>
                <w:color w:val="000000" w:themeColor="text1"/>
                <w:u w:val="single"/>
                <w:lang w:val="en-GB"/>
              </w:rPr>
              <w:t>WT/DS331/R</w:t>
            </w:r>
            <w:r w:rsidRPr="003E3375">
              <w:rPr>
                <w:rFonts w:asciiTheme="minorHAnsi" w:hAnsiTheme="minorHAnsi" w:cstheme="minorHAnsi"/>
                <w:color w:val="000000" w:themeColor="text1"/>
                <w:lang w:val="en-GB"/>
              </w:rPr>
              <w:t>, adopted 24 July 2007, DSR 2007:IV, p. 1207</w:t>
            </w:r>
          </w:p>
        </w:tc>
      </w:tr>
      <w:tr w:rsidR="00B747DB" w:rsidRPr="00B747DB" w14:paraId="06DBB0C3" w14:textId="77777777" w:rsidTr="00B747DB">
        <w:trPr>
          <w:trHeight w:val="397"/>
        </w:trPr>
        <w:tc>
          <w:tcPr>
            <w:tcW w:w="2826" w:type="dxa"/>
            <w:hideMark/>
          </w:tcPr>
          <w:p w14:paraId="75A14E44" w14:textId="77777777" w:rsidR="00B747DB" w:rsidRPr="003E3375" w:rsidRDefault="00B747DB" w:rsidP="00651197">
            <w:pPr>
              <w:tabs>
                <w:tab w:val="left" w:pos="3987"/>
              </w:tabs>
              <w:spacing w:line="276" w:lineRule="auto"/>
              <w:jc w:val="left"/>
              <w:rPr>
                <w:rFonts w:asciiTheme="minorHAnsi" w:hAnsiTheme="minorHAnsi" w:cstheme="minorHAnsi"/>
                <w:i/>
                <w:iCs/>
                <w:color w:val="000000" w:themeColor="text1"/>
                <w:lang w:val="en-GB"/>
              </w:rPr>
            </w:pPr>
            <w:r w:rsidRPr="003E3375">
              <w:rPr>
                <w:rFonts w:asciiTheme="minorHAnsi" w:hAnsiTheme="minorHAnsi" w:cstheme="minorHAnsi"/>
                <w:i/>
                <w:iCs/>
                <w:color w:val="000000" w:themeColor="text1"/>
                <w:lang w:val="en-GB"/>
              </w:rPr>
              <w:t>Morocco – Hot-Rolled Steel (Turkey)</w:t>
            </w:r>
          </w:p>
        </w:tc>
        <w:tc>
          <w:tcPr>
            <w:tcW w:w="6191" w:type="dxa"/>
            <w:hideMark/>
          </w:tcPr>
          <w:p w14:paraId="48447F7D"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iCs/>
                <w:color w:val="000000" w:themeColor="text1"/>
                <w:lang w:val="en-GB"/>
              </w:rPr>
              <w:t>Morocco – Anti-Dumping Measures on Certain Hot-Rolled Steel from Turkey,</w:t>
            </w:r>
            <w:r w:rsidRPr="003E3375">
              <w:rPr>
                <w:rFonts w:asciiTheme="minorHAnsi" w:hAnsiTheme="minorHAnsi" w:cstheme="minorHAnsi"/>
                <w:color w:val="000000" w:themeColor="text1"/>
                <w:lang w:val="en-GB"/>
              </w:rPr>
              <w:t xml:space="preserve"> </w:t>
            </w:r>
            <w:r w:rsidRPr="003E3375">
              <w:rPr>
                <w:rFonts w:asciiTheme="minorHAnsi" w:hAnsiTheme="minorHAnsi" w:cstheme="minorHAnsi"/>
                <w:color w:val="000000" w:themeColor="text1"/>
                <w:u w:val="single"/>
                <w:lang w:val="en-GB"/>
              </w:rPr>
              <w:t xml:space="preserve">WT/DS513/R </w:t>
            </w:r>
            <w:r w:rsidRPr="003E3375">
              <w:rPr>
                <w:rFonts w:asciiTheme="minorHAnsi" w:hAnsiTheme="minorHAnsi" w:cstheme="minorHAnsi"/>
                <w:color w:val="000000" w:themeColor="text1"/>
                <w:lang w:val="en-GB"/>
              </w:rPr>
              <w:t xml:space="preserve">and Add.1, adopted 8 January 2020; appeal withdrawn by Morocco as reflected in Appellate Body Report </w:t>
            </w:r>
            <w:r w:rsidRPr="003E3375">
              <w:rPr>
                <w:rFonts w:asciiTheme="minorHAnsi" w:hAnsiTheme="minorHAnsi" w:cstheme="minorHAnsi"/>
                <w:color w:val="000000" w:themeColor="text1"/>
                <w:u w:val="single"/>
                <w:lang w:val="en-GB"/>
              </w:rPr>
              <w:t>WT/DS513/AB/R</w:t>
            </w:r>
          </w:p>
        </w:tc>
      </w:tr>
      <w:tr w:rsidR="00B747DB" w:rsidRPr="00B747DB" w14:paraId="335A8093" w14:textId="77777777" w:rsidTr="00B747DB">
        <w:trPr>
          <w:trHeight w:val="397"/>
        </w:trPr>
        <w:tc>
          <w:tcPr>
            <w:tcW w:w="2826" w:type="dxa"/>
            <w:hideMark/>
          </w:tcPr>
          <w:p w14:paraId="3518CDDB"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Pakistan – BOPP Film (UAE)</w:t>
            </w:r>
          </w:p>
        </w:tc>
        <w:tc>
          <w:tcPr>
            <w:tcW w:w="6191" w:type="dxa"/>
            <w:hideMark/>
          </w:tcPr>
          <w:p w14:paraId="139E1A10"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iCs/>
                <w:color w:val="000000" w:themeColor="text1"/>
                <w:lang w:val="en-GB"/>
              </w:rPr>
              <w:t>Pakistan – Anti-Dumping Measures on Biaxially Oriented Polypropylene Film from the United Arab Emirates</w:t>
            </w:r>
            <w:r w:rsidRPr="003E3375">
              <w:rPr>
                <w:rFonts w:asciiTheme="minorHAnsi" w:hAnsiTheme="minorHAnsi" w:cstheme="minorHAnsi"/>
                <w:color w:val="000000" w:themeColor="text1"/>
                <w:lang w:val="en-GB"/>
              </w:rPr>
              <w:t xml:space="preserve">, </w:t>
            </w:r>
            <w:hyperlink r:id="rId20" w:history="1">
              <w:r w:rsidRPr="003E3375">
                <w:rPr>
                  <w:rStyle w:val="Hyperlink"/>
                  <w:rFonts w:asciiTheme="minorHAnsi" w:hAnsiTheme="minorHAnsi" w:cstheme="minorHAnsi"/>
                  <w:color w:val="000000" w:themeColor="text1"/>
                  <w:lang w:val="en-GB"/>
                </w:rPr>
                <w:t>WT/DS538/R</w:t>
              </w:r>
            </w:hyperlink>
            <w:r w:rsidRPr="003E3375">
              <w:rPr>
                <w:rFonts w:asciiTheme="minorHAnsi" w:hAnsiTheme="minorHAnsi" w:cstheme="minorHAnsi"/>
                <w:color w:val="000000" w:themeColor="text1"/>
                <w:lang w:val="en-GB"/>
              </w:rPr>
              <w:t xml:space="preserve"> and Add.1, circulated to WTO Members 18 January 2021 [appealed; adoption pending]</w:t>
            </w:r>
          </w:p>
        </w:tc>
      </w:tr>
      <w:tr w:rsidR="00B747DB" w:rsidRPr="00B747DB" w14:paraId="0220F70E" w14:textId="77777777" w:rsidTr="00B747DB">
        <w:trPr>
          <w:trHeight w:val="397"/>
        </w:trPr>
        <w:tc>
          <w:tcPr>
            <w:tcW w:w="2826" w:type="dxa"/>
            <w:hideMark/>
          </w:tcPr>
          <w:p w14:paraId="32035A0D"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Thailand – H-Beams</w:t>
            </w:r>
          </w:p>
        </w:tc>
        <w:tc>
          <w:tcPr>
            <w:tcW w:w="6191" w:type="dxa"/>
            <w:hideMark/>
          </w:tcPr>
          <w:p w14:paraId="45A2659C"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color w:val="000000" w:themeColor="text1"/>
                <w:lang w:val="en-GB"/>
              </w:rPr>
              <w:t>Thailand – Anti-Dumping Duties on Angles, Shapes and Sections of Iron or Non-Alloy Steel and H-Beams from Poland</w:t>
            </w:r>
            <w:r w:rsidRPr="003E3375">
              <w:rPr>
                <w:rFonts w:asciiTheme="minorHAnsi" w:hAnsiTheme="minorHAnsi" w:cstheme="minorHAnsi"/>
                <w:color w:val="000000" w:themeColor="text1"/>
                <w:lang w:val="en-GB"/>
              </w:rPr>
              <w:t xml:space="preserve">, </w:t>
            </w:r>
            <w:hyperlink r:id="rId21" w:history="1">
              <w:r w:rsidRPr="003E3375">
                <w:rPr>
                  <w:rStyle w:val="Hyperlink"/>
                  <w:rFonts w:asciiTheme="minorHAnsi" w:hAnsiTheme="minorHAnsi" w:cstheme="minorHAnsi"/>
                  <w:color w:val="000000" w:themeColor="text1"/>
                  <w:lang w:val="en-GB"/>
                </w:rPr>
                <w:t>WT/DS122/R</w:t>
              </w:r>
            </w:hyperlink>
            <w:r w:rsidRPr="003E3375">
              <w:rPr>
                <w:rFonts w:asciiTheme="minorHAnsi" w:hAnsiTheme="minorHAnsi" w:cstheme="minorHAnsi"/>
                <w:color w:val="000000" w:themeColor="text1"/>
                <w:lang w:val="en-GB"/>
              </w:rPr>
              <w:t xml:space="preserve">, adopted 5 April 2001, as modified by Appellate Body Report </w:t>
            </w:r>
            <w:r w:rsidRPr="003E3375">
              <w:rPr>
                <w:rFonts w:asciiTheme="minorHAnsi" w:hAnsiTheme="minorHAnsi" w:cstheme="minorHAnsi"/>
                <w:color w:val="000000" w:themeColor="text1"/>
                <w:u w:val="single"/>
                <w:lang w:val="en-GB"/>
              </w:rPr>
              <w:t>WT/DS122/AB/R</w:t>
            </w:r>
            <w:r w:rsidRPr="003E3375">
              <w:rPr>
                <w:rFonts w:asciiTheme="minorHAnsi" w:hAnsiTheme="minorHAnsi" w:cstheme="minorHAnsi"/>
                <w:color w:val="000000" w:themeColor="text1"/>
                <w:lang w:val="en-GB"/>
              </w:rPr>
              <w:t>, DSR 2001:VII, p. 2741</w:t>
            </w:r>
          </w:p>
        </w:tc>
      </w:tr>
      <w:tr w:rsidR="00B747DB" w:rsidRPr="00B747DB" w14:paraId="55B18363" w14:textId="77777777" w:rsidTr="00B747DB">
        <w:trPr>
          <w:trHeight w:val="397"/>
        </w:trPr>
        <w:tc>
          <w:tcPr>
            <w:tcW w:w="2826" w:type="dxa"/>
            <w:hideMark/>
          </w:tcPr>
          <w:p w14:paraId="45B27E58"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US – Anti-Dumping and Countervailing Duties (China)</w:t>
            </w:r>
          </w:p>
        </w:tc>
        <w:tc>
          <w:tcPr>
            <w:tcW w:w="6191" w:type="dxa"/>
            <w:hideMark/>
          </w:tcPr>
          <w:p w14:paraId="6BA5E0E4"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Appellate Body Report, </w:t>
            </w:r>
            <w:r w:rsidRPr="003E3375">
              <w:rPr>
                <w:rFonts w:asciiTheme="minorHAnsi" w:hAnsiTheme="minorHAnsi" w:cstheme="minorHAnsi"/>
                <w:i/>
                <w:iCs/>
                <w:color w:val="000000" w:themeColor="text1"/>
                <w:lang w:val="en-GB"/>
              </w:rPr>
              <w:t>United States – Definitive Anti-Dumping and Countervailing Duties on Certain Products from China,</w:t>
            </w:r>
            <w:r w:rsidRPr="003E3375">
              <w:rPr>
                <w:rFonts w:asciiTheme="minorHAnsi" w:hAnsiTheme="minorHAnsi" w:cstheme="minorHAnsi"/>
                <w:color w:val="000000" w:themeColor="text1"/>
                <w:lang w:val="en-GB"/>
              </w:rPr>
              <w:t xml:space="preserve"> </w:t>
            </w:r>
            <w:r w:rsidRPr="003E3375">
              <w:rPr>
                <w:rFonts w:asciiTheme="minorHAnsi" w:hAnsiTheme="minorHAnsi" w:cstheme="minorHAnsi"/>
                <w:color w:val="000000" w:themeColor="text1"/>
                <w:u w:val="single"/>
                <w:lang w:val="en-GB"/>
              </w:rPr>
              <w:t>WT/DS379/AB/R</w:t>
            </w:r>
            <w:r w:rsidRPr="003E3375">
              <w:rPr>
                <w:rFonts w:asciiTheme="minorHAnsi" w:hAnsiTheme="minorHAnsi" w:cstheme="minorHAnsi"/>
                <w:color w:val="000000" w:themeColor="text1"/>
                <w:lang w:val="en-GB"/>
              </w:rPr>
              <w:t>, adopted 25 March 2011, DSR 2011:V, p. 2869</w:t>
            </w:r>
          </w:p>
        </w:tc>
      </w:tr>
      <w:tr w:rsidR="00B747DB" w:rsidRPr="00B747DB" w14:paraId="4CB9A7F7" w14:textId="77777777" w:rsidTr="00B747DB">
        <w:trPr>
          <w:trHeight w:val="397"/>
        </w:trPr>
        <w:tc>
          <w:tcPr>
            <w:tcW w:w="2826" w:type="dxa"/>
            <w:hideMark/>
          </w:tcPr>
          <w:p w14:paraId="160A50D9"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lang w:val="en-GB"/>
              </w:rPr>
            </w:pPr>
            <w:r w:rsidRPr="003E3375">
              <w:rPr>
                <w:rFonts w:asciiTheme="minorHAnsi" w:hAnsiTheme="minorHAnsi" w:cstheme="minorHAnsi"/>
                <w:i/>
                <w:iCs/>
                <w:color w:val="000000" w:themeColor="text1"/>
                <w:lang w:val="en-GB"/>
              </w:rPr>
              <w:t>US – Carbon Steel (India)</w:t>
            </w:r>
          </w:p>
        </w:tc>
        <w:tc>
          <w:tcPr>
            <w:tcW w:w="6191" w:type="dxa"/>
            <w:hideMark/>
          </w:tcPr>
          <w:p w14:paraId="24CC4D2E"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Appellate Body Report, </w:t>
            </w:r>
            <w:r w:rsidRPr="003E3375">
              <w:rPr>
                <w:rFonts w:asciiTheme="minorHAnsi" w:hAnsiTheme="minorHAnsi" w:cstheme="minorHAnsi"/>
                <w:i/>
                <w:color w:val="000000" w:themeColor="text1"/>
                <w:lang w:val="en-GB"/>
              </w:rPr>
              <w:t>United States – Countervailing Measures on Certain Hot-Rolled Carbon Steel Flat Products from India,</w:t>
            </w:r>
            <w:r w:rsidRPr="003E3375">
              <w:rPr>
                <w:rFonts w:asciiTheme="minorHAnsi" w:hAnsiTheme="minorHAnsi" w:cstheme="minorHAnsi"/>
                <w:color w:val="000000" w:themeColor="text1"/>
                <w:lang w:val="en-GB"/>
              </w:rPr>
              <w:t xml:space="preserve"> </w:t>
            </w:r>
            <w:r w:rsidRPr="003E3375">
              <w:rPr>
                <w:rFonts w:asciiTheme="minorHAnsi" w:hAnsiTheme="minorHAnsi" w:cstheme="minorHAnsi"/>
                <w:color w:val="000000" w:themeColor="text1"/>
                <w:u w:val="single"/>
                <w:lang w:val="en-GB"/>
              </w:rPr>
              <w:t>WT/DS436/AB/R</w:t>
            </w:r>
            <w:r w:rsidRPr="003E3375">
              <w:rPr>
                <w:rFonts w:asciiTheme="minorHAnsi" w:hAnsiTheme="minorHAnsi" w:cstheme="minorHAnsi"/>
                <w:color w:val="000000" w:themeColor="text1"/>
                <w:lang w:val="en-GB"/>
              </w:rPr>
              <w:t>, DSR 2014:VI, p. 2189</w:t>
            </w:r>
          </w:p>
        </w:tc>
      </w:tr>
      <w:tr w:rsidR="00B747DB" w:rsidRPr="00B747DB" w14:paraId="2469CF2E" w14:textId="77777777" w:rsidTr="00B747DB">
        <w:trPr>
          <w:trHeight w:val="397"/>
        </w:trPr>
        <w:tc>
          <w:tcPr>
            <w:tcW w:w="2826" w:type="dxa"/>
            <w:hideMark/>
          </w:tcPr>
          <w:p w14:paraId="096D88CC"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US – Hot-Rolled Steel</w:t>
            </w:r>
          </w:p>
        </w:tc>
        <w:tc>
          <w:tcPr>
            <w:tcW w:w="6191" w:type="dxa"/>
            <w:hideMark/>
          </w:tcPr>
          <w:p w14:paraId="4A25BA53"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rPr>
              <w:t xml:space="preserve">Appellate Body Report, </w:t>
            </w:r>
            <w:r w:rsidRPr="003E3375">
              <w:rPr>
                <w:rFonts w:asciiTheme="minorHAnsi" w:hAnsiTheme="minorHAnsi" w:cstheme="minorHAnsi"/>
                <w:i/>
                <w:iCs/>
                <w:color w:val="000000" w:themeColor="text1"/>
              </w:rPr>
              <w:t>United States – Anti-Dumping Measures on Certain Hot-Rolled Steel Products from Japan</w:t>
            </w:r>
            <w:r w:rsidRPr="003E3375">
              <w:rPr>
                <w:rFonts w:asciiTheme="minorHAnsi" w:hAnsiTheme="minorHAnsi" w:cstheme="minorHAnsi"/>
                <w:color w:val="000000" w:themeColor="text1"/>
              </w:rPr>
              <w:t xml:space="preserve">, </w:t>
            </w:r>
            <w:hyperlink r:id="rId22" w:history="1">
              <w:r w:rsidRPr="003E3375">
                <w:rPr>
                  <w:rStyle w:val="Hyperlink"/>
                  <w:rFonts w:asciiTheme="minorHAnsi" w:hAnsiTheme="minorHAnsi" w:cstheme="minorHAnsi"/>
                  <w:color w:val="000000" w:themeColor="text1"/>
                </w:rPr>
                <w:t>WT/DS184/AB/R</w:t>
              </w:r>
            </w:hyperlink>
            <w:r w:rsidRPr="003E3375">
              <w:rPr>
                <w:rFonts w:asciiTheme="minorHAnsi" w:hAnsiTheme="minorHAnsi" w:cstheme="minorHAnsi"/>
                <w:color w:val="000000" w:themeColor="text1"/>
              </w:rPr>
              <w:t>, adopted 23 August 2001, DSR 2001:X, p. 4697</w:t>
            </w:r>
          </w:p>
        </w:tc>
      </w:tr>
      <w:tr w:rsidR="00B747DB" w:rsidRPr="00B747DB" w14:paraId="467D64E3" w14:textId="77777777" w:rsidTr="00B747DB">
        <w:trPr>
          <w:trHeight w:val="397"/>
        </w:trPr>
        <w:tc>
          <w:tcPr>
            <w:tcW w:w="2826" w:type="dxa"/>
          </w:tcPr>
          <w:p w14:paraId="0A3DE710" w14:textId="77777777" w:rsidR="00B747DB" w:rsidRPr="003E3375" w:rsidRDefault="00B747DB" w:rsidP="00651197">
            <w:pPr>
              <w:pStyle w:val="TTTableText"/>
              <w:spacing w:line="276" w:lineRule="auto"/>
              <w:jc w:val="both"/>
              <w:rPr>
                <w:rFonts w:cstheme="minorHAnsi"/>
                <w:i/>
                <w:iCs/>
                <w:color w:val="000000" w:themeColor="text1"/>
              </w:rPr>
            </w:pPr>
            <w:r w:rsidRPr="003E3375">
              <w:rPr>
                <w:i/>
                <w:iCs/>
                <w:color w:val="000000" w:themeColor="text1"/>
              </w:rPr>
              <w:t>US – Hot-Rolled Steel</w:t>
            </w:r>
          </w:p>
        </w:tc>
        <w:tc>
          <w:tcPr>
            <w:tcW w:w="6191" w:type="dxa"/>
          </w:tcPr>
          <w:p w14:paraId="03D61201" w14:textId="77777777" w:rsidR="00B747DB" w:rsidRPr="003E3375" w:rsidRDefault="00B747DB" w:rsidP="00651197">
            <w:pPr>
              <w:pStyle w:val="TTTableText"/>
              <w:spacing w:line="276" w:lineRule="auto"/>
              <w:jc w:val="both"/>
              <w:rPr>
                <w:rFonts w:cstheme="minorHAnsi"/>
                <w:color w:val="000000" w:themeColor="text1"/>
              </w:rPr>
            </w:pPr>
            <w:r w:rsidRPr="003E3375">
              <w:rPr>
                <w:color w:val="000000" w:themeColor="text1"/>
              </w:rPr>
              <w:t xml:space="preserve">Panel Report, </w:t>
            </w:r>
            <w:r w:rsidRPr="003E3375">
              <w:rPr>
                <w:i/>
                <w:iCs/>
                <w:color w:val="000000" w:themeColor="text1"/>
              </w:rPr>
              <w:t>United States – Anti-Dumping Measures on Certain Hot-Rolled Steel Products from Japan</w:t>
            </w:r>
            <w:r w:rsidRPr="003E3375">
              <w:rPr>
                <w:color w:val="000000" w:themeColor="text1"/>
              </w:rPr>
              <w:t xml:space="preserve">, </w:t>
            </w:r>
            <w:hyperlink r:id="rId23" w:history="1">
              <w:r w:rsidRPr="003E3375">
                <w:rPr>
                  <w:rStyle w:val="Hyperlink"/>
                  <w:color w:val="000000" w:themeColor="text1"/>
                </w:rPr>
                <w:t>WT/DS184/R</w:t>
              </w:r>
            </w:hyperlink>
            <w:r w:rsidRPr="003E3375">
              <w:rPr>
                <w:color w:val="000000" w:themeColor="text1"/>
              </w:rPr>
              <w:t xml:space="preserve">, </w:t>
            </w:r>
            <w:r w:rsidRPr="003E3375">
              <w:rPr>
                <w:color w:val="000000" w:themeColor="text1"/>
              </w:rPr>
              <w:lastRenderedPageBreak/>
              <w:t>adopted 23 August 2001, as modified by Appellate Body Report WT/DS184/AB/R, DSR 2001:X, p. 4769</w:t>
            </w:r>
          </w:p>
        </w:tc>
      </w:tr>
      <w:tr w:rsidR="00B747DB" w:rsidRPr="00B747DB" w14:paraId="1D82AF7B" w14:textId="77777777" w:rsidTr="00B747DB">
        <w:trPr>
          <w:trHeight w:val="397"/>
        </w:trPr>
        <w:tc>
          <w:tcPr>
            <w:tcW w:w="2826" w:type="dxa"/>
          </w:tcPr>
          <w:p w14:paraId="53943EF7"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i/>
                <w:iCs/>
                <w:color w:val="000000" w:themeColor="text1"/>
              </w:rPr>
              <w:lastRenderedPageBreak/>
              <w:t xml:space="preserve">US – Large Civil </w:t>
            </w:r>
          </w:p>
          <w:p w14:paraId="79407626"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i/>
                <w:iCs/>
                <w:color w:val="000000" w:themeColor="text1"/>
              </w:rPr>
              <w:t xml:space="preserve">Aircraft (2nd Complaint) </w:t>
            </w:r>
          </w:p>
          <w:p w14:paraId="390189A4"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p>
        </w:tc>
        <w:tc>
          <w:tcPr>
            <w:tcW w:w="6191" w:type="dxa"/>
            <w:hideMark/>
          </w:tcPr>
          <w:p w14:paraId="0B0A198B"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Appellate Body Report, </w:t>
            </w:r>
            <w:r w:rsidRPr="003E3375">
              <w:rPr>
                <w:rFonts w:asciiTheme="minorHAnsi" w:hAnsiTheme="minorHAnsi" w:cstheme="minorHAnsi"/>
                <w:i/>
                <w:iCs/>
                <w:color w:val="000000" w:themeColor="text1"/>
              </w:rPr>
              <w:t>United States – Measures Affecting Trade in Large Civil Aircraft (Second Complaint)</w:t>
            </w:r>
            <w:r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u w:val="single"/>
              </w:rPr>
              <w:t>WT/DS353/AB/R</w:t>
            </w:r>
            <w:r w:rsidRPr="003E3375">
              <w:rPr>
                <w:rFonts w:asciiTheme="minorHAnsi" w:hAnsiTheme="minorHAnsi" w:cstheme="minorHAnsi"/>
                <w:color w:val="000000" w:themeColor="text1"/>
              </w:rPr>
              <w:t>, adopted 23 March 2012, DSR 2012:I, p. 7</w:t>
            </w:r>
          </w:p>
        </w:tc>
      </w:tr>
      <w:tr w:rsidR="00B747DB" w:rsidRPr="00B747DB" w14:paraId="3039368C" w14:textId="77777777" w:rsidTr="00B747DB">
        <w:trPr>
          <w:trHeight w:val="397"/>
        </w:trPr>
        <w:tc>
          <w:tcPr>
            <w:tcW w:w="2826" w:type="dxa"/>
          </w:tcPr>
          <w:p w14:paraId="3992CE30" w14:textId="77777777" w:rsidR="00B747DB" w:rsidRPr="003E3375" w:rsidRDefault="00B747DB" w:rsidP="00651197">
            <w:pPr>
              <w:pStyle w:val="TTTableText"/>
              <w:spacing w:line="276" w:lineRule="auto"/>
              <w:jc w:val="both"/>
              <w:rPr>
                <w:rFonts w:cstheme="minorHAnsi"/>
                <w:i/>
                <w:iCs/>
                <w:color w:val="000000" w:themeColor="text1"/>
              </w:rPr>
            </w:pPr>
            <w:r w:rsidRPr="003E3375">
              <w:rPr>
                <w:i/>
                <w:iCs/>
                <w:color w:val="000000" w:themeColor="text1"/>
              </w:rPr>
              <w:t>US – Softwood Lumber VI</w:t>
            </w:r>
          </w:p>
        </w:tc>
        <w:tc>
          <w:tcPr>
            <w:tcW w:w="6191" w:type="dxa"/>
          </w:tcPr>
          <w:p w14:paraId="4FFCCC5F" w14:textId="77777777" w:rsidR="00B747DB" w:rsidRPr="003E3375" w:rsidRDefault="00B747DB" w:rsidP="00651197">
            <w:pPr>
              <w:pStyle w:val="TTTableText"/>
              <w:spacing w:line="276" w:lineRule="auto"/>
              <w:jc w:val="both"/>
              <w:rPr>
                <w:rFonts w:cstheme="minorHAnsi"/>
                <w:color w:val="000000" w:themeColor="text1"/>
                <w:lang w:val="en-GB"/>
              </w:rPr>
            </w:pPr>
            <w:r w:rsidRPr="003E3375">
              <w:rPr>
                <w:color w:val="000000" w:themeColor="text1"/>
              </w:rPr>
              <w:t xml:space="preserve">Panel Report, </w:t>
            </w:r>
            <w:r w:rsidRPr="003E3375">
              <w:rPr>
                <w:i/>
                <w:iCs/>
                <w:color w:val="000000" w:themeColor="text1"/>
              </w:rPr>
              <w:t>United States – Investigation of the International Trade Commission in Softwood Lumber from Canada</w:t>
            </w:r>
            <w:r w:rsidRPr="003E3375">
              <w:rPr>
                <w:color w:val="000000" w:themeColor="text1"/>
              </w:rPr>
              <w:t xml:space="preserve">, </w:t>
            </w:r>
            <w:hyperlink r:id="rId24" w:history="1">
              <w:r w:rsidRPr="003E3375">
                <w:rPr>
                  <w:rStyle w:val="Hyperlink"/>
                  <w:color w:val="000000" w:themeColor="text1"/>
                </w:rPr>
                <w:t>WT/DS277/R</w:t>
              </w:r>
            </w:hyperlink>
            <w:r w:rsidRPr="003E3375">
              <w:rPr>
                <w:color w:val="000000" w:themeColor="text1"/>
              </w:rPr>
              <w:t>, adopted 26 April 2004, DSR 2004:VI, p. 2485</w:t>
            </w:r>
          </w:p>
        </w:tc>
      </w:tr>
      <w:tr w:rsidR="00B747DB" w:rsidRPr="00B747DB" w14:paraId="678112B6" w14:textId="77777777" w:rsidTr="00B747DB">
        <w:trPr>
          <w:trHeight w:val="397"/>
        </w:trPr>
        <w:tc>
          <w:tcPr>
            <w:tcW w:w="2826" w:type="dxa"/>
            <w:hideMark/>
          </w:tcPr>
          <w:p w14:paraId="1DEE7121"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US – Supercalendered Paper</w:t>
            </w:r>
          </w:p>
        </w:tc>
        <w:tc>
          <w:tcPr>
            <w:tcW w:w="6191" w:type="dxa"/>
            <w:hideMark/>
          </w:tcPr>
          <w:p w14:paraId="5F76B16A"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Panel Report, </w:t>
            </w:r>
            <w:r w:rsidRPr="003E3375">
              <w:rPr>
                <w:rFonts w:asciiTheme="minorHAnsi" w:hAnsiTheme="minorHAnsi" w:cstheme="minorHAnsi"/>
                <w:i/>
                <w:iCs/>
                <w:color w:val="000000" w:themeColor="text1"/>
                <w:lang w:val="en-GB"/>
              </w:rPr>
              <w:t>United States – Countervailing Measures on Supercalendered Paper from Canada,</w:t>
            </w:r>
            <w:r w:rsidRPr="003E3375">
              <w:rPr>
                <w:rFonts w:asciiTheme="minorHAnsi" w:hAnsiTheme="minorHAnsi" w:cstheme="minorHAnsi"/>
                <w:color w:val="000000" w:themeColor="text1"/>
                <w:lang w:val="en-GB"/>
              </w:rPr>
              <w:t xml:space="preserve"> </w:t>
            </w:r>
            <w:r w:rsidRPr="003E3375">
              <w:rPr>
                <w:rFonts w:asciiTheme="minorHAnsi" w:hAnsiTheme="minorHAnsi" w:cstheme="minorHAnsi"/>
                <w:color w:val="000000" w:themeColor="text1"/>
                <w:u w:val="single"/>
                <w:lang w:val="en-GB"/>
              </w:rPr>
              <w:t xml:space="preserve">WT/DS505/R </w:t>
            </w:r>
            <w:r w:rsidRPr="003E3375">
              <w:rPr>
                <w:rFonts w:asciiTheme="minorHAnsi" w:hAnsiTheme="minorHAnsi" w:cstheme="minorHAnsi"/>
                <w:color w:val="000000" w:themeColor="text1"/>
                <w:lang w:val="en-GB"/>
              </w:rPr>
              <w:t>and Add.1, adopted 5 March 2020, as upheld by Appellate Body Report WT/DS505/AB/R</w:t>
            </w:r>
          </w:p>
        </w:tc>
      </w:tr>
      <w:tr w:rsidR="00B747DB" w:rsidRPr="00B747DB" w14:paraId="279E1BB0" w14:textId="77777777" w:rsidTr="00B747DB">
        <w:trPr>
          <w:trHeight w:val="397"/>
        </w:trPr>
        <w:tc>
          <w:tcPr>
            <w:tcW w:w="2826" w:type="dxa"/>
            <w:hideMark/>
          </w:tcPr>
          <w:p w14:paraId="5DB7BCD6"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US – Steel Plate</w:t>
            </w:r>
          </w:p>
        </w:tc>
        <w:tc>
          <w:tcPr>
            <w:tcW w:w="6191" w:type="dxa"/>
            <w:hideMark/>
          </w:tcPr>
          <w:p w14:paraId="6CD44D15" w14:textId="77777777" w:rsidR="00B747DB" w:rsidRPr="003E3375" w:rsidRDefault="00B747DB" w:rsidP="00651197">
            <w:pPr>
              <w:pStyle w:val="Default"/>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Panel Report, </w:t>
            </w:r>
            <w:r w:rsidRPr="003E3375">
              <w:rPr>
                <w:rFonts w:asciiTheme="minorHAnsi" w:hAnsiTheme="minorHAnsi" w:cstheme="minorHAnsi"/>
                <w:i/>
                <w:iCs/>
                <w:color w:val="000000" w:themeColor="text1"/>
              </w:rPr>
              <w:t>United States – Anti-Dumping and Countervailing Measures on Steel Plate from India</w:t>
            </w:r>
            <w:r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u w:val="single"/>
              </w:rPr>
              <w:t>WT/DS206/R</w:t>
            </w:r>
            <w:r w:rsidRPr="003E3375">
              <w:rPr>
                <w:rFonts w:asciiTheme="minorHAnsi" w:hAnsiTheme="minorHAnsi" w:cstheme="minorHAnsi"/>
                <w:color w:val="000000" w:themeColor="text1"/>
              </w:rPr>
              <w:t xml:space="preserve"> and Corr.1, adopted 29 July 2002, DSR 2002:VI, p. 2073</w:t>
            </w:r>
          </w:p>
        </w:tc>
      </w:tr>
      <w:tr w:rsidR="00B747DB" w:rsidRPr="00B747DB" w14:paraId="6DAA7F22" w14:textId="77777777" w:rsidTr="00B747DB">
        <w:trPr>
          <w:trHeight w:val="397"/>
        </w:trPr>
        <w:tc>
          <w:tcPr>
            <w:tcW w:w="2826" w:type="dxa"/>
            <w:hideMark/>
          </w:tcPr>
          <w:p w14:paraId="7798E88E"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US – Steel Safeguards</w:t>
            </w:r>
          </w:p>
        </w:tc>
        <w:tc>
          <w:tcPr>
            <w:tcW w:w="6191" w:type="dxa"/>
            <w:hideMark/>
          </w:tcPr>
          <w:p w14:paraId="401E8393"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lang w:val="en-GB"/>
              </w:rPr>
              <w:t xml:space="preserve">Appellate Body Report, </w:t>
            </w:r>
            <w:r w:rsidRPr="003E3375">
              <w:rPr>
                <w:rFonts w:asciiTheme="minorHAnsi" w:hAnsiTheme="minorHAnsi" w:cstheme="minorHAnsi"/>
                <w:i/>
                <w:color w:val="000000" w:themeColor="text1"/>
                <w:lang w:val="en-GB"/>
              </w:rPr>
              <w:t>United States – Definitive Safeguard Measures on Imports of Certain Steel Products</w:t>
            </w:r>
            <w:r w:rsidRPr="003E3375">
              <w:rPr>
                <w:rFonts w:asciiTheme="minorHAnsi" w:hAnsiTheme="minorHAnsi" w:cstheme="minorHAnsi"/>
                <w:color w:val="000000" w:themeColor="text1"/>
                <w:lang w:val="en-GB"/>
              </w:rPr>
              <w:t xml:space="preserve">, </w:t>
            </w:r>
            <w:hyperlink r:id="rId25" w:history="1">
              <w:r w:rsidRPr="003E3375">
                <w:rPr>
                  <w:rStyle w:val="Hyperlink"/>
                  <w:rFonts w:asciiTheme="minorHAnsi" w:hAnsiTheme="minorHAnsi" w:cstheme="minorHAnsi"/>
                  <w:color w:val="000000" w:themeColor="text1"/>
                  <w:lang w:val="en-GB"/>
                </w:rPr>
                <w:t>WT/DS248/AB/R</w:t>
              </w:r>
            </w:hyperlink>
            <w:r w:rsidRPr="003E3375">
              <w:rPr>
                <w:rFonts w:asciiTheme="minorHAnsi" w:hAnsiTheme="minorHAnsi" w:cstheme="minorHAnsi"/>
                <w:color w:val="000000" w:themeColor="text1"/>
                <w:lang w:val="en-GB"/>
              </w:rPr>
              <w:t xml:space="preserve">, </w:t>
            </w:r>
            <w:hyperlink r:id="rId26" w:history="1">
              <w:r w:rsidRPr="003E3375">
                <w:rPr>
                  <w:rStyle w:val="Hyperlink"/>
                  <w:rFonts w:asciiTheme="minorHAnsi" w:hAnsiTheme="minorHAnsi" w:cstheme="minorHAnsi"/>
                  <w:color w:val="000000" w:themeColor="text1"/>
                  <w:lang w:val="en-GB"/>
                </w:rPr>
                <w:t>WT/DS249/AB/R</w:t>
              </w:r>
            </w:hyperlink>
            <w:r w:rsidRPr="003E3375">
              <w:rPr>
                <w:rFonts w:asciiTheme="minorHAnsi" w:hAnsiTheme="minorHAnsi" w:cstheme="minorHAnsi"/>
                <w:color w:val="000000" w:themeColor="text1"/>
                <w:lang w:val="en-GB"/>
              </w:rPr>
              <w:t xml:space="preserve">, </w:t>
            </w:r>
            <w:hyperlink r:id="rId27" w:history="1">
              <w:r w:rsidRPr="003E3375">
                <w:rPr>
                  <w:rStyle w:val="Hyperlink"/>
                  <w:rFonts w:asciiTheme="minorHAnsi" w:hAnsiTheme="minorHAnsi" w:cstheme="minorHAnsi"/>
                  <w:color w:val="000000" w:themeColor="text1"/>
                  <w:lang w:val="en-GB"/>
                </w:rPr>
                <w:t>WT/DS251/AB/R</w:t>
              </w:r>
            </w:hyperlink>
            <w:r w:rsidRPr="003E3375">
              <w:rPr>
                <w:rFonts w:asciiTheme="minorHAnsi" w:hAnsiTheme="minorHAnsi" w:cstheme="minorHAnsi"/>
                <w:color w:val="000000" w:themeColor="text1"/>
                <w:lang w:val="en-GB"/>
              </w:rPr>
              <w:t xml:space="preserve">, </w:t>
            </w:r>
            <w:hyperlink r:id="rId28" w:history="1">
              <w:r w:rsidRPr="003E3375">
                <w:rPr>
                  <w:rStyle w:val="Hyperlink"/>
                  <w:rFonts w:asciiTheme="minorHAnsi" w:hAnsiTheme="minorHAnsi" w:cstheme="minorHAnsi"/>
                  <w:color w:val="000000" w:themeColor="text1"/>
                  <w:lang w:val="en-GB"/>
                </w:rPr>
                <w:t>WT/DS252/AB/R</w:t>
              </w:r>
            </w:hyperlink>
            <w:r w:rsidRPr="003E3375">
              <w:rPr>
                <w:rFonts w:asciiTheme="minorHAnsi" w:hAnsiTheme="minorHAnsi" w:cstheme="minorHAnsi"/>
                <w:color w:val="000000" w:themeColor="text1"/>
                <w:lang w:val="en-GB"/>
              </w:rPr>
              <w:t xml:space="preserve">, </w:t>
            </w:r>
            <w:hyperlink r:id="rId29" w:history="1">
              <w:r w:rsidRPr="003E3375">
                <w:rPr>
                  <w:rStyle w:val="Hyperlink"/>
                  <w:rFonts w:asciiTheme="minorHAnsi" w:hAnsiTheme="minorHAnsi" w:cstheme="minorHAnsi"/>
                  <w:color w:val="000000" w:themeColor="text1"/>
                  <w:lang w:val="en-GB"/>
                </w:rPr>
                <w:t>WT/DS253/AB/R</w:t>
              </w:r>
            </w:hyperlink>
            <w:r w:rsidRPr="003E3375">
              <w:rPr>
                <w:rFonts w:asciiTheme="minorHAnsi" w:hAnsiTheme="minorHAnsi" w:cstheme="minorHAnsi"/>
                <w:color w:val="000000" w:themeColor="text1"/>
                <w:lang w:val="en-GB"/>
              </w:rPr>
              <w:t xml:space="preserve">, </w:t>
            </w:r>
            <w:hyperlink r:id="rId30" w:history="1">
              <w:r w:rsidRPr="003E3375">
                <w:rPr>
                  <w:rStyle w:val="Hyperlink"/>
                  <w:rFonts w:asciiTheme="minorHAnsi" w:hAnsiTheme="minorHAnsi" w:cstheme="minorHAnsi"/>
                  <w:color w:val="000000" w:themeColor="text1"/>
                  <w:lang w:val="en-GB"/>
                </w:rPr>
                <w:t>WT/DS254/AB/R</w:t>
              </w:r>
            </w:hyperlink>
            <w:r w:rsidRPr="003E3375">
              <w:rPr>
                <w:rFonts w:asciiTheme="minorHAnsi" w:hAnsiTheme="minorHAnsi" w:cstheme="minorHAnsi"/>
                <w:color w:val="000000" w:themeColor="text1"/>
                <w:lang w:val="en-GB"/>
              </w:rPr>
              <w:t xml:space="preserve">, </w:t>
            </w:r>
            <w:hyperlink r:id="rId31" w:history="1">
              <w:r w:rsidRPr="003E3375">
                <w:rPr>
                  <w:rStyle w:val="Hyperlink"/>
                  <w:rFonts w:asciiTheme="minorHAnsi" w:hAnsiTheme="minorHAnsi" w:cstheme="minorHAnsi"/>
                  <w:color w:val="000000" w:themeColor="text1"/>
                  <w:lang w:val="en-GB"/>
                </w:rPr>
                <w:t>WT/DS258/AB/R</w:t>
              </w:r>
            </w:hyperlink>
            <w:r w:rsidRPr="003E3375">
              <w:rPr>
                <w:rFonts w:asciiTheme="minorHAnsi" w:hAnsiTheme="minorHAnsi" w:cstheme="minorHAnsi"/>
                <w:color w:val="000000" w:themeColor="text1"/>
                <w:lang w:val="en-GB"/>
              </w:rPr>
              <w:t xml:space="preserve">, </w:t>
            </w:r>
            <w:hyperlink r:id="rId32" w:history="1">
              <w:r w:rsidRPr="003E3375">
                <w:rPr>
                  <w:rStyle w:val="Hyperlink"/>
                  <w:rFonts w:asciiTheme="minorHAnsi" w:hAnsiTheme="minorHAnsi" w:cstheme="minorHAnsi"/>
                  <w:color w:val="000000" w:themeColor="text1"/>
                  <w:lang w:val="en-GB"/>
                </w:rPr>
                <w:t>WT/DS259/AB/R</w:t>
              </w:r>
            </w:hyperlink>
            <w:r w:rsidRPr="003E3375">
              <w:rPr>
                <w:rFonts w:asciiTheme="minorHAnsi" w:hAnsiTheme="minorHAnsi" w:cstheme="minorHAnsi"/>
                <w:color w:val="000000" w:themeColor="text1"/>
                <w:lang w:val="en-GB"/>
              </w:rPr>
              <w:t>, adopted 10 December 2003, DSR 2003:VII, p. 3117</w:t>
            </w:r>
          </w:p>
        </w:tc>
      </w:tr>
      <w:tr w:rsidR="00B747DB" w:rsidRPr="00B747DB" w14:paraId="5AFE9735" w14:textId="77777777" w:rsidTr="00B747DB">
        <w:trPr>
          <w:trHeight w:val="397"/>
        </w:trPr>
        <w:tc>
          <w:tcPr>
            <w:tcW w:w="2826" w:type="dxa"/>
            <w:hideMark/>
          </w:tcPr>
          <w:p w14:paraId="40DC284C"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 xml:space="preserve">US – Washing Machines </w:t>
            </w:r>
          </w:p>
        </w:tc>
        <w:tc>
          <w:tcPr>
            <w:tcW w:w="6191" w:type="dxa"/>
            <w:hideMark/>
          </w:tcPr>
          <w:p w14:paraId="5902C9A5" w14:textId="77777777" w:rsidR="00B747DB" w:rsidRPr="003E3375" w:rsidRDefault="00B747DB" w:rsidP="00651197">
            <w:pPr>
              <w:pStyle w:val="TTTableText"/>
              <w:spacing w:line="276" w:lineRule="auto"/>
              <w:jc w:val="both"/>
              <w:rPr>
                <w:rFonts w:asciiTheme="minorHAnsi" w:hAnsiTheme="minorHAnsi" w:cstheme="minorHAnsi"/>
                <w:color w:val="000000" w:themeColor="text1"/>
                <w:lang w:val="en-GB"/>
              </w:rPr>
            </w:pPr>
            <w:r w:rsidRPr="003E3375">
              <w:rPr>
                <w:rFonts w:asciiTheme="minorHAnsi" w:hAnsiTheme="minorHAnsi" w:cstheme="minorHAnsi"/>
                <w:color w:val="000000" w:themeColor="text1"/>
                <w:lang w:val="en-GB"/>
              </w:rPr>
              <w:t xml:space="preserve">Appellate Body Report, </w:t>
            </w:r>
            <w:r w:rsidRPr="003E3375">
              <w:rPr>
                <w:rFonts w:asciiTheme="minorHAnsi" w:hAnsiTheme="minorHAnsi" w:cstheme="minorHAnsi"/>
                <w:i/>
                <w:iCs/>
                <w:color w:val="000000" w:themeColor="text1"/>
                <w:lang w:val="en-GB"/>
              </w:rPr>
              <w:t>United States – Anti-Dumping and Countervailing Measures on Large Residential Washers from Korea,</w:t>
            </w:r>
            <w:r w:rsidRPr="003E3375">
              <w:rPr>
                <w:rFonts w:asciiTheme="minorHAnsi" w:hAnsiTheme="minorHAnsi" w:cstheme="minorHAnsi"/>
                <w:color w:val="000000" w:themeColor="text1"/>
                <w:lang w:val="en-GB"/>
              </w:rPr>
              <w:t xml:space="preserve"> </w:t>
            </w:r>
            <w:r w:rsidRPr="003E3375">
              <w:rPr>
                <w:rFonts w:asciiTheme="minorHAnsi" w:hAnsiTheme="minorHAnsi" w:cstheme="minorHAnsi"/>
                <w:color w:val="000000" w:themeColor="text1"/>
                <w:u w:val="single"/>
                <w:lang w:val="en-GB"/>
              </w:rPr>
              <w:t>WT/DS464/AB/R</w:t>
            </w:r>
            <w:r w:rsidRPr="003E3375">
              <w:rPr>
                <w:rFonts w:asciiTheme="minorHAnsi" w:hAnsiTheme="minorHAnsi" w:cstheme="minorHAnsi"/>
                <w:color w:val="000000" w:themeColor="text1"/>
                <w:lang w:val="en-GB"/>
              </w:rPr>
              <w:t xml:space="preserve"> and Add.1, adopted 26 September 2016, DSR 2016:V, p. 2275</w:t>
            </w:r>
          </w:p>
        </w:tc>
      </w:tr>
      <w:tr w:rsidR="00B747DB" w:rsidRPr="00B747DB" w14:paraId="0C17E340" w14:textId="77777777" w:rsidTr="00B747DB">
        <w:trPr>
          <w:trHeight w:val="397"/>
        </w:trPr>
        <w:tc>
          <w:tcPr>
            <w:tcW w:w="2826" w:type="dxa"/>
            <w:hideMark/>
          </w:tcPr>
          <w:p w14:paraId="73FBA50B" w14:textId="77777777" w:rsidR="00B747DB" w:rsidRPr="003E3375" w:rsidRDefault="00B747DB" w:rsidP="00651197">
            <w:pPr>
              <w:pStyle w:val="TTTableText"/>
              <w:spacing w:line="276" w:lineRule="auto"/>
              <w:jc w:val="both"/>
              <w:rPr>
                <w:rFonts w:asciiTheme="minorHAnsi" w:hAnsiTheme="minorHAnsi" w:cstheme="minorHAnsi"/>
                <w:i/>
                <w:iCs/>
                <w:color w:val="000000" w:themeColor="text1"/>
              </w:rPr>
            </w:pPr>
            <w:r w:rsidRPr="003E3375">
              <w:rPr>
                <w:rFonts w:asciiTheme="minorHAnsi" w:hAnsiTheme="minorHAnsi" w:cstheme="minorHAnsi"/>
                <w:i/>
                <w:iCs/>
                <w:color w:val="000000" w:themeColor="text1"/>
              </w:rPr>
              <w:t>US – Wheat Gluten</w:t>
            </w:r>
          </w:p>
        </w:tc>
        <w:tc>
          <w:tcPr>
            <w:tcW w:w="6191" w:type="dxa"/>
            <w:hideMark/>
          </w:tcPr>
          <w:p w14:paraId="17F77A34" w14:textId="77777777" w:rsidR="00B747DB" w:rsidRPr="003E3375" w:rsidRDefault="00B747DB" w:rsidP="00651197">
            <w:pPr>
              <w:pStyle w:val="TTTableText"/>
              <w:spacing w:line="276" w:lineRule="auto"/>
              <w:jc w:val="both"/>
              <w:rPr>
                <w:rFonts w:asciiTheme="minorHAnsi" w:hAnsiTheme="minorHAnsi" w:cstheme="minorHAnsi"/>
                <w:color w:val="000000" w:themeColor="text1"/>
              </w:rPr>
            </w:pPr>
            <w:r w:rsidRPr="003E3375">
              <w:rPr>
                <w:rFonts w:asciiTheme="minorHAnsi" w:hAnsiTheme="minorHAnsi" w:cstheme="minorHAnsi"/>
                <w:color w:val="000000" w:themeColor="text1"/>
                <w:lang w:val="en-GB"/>
              </w:rPr>
              <w:t xml:space="preserve">Appellate Body Report, </w:t>
            </w:r>
            <w:r w:rsidRPr="003E3375">
              <w:rPr>
                <w:rFonts w:asciiTheme="minorHAnsi" w:hAnsiTheme="minorHAnsi" w:cstheme="minorHAnsi"/>
                <w:i/>
                <w:color w:val="000000" w:themeColor="text1"/>
                <w:lang w:val="en-GB"/>
              </w:rPr>
              <w:t>United States – Definitive Safeguard Measures on Imports of Wheat Gluten from the European Communities</w:t>
            </w:r>
            <w:r w:rsidRPr="003E3375">
              <w:rPr>
                <w:rFonts w:asciiTheme="minorHAnsi" w:hAnsiTheme="minorHAnsi" w:cstheme="minorHAnsi"/>
                <w:color w:val="000000" w:themeColor="text1"/>
                <w:lang w:val="en-GB"/>
              </w:rPr>
              <w:t xml:space="preserve">, </w:t>
            </w:r>
            <w:hyperlink r:id="rId33" w:history="1">
              <w:r w:rsidRPr="003E3375">
                <w:rPr>
                  <w:rStyle w:val="Hyperlink"/>
                  <w:rFonts w:asciiTheme="minorHAnsi" w:hAnsiTheme="minorHAnsi" w:cstheme="minorHAnsi"/>
                  <w:color w:val="000000" w:themeColor="text1"/>
                  <w:lang w:val="en-GB"/>
                </w:rPr>
                <w:t>WT/DS166/AB/R</w:t>
              </w:r>
            </w:hyperlink>
            <w:r w:rsidRPr="003E3375">
              <w:rPr>
                <w:rFonts w:asciiTheme="minorHAnsi" w:hAnsiTheme="minorHAnsi" w:cstheme="minorHAnsi"/>
                <w:color w:val="000000" w:themeColor="text1"/>
                <w:lang w:val="en-GB"/>
              </w:rPr>
              <w:t>, adopted 19 January 2001, DSR 2001:II, p. 717</w:t>
            </w:r>
          </w:p>
        </w:tc>
      </w:tr>
    </w:tbl>
    <w:p w14:paraId="38B58030" w14:textId="77777777" w:rsidR="001265FB" w:rsidRDefault="001265FB" w:rsidP="00E72E98">
      <w:pPr>
        <w:pStyle w:val="SHSectionHeading"/>
        <w:spacing w:line="276" w:lineRule="auto"/>
        <w:rPr>
          <w:rFonts w:asciiTheme="minorHAnsi" w:hAnsiTheme="minorHAnsi" w:cstheme="minorHAnsi"/>
          <w:color w:val="000000" w:themeColor="text1"/>
        </w:rPr>
      </w:pPr>
      <w:bookmarkStart w:id="2" w:name="_Toc114492215"/>
      <w:bookmarkEnd w:id="1"/>
    </w:p>
    <w:p w14:paraId="6EF20C42" w14:textId="77777777" w:rsidR="001265FB" w:rsidRDefault="001265FB">
      <w:pPr>
        <w:rPr>
          <w:rFonts w:asciiTheme="minorHAnsi" w:eastAsiaTheme="majorEastAsia" w:hAnsiTheme="minorHAnsi" w:cstheme="minorHAnsi"/>
          <w:b/>
          <w:caps/>
          <w:color w:val="000000" w:themeColor="text1"/>
          <w:szCs w:val="32"/>
        </w:rPr>
      </w:pPr>
      <w:r>
        <w:rPr>
          <w:rFonts w:asciiTheme="minorHAnsi" w:hAnsiTheme="minorHAnsi" w:cstheme="minorHAnsi"/>
          <w:color w:val="000000" w:themeColor="text1"/>
        </w:rPr>
        <w:br w:type="page"/>
      </w:r>
    </w:p>
    <w:p w14:paraId="66554DAB" w14:textId="69C2FE99" w:rsidR="0077268F" w:rsidRDefault="00CB4C1D" w:rsidP="001265FB">
      <w:pPr>
        <w:pStyle w:val="SHSectionHeading"/>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lastRenderedPageBreak/>
        <w:t>List of A</w:t>
      </w:r>
      <w:r w:rsidR="00427730" w:rsidRPr="003E3375">
        <w:rPr>
          <w:rFonts w:asciiTheme="minorHAnsi" w:hAnsiTheme="minorHAnsi" w:cstheme="minorHAnsi"/>
          <w:color w:val="000000" w:themeColor="text1"/>
        </w:rPr>
        <w:t>b</w:t>
      </w:r>
      <w:r w:rsidRPr="003E3375">
        <w:rPr>
          <w:rFonts w:asciiTheme="minorHAnsi" w:hAnsiTheme="minorHAnsi" w:cstheme="minorHAnsi"/>
          <w:color w:val="000000" w:themeColor="text1"/>
        </w:rPr>
        <w:t>breviations and Short Forms</w:t>
      </w:r>
      <w:bookmarkEnd w:id="2"/>
      <w:r w:rsidRPr="003E3375">
        <w:rPr>
          <w:rFonts w:asciiTheme="minorHAnsi" w:hAnsiTheme="minorHAnsi" w:cstheme="minorHAnsi"/>
          <w:color w:val="000000" w:themeColor="text1"/>
        </w:rPr>
        <w:t xml:space="preserve"> </w:t>
      </w:r>
    </w:p>
    <w:tbl>
      <w:tblPr>
        <w:tblStyle w:val="TableGrid"/>
        <w:tblW w:w="9242" w:type="dxa"/>
        <w:tblLook w:val="04A0" w:firstRow="1" w:lastRow="0" w:firstColumn="1" w:lastColumn="0" w:noHBand="0" w:noVBand="1"/>
      </w:tblPr>
      <w:tblGrid>
        <w:gridCol w:w="4621"/>
        <w:gridCol w:w="4621"/>
      </w:tblGrid>
      <w:tr w:rsidR="001265FB" w14:paraId="67DC52A1" w14:textId="77777777" w:rsidTr="001265FB">
        <w:trPr>
          <w:tblHeader/>
        </w:trPr>
        <w:tc>
          <w:tcPr>
            <w:tcW w:w="4621" w:type="dxa"/>
            <w:shd w:val="clear" w:color="auto" w:fill="D9D9D9" w:themeFill="background1" w:themeFillShade="D9"/>
          </w:tcPr>
          <w:p w14:paraId="641270AA" w14:textId="77777777" w:rsidR="001265FB" w:rsidRPr="005A2F8A" w:rsidRDefault="001265FB" w:rsidP="003D75C3">
            <w:pPr>
              <w:rPr>
                <w:b/>
                <w:bCs/>
              </w:rPr>
            </w:pPr>
            <w:r w:rsidRPr="005A2F8A">
              <w:rPr>
                <w:rFonts w:asciiTheme="minorHAnsi" w:hAnsiTheme="minorHAnsi" w:cstheme="minorHAnsi"/>
                <w:b/>
                <w:bCs/>
                <w:color w:val="000000" w:themeColor="text1"/>
              </w:rPr>
              <w:t>Abbreviation</w:t>
            </w:r>
          </w:p>
        </w:tc>
        <w:tc>
          <w:tcPr>
            <w:tcW w:w="4621" w:type="dxa"/>
            <w:shd w:val="clear" w:color="auto" w:fill="D9D9D9" w:themeFill="background1" w:themeFillShade="D9"/>
          </w:tcPr>
          <w:p w14:paraId="327905B2" w14:textId="77777777" w:rsidR="001265FB" w:rsidRPr="005A2F8A" w:rsidRDefault="001265FB" w:rsidP="003D75C3">
            <w:pPr>
              <w:rPr>
                <w:b/>
                <w:bCs/>
              </w:rPr>
            </w:pPr>
            <w:r w:rsidRPr="005A2F8A">
              <w:rPr>
                <w:rFonts w:asciiTheme="minorHAnsi" w:hAnsiTheme="minorHAnsi" w:cstheme="minorHAnsi"/>
                <w:b/>
                <w:bCs/>
                <w:color w:val="000000" w:themeColor="text1"/>
              </w:rPr>
              <w:t>Full Form or Description</w:t>
            </w:r>
          </w:p>
        </w:tc>
      </w:tr>
      <w:tr w:rsidR="001265FB" w14:paraId="56CA5BF0" w14:textId="77777777" w:rsidTr="003D75C3">
        <w:tc>
          <w:tcPr>
            <w:tcW w:w="4621" w:type="dxa"/>
          </w:tcPr>
          <w:p w14:paraId="0A5AE9F2" w14:textId="77777777" w:rsidR="001265FB" w:rsidRDefault="001265FB" w:rsidP="003D75C3">
            <w:r w:rsidRPr="003E3375">
              <w:rPr>
                <w:rFonts w:asciiTheme="minorHAnsi" w:hAnsiTheme="minorHAnsi" w:cstheme="minorHAnsi"/>
                <w:color w:val="000000" w:themeColor="text1"/>
              </w:rPr>
              <w:t>Anti-Dumping Agreement</w:t>
            </w:r>
          </w:p>
        </w:tc>
        <w:tc>
          <w:tcPr>
            <w:tcW w:w="4621" w:type="dxa"/>
          </w:tcPr>
          <w:p w14:paraId="5CCD9B44" w14:textId="77777777" w:rsidR="001265FB" w:rsidRDefault="001265FB" w:rsidP="003D75C3">
            <w:r w:rsidRPr="003E3375">
              <w:rPr>
                <w:rFonts w:asciiTheme="minorHAnsi" w:hAnsiTheme="minorHAnsi" w:cstheme="minorHAnsi"/>
                <w:color w:val="000000" w:themeColor="text1"/>
              </w:rPr>
              <w:t>Agreement on the Implementation of Article VI of GATT 1994</w:t>
            </w:r>
          </w:p>
        </w:tc>
      </w:tr>
      <w:tr w:rsidR="001265FB" w14:paraId="593099CD" w14:textId="77777777" w:rsidTr="003D75C3">
        <w:tc>
          <w:tcPr>
            <w:tcW w:w="4621" w:type="dxa"/>
          </w:tcPr>
          <w:p w14:paraId="2C35F708" w14:textId="77777777" w:rsidR="001265FB" w:rsidRDefault="001265FB" w:rsidP="003D75C3">
            <w:r w:rsidRPr="003E3375">
              <w:rPr>
                <w:rFonts w:asciiTheme="minorHAnsi" w:hAnsiTheme="minorHAnsi" w:cstheme="minorHAnsi"/>
                <w:color w:val="000000" w:themeColor="text1"/>
              </w:rPr>
              <w:t>Anti-Dumping Final Determination</w:t>
            </w:r>
          </w:p>
        </w:tc>
        <w:tc>
          <w:tcPr>
            <w:tcW w:w="4621" w:type="dxa"/>
          </w:tcPr>
          <w:p w14:paraId="2D52B683" w14:textId="77777777" w:rsidR="001265FB" w:rsidRDefault="001265FB" w:rsidP="003D75C3">
            <w:r w:rsidRPr="003E3375">
              <w:rPr>
                <w:rFonts w:asciiTheme="minorHAnsi" w:hAnsiTheme="minorHAnsi" w:cstheme="minorHAnsi"/>
                <w:color w:val="000000" w:themeColor="text1"/>
              </w:rPr>
              <w:t>MOFCOM, "Final Ruling of the Ministry of Commerce of the People's Republic of China on Anti-Dumping Investigation into Imported Barley from Australia", 18 May 2020</w:t>
            </w:r>
          </w:p>
        </w:tc>
      </w:tr>
      <w:tr w:rsidR="001265FB" w14:paraId="3A25BBC3" w14:textId="77777777" w:rsidTr="003D75C3">
        <w:tc>
          <w:tcPr>
            <w:tcW w:w="4621" w:type="dxa"/>
          </w:tcPr>
          <w:p w14:paraId="388941FD" w14:textId="77777777" w:rsidR="001265FB" w:rsidRDefault="001265FB" w:rsidP="003D75C3">
            <w:r w:rsidRPr="003E3375">
              <w:rPr>
                <w:rFonts w:asciiTheme="minorHAnsi" w:hAnsiTheme="minorHAnsi" w:cstheme="minorHAnsi"/>
                <w:color w:val="000000" w:themeColor="text1"/>
              </w:rPr>
              <w:t>Anti-Dumping Final Disclosure</w:t>
            </w:r>
          </w:p>
        </w:tc>
        <w:tc>
          <w:tcPr>
            <w:tcW w:w="4621" w:type="dxa"/>
          </w:tcPr>
          <w:p w14:paraId="04B54BB3" w14:textId="77777777" w:rsidR="001265FB" w:rsidRDefault="001265FB" w:rsidP="003D75C3">
            <w:r w:rsidRPr="003E3375">
              <w:rPr>
                <w:rFonts w:asciiTheme="minorHAnsi" w:hAnsiTheme="minorHAnsi" w:cstheme="minorHAnsi"/>
                <w:color w:val="000000" w:themeColor="text1"/>
              </w:rPr>
              <w:t>MOFCOM, "Facts on which the final award in the barley anti-dumping case will be based", 8 May 2020</w:t>
            </w:r>
          </w:p>
        </w:tc>
      </w:tr>
      <w:tr w:rsidR="001265FB" w14:paraId="23C924C3" w14:textId="77777777" w:rsidTr="003D75C3">
        <w:tc>
          <w:tcPr>
            <w:tcW w:w="4621" w:type="dxa"/>
          </w:tcPr>
          <w:p w14:paraId="54A10859" w14:textId="77777777" w:rsidR="001265FB" w:rsidRDefault="001265FB" w:rsidP="003D75C3">
            <w:r w:rsidRPr="003E3375">
              <w:rPr>
                <w:rFonts w:asciiTheme="minorHAnsi" w:hAnsiTheme="minorHAnsi" w:cstheme="minorHAnsi"/>
                <w:color w:val="000000" w:themeColor="text1"/>
              </w:rPr>
              <w:t>BCI</w:t>
            </w:r>
          </w:p>
        </w:tc>
        <w:tc>
          <w:tcPr>
            <w:tcW w:w="4621" w:type="dxa"/>
          </w:tcPr>
          <w:p w14:paraId="40CA1660" w14:textId="77777777" w:rsidR="001265FB" w:rsidRDefault="001265FB" w:rsidP="003D75C3">
            <w:r w:rsidRPr="003E3375">
              <w:rPr>
                <w:rFonts w:asciiTheme="minorHAnsi" w:hAnsiTheme="minorHAnsi" w:cstheme="minorHAnsi"/>
                <w:color w:val="000000" w:themeColor="text1"/>
              </w:rPr>
              <w:t>business confidential information</w:t>
            </w:r>
          </w:p>
        </w:tc>
      </w:tr>
      <w:tr w:rsidR="001265FB" w14:paraId="71778DC3" w14:textId="77777777" w:rsidTr="003D75C3">
        <w:tc>
          <w:tcPr>
            <w:tcW w:w="4621" w:type="dxa"/>
          </w:tcPr>
          <w:p w14:paraId="7694160B" w14:textId="77777777" w:rsidR="001265FB" w:rsidRDefault="001265FB" w:rsidP="003D75C3">
            <w:r w:rsidRPr="003E3375">
              <w:rPr>
                <w:rFonts w:asciiTheme="minorHAnsi" w:hAnsiTheme="minorHAnsi" w:cstheme="minorHAnsi"/>
                <w:color w:val="000000" w:themeColor="text1"/>
              </w:rPr>
              <w:t>CICC</w:t>
            </w:r>
          </w:p>
        </w:tc>
        <w:tc>
          <w:tcPr>
            <w:tcW w:w="4621" w:type="dxa"/>
          </w:tcPr>
          <w:p w14:paraId="2A1E8F98" w14:textId="77777777" w:rsidR="001265FB" w:rsidRDefault="001265FB" w:rsidP="003D75C3">
            <w:r w:rsidRPr="003E3375">
              <w:rPr>
                <w:rFonts w:asciiTheme="minorHAnsi" w:hAnsiTheme="minorHAnsi" w:cstheme="minorHAnsi"/>
                <w:color w:val="000000" w:themeColor="text1"/>
                <w:lang w:val="en-US"/>
              </w:rPr>
              <w:t>China International Chamber of Commerce</w:t>
            </w:r>
          </w:p>
        </w:tc>
      </w:tr>
      <w:tr w:rsidR="001265FB" w14:paraId="2087469B" w14:textId="77777777" w:rsidTr="003D75C3">
        <w:tc>
          <w:tcPr>
            <w:tcW w:w="4621" w:type="dxa"/>
          </w:tcPr>
          <w:p w14:paraId="12865FFD" w14:textId="77777777" w:rsidR="001265FB" w:rsidRDefault="001265FB" w:rsidP="003D75C3">
            <w:r w:rsidRPr="003E3375">
              <w:rPr>
                <w:rFonts w:asciiTheme="minorHAnsi" w:hAnsiTheme="minorHAnsi" w:cstheme="minorHAnsi"/>
                <w:color w:val="000000" w:themeColor="text1"/>
              </w:rPr>
              <w:t>Countervailing Duties Final Determination</w:t>
            </w:r>
          </w:p>
        </w:tc>
        <w:tc>
          <w:tcPr>
            <w:tcW w:w="4621" w:type="dxa"/>
          </w:tcPr>
          <w:p w14:paraId="481D20FC" w14:textId="77777777" w:rsidR="001265FB" w:rsidRDefault="001265FB" w:rsidP="003D75C3">
            <w:r w:rsidRPr="003E3375">
              <w:rPr>
                <w:rFonts w:asciiTheme="minorHAnsi" w:hAnsiTheme="minorHAnsi" w:cstheme="minorHAnsi"/>
                <w:color w:val="000000" w:themeColor="text1"/>
              </w:rPr>
              <w:t>MOFCOM, "Final Ruling of the Ministry of Commerce of the People's Republic of China on Countervailing Duty Investigation into Imported Barley from Australia", 18 May 2020</w:t>
            </w:r>
          </w:p>
        </w:tc>
      </w:tr>
      <w:tr w:rsidR="001265FB" w14:paraId="730A4F79" w14:textId="77777777" w:rsidTr="003D75C3">
        <w:tc>
          <w:tcPr>
            <w:tcW w:w="4621" w:type="dxa"/>
          </w:tcPr>
          <w:p w14:paraId="00AC60BC" w14:textId="77777777" w:rsidR="001265FB" w:rsidRDefault="001265FB" w:rsidP="003D75C3">
            <w:r w:rsidRPr="003E3375">
              <w:rPr>
                <w:rFonts w:asciiTheme="minorHAnsi" w:hAnsiTheme="minorHAnsi" w:cstheme="minorHAnsi"/>
                <w:color w:val="000000" w:themeColor="text1"/>
              </w:rPr>
              <w:t xml:space="preserve">Countervailing Duties Final Disclosure </w:t>
            </w:r>
          </w:p>
        </w:tc>
        <w:tc>
          <w:tcPr>
            <w:tcW w:w="4621" w:type="dxa"/>
          </w:tcPr>
          <w:p w14:paraId="7007B727" w14:textId="77777777" w:rsidR="001265FB" w:rsidRDefault="001265FB" w:rsidP="003D75C3">
            <w:r w:rsidRPr="003E3375">
              <w:rPr>
                <w:rFonts w:asciiTheme="minorHAnsi" w:hAnsiTheme="minorHAnsi" w:cstheme="minorHAnsi"/>
                <w:color w:val="000000" w:themeColor="text1"/>
              </w:rPr>
              <w:t>MOFCOM, "Basic facts based on which final determination on the countervailing duty investigation is made", 8 May 2020</w:t>
            </w:r>
          </w:p>
        </w:tc>
      </w:tr>
      <w:tr w:rsidR="001265FB" w14:paraId="6AF4C6E8" w14:textId="77777777" w:rsidTr="003D75C3">
        <w:tc>
          <w:tcPr>
            <w:tcW w:w="4621" w:type="dxa"/>
          </w:tcPr>
          <w:p w14:paraId="6D97C785"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DSU</w:t>
            </w:r>
          </w:p>
        </w:tc>
        <w:tc>
          <w:tcPr>
            <w:tcW w:w="4621" w:type="dxa"/>
          </w:tcPr>
          <w:p w14:paraId="72CE2F2D"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Understanding on Rules and Procedures Governing the Settlement of Disputes</w:t>
            </w:r>
          </w:p>
        </w:tc>
      </w:tr>
      <w:tr w:rsidR="001265FB" w14:paraId="1DD74853" w14:textId="77777777" w:rsidTr="003D75C3">
        <w:tc>
          <w:tcPr>
            <w:tcW w:w="4621" w:type="dxa"/>
          </w:tcPr>
          <w:p w14:paraId="4B7FB255"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GATT 1994</w:t>
            </w:r>
          </w:p>
        </w:tc>
        <w:tc>
          <w:tcPr>
            <w:tcW w:w="4621" w:type="dxa"/>
          </w:tcPr>
          <w:p w14:paraId="7CE9510D"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General Agreement on Tariffs and Trade 1994</w:t>
            </w:r>
          </w:p>
        </w:tc>
      </w:tr>
      <w:tr w:rsidR="001265FB" w14:paraId="4BC3935B" w14:textId="77777777" w:rsidTr="003D75C3">
        <w:tc>
          <w:tcPr>
            <w:tcW w:w="4621" w:type="dxa"/>
          </w:tcPr>
          <w:p w14:paraId="66FE6181"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Injury POI</w:t>
            </w:r>
          </w:p>
        </w:tc>
        <w:tc>
          <w:tcPr>
            <w:tcW w:w="4621" w:type="dxa"/>
          </w:tcPr>
          <w:p w14:paraId="47EF8B66"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Injury period of investigation (1 January 2014 to 30 September 2018)</w:t>
            </w:r>
          </w:p>
        </w:tc>
      </w:tr>
      <w:tr w:rsidR="001265FB" w14:paraId="536485BC" w14:textId="77777777" w:rsidTr="003D75C3">
        <w:tc>
          <w:tcPr>
            <w:tcW w:w="4621" w:type="dxa"/>
          </w:tcPr>
          <w:p w14:paraId="28F8F8F4" w14:textId="77777777" w:rsidR="001265FB" w:rsidRPr="003E3375" w:rsidRDefault="001265FB" w:rsidP="003D75C3">
            <w:pPr>
              <w:rPr>
                <w:rFonts w:cstheme="minorHAnsi"/>
                <w:color w:val="000000" w:themeColor="text1"/>
              </w:rPr>
            </w:pPr>
            <w:r w:rsidRPr="003E3375">
              <w:rPr>
                <w:rFonts w:asciiTheme="minorHAnsi" w:hAnsiTheme="minorHAnsi" w:cstheme="minorHAnsi"/>
                <w:iCs/>
                <w:color w:val="000000" w:themeColor="text1"/>
              </w:rPr>
              <w:t>MOFCOM</w:t>
            </w:r>
          </w:p>
        </w:tc>
        <w:tc>
          <w:tcPr>
            <w:tcW w:w="4621" w:type="dxa"/>
          </w:tcPr>
          <w:p w14:paraId="72737BE2" w14:textId="77777777" w:rsidR="001265FB" w:rsidRPr="003E3375" w:rsidRDefault="001265FB" w:rsidP="003D75C3">
            <w:pPr>
              <w:rPr>
                <w:rFonts w:cstheme="minorHAnsi"/>
                <w:color w:val="000000" w:themeColor="text1"/>
              </w:rPr>
            </w:pPr>
            <w:r w:rsidRPr="003E3375">
              <w:rPr>
                <w:rFonts w:asciiTheme="minorHAnsi" w:hAnsiTheme="minorHAnsi" w:cstheme="minorHAnsi"/>
                <w:bCs/>
                <w:color w:val="000000" w:themeColor="text1"/>
                <w:lang w:val="en-US"/>
              </w:rPr>
              <w:t>Ministry of Commerce of the People's Republic of China</w:t>
            </w:r>
          </w:p>
        </w:tc>
      </w:tr>
      <w:tr w:rsidR="001265FB" w14:paraId="34441D6D" w14:textId="77777777" w:rsidTr="003D75C3">
        <w:tc>
          <w:tcPr>
            <w:tcW w:w="4621" w:type="dxa"/>
          </w:tcPr>
          <w:p w14:paraId="526B6838" w14:textId="77777777" w:rsidR="001265FB" w:rsidRPr="003E3375" w:rsidRDefault="001265FB" w:rsidP="003D75C3">
            <w:pPr>
              <w:rPr>
                <w:rFonts w:cstheme="minorHAnsi"/>
                <w:iCs/>
                <w:color w:val="000000" w:themeColor="text1"/>
              </w:rPr>
            </w:pPr>
            <w:r w:rsidRPr="003E3375">
              <w:rPr>
                <w:rFonts w:asciiTheme="minorHAnsi" w:hAnsiTheme="minorHAnsi" w:cstheme="minorHAnsi"/>
                <w:iCs/>
                <w:color w:val="000000" w:themeColor="text1"/>
              </w:rPr>
              <w:t>POI</w:t>
            </w:r>
          </w:p>
        </w:tc>
        <w:tc>
          <w:tcPr>
            <w:tcW w:w="4621" w:type="dxa"/>
          </w:tcPr>
          <w:p w14:paraId="7D8A0DE6" w14:textId="77777777" w:rsidR="001265FB" w:rsidRPr="003E3375" w:rsidRDefault="001265FB" w:rsidP="003D75C3">
            <w:pPr>
              <w:rPr>
                <w:rFonts w:cstheme="minorHAnsi"/>
                <w:bCs/>
                <w:color w:val="000000" w:themeColor="text1"/>
                <w:lang w:val="en-US"/>
              </w:rPr>
            </w:pPr>
            <w:r w:rsidRPr="003E3375">
              <w:rPr>
                <w:rFonts w:asciiTheme="minorHAnsi" w:hAnsiTheme="minorHAnsi" w:cstheme="minorHAnsi"/>
                <w:color w:val="000000" w:themeColor="text1"/>
              </w:rPr>
              <w:t>period of investigation (1 October 2017 to 30 September 2018)</w:t>
            </w:r>
          </w:p>
        </w:tc>
      </w:tr>
      <w:tr w:rsidR="001265FB" w14:paraId="04DD54F8" w14:textId="77777777" w:rsidTr="003D75C3">
        <w:tc>
          <w:tcPr>
            <w:tcW w:w="4621" w:type="dxa"/>
          </w:tcPr>
          <w:p w14:paraId="3429B597" w14:textId="77777777" w:rsidR="001265FB" w:rsidRPr="003E3375" w:rsidRDefault="001265FB" w:rsidP="003D75C3">
            <w:pPr>
              <w:rPr>
                <w:rFonts w:cstheme="minorHAnsi"/>
                <w:iCs/>
                <w:color w:val="000000" w:themeColor="text1"/>
              </w:rPr>
            </w:pPr>
            <w:r w:rsidRPr="003E3375">
              <w:rPr>
                <w:rFonts w:asciiTheme="minorHAnsi" w:hAnsiTheme="minorHAnsi" w:cstheme="minorHAnsi"/>
                <w:color w:val="000000" w:themeColor="text1"/>
              </w:rPr>
              <w:t>SARMS Program</w:t>
            </w:r>
          </w:p>
        </w:tc>
        <w:tc>
          <w:tcPr>
            <w:tcW w:w="4621" w:type="dxa"/>
          </w:tcPr>
          <w:p w14:paraId="3F283746"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South Australian River Murray Sustainability Program</w:t>
            </w:r>
          </w:p>
        </w:tc>
      </w:tr>
      <w:tr w:rsidR="001265FB" w14:paraId="5860063F" w14:textId="77777777" w:rsidTr="003D75C3">
        <w:tc>
          <w:tcPr>
            <w:tcW w:w="4621" w:type="dxa"/>
          </w:tcPr>
          <w:p w14:paraId="3A116E15"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SCM Agreement</w:t>
            </w:r>
          </w:p>
        </w:tc>
        <w:tc>
          <w:tcPr>
            <w:tcW w:w="4621" w:type="dxa"/>
          </w:tcPr>
          <w:p w14:paraId="49B8FA1D"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Agreement on Subsidies and Countervailing Measures</w:t>
            </w:r>
          </w:p>
        </w:tc>
      </w:tr>
      <w:tr w:rsidR="001265FB" w14:paraId="010C26B3" w14:textId="77777777" w:rsidTr="003D75C3">
        <w:tc>
          <w:tcPr>
            <w:tcW w:w="4621" w:type="dxa"/>
          </w:tcPr>
          <w:p w14:paraId="76DC8550"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SRWUI Program</w:t>
            </w:r>
          </w:p>
        </w:tc>
        <w:tc>
          <w:tcPr>
            <w:tcW w:w="4621" w:type="dxa"/>
          </w:tcPr>
          <w:p w14:paraId="04F33385"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Sustainable Rural Water Use and Infrastructure Program</w:t>
            </w:r>
          </w:p>
        </w:tc>
      </w:tr>
      <w:tr w:rsidR="001265FB" w14:paraId="2240E55B" w14:textId="77777777" w:rsidTr="003D75C3">
        <w:tc>
          <w:tcPr>
            <w:tcW w:w="4621" w:type="dxa"/>
          </w:tcPr>
          <w:p w14:paraId="4A35490A"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VAIJ Fund</w:t>
            </w:r>
          </w:p>
        </w:tc>
        <w:tc>
          <w:tcPr>
            <w:tcW w:w="4621" w:type="dxa"/>
          </w:tcPr>
          <w:p w14:paraId="793FDE52"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Agriculture Infrastructure and Jobs Fund – Victoria</w:t>
            </w:r>
          </w:p>
        </w:tc>
      </w:tr>
      <w:tr w:rsidR="001265FB" w14:paraId="0D3C48AA" w14:textId="77777777" w:rsidTr="003D75C3">
        <w:tc>
          <w:tcPr>
            <w:tcW w:w="4621" w:type="dxa"/>
          </w:tcPr>
          <w:p w14:paraId="2EAB8763"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WTO</w:t>
            </w:r>
          </w:p>
        </w:tc>
        <w:tc>
          <w:tcPr>
            <w:tcW w:w="4621" w:type="dxa"/>
          </w:tcPr>
          <w:p w14:paraId="0575A4B4" w14:textId="77777777" w:rsidR="001265FB" w:rsidRPr="003E3375" w:rsidRDefault="001265FB" w:rsidP="003D75C3">
            <w:pPr>
              <w:rPr>
                <w:rFonts w:cstheme="minorHAnsi"/>
                <w:color w:val="000000" w:themeColor="text1"/>
              </w:rPr>
            </w:pPr>
            <w:r w:rsidRPr="003E3375">
              <w:rPr>
                <w:rFonts w:asciiTheme="minorHAnsi" w:hAnsiTheme="minorHAnsi" w:cstheme="minorHAnsi"/>
                <w:color w:val="000000" w:themeColor="text1"/>
              </w:rPr>
              <w:t>World Trade Organization</w:t>
            </w:r>
          </w:p>
        </w:tc>
      </w:tr>
    </w:tbl>
    <w:p w14:paraId="4ECD64A1" w14:textId="2F1F7EEE" w:rsidR="001265FB" w:rsidRPr="003E3375" w:rsidRDefault="001265FB" w:rsidP="00E72E98">
      <w:pPr>
        <w:spacing w:line="276" w:lineRule="auto"/>
        <w:rPr>
          <w:rFonts w:asciiTheme="minorHAnsi" w:hAnsiTheme="minorHAnsi" w:cstheme="minorHAnsi"/>
          <w:color w:val="000000" w:themeColor="text1"/>
        </w:rPr>
        <w:sectPr w:rsidR="001265FB" w:rsidRPr="003E3375" w:rsidSect="00A46F4C">
          <w:headerReference w:type="default" r:id="rId34"/>
          <w:footerReference w:type="default" r:id="rId35"/>
          <w:footerReference w:type="first" r:id="rId36"/>
          <w:pgSz w:w="11906" w:h="16838" w:code="9"/>
          <w:pgMar w:top="1701" w:right="1418" w:bottom="1418" w:left="1418" w:header="567" w:footer="567" w:gutter="0"/>
          <w:pgNumType w:fmt="lowerRoman" w:start="1"/>
          <w:cols w:space="708"/>
          <w:titlePg/>
          <w:docGrid w:linePitch="360"/>
        </w:sectPr>
      </w:pPr>
    </w:p>
    <w:p w14:paraId="1ECF8194" w14:textId="47015344" w:rsidR="00D52A17" w:rsidRPr="003E3375" w:rsidRDefault="005F08E3" w:rsidP="00B841EF">
      <w:pPr>
        <w:pStyle w:val="HL1HeadingLevel1"/>
        <w:rPr>
          <w:color w:val="000000" w:themeColor="text1"/>
        </w:rPr>
      </w:pPr>
      <w:bookmarkStart w:id="3" w:name="_Toc114492216"/>
      <w:r w:rsidRPr="003E3375">
        <w:rPr>
          <w:color w:val="000000" w:themeColor="text1"/>
        </w:rPr>
        <w:lastRenderedPageBreak/>
        <w:t>Introduction</w:t>
      </w:r>
      <w:bookmarkEnd w:id="3"/>
    </w:p>
    <w:p w14:paraId="7B2F397E" w14:textId="28A06711" w:rsidR="003625D1" w:rsidRPr="003E3375" w:rsidRDefault="00942CC4"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Australia </w:t>
      </w:r>
      <w:r w:rsidR="00A57046" w:rsidRPr="003E3375">
        <w:rPr>
          <w:rFonts w:asciiTheme="minorHAnsi" w:hAnsiTheme="minorHAnsi" w:cstheme="minorHAnsi"/>
          <w:color w:val="000000" w:themeColor="text1"/>
        </w:rPr>
        <w:t xml:space="preserve">has established </w:t>
      </w:r>
      <w:r w:rsidRPr="003E3375">
        <w:rPr>
          <w:rFonts w:asciiTheme="minorHAnsi" w:hAnsiTheme="minorHAnsi" w:cstheme="minorHAnsi"/>
          <w:color w:val="000000" w:themeColor="text1"/>
        </w:rPr>
        <w:t xml:space="preserve">that </w:t>
      </w:r>
      <w:r w:rsidR="00C47447" w:rsidRPr="003E3375">
        <w:rPr>
          <w:rFonts w:asciiTheme="minorHAnsi" w:hAnsiTheme="minorHAnsi" w:cstheme="minorHAnsi"/>
          <w:color w:val="000000" w:themeColor="text1"/>
        </w:rPr>
        <w:t>China</w:t>
      </w:r>
      <w:r w:rsidR="00D04435" w:rsidRPr="003E3375">
        <w:rPr>
          <w:rFonts w:asciiTheme="minorHAnsi" w:hAnsiTheme="minorHAnsi" w:cstheme="minorHAnsi"/>
          <w:color w:val="000000" w:themeColor="text1"/>
        </w:rPr>
        <w:t>'</w:t>
      </w:r>
      <w:r w:rsidR="00A57046" w:rsidRPr="003E3375">
        <w:rPr>
          <w:rFonts w:asciiTheme="minorHAnsi" w:hAnsiTheme="minorHAnsi" w:cstheme="minorHAnsi"/>
          <w:color w:val="000000" w:themeColor="text1"/>
        </w:rPr>
        <w:t xml:space="preserve">s </w:t>
      </w:r>
      <w:r w:rsidR="00701C34" w:rsidRPr="003E3375">
        <w:rPr>
          <w:rFonts w:asciiTheme="minorHAnsi" w:hAnsiTheme="minorHAnsi" w:cstheme="minorHAnsi"/>
          <w:color w:val="000000" w:themeColor="text1"/>
        </w:rPr>
        <w:t xml:space="preserve">measures imposing </w:t>
      </w:r>
      <w:r w:rsidRPr="003E3375">
        <w:rPr>
          <w:rFonts w:asciiTheme="minorHAnsi" w:hAnsiTheme="minorHAnsi" w:cstheme="minorHAnsi"/>
          <w:color w:val="000000" w:themeColor="text1"/>
        </w:rPr>
        <w:t xml:space="preserve">anti-dumping and countervailing duties on </w:t>
      </w:r>
      <w:r w:rsidR="00E62D79" w:rsidRPr="003E3375">
        <w:rPr>
          <w:rFonts w:asciiTheme="minorHAnsi" w:hAnsiTheme="minorHAnsi" w:cstheme="minorHAnsi"/>
          <w:color w:val="000000" w:themeColor="text1"/>
        </w:rPr>
        <w:t xml:space="preserve">Australian </w:t>
      </w:r>
      <w:r w:rsidRPr="003E3375">
        <w:rPr>
          <w:rFonts w:asciiTheme="minorHAnsi" w:hAnsiTheme="minorHAnsi" w:cstheme="minorHAnsi"/>
          <w:color w:val="000000" w:themeColor="text1"/>
        </w:rPr>
        <w:t xml:space="preserve">barley are inconsistent with China's </w:t>
      </w:r>
      <w:r w:rsidR="003625D1" w:rsidRPr="003E3375">
        <w:rPr>
          <w:rFonts w:asciiTheme="minorHAnsi" w:hAnsiTheme="minorHAnsi" w:cstheme="minorHAnsi"/>
          <w:color w:val="000000" w:themeColor="text1"/>
        </w:rPr>
        <w:t>obligations under the Anti-Dumping Agreement, the SCM Agreement, and the GATT 1994.</w:t>
      </w:r>
      <w:r w:rsidR="006A43FE" w:rsidRPr="003E3375">
        <w:rPr>
          <w:rFonts w:asciiTheme="minorHAnsi" w:hAnsiTheme="minorHAnsi" w:cstheme="minorHAnsi"/>
          <w:color w:val="000000" w:themeColor="text1"/>
        </w:rPr>
        <w:t xml:space="preserve"> These </w:t>
      </w:r>
      <w:r w:rsidR="00701C34" w:rsidRPr="003E3375">
        <w:rPr>
          <w:rFonts w:asciiTheme="minorHAnsi" w:hAnsiTheme="minorHAnsi" w:cstheme="minorHAnsi"/>
          <w:color w:val="000000" w:themeColor="text1"/>
        </w:rPr>
        <w:t xml:space="preserve">measures </w:t>
      </w:r>
      <w:r w:rsidR="003425EE" w:rsidRPr="003E3375">
        <w:rPr>
          <w:rFonts w:asciiTheme="minorHAnsi" w:hAnsiTheme="minorHAnsi" w:cstheme="minorHAnsi"/>
          <w:color w:val="000000" w:themeColor="text1"/>
        </w:rPr>
        <w:t>are</w:t>
      </w:r>
      <w:r w:rsidR="006A43FE" w:rsidRPr="003E3375">
        <w:rPr>
          <w:rFonts w:asciiTheme="minorHAnsi" w:hAnsiTheme="minorHAnsi" w:cstheme="minorHAnsi"/>
          <w:color w:val="000000" w:themeColor="text1"/>
        </w:rPr>
        <w:t xml:space="preserve"> the result of </w:t>
      </w:r>
      <w:r w:rsidR="00701C34" w:rsidRPr="003E3375">
        <w:rPr>
          <w:rFonts w:asciiTheme="minorHAnsi" w:hAnsiTheme="minorHAnsi" w:cstheme="minorHAnsi"/>
          <w:color w:val="000000" w:themeColor="text1"/>
        </w:rPr>
        <w:t>WTO-inconsistent</w:t>
      </w:r>
      <w:r w:rsidR="006A43FE" w:rsidRPr="003E3375">
        <w:rPr>
          <w:rFonts w:asciiTheme="minorHAnsi" w:hAnsiTheme="minorHAnsi" w:cstheme="minorHAnsi"/>
          <w:color w:val="000000" w:themeColor="text1"/>
        </w:rPr>
        <w:t xml:space="preserve"> investigation</w:t>
      </w:r>
      <w:r w:rsidR="00A57046" w:rsidRPr="003E3375">
        <w:rPr>
          <w:rFonts w:asciiTheme="minorHAnsi" w:hAnsiTheme="minorHAnsi" w:cstheme="minorHAnsi"/>
          <w:color w:val="000000" w:themeColor="text1"/>
        </w:rPr>
        <w:t>s and determinations</w:t>
      </w:r>
      <w:r w:rsidR="006A43FE" w:rsidRPr="003E3375">
        <w:rPr>
          <w:rFonts w:asciiTheme="minorHAnsi" w:hAnsiTheme="minorHAnsi" w:cstheme="minorHAnsi"/>
          <w:color w:val="000000" w:themeColor="text1"/>
        </w:rPr>
        <w:t xml:space="preserve"> by China's investigating authority, MOFCOM.</w:t>
      </w:r>
    </w:p>
    <w:p w14:paraId="18E4337E" w14:textId="13E8A32D" w:rsidR="0022391A" w:rsidRPr="003E3375" w:rsidRDefault="008B5459"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China</w:t>
      </w:r>
      <w:r w:rsidR="003625D1" w:rsidRPr="003E3375">
        <w:rPr>
          <w:rFonts w:asciiTheme="minorHAnsi" w:hAnsiTheme="minorHAnsi" w:cstheme="minorHAnsi"/>
          <w:color w:val="000000" w:themeColor="text1"/>
        </w:rPr>
        <w:t xml:space="preserve"> </w:t>
      </w:r>
      <w:r w:rsidR="00FC5854" w:rsidRPr="003E3375">
        <w:rPr>
          <w:rFonts w:asciiTheme="minorHAnsi" w:hAnsiTheme="minorHAnsi" w:cstheme="minorHAnsi"/>
          <w:color w:val="000000" w:themeColor="text1"/>
        </w:rPr>
        <w:t xml:space="preserve">has </w:t>
      </w:r>
      <w:r w:rsidR="003625D1" w:rsidRPr="003E3375">
        <w:rPr>
          <w:rFonts w:asciiTheme="minorHAnsi" w:hAnsiTheme="minorHAnsi" w:cstheme="minorHAnsi"/>
          <w:color w:val="000000" w:themeColor="text1"/>
        </w:rPr>
        <w:t xml:space="preserve">failed to provide any legal or factual basis to rebut Australia's </w:t>
      </w:r>
      <w:r w:rsidR="003625D1" w:rsidRPr="003E3375">
        <w:rPr>
          <w:rFonts w:asciiTheme="minorHAnsi" w:hAnsiTheme="minorHAnsi" w:cstheme="minorHAnsi"/>
          <w:i/>
          <w:iCs/>
          <w:color w:val="000000" w:themeColor="text1"/>
        </w:rPr>
        <w:t>prima facie</w:t>
      </w:r>
      <w:r w:rsidR="003625D1" w:rsidRPr="003E3375">
        <w:rPr>
          <w:rFonts w:asciiTheme="minorHAnsi" w:hAnsiTheme="minorHAnsi" w:cstheme="minorHAnsi"/>
          <w:color w:val="000000" w:themeColor="text1"/>
        </w:rPr>
        <w:t xml:space="preserve"> case</w:t>
      </w:r>
      <w:r w:rsidRPr="003E3375">
        <w:rPr>
          <w:rFonts w:asciiTheme="minorHAnsi" w:hAnsiTheme="minorHAnsi" w:cstheme="minorHAnsi"/>
          <w:color w:val="000000" w:themeColor="text1"/>
        </w:rPr>
        <w:t xml:space="preserve"> in respect of each claim that Australia advanced</w:t>
      </w:r>
      <w:r w:rsidR="003625D1" w:rsidRPr="003E3375">
        <w:rPr>
          <w:rFonts w:asciiTheme="minorHAnsi" w:hAnsiTheme="minorHAnsi" w:cstheme="minorHAnsi"/>
          <w:color w:val="000000" w:themeColor="text1"/>
        </w:rPr>
        <w:t xml:space="preserve">. Instead, China has </w:t>
      </w:r>
      <w:r w:rsidR="00AD4FD1" w:rsidRPr="003E3375">
        <w:rPr>
          <w:rFonts w:asciiTheme="minorHAnsi" w:hAnsiTheme="minorHAnsi" w:cstheme="minorHAnsi"/>
          <w:color w:val="000000" w:themeColor="text1"/>
        </w:rPr>
        <w:t>referred back to incomprehensible passages in the Final Determinations, contested translations</w:t>
      </w:r>
      <w:r w:rsidR="00D32C60" w:rsidRPr="003E3375">
        <w:rPr>
          <w:rFonts w:asciiTheme="minorHAnsi" w:hAnsiTheme="minorHAnsi" w:cstheme="minorHAnsi"/>
          <w:color w:val="000000" w:themeColor="text1"/>
        </w:rPr>
        <w:t xml:space="preserve"> in Australia's versions of the Final Determinations that are neither relevant nor material to the issues before the Panel, introduced </w:t>
      </w:r>
      <w:r w:rsidR="00D32C60" w:rsidRPr="003E3375">
        <w:rPr>
          <w:rFonts w:asciiTheme="minorHAnsi" w:hAnsiTheme="minorHAnsi" w:cstheme="minorHAnsi"/>
          <w:i/>
          <w:iCs/>
          <w:color w:val="000000" w:themeColor="text1"/>
        </w:rPr>
        <w:t>ex post facto</w:t>
      </w:r>
      <w:r w:rsidR="00D32C60" w:rsidRPr="003E3375">
        <w:rPr>
          <w:rFonts w:asciiTheme="minorHAnsi" w:hAnsiTheme="minorHAnsi" w:cstheme="minorHAnsi"/>
          <w:color w:val="000000" w:themeColor="text1"/>
        </w:rPr>
        <w:t xml:space="preserve"> rationalisations, and attempted</w:t>
      </w:r>
      <w:r w:rsidR="00837046" w:rsidRPr="003E3375">
        <w:rPr>
          <w:rFonts w:asciiTheme="minorHAnsi" w:hAnsiTheme="minorHAnsi" w:cstheme="minorHAnsi"/>
          <w:color w:val="000000" w:themeColor="text1"/>
        </w:rPr>
        <w:t>,</w:t>
      </w:r>
      <w:r w:rsidR="00D32C60" w:rsidRPr="003E3375">
        <w:rPr>
          <w:rFonts w:asciiTheme="minorHAnsi" w:hAnsiTheme="minorHAnsi" w:cstheme="minorHAnsi"/>
          <w:color w:val="000000" w:themeColor="text1"/>
        </w:rPr>
        <w:t xml:space="preserve"> through its interpretations</w:t>
      </w:r>
      <w:r w:rsidR="00837046" w:rsidRPr="003E3375">
        <w:rPr>
          <w:rFonts w:asciiTheme="minorHAnsi" w:hAnsiTheme="minorHAnsi" w:cstheme="minorHAnsi"/>
          <w:color w:val="000000" w:themeColor="text1"/>
        </w:rPr>
        <w:t>,</w:t>
      </w:r>
      <w:r w:rsidR="00D32C60" w:rsidRPr="003E3375">
        <w:rPr>
          <w:rFonts w:asciiTheme="minorHAnsi" w:hAnsiTheme="minorHAnsi" w:cstheme="minorHAnsi"/>
          <w:color w:val="000000" w:themeColor="text1"/>
        </w:rPr>
        <w:t xml:space="preserve"> to hollow out key obligations in the Anti-Dumping and SCM Agreements.</w:t>
      </w:r>
    </w:p>
    <w:p w14:paraId="1FE039E3" w14:textId="447B6F48" w:rsidR="00EE4CA6" w:rsidRPr="003E3375" w:rsidRDefault="00AD4FD1" w:rsidP="00E72E98">
      <w:pPr>
        <w:pStyle w:val="HL2HeadingLevel2"/>
        <w:spacing w:line="276" w:lineRule="auto"/>
        <w:rPr>
          <w:rFonts w:asciiTheme="minorHAnsi" w:hAnsiTheme="minorHAnsi" w:cstheme="minorHAnsi"/>
          <w:color w:val="000000" w:themeColor="text1"/>
        </w:rPr>
      </w:pPr>
      <w:bookmarkStart w:id="4" w:name="_Toc114492217"/>
      <w:r w:rsidRPr="003E3375">
        <w:rPr>
          <w:rFonts w:asciiTheme="minorHAnsi" w:hAnsiTheme="minorHAnsi" w:cstheme="minorHAnsi"/>
          <w:color w:val="000000" w:themeColor="text1"/>
        </w:rPr>
        <w:t>Measures at issue</w:t>
      </w:r>
      <w:bookmarkEnd w:id="4"/>
    </w:p>
    <w:p w14:paraId="19B689B8" w14:textId="7EEB999F" w:rsidR="007A7B49" w:rsidRPr="003E3375" w:rsidRDefault="00D32C60" w:rsidP="000F56BC">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In its anti-dumping inve</w:t>
      </w:r>
      <w:r w:rsidR="00242DDC" w:rsidRPr="003E3375">
        <w:rPr>
          <w:rFonts w:asciiTheme="minorHAnsi" w:hAnsiTheme="minorHAnsi" w:cstheme="minorHAnsi"/>
          <w:color w:val="000000" w:themeColor="text1"/>
        </w:rPr>
        <w:t xml:space="preserve">stigation, </w:t>
      </w:r>
      <w:r w:rsidR="000F22E1" w:rsidRPr="003E3375">
        <w:rPr>
          <w:rFonts w:asciiTheme="minorHAnsi" w:hAnsiTheme="minorHAnsi" w:cstheme="minorHAnsi"/>
          <w:color w:val="000000" w:themeColor="text1"/>
        </w:rPr>
        <w:t xml:space="preserve">MOFCOM determined </w:t>
      </w:r>
      <w:r w:rsidR="00242DDC" w:rsidRPr="003E3375">
        <w:rPr>
          <w:rFonts w:asciiTheme="minorHAnsi" w:hAnsiTheme="minorHAnsi" w:cstheme="minorHAnsi"/>
          <w:color w:val="000000" w:themeColor="text1"/>
        </w:rPr>
        <w:t xml:space="preserve">that </w:t>
      </w:r>
      <w:r w:rsidR="000F22E1" w:rsidRPr="003E3375">
        <w:rPr>
          <w:rFonts w:asciiTheme="minorHAnsi" w:hAnsiTheme="minorHAnsi" w:cstheme="minorHAnsi"/>
          <w:color w:val="000000" w:themeColor="text1"/>
        </w:rPr>
        <w:t xml:space="preserve">Australian barley was dumped into the Chinese market </w:t>
      </w:r>
      <w:r w:rsidR="00242DDC" w:rsidRPr="003E3375">
        <w:rPr>
          <w:rFonts w:asciiTheme="minorHAnsi" w:hAnsiTheme="minorHAnsi" w:cstheme="minorHAnsi"/>
          <w:color w:val="000000" w:themeColor="text1"/>
        </w:rPr>
        <w:t xml:space="preserve">and that dumped imports of Australian barley were </w:t>
      </w:r>
      <w:r w:rsidR="00167962" w:rsidRPr="003E3375">
        <w:rPr>
          <w:rFonts w:asciiTheme="minorHAnsi" w:hAnsiTheme="minorHAnsi" w:cstheme="minorHAnsi"/>
          <w:color w:val="000000" w:themeColor="text1"/>
        </w:rPr>
        <w:t>causing</w:t>
      </w:r>
      <w:r w:rsidR="000F22E1" w:rsidRPr="003E3375">
        <w:rPr>
          <w:rFonts w:asciiTheme="minorHAnsi" w:hAnsiTheme="minorHAnsi" w:cstheme="minorHAnsi"/>
          <w:color w:val="000000" w:themeColor="text1"/>
        </w:rPr>
        <w:t xml:space="preserve"> </w:t>
      </w:r>
      <w:r w:rsidR="00431B9A" w:rsidRPr="003E3375">
        <w:rPr>
          <w:rFonts w:asciiTheme="minorHAnsi" w:hAnsiTheme="minorHAnsi" w:cstheme="minorHAnsi"/>
          <w:color w:val="000000" w:themeColor="text1"/>
        </w:rPr>
        <w:t xml:space="preserve">material </w:t>
      </w:r>
      <w:r w:rsidR="000F22E1" w:rsidRPr="003E3375">
        <w:rPr>
          <w:rFonts w:asciiTheme="minorHAnsi" w:hAnsiTheme="minorHAnsi" w:cstheme="minorHAnsi"/>
          <w:color w:val="000000" w:themeColor="text1"/>
        </w:rPr>
        <w:t>injury</w:t>
      </w:r>
      <w:r w:rsidR="00431B9A" w:rsidRPr="003E3375">
        <w:rPr>
          <w:rFonts w:asciiTheme="minorHAnsi" w:hAnsiTheme="minorHAnsi" w:cstheme="minorHAnsi"/>
          <w:color w:val="000000" w:themeColor="text1"/>
        </w:rPr>
        <w:t xml:space="preserve"> to the Chinese domestic barley industry.</w:t>
      </w:r>
      <w:r w:rsidR="00163C4F" w:rsidRPr="003E3375">
        <w:rPr>
          <w:rStyle w:val="FootnoteReference"/>
          <w:rFonts w:cstheme="minorHAnsi"/>
          <w:color w:val="000000" w:themeColor="text1"/>
        </w:rPr>
        <w:footnoteReference w:id="1"/>
      </w:r>
      <w:r w:rsidR="00431B9A" w:rsidRPr="003E3375">
        <w:rPr>
          <w:rFonts w:asciiTheme="minorHAnsi" w:hAnsiTheme="minorHAnsi" w:cstheme="minorHAnsi"/>
          <w:color w:val="000000" w:themeColor="text1"/>
        </w:rPr>
        <w:t xml:space="preserve"> </w:t>
      </w:r>
      <w:r w:rsidR="00242DDC" w:rsidRPr="003E3375">
        <w:rPr>
          <w:rFonts w:asciiTheme="minorHAnsi" w:hAnsiTheme="minorHAnsi" w:cstheme="minorHAnsi"/>
          <w:color w:val="000000" w:themeColor="text1"/>
        </w:rPr>
        <w:t xml:space="preserve">In its countervailing duty investigation, </w:t>
      </w:r>
      <w:r w:rsidR="00431B9A" w:rsidRPr="003E3375">
        <w:rPr>
          <w:rFonts w:asciiTheme="minorHAnsi" w:hAnsiTheme="minorHAnsi" w:cstheme="minorHAnsi"/>
          <w:color w:val="000000" w:themeColor="text1"/>
        </w:rPr>
        <w:t xml:space="preserve">MOFCOM determined that </w:t>
      </w:r>
      <w:r w:rsidR="000F22E1" w:rsidRPr="003E3375">
        <w:rPr>
          <w:rFonts w:asciiTheme="minorHAnsi" w:hAnsiTheme="minorHAnsi" w:cstheme="minorHAnsi"/>
          <w:color w:val="000000" w:themeColor="text1"/>
        </w:rPr>
        <w:t>three of the 32 investigated programs – the SRWUI Program,</w:t>
      </w:r>
      <w:r w:rsidR="000F22E1" w:rsidRPr="003E3375">
        <w:rPr>
          <w:rStyle w:val="FootnoteReference"/>
          <w:rFonts w:asciiTheme="minorHAnsi" w:hAnsiTheme="minorHAnsi" w:cstheme="minorHAnsi"/>
          <w:color w:val="000000" w:themeColor="text1"/>
        </w:rPr>
        <w:footnoteReference w:id="2"/>
      </w:r>
      <w:r w:rsidR="000F22E1" w:rsidRPr="003E3375">
        <w:rPr>
          <w:rFonts w:asciiTheme="minorHAnsi" w:hAnsiTheme="minorHAnsi" w:cstheme="minorHAnsi"/>
          <w:color w:val="000000" w:themeColor="text1"/>
        </w:rPr>
        <w:t xml:space="preserve"> the SARMS Program,</w:t>
      </w:r>
      <w:r w:rsidR="000F22E1" w:rsidRPr="003E3375">
        <w:rPr>
          <w:rStyle w:val="FootnoteReference"/>
          <w:rFonts w:asciiTheme="minorHAnsi" w:hAnsiTheme="minorHAnsi" w:cstheme="minorHAnsi"/>
          <w:color w:val="000000" w:themeColor="text1"/>
        </w:rPr>
        <w:footnoteReference w:id="3"/>
      </w:r>
      <w:r w:rsidR="000F22E1" w:rsidRPr="003E3375">
        <w:rPr>
          <w:rFonts w:asciiTheme="minorHAnsi" w:hAnsiTheme="minorHAnsi" w:cstheme="minorHAnsi"/>
          <w:color w:val="000000" w:themeColor="text1"/>
        </w:rPr>
        <w:t xml:space="preserve"> and the VAIJ Fund</w:t>
      </w:r>
      <w:r w:rsidR="000F22E1" w:rsidRPr="003E3375">
        <w:rPr>
          <w:rStyle w:val="FootnoteReference"/>
          <w:rFonts w:asciiTheme="minorHAnsi" w:hAnsiTheme="minorHAnsi" w:cstheme="minorHAnsi"/>
          <w:color w:val="000000" w:themeColor="text1"/>
        </w:rPr>
        <w:footnoteReference w:id="4"/>
      </w:r>
      <w:r w:rsidR="000F22E1" w:rsidRPr="003E3375">
        <w:rPr>
          <w:rFonts w:asciiTheme="minorHAnsi" w:hAnsiTheme="minorHAnsi" w:cstheme="minorHAnsi"/>
          <w:color w:val="000000" w:themeColor="text1"/>
        </w:rPr>
        <w:t xml:space="preserve"> – </w:t>
      </w:r>
      <w:r w:rsidR="00BA7301" w:rsidRPr="003E3375">
        <w:rPr>
          <w:rFonts w:asciiTheme="minorHAnsi" w:hAnsiTheme="minorHAnsi" w:cstheme="minorHAnsi"/>
          <w:color w:val="000000" w:themeColor="text1"/>
        </w:rPr>
        <w:t>were countervailable subsidies</w:t>
      </w:r>
      <w:r w:rsidR="000F22E1" w:rsidRPr="003E3375">
        <w:rPr>
          <w:rFonts w:asciiTheme="minorHAnsi" w:hAnsiTheme="minorHAnsi" w:cstheme="minorHAnsi"/>
          <w:color w:val="000000" w:themeColor="text1"/>
        </w:rPr>
        <w:t xml:space="preserve"> </w:t>
      </w:r>
      <w:r w:rsidR="00A53219" w:rsidRPr="003E3375">
        <w:rPr>
          <w:rFonts w:asciiTheme="minorHAnsi" w:hAnsiTheme="minorHAnsi" w:cstheme="minorHAnsi"/>
          <w:color w:val="000000" w:themeColor="text1"/>
        </w:rPr>
        <w:t xml:space="preserve">and were </w:t>
      </w:r>
      <w:r w:rsidR="005A3C8B" w:rsidRPr="003E3375">
        <w:rPr>
          <w:rFonts w:asciiTheme="minorHAnsi" w:hAnsiTheme="minorHAnsi" w:cstheme="minorHAnsi"/>
          <w:color w:val="000000" w:themeColor="text1"/>
        </w:rPr>
        <w:t xml:space="preserve">causing material </w:t>
      </w:r>
      <w:r w:rsidR="000F22E1" w:rsidRPr="003E3375">
        <w:rPr>
          <w:rFonts w:asciiTheme="minorHAnsi" w:hAnsiTheme="minorHAnsi" w:cstheme="minorHAnsi"/>
          <w:color w:val="000000" w:themeColor="text1"/>
        </w:rPr>
        <w:t>injur</w:t>
      </w:r>
      <w:r w:rsidR="005A3C8B" w:rsidRPr="003E3375">
        <w:rPr>
          <w:rFonts w:asciiTheme="minorHAnsi" w:hAnsiTheme="minorHAnsi" w:cstheme="minorHAnsi"/>
          <w:color w:val="000000" w:themeColor="text1"/>
        </w:rPr>
        <w:t>y to</w:t>
      </w:r>
      <w:r w:rsidR="000F22E1" w:rsidRPr="003E3375">
        <w:rPr>
          <w:rFonts w:asciiTheme="minorHAnsi" w:hAnsiTheme="minorHAnsi" w:cstheme="minorHAnsi"/>
          <w:color w:val="000000" w:themeColor="text1"/>
        </w:rPr>
        <w:t xml:space="preserve"> domestic industry.</w:t>
      </w:r>
      <w:r w:rsidR="000F22E1" w:rsidRPr="003E3375">
        <w:rPr>
          <w:rStyle w:val="FootnoteReference"/>
          <w:rFonts w:asciiTheme="minorHAnsi" w:hAnsiTheme="minorHAnsi" w:cstheme="minorHAnsi"/>
          <w:color w:val="000000" w:themeColor="text1"/>
        </w:rPr>
        <w:footnoteReference w:id="5"/>
      </w:r>
      <w:r w:rsidR="000F22E1" w:rsidRPr="003E3375">
        <w:rPr>
          <w:rFonts w:asciiTheme="minorHAnsi" w:hAnsiTheme="minorHAnsi" w:cstheme="minorHAnsi"/>
          <w:color w:val="000000" w:themeColor="text1"/>
        </w:rPr>
        <w:t xml:space="preserve"> </w:t>
      </w:r>
    </w:p>
    <w:p w14:paraId="199FEE92" w14:textId="2F7153FC" w:rsidR="007A7B49" w:rsidRPr="003E3375" w:rsidRDefault="000F22E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In both investigations, MOFCOM acknowledged receipt of interested parties' questionnaire responses, but rejected all information provided</w:t>
      </w:r>
      <w:r w:rsidR="00ED6037" w:rsidRPr="003E3375">
        <w:rPr>
          <w:rFonts w:asciiTheme="minorHAnsi" w:hAnsiTheme="minorHAnsi" w:cstheme="minorHAnsi"/>
          <w:color w:val="000000" w:themeColor="text1"/>
        </w:rPr>
        <w:t xml:space="preserve"> in those response</w:t>
      </w:r>
      <w:r w:rsidR="005D2690"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w:t>
      </w:r>
      <w:r w:rsidR="00F75913" w:rsidRPr="003E3375">
        <w:rPr>
          <w:rFonts w:asciiTheme="minorHAnsi" w:hAnsiTheme="minorHAnsi" w:cstheme="minorHAnsi"/>
          <w:color w:val="000000" w:themeColor="text1"/>
        </w:rPr>
        <w:t xml:space="preserve"> I</w:t>
      </w:r>
      <w:r w:rsidR="00ED6037" w:rsidRPr="003E3375">
        <w:rPr>
          <w:rFonts w:asciiTheme="minorHAnsi" w:hAnsiTheme="minorHAnsi" w:cstheme="minorHAnsi"/>
          <w:color w:val="000000" w:themeColor="text1"/>
        </w:rPr>
        <w:t>ns</w:t>
      </w:r>
      <w:r w:rsidR="00F75913" w:rsidRPr="003E3375">
        <w:rPr>
          <w:rFonts w:asciiTheme="minorHAnsi" w:hAnsiTheme="minorHAnsi" w:cstheme="minorHAnsi"/>
          <w:color w:val="000000" w:themeColor="text1"/>
        </w:rPr>
        <w:t>t</w:t>
      </w:r>
      <w:r w:rsidR="00ED6037" w:rsidRPr="003E3375">
        <w:rPr>
          <w:rFonts w:asciiTheme="minorHAnsi" w:hAnsiTheme="minorHAnsi" w:cstheme="minorHAnsi"/>
          <w:color w:val="000000" w:themeColor="text1"/>
        </w:rPr>
        <w:t>ead, MOFCOM</w:t>
      </w:r>
      <w:r w:rsidR="00F75913" w:rsidRPr="003E3375">
        <w:rPr>
          <w:rFonts w:asciiTheme="minorHAnsi" w:hAnsiTheme="minorHAnsi" w:cstheme="minorHAnsi"/>
          <w:color w:val="000000" w:themeColor="text1"/>
        </w:rPr>
        <w:t xml:space="preserve"> based its </w:t>
      </w:r>
      <w:r w:rsidR="006462A0" w:rsidRPr="003E3375">
        <w:rPr>
          <w:rFonts w:asciiTheme="minorHAnsi" w:hAnsiTheme="minorHAnsi" w:cstheme="minorHAnsi"/>
          <w:color w:val="000000" w:themeColor="text1"/>
        </w:rPr>
        <w:t>dumping and subsid</w:t>
      </w:r>
      <w:r w:rsidR="00CE359A" w:rsidRPr="003E3375">
        <w:rPr>
          <w:rFonts w:asciiTheme="minorHAnsi" w:hAnsiTheme="minorHAnsi" w:cstheme="minorHAnsi"/>
          <w:color w:val="000000" w:themeColor="text1"/>
        </w:rPr>
        <w:t>y</w:t>
      </w:r>
      <w:r w:rsidR="0005422F" w:rsidRPr="003E3375">
        <w:rPr>
          <w:rFonts w:asciiTheme="minorHAnsi" w:hAnsiTheme="minorHAnsi" w:cstheme="minorHAnsi"/>
          <w:color w:val="000000" w:themeColor="text1"/>
        </w:rPr>
        <w:t xml:space="preserve"> </w:t>
      </w:r>
      <w:r w:rsidR="005D2690" w:rsidRPr="003E3375">
        <w:rPr>
          <w:rFonts w:asciiTheme="minorHAnsi" w:hAnsiTheme="minorHAnsi" w:cstheme="minorHAnsi"/>
          <w:color w:val="000000" w:themeColor="text1"/>
        </w:rPr>
        <w:t xml:space="preserve">determinations </w:t>
      </w:r>
      <w:r w:rsidR="005A3C8B" w:rsidRPr="003E3375">
        <w:rPr>
          <w:rFonts w:asciiTheme="minorHAnsi" w:hAnsiTheme="minorHAnsi" w:cstheme="minorHAnsi"/>
          <w:color w:val="000000" w:themeColor="text1"/>
        </w:rPr>
        <w:t xml:space="preserve">largely </w:t>
      </w:r>
      <w:r w:rsidR="00B21881" w:rsidRPr="003E3375">
        <w:rPr>
          <w:rFonts w:asciiTheme="minorHAnsi" w:hAnsiTheme="minorHAnsi" w:cstheme="minorHAnsi"/>
          <w:color w:val="000000" w:themeColor="text1"/>
        </w:rPr>
        <w:t>on facts available.</w:t>
      </w:r>
      <w:r w:rsidR="00A531C5" w:rsidRPr="003E3375">
        <w:rPr>
          <w:rFonts w:asciiTheme="minorHAnsi" w:hAnsiTheme="minorHAnsi" w:cstheme="minorHAnsi"/>
          <w:color w:val="000000" w:themeColor="text1"/>
        </w:rPr>
        <w:t xml:space="preserve"> </w:t>
      </w:r>
      <w:r w:rsidR="00B1196A" w:rsidRPr="003E3375">
        <w:rPr>
          <w:rFonts w:asciiTheme="minorHAnsi" w:hAnsiTheme="minorHAnsi" w:cstheme="minorHAnsi"/>
          <w:color w:val="000000" w:themeColor="text1"/>
        </w:rPr>
        <w:t>It recommended a</w:t>
      </w:r>
      <w:r w:rsidR="00ED6037" w:rsidRPr="003E3375">
        <w:rPr>
          <w:rFonts w:asciiTheme="minorHAnsi" w:hAnsiTheme="minorHAnsi" w:cstheme="minorHAnsi"/>
          <w:color w:val="000000" w:themeColor="text1"/>
        </w:rPr>
        <w:t>n</w:t>
      </w:r>
      <w:r w:rsidR="00B1196A" w:rsidRPr="003E3375">
        <w:rPr>
          <w:rFonts w:asciiTheme="minorHAnsi" w:hAnsiTheme="minorHAnsi" w:cstheme="minorHAnsi"/>
          <w:color w:val="000000" w:themeColor="text1"/>
        </w:rPr>
        <w:t xml:space="preserve"> </w:t>
      </w:r>
      <w:r w:rsidR="00B1196A" w:rsidRPr="003E3375">
        <w:rPr>
          <w:rFonts w:asciiTheme="minorHAnsi" w:hAnsiTheme="minorHAnsi" w:cstheme="minorHAnsi"/>
          <w:color w:val="000000" w:themeColor="text1"/>
          <w:lang w:val="en-CA"/>
        </w:rPr>
        <w:t xml:space="preserve">anti-dumping duty rate </w:t>
      </w:r>
      <w:r w:rsidR="00AA2921" w:rsidRPr="003E3375">
        <w:rPr>
          <w:rFonts w:asciiTheme="minorHAnsi" w:hAnsiTheme="minorHAnsi" w:cstheme="minorHAnsi"/>
          <w:color w:val="000000" w:themeColor="text1"/>
          <w:lang w:val="en-CA"/>
        </w:rPr>
        <w:t xml:space="preserve">of 73.6% </w:t>
      </w:r>
      <w:r w:rsidR="00B1196A" w:rsidRPr="003E3375">
        <w:rPr>
          <w:rFonts w:asciiTheme="minorHAnsi" w:hAnsiTheme="minorHAnsi" w:cstheme="minorHAnsi"/>
          <w:color w:val="000000" w:themeColor="text1"/>
          <w:lang w:val="en-CA"/>
        </w:rPr>
        <w:t xml:space="preserve">and a </w:t>
      </w:r>
      <w:r w:rsidR="00B1196A" w:rsidRPr="003E3375">
        <w:rPr>
          <w:rFonts w:asciiTheme="minorHAnsi" w:hAnsiTheme="minorHAnsi" w:cstheme="minorHAnsi"/>
          <w:color w:val="000000" w:themeColor="text1"/>
        </w:rPr>
        <w:t xml:space="preserve">countervailing duty rate of 6.9% </w:t>
      </w:r>
      <w:r w:rsidR="00B1196A" w:rsidRPr="003E3375">
        <w:rPr>
          <w:rFonts w:asciiTheme="minorHAnsi" w:hAnsiTheme="minorHAnsi" w:cstheme="minorHAnsi"/>
          <w:color w:val="000000" w:themeColor="text1"/>
          <w:lang w:val="en-CA"/>
        </w:rPr>
        <w:t>on barley from Australia.</w:t>
      </w:r>
    </w:p>
    <w:p w14:paraId="71E6E19D" w14:textId="15F8C432" w:rsidR="00922AB5" w:rsidRPr="003E3375" w:rsidRDefault="005A3C8B"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lang w:val="en-CA"/>
        </w:rPr>
        <w:t xml:space="preserve">On </w:t>
      </w:r>
      <w:r w:rsidR="00475C67" w:rsidRPr="003E3375">
        <w:rPr>
          <w:rFonts w:asciiTheme="minorHAnsi" w:hAnsiTheme="minorHAnsi" w:cstheme="minorHAnsi"/>
          <w:color w:val="000000" w:themeColor="text1"/>
          <w:lang w:val="en-CA"/>
        </w:rPr>
        <w:t xml:space="preserve">19 May 2020, China imposed </w:t>
      </w:r>
      <w:r w:rsidR="00B1196A" w:rsidRPr="003E3375">
        <w:rPr>
          <w:rFonts w:asciiTheme="minorHAnsi" w:hAnsiTheme="minorHAnsi" w:cstheme="minorHAnsi"/>
          <w:color w:val="000000" w:themeColor="text1"/>
          <w:lang w:val="en-CA"/>
        </w:rPr>
        <w:t xml:space="preserve">the </w:t>
      </w:r>
      <w:r w:rsidR="00AA2921" w:rsidRPr="003E3375">
        <w:rPr>
          <w:rFonts w:asciiTheme="minorHAnsi" w:hAnsiTheme="minorHAnsi" w:cstheme="minorHAnsi"/>
          <w:color w:val="000000" w:themeColor="text1"/>
          <w:lang w:val="en-CA"/>
        </w:rPr>
        <w:t xml:space="preserve">anti-dumping and countervailing </w:t>
      </w:r>
      <w:r w:rsidR="00B1196A" w:rsidRPr="003E3375">
        <w:rPr>
          <w:rFonts w:asciiTheme="minorHAnsi" w:hAnsiTheme="minorHAnsi" w:cstheme="minorHAnsi"/>
          <w:color w:val="000000" w:themeColor="text1"/>
          <w:lang w:val="en-CA"/>
        </w:rPr>
        <w:t>duties a</w:t>
      </w:r>
      <w:r w:rsidR="00AA2921" w:rsidRPr="003E3375">
        <w:rPr>
          <w:rFonts w:asciiTheme="minorHAnsi" w:hAnsiTheme="minorHAnsi" w:cstheme="minorHAnsi"/>
          <w:color w:val="000000" w:themeColor="text1"/>
          <w:lang w:val="en-CA"/>
        </w:rPr>
        <w:t xml:space="preserve">t the rates that </w:t>
      </w:r>
      <w:r w:rsidR="00922AB5" w:rsidRPr="003E3375">
        <w:rPr>
          <w:rFonts w:asciiTheme="minorHAnsi" w:hAnsiTheme="minorHAnsi" w:cstheme="minorHAnsi"/>
          <w:color w:val="000000" w:themeColor="text1"/>
          <w:lang w:val="en-CA"/>
        </w:rPr>
        <w:t xml:space="preserve">MOFCOM </w:t>
      </w:r>
      <w:r w:rsidR="00B1196A" w:rsidRPr="003E3375">
        <w:rPr>
          <w:rFonts w:asciiTheme="minorHAnsi" w:hAnsiTheme="minorHAnsi" w:cstheme="minorHAnsi"/>
          <w:color w:val="000000" w:themeColor="text1"/>
          <w:lang w:val="en-CA"/>
        </w:rPr>
        <w:t>recommended</w:t>
      </w:r>
      <w:r w:rsidR="00922AB5" w:rsidRPr="003E3375">
        <w:rPr>
          <w:rFonts w:asciiTheme="minorHAnsi" w:hAnsiTheme="minorHAnsi" w:cstheme="minorHAnsi"/>
          <w:color w:val="000000" w:themeColor="text1"/>
          <w:lang w:val="en-CA"/>
        </w:rPr>
        <w:t>.</w:t>
      </w:r>
      <w:r w:rsidR="00213491" w:rsidRPr="003E3375">
        <w:rPr>
          <w:rFonts w:asciiTheme="minorHAnsi" w:hAnsiTheme="minorHAnsi" w:cstheme="minorHAnsi"/>
          <w:color w:val="000000" w:themeColor="text1"/>
          <w:lang w:val="en-CA"/>
        </w:rPr>
        <w:t xml:space="preserve"> All traders and producers </w:t>
      </w:r>
      <w:r w:rsidR="00AA2921" w:rsidRPr="003E3375">
        <w:rPr>
          <w:rFonts w:asciiTheme="minorHAnsi" w:hAnsiTheme="minorHAnsi" w:cstheme="minorHAnsi"/>
          <w:color w:val="000000" w:themeColor="text1"/>
          <w:lang w:val="en-CA"/>
        </w:rPr>
        <w:t xml:space="preserve">were assigned </w:t>
      </w:r>
      <w:r w:rsidR="00213491" w:rsidRPr="003E3375">
        <w:rPr>
          <w:rFonts w:asciiTheme="minorHAnsi" w:hAnsiTheme="minorHAnsi" w:cstheme="minorHAnsi"/>
          <w:color w:val="000000" w:themeColor="text1"/>
          <w:lang w:val="en-CA"/>
        </w:rPr>
        <w:t>identical</w:t>
      </w:r>
      <w:r w:rsidR="00401FBF" w:rsidRPr="003E3375">
        <w:rPr>
          <w:rFonts w:asciiTheme="minorHAnsi" w:hAnsiTheme="minorHAnsi" w:cstheme="minorHAnsi"/>
          <w:color w:val="000000" w:themeColor="text1"/>
          <w:lang w:val="en-CA"/>
        </w:rPr>
        <w:t xml:space="preserve"> </w:t>
      </w:r>
      <w:r w:rsidR="0021638E" w:rsidRPr="003E3375">
        <w:rPr>
          <w:rFonts w:asciiTheme="minorHAnsi" w:hAnsiTheme="minorHAnsi" w:cstheme="minorHAnsi"/>
          <w:color w:val="000000" w:themeColor="text1"/>
          <w:lang w:val="en-CA"/>
        </w:rPr>
        <w:t xml:space="preserve">rates of </w:t>
      </w:r>
      <w:r w:rsidR="00401FBF" w:rsidRPr="003E3375">
        <w:rPr>
          <w:rFonts w:asciiTheme="minorHAnsi" w:hAnsiTheme="minorHAnsi" w:cstheme="minorHAnsi"/>
          <w:color w:val="000000" w:themeColor="text1"/>
          <w:lang w:val="en-CA"/>
        </w:rPr>
        <w:t>anti-dumping and countervailing duties</w:t>
      </w:r>
      <w:r w:rsidR="00213491" w:rsidRPr="003E3375">
        <w:rPr>
          <w:rFonts w:asciiTheme="minorHAnsi" w:hAnsiTheme="minorHAnsi" w:cstheme="minorHAnsi"/>
          <w:color w:val="000000" w:themeColor="text1"/>
          <w:lang w:val="en-CA"/>
        </w:rPr>
        <w:t>, in force for five years.</w:t>
      </w:r>
      <w:r w:rsidR="00213491" w:rsidRPr="003E3375">
        <w:rPr>
          <w:rStyle w:val="FootnoteReference"/>
          <w:rFonts w:asciiTheme="minorHAnsi" w:hAnsiTheme="minorHAnsi" w:cstheme="minorHAnsi"/>
          <w:color w:val="000000" w:themeColor="text1"/>
        </w:rPr>
        <w:footnoteReference w:id="6"/>
      </w:r>
    </w:p>
    <w:p w14:paraId="4595DA19" w14:textId="77777777" w:rsidR="00AD4FD1" w:rsidRPr="003E3375" w:rsidRDefault="00AD4FD1" w:rsidP="00E72E98">
      <w:pPr>
        <w:pStyle w:val="HL2HeadingLevel2"/>
        <w:spacing w:line="276" w:lineRule="auto"/>
        <w:rPr>
          <w:rFonts w:asciiTheme="minorHAnsi" w:hAnsiTheme="minorHAnsi" w:cstheme="minorHAnsi"/>
          <w:color w:val="000000" w:themeColor="text1"/>
        </w:rPr>
      </w:pPr>
      <w:bookmarkStart w:id="6" w:name="_Toc114492218"/>
      <w:r w:rsidRPr="003E3375">
        <w:rPr>
          <w:rFonts w:asciiTheme="minorHAnsi" w:hAnsiTheme="minorHAnsi" w:cstheme="minorHAnsi"/>
          <w:color w:val="000000" w:themeColor="text1"/>
        </w:rPr>
        <w:t>Standard of review</w:t>
      </w:r>
      <w:bookmarkEnd w:id="6"/>
    </w:p>
    <w:p w14:paraId="5A423DB7" w14:textId="3A05CDF5" w:rsidR="000C4E71" w:rsidRPr="003E3375" w:rsidRDefault="00AD4FD1"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As a preliminary matter, </w:t>
      </w:r>
      <w:r w:rsidR="00346044" w:rsidRPr="003E3375">
        <w:rPr>
          <w:rFonts w:asciiTheme="minorHAnsi" w:hAnsiTheme="minorHAnsi" w:cstheme="minorHAnsi"/>
          <w:color w:val="000000" w:themeColor="text1"/>
        </w:rPr>
        <w:t>Article 11 of the DSU and Articles 17.5 and 17.6 of the Anti</w:t>
      </w:r>
      <w:r w:rsidR="00CE359A" w:rsidRPr="003E3375">
        <w:rPr>
          <w:rFonts w:asciiTheme="minorHAnsi" w:hAnsiTheme="minorHAnsi" w:cstheme="minorHAnsi"/>
          <w:color w:val="000000" w:themeColor="text1"/>
        </w:rPr>
        <w:noBreakHyphen/>
      </w:r>
      <w:r w:rsidR="00346044" w:rsidRPr="003E3375">
        <w:rPr>
          <w:rFonts w:asciiTheme="minorHAnsi" w:hAnsiTheme="minorHAnsi" w:cstheme="minorHAnsi"/>
          <w:color w:val="000000" w:themeColor="text1"/>
        </w:rPr>
        <w:t xml:space="preserve">Dumping Agreement establish </w:t>
      </w:r>
      <w:r w:rsidR="000E202F" w:rsidRPr="003E3375">
        <w:rPr>
          <w:rFonts w:asciiTheme="minorHAnsi" w:hAnsiTheme="minorHAnsi" w:cstheme="minorHAnsi"/>
          <w:color w:val="000000" w:themeColor="text1"/>
        </w:rPr>
        <w:t xml:space="preserve">the </w:t>
      </w:r>
      <w:r w:rsidRPr="003E3375">
        <w:rPr>
          <w:rFonts w:asciiTheme="minorHAnsi" w:hAnsiTheme="minorHAnsi" w:cstheme="minorHAnsi"/>
          <w:color w:val="000000" w:themeColor="text1"/>
        </w:rPr>
        <w:t>standard of review in this dispute</w:t>
      </w:r>
      <w:r w:rsidR="000E202F" w:rsidRPr="003E3375">
        <w:rPr>
          <w:rFonts w:asciiTheme="minorHAnsi" w:hAnsiTheme="minorHAnsi" w:cstheme="minorHAnsi"/>
          <w:color w:val="000000" w:themeColor="text1"/>
        </w:rPr>
        <w:t xml:space="preserve">. In sum, the </w:t>
      </w:r>
      <w:r w:rsidR="007A6683" w:rsidRPr="003E3375">
        <w:rPr>
          <w:rFonts w:asciiTheme="minorHAnsi" w:hAnsiTheme="minorHAnsi" w:cstheme="minorHAnsi"/>
          <w:color w:val="000000" w:themeColor="text1"/>
        </w:rPr>
        <w:lastRenderedPageBreak/>
        <w:t>question</w:t>
      </w:r>
      <w:r w:rsidR="0021638E" w:rsidRPr="003E3375">
        <w:rPr>
          <w:rFonts w:asciiTheme="minorHAnsi" w:hAnsiTheme="minorHAnsi" w:cstheme="minorHAnsi"/>
          <w:color w:val="000000" w:themeColor="text1"/>
        </w:rPr>
        <w:t>s</w:t>
      </w:r>
      <w:r w:rsidR="007A6683" w:rsidRPr="003E3375">
        <w:rPr>
          <w:rFonts w:asciiTheme="minorHAnsi" w:hAnsiTheme="minorHAnsi" w:cstheme="minorHAnsi"/>
          <w:color w:val="000000" w:themeColor="text1"/>
        </w:rPr>
        <w:t xml:space="preserve"> before the Panel</w:t>
      </w:r>
      <w:r w:rsidR="000E202F" w:rsidRPr="003E3375">
        <w:rPr>
          <w:rFonts w:asciiTheme="minorHAnsi" w:hAnsiTheme="minorHAnsi" w:cstheme="minorHAnsi"/>
          <w:color w:val="000000" w:themeColor="text1"/>
        </w:rPr>
        <w:t xml:space="preserve"> </w:t>
      </w:r>
      <w:r w:rsidR="0021638E" w:rsidRPr="003E3375">
        <w:rPr>
          <w:rFonts w:asciiTheme="minorHAnsi" w:hAnsiTheme="minorHAnsi" w:cstheme="minorHAnsi"/>
          <w:color w:val="000000" w:themeColor="text1"/>
        </w:rPr>
        <w:t>are</w:t>
      </w:r>
      <w:r w:rsidR="00346044"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w:t>
      </w:r>
      <w:r w:rsidR="00E330A7" w:rsidRPr="003E3375">
        <w:rPr>
          <w:rFonts w:asciiTheme="minorHAnsi" w:hAnsiTheme="minorHAnsi" w:cstheme="minorHAnsi"/>
          <w:color w:val="000000" w:themeColor="text1"/>
        </w:rPr>
        <w:t xml:space="preserve">(i) </w:t>
      </w:r>
      <w:r w:rsidR="0021638E" w:rsidRPr="003E3375">
        <w:rPr>
          <w:rFonts w:asciiTheme="minorHAnsi" w:hAnsiTheme="minorHAnsi" w:cstheme="minorHAnsi"/>
          <w:color w:val="000000" w:themeColor="text1"/>
        </w:rPr>
        <w:t xml:space="preserve">whether </w:t>
      </w:r>
      <w:r w:rsidR="00E330A7" w:rsidRPr="003E3375">
        <w:rPr>
          <w:rFonts w:asciiTheme="minorHAnsi" w:hAnsiTheme="minorHAnsi" w:cstheme="minorHAnsi"/>
          <w:color w:val="000000" w:themeColor="text1"/>
        </w:rPr>
        <w:t>MOFCOM's establishment of the facts was proper</w:t>
      </w:r>
      <w:r w:rsidR="00346044" w:rsidRPr="003E3375">
        <w:rPr>
          <w:rFonts w:asciiTheme="minorHAnsi" w:hAnsiTheme="minorHAnsi" w:cstheme="minorHAnsi"/>
          <w:color w:val="000000" w:themeColor="text1"/>
        </w:rPr>
        <w:t>;</w:t>
      </w:r>
      <w:r w:rsidR="00E330A7" w:rsidRPr="003E3375">
        <w:rPr>
          <w:rFonts w:asciiTheme="minorHAnsi" w:hAnsiTheme="minorHAnsi" w:cstheme="minorHAnsi"/>
          <w:color w:val="000000" w:themeColor="text1"/>
        </w:rPr>
        <w:t xml:space="preserve"> and</w:t>
      </w:r>
      <w:r w:rsidR="00BB5E90" w:rsidRPr="003E3375">
        <w:rPr>
          <w:rFonts w:asciiTheme="minorHAnsi" w:hAnsiTheme="minorHAnsi" w:cstheme="minorHAnsi"/>
          <w:color w:val="000000" w:themeColor="text1"/>
        </w:rPr>
        <w:t xml:space="preserve"> (ii) whether</w:t>
      </w:r>
      <w:r w:rsidR="00E330A7"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an unbiased and objective investigating authority, in light of the evidence that was before it and the explanations provided, could have reached MOFCOM's conclusions.</w:t>
      </w:r>
      <w:r w:rsidR="006B0DEB" w:rsidRPr="003E3375">
        <w:rPr>
          <w:rStyle w:val="FootnoteReference"/>
          <w:rFonts w:asciiTheme="minorHAnsi" w:hAnsiTheme="minorHAnsi" w:cstheme="minorHAnsi"/>
          <w:color w:val="000000" w:themeColor="text1"/>
        </w:rPr>
        <w:footnoteReference w:id="7"/>
      </w:r>
    </w:p>
    <w:p w14:paraId="5D9AA392" w14:textId="77777777" w:rsidR="000C4E71" w:rsidRPr="003E3375" w:rsidRDefault="000C4E71" w:rsidP="00E72E98">
      <w:pPr>
        <w:pStyle w:val="HL1HeadingLevel1"/>
        <w:spacing w:line="276" w:lineRule="auto"/>
        <w:rPr>
          <w:rFonts w:asciiTheme="minorHAnsi" w:hAnsiTheme="minorHAnsi" w:cstheme="minorHAnsi"/>
          <w:color w:val="000000" w:themeColor="text1"/>
        </w:rPr>
      </w:pPr>
      <w:bookmarkStart w:id="7" w:name="_Toc114492219"/>
      <w:r w:rsidRPr="003E3375">
        <w:rPr>
          <w:rFonts w:asciiTheme="minorHAnsi" w:hAnsiTheme="minorHAnsi" w:cstheme="minorHAnsi"/>
          <w:color w:val="000000" w:themeColor="text1"/>
        </w:rPr>
        <w:t>MOFCOM's definition of domestic industry lacked any evidentiary basis</w:t>
      </w:r>
      <w:bookmarkEnd w:id="7"/>
    </w:p>
    <w:p w14:paraId="45F73B09" w14:textId="3FB44410" w:rsidR="007622E5" w:rsidRPr="003E3375" w:rsidRDefault="007622E5"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The definition of the "domestic industry" selected by an investigating authority is a "keystone"</w:t>
      </w:r>
      <w:r w:rsidRPr="003E3375">
        <w:rPr>
          <w:rStyle w:val="FootnoteReference"/>
          <w:rFonts w:asciiTheme="minorHAnsi" w:hAnsiTheme="minorHAnsi" w:cstheme="minorHAnsi"/>
          <w:color w:val="000000" w:themeColor="text1"/>
        </w:rPr>
        <w:footnoteReference w:id="8"/>
      </w:r>
      <w:r w:rsidRPr="003E3375">
        <w:rPr>
          <w:rFonts w:asciiTheme="minorHAnsi" w:hAnsiTheme="minorHAnsi" w:cstheme="minorHAnsi"/>
          <w:color w:val="000000" w:themeColor="text1"/>
        </w:rPr>
        <w:t xml:space="preserve"> of its investigation. </w:t>
      </w:r>
      <w:r w:rsidR="0075635B" w:rsidRPr="003E3375">
        <w:rPr>
          <w:rFonts w:asciiTheme="minorHAnsi" w:hAnsiTheme="minorHAnsi" w:cstheme="minorHAnsi"/>
          <w:color w:val="000000" w:themeColor="text1"/>
        </w:rPr>
        <w:t xml:space="preserve">In the investigations at issue, </w:t>
      </w:r>
      <w:r w:rsidRPr="003E3375">
        <w:rPr>
          <w:rFonts w:asciiTheme="minorHAnsi" w:hAnsiTheme="minorHAnsi" w:cstheme="minorHAnsi"/>
          <w:color w:val="000000" w:themeColor="text1"/>
        </w:rPr>
        <w:t xml:space="preserve">MOFCOM </w:t>
      </w:r>
      <w:r w:rsidR="005D2097" w:rsidRPr="003E3375">
        <w:rPr>
          <w:rFonts w:asciiTheme="minorHAnsi" w:hAnsiTheme="minorHAnsi" w:cstheme="minorHAnsi"/>
          <w:color w:val="000000" w:themeColor="text1"/>
        </w:rPr>
        <w:t xml:space="preserve">failed to properly define the domestic industry in accordance with Article 4.1 of the Anti-Dumping Agreement and Article 16.1 of the SCM Agreement. Although MOFCOM acknowledged the two ways that the domestic industry may be defined (i.e. the domestic producers as a whole of the like products or those </w:t>
      </w:r>
      <w:r w:rsidR="00B83A76" w:rsidRPr="003E3375">
        <w:rPr>
          <w:rFonts w:asciiTheme="minorHAnsi" w:hAnsiTheme="minorHAnsi" w:cstheme="minorHAnsi"/>
          <w:color w:val="000000" w:themeColor="text1"/>
        </w:rPr>
        <w:t xml:space="preserve">domestic producers </w:t>
      </w:r>
      <w:r w:rsidR="005D2097" w:rsidRPr="003E3375">
        <w:rPr>
          <w:rFonts w:asciiTheme="minorHAnsi" w:hAnsiTheme="minorHAnsi" w:cstheme="minorHAnsi"/>
          <w:color w:val="000000" w:themeColor="text1"/>
        </w:rPr>
        <w:t>whose collective output of the products constitutes a major proportion of the total domestic production of those products) and stated that it "investigated and confirmed the domestic industry in this case",</w:t>
      </w:r>
      <w:r w:rsidR="00DF13F0" w:rsidRPr="003E3375">
        <w:rPr>
          <w:rStyle w:val="FootnoteReference"/>
          <w:rFonts w:cstheme="minorHAnsi"/>
          <w:color w:val="000000" w:themeColor="text1"/>
        </w:rPr>
        <w:footnoteReference w:id="9"/>
      </w:r>
      <w:r w:rsidR="005D2097" w:rsidRPr="003E3375">
        <w:rPr>
          <w:rFonts w:asciiTheme="minorHAnsi" w:hAnsiTheme="minorHAnsi" w:cstheme="minorHAnsi"/>
          <w:color w:val="000000" w:themeColor="text1"/>
        </w:rPr>
        <w:t xml:space="preserve"> it failed to specify which definition it had selected for purposes of the investigations. </w:t>
      </w:r>
      <w:r w:rsidR="00DF13F0" w:rsidRPr="003E3375">
        <w:rPr>
          <w:rFonts w:asciiTheme="minorHAnsi" w:hAnsiTheme="minorHAnsi" w:cstheme="minorHAnsi"/>
          <w:color w:val="000000" w:themeColor="text1"/>
        </w:rPr>
        <w:t>T</w:t>
      </w:r>
      <w:r w:rsidR="005D2097" w:rsidRPr="003E3375">
        <w:rPr>
          <w:rFonts w:asciiTheme="minorHAnsi" w:hAnsiTheme="minorHAnsi" w:cstheme="minorHAnsi"/>
          <w:color w:val="000000" w:themeColor="text1"/>
        </w:rPr>
        <w:t>he texts of the Final</w:t>
      </w:r>
      <w:r w:rsidR="00E92DD3" w:rsidRPr="003E3375">
        <w:rPr>
          <w:rFonts w:asciiTheme="minorHAnsi" w:hAnsiTheme="minorHAnsi" w:cstheme="minorHAnsi"/>
          <w:color w:val="000000" w:themeColor="text1"/>
        </w:rPr>
        <w:t> </w:t>
      </w:r>
      <w:r w:rsidR="005D2097" w:rsidRPr="003E3375">
        <w:rPr>
          <w:rFonts w:asciiTheme="minorHAnsi" w:hAnsiTheme="minorHAnsi" w:cstheme="minorHAnsi"/>
          <w:color w:val="000000" w:themeColor="text1"/>
        </w:rPr>
        <w:t xml:space="preserve">Determinations </w:t>
      </w:r>
      <w:r w:rsidRPr="003E3375">
        <w:rPr>
          <w:rFonts w:asciiTheme="minorHAnsi" w:hAnsiTheme="minorHAnsi" w:cstheme="minorHAnsi"/>
          <w:color w:val="000000" w:themeColor="text1"/>
        </w:rPr>
        <w:t xml:space="preserve">appear to be "purposefully ambiguous" about which definition </w:t>
      </w:r>
      <w:r w:rsidR="00DF13F0" w:rsidRPr="003E3375">
        <w:rPr>
          <w:rFonts w:asciiTheme="minorHAnsi" w:hAnsiTheme="minorHAnsi" w:cstheme="minorHAnsi"/>
          <w:color w:val="000000" w:themeColor="text1"/>
        </w:rPr>
        <w:t>MOFCOM</w:t>
      </w:r>
      <w:r w:rsidRPr="003E3375">
        <w:rPr>
          <w:rFonts w:asciiTheme="minorHAnsi" w:hAnsiTheme="minorHAnsi" w:cstheme="minorHAnsi"/>
          <w:color w:val="000000" w:themeColor="text1"/>
        </w:rPr>
        <w:t xml:space="preserve"> applied.</w:t>
      </w:r>
      <w:r w:rsidRPr="003E3375">
        <w:rPr>
          <w:rStyle w:val="FootnoteReference"/>
          <w:rFonts w:asciiTheme="minorHAnsi" w:hAnsiTheme="minorHAnsi" w:cstheme="minorHAnsi"/>
          <w:color w:val="000000" w:themeColor="text1"/>
        </w:rPr>
        <w:footnoteReference w:id="10"/>
      </w:r>
      <w:r w:rsidRPr="003E3375">
        <w:rPr>
          <w:rFonts w:asciiTheme="minorHAnsi" w:hAnsiTheme="minorHAnsi" w:cstheme="minorHAnsi"/>
          <w:color w:val="000000" w:themeColor="text1"/>
        </w:rPr>
        <w:t xml:space="preserve"> </w:t>
      </w:r>
    </w:p>
    <w:p w14:paraId="38A09107" w14:textId="50D028DF" w:rsidR="007622E5" w:rsidRPr="003E3375" w:rsidRDefault="007622E5"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Australia </w:t>
      </w:r>
      <w:r w:rsidR="00BB620B" w:rsidRPr="003E3375">
        <w:rPr>
          <w:rFonts w:asciiTheme="minorHAnsi" w:hAnsiTheme="minorHAnsi" w:cstheme="minorHAnsi"/>
          <w:color w:val="000000" w:themeColor="text1"/>
        </w:rPr>
        <w:t xml:space="preserve">considered </w:t>
      </w:r>
      <w:r w:rsidRPr="003E3375">
        <w:rPr>
          <w:rFonts w:asciiTheme="minorHAnsi" w:hAnsiTheme="minorHAnsi" w:cstheme="minorHAnsi"/>
          <w:color w:val="000000" w:themeColor="text1"/>
        </w:rPr>
        <w:t>that</w:t>
      </w:r>
      <w:r w:rsidR="00FC204C"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MOFCOM purported to define the "domestic industry" on the basis of</w:t>
      </w:r>
      <w:r w:rsidR="007C407B" w:rsidRPr="003E3375">
        <w:rPr>
          <w:rFonts w:asciiTheme="minorHAnsi" w:hAnsiTheme="minorHAnsi" w:cstheme="minorHAnsi"/>
          <w:color w:val="000000" w:themeColor="text1"/>
        </w:rPr>
        <w:t xml:space="preserve"> the domestic producers whose collective output of like products constituted a major proportion of the total domestic production of those products. This was based on the text of the Final Determinations, in the section entitled "Determination of the domestic industry", in which MOFCOM considered that</w:t>
      </w:r>
      <w:r w:rsidRPr="003E3375">
        <w:rPr>
          <w:rFonts w:asciiTheme="minorHAnsi" w:hAnsiTheme="minorHAnsi" w:cstheme="minorHAnsi"/>
          <w:color w:val="000000" w:themeColor="text1"/>
        </w:rPr>
        <w:t xml:space="preserve"> </w:t>
      </w:r>
      <w:r w:rsidR="00107041"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the relevant organizations</w:t>
      </w:r>
      <w:r w:rsidR="00CF212D" w:rsidRPr="003E3375">
        <w:rPr>
          <w:rFonts w:asciiTheme="minorHAnsi" w:hAnsiTheme="minorHAnsi" w:cstheme="minorHAnsi"/>
          <w:color w:val="000000" w:themeColor="text1"/>
        </w:rPr>
        <w:t xml:space="preserve"> of the six major production areas</w:t>
      </w:r>
      <w:r w:rsidRPr="003E3375">
        <w:rPr>
          <w:rFonts w:asciiTheme="minorHAnsi" w:hAnsiTheme="minorHAnsi" w:cstheme="minorHAnsi"/>
          <w:color w:val="000000" w:themeColor="text1"/>
        </w:rPr>
        <w:t>" in six provinces</w:t>
      </w:r>
      <w:r w:rsidR="00E50433" w:rsidRPr="003E3375">
        <w:rPr>
          <w:rFonts w:asciiTheme="minorHAnsi" w:hAnsiTheme="minorHAnsi" w:cstheme="minorHAnsi"/>
          <w:color w:val="000000" w:themeColor="text1"/>
        </w:rPr>
        <w:t xml:space="preserve"> that "jointly authorized the Applicant to submit investigation applications … accounted for more than 50% of the total domestic barley output"</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11"/>
      </w:r>
      <w:r w:rsidRPr="003E3375">
        <w:rPr>
          <w:rFonts w:asciiTheme="minorHAnsi" w:hAnsiTheme="minorHAnsi" w:cstheme="minorHAnsi"/>
          <w:color w:val="000000" w:themeColor="text1"/>
        </w:rPr>
        <w:t xml:space="preserve"> </w:t>
      </w:r>
      <w:r w:rsidRPr="003E3375">
        <w:rPr>
          <w:rFonts w:asciiTheme="minorHAnsi" w:eastAsia="Arial" w:hAnsiTheme="minorHAnsi" w:cstheme="minorHAnsi"/>
          <w:color w:val="000000" w:themeColor="text1"/>
        </w:rPr>
        <w:t xml:space="preserve">The </w:t>
      </w:r>
      <w:r w:rsidR="007E0690" w:rsidRPr="003E3375">
        <w:rPr>
          <w:rFonts w:asciiTheme="minorHAnsi" w:eastAsia="Arial" w:hAnsiTheme="minorHAnsi" w:cstheme="minorHAnsi"/>
          <w:color w:val="000000" w:themeColor="text1"/>
        </w:rPr>
        <w:t>adjective</w:t>
      </w:r>
      <w:r w:rsidRPr="003E3375">
        <w:rPr>
          <w:rFonts w:asciiTheme="minorHAnsi" w:eastAsia="Arial" w:hAnsiTheme="minorHAnsi" w:cstheme="minorHAnsi"/>
          <w:color w:val="000000" w:themeColor="text1"/>
        </w:rPr>
        <w:t xml:space="preserve"> "relevant" suggested that the organisations had </w:t>
      </w:r>
      <w:r w:rsidR="00195553" w:rsidRPr="003E3375">
        <w:rPr>
          <w:rFonts w:asciiTheme="minorHAnsi" w:eastAsia="Arial" w:hAnsiTheme="minorHAnsi" w:cstheme="minorHAnsi"/>
          <w:color w:val="000000" w:themeColor="text1"/>
        </w:rPr>
        <w:t>some</w:t>
      </w:r>
      <w:r w:rsidRPr="003E3375">
        <w:rPr>
          <w:rFonts w:asciiTheme="minorHAnsi" w:eastAsia="Arial" w:hAnsiTheme="minorHAnsi" w:cstheme="minorHAnsi"/>
          <w:color w:val="000000" w:themeColor="text1"/>
        </w:rPr>
        <w:t xml:space="preserve"> connection to the production of barley in the six provinces.</w:t>
      </w:r>
      <w:r w:rsidRPr="003E3375">
        <w:rPr>
          <w:rStyle w:val="FootnoteReference"/>
          <w:rFonts w:asciiTheme="minorHAnsi" w:eastAsia="Arial" w:hAnsiTheme="minorHAnsi" w:cstheme="minorHAnsi"/>
          <w:color w:val="000000" w:themeColor="text1"/>
        </w:rPr>
        <w:footnoteReference w:id="12"/>
      </w:r>
      <w:r w:rsidRPr="003E3375">
        <w:rPr>
          <w:rFonts w:asciiTheme="minorHAnsi" w:eastAsia="Arial" w:hAnsiTheme="minorHAnsi" w:cstheme="minorHAnsi"/>
          <w:color w:val="000000" w:themeColor="text1"/>
        </w:rPr>
        <w:t xml:space="preserve"> </w:t>
      </w:r>
      <w:r w:rsidR="00D67D54" w:rsidRPr="003E3375">
        <w:rPr>
          <w:rFonts w:asciiTheme="minorHAnsi" w:hAnsiTheme="minorHAnsi" w:cstheme="minorHAnsi"/>
          <w:color w:val="000000" w:themeColor="text1"/>
        </w:rPr>
        <w:t xml:space="preserve">However, </w:t>
      </w:r>
      <w:r w:rsidR="00E93FA0" w:rsidRPr="003E3375">
        <w:rPr>
          <w:rFonts w:asciiTheme="minorHAnsi" w:hAnsiTheme="minorHAnsi" w:cstheme="minorHAnsi"/>
          <w:color w:val="000000" w:themeColor="text1"/>
        </w:rPr>
        <w:t>during the Panel proceeding</w:t>
      </w:r>
      <w:r w:rsidR="00DC7AA7" w:rsidRPr="003E3375">
        <w:rPr>
          <w:rFonts w:asciiTheme="minorHAnsi" w:hAnsiTheme="minorHAnsi" w:cstheme="minorHAnsi"/>
          <w:color w:val="000000" w:themeColor="text1"/>
        </w:rPr>
        <w:t>s</w:t>
      </w:r>
      <w:r w:rsidR="00E93FA0" w:rsidRPr="003E3375">
        <w:rPr>
          <w:rFonts w:asciiTheme="minorHAnsi" w:hAnsiTheme="minorHAnsi" w:cstheme="minorHAnsi"/>
          <w:color w:val="000000" w:themeColor="text1"/>
        </w:rPr>
        <w:t>,</w:t>
      </w:r>
      <w:r w:rsidR="00DC7AA7" w:rsidRPr="003E3375">
        <w:rPr>
          <w:rFonts w:asciiTheme="minorHAnsi" w:hAnsiTheme="minorHAnsi" w:cstheme="minorHAnsi"/>
          <w:color w:val="000000" w:themeColor="text1"/>
        </w:rPr>
        <w:t xml:space="preserve"> China revealed</w:t>
      </w:r>
      <w:r w:rsidR="00E93FA0" w:rsidRPr="003E3375">
        <w:rPr>
          <w:rFonts w:asciiTheme="minorHAnsi" w:hAnsiTheme="minorHAnsi" w:cstheme="minorHAnsi"/>
          <w:color w:val="000000" w:themeColor="text1"/>
        </w:rPr>
        <w:t xml:space="preserve"> that </w:t>
      </w:r>
      <w:r w:rsidR="00D67D54" w:rsidRPr="003E3375">
        <w:rPr>
          <w:rFonts w:asciiTheme="minorHAnsi" w:hAnsiTheme="minorHAnsi" w:cstheme="minorHAnsi"/>
          <w:color w:val="000000" w:themeColor="text1"/>
        </w:rPr>
        <w:t>these organisations</w:t>
      </w:r>
      <w:r w:rsidRPr="003E3375">
        <w:rPr>
          <w:rFonts w:asciiTheme="minorHAnsi" w:hAnsiTheme="minorHAnsi" w:cstheme="minorHAnsi"/>
          <w:color w:val="000000" w:themeColor="text1"/>
        </w:rPr>
        <w:t xml:space="preserve"> were in fact [[</w:t>
      </w:r>
      <w:r w:rsidR="009002EB">
        <w:rPr>
          <w:rFonts w:asciiTheme="minorHAnsi" w:hAnsiTheme="minorHAnsi" w:cstheme="minorHAnsi"/>
          <w:color w:val="000000" w:themeColor="text1"/>
        </w:rPr>
        <w:t>XXX</w:t>
      </w:r>
      <w:r w:rsidRPr="003E3375">
        <w:rPr>
          <w:rFonts w:asciiTheme="minorHAnsi" w:hAnsiTheme="minorHAnsi" w:cstheme="minorHAnsi"/>
          <w:color w:val="000000" w:themeColor="text1"/>
        </w:rPr>
        <w:t>]]</w:t>
      </w:r>
      <w:r w:rsidRPr="003E3375">
        <w:rPr>
          <w:rFonts w:asciiTheme="minorHAnsi" w:hAnsiTheme="minorHAnsi" w:cstheme="minorHAnsi"/>
          <w:color w:val="000000" w:themeColor="text1"/>
          <w:vertAlign w:val="superscript"/>
        </w:rPr>
        <w:footnoteReference w:id="13"/>
      </w:r>
      <w:r w:rsidRPr="003E3375">
        <w:rPr>
          <w:rFonts w:asciiTheme="minorHAnsi" w:hAnsiTheme="minorHAnsi" w:cstheme="minorHAnsi"/>
          <w:color w:val="000000" w:themeColor="text1"/>
          <w:vertAlign w:val="superscript"/>
        </w:rPr>
        <w:t xml:space="preserve"> </w:t>
      </w:r>
      <w:r w:rsidR="00D67D54" w:rsidRPr="003E3375">
        <w:rPr>
          <w:rFonts w:asciiTheme="minorHAnsi" w:hAnsiTheme="minorHAnsi" w:cstheme="minorHAnsi"/>
          <w:color w:val="000000" w:themeColor="text1"/>
        </w:rPr>
        <w:t>without</w:t>
      </w:r>
      <w:r w:rsidRPr="003E3375">
        <w:rPr>
          <w:rFonts w:asciiTheme="minorHAnsi" w:hAnsiTheme="minorHAnsi" w:cstheme="minorHAnsi"/>
          <w:color w:val="000000" w:themeColor="text1"/>
        </w:rPr>
        <w:t xml:space="preserve"> any connection to </w:t>
      </w:r>
      <w:r w:rsidR="00DC7AA7" w:rsidRPr="003E3375">
        <w:rPr>
          <w:rFonts w:asciiTheme="minorHAnsi" w:hAnsiTheme="minorHAnsi" w:cstheme="minorHAnsi"/>
          <w:color w:val="000000" w:themeColor="text1"/>
        </w:rPr>
        <w:t xml:space="preserve">barley </w:t>
      </w:r>
      <w:r w:rsidR="00C97193" w:rsidRPr="003E3375">
        <w:rPr>
          <w:rFonts w:asciiTheme="minorHAnsi" w:hAnsiTheme="minorHAnsi" w:cstheme="minorHAnsi"/>
          <w:color w:val="000000" w:themeColor="text1"/>
        </w:rPr>
        <w:t>production</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14"/>
      </w:r>
    </w:p>
    <w:p w14:paraId="7C5945AC" w14:textId="2AF0809E" w:rsidR="00C13E43" w:rsidRPr="003E3375" w:rsidRDefault="00FA1E0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On the basis of this apparent </w:t>
      </w:r>
      <w:r w:rsidR="00651FBE" w:rsidRPr="003E3375">
        <w:rPr>
          <w:rFonts w:asciiTheme="minorHAnsi" w:hAnsiTheme="minorHAnsi" w:cstheme="minorHAnsi"/>
          <w:color w:val="000000" w:themeColor="text1"/>
        </w:rPr>
        <w:t>definition</w:t>
      </w:r>
      <w:r w:rsidRPr="003E3375">
        <w:rPr>
          <w:rFonts w:asciiTheme="minorHAnsi" w:hAnsiTheme="minorHAnsi" w:cstheme="minorHAnsi"/>
          <w:color w:val="000000" w:themeColor="text1"/>
        </w:rPr>
        <w:t xml:space="preserve">, Australia argued that MOFCOM had failed to satisfy both the "quantitative" and "qualitative" elements of a "major proportion". Australia argued, </w:t>
      </w:r>
      <w:r w:rsidRPr="003E3375">
        <w:rPr>
          <w:rFonts w:asciiTheme="minorHAnsi" w:hAnsiTheme="minorHAnsi" w:cstheme="minorHAnsi"/>
          <w:i/>
          <w:iCs/>
          <w:color w:val="000000" w:themeColor="text1"/>
        </w:rPr>
        <w:t>inter alia</w:t>
      </w:r>
      <w:r w:rsidRPr="003E3375">
        <w:rPr>
          <w:rFonts w:asciiTheme="minorHAnsi" w:hAnsiTheme="minorHAnsi" w:cstheme="minorHAnsi"/>
          <w:color w:val="000000" w:themeColor="text1"/>
        </w:rPr>
        <w:t>, that MOFCOM failed to provide</w:t>
      </w:r>
      <w:r w:rsidR="00990A30" w:rsidRPr="003E3375">
        <w:rPr>
          <w:rFonts w:asciiTheme="minorHAnsi" w:hAnsiTheme="minorHAnsi" w:cstheme="minorHAnsi"/>
          <w:color w:val="000000" w:themeColor="text1"/>
        </w:rPr>
        <w:t>: (i)</w:t>
      </w:r>
      <w:r w:rsidRPr="003E3375">
        <w:rPr>
          <w:rFonts w:asciiTheme="minorHAnsi" w:hAnsiTheme="minorHAnsi" w:cstheme="minorHAnsi"/>
          <w:color w:val="000000" w:themeColor="text1"/>
        </w:rPr>
        <w:t xml:space="preserve"> the aggregate production volume of the producers</w:t>
      </w:r>
      <w:r w:rsidR="00990A30" w:rsidRPr="003E3375">
        <w:rPr>
          <w:rFonts w:asciiTheme="minorHAnsi" w:hAnsiTheme="minorHAnsi" w:cstheme="minorHAnsi"/>
          <w:color w:val="000000" w:themeColor="text1"/>
        </w:rPr>
        <w:t xml:space="preserve"> that the "relevant organizations"</w:t>
      </w:r>
      <w:r w:rsidRPr="003E3375">
        <w:rPr>
          <w:rFonts w:asciiTheme="minorHAnsi" w:hAnsiTheme="minorHAnsi" w:cstheme="minorHAnsi"/>
          <w:color w:val="000000" w:themeColor="text1"/>
        </w:rPr>
        <w:t xml:space="preserve"> purportedly represented</w:t>
      </w:r>
      <w:r w:rsidR="00990A30" w:rsidRPr="003E3375">
        <w:rPr>
          <w:rFonts w:asciiTheme="minorHAnsi" w:hAnsiTheme="minorHAnsi" w:cstheme="minorHAnsi"/>
          <w:color w:val="000000" w:themeColor="text1"/>
        </w:rPr>
        <w:t>; (ii)</w:t>
      </w:r>
      <w:r w:rsidRPr="003E3375">
        <w:rPr>
          <w:rFonts w:asciiTheme="minorHAnsi" w:hAnsiTheme="minorHAnsi" w:cstheme="minorHAnsi"/>
          <w:color w:val="000000" w:themeColor="text1"/>
        </w:rPr>
        <w:t xml:space="preserve"> any explanation as </w:t>
      </w:r>
      <w:r w:rsidRPr="003E3375">
        <w:rPr>
          <w:rFonts w:asciiTheme="minorHAnsi" w:hAnsiTheme="minorHAnsi" w:cstheme="minorHAnsi"/>
          <w:color w:val="000000" w:themeColor="text1"/>
        </w:rPr>
        <w:lastRenderedPageBreak/>
        <w:t>to how those producers' proportion of total domestic production was determined</w:t>
      </w:r>
      <w:r w:rsidR="00990A30"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w:t>
      </w:r>
      <w:r w:rsidR="00990A30" w:rsidRPr="003E3375">
        <w:rPr>
          <w:rFonts w:asciiTheme="minorHAnsi" w:hAnsiTheme="minorHAnsi" w:cstheme="minorHAnsi"/>
          <w:color w:val="000000" w:themeColor="text1"/>
        </w:rPr>
        <w:t>and (iii)</w:t>
      </w:r>
      <w:r w:rsidRPr="003E3375">
        <w:rPr>
          <w:rFonts w:asciiTheme="minorHAnsi" w:hAnsiTheme="minorHAnsi" w:cstheme="minorHAnsi"/>
          <w:color w:val="000000" w:themeColor="text1"/>
        </w:rPr>
        <w:t xml:space="preserve"> on what basis MOFCOM considered this to represent a "major proportion" capable of "substantially reflecting" the total domestic production</w:t>
      </w:r>
      <w:r w:rsidR="00990A30"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including with respect to the exclusion of the domestic producers in at least 14 barley-producing provinces.</w:t>
      </w:r>
      <w:r w:rsidRPr="003E3375">
        <w:rPr>
          <w:rStyle w:val="FootnoteReference"/>
          <w:rFonts w:cstheme="minorHAnsi"/>
          <w:color w:val="000000" w:themeColor="text1"/>
        </w:rPr>
        <w:footnoteReference w:id="15"/>
      </w:r>
    </w:p>
    <w:p w14:paraId="1B5453F2" w14:textId="1286E3FF" w:rsidR="007521F4" w:rsidRPr="003E3375" w:rsidRDefault="007622E5"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China attempted to "remedy"</w:t>
      </w:r>
      <w:r w:rsidRPr="003E3375">
        <w:rPr>
          <w:rStyle w:val="FootnoteReference"/>
          <w:rFonts w:asciiTheme="minorHAnsi" w:hAnsiTheme="minorHAnsi" w:cstheme="minorHAnsi"/>
          <w:color w:val="000000" w:themeColor="text1"/>
        </w:rPr>
        <w:footnoteReference w:id="16"/>
      </w:r>
      <w:r w:rsidRPr="003E3375">
        <w:rPr>
          <w:rFonts w:asciiTheme="minorHAnsi" w:hAnsiTheme="minorHAnsi" w:cstheme="minorHAnsi"/>
          <w:color w:val="000000" w:themeColor="text1"/>
        </w:rPr>
        <w:t xml:space="preserve"> the ambiguity </w:t>
      </w:r>
      <w:r w:rsidR="00D96A83" w:rsidRPr="003E3375">
        <w:rPr>
          <w:rFonts w:asciiTheme="minorHAnsi" w:hAnsiTheme="minorHAnsi" w:cstheme="minorHAnsi"/>
          <w:color w:val="000000" w:themeColor="text1"/>
        </w:rPr>
        <w:t xml:space="preserve">in </w:t>
      </w:r>
      <w:r w:rsidR="00C868C7" w:rsidRPr="003E3375">
        <w:rPr>
          <w:rFonts w:asciiTheme="minorHAnsi" w:hAnsiTheme="minorHAnsi" w:cstheme="minorHAnsi"/>
          <w:color w:val="000000" w:themeColor="text1"/>
        </w:rPr>
        <w:t>MOFCOM's</w:t>
      </w:r>
      <w:r w:rsidR="00D96A83" w:rsidRPr="003E3375">
        <w:rPr>
          <w:rFonts w:asciiTheme="minorHAnsi" w:hAnsiTheme="minorHAnsi" w:cstheme="minorHAnsi"/>
          <w:color w:val="000000" w:themeColor="text1"/>
        </w:rPr>
        <w:t xml:space="preserve"> Final Determinations and deflect Australia's arguments </w:t>
      </w:r>
      <w:r w:rsidRPr="003E3375">
        <w:rPr>
          <w:rFonts w:asciiTheme="minorHAnsi" w:hAnsiTheme="minorHAnsi" w:cstheme="minorHAnsi"/>
          <w:color w:val="000000" w:themeColor="text1"/>
        </w:rPr>
        <w:t>by asserting</w:t>
      </w:r>
      <w:r w:rsidR="00D96A83" w:rsidRPr="003E3375">
        <w:rPr>
          <w:rFonts w:asciiTheme="minorHAnsi" w:hAnsiTheme="minorHAnsi" w:cstheme="minorHAnsi"/>
          <w:color w:val="000000" w:themeColor="text1"/>
        </w:rPr>
        <w:t xml:space="preserve">, </w:t>
      </w:r>
      <w:r w:rsidR="00D96A83" w:rsidRPr="003E3375">
        <w:rPr>
          <w:rFonts w:asciiTheme="minorHAnsi" w:hAnsiTheme="minorHAnsi" w:cstheme="minorHAnsi"/>
          <w:i/>
          <w:iCs/>
          <w:color w:val="000000" w:themeColor="text1"/>
        </w:rPr>
        <w:t>ex post facto</w:t>
      </w:r>
      <w:r w:rsidR="00D96A83"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that MOFCOM "defined 'domestic industry' as producers as a whole".</w:t>
      </w:r>
      <w:r w:rsidRPr="003E3375">
        <w:rPr>
          <w:rStyle w:val="FootnoteReference"/>
          <w:rFonts w:asciiTheme="minorHAnsi" w:hAnsiTheme="minorHAnsi" w:cstheme="minorHAnsi"/>
          <w:color w:val="000000" w:themeColor="text1"/>
        </w:rPr>
        <w:footnoteReference w:id="17"/>
      </w:r>
      <w:r w:rsidRPr="003E3375">
        <w:rPr>
          <w:rFonts w:asciiTheme="minorHAnsi" w:hAnsiTheme="minorHAnsi" w:cstheme="minorHAnsi"/>
          <w:color w:val="000000" w:themeColor="text1"/>
        </w:rPr>
        <w:t xml:space="preserve"> </w:t>
      </w:r>
      <w:r w:rsidR="001D56A6" w:rsidRPr="003E3375">
        <w:rPr>
          <w:rFonts w:asciiTheme="minorHAnsi" w:hAnsiTheme="minorHAnsi" w:cstheme="minorHAnsi"/>
          <w:color w:val="000000" w:themeColor="text1"/>
        </w:rPr>
        <w:t xml:space="preserve">This </w:t>
      </w:r>
      <w:r w:rsidR="004334B2" w:rsidRPr="003E3375">
        <w:rPr>
          <w:rFonts w:asciiTheme="minorHAnsi" w:hAnsiTheme="minorHAnsi" w:cstheme="minorHAnsi"/>
          <w:color w:val="000000" w:themeColor="text1"/>
        </w:rPr>
        <w:t>argument do</w:t>
      </w:r>
      <w:r w:rsidR="001D56A6" w:rsidRPr="003E3375">
        <w:rPr>
          <w:rFonts w:asciiTheme="minorHAnsi" w:hAnsiTheme="minorHAnsi" w:cstheme="minorHAnsi"/>
          <w:color w:val="000000" w:themeColor="text1"/>
        </w:rPr>
        <w:t>es</w:t>
      </w:r>
      <w:r w:rsidR="004334B2" w:rsidRPr="003E3375">
        <w:rPr>
          <w:rFonts w:asciiTheme="minorHAnsi" w:hAnsiTheme="minorHAnsi" w:cstheme="minorHAnsi"/>
          <w:color w:val="000000" w:themeColor="text1"/>
        </w:rPr>
        <w:t xml:space="preserve"> not have any basis in the text of the Final Determinations and conflate</w:t>
      </w:r>
      <w:r w:rsidR="001D56A6" w:rsidRPr="003E3375">
        <w:rPr>
          <w:rFonts w:asciiTheme="minorHAnsi" w:hAnsiTheme="minorHAnsi" w:cstheme="minorHAnsi"/>
          <w:color w:val="000000" w:themeColor="text1"/>
        </w:rPr>
        <w:t>s</w:t>
      </w:r>
      <w:r w:rsidR="007521F4" w:rsidRPr="003E3375">
        <w:rPr>
          <w:rFonts w:asciiTheme="minorHAnsi" w:hAnsiTheme="minorHAnsi" w:cstheme="minorHAnsi"/>
          <w:color w:val="000000" w:themeColor="text1"/>
        </w:rPr>
        <w:t xml:space="preserve"> MOFCOM's </w:t>
      </w:r>
      <w:r w:rsidR="007521F4" w:rsidRPr="003E3375">
        <w:rPr>
          <w:rFonts w:asciiTheme="minorHAnsi" w:hAnsiTheme="minorHAnsi" w:cstheme="minorHAnsi"/>
          <w:color w:val="000000" w:themeColor="text1"/>
          <w:lang w:val="en-GB"/>
        </w:rPr>
        <w:t xml:space="preserve">flawed assessment </w:t>
      </w:r>
      <w:r w:rsidR="00372DDC" w:rsidRPr="003E3375">
        <w:rPr>
          <w:rFonts w:asciiTheme="minorHAnsi" w:hAnsiTheme="minorHAnsi" w:cstheme="minorHAnsi"/>
          <w:color w:val="000000" w:themeColor="text1"/>
          <w:lang w:val="en-GB"/>
        </w:rPr>
        <w:t xml:space="preserve">of the Applicant's standing with its </w:t>
      </w:r>
      <w:r w:rsidR="007521F4" w:rsidRPr="003E3375">
        <w:rPr>
          <w:rFonts w:asciiTheme="minorHAnsi" w:hAnsiTheme="minorHAnsi" w:cstheme="minorHAnsi"/>
          <w:color w:val="000000" w:themeColor="text1"/>
          <w:lang w:val="en-GB"/>
        </w:rPr>
        <w:t xml:space="preserve">definition of </w:t>
      </w:r>
      <w:r w:rsidR="00372DDC" w:rsidRPr="003E3375">
        <w:rPr>
          <w:rFonts w:asciiTheme="minorHAnsi" w:hAnsiTheme="minorHAnsi" w:cstheme="minorHAnsi"/>
          <w:color w:val="000000" w:themeColor="text1"/>
          <w:lang w:val="en-GB"/>
        </w:rPr>
        <w:t xml:space="preserve">the </w:t>
      </w:r>
      <w:r w:rsidR="007521F4" w:rsidRPr="003E3375">
        <w:rPr>
          <w:rFonts w:asciiTheme="minorHAnsi" w:hAnsiTheme="minorHAnsi" w:cstheme="minorHAnsi"/>
          <w:color w:val="000000" w:themeColor="text1"/>
          <w:lang w:val="en-GB"/>
        </w:rPr>
        <w:t>domestic industry</w:t>
      </w:r>
      <w:r w:rsidR="007521F4" w:rsidRPr="003E3375">
        <w:rPr>
          <w:rFonts w:asciiTheme="minorHAnsi" w:hAnsiTheme="minorHAnsi" w:cstheme="minorHAnsi"/>
          <w:color w:val="000000" w:themeColor="text1"/>
        </w:rPr>
        <w:t>.</w:t>
      </w:r>
      <w:r w:rsidR="007521F4" w:rsidRPr="003E3375">
        <w:rPr>
          <w:rStyle w:val="FootnoteReference"/>
          <w:rFonts w:asciiTheme="minorHAnsi" w:hAnsiTheme="minorHAnsi" w:cstheme="minorHAnsi"/>
          <w:color w:val="000000" w:themeColor="text1"/>
        </w:rPr>
        <w:footnoteReference w:id="18"/>
      </w:r>
      <w:r w:rsidR="009261CB" w:rsidRPr="003E3375">
        <w:rPr>
          <w:rFonts w:asciiTheme="minorHAnsi" w:hAnsiTheme="minorHAnsi" w:cstheme="minorHAnsi"/>
          <w:color w:val="000000" w:themeColor="text1"/>
        </w:rPr>
        <w:t xml:space="preserve"> These </w:t>
      </w:r>
      <w:r w:rsidR="00372DDC" w:rsidRPr="003E3375">
        <w:rPr>
          <w:rFonts w:asciiTheme="minorHAnsi" w:hAnsiTheme="minorHAnsi" w:cstheme="minorHAnsi"/>
          <w:color w:val="000000" w:themeColor="text1"/>
        </w:rPr>
        <w:t xml:space="preserve">obligations </w:t>
      </w:r>
      <w:r w:rsidR="009261CB" w:rsidRPr="003E3375">
        <w:rPr>
          <w:rFonts w:asciiTheme="minorHAnsi" w:hAnsiTheme="minorHAnsi" w:cstheme="minorHAnsi"/>
          <w:color w:val="000000" w:themeColor="text1"/>
        </w:rPr>
        <w:t>are separate</w:t>
      </w:r>
      <w:r w:rsidR="007159D7" w:rsidRPr="003E3375">
        <w:rPr>
          <w:rFonts w:asciiTheme="minorHAnsi" w:hAnsiTheme="minorHAnsi" w:cstheme="minorHAnsi"/>
          <w:color w:val="000000" w:themeColor="text1"/>
        </w:rPr>
        <w:t>,</w:t>
      </w:r>
      <w:r w:rsidR="009261CB" w:rsidRPr="003E3375">
        <w:rPr>
          <w:rStyle w:val="P6-B5Paragraph6-Bullet5Char"/>
          <w:rFonts w:asciiTheme="minorHAnsi" w:hAnsiTheme="minorHAnsi" w:cstheme="minorHAnsi"/>
          <w:color w:val="000000" w:themeColor="text1"/>
        </w:rPr>
        <w:t xml:space="preserve"> and must not be conflated.</w:t>
      </w:r>
      <w:r w:rsidR="009261CB" w:rsidRPr="003E3375">
        <w:rPr>
          <w:rStyle w:val="FootnoteReference"/>
          <w:rFonts w:asciiTheme="minorHAnsi" w:hAnsiTheme="minorHAnsi" w:cstheme="minorHAnsi"/>
          <w:color w:val="000000" w:themeColor="text1"/>
        </w:rPr>
        <w:footnoteReference w:id="19"/>
      </w:r>
    </w:p>
    <w:p w14:paraId="02E87B56" w14:textId="35A81B39" w:rsidR="007622E5" w:rsidRPr="003E3375" w:rsidRDefault="007622E5"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China </w:t>
      </w:r>
      <w:r w:rsidR="007159D7" w:rsidRPr="003E3375">
        <w:rPr>
          <w:rFonts w:asciiTheme="minorHAnsi" w:hAnsiTheme="minorHAnsi" w:cstheme="minorHAnsi"/>
          <w:color w:val="000000" w:themeColor="text1"/>
        </w:rPr>
        <w:t xml:space="preserve">similarly </w:t>
      </w:r>
      <w:r w:rsidRPr="003E3375">
        <w:rPr>
          <w:rFonts w:asciiTheme="minorHAnsi" w:hAnsiTheme="minorHAnsi" w:cstheme="minorHAnsi"/>
          <w:color w:val="000000" w:themeColor="text1"/>
        </w:rPr>
        <w:t xml:space="preserve">supported its assertion by claiming that MOFCOM conducted its injury and causation analyses on the basis of </w:t>
      </w:r>
      <w:r w:rsidR="00372DDC" w:rsidRPr="003E3375">
        <w:rPr>
          <w:rFonts w:asciiTheme="minorHAnsi" w:hAnsiTheme="minorHAnsi" w:cstheme="minorHAnsi"/>
          <w:color w:val="000000" w:themeColor="text1"/>
        </w:rPr>
        <w:t xml:space="preserve">evidence concerning </w:t>
      </w:r>
      <w:r w:rsidRPr="003E3375">
        <w:rPr>
          <w:rFonts w:asciiTheme="minorHAnsi" w:hAnsiTheme="minorHAnsi" w:cstheme="minorHAnsi"/>
          <w:color w:val="000000" w:themeColor="text1"/>
        </w:rPr>
        <w:t xml:space="preserve">the </w:t>
      </w:r>
      <w:r w:rsidR="005655D5" w:rsidRPr="003E3375">
        <w:rPr>
          <w:rFonts w:asciiTheme="minorHAnsi" w:hAnsiTheme="minorHAnsi" w:cstheme="minorHAnsi"/>
          <w:color w:val="000000" w:themeColor="text1"/>
        </w:rPr>
        <w:t>"overall" Chinese barley industry</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20"/>
      </w:r>
      <w:r w:rsidRPr="003E3375">
        <w:rPr>
          <w:rFonts w:asciiTheme="minorHAnsi" w:hAnsiTheme="minorHAnsi" w:cstheme="minorHAnsi"/>
          <w:color w:val="000000" w:themeColor="text1"/>
        </w:rPr>
        <w:t xml:space="preserve"> To this end, China contend</w:t>
      </w:r>
      <w:r w:rsidR="00E55CAC" w:rsidRPr="003E3375">
        <w:rPr>
          <w:rFonts w:asciiTheme="minorHAnsi" w:hAnsiTheme="minorHAnsi" w:cstheme="minorHAnsi"/>
          <w:color w:val="000000" w:themeColor="text1"/>
        </w:rPr>
        <w:t>ed</w:t>
      </w:r>
      <w:r w:rsidRPr="003E3375">
        <w:rPr>
          <w:rFonts w:asciiTheme="minorHAnsi" w:hAnsiTheme="minorHAnsi" w:cstheme="minorHAnsi"/>
          <w:color w:val="000000" w:themeColor="text1"/>
        </w:rPr>
        <w:t xml:space="preserve"> that the data provided by the [[</w:t>
      </w:r>
      <w:r w:rsidR="009002EB">
        <w:rPr>
          <w:rFonts w:asciiTheme="minorHAnsi" w:hAnsiTheme="minorHAnsi" w:cstheme="minorHAnsi"/>
          <w:color w:val="000000" w:themeColor="text1"/>
        </w:rPr>
        <w:t>XXX</w:t>
      </w:r>
      <w:r w:rsidRPr="003E3375">
        <w:rPr>
          <w:rFonts w:asciiTheme="minorHAnsi" w:hAnsiTheme="minorHAnsi" w:cstheme="minorHAnsi"/>
          <w:color w:val="000000" w:themeColor="text1"/>
        </w:rPr>
        <w:t>]] at the Annexes to CICC's Questionnaire Responses are "clearly […] the data of 'domestic producers as a whole' of barley, or representative of the state of the 'domestic producers as a whole' of barley".</w:t>
      </w:r>
      <w:r w:rsidRPr="003E3375">
        <w:rPr>
          <w:rFonts w:asciiTheme="minorHAnsi" w:hAnsiTheme="minorHAnsi" w:cstheme="minorHAnsi"/>
          <w:color w:val="000000" w:themeColor="text1"/>
          <w:vertAlign w:val="superscript"/>
        </w:rPr>
        <w:footnoteReference w:id="21"/>
      </w:r>
      <w:r w:rsidRPr="003E3375">
        <w:rPr>
          <w:rFonts w:asciiTheme="minorHAnsi" w:hAnsiTheme="minorHAnsi" w:cstheme="minorHAnsi"/>
          <w:color w:val="000000" w:themeColor="text1"/>
        </w:rPr>
        <w:t xml:space="preserve"> </w:t>
      </w:r>
      <w:r w:rsidR="00E55CAC" w:rsidRPr="003E3375">
        <w:rPr>
          <w:rFonts w:asciiTheme="minorHAnsi" w:hAnsiTheme="minorHAnsi" w:cstheme="minorHAnsi"/>
          <w:color w:val="000000" w:themeColor="text1"/>
        </w:rPr>
        <w:t xml:space="preserve">These </w:t>
      </w:r>
      <w:r w:rsidR="00E55CAC" w:rsidRPr="003E3375">
        <w:rPr>
          <w:rFonts w:asciiTheme="minorHAnsi" w:hAnsiTheme="minorHAnsi" w:cstheme="minorHAnsi"/>
          <w:i/>
          <w:iCs/>
          <w:color w:val="000000" w:themeColor="text1"/>
        </w:rPr>
        <w:t>ex post facto</w:t>
      </w:r>
      <w:r w:rsidR="00E55CAC" w:rsidRPr="003E3375">
        <w:rPr>
          <w:rFonts w:asciiTheme="minorHAnsi" w:hAnsiTheme="minorHAnsi" w:cstheme="minorHAnsi"/>
          <w:color w:val="000000" w:themeColor="text1"/>
        </w:rPr>
        <w:t xml:space="preserve"> rationalisations fail to </w:t>
      </w:r>
      <w:r w:rsidRPr="003E3375">
        <w:rPr>
          <w:rFonts w:asciiTheme="minorHAnsi" w:hAnsiTheme="minorHAnsi" w:cstheme="minorHAnsi"/>
          <w:color w:val="000000" w:themeColor="text1"/>
        </w:rPr>
        <w:t xml:space="preserve">address the </w:t>
      </w:r>
      <w:r w:rsidR="00E55CAC" w:rsidRPr="003E3375">
        <w:rPr>
          <w:rFonts w:asciiTheme="minorHAnsi" w:hAnsiTheme="minorHAnsi" w:cstheme="minorHAnsi"/>
          <w:color w:val="000000" w:themeColor="text1"/>
        </w:rPr>
        <w:t xml:space="preserve">obligation to define the </w:t>
      </w:r>
      <w:r w:rsidRPr="003E3375">
        <w:rPr>
          <w:rFonts w:asciiTheme="minorHAnsi" w:hAnsiTheme="minorHAnsi" w:cstheme="minorHAnsi"/>
          <w:color w:val="000000" w:themeColor="text1"/>
        </w:rPr>
        <w:t xml:space="preserve">"domestic industry" </w:t>
      </w:r>
      <w:r w:rsidR="00E55CAC" w:rsidRPr="003E3375">
        <w:rPr>
          <w:rFonts w:asciiTheme="minorHAnsi" w:hAnsiTheme="minorHAnsi" w:cstheme="minorHAnsi"/>
          <w:color w:val="000000" w:themeColor="text1"/>
        </w:rPr>
        <w:t>under Articles 4.1 and 16.1</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22"/>
      </w:r>
      <w:r w:rsidRPr="003E3375">
        <w:rPr>
          <w:rFonts w:asciiTheme="minorHAnsi" w:hAnsiTheme="minorHAnsi" w:cstheme="minorHAnsi"/>
          <w:color w:val="000000" w:themeColor="text1"/>
        </w:rPr>
        <w:t xml:space="preserve"> As to China's claim concerning the data, Exhibits CHN</w:t>
      </w:r>
      <w:r w:rsidR="00274BF4" w:rsidRPr="003E3375">
        <w:rPr>
          <w:rFonts w:asciiTheme="minorHAnsi" w:hAnsiTheme="minorHAnsi" w:cstheme="minorHAnsi"/>
          <w:color w:val="000000" w:themeColor="text1"/>
        </w:rPr>
        <w:noBreakHyphen/>
      </w:r>
      <w:r w:rsidRPr="003E3375">
        <w:rPr>
          <w:rFonts w:asciiTheme="minorHAnsi" w:hAnsiTheme="minorHAnsi" w:cstheme="minorHAnsi"/>
          <w:color w:val="000000" w:themeColor="text1"/>
        </w:rPr>
        <w:t xml:space="preserve">22 and 23 </w:t>
      </w:r>
      <w:bookmarkStart w:id="8" w:name="_Hlk108523145"/>
      <w:r w:rsidR="00DF5409" w:rsidRPr="003E3375">
        <w:rPr>
          <w:rFonts w:asciiTheme="minorHAnsi" w:hAnsiTheme="minorHAnsi" w:cstheme="minorHAnsi"/>
          <w:color w:val="000000" w:themeColor="text1"/>
        </w:rPr>
        <w:t>demonstrate</w:t>
      </w:r>
      <w:r w:rsidRPr="003E3375">
        <w:rPr>
          <w:rFonts w:asciiTheme="minorHAnsi" w:hAnsiTheme="minorHAnsi" w:cstheme="minorHAnsi"/>
          <w:color w:val="000000" w:themeColor="text1"/>
        </w:rPr>
        <w:t xml:space="preserve"> the lack of evidence on the record from any actual domestic barley producer, let alone the "domestic producers as a whole".</w:t>
      </w:r>
      <w:bookmarkEnd w:id="8"/>
      <w:r w:rsidRPr="003E3375">
        <w:rPr>
          <w:rStyle w:val="FootnoteReference"/>
          <w:rFonts w:asciiTheme="minorHAnsi" w:hAnsiTheme="minorHAnsi" w:cstheme="minorHAnsi"/>
          <w:color w:val="000000" w:themeColor="text1"/>
        </w:rPr>
        <w:footnoteReference w:id="23"/>
      </w:r>
      <w:r w:rsidRPr="003E3375">
        <w:rPr>
          <w:rFonts w:asciiTheme="minorHAnsi" w:hAnsiTheme="minorHAnsi" w:cstheme="minorHAnsi"/>
          <w:color w:val="000000" w:themeColor="text1"/>
        </w:rPr>
        <w:t xml:space="preserve"> </w:t>
      </w:r>
    </w:p>
    <w:p w14:paraId="2BD031CA" w14:textId="54A6141C" w:rsidR="007622E5" w:rsidRPr="003E3375" w:rsidRDefault="007622E5"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Australia emphasises that </w:t>
      </w:r>
      <w:r w:rsidRPr="003E3375">
        <w:rPr>
          <w:rFonts w:asciiTheme="minorHAnsi" w:hAnsiTheme="minorHAnsi" w:cstheme="minorHAnsi"/>
          <w:color w:val="000000" w:themeColor="text1"/>
          <w:lang w:val="en-GB"/>
        </w:rPr>
        <w:t>China's characterisation of MOFCOM's purported approach to defining the domestic industry</w:t>
      </w:r>
      <w:r w:rsidR="003632E2" w:rsidRPr="003E3375">
        <w:rPr>
          <w:rFonts w:asciiTheme="minorHAnsi" w:hAnsiTheme="minorHAnsi" w:cstheme="minorHAnsi"/>
          <w:color w:val="000000" w:themeColor="text1"/>
          <w:lang w:val="en-GB"/>
        </w:rPr>
        <w:t>, if accepted,</w:t>
      </w:r>
      <w:r w:rsidRPr="003E3375">
        <w:rPr>
          <w:rFonts w:asciiTheme="minorHAnsi" w:hAnsiTheme="minorHAnsi" w:cstheme="minorHAnsi"/>
          <w:color w:val="000000" w:themeColor="text1"/>
          <w:lang w:val="en-GB"/>
        </w:rPr>
        <w:t xml:space="preserve"> would remove the need for the identification, participation, or evidence of the actual domestic industry in an investigation.</w:t>
      </w:r>
      <w:r w:rsidRPr="003E3375">
        <w:rPr>
          <w:rStyle w:val="FootnoteReference"/>
          <w:rFonts w:asciiTheme="minorHAnsi" w:hAnsiTheme="minorHAnsi" w:cstheme="minorHAnsi"/>
          <w:color w:val="000000" w:themeColor="text1"/>
          <w:lang w:val="en-GB"/>
        </w:rPr>
        <w:footnoteReference w:id="24"/>
      </w:r>
      <w:r w:rsidRPr="003E3375">
        <w:rPr>
          <w:rFonts w:asciiTheme="minorHAnsi" w:hAnsiTheme="minorHAnsi" w:cstheme="minorHAnsi"/>
          <w:color w:val="000000" w:themeColor="text1"/>
          <w:lang w:val="en-GB"/>
        </w:rPr>
        <w:t xml:space="preserve"> This would be</w:t>
      </w:r>
      <w:r w:rsidR="00E129FF" w:rsidRPr="003E3375">
        <w:rPr>
          <w:rFonts w:asciiTheme="minorHAnsi" w:hAnsiTheme="minorHAnsi" w:cstheme="minorHAnsi"/>
          <w:color w:val="000000" w:themeColor="text1"/>
          <w:lang w:val="en-GB"/>
        </w:rPr>
        <w:t xml:space="preserve"> an</w:t>
      </w:r>
      <w:r w:rsidRPr="003E3375">
        <w:rPr>
          <w:rFonts w:asciiTheme="minorHAnsi" w:hAnsiTheme="minorHAnsi" w:cstheme="minorHAnsi"/>
          <w:color w:val="000000" w:themeColor="text1"/>
          <w:lang w:val="en-GB"/>
        </w:rPr>
        <w:t xml:space="preserve"> "unsustainable outcome, systemically".</w:t>
      </w:r>
      <w:r w:rsidRPr="003E3375">
        <w:rPr>
          <w:rStyle w:val="FootnoteReference"/>
          <w:rFonts w:asciiTheme="minorHAnsi" w:hAnsiTheme="minorHAnsi" w:cstheme="minorHAnsi"/>
          <w:color w:val="000000" w:themeColor="text1"/>
          <w:lang w:val="en-GB"/>
        </w:rPr>
        <w:footnoteReference w:id="25"/>
      </w:r>
    </w:p>
    <w:p w14:paraId="52D4A467" w14:textId="14ECC5B8" w:rsidR="00287BFB" w:rsidRPr="003E3375" w:rsidRDefault="00776707" w:rsidP="00E72E98">
      <w:pPr>
        <w:pStyle w:val="HL1HeadingLevel1"/>
        <w:spacing w:line="276" w:lineRule="auto"/>
        <w:rPr>
          <w:rFonts w:asciiTheme="minorHAnsi" w:hAnsiTheme="minorHAnsi" w:cstheme="minorHAnsi"/>
          <w:color w:val="000000" w:themeColor="text1"/>
        </w:rPr>
      </w:pPr>
      <w:bookmarkStart w:id="9" w:name="_Toc114492220"/>
      <w:r w:rsidRPr="003E3375">
        <w:rPr>
          <w:rFonts w:asciiTheme="minorHAnsi" w:hAnsiTheme="minorHAnsi" w:cstheme="minorHAnsi"/>
          <w:color w:val="000000" w:themeColor="text1"/>
        </w:rPr>
        <w:lastRenderedPageBreak/>
        <w:t>I</w:t>
      </w:r>
      <w:r w:rsidR="00287BFB" w:rsidRPr="003E3375">
        <w:rPr>
          <w:rFonts w:asciiTheme="minorHAnsi" w:hAnsiTheme="minorHAnsi" w:cstheme="minorHAnsi"/>
          <w:color w:val="000000" w:themeColor="text1"/>
        </w:rPr>
        <w:t>nitiation</w:t>
      </w:r>
      <w:bookmarkEnd w:id="9"/>
      <w:r w:rsidR="00287BFB" w:rsidRPr="003E3375">
        <w:rPr>
          <w:rFonts w:asciiTheme="minorHAnsi" w:hAnsiTheme="minorHAnsi" w:cstheme="minorHAnsi"/>
          <w:color w:val="000000" w:themeColor="text1"/>
        </w:rPr>
        <w:t xml:space="preserve"> </w:t>
      </w:r>
    </w:p>
    <w:p w14:paraId="42B3E6B3" w14:textId="00CF51B8" w:rsidR="00287BFB" w:rsidRPr="003E3375" w:rsidRDefault="00C23A3F"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China has acted inconsistently with its WTO obligations under Articles 5.1, 5.2</w:t>
      </w:r>
      <w:r w:rsidR="00CE6C36" w:rsidRPr="003E3375">
        <w:rPr>
          <w:rFonts w:asciiTheme="minorHAnsi" w:hAnsiTheme="minorHAnsi" w:cstheme="minorHAnsi"/>
          <w:color w:val="000000" w:themeColor="text1"/>
        </w:rPr>
        <w:t>(i)</w:t>
      </w:r>
      <w:r w:rsidRPr="003E3375">
        <w:rPr>
          <w:rFonts w:asciiTheme="minorHAnsi" w:hAnsiTheme="minorHAnsi" w:cstheme="minorHAnsi"/>
          <w:color w:val="000000" w:themeColor="text1"/>
        </w:rPr>
        <w:t>, 5.3, 5.4 and 5.8 of the Anti-Dumping Agreement and Articles 11.1, 11.2</w:t>
      </w:r>
      <w:r w:rsidR="00CE6C36" w:rsidRPr="003E3375">
        <w:rPr>
          <w:rFonts w:asciiTheme="minorHAnsi" w:hAnsiTheme="minorHAnsi" w:cstheme="minorHAnsi"/>
          <w:color w:val="000000" w:themeColor="text1"/>
        </w:rPr>
        <w:t>(i)</w:t>
      </w:r>
      <w:r w:rsidRPr="003E3375">
        <w:rPr>
          <w:rFonts w:asciiTheme="minorHAnsi" w:hAnsiTheme="minorHAnsi" w:cstheme="minorHAnsi"/>
          <w:color w:val="000000" w:themeColor="text1"/>
        </w:rPr>
        <w:t>, 11.3, 11.4 and 11.9 of the SCM Agreement in relation to</w:t>
      </w:r>
      <w:r w:rsidR="00520202" w:rsidRPr="003E3375">
        <w:rPr>
          <w:rFonts w:asciiTheme="minorHAnsi" w:hAnsiTheme="minorHAnsi" w:cstheme="minorHAnsi"/>
          <w:color w:val="000000" w:themeColor="text1"/>
        </w:rPr>
        <w:t xml:space="preserve"> the</w:t>
      </w:r>
      <w:r w:rsidRPr="003E3375">
        <w:rPr>
          <w:rFonts w:asciiTheme="minorHAnsi" w:hAnsiTheme="minorHAnsi" w:cstheme="minorHAnsi"/>
          <w:color w:val="000000" w:themeColor="text1"/>
        </w:rPr>
        <w:t xml:space="preserve"> initiation</w:t>
      </w:r>
      <w:r w:rsidR="00520202" w:rsidRPr="003E3375">
        <w:rPr>
          <w:rFonts w:asciiTheme="minorHAnsi" w:hAnsiTheme="minorHAnsi" w:cstheme="minorHAnsi"/>
          <w:color w:val="000000" w:themeColor="text1"/>
        </w:rPr>
        <w:t xml:space="preserve"> of the investigations</w:t>
      </w:r>
      <w:r w:rsidRPr="003E3375">
        <w:rPr>
          <w:rFonts w:asciiTheme="minorHAnsi" w:hAnsiTheme="minorHAnsi" w:cstheme="minorHAnsi"/>
          <w:color w:val="000000" w:themeColor="text1"/>
        </w:rPr>
        <w:t>.</w:t>
      </w:r>
    </w:p>
    <w:p w14:paraId="6EBED596" w14:textId="0A5A366C" w:rsidR="00287BFB" w:rsidRPr="003E3375" w:rsidRDefault="00287BFB" w:rsidP="00E72E98">
      <w:pPr>
        <w:pStyle w:val="HL2HeadingLevel2"/>
        <w:spacing w:line="276" w:lineRule="auto"/>
        <w:rPr>
          <w:rFonts w:asciiTheme="minorHAnsi" w:hAnsiTheme="minorHAnsi" w:cstheme="minorHAnsi"/>
          <w:color w:val="000000" w:themeColor="text1"/>
        </w:rPr>
      </w:pPr>
      <w:bookmarkStart w:id="10" w:name="_Toc114492221"/>
      <w:r w:rsidRPr="003E3375">
        <w:rPr>
          <w:rFonts w:asciiTheme="minorHAnsi" w:hAnsiTheme="minorHAnsi" w:cstheme="minorHAnsi"/>
          <w:color w:val="000000" w:themeColor="text1"/>
        </w:rPr>
        <w:t>Applications were not made by or on behalf of domestic industry</w:t>
      </w:r>
      <w:r w:rsidR="00435090" w:rsidRPr="003E3375">
        <w:rPr>
          <w:rFonts w:asciiTheme="minorHAnsi" w:hAnsiTheme="minorHAnsi" w:cstheme="minorHAnsi"/>
          <w:color w:val="000000" w:themeColor="text1"/>
        </w:rPr>
        <w:t>, and the Applicant did not have standing</w:t>
      </w:r>
      <w:bookmarkEnd w:id="10"/>
    </w:p>
    <w:p w14:paraId="320E0722" w14:textId="56D36C7E" w:rsidR="00F44348" w:rsidRPr="003E3375" w:rsidRDefault="006F046B">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CICC's </w:t>
      </w:r>
      <w:r w:rsidR="00CD2111" w:rsidRPr="003E3375">
        <w:rPr>
          <w:rFonts w:asciiTheme="minorHAnsi" w:hAnsiTheme="minorHAnsi" w:cstheme="minorHAnsi"/>
          <w:color w:val="000000" w:themeColor="text1"/>
        </w:rPr>
        <w:t>a</w:t>
      </w:r>
      <w:r w:rsidRPr="003E3375">
        <w:rPr>
          <w:rFonts w:asciiTheme="minorHAnsi" w:hAnsiTheme="minorHAnsi" w:cstheme="minorHAnsi"/>
          <w:color w:val="000000" w:themeColor="text1"/>
        </w:rPr>
        <w:t>pplications</w:t>
      </w:r>
      <w:r w:rsidR="00202513" w:rsidRPr="003E3375">
        <w:rPr>
          <w:rFonts w:asciiTheme="minorHAnsi" w:hAnsiTheme="minorHAnsi" w:cstheme="minorHAnsi"/>
          <w:color w:val="000000" w:themeColor="text1"/>
        </w:rPr>
        <w:t xml:space="preserve"> for the initiation of investigations</w:t>
      </w:r>
      <w:r w:rsidRPr="003E3375">
        <w:rPr>
          <w:rFonts w:asciiTheme="minorHAnsi" w:hAnsiTheme="minorHAnsi" w:cstheme="minorHAnsi"/>
          <w:color w:val="000000" w:themeColor="text1"/>
        </w:rPr>
        <w:t xml:space="preserve"> failed to </w:t>
      </w:r>
      <w:r w:rsidR="00F35B51" w:rsidRPr="003E3375">
        <w:rPr>
          <w:rFonts w:asciiTheme="minorHAnsi" w:hAnsiTheme="minorHAnsi" w:cstheme="minorHAnsi"/>
          <w:color w:val="000000" w:themeColor="text1"/>
        </w:rPr>
        <w:t xml:space="preserve">identify the domestic industry on whose behalf the </w:t>
      </w:r>
      <w:r w:rsidR="00CD2111" w:rsidRPr="003E3375">
        <w:rPr>
          <w:rFonts w:asciiTheme="minorHAnsi" w:hAnsiTheme="minorHAnsi" w:cstheme="minorHAnsi"/>
          <w:color w:val="000000" w:themeColor="text1"/>
        </w:rPr>
        <w:t>a</w:t>
      </w:r>
      <w:r w:rsidR="00F35B51" w:rsidRPr="003E3375">
        <w:rPr>
          <w:rFonts w:asciiTheme="minorHAnsi" w:hAnsiTheme="minorHAnsi" w:cstheme="minorHAnsi"/>
          <w:color w:val="000000" w:themeColor="text1"/>
        </w:rPr>
        <w:t xml:space="preserve">pplications were allegedly made. Specifically, the </w:t>
      </w:r>
      <w:r w:rsidR="00CD2111" w:rsidRPr="003E3375">
        <w:rPr>
          <w:rFonts w:asciiTheme="minorHAnsi" w:hAnsiTheme="minorHAnsi" w:cstheme="minorHAnsi"/>
          <w:color w:val="000000" w:themeColor="text1"/>
        </w:rPr>
        <w:t>a</w:t>
      </w:r>
      <w:r w:rsidR="00F35B51" w:rsidRPr="003E3375">
        <w:rPr>
          <w:rFonts w:asciiTheme="minorHAnsi" w:hAnsiTheme="minorHAnsi" w:cstheme="minorHAnsi"/>
          <w:color w:val="000000" w:themeColor="text1"/>
        </w:rPr>
        <w:t>pplication</w:t>
      </w:r>
      <w:r w:rsidR="00CD2111" w:rsidRPr="003E3375">
        <w:rPr>
          <w:rFonts w:asciiTheme="minorHAnsi" w:hAnsiTheme="minorHAnsi" w:cstheme="minorHAnsi"/>
          <w:color w:val="000000" w:themeColor="text1"/>
        </w:rPr>
        <w:t>s</w:t>
      </w:r>
      <w:r w:rsidR="00F35B51" w:rsidRPr="003E3375">
        <w:rPr>
          <w:rFonts w:asciiTheme="minorHAnsi" w:hAnsiTheme="minorHAnsi" w:cstheme="minorHAnsi"/>
          <w:color w:val="000000" w:themeColor="text1"/>
        </w:rPr>
        <w:t xml:space="preserve"> did not contain any list of known domestic producers</w:t>
      </w:r>
      <w:r w:rsidR="00664211" w:rsidRPr="003E3375">
        <w:rPr>
          <w:rFonts w:asciiTheme="minorHAnsi" w:hAnsiTheme="minorHAnsi" w:cstheme="minorHAnsi"/>
          <w:color w:val="000000" w:themeColor="text1"/>
        </w:rPr>
        <w:t>,</w:t>
      </w:r>
      <w:r w:rsidR="00CD2111" w:rsidRPr="003E3375">
        <w:rPr>
          <w:rFonts w:asciiTheme="minorHAnsi" w:hAnsiTheme="minorHAnsi" w:cstheme="minorHAnsi"/>
          <w:color w:val="000000" w:themeColor="text1"/>
        </w:rPr>
        <w:t xml:space="preserve"> </w:t>
      </w:r>
      <w:r w:rsidR="00F35B51" w:rsidRPr="003E3375">
        <w:rPr>
          <w:rFonts w:asciiTheme="minorHAnsi" w:hAnsiTheme="minorHAnsi" w:cstheme="minorHAnsi"/>
          <w:color w:val="000000" w:themeColor="text1"/>
        </w:rPr>
        <w:t>or</w:t>
      </w:r>
      <w:r w:rsidR="00664211" w:rsidRPr="003E3375">
        <w:rPr>
          <w:rFonts w:asciiTheme="minorHAnsi" w:hAnsiTheme="minorHAnsi" w:cstheme="minorHAnsi"/>
          <w:color w:val="000000" w:themeColor="text1"/>
        </w:rPr>
        <w:t xml:space="preserve"> </w:t>
      </w:r>
      <w:r w:rsidR="00F35B51" w:rsidRPr="003E3375">
        <w:rPr>
          <w:rFonts w:asciiTheme="minorHAnsi" w:hAnsiTheme="minorHAnsi" w:cstheme="minorHAnsi"/>
          <w:color w:val="000000" w:themeColor="text1"/>
        </w:rPr>
        <w:t>associations of domestic producers</w:t>
      </w:r>
      <w:r w:rsidR="00CD2111" w:rsidRPr="003E3375">
        <w:rPr>
          <w:rFonts w:asciiTheme="minorHAnsi" w:hAnsiTheme="minorHAnsi" w:cstheme="minorHAnsi"/>
          <w:color w:val="000000" w:themeColor="text1"/>
        </w:rPr>
        <w:t>,</w:t>
      </w:r>
      <w:r w:rsidR="00F35B51" w:rsidRPr="003E3375">
        <w:rPr>
          <w:rFonts w:asciiTheme="minorHAnsi" w:hAnsiTheme="minorHAnsi" w:cstheme="minorHAnsi"/>
          <w:color w:val="000000" w:themeColor="text1"/>
        </w:rPr>
        <w:t xml:space="preserve"> of the like product</w:t>
      </w:r>
      <w:r w:rsidRPr="003E3375">
        <w:rPr>
          <w:rFonts w:asciiTheme="minorHAnsi" w:hAnsiTheme="minorHAnsi" w:cstheme="minorHAnsi"/>
          <w:color w:val="000000" w:themeColor="text1"/>
        </w:rPr>
        <w:t>, contrary to the requirements of</w:t>
      </w:r>
      <w:r w:rsidR="00B60097" w:rsidRPr="003E3375">
        <w:rPr>
          <w:rFonts w:asciiTheme="minorHAnsi" w:hAnsiTheme="minorHAnsi" w:cstheme="minorHAnsi"/>
          <w:color w:val="000000" w:themeColor="text1"/>
        </w:rPr>
        <w:t xml:space="preserve"> Article 5.2(i) of the Anti</w:t>
      </w:r>
      <w:r w:rsidR="00B60097" w:rsidRPr="003E3375">
        <w:rPr>
          <w:rFonts w:asciiTheme="minorHAnsi" w:hAnsiTheme="minorHAnsi" w:cstheme="minorHAnsi"/>
          <w:color w:val="000000" w:themeColor="text1"/>
        </w:rPr>
        <w:noBreakHyphen/>
        <w:t xml:space="preserve">Dumping Agreement and </w:t>
      </w:r>
      <w:r w:rsidR="002942F4" w:rsidRPr="003E3375">
        <w:rPr>
          <w:rFonts w:asciiTheme="minorHAnsi" w:hAnsiTheme="minorHAnsi" w:cstheme="minorHAnsi"/>
          <w:color w:val="000000" w:themeColor="text1"/>
        </w:rPr>
        <w:t xml:space="preserve">Article </w:t>
      </w:r>
      <w:r w:rsidR="00B60097" w:rsidRPr="003E3375">
        <w:rPr>
          <w:rFonts w:asciiTheme="minorHAnsi" w:hAnsiTheme="minorHAnsi" w:cstheme="minorHAnsi"/>
          <w:color w:val="000000" w:themeColor="text1"/>
        </w:rPr>
        <w:t>11.2(i) of the SCM Agreement.</w:t>
      </w:r>
      <w:r w:rsidR="00B60097" w:rsidRPr="003E3375">
        <w:rPr>
          <w:rStyle w:val="FootnoteReference"/>
          <w:rFonts w:asciiTheme="minorHAnsi" w:hAnsiTheme="minorHAnsi" w:cstheme="minorHAnsi"/>
          <w:color w:val="000000" w:themeColor="text1"/>
        </w:rPr>
        <w:footnoteReference w:id="26"/>
      </w:r>
      <w:r w:rsidR="00B60097" w:rsidRPr="003E3375">
        <w:rPr>
          <w:rFonts w:asciiTheme="minorHAnsi" w:hAnsiTheme="minorHAnsi" w:cstheme="minorHAnsi"/>
          <w:color w:val="000000" w:themeColor="text1"/>
        </w:rPr>
        <w:t xml:space="preserve"> </w:t>
      </w:r>
      <w:r w:rsidR="0009526F" w:rsidRPr="003E3375">
        <w:rPr>
          <w:rFonts w:asciiTheme="minorHAnsi" w:hAnsiTheme="minorHAnsi" w:cstheme="minorHAnsi"/>
          <w:color w:val="000000" w:themeColor="text1"/>
        </w:rPr>
        <w:t xml:space="preserve">The nature of the domestic industry, including where </w:t>
      </w:r>
      <w:r w:rsidR="00925AC4" w:rsidRPr="003E3375">
        <w:rPr>
          <w:rFonts w:asciiTheme="minorHAnsi" w:hAnsiTheme="minorHAnsi" w:cstheme="minorHAnsi"/>
          <w:color w:val="000000" w:themeColor="text1"/>
        </w:rPr>
        <w:t xml:space="preserve">it consists of </w:t>
      </w:r>
      <w:r w:rsidR="0009526F" w:rsidRPr="003E3375">
        <w:rPr>
          <w:rFonts w:asciiTheme="minorHAnsi" w:hAnsiTheme="minorHAnsi" w:cstheme="minorHAnsi"/>
          <w:color w:val="000000" w:themeColor="text1"/>
        </w:rPr>
        <w:t>small-scale and scattered</w:t>
      </w:r>
      <w:r w:rsidR="00925AC4" w:rsidRPr="003E3375">
        <w:rPr>
          <w:rFonts w:asciiTheme="minorHAnsi" w:hAnsiTheme="minorHAnsi" w:cstheme="minorHAnsi"/>
          <w:color w:val="000000" w:themeColor="text1"/>
        </w:rPr>
        <w:t xml:space="preserve"> firms</w:t>
      </w:r>
      <w:r w:rsidR="0009526F" w:rsidRPr="003E3375">
        <w:rPr>
          <w:rFonts w:asciiTheme="minorHAnsi" w:hAnsiTheme="minorHAnsi" w:cstheme="minorHAnsi"/>
          <w:color w:val="000000" w:themeColor="text1"/>
        </w:rPr>
        <w:t xml:space="preserve">, does not exempt </w:t>
      </w:r>
      <w:r w:rsidR="0004228D" w:rsidRPr="003E3375">
        <w:rPr>
          <w:rFonts w:asciiTheme="minorHAnsi" w:hAnsiTheme="minorHAnsi" w:cstheme="minorHAnsi"/>
          <w:color w:val="000000" w:themeColor="text1"/>
        </w:rPr>
        <w:t xml:space="preserve">an </w:t>
      </w:r>
      <w:r w:rsidR="0009526F" w:rsidRPr="003E3375">
        <w:rPr>
          <w:rFonts w:asciiTheme="minorHAnsi" w:hAnsiTheme="minorHAnsi" w:cstheme="minorHAnsi"/>
          <w:color w:val="000000" w:themeColor="text1"/>
        </w:rPr>
        <w:t xml:space="preserve">applicant from meeting the obligation to provide a list of </w:t>
      </w:r>
      <w:r w:rsidR="00D62DB0" w:rsidRPr="003E3375">
        <w:rPr>
          <w:rFonts w:asciiTheme="minorHAnsi" w:hAnsiTheme="minorHAnsi" w:cstheme="minorHAnsi"/>
          <w:color w:val="000000" w:themeColor="text1"/>
        </w:rPr>
        <w:t xml:space="preserve">either </w:t>
      </w:r>
      <w:r w:rsidR="0009526F" w:rsidRPr="003E3375">
        <w:rPr>
          <w:rFonts w:asciiTheme="minorHAnsi" w:hAnsiTheme="minorHAnsi" w:cstheme="minorHAnsi"/>
          <w:color w:val="000000" w:themeColor="text1"/>
        </w:rPr>
        <w:t xml:space="preserve">known </w:t>
      </w:r>
      <w:r w:rsidR="00EC78BA" w:rsidRPr="003E3375">
        <w:rPr>
          <w:rFonts w:asciiTheme="minorHAnsi" w:hAnsiTheme="minorHAnsi" w:cstheme="minorHAnsi"/>
          <w:color w:val="000000" w:themeColor="text1"/>
        </w:rPr>
        <w:t xml:space="preserve">domestic </w:t>
      </w:r>
      <w:r w:rsidR="0009526F" w:rsidRPr="003E3375">
        <w:rPr>
          <w:rFonts w:asciiTheme="minorHAnsi" w:hAnsiTheme="minorHAnsi" w:cstheme="minorHAnsi"/>
          <w:color w:val="000000" w:themeColor="text1"/>
        </w:rPr>
        <w:t>producers</w:t>
      </w:r>
      <w:r w:rsidR="00550091" w:rsidRPr="003E3375">
        <w:rPr>
          <w:rFonts w:asciiTheme="minorHAnsi" w:hAnsiTheme="minorHAnsi" w:cstheme="minorHAnsi"/>
          <w:color w:val="000000" w:themeColor="text1"/>
        </w:rPr>
        <w:t xml:space="preserve"> or associations of domestic producers</w:t>
      </w:r>
      <w:r w:rsidR="0009526F" w:rsidRPr="003E3375">
        <w:rPr>
          <w:rFonts w:asciiTheme="minorHAnsi" w:hAnsiTheme="minorHAnsi" w:cstheme="minorHAnsi"/>
          <w:color w:val="000000" w:themeColor="text1"/>
        </w:rPr>
        <w:t xml:space="preserve">. </w:t>
      </w:r>
      <w:r w:rsidR="00371993" w:rsidRPr="003E3375">
        <w:rPr>
          <w:rFonts w:asciiTheme="minorHAnsi" w:hAnsiTheme="minorHAnsi" w:cstheme="minorHAnsi"/>
          <w:color w:val="000000" w:themeColor="text1"/>
        </w:rPr>
        <w:t>Th</w:t>
      </w:r>
      <w:r w:rsidR="00D62DB0" w:rsidRPr="003E3375">
        <w:rPr>
          <w:rFonts w:asciiTheme="minorHAnsi" w:hAnsiTheme="minorHAnsi" w:cstheme="minorHAnsi"/>
          <w:color w:val="000000" w:themeColor="text1"/>
        </w:rPr>
        <w:t>is</w:t>
      </w:r>
      <w:r w:rsidR="00371993" w:rsidRPr="003E3375">
        <w:rPr>
          <w:rFonts w:asciiTheme="minorHAnsi" w:hAnsiTheme="minorHAnsi" w:cstheme="minorHAnsi"/>
          <w:color w:val="000000" w:themeColor="text1"/>
        </w:rPr>
        <w:t xml:space="preserve"> requirement is express and nondiscretionary, and </w:t>
      </w:r>
      <w:r w:rsidR="00EA073A" w:rsidRPr="003E3375">
        <w:rPr>
          <w:rFonts w:asciiTheme="minorHAnsi" w:hAnsiTheme="minorHAnsi" w:cstheme="minorHAnsi"/>
          <w:color w:val="000000" w:themeColor="text1"/>
        </w:rPr>
        <w:t xml:space="preserve">it </w:t>
      </w:r>
      <w:r w:rsidR="00540927" w:rsidRPr="003E3375">
        <w:rPr>
          <w:rFonts w:asciiTheme="minorHAnsi" w:hAnsiTheme="minorHAnsi" w:cstheme="minorHAnsi"/>
          <w:color w:val="000000" w:themeColor="text1"/>
        </w:rPr>
        <w:t>ensures an authority does not receive frivolous or baseless claims for investigation</w:t>
      </w:r>
      <w:r w:rsidR="00540927" w:rsidRPr="003E3375">
        <w:rPr>
          <w:rStyle w:val="FootnoteReference"/>
          <w:rFonts w:asciiTheme="minorHAnsi" w:hAnsiTheme="minorHAnsi" w:cstheme="minorHAnsi"/>
          <w:color w:val="000000" w:themeColor="text1"/>
        </w:rPr>
        <w:t xml:space="preserve"> </w:t>
      </w:r>
      <w:r w:rsidR="003370D7" w:rsidRPr="003E3375">
        <w:rPr>
          <w:rFonts w:asciiTheme="minorHAnsi" w:hAnsiTheme="minorHAnsi" w:cstheme="minorHAnsi"/>
          <w:color w:val="000000" w:themeColor="text1"/>
        </w:rPr>
        <w:t>submitted</w:t>
      </w:r>
      <w:r w:rsidR="00EA073A" w:rsidRPr="003E3375">
        <w:rPr>
          <w:rFonts w:asciiTheme="minorHAnsi" w:hAnsiTheme="minorHAnsi" w:cstheme="minorHAnsi"/>
          <w:color w:val="000000" w:themeColor="text1"/>
        </w:rPr>
        <w:t xml:space="preserve"> without industry support.</w:t>
      </w:r>
      <w:r w:rsidR="00371993" w:rsidRPr="003E3375">
        <w:rPr>
          <w:rStyle w:val="FootnoteReference"/>
          <w:rFonts w:asciiTheme="minorHAnsi" w:hAnsiTheme="minorHAnsi" w:cstheme="minorHAnsi"/>
          <w:color w:val="000000" w:themeColor="text1"/>
        </w:rPr>
        <w:footnoteReference w:id="27"/>
      </w:r>
      <w:r w:rsidR="00970C52" w:rsidRPr="003E3375">
        <w:rPr>
          <w:rFonts w:asciiTheme="minorHAnsi" w:hAnsiTheme="minorHAnsi" w:cstheme="minorHAnsi"/>
          <w:color w:val="000000" w:themeColor="text1"/>
        </w:rPr>
        <w:t xml:space="preserve"> </w:t>
      </w:r>
      <w:r w:rsidR="001B1D83" w:rsidRPr="003E3375">
        <w:rPr>
          <w:rFonts w:asciiTheme="minorHAnsi" w:hAnsiTheme="minorHAnsi" w:cstheme="minorHAnsi"/>
          <w:color w:val="000000" w:themeColor="text1"/>
        </w:rPr>
        <w:t xml:space="preserve">The </w:t>
      </w:r>
      <w:r w:rsidR="00D62DB0" w:rsidRPr="003E3375">
        <w:rPr>
          <w:rFonts w:asciiTheme="minorHAnsi" w:hAnsiTheme="minorHAnsi" w:cstheme="minorHAnsi"/>
          <w:color w:val="000000" w:themeColor="text1"/>
        </w:rPr>
        <w:t>A</w:t>
      </w:r>
      <w:r w:rsidR="001B1D83" w:rsidRPr="003E3375">
        <w:rPr>
          <w:rFonts w:asciiTheme="minorHAnsi" w:hAnsiTheme="minorHAnsi" w:cstheme="minorHAnsi"/>
          <w:color w:val="000000" w:themeColor="text1"/>
        </w:rPr>
        <w:t xml:space="preserve">pplicant, </w:t>
      </w:r>
      <w:r w:rsidR="00970C52" w:rsidRPr="003E3375">
        <w:rPr>
          <w:rFonts w:asciiTheme="minorHAnsi" w:hAnsiTheme="minorHAnsi" w:cstheme="minorHAnsi"/>
          <w:color w:val="000000" w:themeColor="text1"/>
        </w:rPr>
        <w:t>CICC</w:t>
      </w:r>
      <w:r w:rsidR="001B1D83" w:rsidRPr="003E3375">
        <w:rPr>
          <w:rFonts w:asciiTheme="minorHAnsi" w:hAnsiTheme="minorHAnsi" w:cstheme="minorHAnsi"/>
          <w:color w:val="000000" w:themeColor="text1"/>
        </w:rPr>
        <w:t xml:space="preserve">, purported to act as a </w:t>
      </w:r>
      <w:r w:rsidR="00970C52" w:rsidRPr="003E3375">
        <w:rPr>
          <w:rFonts w:asciiTheme="minorHAnsi" w:hAnsiTheme="minorHAnsi" w:cstheme="minorHAnsi"/>
          <w:color w:val="000000" w:themeColor="text1"/>
        </w:rPr>
        <w:t xml:space="preserve">"representative" on </w:t>
      </w:r>
      <w:r w:rsidR="00665B6D" w:rsidRPr="003E3375">
        <w:rPr>
          <w:rFonts w:asciiTheme="minorHAnsi" w:hAnsiTheme="minorHAnsi" w:cstheme="minorHAnsi"/>
          <w:color w:val="000000" w:themeColor="text1"/>
        </w:rPr>
        <w:t xml:space="preserve">the domestic industry's </w:t>
      </w:r>
      <w:r w:rsidR="00970C52" w:rsidRPr="003E3375">
        <w:rPr>
          <w:rFonts w:asciiTheme="minorHAnsi" w:hAnsiTheme="minorHAnsi" w:cstheme="minorHAnsi"/>
          <w:color w:val="000000" w:themeColor="text1"/>
        </w:rPr>
        <w:t>request.</w:t>
      </w:r>
      <w:r w:rsidR="00E24AF1" w:rsidRPr="003E3375">
        <w:rPr>
          <w:rStyle w:val="FootnoteReference"/>
          <w:rFonts w:asciiTheme="minorHAnsi" w:hAnsiTheme="minorHAnsi" w:cstheme="minorHAnsi"/>
          <w:color w:val="000000" w:themeColor="text1"/>
        </w:rPr>
        <w:footnoteReference w:id="28"/>
      </w:r>
      <w:r w:rsidR="00E24AF1" w:rsidRPr="003E3375">
        <w:rPr>
          <w:rFonts w:asciiTheme="minorHAnsi" w:hAnsiTheme="minorHAnsi" w:cstheme="minorHAnsi"/>
          <w:color w:val="000000" w:themeColor="text1"/>
        </w:rPr>
        <w:t xml:space="preserve"> </w:t>
      </w:r>
      <w:r w:rsidR="009A551D" w:rsidRPr="003E3375">
        <w:rPr>
          <w:rFonts w:asciiTheme="minorHAnsi" w:hAnsiTheme="minorHAnsi" w:cstheme="minorHAnsi"/>
          <w:color w:val="000000" w:themeColor="text1"/>
        </w:rPr>
        <w:t xml:space="preserve">If </w:t>
      </w:r>
      <w:r w:rsidR="005B046C" w:rsidRPr="003E3375">
        <w:rPr>
          <w:rFonts w:asciiTheme="minorHAnsi" w:hAnsiTheme="minorHAnsi" w:cstheme="minorHAnsi"/>
          <w:color w:val="000000" w:themeColor="text1"/>
        </w:rPr>
        <w:t xml:space="preserve">this was the case, </w:t>
      </w:r>
      <w:r w:rsidR="00F44348" w:rsidRPr="003E3375">
        <w:rPr>
          <w:rFonts w:asciiTheme="minorHAnsi" w:hAnsiTheme="minorHAnsi" w:cstheme="minorHAnsi"/>
          <w:color w:val="000000" w:themeColor="text1"/>
        </w:rPr>
        <w:t xml:space="preserve">CICC </w:t>
      </w:r>
      <w:r w:rsidR="009A551D" w:rsidRPr="003E3375">
        <w:rPr>
          <w:rFonts w:asciiTheme="minorHAnsi" w:hAnsiTheme="minorHAnsi" w:cstheme="minorHAnsi"/>
          <w:color w:val="000000" w:themeColor="text1"/>
        </w:rPr>
        <w:t xml:space="preserve">should </w:t>
      </w:r>
      <w:r w:rsidR="00F44348" w:rsidRPr="003E3375">
        <w:rPr>
          <w:rFonts w:asciiTheme="minorHAnsi" w:hAnsiTheme="minorHAnsi" w:cstheme="minorHAnsi"/>
          <w:color w:val="000000" w:themeColor="text1"/>
        </w:rPr>
        <w:t xml:space="preserve">have been reasonably capable of providing MOFCOM </w:t>
      </w:r>
      <w:r w:rsidR="005B046C" w:rsidRPr="003E3375">
        <w:rPr>
          <w:rFonts w:asciiTheme="minorHAnsi" w:hAnsiTheme="minorHAnsi" w:cstheme="minorHAnsi"/>
          <w:color w:val="000000" w:themeColor="text1"/>
        </w:rPr>
        <w:t xml:space="preserve">with </w:t>
      </w:r>
      <w:r w:rsidR="00F44348" w:rsidRPr="003E3375">
        <w:rPr>
          <w:rFonts w:asciiTheme="minorHAnsi" w:hAnsiTheme="minorHAnsi" w:cstheme="minorHAnsi"/>
          <w:color w:val="000000" w:themeColor="text1"/>
        </w:rPr>
        <w:t>a list of all known domestic producers</w:t>
      </w:r>
      <w:r w:rsidR="00EC78BA" w:rsidRPr="003E3375">
        <w:rPr>
          <w:rFonts w:asciiTheme="minorHAnsi" w:hAnsiTheme="minorHAnsi" w:cstheme="minorHAnsi"/>
          <w:color w:val="000000" w:themeColor="text1"/>
        </w:rPr>
        <w:t xml:space="preserve"> </w:t>
      </w:r>
      <w:r w:rsidR="00230462" w:rsidRPr="003E3375">
        <w:rPr>
          <w:rFonts w:asciiTheme="minorHAnsi" w:hAnsiTheme="minorHAnsi" w:cstheme="minorHAnsi"/>
          <w:color w:val="000000" w:themeColor="text1"/>
        </w:rPr>
        <w:t xml:space="preserve">that </w:t>
      </w:r>
      <w:r w:rsidR="00665B6D" w:rsidRPr="003E3375">
        <w:rPr>
          <w:rFonts w:asciiTheme="minorHAnsi" w:hAnsiTheme="minorHAnsi" w:cstheme="minorHAnsi"/>
          <w:color w:val="000000" w:themeColor="text1"/>
        </w:rPr>
        <w:t xml:space="preserve">had </w:t>
      </w:r>
      <w:r w:rsidR="00E25644" w:rsidRPr="003E3375">
        <w:rPr>
          <w:rFonts w:asciiTheme="minorHAnsi" w:hAnsiTheme="minorHAnsi" w:cstheme="minorHAnsi"/>
          <w:color w:val="000000" w:themeColor="text1"/>
        </w:rPr>
        <w:t xml:space="preserve">requested it </w:t>
      </w:r>
      <w:r w:rsidR="00230462" w:rsidRPr="003E3375">
        <w:rPr>
          <w:rFonts w:asciiTheme="minorHAnsi" w:hAnsiTheme="minorHAnsi" w:cstheme="minorHAnsi"/>
          <w:color w:val="000000" w:themeColor="text1"/>
        </w:rPr>
        <w:t xml:space="preserve">to </w:t>
      </w:r>
      <w:r w:rsidR="00E25644" w:rsidRPr="003E3375">
        <w:rPr>
          <w:rFonts w:asciiTheme="minorHAnsi" w:hAnsiTheme="minorHAnsi" w:cstheme="minorHAnsi"/>
          <w:color w:val="000000" w:themeColor="text1"/>
        </w:rPr>
        <w:t>make the applications</w:t>
      </w:r>
      <w:r w:rsidR="00230462" w:rsidRPr="003E3375">
        <w:rPr>
          <w:rFonts w:asciiTheme="minorHAnsi" w:hAnsiTheme="minorHAnsi" w:cstheme="minorHAnsi"/>
          <w:color w:val="000000" w:themeColor="text1"/>
        </w:rPr>
        <w:t xml:space="preserve"> on their behalf</w:t>
      </w:r>
      <w:r w:rsidR="00F44348" w:rsidRPr="003E3375">
        <w:rPr>
          <w:rFonts w:asciiTheme="minorHAnsi" w:hAnsiTheme="minorHAnsi" w:cstheme="minorHAnsi"/>
          <w:color w:val="000000" w:themeColor="text1"/>
        </w:rPr>
        <w:t>.</w:t>
      </w:r>
      <w:r w:rsidR="009A551D" w:rsidRPr="003E3375">
        <w:rPr>
          <w:rFonts w:asciiTheme="minorHAnsi" w:hAnsiTheme="minorHAnsi" w:cstheme="minorHAnsi"/>
          <w:color w:val="000000" w:themeColor="text1"/>
        </w:rPr>
        <w:t xml:space="preserve"> </w:t>
      </w:r>
      <w:r w:rsidR="00665B6D" w:rsidRPr="003E3375">
        <w:rPr>
          <w:rFonts w:asciiTheme="minorHAnsi" w:hAnsiTheme="minorHAnsi" w:cstheme="minorHAnsi"/>
          <w:color w:val="000000" w:themeColor="text1"/>
        </w:rPr>
        <w:t xml:space="preserve">CICC </w:t>
      </w:r>
      <w:r w:rsidR="009A551D" w:rsidRPr="003E3375">
        <w:rPr>
          <w:rFonts w:asciiTheme="minorHAnsi" w:hAnsiTheme="minorHAnsi" w:cstheme="minorHAnsi"/>
          <w:color w:val="000000" w:themeColor="text1"/>
        </w:rPr>
        <w:t>failed to do so</w:t>
      </w:r>
      <w:r w:rsidR="00230462" w:rsidRPr="003E3375">
        <w:rPr>
          <w:rFonts w:asciiTheme="minorHAnsi" w:hAnsiTheme="minorHAnsi" w:cstheme="minorHAnsi"/>
          <w:color w:val="000000" w:themeColor="text1"/>
        </w:rPr>
        <w:t>, and MOFCOM failed to ensure that this mandatory identification requirement was met before initiating the investigations</w:t>
      </w:r>
      <w:r w:rsidR="009A551D" w:rsidRPr="003E3375">
        <w:rPr>
          <w:rFonts w:asciiTheme="minorHAnsi" w:hAnsiTheme="minorHAnsi" w:cstheme="minorHAnsi"/>
          <w:color w:val="000000" w:themeColor="text1"/>
        </w:rPr>
        <w:t>.</w:t>
      </w:r>
    </w:p>
    <w:p w14:paraId="62513EFD" w14:textId="2E9836BB" w:rsidR="00275143" w:rsidRPr="003E3375" w:rsidRDefault="00C151F3">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Moreover, </w:t>
      </w:r>
      <w:r w:rsidR="00501028" w:rsidRPr="003E3375">
        <w:rPr>
          <w:rFonts w:asciiTheme="minorHAnsi" w:hAnsiTheme="minorHAnsi" w:cstheme="minorHAnsi"/>
          <w:color w:val="000000" w:themeColor="text1"/>
        </w:rPr>
        <w:t>p</w:t>
      </w:r>
      <w:r w:rsidR="00C52BEC" w:rsidRPr="003E3375">
        <w:rPr>
          <w:rFonts w:asciiTheme="minorHAnsi" w:hAnsiTheme="minorHAnsi" w:cstheme="minorHAnsi"/>
          <w:color w:val="000000" w:themeColor="text1"/>
        </w:rPr>
        <w:t>ursuant to Article 5.</w:t>
      </w:r>
      <w:r w:rsidR="004042BA" w:rsidRPr="003E3375">
        <w:rPr>
          <w:rFonts w:asciiTheme="minorHAnsi" w:hAnsiTheme="minorHAnsi" w:cstheme="minorHAnsi"/>
          <w:color w:val="000000" w:themeColor="text1"/>
        </w:rPr>
        <w:t>3</w:t>
      </w:r>
      <w:r w:rsidR="00C52BEC" w:rsidRPr="003E3375">
        <w:rPr>
          <w:rFonts w:asciiTheme="minorHAnsi" w:hAnsiTheme="minorHAnsi" w:cstheme="minorHAnsi"/>
          <w:color w:val="000000" w:themeColor="text1"/>
        </w:rPr>
        <w:t xml:space="preserve"> of the Anti</w:t>
      </w:r>
      <w:r w:rsidR="00C52BEC" w:rsidRPr="003E3375">
        <w:rPr>
          <w:rFonts w:asciiTheme="minorHAnsi" w:hAnsiTheme="minorHAnsi" w:cstheme="minorHAnsi"/>
          <w:color w:val="000000" w:themeColor="text1"/>
        </w:rPr>
        <w:noBreakHyphen/>
        <w:t xml:space="preserve">Dumping Agreement and </w:t>
      </w:r>
      <w:r w:rsidR="003A3BF0" w:rsidRPr="003E3375">
        <w:rPr>
          <w:rFonts w:asciiTheme="minorHAnsi" w:hAnsiTheme="minorHAnsi" w:cstheme="minorHAnsi"/>
          <w:color w:val="000000" w:themeColor="text1"/>
        </w:rPr>
        <w:t xml:space="preserve">Article </w:t>
      </w:r>
      <w:r w:rsidR="00C52BEC" w:rsidRPr="003E3375">
        <w:rPr>
          <w:rFonts w:asciiTheme="minorHAnsi" w:hAnsiTheme="minorHAnsi" w:cstheme="minorHAnsi"/>
          <w:color w:val="000000" w:themeColor="text1"/>
        </w:rPr>
        <w:t>11.</w:t>
      </w:r>
      <w:r w:rsidR="004042BA" w:rsidRPr="003E3375">
        <w:rPr>
          <w:rFonts w:asciiTheme="minorHAnsi" w:hAnsiTheme="minorHAnsi" w:cstheme="minorHAnsi"/>
          <w:color w:val="000000" w:themeColor="text1"/>
        </w:rPr>
        <w:t>3</w:t>
      </w:r>
      <w:r w:rsidR="00C52BEC" w:rsidRPr="003E3375">
        <w:rPr>
          <w:rFonts w:asciiTheme="minorHAnsi" w:hAnsiTheme="minorHAnsi" w:cstheme="minorHAnsi"/>
          <w:color w:val="000000" w:themeColor="text1"/>
        </w:rPr>
        <w:t xml:space="preserve"> of the SCM Agreement</w:t>
      </w:r>
      <w:r w:rsidR="00A8023D" w:rsidRPr="003E3375">
        <w:rPr>
          <w:rFonts w:asciiTheme="minorHAnsi" w:hAnsiTheme="minorHAnsi" w:cstheme="minorHAnsi"/>
          <w:color w:val="000000" w:themeColor="text1"/>
        </w:rPr>
        <w:t xml:space="preserve">, </w:t>
      </w:r>
      <w:r w:rsidR="00674286" w:rsidRPr="003E3375">
        <w:rPr>
          <w:rFonts w:asciiTheme="minorHAnsi" w:hAnsiTheme="minorHAnsi" w:cstheme="minorHAnsi"/>
          <w:color w:val="000000" w:themeColor="text1"/>
        </w:rPr>
        <w:t>an</w:t>
      </w:r>
      <w:r w:rsidR="006E3128" w:rsidRPr="003E3375">
        <w:rPr>
          <w:rFonts w:asciiTheme="minorHAnsi" w:hAnsiTheme="minorHAnsi" w:cstheme="minorHAnsi"/>
          <w:color w:val="000000" w:themeColor="text1"/>
        </w:rPr>
        <w:t xml:space="preserve"> investigating authorit</w:t>
      </w:r>
      <w:r w:rsidR="00674286" w:rsidRPr="003E3375">
        <w:rPr>
          <w:rFonts w:asciiTheme="minorHAnsi" w:hAnsiTheme="minorHAnsi" w:cstheme="minorHAnsi"/>
          <w:color w:val="000000" w:themeColor="text1"/>
        </w:rPr>
        <w:t>y is required to</w:t>
      </w:r>
      <w:r w:rsidR="006E3128" w:rsidRPr="003E3375">
        <w:rPr>
          <w:rFonts w:asciiTheme="minorHAnsi" w:hAnsiTheme="minorHAnsi" w:cstheme="minorHAnsi"/>
          <w:color w:val="000000" w:themeColor="text1"/>
        </w:rPr>
        <w:t xml:space="preserve"> determine that the application has been </w:t>
      </w:r>
      <w:r w:rsidR="00674286" w:rsidRPr="003E3375">
        <w:rPr>
          <w:rFonts w:asciiTheme="minorHAnsi" w:hAnsiTheme="minorHAnsi" w:cstheme="minorHAnsi"/>
          <w:color w:val="000000" w:themeColor="text1"/>
        </w:rPr>
        <w:t>"</w:t>
      </w:r>
      <w:r w:rsidR="006E3128" w:rsidRPr="003E3375">
        <w:rPr>
          <w:rFonts w:asciiTheme="minorHAnsi" w:hAnsiTheme="minorHAnsi" w:cstheme="minorHAnsi"/>
          <w:color w:val="000000" w:themeColor="text1"/>
        </w:rPr>
        <w:t>made by or on behalf of the domestic industry</w:t>
      </w:r>
      <w:r w:rsidR="00674286" w:rsidRPr="003E3375">
        <w:rPr>
          <w:rFonts w:asciiTheme="minorHAnsi" w:hAnsiTheme="minorHAnsi" w:cstheme="minorHAnsi"/>
          <w:color w:val="000000" w:themeColor="text1"/>
        </w:rPr>
        <w:t>" before it may properly initiate an investigation</w:t>
      </w:r>
      <w:r w:rsidR="0012620F" w:rsidRPr="003E3375">
        <w:rPr>
          <w:rFonts w:asciiTheme="minorHAnsi" w:hAnsiTheme="minorHAnsi" w:cstheme="minorHAnsi"/>
          <w:color w:val="000000" w:themeColor="text1"/>
        </w:rPr>
        <w:t xml:space="preserve">. </w:t>
      </w:r>
      <w:r w:rsidR="00E6640C" w:rsidRPr="003E3375">
        <w:rPr>
          <w:rFonts w:asciiTheme="minorHAnsi" w:hAnsiTheme="minorHAnsi" w:cstheme="minorHAnsi"/>
          <w:color w:val="000000" w:themeColor="text1"/>
        </w:rPr>
        <w:t xml:space="preserve">MOFCOM failed </w:t>
      </w:r>
      <w:r w:rsidR="00674286" w:rsidRPr="003E3375">
        <w:rPr>
          <w:rFonts w:asciiTheme="minorHAnsi" w:hAnsiTheme="minorHAnsi" w:cstheme="minorHAnsi"/>
          <w:color w:val="000000" w:themeColor="text1"/>
        </w:rPr>
        <w:t xml:space="preserve">undertake </w:t>
      </w:r>
      <w:r w:rsidR="0091103B" w:rsidRPr="003E3375">
        <w:rPr>
          <w:rFonts w:asciiTheme="minorHAnsi" w:hAnsiTheme="minorHAnsi" w:cstheme="minorHAnsi"/>
          <w:color w:val="000000" w:themeColor="text1"/>
        </w:rPr>
        <w:t xml:space="preserve">any </w:t>
      </w:r>
      <w:r w:rsidR="00674286" w:rsidRPr="003E3375">
        <w:rPr>
          <w:rFonts w:asciiTheme="minorHAnsi" w:hAnsiTheme="minorHAnsi" w:cstheme="minorHAnsi"/>
          <w:color w:val="000000" w:themeColor="text1"/>
        </w:rPr>
        <w:t xml:space="preserve">such </w:t>
      </w:r>
      <w:r w:rsidR="0091103B" w:rsidRPr="003E3375">
        <w:rPr>
          <w:rFonts w:asciiTheme="minorHAnsi" w:hAnsiTheme="minorHAnsi" w:cstheme="minorHAnsi"/>
          <w:color w:val="000000" w:themeColor="text1"/>
        </w:rPr>
        <w:t xml:space="preserve">assessment in relation to </w:t>
      </w:r>
      <w:r w:rsidR="00E6640C" w:rsidRPr="003E3375">
        <w:rPr>
          <w:rFonts w:asciiTheme="minorHAnsi" w:hAnsiTheme="minorHAnsi" w:cstheme="minorHAnsi"/>
          <w:color w:val="000000" w:themeColor="text1"/>
        </w:rPr>
        <w:t xml:space="preserve">CICC's </w:t>
      </w:r>
      <w:r w:rsidR="00A8253B" w:rsidRPr="003E3375">
        <w:rPr>
          <w:rFonts w:asciiTheme="minorHAnsi" w:hAnsiTheme="minorHAnsi" w:cstheme="minorHAnsi"/>
          <w:color w:val="000000" w:themeColor="text1"/>
        </w:rPr>
        <w:t>a</w:t>
      </w:r>
      <w:r w:rsidR="006660B8" w:rsidRPr="003E3375">
        <w:rPr>
          <w:rFonts w:asciiTheme="minorHAnsi" w:hAnsiTheme="minorHAnsi" w:cstheme="minorHAnsi"/>
          <w:color w:val="000000" w:themeColor="text1"/>
        </w:rPr>
        <w:t>pplications</w:t>
      </w:r>
      <w:r w:rsidR="002F2828" w:rsidRPr="003E3375">
        <w:rPr>
          <w:rFonts w:asciiTheme="minorHAnsi" w:hAnsiTheme="minorHAnsi" w:cstheme="minorHAnsi"/>
          <w:color w:val="000000" w:themeColor="text1"/>
        </w:rPr>
        <w:t>.</w:t>
      </w:r>
      <w:r w:rsidR="00A8253B" w:rsidRPr="003E3375">
        <w:rPr>
          <w:rFonts w:asciiTheme="minorHAnsi" w:hAnsiTheme="minorHAnsi" w:cstheme="minorHAnsi"/>
          <w:color w:val="000000" w:themeColor="text1"/>
        </w:rPr>
        <w:t xml:space="preserve"> </w:t>
      </w:r>
      <w:r w:rsidR="00013580" w:rsidRPr="003E3375">
        <w:rPr>
          <w:rFonts w:asciiTheme="minorHAnsi" w:hAnsiTheme="minorHAnsi" w:cstheme="minorHAnsi"/>
          <w:color w:val="000000" w:themeColor="text1"/>
        </w:rPr>
        <w:t>If MOFCOM ha</w:t>
      </w:r>
      <w:r w:rsidR="00BA5C14" w:rsidRPr="003E3375">
        <w:rPr>
          <w:rFonts w:asciiTheme="minorHAnsi" w:hAnsiTheme="minorHAnsi" w:cstheme="minorHAnsi"/>
          <w:color w:val="000000" w:themeColor="text1"/>
        </w:rPr>
        <w:t>d</w:t>
      </w:r>
      <w:r w:rsidR="00013580" w:rsidRPr="003E3375">
        <w:rPr>
          <w:rFonts w:asciiTheme="minorHAnsi" w:hAnsiTheme="minorHAnsi" w:cstheme="minorHAnsi"/>
          <w:color w:val="000000" w:themeColor="text1"/>
        </w:rPr>
        <w:t xml:space="preserve"> undertaken such an assessment,</w:t>
      </w:r>
      <w:r w:rsidR="00167CEA" w:rsidRPr="003E3375">
        <w:rPr>
          <w:rFonts w:asciiTheme="minorHAnsi" w:hAnsiTheme="minorHAnsi" w:cstheme="minorHAnsi"/>
          <w:color w:val="000000" w:themeColor="text1"/>
        </w:rPr>
        <w:t xml:space="preserve"> it would have determined that</w:t>
      </w:r>
      <w:r w:rsidR="00013580" w:rsidRPr="003E3375">
        <w:rPr>
          <w:rFonts w:asciiTheme="minorHAnsi" w:hAnsiTheme="minorHAnsi" w:cstheme="minorHAnsi"/>
          <w:color w:val="000000" w:themeColor="text1"/>
        </w:rPr>
        <w:t xml:space="preserve"> the information </w:t>
      </w:r>
      <w:r w:rsidR="00167CEA" w:rsidRPr="003E3375">
        <w:rPr>
          <w:rFonts w:asciiTheme="minorHAnsi" w:hAnsiTheme="minorHAnsi" w:cstheme="minorHAnsi"/>
          <w:color w:val="000000" w:themeColor="text1"/>
        </w:rPr>
        <w:t xml:space="preserve">on which </w:t>
      </w:r>
      <w:r w:rsidR="00852262" w:rsidRPr="003E3375">
        <w:rPr>
          <w:rFonts w:asciiTheme="minorHAnsi" w:hAnsiTheme="minorHAnsi" w:cstheme="minorHAnsi"/>
          <w:color w:val="000000" w:themeColor="text1"/>
        </w:rPr>
        <w:t>CICC purported to rely</w:t>
      </w:r>
      <w:r w:rsidR="000815D1" w:rsidRPr="003E3375">
        <w:rPr>
          <w:rFonts w:asciiTheme="minorHAnsi" w:hAnsiTheme="minorHAnsi" w:cstheme="minorHAnsi"/>
          <w:color w:val="000000" w:themeColor="text1"/>
        </w:rPr>
        <w:t xml:space="preserve"> –</w:t>
      </w:r>
      <w:r w:rsidR="00167CEA" w:rsidRPr="003E3375">
        <w:rPr>
          <w:rFonts w:asciiTheme="minorHAnsi" w:hAnsiTheme="minorHAnsi" w:cstheme="minorHAnsi"/>
          <w:color w:val="000000" w:themeColor="text1"/>
        </w:rPr>
        <w:t xml:space="preserve"> </w:t>
      </w:r>
      <w:r w:rsidR="00516D6B" w:rsidRPr="003E3375">
        <w:rPr>
          <w:rFonts w:asciiTheme="minorHAnsi" w:hAnsiTheme="minorHAnsi" w:cstheme="minorHAnsi"/>
          <w:color w:val="000000" w:themeColor="text1"/>
        </w:rPr>
        <w:t>a</w:t>
      </w:r>
      <w:r w:rsidR="000815D1" w:rsidRPr="003E3375">
        <w:rPr>
          <w:rFonts w:asciiTheme="minorHAnsi" w:hAnsiTheme="minorHAnsi" w:cstheme="minorHAnsi"/>
          <w:color w:val="000000" w:themeColor="text1"/>
        </w:rPr>
        <w:t xml:space="preserve"> </w:t>
      </w:r>
      <w:r w:rsidR="006A4CEA" w:rsidRPr="003E3375">
        <w:rPr>
          <w:rFonts w:asciiTheme="minorHAnsi" w:hAnsiTheme="minorHAnsi" w:cstheme="minorHAnsi"/>
          <w:color w:val="000000" w:themeColor="text1"/>
        </w:rPr>
        <w:t>confidential report from a</w:t>
      </w:r>
      <w:r w:rsidR="00516D6B" w:rsidRPr="003E3375">
        <w:rPr>
          <w:rFonts w:asciiTheme="minorHAnsi" w:hAnsiTheme="minorHAnsi" w:cstheme="minorHAnsi"/>
          <w:color w:val="000000" w:themeColor="text1"/>
        </w:rPr>
        <w:t>n "a</w:t>
      </w:r>
      <w:r w:rsidR="001E136D" w:rsidRPr="003E3375">
        <w:rPr>
          <w:rFonts w:asciiTheme="minorHAnsi" w:hAnsiTheme="minorHAnsi" w:cstheme="minorHAnsi"/>
          <w:color w:val="000000" w:themeColor="text1"/>
        </w:rPr>
        <w:t>uthoritative</w:t>
      </w:r>
      <w:r w:rsidR="006A4CEA" w:rsidRPr="003E3375">
        <w:rPr>
          <w:rFonts w:asciiTheme="minorHAnsi" w:hAnsiTheme="minorHAnsi" w:cstheme="minorHAnsi"/>
          <w:color w:val="000000" w:themeColor="text1"/>
        </w:rPr>
        <w:t xml:space="preserve"> third-party organi</w:t>
      </w:r>
      <w:r w:rsidR="001E136D" w:rsidRPr="003E3375">
        <w:rPr>
          <w:rFonts w:asciiTheme="minorHAnsi" w:hAnsiTheme="minorHAnsi" w:cstheme="minorHAnsi"/>
          <w:color w:val="000000" w:themeColor="text1"/>
        </w:rPr>
        <w:t>z</w:t>
      </w:r>
      <w:r w:rsidR="006A4CEA" w:rsidRPr="003E3375">
        <w:rPr>
          <w:rFonts w:asciiTheme="minorHAnsi" w:hAnsiTheme="minorHAnsi" w:cstheme="minorHAnsi"/>
          <w:color w:val="000000" w:themeColor="text1"/>
        </w:rPr>
        <w:t>ation</w:t>
      </w:r>
      <w:r w:rsidR="001E136D" w:rsidRPr="003E3375">
        <w:rPr>
          <w:rFonts w:asciiTheme="minorHAnsi" w:hAnsiTheme="minorHAnsi" w:cstheme="minorHAnsi"/>
          <w:color w:val="000000" w:themeColor="text1"/>
        </w:rPr>
        <w:t>"</w:t>
      </w:r>
      <w:r w:rsidR="000815D1" w:rsidRPr="003E3375">
        <w:rPr>
          <w:rFonts w:asciiTheme="minorHAnsi" w:hAnsiTheme="minorHAnsi" w:cstheme="minorHAnsi"/>
          <w:color w:val="000000" w:themeColor="text1"/>
        </w:rPr>
        <w:t xml:space="preserve"> –</w:t>
      </w:r>
      <w:r w:rsidR="00013580" w:rsidRPr="003E3375">
        <w:rPr>
          <w:rFonts w:asciiTheme="minorHAnsi" w:hAnsiTheme="minorHAnsi" w:cstheme="minorHAnsi"/>
          <w:color w:val="000000" w:themeColor="text1"/>
        </w:rPr>
        <w:t xml:space="preserve"> only</w:t>
      </w:r>
      <w:r w:rsidR="000815D1" w:rsidRPr="003E3375">
        <w:rPr>
          <w:rFonts w:asciiTheme="minorHAnsi" w:hAnsiTheme="minorHAnsi" w:cstheme="minorHAnsi"/>
          <w:color w:val="000000" w:themeColor="text1"/>
        </w:rPr>
        <w:t xml:space="preserve"> </w:t>
      </w:r>
      <w:r w:rsidR="009D4B16" w:rsidRPr="003E3375">
        <w:rPr>
          <w:rFonts w:asciiTheme="minorHAnsi" w:hAnsiTheme="minorHAnsi" w:cstheme="minorHAnsi"/>
          <w:color w:val="000000" w:themeColor="text1"/>
        </w:rPr>
        <w:t>confirm</w:t>
      </w:r>
      <w:r w:rsidR="000815D1" w:rsidRPr="003E3375">
        <w:rPr>
          <w:rFonts w:asciiTheme="minorHAnsi" w:hAnsiTheme="minorHAnsi" w:cstheme="minorHAnsi"/>
          <w:color w:val="000000" w:themeColor="text1"/>
        </w:rPr>
        <w:t>ed</w:t>
      </w:r>
      <w:r w:rsidR="009D4B16" w:rsidRPr="003E3375">
        <w:rPr>
          <w:rFonts w:asciiTheme="minorHAnsi" w:hAnsiTheme="minorHAnsi" w:cstheme="minorHAnsi"/>
          <w:color w:val="000000" w:themeColor="text1"/>
        </w:rPr>
        <w:t xml:space="preserve"> that no </w:t>
      </w:r>
      <w:r w:rsidR="00D21120" w:rsidRPr="003E3375">
        <w:rPr>
          <w:rFonts w:asciiTheme="minorHAnsi" w:hAnsiTheme="minorHAnsi" w:cstheme="minorHAnsi"/>
          <w:color w:val="000000" w:themeColor="text1"/>
        </w:rPr>
        <w:t xml:space="preserve">domestic </w:t>
      </w:r>
      <w:r w:rsidR="009D4B16" w:rsidRPr="003E3375">
        <w:rPr>
          <w:rFonts w:asciiTheme="minorHAnsi" w:hAnsiTheme="minorHAnsi" w:cstheme="minorHAnsi"/>
          <w:color w:val="000000" w:themeColor="text1"/>
        </w:rPr>
        <w:t>produce</w:t>
      </w:r>
      <w:r w:rsidR="00D21120" w:rsidRPr="003E3375">
        <w:rPr>
          <w:rFonts w:asciiTheme="minorHAnsi" w:hAnsiTheme="minorHAnsi" w:cstheme="minorHAnsi"/>
          <w:color w:val="000000" w:themeColor="text1"/>
        </w:rPr>
        <w:t>r</w:t>
      </w:r>
      <w:r w:rsidR="001E136D" w:rsidRPr="003E3375">
        <w:rPr>
          <w:rFonts w:asciiTheme="minorHAnsi" w:hAnsiTheme="minorHAnsi" w:cstheme="minorHAnsi"/>
          <w:color w:val="000000" w:themeColor="text1"/>
        </w:rPr>
        <w:t xml:space="preserve"> had</w:t>
      </w:r>
      <w:r w:rsidR="00550093" w:rsidRPr="003E3375">
        <w:rPr>
          <w:rFonts w:asciiTheme="minorHAnsi" w:hAnsiTheme="minorHAnsi" w:cstheme="minorHAnsi"/>
          <w:color w:val="000000" w:themeColor="text1"/>
        </w:rPr>
        <w:t xml:space="preserve"> participated in any aspect of the </w:t>
      </w:r>
      <w:r w:rsidR="00A204D2" w:rsidRPr="003E3375">
        <w:rPr>
          <w:rFonts w:asciiTheme="minorHAnsi" w:hAnsiTheme="minorHAnsi" w:cstheme="minorHAnsi"/>
          <w:color w:val="000000" w:themeColor="text1"/>
        </w:rPr>
        <w:t>a</w:t>
      </w:r>
      <w:r w:rsidR="00550093" w:rsidRPr="003E3375">
        <w:rPr>
          <w:rFonts w:asciiTheme="minorHAnsi" w:hAnsiTheme="minorHAnsi" w:cstheme="minorHAnsi"/>
          <w:color w:val="000000" w:themeColor="text1"/>
        </w:rPr>
        <w:t>pplications</w:t>
      </w:r>
      <w:r w:rsidR="00013580" w:rsidRPr="003E3375">
        <w:rPr>
          <w:rFonts w:asciiTheme="minorHAnsi" w:hAnsiTheme="minorHAnsi" w:cstheme="minorHAnsi"/>
          <w:color w:val="000000" w:themeColor="text1"/>
        </w:rPr>
        <w:t>.</w:t>
      </w:r>
      <w:r w:rsidR="00162315" w:rsidRPr="003E3375">
        <w:rPr>
          <w:rFonts w:asciiTheme="minorHAnsi" w:hAnsiTheme="minorHAnsi" w:cstheme="minorHAnsi"/>
          <w:color w:val="000000" w:themeColor="text1"/>
        </w:rPr>
        <w:t xml:space="preserve"> Indeed</w:t>
      </w:r>
      <w:r w:rsidR="00142C55" w:rsidRPr="003E3375">
        <w:rPr>
          <w:rFonts w:asciiTheme="minorHAnsi" w:hAnsiTheme="minorHAnsi" w:cstheme="minorHAnsi"/>
          <w:color w:val="000000" w:themeColor="text1"/>
        </w:rPr>
        <w:t>,</w:t>
      </w:r>
      <w:r w:rsidR="00162315" w:rsidRPr="003E3375">
        <w:rPr>
          <w:rFonts w:asciiTheme="minorHAnsi" w:hAnsiTheme="minorHAnsi" w:cstheme="minorHAnsi"/>
          <w:color w:val="000000" w:themeColor="text1"/>
        </w:rPr>
        <w:t xml:space="preserve"> those reports </w:t>
      </w:r>
      <w:r w:rsidR="00162315" w:rsidRPr="003E3375">
        <w:rPr>
          <w:rFonts w:asciiTheme="minorHAnsi" w:hAnsiTheme="minorHAnsi" w:cstheme="minorHAnsi"/>
          <w:i/>
          <w:iCs/>
          <w:color w:val="000000" w:themeColor="text1"/>
        </w:rPr>
        <w:t>prove</w:t>
      </w:r>
      <w:r w:rsidR="00162315" w:rsidRPr="003E3375">
        <w:rPr>
          <w:rFonts w:asciiTheme="minorHAnsi" w:hAnsiTheme="minorHAnsi" w:cstheme="minorHAnsi"/>
          <w:color w:val="000000" w:themeColor="text1"/>
        </w:rPr>
        <w:t xml:space="preserve"> that CICC's </w:t>
      </w:r>
      <w:r w:rsidR="00A204D2" w:rsidRPr="003E3375">
        <w:rPr>
          <w:rFonts w:asciiTheme="minorHAnsi" w:hAnsiTheme="minorHAnsi" w:cstheme="minorHAnsi"/>
          <w:color w:val="000000" w:themeColor="text1"/>
        </w:rPr>
        <w:t>a</w:t>
      </w:r>
      <w:r w:rsidR="00162315" w:rsidRPr="003E3375">
        <w:rPr>
          <w:rFonts w:asciiTheme="minorHAnsi" w:hAnsiTheme="minorHAnsi" w:cstheme="minorHAnsi"/>
          <w:color w:val="000000" w:themeColor="text1"/>
        </w:rPr>
        <w:t xml:space="preserve">pplications were not made </w:t>
      </w:r>
      <w:r w:rsidR="00F122E7" w:rsidRPr="003E3375">
        <w:rPr>
          <w:rFonts w:asciiTheme="minorHAnsi" w:hAnsiTheme="minorHAnsi" w:cstheme="minorHAnsi"/>
          <w:color w:val="000000" w:themeColor="text1"/>
        </w:rPr>
        <w:t>on behalf of the domestic industry.</w:t>
      </w:r>
    </w:p>
    <w:p w14:paraId="1AB4BB8C" w14:textId="7D1C25E7" w:rsidR="008836BF" w:rsidRPr="003E3375" w:rsidRDefault="002A184D"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Finally,</w:t>
      </w:r>
      <w:r w:rsidR="00F122E7" w:rsidRPr="003E3375">
        <w:rPr>
          <w:rFonts w:asciiTheme="minorHAnsi" w:hAnsiTheme="minorHAnsi" w:cstheme="minorHAnsi"/>
          <w:color w:val="000000" w:themeColor="text1"/>
        </w:rPr>
        <w:t xml:space="preserve"> MOFCOM failed to undertake any </w:t>
      </w:r>
      <w:r w:rsidR="003A4EEC" w:rsidRPr="003E3375">
        <w:rPr>
          <w:rFonts w:asciiTheme="minorHAnsi" w:hAnsiTheme="minorHAnsi" w:cstheme="minorHAnsi"/>
          <w:color w:val="000000" w:themeColor="text1"/>
        </w:rPr>
        <w:t xml:space="preserve">assessment </w:t>
      </w:r>
      <w:r w:rsidR="0018106A" w:rsidRPr="003E3375">
        <w:rPr>
          <w:rFonts w:asciiTheme="minorHAnsi" w:hAnsiTheme="minorHAnsi" w:cstheme="minorHAnsi"/>
          <w:color w:val="000000" w:themeColor="text1"/>
        </w:rPr>
        <w:t>regarding whether CICC had standing to make an application</w:t>
      </w:r>
      <w:r w:rsidR="00A204D2" w:rsidRPr="003E3375">
        <w:rPr>
          <w:rFonts w:asciiTheme="minorHAnsi" w:hAnsiTheme="minorHAnsi" w:cstheme="minorHAnsi"/>
          <w:color w:val="000000" w:themeColor="text1"/>
        </w:rPr>
        <w:t>,</w:t>
      </w:r>
      <w:r w:rsidR="0018106A" w:rsidRPr="003E3375">
        <w:rPr>
          <w:rFonts w:asciiTheme="minorHAnsi" w:hAnsiTheme="minorHAnsi" w:cstheme="minorHAnsi"/>
          <w:color w:val="000000" w:themeColor="text1"/>
        </w:rPr>
        <w:t xml:space="preserve"> as required under Article 5.4 of the Anti-Dumping Agreement and </w:t>
      </w:r>
      <w:r w:rsidR="00CE359A" w:rsidRPr="003E3375">
        <w:rPr>
          <w:rFonts w:asciiTheme="minorHAnsi" w:hAnsiTheme="minorHAnsi" w:cstheme="minorHAnsi"/>
          <w:color w:val="000000" w:themeColor="text1"/>
        </w:rPr>
        <w:t xml:space="preserve">Article </w:t>
      </w:r>
      <w:r w:rsidR="0018106A" w:rsidRPr="003E3375">
        <w:rPr>
          <w:rFonts w:asciiTheme="minorHAnsi" w:hAnsiTheme="minorHAnsi" w:cstheme="minorHAnsi"/>
          <w:color w:val="000000" w:themeColor="text1"/>
        </w:rPr>
        <w:t>11.4 of the SCM Agreement.</w:t>
      </w:r>
      <w:r w:rsidR="001E136D" w:rsidRPr="003E3375">
        <w:rPr>
          <w:rStyle w:val="FootnoteReference"/>
          <w:rFonts w:cstheme="minorHAnsi"/>
          <w:color w:val="000000" w:themeColor="text1"/>
        </w:rPr>
        <w:footnoteReference w:id="29"/>
      </w:r>
      <w:r w:rsidR="0018106A" w:rsidRPr="003E3375">
        <w:rPr>
          <w:rFonts w:asciiTheme="minorHAnsi" w:hAnsiTheme="minorHAnsi" w:cstheme="minorHAnsi"/>
          <w:color w:val="000000" w:themeColor="text1"/>
        </w:rPr>
        <w:t xml:space="preserve"> </w:t>
      </w:r>
      <w:r w:rsidR="00A204D2" w:rsidRPr="003E3375">
        <w:rPr>
          <w:rFonts w:asciiTheme="minorHAnsi" w:hAnsiTheme="minorHAnsi" w:cstheme="minorHAnsi"/>
          <w:color w:val="000000" w:themeColor="text1"/>
        </w:rPr>
        <w:t xml:space="preserve">MOFCOM's </w:t>
      </w:r>
      <w:r w:rsidRPr="003E3375">
        <w:rPr>
          <w:rFonts w:asciiTheme="minorHAnsi" w:hAnsiTheme="minorHAnsi" w:cstheme="minorHAnsi"/>
          <w:color w:val="000000" w:themeColor="text1"/>
        </w:rPr>
        <w:t xml:space="preserve">sole passing mention of standing occurs in </w:t>
      </w:r>
      <w:r w:rsidR="00C05EF1" w:rsidRPr="003E3375">
        <w:rPr>
          <w:rFonts w:asciiTheme="minorHAnsi" w:hAnsiTheme="minorHAnsi" w:cstheme="minorHAnsi"/>
          <w:color w:val="000000" w:themeColor="text1"/>
        </w:rPr>
        <w:t>its</w:t>
      </w:r>
      <w:r w:rsidRPr="003E3375">
        <w:rPr>
          <w:rFonts w:asciiTheme="minorHAnsi" w:hAnsiTheme="minorHAnsi" w:cstheme="minorHAnsi"/>
          <w:color w:val="000000" w:themeColor="text1"/>
        </w:rPr>
        <w:t xml:space="preserve"> Final Determinations, 15 months after </w:t>
      </w:r>
      <w:r w:rsidR="00A372DD" w:rsidRPr="003E3375">
        <w:rPr>
          <w:rFonts w:asciiTheme="minorHAnsi" w:hAnsiTheme="minorHAnsi" w:cstheme="minorHAnsi"/>
          <w:color w:val="000000" w:themeColor="text1"/>
        </w:rPr>
        <w:t xml:space="preserve">it </w:t>
      </w:r>
      <w:r w:rsidRPr="003E3375">
        <w:rPr>
          <w:rFonts w:asciiTheme="minorHAnsi" w:hAnsiTheme="minorHAnsi" w:cstheme="minorHAnsi"/>
          <w:color w:val="000000" w:themeColor="text1"/>
        </w:rPr>
        <w:t xml:space="preserve">had made the decision to initiate </w:t>
      </w:r>
      <w:r w:rsidRPr="003E3375">
        <w:rPr>
          <w:rFonts w:asciiTheme="minorHAnsi" w:hAnsiTheme="minorHAnsi" w:cstheme="minorHAnsi"/>
          <w:color w:val="000000" w:themeColor="text1"/>
        </w:rPr>
        <w:lastRenderedPageBreak/>
        <w:t>investigations.</w:t>
      </w:r>
      <w:r w:rsidRPr="003E3375">
        <w:rPr>
          <w:rStyle w:val="FootnoteReference"/>
          <w:rFonts w:asciiTheme="minorHAnsi" w:hAnsiTheme="minorHAnsi" w:cstheme="minorHAnsi"/>
          <w:color w:val="000000" w:themeColor="text1"/>
        </w:rPr>
        <w:footnoteReference w:id="30"/>
      </w:r>
      <w:r w:rsidRPr="003E3375">
        <w:rPr>
          <w:rFonts w:asciiTheme="minorHAnsi" w:hAnsiTheme="minorHAnsi" w:cstheme="minorHAnsi"/>
          <w:color w:val="000000" w:themeColor="text1"/>
        </w:rPr>
        <w:t xml:space="preserve"> </w:t>
      </w:r>
      <w:r w:rsidR="00AA1088" w:rsidRPr="003E3375">
        <w:rPr>
          <w:rFonts w:asciiTheme="minorHAnsi" w:hAnsiTheme="minorHAnsi" w:cstheme="minorHAnsi"/>
          <w:color w:val="000000" w:themeColor="text1"/>
        </w:rPr>
        <w:t xml:space="preserve">There is no indication that MOFCOM conducted any such assessment </w:t>
      </w:r>
      <w:r w:rsidR="00AA1088" w:rsidRPr="003E3375">
        <w:rPr>
          <w:rFonts w:asciiTheme="minorHAnsi" w:hAnsiTheme="minorHAnsi" w:cstheme="minorHAnsi"/>
          <w:i/>
          <w:iCs/>
          <w:color w:val="000000" w:themeColor="text1"/>
        </w:rPr>
        <w:t xml:space="preserve">prior </w:t>
      </w:r>
      <w:r w:rsidR="00AA1088" w:rsidRPr="003E3375">
        <w:rPr>
          <w:rFonts w:asciiTheme="minorHAnsi" w:hAnsiTheme="minorHAnsi" w:cstheme="minorHAnsi"/>
          <w:color w:val="000000" w:themeColor="text1"/>
        </w:rPr>
        <w:t xml:space="preserve">to initiation, </w:t>
      </w:r>
      <w:r w:rsidRPr="003E3375">
        <w:rPr>
          <w:rFonts w:asciiTheme="minorHAnsi" w:hAnsiTheme="minorHAnsi" w:cstheme="minorHAnsi"/>
          <w:color w:val="000000" w:themeColor="text1"/>
        </w:rPr>
        <w:t>as the Agreements require</w:t>
      </w:r>
      <w:r w:rsidR="00396E07" w:rsidRPr="003E3375">
        <w:rPr>
          <w:rFonts w:asciiTheme="minorHAnsi" w:hAnsiTheme="minorHAnsi" w:cstheme="minorHAnsi"/>
          <w:color w:val="000000" w:themeColor="text1"/>
        </w:rPr>
        <w:t>.</w:t>
      </w:r>
      <w:r w:rsidR="008836BF" w:rsidRPr="003E3375">
        <w:rPr>
          <w:rFonts w:asciiTheme="minorHAnsi" w:hAnsiTheme="minorHAnsi" w:cstheme="minorHAnsi"/>
          <w:color w:val="000000" w:themeColor="text1"/>
        </w:rPr>
        <w:t xml:space="preserve"> </w:t>
      </w:r>
      <w:r w:rsidR="00396E07" w:rsidRPr="003E3375">
        <w:rPr>
          <w:rFonts w:asciiTheme="minorHAnsi" w:hAnsiTheme="minorHAnsi" w:cstheme="minorHAnsi"/>
          <w:color w:val="000000" w:themeColor="text1"/>
        </w:rPr>
        <w:t>I</w:t>
      </w:r>
      <w:r w:rsidR="008836BF" w:rsidRPr="003E3375">
        <w:rPr>
          <w:rFonts w:asciiTheme="minorHAnsi" w:hAnsiTheme="minorHAnsi" w:cstheme="minorHAnsi"/>
          <w:color w:val="000000" w:themeColor="text1"/>
        </w:rPr>
        <w:t xml:space="preserve">n this belated standing determination, MOFCOM purportedly relied on </w:t>
      </w:r>
      <w:r w:rsidR="00BE28D2" w:rsidRPr="003E3375">
        <w:rPr>
          <w:rFonts w:asciiTheme="minorHAnsi" w:hAnsiTheme="minorHAnsi" w:cstheme="minorHAnsi"/>
          <w:color w:val="000000" w:themeColor="text1"/>
        </w:rPr>
        <w:t xml:space="preserve">record evidence. On examination, however, this record evidence </w:t>
      </w:r>
      <w:r w:rsidR="00D43D0A" w:rsidRPr="003E3375">
        <w:rPr>
          <w:rFonts w:asciiTheme="minorHAnsi" w:hAnsiTheme="minorHAnsi" w:cstheme="minorHAnsi"/>
          <w:color w:val="000000" w:themeColor="text1"/>
        </w:rPr>
        <w:t xml:space="preserve">did not </w:t>
      </w:r>
      <w:r w:rsidR="00BE28D2" w:rsidRPr="003E3375">
        <w:rPr>
          <w:rFonts w:asciiTheme="minorHAnsi" w:hAnsiTheme="minorHAnsi" w:cstheme="minorHAnsi"/>
          <w:color w:val="000000" w:themeColor="text1"/>
        </w:rPr>
        <w:t xml:space="preserve">demonstrate that </w:t>
      </w:r>
      <w:r w:rsidR="00D43D0A" w:rsidRPr="003E3375">
        <w:rPr>
          <w:rFonts w:asciiTheme="minorHAnsi" w:hAnsiTheme="minorHAnsi" w:cstheme="minorHAnsi"/>
          <w:color w:val="000000" w:themeColor="text1"/>
        </w:rPr>
        <w:t xml:space="preserve">the </w:t>
      </w:r>
      <w:r w:rsidR="00083EF5" w:rsidRPr="003E3375">
        <w:rPr>
          <w:rFonts w:asciiTheme="minorHAnsi" w:hAnsiTheme="minorHAnsi" w:cstheme="minorHAnsi"/>
          <w:color w:val="000000" w:themeColor="text1"/>
        </w:rPr>
        <w:t xml:space="preserve">applications had the degree of support required by </w:t>
      </w:r>
      <w:r w:rsidR="00D43D0A" w:rsidRPr="003E3375">
        <w:rPr>
          <w:rFonts w:asciiTheme="minorHAnsi" w:hAnsiTheme="minorHAnsi" w:cstheme="minorHAnsi"/>
          <w:color w:val="000000" w:themeColor="text1"/>
        </w:rPr>
        <w:t xml:space="preserve">Article 5.4 </w:t>
      </w:r>
      <w:r w:rsidR="00425E79" w:rsidRPr="003E3375">
        <w:rPr>
          <w:rFonts w:asciiTheme="minorHAnsi" w:hAnsiTheme="minorHAnsi" w:cstheme="minorHAnsi"/>
          <w:color w:val="000000" w:themeColor="text1"/>
        </w:rPr>
        <w:t xml:space="preserve">of the Anti-Dumping Agreement </w:t>
      </w:r>
      <w:r w:rsidR="00D43D0A" w:rsidRPr="003E3375">
        <w:rPr>
          <w:rFonts w:asciiTheme="minorHAnsi" w:hAnsiTheme="minorHAnsi" w:cstheme="minorHAnsi"/>
          <w:color w:val="000000" w:themeColor="text1"/>
        </w:rPr>
        <w:t xml:space="preserve">and </w:t>
      </w:r>
      <w:r w:rsidR="00425E79" w:rsidRPr="003E3375">
        <w:rPr>
          <w:rFonts w:asciiTheme="minorHAnsi" w:hAnsiTheme="minorHAnsi" w:cstheme="minorHAnsi"/>
          <w:color w:val="000000" w:themeColor="text1"/>
        </w:rPr>
        <w:t xml:space="preserve">Article </w:t>
      </w:r>
      <w:r w:rsidR="00D43D0A" w:rsidRPr="003E3375">
        <w:rPr>
          <w:rFonts w:asciiTheme="minorHAnsi" w:hAnsiTheme="minorHAnsi" w:cstheme="minorHAnsi"/>
          <w:color w:val="000000" w:themeColor="text1"/>
        </w:rPr>
        <w:t>11.4</w:t>
      </w:r>
      <w:r w:rsidR="00425E79" w:rsidRPr="003E3375">
        <w:rPr>
          <w:rFonts w:asciiTheme="minorHAnsi" w:hAnsiTheme="minorHAnsi" w:cstheme="minorHAnsi"/>
          <w:color w:val="000000" w:themeColor="text1"/>
        </w:rPr>
        <w:t xml:space="preserve"> of the SCM Agreement</w:t>
      </w:r>
      <w:r w:rsidR="00D43D0A" w:rsidRPr="003E3375">
        <w:rPr>
          <w:rFonts w:asciiTheme="minorHAnsi" w:hAnsiTheme="minorHAnsi" w:cstheme="minorHAnsi"/>
          <w:color w:val="000000" w:themeColor="text1"/>
        </w:rPr>
        <w:t>.</w:t>
      </w:r>
      <w:r w:rsidR="00083EF5" w:rsidRPr="003E3375">
        <w:rPr>
          <w:rStyle w:val="FootnoteReference"/>
          <w:rFonts w:cstheme="minorHAnsi"/>
          <w:color w:val="000000" w:themeColor="text1"/>
        </w:rPr>
        <w:footnoteReference w:id="31"/>
      </w:r>
    </w:p>
    <w:p w14:paraId="442C149F" w14:textId="224DC8F5" w:rsidR="00ED1E2B" w:rsidRPr="003E3375" w:rsidRDefault="00E109C4"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As a </w:t>
      </w:r>
      <w:r w:rsidR="007F7D32" w:rsidRPr="003E3375">
        <w:rPr>
          <w:rFonts w:asciiTheme="minorHAnsi" w:hAnsiTheme="minorHAnsi" w:cstheme="minorHAnsi"/>
          <w:color w:val="000000" w:themeColor="text1"/>
        </w:rPr>
        <w:t xml:space="preserve">consequence </w:t>
      </w:r>
      <w:r w:rsidRPr="003E3375">
        <w:rPr>
          <w:rFonts w:asciiTheme="minorHAnsi" w:hAnsiTheme="minorHAnsi" w:cstheme="minorHAnsi"/>
          <w:color w:val="000000" w:themeColor="text1"/>
        </w:rPr>
        <w:t xml:space="preserve">of these failings, </w:t>
      </w:r>
      <w:r w:rsidR="00B8763C" w:rsidRPr="003E3375">
        <w:rPr>
          <w:rFonts w:asciiTheme="minorHAnsi" w:hAnsiTheme="minorHAnsi" w:cstheme="minorHAnsi"/>
          <w:color w:val="000000" w:themeColor="text1"/>
        </w:rPr>
        <w:t>MOFCOM did not comply with its obligation</w:t>
      </w:r>
      <w:r w:rsidR="00747A6A" w:rsidRPr="003E3375">
        <w:rPr>
          <w:rFonts w:asciiTheme="minorHAnsi" w:hAnsiTheme="minorHAnsi" w:cstheme="minorHAnsi"/>
          <w:color w:val="000000" w:themeColor="text1"/>
        </w:rPr>
        <w:t>s</w:t>
      </w:r>
      <w:r w:rsidR="00B8763C" w:rsidRPr="003E3375">
        <w:rPr>
          <w:rFonts w:asciiTheme="minorHAnsi" w:hAnsiTheme="minorHAnsi" w:cstheme="minorHAnsi"/>
          <w:color w:val="000000" w:themeColor="text1"/>
        </w:rPr>
        <w:t xml:space="preserve"> to initiate investigations in</w:t>
      </w:r>
      <w:r w:rsidR="00747A6A" w:rsidRPr="003E3375">
        <w:rPr>
          <w:rFonts w:asciiTheme="minorHAnsi" w:hAnsiTheme="minorHAnsi" w:cstheme="minorHAnsi"/>
          <w:color w:val="000000" w:themeColor="text1"/>
        </w:rPr>
        <w:t xml:space="preserve"> accordance with</w:t>
      </w:r>
      <w:r w:rsidR="00B8763C" w:rsidRPr="003E3375">
        <w:rPr>
          <w:rFonts w:asciiTheme="minorHAnsi" w:hAnsiTheme="minorHAnsi" w:cstheme="minorHAnsi"/>
          <w:color w:val="000000" w:themeColor="text1"/>
        </w:rPr>
        <w:t xml:space="preserve"> the Agreements</w:t>
      </w:r>
      <w:r w:rsidR="008B7134" w:rsidRPr="003E3375">
        <w:rPr>
          <w:rFonts w:asciiTheme="minorHAnsi" w:hAnsiTheme="minorHAnsi" w:cstheme="minorHAnsi"/>
          <w:color w:val="000000" w:themeColor="text1"/>
        </w:rPr>
        <w:t xml:space="preserve"> in breach of</w:t>
      </w:r>
      <w:r w:rsidR="00ED1E2B" w:rsidRPr="003E3375">
        <w:rPr>
          <w:rFonts w:asciiTheme="minorHAnsi" w:hAnsiTheme="minorHAnsi" w:cstheme="minorHAnsi"/>
          <w:color w:val="000000" w:themeColor="text1"/>
        </w:rPr>
        <w:t xml:space="preserve"> Articles </w:t>
      </w:r>
      <w:r w:rsidR="00CE6C36" w:rsidRPr="003E3375">
        <w:rPr>
          <w:rFonts w:asciiTheme="minorHAnsi" w:hAnsiTheme="minorHAnsi" w:cstheme="minorHAnsi"/>
          <w:color w:val="000000" w:themeColor="text1"/>
        </w:rPr>
        <w:t xml:space="preserve">5.1, </w:t>
      </w:r>
      <w:r w:rsidR="00C738AF" w:rsidRPr="003E3375">
        <w:rPr>
          <w:rFonts w:asciiTheme="minorHAnsi" w:hAnsiTheme="minorHAnsi" w:cstheme="minorHAnsi"/>
          <w:color w:val="000000" w:themeColor="text1"/>
        </w:rPr>
        <w:t>5.2</w:t>
      </w:r>
      <w:r w:rsidR="00CE6C36" w:rsidRPr="003E3375">
        <w:rPr>
          <w:rFonts w:asciiTheme="minorHAnsi" w:hAnsiTheme="minorHAnsi" w:cstheme="minorHAnsi"/>
          <w:color w:val="000000" w:themeColor="text1"/>
        </w:rPr>
        <w:t>(i)</w:t>
      </w:r>
      <w:r w:rsidR="00C738AF" w:rsidRPr="003E3375">
        <w:rPr>
          <w:rFonts w:asciiTheme="minorHAnsi" w:hAnsiTheme="minorHAnsi" w:cstheme="minorHAnsi"/>
          <w:color w:val="000000" w:themeColor="text1"/>
        </w:rPr>
        <w:t xml:space="preserve">, 5.3 and </w:t>
      </w:r>
      <w:r w:rsidR="00ED1E2B" w:rsidRPr="003E3375">
        <w:rPr>
          <w:rFonts w:asciiTheme="minorHAnsi" w:hAnsiTheme="minorHAnsi" w:cstheme="minorHAnsi"/>
          <w:color w:val="000000" w:themeColor="text1"/>
        </w:rPr>
        <w:t xml:space="preserve">5.4 of the Anti-Dumping Agreement and </w:t>
      </w:r>
      <w:r w:rsidR="00CE359A" w:rsidRPr="003E3375">
        <w:rPr>
          <w:rFonts w:asciiTheme="minorHAnsi" w:hAnsiTheme="minorHAnsi" w:cstheme="minorHAnsi"/>
          <w:color w:val="000000" w:themeColor="text1"/>
        </w:rPr>
        <w:t xml:space="preserve">Articles </w:t>
      </w:r>
      <w:r w:rsidR="00CE6C36" w:rsidRPr="003E3375">
        <w:rPr>
          <w:rFonts w:asciiTheme="minorHAnsi" w:hAnsiTheme="minorHAnsi" w:cstheme="minorHAnsi"/>
          <w:color w:val="000000" w:themeColor="text1"/>
        </w:rPr>
        <w:t xml:space="preserve">11.1, </w:t>
      </w:r>
      <w:r w:rsidR="00C738AF" w:rsidRPr="003E3375">
        <w:rPr>
          <w:rFonts w:asciiTheme="minorHAnsi" w:hAnsiTheme="minorHAnsi" w:cstheme="minorHAnsi"/>
          <w:color w:val="000000" w:themeColor="text1"/>
        </w:rPr>
        <w:t>11.2</w:t>
      </w:r>
      <w:r w:rsidR="00CE6C36" w:rsidRPr="003E3375">
        <w:rPr>
          <w:rFonts w:asciiTheme="minorHAnsi" w:hAnsiTheme="minorHAnsi" w:cstheme="minorHAnsi"/>
          <w:color w:val="000000" w:themeColor="text1"/>
        </w:rPr>
        <w:t>(i)</w:t>
      </w:r>
      <w:r w:rsidR="00C738AF" w:rsidRPr="003E3375">
        <w:rPr>
          <w:rFonts w:asciiTheme="minorHAnsi" w:hAnsiTheme="minorHAnsi" w:cstheme="minorHAnsi"/>
          <w:color w:val="000000" w:themeColor="text1"/>
        </w:rPr>
        <w:t xml:space="preserve">, 11.3 and </w:t>
      </w:r>
      <w:r w:rsidR="00ED1E2B" w:rsidRPr="003E3375">
        <w:rPr>
          <w:rFonts w:asciiTheme="minorHAnsi" w:hAnsiTheme="minorHAnsi" w:cstheme="minorHAnsi"/>
          <w:color w:val="000000" w:themeColor="text1"/>
        </w:rPr>
        <w:t>11.4 of the SCM Agreement</w:t>
      </w:r>
      <w:r w:rsidR="00B8763C" w:rsidRPr="003E3375">
        <w:rPr>
          <w:rFonts w:asciiTheme="minorHAnsi" w:hAnsiTheme="minorHAnsi" w:cstheme="minorHAnsi"/>
          <w:color w:val="000000" w:themeColor="text1"/>
        </w:rPr>
        <w:t>.</w:t>
      </w:r>
      <w:r w:rsidR="00ED1E2B" w:rsidRPr="003E3375">
        <w:rPr>
          <w:rStyle w:val="FootnoteReference"/>
          <w:rFonts w:asciiTheme="minorHAnsi" w:hAnsiTheme="minorHAnsi" w:cstheme="minorHAnsi"/>
          <w:color w:val="000000" w:themeColor="text1"/>
        </w:rPr>
        <w:footnoteReference w:id="32"/>
      </w:r>
      <w:r w:rsidRPr="003E3375">
        <w:rPr>
          <w:rFonts w:asciiTheme="minorHAnsi" w:hAnsiTheme="minorHAnsi" w:cstheme="minorHAnsi"/>
          <w:color w:val="000000" w:themeColor="text1"/>
        </w:rPr>
        <w:t xml:space="preserve"> </w:t>
      </w:r>
    </w:p>
    <w:p w14:paraId="27C6B724" w14:textId="51C63084" w:rsidR="00332DB4" w:rsidRPr="003E3375" w:rsidRDefault="00313571" w:rsidP="00E72E98">
      <w:pPr>
        <w:pStyle w:val="HL2HeadingLevel2"/>
        <w:spacing w:line="276" w:lineRule="auto"/>
        <w:rPr>
          <w:rFonts w:asciiTheme="minorHAnsi" w:hAnsiTheme="minorHAnsi" w:cstheme="minorHAnsi"/>
          <w:color w:val="000000" w:themeColor="text1"/>
        </w:rPr>
      </w:pPr>
      <w:bookmarkStart w:id="11" w:name="_Toc114492222"/>
      <w:r w:rsidRPr="003E3375">
        <w:rPr>
          <w:rFonts w:asciiTheme="minorHAnsi" w:hAnsiTheme="minorHAnsi" w:cstheme="minorHAnsi"/>
          <w:color w:val="000000" w:themeColor="text1"/>
        </w:rPr>
        <w:t>MOFCOM had insufficient evidence to justify initiation</w:t>
      </w:r>
      <w:bookmarkEnd w:id="11"/>
    </w:p>
    <w:p w14:paraId="3CEE4D09" w14:textId="6FFF81E6" w:rsidR="001B7CAE" w:rsidRPr="003E3375" w:rsidRDefault="001B7CAE"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Article</w:t>
      </w:r>
      <w:r w:rsidR="00F44835"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 xml:space="preserve"> </w:t>
      </w:r>
      <w:r w:rsidR="00F44835" w:rsidRPr="003E3375">
        <w:rPr>
          <w:rFonts w:asciiTheme="minorHAnsi" w:hAnsiTheme="minorHAnsi" w:cstheme="minorHAnsi"/>
          <w:color w:val="000000" w:themeColor="text1"/>
        </w:rPr>
        <w:t xml:space="preserve">5.2 and </w:t>
      </w:r>
      <w:r w:rsidRPr="003E3375">
        <w:rPr>
          <w:rFonts w:asciiTheme="minorHAnsi" w:hAnsiTheme="minorHAnsi" w:cstheme="minorHAnsi"/>
          <w:color w:val="000000" w:themeColor="text1"/>
        </w:rPr>
        <w:t>5.3 of the Anti</w:t>
      </w:r>
      <w:r w:rsidRPr="003E3375">
        <w:rPr>
          <w:rFonts w:asciiTheme="minorHAnsi" w:hAnsiTheme="minorHAnsi" w:cstheme="minorHAnsi"/>
          <w:color w:val="000000" w:themeColor="text1"/>
        </w:rPr>
        <w:noBreakHyphen/>
        <w:t xml:space="preserve">Dumping Agreement and </w:t>
      </w:r>
      <w:r w:rsidR="00747A6A" w:rsidRPr="003E3375">
        <w:rPr>
          <w:rFonts w:asciiTheme="minorHAnsi" w:hAnsiTheme="minorHAnsi" w:cstheme="minorHAnsi"/>
          <w:color w:val="000000" w:themeColor="text1"/>
        </w:rPr>
        <w:t xml:space="preserve">Articles </w:t>
      </w:r>
      <w:r w:rsidR="00F44835" w:rsidRPr="003E3375">
        <w:rPr>
          <w:rFonts w:asciiTheme="minorHAnsi" w:hAnsiTheme="minorHAnsi" w:cstheme="minorHAnsi"/>
          <w:color w:val="000000" w:themeColor="text1"/>
        </w:rPr>
        <w:t>11.2 and</w:t>
      </w:r>
      <w:r w:rsidR="003928CF"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11.3 of the SCM</w:t>
      </w:r>
      <w:r w:rsidR="0098281E"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 xml:space="preserve">Agreement </w:t>
      </w:r>
      <w:r w:rsidR="00F44835" w:rsidRPr="003E3375">
        <w:rPr>
          <w:rFonts w:asciiTheme="minorHAnsi" w:hAnsiTheme="minorHAnsi" w:cstheme="minorHAnsi"/>
          <w:color w:val="000000" w:themeColor="text1"/>
        </w:rPr>
        <w:t>require</w:t>
      </w:r>
      <w:r w:rsidR="004F13DD" w:rsidRPr="003E3375">
        <w:rPr>
          <w:rFonts w:asciiTheme="minorHAnsi" w:hAnsiTheme="minorHAnsi" w:cstheme="minorHAnsi"/>
          <w:color w:val="000000" w:themeColor="text1"/>
        </w:rPr>
        <w:t xml:space="preserve"> that an application </w:t>
      </w:r>
      <w:r w:rsidR="00FB0607" w:rsidRPr="003E3375">
        <w:rPr>
          <w:rFonts w:asciiTheme="minorHAnsi" w:hAnsiTheme="minorHAnsi" w:cstheme="minorHAnsi"/>
          <w:color w:val="000000" w:themeColor="text1"/>
        </w:rPr>
        <w:t>contain</w:t>
      </w:r>
      <w:r w:rsidR="004F13DD" w:rsidRPr="003E3375">
        <w:rPr>
          <w:rFonts w:asciiTheme="minorHAnsi" w:hAnsiTheme="minorHAnsi" w:cstheme="minorHAnsi"/>
          <w:color w:val="000000" w:themeColor="text1"/>
        </w:rPr>
        <w:t xml:space="preserve"> </w:t>
      </w:r>
      <w:r w:rsidR="00FB0607" w:rsidRPr="003E3375">
        <w:rPr>
          <w:rFonts w:asciiTheme="minorHAnsi" w:hAnsiTheme="minorHAnsi" w:cstheme="minorHAnsi"/>
          <w:color w:val="000000" w:themeColor="text1"/>
        </w:rPr>
        <w:t xml:space="preserve">evidence of dumping, subsidisation, injury and causation </w:t>
      </w:r>
      <w:r w:rsidR="00C03A9B" w:rsidRPr="003E3375">
        <w:rPr>
          <w:rFonts w:asciiTheme="minorHAnsi" w:hAnsiTheme="minorHAnsi" w:cstheme="minorHAnsi"/>
          <w:color w:val="000000" w:themeColor="text1"/>
        </w:rPr>
        <w:t>and</w:t>
      </w:r>
      <w:r w:rsidR="007D31BC" w:rsidRPr="003E3375">
        <w:rPr>
          <w:rFonts w:asciiTheme="minorHAnsi" w:hAnsiTheme="minorHAnsi" w:cstheme="minorHAnsi"/>
          <w:color w:val="000000" w:themeColor="text1"/>
        </w:rPr>
        <w:t>,</w:t>
      </w:r>
      <w:r w:rsidR="00C03A9B" w:rsidRPr="003E3375">
        <w:rPr>
          <w:rFonts w:asciiTheme="minorHAnsi" w:hAnsiTheme="minorHAnsi" w:cstheme="minorHAnsi"/>
          <w:color w:val="000000" w:themeColor="text1"/>
        </w:rPr>
        <w:t xml:space="preserve"> </w:t>
      </w:r>
      <w:r w:rsidR="0060638C" w:rsidRPr="003E3375">
        <w:rPr>
          <w:rFonts w:asciiTheme="minorHAnsi" w:hAnsiTheme="minorHAnsi" w:cstheme="minorHAnsi"/>
          <w:color w:val="000000" w:themeColor="text1"/>
        </w:rPr>
        <w:t>further</w:t>
      </w:r>
      <w:r w:rsidR="007D31BC" w:rsidRPr="003E3375">
        <w:rPr>
          <w:rFonts w:asciiTheme="minorHAnsi" w:hAnsiTheme="minorHAnsi" w:cstheme="minorHAnsi"/>
          <w:color w:val="000000" w:themeColor="text1"/>
        </w:rPr>
        <w:t>,</w:t>
      </w:r>
      <w:r w:rsidR="0060638C" w:rsidRPr="003E3375">
        <w:rPr>
          <w:rFonts w:asciiTheme="minorHAnsi" w:hAnsiTheme="minorHAnsi" w:cstheme="minorHAnsi"/>
          <w:color w:val="000000" w:themeColor="text1"/>
        </w:rPr>
        <w:t xml:space="preserve"> that </w:t>
      </w:r>
      <w:r w:rsidRPr="003E3375">
        <w:rPr>
          <w:rFonts w:asciiTheme="minorHAnsi" w:hAnsiTheme="minorHAnsi" w:cstheme="minorHAnsi"/>
          <w:color w:val="000000" w:themeColor="text1"/>
        </w:rPr>
        <w:t xml:space="preserve">an investigating authority must assess the accuracy and adequacy of </w:t>
      </w:r>
      <w:r w:rsidR="003C4BF4" w:rsidRPr="003E3375">
        <w:rPr>
          <w:rFonts w:asciiTheme="minorHAnsi" w:hAnsiTheme="minorHAnsi" w:cstheme="minorHAnsi"/>
          <w:color w:val="000000" w:themeColor="text1"/>
        </w:rPr>
        <w:t xml:space="preserve">such </w:t>
      </w:r>
      <w:r w:rsidRPr="003E3375">
        <w:rPr>
          <w:rFonts w:asciiTheme="minorHAnsi" w:hAnsiTheme="minorHAnsi" w:cstheme="minorHAnsi"/>
          <w:color w:val="000000" w:themeColor="text1"/>
        </w:rPr>
        <w:t xml:space="preserve">evidence </w:t>
      </w:r>
      <w:r w:rsidR="003C4BF4" w:rsidRPr="003E3375">
        <w:rPr>
          <w:rFonts w:asciiTheme="minorHAnsi" w:hAnsiTheme="minorHAnsi" w:cstheme="minorHAnsi"/>
          <w:color w:val="000000" w:themeColor="text1"/>
        </w:rPr>
        <w:t xml:space="preserve">to determine whether it is </w:t>
      </w:r>
      <w:r w:rsidR="004B0310" w:rsidRPr="003E3375">
        <w:rPr>
          <w:rFonts w:asciiTheme="minorHAnsi" w:hAnsiTheme="minorHAnsi" w:cstheme="minorHAnsi"/>
          <w:color w:val="000000" w:themeColor="text1"/>
        </w:rPr>
        <w:t>"</w:t>
      </w:r>
      <w:r w:rsidR="002E4F49" w:rsidRPr="003E3375">
        <w:rPr>
          <w:rFonts w:asciiTheme="minorHAnsi" w:hAnsiTheme="minorHAnsi" w:cstheme="minorHAnsi"/>
          <w:color w:val="000000" w:themeColor="text1"/>
        </w:rPr>
        <w:t>sufficient"</w:t>
      </w:r>
      <w:r w:rsidR="003C4BF4" w:rsidRPr="003E3375">
        <w:rPr>
          <w:rFonts w:asciiTheme="minorHAnsi" w:hAnsiTheme="minorHAnsi" w:cstheme="minorHAnsi"/>
          <w:color w:val="000000" w:themeColor="text1"/>
        </w:rPr>
        <w:t xml:space="preserve"> to justify the initiation of an investigation</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33"/>
      </w:r>
      <w:r w:rsidR="00332DB4" w:rsidRPr="003E3375">
        <w:rPr>
          <w:rFonts w:asciiTheme="minorHAnsi" w:hAnsiTheme="minorHAnsi" w:cstheme="minorHAnsi"/>
          <w:color w:val="000000" w:themeColor="text1"/>
        </w:rPr>
        <w:t xml:space="preserve"> </w:t>
      </w:r>
      <w:r w:rsidR="00282C1C" w:rsidRPr="003E3375">
        <w:rPr>
          <w:color w:val="000000" w:themeColor="text1"/>
        </w:rPr>
        <w:t xml:space="preserve">An applicant must submit a degree of "actual evidence" </w:t>
      </w:r>
      <w:r w:rsidR="00BF2EE0" w:rsidRPr="003E3375">
        <w:rPr>
          <w:color w:val="000000" w:themeColor="text1"/>
        </w:rPr>
        <w:t>in support of its application</w:t>
      </w:r>
      <w:r w:rsidR="00282C1C" w:rsidRPr="003E3375">
        <w:rPr>
          <w:color w:val="000000" w:themeColor="text1"/>
        </w:rPr>
        <w:t>.</w:t>
      </w:r>
      <w:r w:rsidR="00282C1C" w:rsidRPr="003E3375">
        <w:rPr>
          <w:rStyle w:val="FootnoteReference"/>
          <w:color w:val="000000" w:themeColor="text1"/>
        </w:rPr>
        <w:footnoteReference w:id="34"/>
      </w:r>
      <w:r w:rsidR="00282C1C" w:rsidRPr="003E3375">
        <w:rPr>
          <w:color w:val="000000" w:themeColor="text1"/>
        </w:rPr>
        <w:t xml:space="preserve"> </w:t>
      </w:r>
      <w:r w:rsidR="00332DB4" w:rsidRPr="003E3375">
        <w:rPr>
          <w:rFonts w:asciiTheme="minorHAnsi" w:hAnsiTheme="minorHAnsi" w:cstheme="minorHAnsi"/>
          <w:color w:val="000000" w:themeColor="text1"/>
        </w:rPr>
        <w:t xml:space="preserve">CICC's evidence in its </w:t>
      </w:r>
      <w:r w:rsidR="00987888" w:rsidRPr="003E3375">
        <w:rPr>
          <w:rFonts w:asciiTheme="minorHAnsi" w:hAnsiTheme="minorHAnsi" w:cstheme="minorHAnsi"/>
          <w:color w:val="000000" w:themeColor="text1"/>
        </w:rPr>
        <w:t>a</w:t>
      </w:r>
      <w:r w:rsidR="00332DB4" w:rsidRPr="003E3375">
        <w:rPr>
          <w:rFonts w:asciiTheme="minorHAnsi" w:hAnsiTheme="minorHAnsi" w:cstheme="minorHAnsi"/>
          <w:color w:val="000000" w:themeColor="text1"/>
        </w:rPr>
        <w:t>pplications was not of the "quantity" and "quality" to meet the threshold of "sufficient evidence".</w:t>
      </w:r>
      <w:r w:rsidR="00332DB4" w:rsidRPr="003E3375">
        <w:rPr>
          <w:rStyle w:val="FootnoteReference"/>
          <w:rFonts w:asciiTheme="minorHAnsi" w:hAnsiTheme="minorHAnsi" w:cstheme="minorHAnsi"/>
          <w:color w:val="000000" w:themeColor="text1"/>
        </w:rPr>
        <w:footnoteReference w:id="35"/>
      </w:r>
      <w:r w:rsidR="00332DB4" w:rsidRPr="003E3375">
        <w:rPr>
          <w:rFonts w:asciiTheme="minorHAnsi" w:hAnsiTheme="minorHAnsi" w:cstheme="minorHAnsi"/>
          <w:color w:val="000000" w:themeColor="text1"/>
        </w:rPr>
        <w:t xml:space="preserve"> </w:t>
      </w:r>
      <w:r w:rsidR="00337D7C" w:rsidRPr="003E3375">
        <w:rPr>
          <w:rFonts w:asciiTheme="minorHAnsi" w:hAnsiTheme="minorHAnsi" w:cstheme="minorHAnsi"/>
          <w:color w:val="000000" w:themeColor="text1"/>
        </w:rPr>
        <w:t xml:space="preserve">Pursuant to Article 5.8 of the Anti-Dumping Agreement and Article 11.9 of the SCM Agreement, </w:t>
      </w:r>
      <w:r w:rsidR="00332DB4" w:rsidRPr="003E3375">
        <w:rPr>
          <w:rFonts w:asciiTheme="minorHAnsi" w:hAnsiTheme="minorHAnsi" w:cstheme="minorHAnsi"/>
          <w:color w:val="000000" w:themeColor="text1"/>
        </w:rPr>
        <w:t xml:space="preserve">MOFCOM </w:t>
      </w:r>
      <w:r w:rsidR="007D31BC" w:rsidRPr="003E3375">
        <w:rPr>
          <w:rFonts w:asciiTheme="minorHAnsi" w:hAnsiTheme="minorHAnsi" w:cstheme="minorHAnsi"/>
          <w:color w:val="000000" w:themeColor="text1"/>
        </w:rPr>
        <w:t>was</w:t>
      </w:r>
      <w:r w:rsidR="00332DB4" w:rsidRPr="003E3375">
        <w:rPr>
          <w:rFonts w:asciiTheme="minorHAnsi" w:hAnsiTheme="minorHAnsi" w:cstheme="minorHAnsi"/>
          <w:color w:val="000000" w:themeColor="text1"/>
        </w:rPr>
        <w:t xml:space="preserve"> </w:t>
      </w:r>
      <w:r w:rsidR="00337D7C" w:rsidRPr="003E3375">
        <w:rPr>
          <w:rFonts w:asciiTheme="minorHAnsi" w:hAnsiTheme="minorHAnsi" w:cstheme="minorHAnsi"/>
          <w:color w:val="000000" w:themeColor="text1"/>
        </w:rPr>
        <w:t xml:space="preserve">therefore </w:t>
      </w:r>
      <w:r w:rsidR="007D31BC" w:rsidRPr="003E3375">
        <w:rPr>
          <w:rFonts w:asciiTheme="minorHAnsi" w:hAnsiTheme="minorHAnsi" w:cstheme="minorHAnsi"/>
          <w:color w:val="000000" w:themeColor="text1"/>
        </w:rPr>
        <w:t xml:space="preserve">required to </w:t>
      </w:r>
      <w:r w:rsidR="00332DB4" w:rsidRPr="003E3375">
        <w:rPr>
          <w:rFonts w:asciiTheme="minorHAnsi" w:hAnsiTheme="minorHAnsi" w:cstheme="minorHAnsi"/>
          <w:color w:val="000000" w:themeColor="text1"/>
        </w:rPr>
        <w:t xml:space="preserve">reject CICC's </w:t>
      </w:r>
      <w:r w:rsidR="00337D7C" w:rsidRPr="003E3375">
        <w:rPr>
          <w:rFonts w:asciiTheme="minorHAnsi" w:hAnsiTheme="minorHAnsi" w:cstheme="minorHAnsi"/>
          <w:color w:val="000000" w:themeColor="text1"/>
        </w:rPr>
        <w:t>a</w:t>
      </w:r>
      <w:r w:rsidR="00332DB4" w:rsidRPr="003E3375">
        <w:rPr>
          <w:rFonts w:asciiTheme="minorHAnsi" w:hAnsiTheme="minorHAnsi" w:cstheme="minorHAnsi"/>
          <w:color w:val="000000" w:themeColor="text1"/>
        </w:rPr>
        <w:t>pplications</w:t>
      </w:r>
      <w:r w:rsidR="00337D7C" w:rsidRPr="003E3375">
        <w:rPr>
          <w:rFonts w:asciiTheme="minorHAnsi" w:hAnsiTheme="minorHAnsi" w:cstheme="minorHAnsi"/>
          <w:color w:val="000000" w:themeColor="text1"/>
        </w:rPr>
        <w:t>,</w:t>
      </w:r>
      <w:r w:rsidR="00332DB4" w:rsidRPr="003E3375">
        <w:rPr>
          <w:rFonts w:asciiTheme="minorHAnsi" w:hAnsiTheme="minorHAnsi" w:cstheme="minorHAnsi"/>
          <w:color w:val="000000" w:themeColor="text1"/>
        </w:rPr>
        <w:t xml:space="preserve"> </w:t>
      </w:r>
      <w:r w:rsidR="00BC4E78" w:rsidRPr="003E3375">
        <w:rPr>
          <w:rFonts w:asciiTheme="minorHAnsi" w:hAnsiTheme="minorHAnsi" w:cstheme="minorHAnsi"/>
          <w:color w:val="000000" w:themeColor="text1"/>
        </w:rPr>
        <w:t>however,</w:t>
      </w:r>
      <w:r w:rsidR="00332DB4" w:rsidRPr="003E3375">
        <w:rPr>
          <w:rFonts w:asciiTheme="minorHAnsi" w:hAnsiTheme="minorHAnsi" w:cstheme="minorHAnsi"/>
          <w:color w:val="000000" w:themeColor="text1"/>
        </w:rPr>
        <w:t xml:space="preserve"> </w:t>
      </w:r>
      <w:r w:rsidR="00337D7C" w:rsidRPr="003E3375">
        <w:rPr>
          <w:rFonts w:asciiTheme="minorHAnsi" w:hAnsiTheme="minorHAnsi" w:cstheme="minorHAnsi"/>
          <w:color w:val="000000" w:themeColor="text1"/>
        </w:rPr>
        <w:t xml:space="preserve">it </w:t>
      </w:r>
      <w:r w:rsidR="00332DB4" w:rsidRPr="003E3375">
        <w:rPr>
          <w:rFonts w:asciiTheme="minorHAnsi" w:hAnsiTheme="minorHAnsi" w:cstheme="minorHAnsi"/>
          <w:color w:val="000000" w:themeColor="text1"/>
        </w:rPr>
        <w:t>failed to do so.</w:t>
      </w:r>
      <w:r w:rsidR="00332DB4" w:rsidRPr="003E3375">
        <w:rPr>
          <w:rStyle w:val="FootnoteReference"/>
          <w:rFonts w:asciiTheme="minorHAnsi" w:hAnsiTheme="minorHAnsi" w:cstheme="minorHAnsi"/>
          <w:color w:val="000000" w:themeColor="text1"/>
        </w:rPr>
        <w:footnoteReference w:id="36"/>
      </w:r>
    </w:p>
    <w:p w14:paraId="00856463" w14:textId="2B113E80" w:rsidR="00AA4B23" w:rsidRPr="003E3375" w:rsidRDefault="004275B3"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T</w:t>
      </w:r>
      <w:r w:rsidR="00966A3D" w:rsidRPr="003E3375">
        <w:rPr>
          <w:rFonts w:asciiTheme="minorHAnsi" w:hAnsiTheme="minorHAnsi" w:cstheme="minorHAnsi"/>
          <w:color w:val="000000" w:themeColor="text1"/>
        </w:rPr>
        <w:t xml:space="preserve">he </w:t>
      </w:r>
      <w:r w:rsidR="00337D7C" w:rsidRPr="003E3375">
        <w:rPr>
          <w:rFonts w:asciiTheme="minorHAnsi" w:hAnsiTheme="minorHAnsi" w:cstheme="minorHAnsi"/>
          <w:color w:val="000000" w:themeColor="text1"/>
        </w:rPr>
        <w:t>a</w:t>
      </w:r>
      <w:r w:rsidR="00966A3D" w:rsidRPr="003E3375">
        <w:rPr>
          <w:rFonts w:asciiTheme="minorHAnsi" w:hAnsiTheme="minorHAnsi" w:cstheme="minorHAnsi"/>
          <w:color w:val="000000" w:themeColor="text1"/>
        </w:rPr>
        <w:t xml:space="preserve">pplications did not contain actual evidence of </w:t>
      </w:r>
      <w:r w:rsidR="008853A4" w:rsidRPr="003E3375">
        <w:rPr>
          <w:rFonts w:asciiTheme="minorHAnsi" w:hAnsiTheme="minorHAnsi" w:cstheme="minorHAnsi"/>
          <w:color w:val="000000" w:themeColor="text1"/>
        </w:rPr>
        <w:t>the existence of domestic industry,</w:t>
      </w:r>
      <w:r w:rsidR="00447D9E" w:rsidRPr="003E3375">
        <w:rPr>
          <w:rFonts w:asciiTheme="minorHAnsi" w:hAnsiTheme="minorHAnsi" w:cstheme="minorHAnsi"/>
          <w:color w:val="000000" w:themeColor="text1"/>
        </w:rPr>
        <w:t xml:space="preserve"> </w:t>
      </w:r>
      <w:r w:rsidR="00BF2EE0" w:rsidRPr="003E3375">
        <w:rPr>
          <w:rFonts w:asciiTheme="minorHAnsi" w:hAnsiTheme="minorHAnsi" w:cstheme="minorHAnsi"/>
          <w:color w:val="000000" w:themeColor="text1"/>
        </w:rPr>
        <w:t xml:space="preserve">dumping </w:t>
      </w:r>
      <w:r w:rsidR="00F24E5E" w:rsidRPr="003E3375">
        <w:rPr>
          <w:rFonts w:asciiTheme="minorHAnsi" w:hAnsiTheme="minorHAnsi" w:cstheme="minorHAnsi"/>
          <w:color w:val="000000" w:themeColor="text1"/>
        </w:rPr>
        <w:t xml:space="preserve">(including any of the constituent elements of </w:t>
      </w:r>
      <w:r w:rsidR="00366C5C" w:rsidRPr="003E3375">
        <w:rPr>
          <w:rFonts w:asciiTheme="minorHAnsi" w:hAnsiTheme="minorHAnsi" w:cstheme="minorHAnsi"/>
          <w:color w:val="000000" w:themeColor="text1"/>
        </w:rPr>
        <w:t xml:space="preserve">normal value, export price, </w:t>
      </w:r>
      <w:r w:rsidR="00F24E5E" w:rsidRPr="003E3375">
        <w:rPr>
          <w:rFonts w:asciiTheme="minorHAnsi" w:hAnsiTheme="minorHAnsi" w:cstheme="minorHAnsi"/>
          <w:color w:val="000000" w:themeColor="text1"/>
        </w:rPr>
        <w:t xml:space="preserve">and </w:t>
      </w:r>
      <w:r w:rsidR="00366C5C" w:rsidRPr="003E3375">
        <w:rPr>
          <w:rFonts w:asciiTheme="minorHAnsi" w:hAnsiTheme="minorHAnsi" w:cstheme="minorHAnsi"/>
          <w:color w:val="000000" w:themeColor="text1"/>
        </w:rPr>
        <w:t>fair comparison</w:t>
      </w:r>
      <w:r w:rsidR="00F24E5E" w:rsidRPr="003E3375">
        <w:rPr>
          <w:rFonts w:asciiTheme="minorHAnsi" w:hAnsiTheme="minorHAnsi" w:cstheme="minorHAnsi"/>
          <w:color w:val="000000" w:themeColor="text1"/>
        </w:rPr>
        <w:t>)</w:t>
      </w:r>
      <w:r w:rsidR="00366C5C" w:rsidRPr="003E3375">
        <w:rPr>
          <w:rFonts w:asciiTheme="minorHAnsi" w:hAnsiTheme="minorHAnsi" w:cstheme="minorHAnsi"/>
          <w:color w:val="000000" w:themeColor="text1"/>
        </w:rPr>
        <w:t xml:space="preserve">, </w:t>
      </w:r>
      <w:r w:rsidR="00F24E5E" w:rsidRPr="003E3375">
        <w:rPr>
          <w:rFonts w:asciiTheme="minorHAnsi" w:hAnsiTheme="minorHAnsi" w:cstheme="minorHAnsi"/>
          <w:color w:val="000000" w:themeColor="text1"/>
        </w:rPr>
        <w:t>subsidisation</w:t>
      </w:r>
      <w:r w:rsidR="00245CA6" w:rsidRPr="003E3375">
        <w:rPr>
          <w:rFonts w:asciiTheme="minorHAnsi" w:hAnsiTheme="minorHAnsi" w:cstheme="minorHAnsi"/>
          <w:color w:val="000000" w:themeColor="text1"/>
        </w:rPr>
        <w:t xml:space="preserve"> (including any of the constituent elements of financial contribution, benefit</w:t>
      </w:r>
      <w:r w:rsidR="000577F3" w:rsidRPr="003E3375">
        <w:rPr>
          <w:rFonts w:asciiTheme="minorHAnsi" w:hAnsiTheme="minorHAnsi" w:cstheme="minorHAnsi"/>
          <w:color w:val="000000" w:themeColor="text1"/>
        </w:rPr>
        <w:t>,</w:t>
      </w:r>
      <w:r w:rsidR="00245CA6" w:rsidRPr="003E3375">
        <w:rPr>
          <w:rFonts w:asciiTheme="minorHAnsi" w:hAnsiTheme="minorHAnsi" w:cstheme="minorHAnsi"/>
          <w:color w:val="000000" w:themeColor="text1"/>
        </w:rPr>
        <w:t xml:space="preserve"> and specificity for each of the alleged programs)</w:t>
      </w:r>
      <w:r w:rsidR="00F24E5E" w:rsidRPr="003E3375">
        <w:rPr>
          <w:rFonts w:asciiTheme="minorHAnsi" w:hAnsiTheme="minorHAnsi" w:cstheme="minorHAnsi"/>
          <w:color w:val="000000" w:themeColor="text1"/>
        </w:rPr>
        <w:t xml:space="preserve">, </w:t>
      </w:r>
      <w:r w:rsidR="00366C5C" w:rsidRPr="003E3375">
        <w:rPr>
          <w:rFonts w:asciiTheme="minorHAnsi" w:hAnsiTheme="minorHAnsi" w:cstheme="minorHAnsi"/>
          <w:color w:val="000000" w:themeColor="text1"/>
        </w:rPr>
        <w:t>injury</w:t>
      </w:r>
      <w:r w:rsidR="00F6265D" w:rsidRPr="003E3375">
        <w:rPr>
          <w:rFonts w:asciiTheme="minorHAnsi" w:hAnsiTheme="minorHAnsi" w:cstheme="minorHAnsi"/>
          <w:color w:val="000000" w:themeColor="text1"/>
        </w:rPr>
        <w:t xml:space="preserve">, </w:t>
      </w:r>
      <w:r w:rsidR="00F24E5E" w:rsidRPr="003E3375">
        <w:rPr>
          <w:rFonts w:asciiTheme="minorHAnsi" w:hAnsiTheme="minorHAnsi" w:cstheme="minorHAnsi"/>
          <w:color w:val="000000" w:themeColor="text1"/>
        </w:rPr>
        <w:t xml:space="preserve">or </w:t>
      </w:r>
      <w:r w:rsidR="00F6265D" w:rsidRPr="003E3375">
        <w:rPr>
          <w:rFonts w:asciiTheme="minorHAnsi" w:hAnsiTheme="minorHAnsi" w:cstheme="minorHAnsi"/>
          <w:color w:val="000000" w:themeColor="text1"/>
        </w:rPr>
        <w:t>causation</w:t>
      </w:r>
      <w:r w:rsidR="00966A3D" w:rsidRPr="003E3375">
        <w:rPr>
          <w:rFonts w:asciiTheme="minorHAnsi" w:hAnsiTheme="minorHAnsi" w:cstheme="minorHAnsi"/>
          <w:color w:val="000000" w:themeColor="text1"/>
        </w:rPr>
        <w:t>.</w:t>
      </w:r>
      <w:r w:rsidR="000577F3" w:rsidRPr="003E3375">
        <w:rPr>
          <w:rStyle w:val="FootnoteReference"/>
          <w:rFonts w:cstheme="minorHAnsi"/>
          <w:color w:val="000000" w:themeColor="text1"/>
        </w:rPr>
        <w:footnoteReference w:id="37"/>
      </w:r>
      <w:r w:rsidR="00966A3D" w:rsidRPr="003E3375">
        <w:rPr>
          <w:rFonts w:asciiTheme="minorHAnsi" w:hAnsiTheme="minorHAnsi" w:cstheme="minorHAnsi"/>
          <w:color w:val="000000" w:themeColor="text1"/>
        </w:rPr>
        <w:t xml:space="preserve"> </w:t>
      </w:r>
    </w:p>
    <w:p w14:paraId="08180E6F" w14:textId="53CA1691" w:rsidR="00E81114" w:rsidRPr="003E3375" w:rsidRDefault="00EF7CAB">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With respect to dumping, </w:t>
      </w:r>
      <w:r w:rsidR="007719AA" w:rsidRPr="003E3375">
        <w:rPr>
          <w:rFonts w:asciiTheme="minorHAnsi" w:hAnsiTheme="minorHAnsi" w:cstheme="minorHAnsi"/>
          <w:color w:val="000000" w:themeColor="text1"/>
        </w:rPr>
        <w:t xml:space="preserve">the </w:t>
      </w:r>
      <w:r w:rsidR="001B6966" w:rsidRPr="003E3375">
        <w:rPr>
          <w:rFonts w:asciiTheme="minorHAnsi" w:hAnsiTheme="minorHAnsi" w:cstheme="minorHAnsi"/>
          <w:color w:val="000000" w:themeColor="text1"/>
        </w:rPr>
        <w:t>a</w:t>
      </w:r>
      <w:r w:rsidR="007719AA" w:rsidRPr="003E3375">
        <w:rPr>
          <w:rFonts w:asciiTheme="minorHAnsi" w:hAnsiTheme="minorHAnsi" w:cstheme="minorHAnsi"/>
          <w:color w:val="000000" w:themeColor="text1"/>
        </w:rPr>
        <w:t>pplications did include export price adjustments</w:t>
      </w:r>
      <w:r w:rsidR="00AA4B23" w:rsidRPr="003E3375">
        <w:rPr>
          <w:rFonts w:asciiTheme="minorHAnsi" w:hAnsiTheme="minorHAnsi" w:cstheme="minorHAnsi"/>
          <w:color w:val="000000" w:themeColor="text1"/>
        </w:rPr>
        <w:t>.</w:t>
      </w:r>
      <w:r w:rsidR="007719AA" w:rsidRPr="003E3375">
        <w:rPr>
          <w:rFonts w:asciiTheme="minorHAnsi" w:hAnsiTheme="minorHAnsi" w:cstheme="minorHAnsi"/>
          <w:color w:val="000000" w:themeColor="text1"/>
        </w:rPr>
        <w:t xml:space="preserve"> </w:t>
      </w:r>
      <w:r w:rsidR="00AA4B23" w:rsidRPr="003E3375">
        <w:rPr>
          <w:rFonts w:asciiTheme="minorHAnsi" w:hAnsiTheme="minorHAnsi" w:cstheme="minorHAnsi"/>
          <w:color w:val="000000" w:themeColor="text1"/>
        </w:rPr>
        <w:t>H</w:t>
      </w:r>
      <w:r w:rsidR="0041036E" w:rsidRPr="003E3375">
        <w:rPr>
          <w:rFonts w:asciiTheme="minorHAnsi" w:hAnsiTheme="minorHAnsi" w:cstheme="minorHAnsi"/>
          <w:color w:val="000000" w:themeColor="text1"/>
        </w:rPr>
        <w:t xml:space="preserve">owever, </w:t>
      </w:r>
      <w:r w:rsidR="007719AA" w:rsidRPr="003E3375">
        <w:rPr>
          <w:rFonts w:asciiTheme="minorHAnsi" w:hAnsiTheme="minorHAnsi" w:cstheme="minorHAnsi"/>
          <w:color w:val="000000" w:themeColor="text1"/>
        </w:rPr>
        <w:t xml:space="preserve">MOFCOM </w:t>
      </w:r>
      <w:r w:rsidRPr="003E3375">
        <w:rPr>
          <w:rFonts w:asciiTheme="minorHAnsi" w:hAnsiTheme="minorHAnsi" w:cstheme="minorHAnsi"/>
          <w:color w:val="000000" w:themeColor="text1"/>
        </w:rPr>
        <w:t xml:space="preserve">applied </w:t>
      </w:r>
      <w:r w:rsidR="007719AA" w:rsidRPr="003E3375">
        <w:rPr>
          <w:rFonts w:asciiTheme="minorHAnsi" w:hAnsiTheme="minorHAnsi" w:cstheme="minorHAnsi"/>
          <w:color w:val="000000" w:themeColor="text1"/>
        </w:rPr>
        <w:t>these adjustments without any explanation as to how they pertained to exports of barley from Australia to China.</w:t>
      </w:r>
      <w:r w:rsidR="007719AA" w:rsidRPr="003E3375">
        <w:rPr>
          <w:rStyle w:val="FootnoteReference"/>
          <w:rFonts w:asciiTheme="minorHAnsi" w:hAnsiTheme="minorHAnsi" w:cstheme="minorHAnsi"/>
          <w:color w:val="000000" w:themeColor="text1"/>
        </w:rPr>
        <w:footnoteReference w:id="38"/>
      </w:r>
      <w:r w:rsidR="007719AA" w:rsidRPr="003E3375">
        <w:rPr>
          <w:rFonts w:asciiTheme="minorHAnsi" w:hAnsiTheme="minorHAnsi" w:cstheme="minorHAnsi"/>
          <w:color w:val="000000" w:themeColor="text1"/>
        </w:rPr>
        <w:t xml:space="preserve"> </w:t>
      </w:r>
      <w:r w:rsidR="00AC668D" w:rsidRPr="003E3375">
        <w:rPr>
          <w:rFonts w:asciiTheme="minorHAnsi" w:hAnsiTheme="minorHAnsi" w:cstheme="minorHAnsi"/>
          <w:color w:val="000000" w:themeColor="text1"/>
        </w:rPr>
        <w:t xml:space="preserve">In </w:t>
      </w:r>
      <w:r w:rsidR="006655FC" w:rsidRPr="003E3375">
        <w:rPr>
          <w:rFonts w:asciiTheme="minorHAnsi" w:hAnsiTheme="minorHAnsi" w:cstheme="minorHAnsi"/>
          <w:color w:val="000000" w:themeColor="text1"/>
        </w:rPr>
        <w:t xml:space="preserve">relation to injury, </w:t>
      </w:r>
      <w:r w:rsidR="004B188A" w:rsidRPr="003E3375">
        <w:rPr>
          <w:rFonts w:asciiTheme="minorHAnsi" w:hAnsiTheme="minorHAnsi" w:cstheme="minorHAnsi"/>
          <w:color w:val="000000" w:themeColor="text1"/>
        </w:rPr>
        <w:t xml:space="preserve">Annex VII of each </w:t>
      </w:r>
      <w:r w:rsidR="0041036E" w:rsidRPr="003E3375">
        <w:rPr>
          <w:rFonts w:asciiTheme="minorHAnsi" w:hAnsiTheme="minorHAnsi" w:cstheme="minorHAnsi"/>
          <w:color w:val="000000" w:themeColor="text1"/>
        </w:rPr>
        <w:t>a</w:t>
      </w:r>
      <w:r w:rsidR="004B188A" w:rsidRPr="003E3375">
        <w:rPr>
          <w:rFonts w:asciiTheme="minorHAnsi" w:hAnsiTheme="minorHAnsi" w:cstheme="minorHAnsi"/>
          <w:color w:val="000000" w:themeColor="text1"/>
        </w:rPr>
        <w:t>pplication contained only general information in the form of broad averages</w:t>
      </w:r>
      <w:r w:rsidR="0041036E" w:rsidRPr="003E3375">
        <w:rPr>
          <w:rFonts w:asciiTheme="minorHAnsi" w:hAnsiTheme="minorHAnsi" w:cstheme="minorHAnsi"/>
          <w:color w:val="000000" w:themeColor="text1"/>
        </w:rPr>
        <w:t>,</w:t>
      </w:r>
      <w:r w:rsidR="004B188A" w:rsidRPr="003E3375">
        <w:rPr>
          <w:rFonts w:asciiTheme="minorHAnsi" w:hAnsiTheme="minorHAnsi" w:cstheme="minorHAnsi"/>
          <w:color w:val="000000" w:themeColor="text1"/>
        </w:rPr>
        <w:t xml:space="preserve"> derived from unknown data sets by an unidentified "</w:t>
      </w:r>
      <w:r w:rsidR="00AA1D56" w:rsidRPr="003E3375">
        <w:rPr>
          <w:rFonts w:asciiTheme="minorHAnsi" w:hAnsiTheme="minorHAnsi" w:cstheme="minorHAnsi"/>
          <w:color w:val="000000" w:themeColor="text1"/>
        </w:rPr>
        <w:t xml:space="preserve">authoritative third-party </w:t>
      </w:r>
      <w:r w:rsidR="002E74FA" w:rsidRPr="003E3375">
        <w:rPr>
          <w:rFonts w:asciiTheme="minorHAnsi" w:hAnsiTheme="minorHAnsi" w:cstheme="minorHAnsi"/>
          <w:color w:val="000000" w:themeColor="text1"/>
        </w:rPr>
        <w:t>institution</w:t>
      </w:r>
      <w:r w:rsidR="00AA1D56" w:rsidRPr="003E3375">
        <w:rPr>
          <w:rFonts w:asciiTheme="minorHAnsi" w:hAnsiTheme="minorHAnsi" w:cstheme="minorHAnsi"/>
          <w:color w:val="000000" w:themeColor="text1"/>
        </w:rPr>
        <w:t>"</w:t>
      </w:r>
      <w:r w:rsidR="00DF02FC" w:rsidRPr="003E3375">
        <w:rPr>
          <w:rFonts w:asciiTheme="minorHAnsi" w:hAnsiTheme="minorHAnsi" w:cstheme="minorHAnsi"/>
          <w:color w:val="000000" w:themeColor="text1"/>
        </w:rPr>
        <w:t>.</w:t>
      </w:r>
      <w:r w:rsidR="00DF02FC" w:rsidRPr="003E3375">
        <w:rPr>
          <w:rStyle w:val="FootnoteReference"/>
          <w:rFonts w:cstheme="minorHAnsi"/>
          <w:color w:val="000000" w:themeColor="text1"/>
        </w:rPr>
        <w:footnoteReference w:id="39"/>
      </w:r>
      <w:r w:rsidR="005D13AF" w:rsidRPr="003E3375">
        <w:rPr>
          <w:rFonts w:asciiTheme="minorHAnsi" w:hAnsiTheme="minorHAnsi" w:cstheme="minorHAnsi"/>
          <w:color w:val="000000" w:themeColor="text1"/>
        </w:rPr>
        <w:t xml:space="preserve"> </w:t>
      </w:r>
      <w:r w:rsidR="002E74FA" w:rsidRPr="003E3375">
        <w:rPr>
          <w:rFonts w:asciiTheme="minorHAnsi" w:hAnsiTheme="minorHAnsi" w:cstheme="minorHAnsi"/>
          <w:color w:val="000000" w:themeColor="text1"/>
        </w:rPr>
        <w:t>This information suffered from the same absence of any connection to actual domestic producers</w:t>
      </w:r>
      <w:r w:rsidR="003203E7" w:rsidRPr="003E3375">
        <w:rPr>
          <w:rFonts w:asciiTheme="minorHAnsi" w:hAnsiTheme="minorHAnsi" w:cstheme="minorHAnsi"/>
          <w:color w:val="000000" w:themeColor="text1"/>
        </w:rPr>
        <w:t xml:space="preserve"> that Australia</w:t>
      </w:r>
      <w:r w:rsidR="002E74FA" w:rsidRPr="003E3375">
        <w:rPr>
          <w:rFonts w:asciiTheme="minorHAnsi" w:hAnsiTheme="minorHAnsi" w:cstheme="minorHAnsi"/>
          <w:color w:val="000000" w:themeColor="text1"/>
        </w:rPr>
        <w:t xml:space="preserve"> </w:t>
      </w:r>
      <w:r w:rsidR="003203E7" w:rsidRPr="003E3375">
        <w:rPr>
          <w:rFonts w:asciiTheme="minorHAnsi" w:hAnsiTheme="minorHAnsi" w:cstheme="minorHAnsi"/>
          <w:color w:val="000000" w:themeColor="text1"/>
        </w:rPr>
        <w:t xml:space="preserve">has </w:t>
      </w:r>
      <w:r w:rsidR="002E74FA" w:rsidRPr="003E3375">
        <w:rPr>
          <w:rFonts w:asciiTheme="minorHAnsi" w:hAnsiTheme="minorHAnsi" w:cstheme="minorHAnsi"/>
          <w:color w:val="000000" w:themeColor="text1"/>
        </w:rPr>
        <w:t>outline</w:t>
      </w:r>
      <w:r w:rsidR="005D13AF" w:rsidRPr="003E3375">
        <w:rPr>
          <w:rFonts w:asciiTheme="minorHAnsi" w:hAnsiTheme="minorHAnsi" w:cstheme="minorHAnsi"/>
          <w:color w:val="000000" w:themeColor="text1"/>
        </w:rPr>
        <w:t>d</w:t>
      </w:r>
      <w:r w:rsidR="002E74FA" w:rsidRPr="003E3375">
        <w:rPr>
          <w:rFonts w:asciiTheme="minorHAnsi" w:hAnsiTheme="minorHAnsi" w:cstheme="minorHAnsi"/>
          <w:color w:val="000000" w:themeColor="text1"/>
        </w:rPr>
        <w:t xml:space="preserve"> above. Moreover, </w:t>
      </w:r>
      <w:r w:rsidR="002A05C4" w:rsidRPr="003E3375">
        <w:rPr>
          <w:rFonts w:asciiTheme="minorHAnsi" w:hAnsiTheme="minorHAnsi" w:cstheme="minorHAnsi"/>
          <w:color w:val="000000" w:themeColor="text1"/>
        </w:rPr>
        <w:t xml:space="preserve">in relation to the information provided by the </w:t>
      </w:r>
      <w:r w:rsidR="002A05C4" w:rsidRPr="003E3375">
        <w:rPr>
          <w:rFonts w:asciiTheme="minorHAnsi" w:hAnsiTheme="minorHAnsi" w:cstheme="minorHAnsi"/>
          <w:color w:val="000000" w:themeColor="text1"/>
        </w:rPr>
        <w:lastRenderedPageBreak/>
        <w:t xml:space="preserve">"authoritative third-party institution", CICC </w:t>
      </w:r>
      <w:r w:rsidR="002E74FA" w:rsidRPr="003E3375">
        <w:rPr>
          <w:rFonts w:asciiTheme="minorHAnsi" w:hAnsiTheme="minorHAnsi" w:cstheme="minorHAnsi"/>
          <w:color w:val="000000" w:themeColor="text1"/>
        </w:rPr>
        <w:t>provided no explanation</w:t>
      </w:r>
      <w:r w:rsidR="002A05C4" w:rsidRPr="003E3375">
        <w:rPr>
          <w:rFonts w:asciiTheme="minorHAnsi" w:hAnsiTheme="minorHAnsi" w:cstheme="minorHAnsi"/>
          <w:color w:val="000000" w:themeColor="text1"/>
        </w:rPr>
        <w:t xml:space="preserve"> of </w:t>
      </w:r>
      <w:r w:rsidR="002E74FA" w:rsidRPr="003E3375">
        <w:rPr>
          <w:rFonts w:asciiTheme="minorHAnsi" w:hAnsiTheme="minorHAnsi" w:cstheme="minorHAnsi"/>
          <w:color w:val="000000" w:themeColor="text1"/>
        </w:rPr>
        <w:t>the data sources</w:t>
      </w:r>
      <w:r w:rsidR="002A05C4" w:rsidRPr="003E3375">
        <w:rPr>
          <w:rFonts w:asciiTheme="minorHAnsi" w:hAnsiTheme="minorHAnsi" w:cstheme="minorHAnsi"/>
          <w:color w:val="000000" w:themeColor="text1"/>
        </w:rPr>
        <w:t>,</w:t>
      </w:r>
      <w:r w:rsidR="002E74FA" w:rsidRPr="003E3375">
        <w:rPr>
          <w:rFonts w:asciiTheme="minorHAnsi" w:hAnsiTheme="minorHAnsi" w:cstheme="minorHAnsi"/>
          <w:color w:val="000000" w:themeColor="text1"/>
        </w:rPr>
        <w:t xml:space="preserve"> </w:t>
      </w:r>
      <w:r w:rsidR="00235B9E" w:rsidRPr="003E3375">
        <w:rPr>
          <w:rFonts w:asciiTheme="minorHAnsi" w:hAnsiTheme="minorHAnsi" w:cstheme="minorHAnsi"/>
          <w:color w:val="000000" w:themeColor="text1"/>
        </w:rPr>
        <w:t>method</w:t>
      </w:r>
      <w:r w:rsidR="0045378E" w:rsidRPr="003E3375">
        <w:rPr>
          <w:rFonts w:asciiTheme="minorHAnsi" w:hAnsiTheme="minorHAnsi" w:cstheme="minorHAnsi"/>
          <w:color w:val="000000" w:themeColor="text1"/>
        </w:rPr>
        <w:t>s</w:t>
      </w:r>
      <w:r w:rsidR="00235B9E" w:rsidRPr="003E3375">
        <w:rPr>
          <w:rFonts w:asciiTheme="minorHAnsi" w:hAnsiTheme="minorHAnsi" w:cstheme="minorHAnsi"/>
          <w:color w:val="000000" w:themeColor="text1"/>
        </w:rPr>
        <w:t xml:space="preserve"> of data collection</w:t>
      </w:r>
      <w:r w:rsidR="002A05C4" w:rsidRPr="003E3375">
        <w:rPr>
          <w:rFonts w:asciiTheme="minorHAnsi" w:hAnsiTheme="minorHAnsi" w:cstheme="minorHAnsi"/>
          <w:color w:val="000000" w:themeColor="text1"/>
        </w:rPr>
        <w:t>, or methods of analysis.</w:t>
      </w:r>
      <w:r w:rsidR="00235B9E" w:rsidRPr="003E3375">
        <w:rPr>
          <w:rFonts w:asciiTheme="minorHAnsi" w:hAnsiTheme="minorHAnsi" w:cstheme="minorHAnsi"/>
          <w:color w:val="000000" w:themeColor="text1"/>
        </w:rPr>
        <w:t xml:space="preserve"> </w:t>
      </w:r>
    </w:p>
    <w:p w14:paraId="3DFAF50E" w14:textId="6AE6BB34" w:rsidR="00E01516" w:rsidRPr="003E3375" w:rsidRDefault="00D370DE"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In fact, t</w:t>
      </w:r>
      <w:r w:rsidR="004F43CB" w:rsidRPr="003E3375">
        <w:rPr>
          <w:rFonts w:asciiTheme="minorHAnsi" w:hAnsiTheme="minorHAnsi" w:cstheme="minorHAnsi"/>
          <w:color w:val="000000" w:themeColor="text1"/>
        </w:rPr>
        <w:t xml:space="preserve">he </w:t>
      </w:r>
      <w:r w:rsidR="002A05C4" w:rsidRPr="003E3375">
        <w:rPr>
          <w:rFonts w:asciiTheme="minorHAnsi" w:hAnsiTheme="minorHAnsi" w:cstheme="minorHAnsi"/>
          <w:color w:val="000000" w:themeColor="text1"/>
        </w:rPr>
        <w:t>a</w:t>
      </w:r>
      <w:r w:rsidR="004F43CB" w:rsidRPr="003E3375">
        <w:rPr>
          <w:rFonts w:asciiTheme="minorHAnsi" w:hAnsiTheme="minorHAnsi" w:cstheme="minorHAnsi"/>
          <w:color w:val="000000" w:themeColor="text1"/>
        </w:rPr>
        <w:t>pplications contained "simple assertion</w:t>
      </w:r>
      <w:r w:rsidR="00635F38" w:rsidRPr="003E3375">
        <w:rPr>
          <w:rFonts w:asciiTheme="minorHAnsi" w:hAnsiTheme="minorHAnsi" w:cstheme="minorHAnsi"/>
          <w:color w:val="000000" w:themeColor="text1"/>
        </w:rPr>
        <w:t>[s]</w:t>
      </w:r>
      <w:r w:rsidR="004F43CB" w:rsidRPr="003E3375">
        <w:rPr>
          <w:rFonts w:asciiTheme="minorHAnsi" w:hAnsiTheme="minorHAnsi" w:cstheme="minorHAnsi"/>
          <w:color w:val="000000" w:themeColor="text1"/>
        </w:rPr>
        <w:t xml:space="preserve">" that there was injury to the domestic industry, and that it was being caused by </w:t>
      </w:r>
      <w:r w:rsidR="00B536B4" w:rsidRPr="003E3375">
        <w:rPr>
          <w:rFonts w:asciiTheme="minorHAnsi" w:hAnsiTheme="minorHAnsi" w:cstheme="minorHAnsi"/>
          <w:color w:val="000000" w:themeColor="text1"/>
        </w:rPr>
        <w:t xml:space="preserve">the </w:t>
      </w:r>
      <w:r w:rsidR="004F43CB" w:rsidRPr="003E3375">
        <w:rPr>
          <w:rFonts w:asciiTheme="minorHAnsi" w:hAnsiTheme="minorHAnsi" w:cstheme="minorHAnsi"/>
          <w:color w:val="000000" w:themeColor="text1"/>
        </w:rPr>
        <w:t>alleged dumping and subsidisation</w:t>
      </w:r>
      <w:r w:rsidR="00B536B4" w:rsidRPr="003E3375">
        <w:rPr>
          <w:rFonts w:asciiTheme="minorHAnsi" w:hAnsiTheme="minorHAnsi" w:cstheme="minorHAnsi"/>
          <w:color w:val="000000" w:themeColor="text1"/>
        </w:rPr>
        <w:t xml:space="preserve"> of imported Australian barley</w:t>
      </w:r>
      <w:r w:rsidR="004F43CB" w:rsidRPr="003E3375">
        <w:rPr>
          <w:rFonts w:asciiTheme="minorHAnsi" w:hAnsiTheme="minorHAnsi" w:cstheme="minorHAnsi"/>
          <w:color w:val="000000" w:themeColor="text1"/>
        </w:rPr>
        <w:t xml:space="preserve">. </w:t>
      </w:r>
      <w:r w:rsidR="00F262BD" w:rsidRPr="003E3375">
        <w:rPr>
          <w:rFonts w:asciiTheme="minorHAnsi" w:hAnsiTheme="minorHAnsi" w:cstheme="minorHAnsi"/>
          <w:color w:val="000000" w:themeColor="text1"/>
        </w:rPr>
        <w:t>A</w:t>
      </w:r>
      <w:r w:rsidR="00966A3D" w:rsidRPr="003E3375">
        <w:rPr>
          <w:rFonts w:asciiTheme="minorHAnsi" w:hAnsiTheme="minorHAnsi" w:cstheme="minorHAnsi"/>
          <w:color w:val="000000" w:themeColor="text1"/>
        </w:rPr>
        <w:t>t no point did MOFCOM query</w:t>
      </w:r>
      <w:r w:rsidR="00F51465" w:rsidRPr="003E3375">
        <w:rPr>
          <w:rFonts w:asciiTheme="minorHAnsi" w:hAnsiTheme="minorHAnsi" w:cstheme="minorHAnsi"/>
          <w:color w:val="000000" w:themeColor="text1"/>
        </w:rPr>
        <w:t xml:space="preserve"> or corroborate</w:t>
      </w:r>
      <w:r w:rsidR="00966A3D" w:rsidRPr="003E3375">
        <w:rPr>
          <w:rFonts w:asciiTheme="minorHAnsi" w:hAnsiTheme="minorHAnsi" w:cstheme="minorHAnsi"/>
          <w:color w:val="000000" w:themeColor="text1"/>
        </w:rPr>
        <w:t xml:space="preserve"> </w:t>
      </w:r>
      <w:r w:rsidR="00B536B4" w:rsidRPr="003E3375">
        <w:rPr>
          <w:rFonts w:asciiTheme="minorHAnsi" w:hAnsiTheme="minorHAnsi" w:cstheme="minorHAnsi"/>
          <w:color w:val="000000" w:themeColor="text1"/>
        </w:rPr>
        <w:t xml:space="preserve">the sources, accuracy, or representativeness of the data on which </w:t>
      </w:r>
      <w:r w:rsidR="00966A3D" w:rsidRPr="003E3375">
        <w:rPr>
          <w:rFonts w:asciiTheme="minorHAnsi" w:hAnsiTheme="minorHAnsi" w:cstheme="minorHAnsi"/>
          <w:color w:val="000000" w:themeColor="text1"/>
        </w:rPr>
        <w:t>CICC</w:t>
      </w:r>
      <w:r w:rsidR="0084547B" w:rsidRPr="003E3375">
        <w:rPr>
          <w:rFonts w:asciiTheme="minorHAnsi" w:hAnsiTheme="minorHAnsi" w:cstheme="minorHAnsi"/>
          <w:color w:val="000000" w:themeColor="text1"/>
        </w:rPr>
        <w:t xml:space="preserve"> based its</w:t>
      </w:r>
      <w:r w:rsidR="00966A3D" w:rsidRPr="003E3375">
        <w:rPr>
          <w:rFonts w:asciiTheme="minorHAnsi" w:hAnsiTheme="minorHAnsi" w:cstheme="minorHAnsi"/>
          <w:color w:val="000000" w:themeColor="text1"/>
        </w:rPr>
        <w:t xml:space="preserve"> </w:t>
      </w:r>
      <w:r w:rsidR="00B536B4" w:rsidRPr="003E3375">
        <w:rPr>
          <w:rFonts w:asciiTheme="minorHAnsi" w:hAnsiTheme="minorHAnsi" w:cstheme="minorHAnsi"/>
          <w:color w:val="000000" w:themeColor="text1"/>
        </w:rPr>
        <w:t>assertions.</w:t>
      </w:r>
    </w:p>
    <w:p w14:paraId="558E5651" w14:textId="44973F88" w:rsidR="00966A3D" w:rsidRPr="003E3375" w:rsidRDefault="00B536B4"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For the</w:t>
      </w:r>
      <w:r w:rsidR="0084547B" w:rsidRPr="003E3375">
        <w:rPr>
          <w:rFonts w:asciiTheme="minorHAnsi" w:hAnsiTheme="minorHAnsi" w:cstheme="minorHAnsi"/>
          <w:color w:val="000000" w:themeColor="text1"/>
        </w:rPr>
        <w:t xml:space="preserve">se </w:t>
      </w:r>
      <w:r w:rsidRPr="003E3375">
        <w:rPr>
          <w:rFonts w:asciiTheme="minorHAnsi" w:hAnsiTheme="minorHAnsi" w:cstheme="minorHAnsi"/>
          <w:color w:val="000000" w:themeColor="text1"/>
        </w:rPr>
        <w:t>reasons</w:t>
      </w:r>
      <w:r w:rsidR="00966A3D" w:rsidRPr="003E3375">
        <w:rPr>
          <w:rFonts w:asciiTheme="minorHAnsi" w:hAnsiTheme="minorHAnsi" w:cstheme="minorHAnsi"/>
          <w:color w:val="000000" w:themeColor="text1"/>
        </w:rPr>
        <w:t>, China acted inconsistently with Articles 5.2</w:t>
      </w:r>
      <w:r w:rsidR="00E01516" w:rsidRPr="003E3375">
        <w:rPr>
          <w:rFonts w:asciiTheme="minorHAnsi" w:hAnsiTheme="minorHAnsi" w:cstheme="minorHAnsi"/>
          <w:color w:val="000000" w:themeColor="text1"/>
        </w:rPr>
        <w:t>, 5.3</w:t>
      </w:r>
      <w:r w:rsidR="00966A3D" w:rsidRPr="003E3375">
        <w:rPr>
          <w:rFonts w:asciiTheme="minorHAnsi" w:hAnsiTheme="minorHAnsi" w:cstheme="minorHAnsi"/>
          <w:color w:val="000000" w:themeColor="text1"/>
        </w:rPr>
        <w:t xml:space="preserve"> and 5.</w:t>
      </w:r>
      <w:r w:rsidR="00EB4960" w:rsidRPr="003E3375">
        <w:rPr>
          <w:rFonts w:asciiTheme="minorHAnsi" w:hAnsiTheme="minorHAnsi" w:cstheme="minorHAnsi"/>
          <w:color w:val="000000" w:themeColor="text1"/>
        </w:rPr>
        <w:t>8</w:t>
      </w:r>
      <w:r w:rsidR="00966A3D" w:rsidRPr="003E3375">
        <w:rPr>
          <w:rFonts w:asciiTheme="minorHAnsi" w:hAnsiTheme="minorHAnsi" w:cstheme="minorHAnsi"/>
          <w:color w:val="000000" w:themeColor="text1"/>
        </w:rPr>
        <w:t xml:space="preserve"> of the Anti</w:t>
      </w:r>
      <w:r w:rsidR="00711852" w:rsidRPr="003E3375">
        <w:rPr>
          <w:rFonts w:asciiTheme="minorHAnsi" w:hAnsiTheme="minorHAnsi" w:cstheme="minorHAnsi"/>
          <w:color w:val="000000" w:themeColor="text1"/>
        </w:rPr>
        <w:noBreakHyphen/>
      </w:r>
      <w:r w:rsidR="00966A3D" w:rsidRPr="003E3375">
        <w:rPr>
          <w:rFonts w:asciiTheme="minorHAnsi" w:hAnsiTheme="minorHAnsi" w:cstheme="minorHAnsi"/>
          <w:color w:val="000000" w:themeColor="text1"/>
        </w:rPr>
        <w:t>Dumping Agreement and Articles 11.2</w:t>
      </w:r>
      <w:r w:rsidR="00EB4960" w:rsidRPr="003E3375">
        <w:rPr>
          <w:rFonts w:asciiTheme="minorHAnsi" w:hAnsiTheme="minorHAnsi" w:cstheme="minorHAnsi"/>
          <w:color w:val="000000" w:themeColor="text1"/>
        </w:rPr>
        <w:t>, 11.3</w:t>
      </w:r>
      <w:r w:rsidR="00966A3D" w:rsidRPr="003E3375">
        <w:rPr>
          <w:rFonts w:asciiTheme="minorHAnsi" w:hAnsiTheme="minorHAnsi" w:cstheme="minorHAnsi"/>
          <w:color w:val="000000" w:themeColor="text1"/>
        </w:rPr>
        <w:t xml:space="preserve"> and 11.</w:t>
      </w:r>
      <w:r w:rsidR="00EB4960" w:rsidRPr="003E3375">
        <w:rPr>
          <w:rFonts w:asciiTheme="minorHAnsi" w:hAnsiTheme="minorHAnsi" w:cstheme="minorHAnsi"/>
          <w:color w:val="000000" w:themeColor="text1"/>
        </w:rPr>
        <w:t>9</w:t>
      </w:r>
      <w:r w:rsidR="00966A3D" w:rsidRPr="003E3375">
        <w:rPr>
          <w:rFonts w:asciiTheme="minorHAnsi" w:hAnsiTheme="minorHAnsi" w:cstheme="minorHAnsi"/>
          <w:color w:val="000000" w:themeColor="text1"/>
        </w:rPr>
        <w:t xml:space="preserve"> of the SCM</w:t>
      </w:r>
      <w:r w:rsidR="003A367D" w:rsidRPr="003E3375">
        <w:rPr>
          <w:rFonts w:asciiTheme="minorHAnsi" w:hAnsiTheme="minorHAnsi" w:cstheme="minorHAnsi"/>
          <w:color w:val="000000" w:themeColor="text1"/>
        </w:rPr>
        <w:t> </w:t>
      </w:r>
      <w:r w:rsidR="00966A3D" w:rsidRPr="003E3375">
        <w:rPr>
          <w:rFonts w:asciiTheme="minorHAnsi" w:hAnsiTheme="minorHAnsi" w:cstheme="minorHAnsi"/>
          <w:color w:val="000000" w:themeColor="text1"/>
        </w:rPr>
        <w:t>Agreement.</w:t>
      </w:r>
    </w:p>
    <w:p w14:paraId="35344158" w14:textId="3055CA77" w:rsidR="00705714" w:rsidRPr="003E3375" w:rsidRDefault="007E4185" w:rsidP="00E72E98">
      <w:pPr>
        <w:pStyle w:val="HL1HeadingLevel1"/>
        <w:spacing w:line="276" w:lineRule="auto"/>
        <w:rPr>
          <w:rFonts w:asciiTheme="minorHAnsi" w:hAnsiTheme="minorHAnsi" w:cstheme="minorHAnsi"/>
          <w:color w:val="000000" w:themeColor="text1"/>
        </w:rPr>
      </w:pPr>
      <w:bookmarkStart w:id="12" w:name="_Toc114492223"/>
      <w:r w:rsidRPr="003E3375">
        <w:rPr>
          <w:rFonts w:asciiTheme="minorHAnsi" w:hAnsiTheme="minorHAnsi" w:cstheme="minorHAnsi"/>
          <w:color w:val="000000" w:themeColor="text1"/>
        </w:rPr>
        <w:t>D</w:t>
      </w:r>
      <w:r w:rsidR="00503D6E" w:rsidRPr="003E3375">
        <w:rPr>
          <w:rFonts w:asciiTheme="minorHAnsi" w:hAnsiTheme="minorHAnsi" w:cstheme="minorHAnsi"/>
          <w:color w:val="000000" w:themeColor="text1"/>
        </w:rPr>
        <w:t>umping determination</w:t>
      </w:r>
      <w:bookmarkEnd w:id="12"/>
    </w:p>
    <w:p w14:paraId="7CB955A0" w14:textId="5C485A88" w:rsidR="00191641" w:rsidRPr="003E3375" w:rsidRDefault="00A500E5"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The </w:t>
      </w:r>
      <w:r w:rsidR="00191641" w:rsidRPr="003E3375">
        <w:rPr>
          <w:rFonts w:asciiTheme="minorHAnsi" w:hAnsiTheme="minorHAnsi" w:cstheme="minorHAnsi"/>
          <w:color w:val="000000" w:themeColor="text1"/>
        </w:rPr>
        <w:t>anti-dumping measures are inconsistent with China's WTO obligations under Articles 2.4, 2.4.2, 6.8, 6.10, and paragraphs 1, 3, 5, 6, and 7 of Annex II of the Anti-Dumping Agreement.</w:t>
      </w:r>
    </w:p>
    <w:p w14:paraId="6D16E105" w14:textId="03F7F97C" w:rsidR="00191641" w:rsidRPr="003E3375" w:rsidRDefault="00191641" w:rsidP="00E72E98">
      <w:pPr>
        <w:pStyle w:val="HL2HeadingLevel2"/>
        <w:spacing w:line="276" w:lineRule="auto"/>
        <w:rPr>
          <w:rFonts w:asciiTheme="minorHAnsi" w:hAnsiTheme="minorHAnsi" w:cstheme="minorHAnsi"/>
          <w:color w:val="000000" w:themeColor="text1"/>
        </w:rPr>
      </w:pPr>
      <w:bookmarkStart w:id="13" w:name="_Toc114492224"/>
      <w:r w:rsidRPr="003E3375">
        <w:rPr>
          <w:rFonts w:asciiTheme="minorHAnsi" w:hAnsiTheme="minorHAnsi" w:cstheme="minorHAnsi"/>
          <w:color w:val="000000" w:themeColor="text1"/>
        </w:rPr>
        <w:t>Improper recourse to</w:t>
      </w:r>
      <w:r w:rsidR="00942F17" w:rsidRPr="003E3375">
        <w:rPr>
          <w:rFonts w:asciiTheme="minorHAnsi" w:hAnsiTheme="minorHAnsi" w:cstheme="minorHAnsi"/>
          <w:color w:val="000000" w:themeColor="text1"/>
        </w:rPr>
        <w:t>, and selection of,</w:t>
      </w:r>
      <w:r w:rsidRPr="003E3375">
        <w:rPr>
          <w:rFonts w:asciiTheme="minorHAnsi" w:hAnsiTheme="minorHAnsi" w:cstheme="minorHAnsi"/>
          <w:color w:val="000000" w:themeColor="text1"/>
        </w:rPr>
        <w:t xml:space="preserve"> facts available</w:t>
      </w:r>
      <w:bookmarkEnd w:id="13"/>
    </w:p>
    <w:p w14:paraId="21C36D70" w14:textId="2DB98771"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Pursuant to Article 6.8 of the Anti-Dumping Agreement, an investigating authority may only resort to the facts available mechanism where interested parties refuse access to, or otherwise </w:t>
      </w:r>
      <w:r w:rsidR="00523F38" w:rsidRPr="003E3375">
        <w:rPr>
          <w:rFonts w:asciiTheme="minorHAnsi" w:hAnsiTheme="minorHAnsi" w:cstheme="minorHAnsi"/>
          <w:color w:val="000000" w:themeColor="text1"/>
        </w:rPr>
        <w:t xml:space="preserve">do </w:t>
      </w:r>
      <w:r w:rsidRPr="003E3375">
        <w:rPr>
          <w:rFonts w:asciiTheme="minorHAnsi" w:hAnsiTheme="minorHAnsi" w:cstheme="minorHAnsi"/>
          <w:color w:val="000000" w:themeColor="text1"/>
        </w:rPr>
        <w:t>not provide, information necessary for an anti-dumping assessment. Where parties have acted to the best of their abilities to provide necessary information</w:t>
      </w:r>
      <w:r w:rsidR="00A04C07"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the authority must take it into account, even if it is not ideal</w:t>
      </w:r>
      <w:r w:rsidR="003A367D" w:rsidRPr="003E3375">
        <w:rPr>
          <w:rFonts w:asciiTheme="minorHAnsi" w:hAnsiTheme="minorHAnsi" w:cstheme="minorHAnsi"/>
          <w:color w:val="000000" w:themeColor="text1"/>
        </w:rPr>
        <w:t xml:space="preserve"> in all respects</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40"/>
      </w:r>
      <w:r w:rsidRPr="003E3375">
        <w:rPr>
          <w:rFonts w:asciiTheme="minorHAnsi" w:hAnsiTheme="minorHAnsi" w:cstheme="minorHAnsi"/>
          <w:color w:val="000000" w:themeColor="text1"/>
        </w:rPr>
        <w:t xml:space="preserve"> </w:t>
      </w:r>
    </w:p>
    <w:p w14:paraId="614A1576" w14:textId="296BE2E0"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In th</w:t>
      </w:r>
      <w:r w:rsidR="00251140" w:rsidRPr="003E3375">
        <w:rPr>
          <w:rFonts w:asciiTheme="minorHAnsi" w:hAnsiTheme="minorHAnsi" w:cstheme="minorHAnsi"/>
          <w:color w:val="000000" w:themeColor="text1"/>
        </w:rPr>
        <w:t>e anti-dumping</w:t>
      </w:r>
      <w:r w:rsidRPr="003E3375">
        <w:rPr>
          <w:rFonts w:asciiTheme="minorHAnsi" w:hAnsiTheme="minorHAnsi" w:cstheme="minorHAnsi"/>
          <w:color w:val="000000" w:themeColor="text1"/>
        </w:rPr>
        <w:t xml:space="preserve"> investigation, interested parties provided all </w:t>
      </w:r>
      <w:r w:rsidR="008F1322" w:rsidRPr="003E3375">
        <w:rPr>
          <w:rFonts w:asciiTheme="minorHAnsi" w:hAnsiTheme="minorHAnsi" w:cstheme="minorHAnsi"/>
          <w:color w:val="000000" w:themeColor="text1"/>
        </w:rPr>
        <w:t xml:space="preserve">of the "necessary </w:t>
      </w:r>
      <w:r w:rsidRPr="003E3375">
        <w:rPr>
          <w:rFonts w:asciiTheme="minorHAnsi" w:hAnsiTheme="minorHAnsi" w:cstheme="minorHAnsi"/>
          <w:color w:val="000000" w:themeColor="text1"/>
        </w:rPr>
        <w:t>information</w:t>
      </w:r>
      <w:r w:rsidR="008F1322" w:rsidRPr="003E3375">
        <w:rPr>
          <w:rFonts w:asciiTheme="minorHAnsi" w:hAnsiTheme="minorHAnsi" w:cstheme="minorHAnsi"/>
          <w:color w:val="000000" w:themeColor="text1"/>
        </w:rPr>
        <w:t>"</w:t>
      </w:r>
      <w:r w:rsidR="0000606F" w:rsidRPr="003E3375">
        <w:rPr>
          <w:rFonts w:asciiTheme="minorHAnsi" w:hAnsiTheme="minorHAnsi" w:cstheme="minorHAnsi"/>
          <w:color w:val="000000" w:themeColor="text1"/>
        </w:rPr>
        <w:t>,</w:t>
      </w:r>
      <w:r w:rsidR="008F1322" w:rsidRPr="003E3375">
        <w:rPr>
          <w:rFonts w:asciiTheme="minorHAnsi" w:hAnsiTheme="minorHAnsi" w:cstheme="minorHAnsi"/>
          <w:color w:val="000000" w:themeColor="text1"/>
        </w:rPr>
        <w:t xml:space="preserve"> within the meaning of Article 6.8</w:t>
      </w:r>
      <w:r w:rsidR="0000606F" w:rsidRPr="003E3375">
        <w:rPr>
          <w:rFonts w:asciiTheme="minorHAnsi" w:hAnsiTheme="minorHAnsi" w:cstheme="minorHAnsi"/>
          <w:color w:val="000000" w:themeColor="text1"/>
        </w:rPr>
        <w:t>,</w:t>
      </w:r>
      <w:r w:rsidR="008F1322" w:rsidRPr="003E3375">
        <w:rPr>
          <w:rFonts w:asciiTheme="minorHAnsi" w:hAnsiTheme="minorHAnsi" w:cstheme="minorHAnsi"/>
          <w:color w:val="000000" w:themeColor="text1"/>
        </w:rPr>
        <w:t xml:space="preserve"> that MOFCOM required </w:t>
      </w:r>
      <w:r w:rsidR="00912AD6" w:rsidRPr="003E3375">
        <w:rPr>
          <w:rFonts w:asciiTheme="minorHAnsi" w:hAnsiTheme="minorHAnsi" w:cstheme="minorHAnsi"/>
          <w:color w:val="000000" w:themeColor="text1"/>
        </w:rPr>
        <w:t xml:space="preserve">in order </w:t>
      </w:r>
      <w:r w:rsidR="008F1322" w:rsidRPr="003E3375">
        <w:rPr>
          <w:rFonts w:asciiTheme="minorHAnsi" w:hAnsiTheme="minorHAnsi" w:cstheme="minorHAnsi"/>
          <w:color w:val="000000" w:themeColor="text1"/>
        </w:rPr>
        <w:t xml:space="preserve">to </w:t>
      </w:r>
      <w:r w:rsidRPr="003E3375">
        <w:rPr>
          <w:rFonts w:asciiTheme="minorHAnsi" w:hAnsiTheme="minorHAnsi" w:cstheme="minorHAnsi"/>
          <w:color w:val="000000" w:themeColor="text1"/>
        </w:rPr>
        <w:t>determine dumping margins</w:t>
      </w:r>
      <w:r w:rsidR="001C39D1" w:rsidRPr="003E3375">
        <w:rPr>
          <w:rFonts w:asciiTheme="minorHAnsi" w:hAnsiTheme="minorHAnsi" w:cstheme="minorHAnsi"/>
          <w:color w:val="000000" w:themeColor="text1"/>
        </w:rPr>
        <w:t xml:space="preserve"> pursuant to Article 2</w:t>
      </w:r>
      <w:r w:rsidR="00912AD6" w:rsidRPr="003E3375">
        <w:rPr>
          <w:rFonts w:asciiTheme="minorHAnsi" w:hAnsiTheme="minorHAnsi" w:cstheme="minorHAnsi"/>
          <w:color w:val="000000" w:themeColor="text1"/>
        </w:rPr>
        <w:t xml:space="preserve"> of the Anti-Dumping Agreement</w:t>
      </w:r>
      <w:r w:rsidR="001C39D1"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w:t>
      </w:r>
      <w:r w:rsidR="001C39D1" w:rsidRPr="003E3375">
        <w:rPr>
          <w:rFonts w:asciiTheme="minorHAnsi" w:hAnsiTheme="minorHAnsi" w:cstheme="minorHAnsi"/>
          <w:color w:val="000000" w:themeColor="text1"/>
        </w:rPr>
        <w:t xml:space="preserve">Notwithstanding the provision of this information by the interested parties, </w:t>
      </w:r>
      <w:r w:rsidRPr="003E3375">
        <w:rPr>
          <w:rFonts w:asciiTheme="minorHAnsi" w:hAnsiTheme="minorHAnsi" w:cstheme="minorHAnsi"/>
          <w:color w:val="000000" w:themeColor="text1"/>
        </w:rPr>
        <w:t>MOFCOM resorted to facts available and dismissed all information. MOFCOM was not permitted to do so</w:t>
      </w:r>
      <w:r w:rsidR="00BF2C94" w:rsidRPr="003E3375">
        <w:rPr>
          <w:rFonts w:asciiTheme="minorHAnsi" w:hAnsiTheme="minorHAnsi" w:cstheme="minorHAnsi"/>
          <w:color w:val="000000" w:themeColor="text1"/>
        </w:rPr>
        <w:t xml:space="preserve"> under Article 6.8</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41"/>
      </w:r>
    </w:p>
    <w:p w14:paraId="72263D69" w14:textId="39308221"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MOFCOM's flawed approach to the use of facts available began with its inexplicable decision to focus its dumping analysis </w:t>
      </w:r>
      <w:r w:rsidR="000F46A9" w:rsidRPr="003E3375">
        <w:rPr>
          <w:rFonts w:asciiTheme="minorHAnsi" w:hAnsiTheme="minorHAnsi" w:cstheme="minorHAnsi"/>
          <w:color w:val="000000" w:themeColor="text1"/>
        </w:rPr>
        <w:t xml:space="preserve">on Australian barley </w:t>
      </w:r>
      <w:r w:rsidRPr="003E3375">
        <w:rPr>
          <w:rFonts w:asciiTheme="minorHAnsi" w:hAnsiTheme="minorHAnsi" w:cstheme="minorHAnsi"/>
          <w:color w:val="000000" w:themeColor="text1"/>
        </w:rPr>
        <w:t>producers</w:t>
      </w:r>
      <w:r w:rsidR="00934360" w:rsidRPr="003E3375">
        <w:rPr>
          <w:rFonts w:asciiTheme="minorHAnsi" w:hAnsiTheme="minorHAnsi" w:cstheme="minorHAnsi"/>
          <w:color w:val="000000" w:themeColor="text1"/>
        </w:rPr>
        <w:t xml:space="preserve"> to the exclusion of </w:t>
      </w:r>
      <w:r w:rsidR="000F46A9" w:rsidRPr="003E3375">
        <w:rPr>
          <w:rFonts w:asciiTheme="minorHAnsi" w:hAnsiTheme="minorHAnsi" w:cstheme="minorHAnsi"/>
          <w:color w:val="000000" w:themeColor="text1"/>
        </w:rPr>
        <w:t xml:space="preserve">barley </w:t>
      </w:r>
      <w:r w:rsidR="00934360" w:rsidRPr="003E3375">
        <w:rPr>
          <w:rFonts w:asciiTheme="minorHAnsi" w:hAnsiTheme="minorHAnsi" w:cstheme="minorHAnsi"/>
          <w:color w:val="000000" w:themeColor="text1"/>
        </w:rPr>
        <w:t>traders</w:t>
      </w:r>
      <w:r w:rsidRPr="003E3375">
        <w:rPr>
          <w:rFonts w:asciiTheme="minorHAnsi" w:hAnsiTheme="minorHAnsi" w:cstheme="minorHAnsi"/>
          <w:color w:val="000000" w:themeColor="text1"/>
        </w:rPr>
        <w:t xml:space="preserve">, despite clear evidence that barley </w:t>
      </w:r>
      <w:r w:rsidR="000F46A9" w:rsidRPr="003E3375">
        <w:rPr>
          <w:rFonts w:asciiTheme="minorHAnsi" w:hAnsiTheme="minorHAnsi" w:cstheme="minorHAnsi"/>
          <w:color w:val="000000" w:themeColor="text1"/>
        </w:rPr>
        <w:t xml:space="preserve">from Australia </w:t>
      </w:r>
      <w:r w:rsidRPr="003E3375">
        <w:rPr>
          <w:rFonts w:asciiTheme="minorHAnsi" w:hAnsiTheme="minorHAnsi" w:cstheme="minorHAnsi"/>
          <w:color w:val="000000" w:themeColor="text1"/>
        </w:rPr>
        <w:t>is exclusively exported by traders</w:t>
      </w:r>
      <w:r w:rsidR="000F46A9" w:rsidRPr="003E3375">
        <w:rPr>
          <w:rFonts w:asciiTheme="minorHAnsi" w:hAnsiTheme="minorHAnsi" w:cstheme="minorHAnsi"/>
          <w:color w:val="000000" w:themeColor="text1"/>
        </w:rPr>
        <w:t xml:space="preserve"> and not producers</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42"/>
      </w:r>
      <w:r w:rsidRPr="003E3375">
        <w:rPr>
          <w:rFonts w:asciiTheme="minorHAnsi" w:hAnsiTheme="minorHAnsi" w:cstheme="minorHAnsi"/>
          <w:color w:val="000000" w:themeColor="text1"/>
        </w:rPr>
        <w:t xml:space="preserve"> This</w:t>
      </w:r>
      <w:r w:rsidR="00A33F9C" w:rsidRPr="003E3375">
        <w:rPr>
          <w:rFonts w:asciiTheme="minorHAnsi" w:hAnsiTheme="minorHAnsi" w:cstheme="minorHAnsi"/>
          <w:color w:val="000000" w:themeColor="text1"/>
        </w:rPr>
        <w:t xml:space="preserve"> approach</w:t>
      </w:r>
      <w:r w:rsidRPr="003E3375">
        <w:rPr>
          <w:rFonts w:asciiTheme="minorHAnsi" w:hAnsiTheme="minorHAnsi" w:cstheme="minorHAnsi"/>
          <w:color w:val="000000" w:themeColor="text1"/>
        </w:rPr>
        <w:t xml:space="preserve"> paved the way for MOFCOM's incorrect determination that there was "necessary information" missing from the record.</w:t>
      </w:r>
    </w:p>
    <w:p w14:paraId="1239D5C1" w14:textId="14FCEEFA" w:rsidR="00BC6B23"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w:t>
      </w:r>
      <w:r w:rsidR="00F07B17" w:rsidRPr="003E3375">
        <w:rPr>
          <w:rFonts w:asciiTheme="minorHAnsi" w:hAnsiTheme="minorHAnsi" w:cstheme="minorHAnsi"/>
          <w:color w:val="000000" w:themeColor="text1"/>
        </w:rPr>
        <w:t>N</w:t>
      </w:r>
      <w:r w:rsidRPr="003E3375">
        <w:rPr>
          <w:rFonts w:asciiTheme="minorHAnsi" w:hAnsiTheme="minorHAnsi" w:cstheme="minorHAnsi"/>
          <w:color w:val="000000" w:themeColor="text1"/>
        </w:rPr>
        <w:t xml:space="preserve">ecessary information" </w:t>
      </w:r>
      <w:r w:rsidR="00C346CC" w:rsidRPr="003E3375">
        <w:rPr>
          <w:rFonts w:asciiTheme="minorHAnsi" w:hAnsiTheme="minorHAnsi" w:cstheme="minorHAnsi"/>
          <w:color w:val="000000" w:themeColor="text1"/>
        </w:rPr>
        <w:t xml:space="preserve">is </w:t>
      </w:r>
      <w:r w:rsidRPr="003E3375">
        <w:rPr>
          <w:rFonts w:asciiTheme="minorHAnsi" w:hAnsiTheme="minorHAnsi" w:cstheme="minorHAnsi"/>
          <w:color w:val="000000" w:themeColor="text1"/>
        </w:rPr>
        <w:t xml:space="preserve">limited to that which is "essential" to an investigation and </w:t>
      </w:r>
      <w:r w:rsidR="00865039" w:rsidRPr="003E3375">
        <w:rPr>
          <w:rFonts w:asciiTheme="minorHAnsi" w:hAnsiTheme="minorHAnsi" w:cstheme="minorHAnsi"/>
          <w:color w:val="000000" w:themeColor="text1"/>
        </w:rPr>
        <w:t>is</w:t>
      </w:r>
      <w:r w:rsidRPr="003E3375">
        <w:rPr>
          <w:rFonts w:asciiTheme="minorHAnsi" w:hAnsiTheme="minorHAnsi" w:cstheme="minorHAnsi"/>
          <w:color w:val="000000" w:themeColor="text1"/>
        </w:rPr>
        <w:t xml:space="preserve"> in the interested party's possession.</w:t>
      </w:r>
      <w:r w:rsidRPr="003E3375">
        <w:rPr>
          <w:rStyle w:val="FootnoteReference"/>
          <w:rFonts w:asciiTheme="minorHAnsi" w:hAnsiTheme="minorHAnsi" w:cstheme="minorHAnsi"/>
          <w:color w:val="000000" w:themeColor="text1"/>
        </w:rPr>
        <w:footnoteReference w:id="43"/>
      </w:r>
      <w:r w:rsidRPr="003E3375">
        <w:rPr>
          <w:rFonts w:asciiTheme="minorHAnsi" w:hAnsiTheme="minorHAnsi" w:cstheme="minorHAnsi"/>
          <w:color w:val="000000" w:themeColor="text1"/>
        </w:rPr>
        <w:t xml:space="preserve"> While an investigating authority maintains some </w:t>
      </w:r>
      <w:r w:rsidRPr="003E3375">
        <w:rPr>
          <w:rFonts w:asciiTheme="minorHAnsi" w:hAnsiTheme="minorHAnsi" w:cstheme="minorHAnsi"/>
          <w:color w:val="000000" w:themeColor="text1"/>
        </w:rPr>
        <w:lastRenderedPageBreak/>
        <w:t xml:space="preserve">discretion to determine what </w:t>
      </w:r>
      <w:r w:rsidR="00A33F9C" w:rsidRPr="003E3375">
        <w:rPr>
          <w:rFonts w:asciiTheme="minorHAnsi" w:hAnsiTheme="minorHAnsi" w:cstheme="minorHAnsi"/>
          <w:color w:val="000000" w:themeColor="text1"/>
        </w:rPr>
        <w:t xml:space="preserve">information </w:t>
      </w:r>
      <w:r w:rsidRPr="003E3375">
        <w:rPr>
          <w:rFonts w:asciiTheme="minorHAnsi" w:hAnsiTheme="minorHAnsi" w:cstheme="minorHAnsi"/>
          <w:color w:val="000000" w:themeColor="text1"/>
        </w:rPr>
        <w:t>is "essential" in the investigation, merely requesting information does not render it "necessary".</w:t>
      </w:r>
      <w:r w:rsidRPr="003E3375">
        <w:rPr>
          <w:rStyle w:val="FootnoteReference"/>
          <w:rFonts w:asciiTheme="minorHAnsi" w:hAnsiTheme="minorHAnsi" w:cstheme="minorHAnsi"/>
          <w:color w:val="000000" w:themeColor="text1"/>
        </w:rPr>
        <w:footnoteReference w:id="44"/>
      </w:r>
      <w:r w:rsidRPr="003E3375">
        <w:rPr>
          <w:rFonts w:asciiTheme="minorHAnsi" w:hAnsiTheme="minorHAnsi" w:cstheme="minorHAnsi"/>
          <w:color w:val="000000" w:themeColor="text1"/>
        </w:rPr>
        <w:t xml:space="preserve"> </w:t>
      </w:r>
    </w:p>
    <w:p w14:paraId="13F7B64F" w14:textId="6E89D77E" w:rsidR="00191641" w:rsidRPr="003E3375" w:rsidRDefault="00191641" w:rsidP="008D4BFC">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In the circumstances of this investigation, Australia and China agree that it was "essential" to ascertain the normal value and export price under Article 2 of the Anti-Dumping Agreement</w:t>
      </w:r>
      <w:r w:rsidR="00BC6B23" w:rsidRPr="003E3375">
        <w:rPr>
          <w:rFonts w:asciiTheme="minorHAnsi" w:hAnsiTheme="minorHAnsi" w:cstheme="minorHAnsi"/>
          <w:color w:val="000000" w:themeColor="text1"/>
        </w:rPr>
        <w:t>. The parties</w:t>
      </w:r>
      <w:r w:rsidRPr="003E3375">
        <w:rPr>
          <w:rFonts w:asciiTheme="minorHAnsi" w:hAnsiTheme="minorHAnsi" w:cstheme="minorHAnsi"/>
          <w:color w:val="000000" w:themeColor="text1"/>
        </w:rPr>
        <w:t xml:space="preserve"> diverge on the information MOFCOM required to make these determinations. </w:t>
      </w:r>
      <w:r w:rsidR="006D17F6" w:rsidRPr="003E3375">
        <w:rPr>
          <w:rFonts w:asciiTheme="minorHAnsi" w:hAnsiTheme="minorHAnsi" w:cstheme="minorHAnsi"/>
          <w:color w:val="000000" w:themeColor="text1"/>
        </w:rPr>
        <w:t>In particular</w:t>
      </w:r>
      <w:r w:rsidR="002A44C0" w:rsidRPr="003E3375">
        <w:rPr>
          <w:rFonts w:asciiTheme="minorHAnsi" w:hAnsiTheme="minorHAnsi" w:cstheme="minorHAnsi"/>
          <w:color w:val="000000" w:themeColor="text1"/>
        </w:rPr>
        <w:t>,</w:t>
      </w:r>
      <w:r w:rsidR="005D17A9" w:rsidRPr="003E3375">
        <w:rPr>
          <w:rFonts w:asciiTheme="minorHAnsi" w:hAnsiTheme="minorHAnsi" w:cstheme="minorHAnsi"/>
          <w:color w:val="000000" w:themeColor="text1"/>
        </w:rPr>
        <w:t xml:space="preserve"> and</w:t>
      </w:r>
      <w:r w:rsidR="006D17F6" w:rsidRPr="003E3375">
        <w:rPr>
          <w:rFonts w:asciiTheme="minorHAnsi" w:hAnsiTheme="minorHAnsi" w:cstheme="minorHAnsi"/>
          <w:color w:val="000000" w:themeColor="text1"/>
        </w:rPr>
        <w:t xml:space="preserve"> contrary to </w:t>
      </w:r>
      <w:r w:rsidRPr="003E3375">
        <w:rPr>
          <w:rFonts w:asciiTheme="minorHAnsi" w:hAnsiTheme="minorHAnsi" w:cstheme="minorHAnsi"/>
          <w:color w:val="000000" w:themeColor="text1"/>
        </w:rPr>
        <w:t>China</w:t>
      </w:r>
      <w:r w:rsidR="001F0167" w:rsidRPr="003E3375">
        <w:rPr>
          <w:rFonts w:asciiTheme="minorHAnsi" w:hAnsiTheme="minorHAnsi" w:cstheme="minorHAnsi"/>
          <w:color w:val="000000" w:themeColor="text1"/>
        </w:rPr>
        <w:t>'</w:t>
      </w:r>
      <w:r w:rsidR="006D17F6"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 xml:space="preserve"> argu</w:t>
      </w:r>
      <w:r w:rsidR="006D17F6" w:rsidRPr="003E3375">
        <w:rPr>
          <w:rFonts w:asciiTheme="minorHAnsi" w:hAnsiTheme="minorHAnsi" w:cstheme="minorHAnsi"/>
          <w:color w:val="000000" w:themeColor="text1"/>
        </w:rPr>
        <w:t>ment</w:t>
      </w:r>
      <w:r w:rsidR="00EF6A01" w:rsidRPr="003E3375">
        <w:rPr>
          <w:rFonts w:asciiTheme="minorHAnsi" w:hAnsiTheme="minorHAnsi" w:cstheme="minorHAnsi"/>
          <w:color w:val="000000" w:themeColor="text1"/>
        </w:rPr>
        <w:t xml:space="preserve">, </w:t>
      </w:r>
      <w:r w:rsidR="006D17F6" w:rsidRPr="003E3375">
        <w:rPr>
          <w:rFonts w:asciiTheme="minorHAnsi" w:hAnsiTheme="minorHAnsi" w:cstheme="minorHAnsi"/>
          <w:color w:val="000000" w:themeColor="text1"/>
        </w:rPr>
        <w:t>information from Australian producers</w:t>
      </w:r>
      <w:r w:rsidR="00304B5E" w:rsidRPr="003E3375">
        <w:rPr>
          <w:rFonts w:asciiTheme="minorHAnsi" w:hAnsiTheme="minorHAnsi" w:cstheme="minorHAnsi"/>
          <w:color w:val="000000" w:themeColor="text1"/>
        </w:rPr>
        <w:t xml:space="preserve"> –</w:t>
      </w:r>
      <w:r w:rsidR="003679F5" w:rsidRPr="003E3375">
        <w:rPr>
          <w:rFonts w:asciiTheme="minorHAnsi" w:hAnsiTheme="minorHAnsi" w:cstheme="minorHAnsi"/>
          <w:color w:val="000000" w:themeColor="text1"/>
        </w:rPr>
        <w:t xml:space="preserve"> </w:t>
      </w:r>
      <w:r w:rsidR="005D17A9" w:rsidRPr="003E3375">
        <w:rPr>
          <w:rFonts w:asciiTheme="minorHAnsi" w:hAnsiTheme="minorHAnsi" w:cstheme="minorHAnsi"/>
          <w:color w:val="000000" w:themeColor="text1"/>
        </w:rPr>
        <w:t>which</w:t>
      </w:r>
      <w:r w:rsidR="00304B5E" w:rsidRPr="003E3375">
        <w:rPr>
          <w:rFonts w:asciiTheme="minorHAnsi" w:hAnsiTheme="minorHAnsi" w:cstheme="minorHAnsi"/>
          <w:color w:val="000000" w:themeColor="text1"/>
        </w:rPr>
        <w:t xml:space="preserve"> </w:t>
      </w:r>
      <w:r w:rsidR="003679F5" w:rsidRPr="003E3375">
        <w:rPr>
          <w:rFonts w:asciiTheme="minorHAnsi" w:hAnsiTheme="minorHAnsi" w:cstheme="minorHAnsi"/>
          <w:color w:val="000000" w:themeColor="text1"/>
        </w:rPr>
        <w:t>do not export</w:t>
      </w:r>
      <w:r w:rsidR="00304B5E" w:rsidRPr="003E3375">
        <w:rPr>
          <w:rFonts w:asciiTheme="minorHAnsi" w:hAnsiTheme="minorHAnsi" w:cstheme="minorHAnsi"/>
          <w:color w:val="000000" w:themeColor="text1"/>
        </w:rPr>
        <w:t xml:space="preserve"> –</w:t>
      </w:r>
      <w:r w:rsidR="006D17F6" w:rsidRPr="003E3375">
        <w:rPr>
          <w:rFonts w:asciiTheme="minorHAnsi" w:hAnsiTheme="minorHAnsi" w:cstheme="minorHAnsi"/>
          <w:color w:val="000000" w:themeColor="text1"/>
        </w:rPr>
        <w:t xml:space="preserve"> concerning</w:t>
      </w:r>
      <w:r w:rsidRPr="003E3375">
        <w:rPr>
          <w:rFonts w:asciiTheme="minorHAnsi" w:hAnsiTheme="minorHAnsi" w:cstheme="minorHAnsi"/>
          <w:color w:val="000000" w:themeColor="text1"/>
        </w:rPr>
        <w:t xml:space="preserve"> "the entire trading process" from field to final use</w:t>
      </w:r>
      <w:r w:rsidR="00E93A62"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including export data</w:t>
      </w:r>
      <w:r w:rsidR="00E93A62" w:rsidRPr="003E3375">
        <w:rPr>
          <w:rFonts w:asciiTheme="minorHAnsi" w:hAnsiTheme="minorHAnsi" w:cstheme="minorHAnsi"/>
          <w:color w:val="000000" w:themeColor="text1"/>
        </w:rPr>
        <w:t>,</w:t>
      </w:r>
      <w:r w:rsidR="00304B5E" w:rsidRPr="003E3375">
        <w:rPr>
          <w:rFonts w:asciiTheme="minorHAnsi" w:hAnsiTheme="minorHAnsi" w:cstheme="minorHAnsi"/>
          <w:color w:val="000000" w:themeColor="text1"/>
        </w:rPr>
        <w:t xml:space="preserve"> </w:t>
      </w:r>
      <w:r w:rsidR="003679F5" w:rsidRPr="003E3375">
        <w:rPr>
          <w:rFonts w:asciiTheme="minorHAnsi" w:hAnsiTheme="minorHAnsi" w:cstheme="minorHAnsi"/>
          <w:color w:val="000000" w:themeColor="text1"/>
        </w:rPr>
        <w:t>was not "necessary information"</w:t>
      </w:r>
      <w:r w:rsidRPr="003E3375">
        <w:rPr>
          <w:rFonts w:asciiTheme="minorHAnsi" w:hAnsiTheme="minorHAnsi" w:cstheme="minorHAnsi"/>
          <w:color w:val="000000" w:themeColor="text1"/>
        </w:rPr>
        <w:t>.</w:t>
      </w:r>
      <w:r w:rsidRPr="003E3375">
        <w:rPr>
          <w:rStyle w:val="FootnoteReference"/>
          <w:rFonts w:asciiTheme="minorHAnsi" w:eastAsia="Arial" w:hAnsiTheme="minorHAnsi" w:cstheme="minorHAnsi"/>
          <w:color w:val="000000" w:themeColor="text1"/>
        </w:rPr>
        <w:footnoteReference w:id="45"/>
      </w:r>
      <w:r w:rsidRPr="003E3375">
        <w:rPr>
          <w:rFonts w:asciiTheme="minorHAnsi" w:hAnsiTheme="minorHAnsi" w:cstheme="minorHAnsi"/>
          <w:color w:val="000000" w:themeColor="text1"/>
        </w:rPr>
        <w:t xml:space="preserve"> </w:t>
      </w:r>
      <w:r w:rsidR="002B2AF0" w:rsidRPr="003E3375">
        <w:rPr>
          <w:rFonts w:asciiTheme="minorHAnsi" w:hAnsiTheme="minorHAnsi" w:cstheme="minorHAnsi"/>
          <w:color w:val="000000" w:themeColor="text1"/>
        </w:rPr>
        <w:t xml:space="preserve">Likewise, </w:t>
      </w:r>
      <w:r w:rsidRPr="003E3375">
        <w:rPr>
          <w:rFonts w:asciiTheme="minorHAnsi" w:hAnsiTheme="minorHAnsi" w:cstheme="minorHAnsi"/>
          <w:color w:val="000000" w:themeColor="text1"/>
        </w:rPr>
        <w:t xml:space="preserve">MOFCOM </w:t>
      </w:r>
      <w:r w:rsidR="002B2AF0" w:rsidRPr="003E3375">
        <w:rPr>
          <w:rFonts w:asciiTheme="minorHAnsi" w:hAnsiTheme="minorHAnsi" w:cstheme="minorHAnsi"/>
          <w:color w:val="000000" w:themeColor="text1"/>
        </w:rPr>
        <w:t xml:space="preserve">did not </w:t>
      </w:r>
      <w:r w:rsidRPr="003E3375">
        <w:rPr>
          <w:rFonts w:asciiTheme="minorHAnsi" w:hAnsiTheme="minorHAnsi" w:cstheme="minorHAnsi"/>
          <w:color w:val="000000" w:themeColor="text1"/>
        </w:rPr>
        <w:t>require information demonstrating</w:t>
      </w:r>
      <w:r w:rsidR="0067184D" w:rsidRPr="003E3375">
        <w:rPr>
          <w:rFonts w:asciiTheme="minorHAnsi" w:hAnsiTheme="minorHAnsi" w:cstheme="minorHAnsi"/>
          <w:color w:val="000000" w:themeColor="text1"/>
        </w:rPr>
        <w:t xml:space="preserve"> that</w:t>
      </w:r>
      <w:r w:rsidRPr="003E3375">
        <w:rPr>
          <w:rFonts w:asciiTheme="minorHAnsi" w:hAnsiTheme="minorHAnsi" w:cstheme="minorHAnsi"/>
          <w:color w:val="000000" w:themeColor="text1"/>
        </w:rPr>
        <w:t xml:space="preserve"> sales were "destined for consumption" in Australia under Article</w:t>
      </w:r>
      <w:r w:rsidR="00BC058D"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2.1</w:t>
      </w:r>
      <w:r w:rsidR="00BC0E67" w:rsidRPr="003E3375">
        <w:rPr>
          <w:rFonts w:asciiTheme="minorHAnsi" w:hAnsiTheme="minorHAnsi" w:cstheme="minorHAnsi"/>
          <w:color w:val="000000" w:themeColor="text1"/>
        </w:rPr>
        <w:t>, contrary to China'</w:t>
      </w:r>
      <w:r w:rsidR="000270C1" w:rsidRPr="003E3375">
        <w:rPr>
          <w:rFonts w:asciiTheme="minorHAnsi" w:hAnsiTheme="minorHAnsi" w:cstheme="minorHAnsi"/>
          <w:color w:val="000000" w:themeColor="text1"/>
        </w:rPr>
        <w:t xml:space="preserve">s </w:t>
      </w:r>
      <w:r w:rsidR="000270C1" w:rsidRPr="003E3375">
        <w:rPr>
          <w:rFonts w:asciiTheme="minorHAnsi" w:hAnsiTheme="minorHAnsi" w:cstheme="minorHAnsi"/>
          <w:i/>
          <w:iCs/>
          <w:color w:val="000000" w:themeColor="text1"/>
        </w:rPr>
        <w:t>ex post facto</w:t>
      </w:r>
      <w:r w:rsidR="000270C1" w:rsidRPr="003E3375">
        <w:rPr>
          <w:rFonts w:asciiTheme="minorHAnsi" w:hAnsiTheme="minorHAnsi" w:cstheme="minorHAnsi"/>
          <w:color w:val="000000" w:themeColor="text1"/>
        </w:rPr>
        <w:t xml:space="preserve"> arguments</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46"/>
      </w:r>
      <w:r w:rsidRPr="003E3375">
        <w:rPr>
          <w:rFonts w:asciiTheme="minorHAnsi" w:hAnsiTheme="minorHAnsi" w:cstheme="minorHAnsi"/>
          <w:color w:val="000000" w:themeColor="text1"/>
        </w:rPr>
        <w:t xml:space="preserve"> </w:t>
      </w:r>
      <w:r w:rsidR="00164B43" w:rsidRPr="003E3375">
        <w:rPr>
          <w:rFonts w:asciiTheme="minorHAnsi" w:hAnsiTheme="minorHAnsi" w:cstheme="minorHAnsi"/>
          <w:color w:val="000000" w:themeColor="text1"/>
        </w:rPr>
        <w:t xml:space="preserve">In this light, </w:t>
      </w:r>
      <w:r w:rsidRPr="003E3375">
        <w:rPr>
          <w:rFonts w:asciiTheme="minorHAnsi" w:hAnsiTheme="minorHAnsi" w:cstheme="minorHAnsi"/>
          <w:color w:val="000000" w:themeColor="text1"/>
        </w:rPr>
        <w:t>MOFCOM</w:t>
      </w:r>
      <w:r w:rsidR="00547B2B" w:rsidRPr="003E3375">
        <w:rPr>
          <w:rFonts w:asciiTheme="minorHAnsi" w:hAnsiTheme="minorHAnsi" w:cstheme="minorHAnsi"/>
          <w:color w:val="000000" w:themeColor="text1"/>
        </w:rPr>
        <w:t>'</w:t>
      </w:r>
      <w:r w:rsidR="002B2AF0" w:rsidRPr="003E3375">
        <w:rPr>
          <w:rFonts w:asciiTheme="minorHAnsi" w:hAnsiTheme="minorHAnsi" w:cstheme="minorHAnsi"/>
          <w:color w:val="000000" w:themeColor="text1"/>
        </w:rPr>
        <w:t>s</w:t>
      </w:r>
      <w:r w:rsidR="00547B2B" w:rsidRPr="003E3375">
        <w:rPr>
          <w:rFonts w:asciiTheme="minorHAnsi" w:hAnsiTheme="minorHAnsi" w:cstheme="minorHAnsi"/>
          <w:color w:val="000000" w:themeColor="text1"/>
        </w:rPr>
        <w:t xml:space="preserve"> decision</w:t>
      </w:r>
      <w:r w:rsidRPr="003E3375">
        <w:rPr>
          <w:rFonts w:asciiTheme="minorHAnsi" w:hAnsiTheme="minorHAnsi" w:cstheme="minorHAnsi"/>
          <w:color w:val="000000" w:themeColor="text1"/>
        </w:rPr>
        <w:t xml:space="preserve"> to reject </w:t>
      </w:r>
      <w:r w:rsidRPr="003E3375">
        <w:rPr>
          <w:rFonts w:asciiTheme="minorHAnsi" w:hAnsiTheme="minorHAnsi" w:cstheme="minorHAnsi"/>
          <w:i/>
          <w:iCs/>
          <w:color w:val="000000" w:themeColor="text1"/>
        </w:rPr>
        <w:t>all</w:t>
      </w:r>
      <w:r w:rsidRPr="003E3375">
        <w:rPr>
          <w:rFonts w:asciiTheme="minorHAnsi" w:hAnsiTheme="minorHAnsi" w:cstheme="minorHAnsi"/>
          <w:color w:val="000000" w:themeColor="text1"/>
        </w:rPr>
        <w:t xml:space="preserve"> interested parties' information without any further explanation</w:t>
      </w:r>
      <w:r w:rsidR="00547B2B" w:rsidRPr="003E3375">
        <w:rPr>
          <w:rFonts w:asciiTheme="minorHAnsi" w:hAnsiTheme="minorHAnsi" w:cstheme="minorHAnsi"/>
          <w:color w:val="000000" w:themeColor="text1"/>
        </w:rPr>
        <w:t xml:space="preserve"> was inconsistent with Article 6.8 of the Anti-Dumping Agreement</w:t>
      </w:r>
      <w:r w:rsidRPr="003E3375">
        <w:rPr>
          <w:rFonts w:asciiTheme="minorHAnsi" w:hAnsiTheme="minorHAnsi" w:cstheme="minorHAnsi"/>
          <w:color w:val="000000" w:themeColor="text1"/>
        </w:rPr>
        <w:t>.</w:t>
      </w:r>
    </w:p>
    <w:p w14:paraId="2119B956" w14:textId="1F5B3B19" w:rsidR="00191641" w:rsidRPr="003E3375" w:rsidRDefault="00C760F2"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N</w:t>
      </w:r>
      <w:r w:rsidR="00191641" w:rsidRPr="003E3375">
        <w:rPr>
          <w:rFonts w:asciiTheme="minorHAnsi" w:hAnsiTheme="minorHAnsi" w:cstheme="minorHAnsi"/>
          <w:color w:val="000000" w:themeColor="text1"/>
        </w:rPr>
        <w:t xml:space="preserve">either piece of information </w:t>
      </w:r>
      <w:r w:rsidR="00DC5996" w:rsidRPr="003E3375">
        <w:rPr>
          <w:rFonts w:asciiTheme="minorHAnsi" w:hAnsiTheme="minorHAnsi" w:cstheme="minorHAnsi"/>
          <w:color w:val="000000" w:themeColor="text1"/>
        </w:rPr>
        <w:t>was</w:t>
      </w:r>
      <w:r w:rsidR="00191641" w:rsidRPr="003E3375">
        <w:rPr>
          <w:rFonts w:asciiTheme="minorHAnsi" w:hAnsiTheme="minorHAnsi" w:cstheme="minorHAnsi"/>
          <w:color w:val="000000" w:themeColor="text1"/>
        </w:rPr>
        <w:t xml:space="preserve"> "</w:t>
      </w:r>
      <w:r w:rsidR="00DC5996" w:rsidRPr="003E3375">
        <w:rPr>
          <w:rFonts w:asciiTheme="minorHAnsi" w:hAnsiTheme="minorHAnsi" w:cstheme="minorHAnsi"/>
          <w:color w:val="000000" w:themeColor="text1"/>
        </w:rPr>
        <w:t>necessary</w:t>
      </w:r>
      <w:r w:rsidR="00191641" w:rsidRPr="003E3375">
        <w:rPr>
          <w:rFonts w:asciiTheme="minorHAnsi" w:hAnsiTheme="minorHAnsi" w:cstheme="minorHAnsi"/>
          <w:color w:val="000000" w:themeColor="text1"/>
        </w:rPr>
        <w:t>"</w:t>
      </w:r>
      <w:r w:rsidR="00887746" w:rsidRPr="003E3375">
        <w:rPr>
          <w:rFonts w:asciiTheme="minorHAnsi" w:hAnsiTheme="minorHAnsi" w:cstheme="minorHAnsi"/>
          <w:color w:val="000000" w:themeColor="text1"/>
        </w:rPr>
        <w:t xml:space="preserve"> to determine normal value and export price pursuant to Article</w:t>
      </w:r>
      <w:r w:rsidR="00410907" w:rsidRPr="003E3375">
        <w:rPr>
          <w:rFonts w:asciiTheme="minorHAnsi" w:hAnsiTheme="minorHAnsi" w:cstheme="minorHAnsi"/>
          <w:color w:val="000000" w:themeColor="text1"/>
        </w:rPr>
        <w:t> </w:t>
      </w:r>
      <w:r w:rsidR="00887746" w:rsidRPr="003E3375">
        <w:rPr>
          <w:rFonts w:asciiTheme="minorHAnsi" w:hAnsiTheme="minorHAnsi" w:cstheme="minorHAnsi"/>
          <w:color w:val="000000" w:themeColor="text1"/>
        </w:rPr>
        <w:t xml:space="preserve">2, </w:t>
      </w:r>
      <w:r w:rsidR="003B0FCE" w:rsidRPr="003E3375">
        <w:rPr>
          <w:rFonts w:asciiTheme="minorHAnsi" w:hAnsiTheme="minorHAnsi" w:cstheme="minorHAnsi"/>
          <w:color w:val="000000" w:themeColor="text1"/>
        </w:rPr>
        <w:t>considering</w:t>
      </w:r>
      <w:r w:rsidR="00887746" w:rsidRPr="003E3375">
        <w:rPr>
          <w:rFonts w:asciiTheme="minorHAnsi" w:hAnsiTheme="minorHAnsi" w:cstheme="minorHAnsi"/>
          <w:color w:val="000000" w:themeColor="text1"/>
        </w:rPr>
        <w:t xml:space="preserve"> the </w:t>
      </w:r>
      <w:r w:rsidRPr="003E3375">
        <w:rPr>
          <w:rFonts w:asciiTheme="minorHAnsi" w:hAnsiTheme="minorHAnsi" w:cstheme="minorHAnsi"/>
          <w:color w:val="000000" w:themeColor="text1"/>
        </w:rPr>
        <w:t>information</w:t>
      </w:r>
      <w:r w:rsidR="003B0FCE" w:rsidRPr="003E3375">
        <w:rPr>
          <w:rFonts w:asciiTheme="minorHAnsi" w:hAnsiTheme="minorHAnsi" w:cstheme="minorHAnsi"/>
          <w:color w:val="000000" w:themeColor="text1"/>
        </w:rPr>
        <w:t xml:space="preserve"> that</w:t>
      </w:r>
      <w:r w:rsidRPr="003E3375">
        <w:rPr>
          <w:rFonts w:asciiTheme="minorHAnsi" w:hAnsiTheme="minorHAnsi" w:cstheme="minorHAnsi"/>
          <w:color w:val="000000" w:themeColor="text1"/>
        </w:rPr>
        <w:t xml:space="preserve"> interested parties in fact provided</w:t>
      </w:r>
      <w:r w:rsidR="00191641" w:rsidRPr="003E3375">
        <w:rPr>
          <w:rFonts w:asciiTheme="minorHAnsi" w:hAnsiTheme="minorHAnsi" w:cstheme="minorHAnsi"/>
          <w:color w:val="000000" w:themeColor="text1"/>
        </w:rPr>
        <w:t>.</w:t>
      </w:r>
      <w:r w:rsidR="00191641" w:rsidRPr="003E3375">
        <w:rPr>
          <w:rStyle w:val="FootnoteReference"/>
          <w:rFonts w:asciiTheme="minorHAnsi" w:hAnsiTheme="minorHAnsi" w:cstheme="minorHAnsi"/>
          <w:color w:val="000000" w:themeColor="text1"/>
        </w:rPr>
        <w:footnoteReference w:id="47"/>
      </w:r>
      <w:r w:rsidR="006A156C" w:rsidRPr="003E3375">
        <w:rPr>
          <w:rFonts w:asciiTheme="minorHAnsi" w:hAnsiTheme="minorHAnsi" w:cstheme="minorHAnsi"/>
          <w:color w:val="000000" w:themeColor="text1"/>
        </w:rPr>
        <w:t xml:space="preserve"> </w:t>
      </w:r>
      <w:r w:rsidR="00777D1F" w:rsidRPr="003E3375">
        <w:rPr>
          <w:rFonts w:asciiTheme="minorHAnsi" w:hAnsiTheme="minorHAnsi" w:cstheme="minorHAnsi"/>
          <w:color w:val="000000" w:themeColor="text1"/>
        </w:rPr>
        <w:t>MOFCOM failed to take into account that</w:t>
      </w:r>
      <w:r w:rsidR="003B0FCE" w:rsidRPr="003E3375">
        <w:rPr>
          <w:rFonts w:asciiTheme="minorHAnsi" w:hAnsiTheme="minorHAnsi" w:cstheme="minorHAnsi"/>
          <w:color w:val="000000" w:themeColor="text1"/>
        </w:rPr>
        <w:t>,</w:t>
      </w:r>
      <w:r w:rsidR="00777D1F" w:rsidRPr="003E3375">
        <w:rPr>
          <w:rFonts w:asciiTheme="minorHAnsi" w:hAnsiTheme="minorHAnsi" w:cstheme="minorHAnsi"/>
          <w:color w:val="000000" w:themeColor="text1"/>
        </w:rPr>
        <w:t xml:space="preserve"> in the Australian barley market, </w:t>
      </w:r>
      <w:r w:rsidR="00777D1F" w:rsidRPr="003E3375">
        <w:rPr>
          <w:color w:val="000000" w:themeColor="text1"/>
          <w:lang w:val="en-CA"/>
        </w:rPr>
        <w:t xml:space="preserve">grain from numerous producers is co-mingled </w:t>
      </w:r>
      <w:r w:rsidR="007F4B5A" w:rsidRPr="003E3375">
        <w:rPr>
          <w:color w:val="000000" w:themeColor="text1"/>
          <w:lang w:val="en-CA"/>
        </w:rPr>
        <w:t xml:space="preserve">in common storage in shared silos and warehouses, where it is </w:t>
      </w:r>
      <w:r w:rsidR="00777D1F" w:rsidRPr="003E3375">
        <w:rPr>
          <w:color w:val="000000" w:themeColor="text1"/>
          <w:lang w:val="en-CA"/>
        </w:rPr>
        <w:t xml:space="preserve">sorted </w:t>
      </w:r>
      <w:r w:rsidR="007F4B5A" w:rsidRPr="003E3375">
        <w:rPr>
          <w:color w:val="000000" w:themeColor="text1"/>
          <w:lang w:val="en-CA"/>
        </w:rPr>
        <w:t xml:space="preserve">and separated in accordance with </w:t>
      </w:r>
      <w:r w:rsidR="00777D1F" w:rsidRPr="003E3375">
        <w:rPr>
          <w:color w:val="000000" w:themeColor="text1"/>
          <w:lang w:val="en-CA"/>
        </w:rPr>
        <w:t>industry-wide quality</w:t>
      </w:r>
      <w:r w:rsidR="003B0FCE" w:rsidRPr="003E3375">
        <w:rPr>
          <w:color w:val="000000" w:themeColor="text1"/>
          <w:lang w:val="en-CA"/>
        </w:rPr>
        <w:t xml:space="preserve"> standards</w:t>
      </w:r>
      <w:r w:rsidR="00777D1F" w:rsidRPr="003E3375">
        <w:rPr>
          <w:color w:val="000000" w:themeColor="text1"/>
          <w:lang w:val="en-CA"/>
        </w:rPr>
        <w:t>.</w:t>
      </w:r>
      <w:r w:rsidR="00777D1F" w:rsidRPr="003E3375">
        <w:rPr>
          <w:rStyle w:val="FootnoteReference"/>
          <w:rFonts w:asciiTheme="minorHAnsi" w:hAnsiTheme="minorHAnsi" w:cstheme="minorHAnsi"/>
          <w:color w:val="000000" w:themeColor="text1"/>
          <w:lang w:val="en-CA"/>
        </w:rPr>
        <w:footnoteReference w:id="48"/>
      </w:r>
      <w:r w:rsidR="00777D1F" w:rsidRPr="003E3375">
        <w:rPr>
          <w:color w:val="000000" w:themeColor="text1"/>
          <w:lang w:val="en-CA"/>
        </w:rPr>
        <w:t xml:space="preserve"> Traders purchase an allocation of co-mingled stocks at arm's-length, above</w:t>
      </w:r>
      <w:r w:rsidR="007C1021" w:rsidRPr="003E3375">
        <w:rPr>
          <w:color w:val="000000" w:themeColor="text1"/>
          <w:lang w:val="en-CA"/>
        </w:rPr>
        <w:noBreakHyphen/>
      </w:r>
      <w:r w:rsidR="00777D1F" w:rsidRPr="003E3375">
        <w:rPr>
          <w:color w:val="000000" w:themeColor="text1"/>
          <w:lang w:val="en-CA"/>
        </w:rPr>
        <w:t>cost, and market-based prices to sell either domestically or internationally.</w:t>
      </w:r>
      <w:r w:rsidR="00777D1F" w:rsidRPr="003E3375">
        <w:rPr>
          <w:rStyle w:val="FootnoteReference"/>
          <w:rFonts w:asciiTheme="minorHAnsi" w:hAnsiTheme="minorHAnsi" w:cstheme="minorHAnsi"/>
          <w:color w:val="000000" w:themeColor="text1"/>
          <w:lang w:val="en-CA"/>
        </w:rPr>
        <w:footnoteReference w:id="49"/>
      </w:r>
      <w:r w:rsidR="00777D1F" w:rsidRPr="003E3375">
        <w:rPr>
          <w:color w:val="000000" w:themeColor="text1"/>
          <w:lang w:val="en-CA"/>
        </w:rPr>
        <w:t xml:space="preserve"> As a result of this process, the trader cannot trace specific grains back to </w:t>
      </w:r>
      <w:r w:rsidR="00F72EE6" w:rsidRPr="003E3375">
        <w:rPr>
          <w:color w:val="000000" w:themeColor="text1"/>
          <w:lang w:val="en-CA"/>
        </w:rPr>
        <w:t xml:space="preserve">any particular </w:t>
      </w:r>
      <w:r w:rsidR="00777D1F" w:rsidRPr="003E3375">
        <w:rPr>
          <w:color w:val="000000" w:themeColor="text1"/>
          <w:lang w:val="en-CA"/>
        </w:rPr>
        <w:t>producer</w:t>
      </w:r>
      <w:r w:rsidR="00F72EE6" w:rsidRPr="003E3375">
        <w:rPr>
          <w:color w:val="000000" w:themeColor="text1"/>
          <w:lang w:val="en-CA"/>
        </w:rPr>
        <w:t>,</w:t>
      </w:r>
      <w:r w:rsidR="00777D1F" w:rsidRPr="003E3375">
        <w:rPr>
          <w:color w:val="000000" w:themeColor="text1"/>
          <w:lang w:val="en-CA"/>
        </w:rPr>
        <w:t xml:space="preserve"> and </w:t>
      </w:r>
      <w:r w:rsidR="00F72EE6" w:rsidRPr="003E3375">
        <w:rPr>
          <w:color w:val="000000" w:themeColor="text1"/>
          <w:lang w:val="en-CA"/>
        </w:rPr>
        <w:t>a</w:t>
      </w:r>
      <w:r w:rsidR="00777D1F" w:rsidRPr="003E3375">
        <w:rPr>
          <w:color w:val="000000" w:themeColor="text1"/>
          <w:lang w:val="en-CA"/>
        </w:rPr>
        <w:t xml:space="preserve"> producer cannot trace its grains to end market</w:t>
      </w:r>
      <w:r w:rsidR="00F72EE6" w:rsidRPr="003E3375">
        <w:rPr>
          <w:color w:val="000000" w:themeColor="text1"/>
          <w:lang w:val="en-CA"/>
        </w:rPr>
        <w:t>, whether</w:t>
      </w:r>
      <w:r w:rsidR="008F4A3D" w:rsidRPr="003E3375">
        <w:rPr>
          <w:color w:val="000000" w:themeColor="text1"/>
          <w:lang w:val="en-CA"/>
        </w:rPr>
        <w:t xml:space="preserve"> that is</w:t>
      </w:r>
      <w:r w:rsidR="00F72EE6" w:rsidRPr="003E3375">
        <w:rPr>
          <w:color w:val="000000" w:themeColor="text1"/>
          <w:lang w:val="en-CA"/>
        </w:rPr>
        <w:t xml:space="preserve"> in Australia, China, or elsewhere</w:t>
      </w:r>
      <w:r w:rsidR="00777D1F" w:rsidRPr="003E3375">
        <w:rPr>
          <w:color w:val="000000" w:themeColor="text1"/>
          <w:lang w:val="en-CA"/>
        </w:rPr>
        <w:t>. The evidence on MOFCOM's record demonstrated th</w:t>
      </w:r>
      <w:r w:rsidR="00AF6AA8" w:rsidRPr="003E3375">
        <w:rPr>
          <w:color w:val="000000" w:themeColor="text1"/>
          <w:lang w:val="en-CA"/>
        </w:rPr>
        <w:t>ese immutable facts concerning the Australian barley market.</w:t>
      </w:r>
    </w:p>
    <w:p w14:paraId="72E7DA67" w14:textId="278A0E8A"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With regard to </w:t>
      </w:r>
      <w:r w:rsidR="00AF6AA8" w:rsidRPr="003E3375">
        <w:rPr>
          <w:rFonts w:asciiTheme="minorHAnsi" w:hAnsiTheme="minorHAnsi" w:cstheme="minorHAnsi"/>
          <w:color w:val="000000" w:themeColor="text1"/>
        </w:rPr>
        <w:t xml:space="preserve">MOFCOM's determination of </w:t>
      </w:r>
      <w:r w:rsidRPr="003E3375">
        <w:rPr>
          <w:rFonts w:asciiTheme="minorHAnsi" w:hAnsiTheme="minorHAnsi" w:cstheme="minorHAnsi"/>
          <w:color w:val="000000" w:themeColor="text1"/>
        </w:rPr>
        <w:t xml:space="preserve">normal value, producers and traders provided data that demonstrated values for sales made in the ordinary course of trade in the Australian market – above-cost, market-based and arm's-length – including input costs, profits, and </w:t>
      </w:r>
      <w:r w:rsidR="001745E9" w:rsidRPr="003E3375">
        <w:rPr>
          <w:rFonts w:asciiTheme="minorHAnsi" w:hAnsiTheme="minorHAnsi" w:cstheme="minorHAnsi"/>
          <w:color w:val="000000" w:themeColor="text1"/>
        </w:rPr>
        <w:t xml:space="preserve">sales </w:t>
      </w:r>
      <w:r w:rsidRPr="003E3375">
        <w:rPr>
          <w:rFonts w:asciiTheme="minorHAnsi" w:hAnsiTheme="minorHAnsi" w:cstheme="minorHAnsi"/>
          <w:color w:val="000000" w:themeColor="text1"/>
        </w:rPr>
        <w:t>prices.</w:t>
      </w:r>
      <w:r w:rsidRPr="003E3375">
        <w:rPr>
          <w:rStyle w:val="FootnoteReference"/>
          <w:rFonts w:asciiTheme="minorHAnsi" w:hAnsiTheme="minorHAnsi" w:cstheme="minorHAnsi"/>
          <w:color w:val="000000" w:themeColor="text1"/>
        </w:rPr>
        <w:footnoteReference w:id="50"/>
      </w:r>
      <w:r w:rsidRPr="003E3375">
        <w:rPr>
          <w:rFonts w:asciiTheme="minorHAnsi" w:hAnsiTheme="minorHAnsi" w:cstheme="minorHAnsi"/>
          <w:color w:val="000000" w:themeColor="text1"/>
        </w:rPr>
        <w:t xml:space="preserve"> This data </w:t>
      </w:r>
      <w:r w:rsidR="007C1021" w:rsidRPr="003E3375">
        <w:rPr>
          <w:rFonts w:asciiTheme="minorHAnsi" w:hAnsiTheme="minorHAnsi" w:cstheme="minorHAnsi"/>
          <w:color w:val="000000" w:themeColor="text1"/>
        </w:rPr>
        <w:t xml:space="preserve">provided </w:t>
      </w:r>
      <w:r w:rsidRPr="003E3375">
        <w:rPr>
          <w:rFonts w:asciiTheme="minorHAnsi" w:hAnsiTheme="minorHAnsi" w:cstheme="minorHAnsi"/>
          <w:color w:val="000000" w:themeColor="text1"/>
        </w:rPr>
        <w:t xml:space="preserve">MOFCOM </w:t>
      </w:r>
      <w:r w:rsidR="007C1021" w:rsidRPr="003E3375">
        <w:rPr>
          <w:rFonts w:asciiTheme="minorHAnsi" w:hAnsiTheme="minorHAnsi" w:cstheme="minorHAnsi"/>
          <w:color w:val="000000" w:themeColor="text1"/>
        </w:rPr>
        <w:t xml:space="preserve">with </w:t>
      </w:r>
      <w:r w:rsidRPr="003E3375">
        <w:rPr>
          <w:rFonts w:asciiTheme="minorHAnsi" w:hAnsiTheme="minorHAnsi" w:cstheme="minorHAnsi"/>
          <w:color w:val="000000" w:themeColor="text1"/>
        </w:rPr>
        <w:t xml:space="preserve">sufficient information to determine the prevailing domestic price in Australia. With regard to </w:t>
      </w:r>
      <w:r w:rsidR="001745E9" w:rsidRPr="003E3375">
        <w:rPr>
          <w:rFonts w:asciiTheme="minorHAnsi" w:hAnsiTheme="minorHAnsi" w:cstheme="minorHAnsi"/>
          <w:color w:val="000000" w:themeColor="text1"/>
        </w:rPr>
        <w:t xml:space="preserve">MOFCOM's determination of </w:t>
      </w:r>
      <w:r w:rsidRPr="003E3375">
        <w:rPr>
          <w:rFonts w:asciiTheme="minorHAnsi" w:hAnsiTheme="minorHAnsi" w:cstheme="minorHAnsi"/>
          <w:color w:val="000000" w:themeColor="text1"/>
        </w:rPr>
        <w:t xml:space="preserve">export price, Australian traders provided export price data and producers explained that they did not export barley and could not provide such data. This information </w:t>
      </w:r>
      <w:r w:rsidR="00CC0DEA" w:rsidRPr="003E3375">
        <w:rPr>
          <w:rFonts w:asciiTheme="minorHAnsi" w:hAnsiTheme="minorHAnsi" w:cstheme="minorHAnsi"/>
          <w:color w:val="000000" w:themeColor="text1"/>
        </w:rPr>
        <w:t xml:space="preserve">was sufficient for </w:t>
      </w:r>
      <w:r w:rsidRPr="003E3375">
        <w:rPr>
          <w:rFonts w:asciiTheme="minorHAnsi" w:hAnsiTheme="minorHAnsi" w:cstheme="minorHAnsi"/>
          <w:color w:val="000000" w:themeColor="text1"/>
        </w:rPr>
        <w:t>MOFCOM to determine the export price for each known exporter. The</w:t>
      </w:r>
      <w:r w:rsidR="004118D7" w:rsidRPr="003E3375">
        <w:rPr>
          <w:rFonts w:asciiTheme="minorHAnsi" w:hAnsiTheme="minorHAnsi" w:cstheme="minorHAnsi"/>
          <w:color w:val="000000" w:themeColor="text1"/>
        </w:rPr>
        <w:t xml:space="preserve"> </w:t>
      </w:r>
      <w:r w:rsidR="004118D7" w:rsidRPr="003E3375">
        <w:rPr>
          <w:rFonts w:asciiTheme="minorHAnsi" w:hAnsiTheme="minorHAnsi" w:cstheme="minorHAnsi"/>
          <w:color w:val="000000" w:themeColor="text1"/>
        </w:rPr>
        <w:lastRenderedPageBreak/>
        <w:t>foregoing necessary</w:t>
      </w:r>
      <w:r w:rsidRPr="003E3375">
        <w:rPr>
          <w:rFonts w:asciiTheme="minorHAnsi" w:hAnsiTheme="minorHAnsi" w:cstheme="minorHAnsi"/>
          <w:color w:val="000000" w:themeColor="text1"/>
        </w:rPr>
        <w:t xml:space="preserve"> information was submitted in accordance with paragraphs 3 and 5 of Annex II</w:t>
      </w:r>
      <w:r w:rsidR="00BF2C94"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51"/>
      </w:r>
      <w:r w:rsidRPr="003E3375">
        <w:rPr>
          <w:rFonts w:asciiTheme="minorHAnsi" w:hAnsiTheme="minorHAnsi" w:cstheme="minorHAnsi"/>
          <w:color w:val="000000" w:themeColor="text1"/>
        </w:rPr>
        <w:t xml:space="preserve"> MOFCOM never determined otherwise and </w:t>
      </w:r>
      <w:r w:rsidR="004118D7" w:rsidRPr="003E3375">
        <w:rPr>
          <w:rFonts w:asciiTheme="minorHAnsi" w:hAnsiTheme="minorHAnsi" w:cstheme="minorHAnsi"/>
          <w:color w:val="000000" w:themeColor="text1"/>
        </w:rPr>
        <w:t>would have experience</w:t>
      </w:r>
      <w:r w:rsidR="00002A8E" w:rsidRPr="003E3375">
        <w:rPr>
          <w:rFonts w:asciiTheme="minorHAnsi" w:hAnsiTheme="minorHAnsi" w:cstheme="minorHAnsi"/>
          <w:color w:val="000000" w:themeColor="text1"/>
        </w:rPr>
        <w:t>d</w:t>
      </w:r>
      <w:r w:rsidR="004118D7"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no undue difficulty in using it.</w:t>
      </w:r>
      <w:r w:rsidRPr="003E3375">
        <w:rPr>
          <w:rStyle w:val="FootnoteReference"/>
          <w:rFonts w:asciiTheme="minorHAnsi" w:hAnsiTheme="minorHAnsi" w:cstheme="minorHAnsi"/>
          <w:color w:val="000000" w:themeColor="text1"/>
        </w:rPr>
        <w:footnoteReference w:id="52"/>
      </w:r>
      <w:r w:rsidRPr="003E3375">
        <w:rPr>
          <w:rFonts w:asciiTheme="minorHAnsi" w:hAnsiTheme="minorHAnsi" w:cstheme="minorHAnsi"/>
          <w:color w:val="000000" w:themeColor="text1"/>
        </w:rPr>
        <w:t xml:space="preserve"> Nevertheless, MOFCOM </w:t>
      </w:r>
      <w:r w:rsidR="004118D7" w:rsidRPr="003E3375">
        <w:rPr>
          <w:rFonts w:asciiTheme="minorHAnsi" w:hAnsiTheme="minorHAnsi" w:cstheme="minorHAnsi"/>
          <w:color w:val="000000" w:themeColor="text1"/>
        </w:rPr>
        <w:t xml:space="preserve">disregarded this information in its entirety, completely failing to </w:t>
      </w:r>
      <w:r w:rsidRPr="003E3375">
        <w:rPr>
          <w:rFonts w:asciiTheme="minorHAnsi" w:hAnsiTheme="minorHAnsi" w:cstheme="minorHAnsi"/>
          <w:color w:val="000000" w:themeColor="text1"/>
        </w:rPr>
        <w:t>take it into account.</w:t>
      </w:r>
    </w:p>
    <w:p w14:paraId="43B28A2B" w14:textId="1A8CB84C"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Furthermore, China's assertion that the</w:t>
      </w:r>
      <w:r w:rsidR="004118D7" w:rsidRPr="003E3375">
        <w:rPr>
          <w:rFonts w:asciiTheme="minorHAnsi" w:hAnsiTheme="minorHAnsi" w:cstheme="minorHAnsi"/>
          <w:color w:val="000000" w:themeColor="text1"/>
        </w:rPr>
        <w:t xml:space="preserve"> Australian</w:t>
      </w:r>
      <w:r w:rsidRPr="003E3375">
        <w:rPr>
          <w:rFonts w:asciiTheme="minorHAnsi" w:hAnsiTheme="minorHAnsi" w:cstheme="minorHAnsi"/>
          <w:color w:val="000000" w:themeColor="text1"/>
        </w:rPr>
        <w:t xml:space="preserve"> </w:t>
      </w:r>
      <w:r w:rsidR="008A04FB" w:rsidRPr="003E3375">
        <w:rPr>
          <w:rFonts w:asciiTheme="minorHAnsi" w:hAnsiTheme="minorHAnsi" w:cstheme="minorHAnsi"/>
          <w:color w:val="000000" w:themeColor="text1"/>
        </w:rPr>
        <w:t xml:space="preserve">interested </w:t>
      </w:r>
      <w:r w:rsidRPr="003E3375">
        <w:rPr>
          <w:rFonts w:asciiTheme="minorHAnsi" w:hAnsiTheme="minorHAnsi" w:cstheme="minorHAnsi"/>
          <w:color w:val="000000" w:themeColor="text1"/>
        </w:rPr>
        <w:t xml:space="preserve">parties </w:t>
      </w:r>
      <w:r w:rsidR="004118D7" w:rsidRPr="003E3375">
        <w:rPr>
          <w:rFonts w:asciiTheme="minorHAnsi" w:hAnsiTheme="minorHAnsi" w:cstheme="minorHAnsi"/>
          <w:color w:val="000000" w:themeColor="text1"/>
        </w:rPr>
        <w:t xml:space="preserve">were required </w:t>
      </w:r>
      <w:r w:rsidRPr="003E3375">
        <w:rPr>
          <w:rFonts w:asciiTheme="minorHAnsi" w:hAnsiTheme="minorHAnsi" w:cstheme="minorHAnsi"/>
          <w:color w:val="000000" w:themeColor="text1"/>
        </w:rPr>
        <w:t>to demonstrate th</w:t>
      </w:r>
      <w:r w:rsidR="004118D7" w:rsidRPr="003E3375">
        <w:rPr>
          <w:rFonts w:asciiTheme="minorHAnsi" w:hAnsiTheme="minorHAnsi" w:cstheme="minorHAnsi"/>
          <w:color w:val="000000" w:themeColor="text1"/>
        </w:rPr>
        <w:t xml:space="preserve">at their </w:t>
      </w:r>
      <w:r w:rsidR="009C0FCF" w:rsidRPr="003E3375">
        <w:rPr>
          <w:rFonts w:asciiTheme="minorHAnsi" w:hAnsiTheme="minorHAnsi" w:cstheme="minorHAnsi"/>
          <w:color w:val="000000" w:themeColor="text1"/>
        </w:rPr>
        <w:t>domestic sales</w:t>
      </w:r>
      <w:r w:rsidRPr="003E3375">
        <w:rPr>
          <w:rFonts w:asciiTheme="minorHAnsi" w:hAnsiTheme="minorHAnsi" w:cstheme="minorHAnsi"/>
          <w:color w:val="000000" w:themeColor="text1"/>
        </w:rPr>
        <w:t xml:space="preserve"> were "set apart for consumption"</w:t>
      </w:r>
      <w:r w:rsidRPr="003E3375">
        <w:rPr>
          <w:rStyle w:val="FootnoteReference"/>
          <w:rFonts w:asciiTheme="minorHAnsi" w:hAnsiTheme="minorHAnsi" w:cstheme="minorHAnsi"/>
          <w:color w:val="000000" w:themeColor="text1"/>
        </w:rPr>
        <w:footnoteReference w:id="53"/>
      </w:r>
      <w:r w:rsidRPr="003E3375">
        <w:rPr>
          <w:rFonts w:asciiTheme="minorHAnsi" w:hAnsiTheme="minorHAnsi" w:cstheme="minorHAnsi"/>
          <w:color w:val="000000" w:themeColor="text1"/>
        </w:rPr>
        <w:t xml:space="preserve"> in Australia is illogical in the context of Article 2 as a whole, the object and purpose of the</w:t>
      </w:r>
      <w:r w:rsidR="004118D7" w:rsidRPr="003E3375">
        <w:rPr>
          <w:rFonts w:asciiTheme="minorHAnsi" w:hAnsiTheme="minorHAnsi" w:cstheme="minorHAnsi"/>
          <w:color w:val="000000" w:themeColor="text1"/>
        </w:rPr>
        <w:t xml:space="preserve"> Anti-Dumping</w:t>
      </w:r>
      <w:r w:rsidRPr="003E3375">
        <w:rPr>
          <w:rFonts w:asciiTheme="minorHAnsi" w:hAnsiTheme="minorHAnsi" w:cstheme="minorHAnsi"/>
          <w:color w:val="000000" w:themeColor="text1"/>
        </w:rPr>
        <w:t xml:space="preserve"> Agreement, and </w:t>
      </w:r>
      <w:r w:rsidR="004118D7" w:rsidRPr="003E3375">
        <w:rPr>
          <w:rFonts w:asciiTheme="minorHAnsi" w:hAnsiTheme="minorHAnsi" w:cstheme="minorHAnsi"/>
          <w:color w:val="000000" w:themeColor="text1"/>
        </w:rPr>
        <w:t xml:space="preserve">the </w:t>
      </w:r>
      <w:r w:rsidRPr="003E3375">
        <w:rPr>
          <w:rFonts w:asciiTheme="minorHAnsi" w:hAnsiTheme="minorHAnsi" w:cstheme="minorHAnsi"/>
          <w:color w:val="000000" w:themeColor="text1"/>
        </w:rPr>
        <w:t>commercial reality</w:t>
      </w:r>
      <w:r w:rsidR="004118D7" w:rsidRPr="003E3375">
        <w:rPr>
          <w:rFonts w:asciiTheme="minorHAnsi" w:hAnsiTheme="minorHAnsi" w:cstheme="minorHAnsi"/>
          <w:color w:val="000000" w:themeColor="text1"/>
        </w:rPr>
        <w:t xml:space="preserve"> </w:t>
      </w:r>
      <w:r w:rsidR="005E5321" w:rsidRPr="003E3375">
        <w:rPr>
          <w:rFonts w:asciiTheme="minorHAnsi" w:hAnsiTheme="minorHAnsi" w:cstheme="minorHAnsi"/>
          <w:color w:val="000000" w:themeColor="text1"/>
        </w:rPr>
        <w:t>modern business, particularly in commodities trade</w:t>
      </w:r>
      <w:r w:rsidRPr="003E3375">
        <w:rPr>
          <w:rFonts w:asciiTheme="minorHAnsi" w:hAnsiTheme="minorHAnsi" w:cstheme="minorHAnsi"/>
          <w:color w:val="000000" w:themeColor="text1"/>
        </w:rPr>
        <w:t>.</w:t>
      </w:r>
      <w:r w:rsidRPr="003E3375">
        <w:rPr>
          <w:rStyle w:val="FootnoteReference"/>
          <w:rFonts w:asciiTheme="minorHAnsi" w:hAnsiTheme="minorHAnsi" w:cstheme="minorHAnsi"/>
          <w:bCs/>
          <w:color w:val="000000" w:themeColor="text1"/>
        </w:rPr>
        <w:footnoteReference w:id="54"/>
      </w:r>
    </w:p>
    <w:p w14:paraId="336B6B10" w14:textId="173703DD" w:rsidR="00191641" w:rsidRPr="003E3375" w:rsidRDefault="00724B83"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The evidence on the record before MOFCOM established that</w:t>
      </w:r>
      <w:r w:rsidR="00191641" w:rsidRPr="003E3375">
        <w:rPr>
          <w:rFonts w:asciiTheme="minorHAnsi" w:hAnsiTheme="minorHAnsi" w:cstheme="minorHAnsi"/>
          <w:color w:val="000000" w:themeColor="text1"/>
        </w:rPr>
        <w:t xml:space="preserve"> it is impossible for an Australian barley producer to know where </w:t>
      </w:r>
      <w:r w:rsidRPr="003E3375">
        <w:rPr>
          <w:rFonts w:asciiTheme="minorHAnsi" w:hAnsiTheme="minorHAnsi" w:cstheme="minorHAnsi"/>
          <w:color w:val="000000" w:themeColor="text1"/>
        </w:rPr>
        <w:t>the</w:t>
      </w:r>
      <w:r w:rsidR="00191641" w:rsidRPr="003E3375">
        <w:rPr>
          <w:rFonts w:asciiTheme="minorHAnsi" w:hAnsiTheme="minorHAnsi" w:cstheme="minorHAnsi"/>
          <w:color w:val="000000" w:themeColor="text1"/>
        </w:rPr>
        <w:t xml:space="preserve"> product </w:t>
      </w:r>
      <w:r w:rsidRPr="003E3375">
        <w:rPr>
          <w:rFonts w:asciiTheme="minorHAnsi" w:hAnsiTheme="minorHAnsi" w:cstheme="minorHAnsi"/>
          <w:color w:val="000000" w:themeColor="text1"/>
        </w:rPr>
        <w:t xml:space="preserve">that it sells to a trader </w:t>
      </w:r>
      <w:r w:rsidR="00191641" w:rsidRPr="003E3375">
        <w:rPr>
          <w:rFonts w:asciiTheme="minorHAnsi" w:hAnsiTheme="minorHAnsi" w:cstheme="minorHAnsi"/>
          <w:color w:val="000000" w:themeColor="text1"/>
        </w:rPr>
        <w:t xml:space="preserve">will ultimately end up. China's declaration that it was necessary for producers to provide proof of sales "intended for or set apart or devoted to" domestic consumption creates an impossible evidentiary hurdle that </w:t>
      </w:r>
      <w:r w:rsidR="00F5007C" w:rsidRPr="003E3375">
        <w:rPr>
          <w:rFonts w:asciiTheme="minorHAnsi" w:hAnsiTheme="minorHAnsi" w:cstheme="minorHAnsi"/>
          <w:color w:val="000000" w:themeColor="text1"/>
        </w:rPr>
        <w:t xml:space="preserve">interested parties </w:t>
      </w:r>
      <w:r w:rsidR="00191641" w:rsidRPr="003E3375">
        <w:rPr>
          <w:rFonts w:asciiTheme="minorHAnsi" w:hAnsiTheme="minorHAnsi" w:cstheme="minorHAnsi"/>
          <w:color w:val="000000" w:themeColor="text1"/>
        </w:rPr>
        <w:t>could never meet.</w:t>
      </w:r>
      <w:r w:rsidR="00191641" w:rsidRPr="003E3375">
        <w:rPr>
          <w:rStyle w:val="FootnoteReference"/>
          <w:rFonts w:asciiTheme="minorHAnsi" w:hAnsiTheme="minorHAnsi" w:cstheme="minorHAnsi"/>
          <w:color w:val="000000" w:themeColor="text1"/>
        </w:rPr>
        <w:footnoteReference w:id="55"/>
      </w:r>
      <w:r w:rsidR="00191641" w:rsidRPr="003E3375">
        <w:rPr>
          <w:rFonts w:asciiTheme="minorHAnsi" w:hAnsiTheme="minorHAnsi" w:cstheme="minorHAnsi"/>
          <w:color w:val="000000" w:themeColor="text1"/>
        </w:rPr>
        <w:t xml:space="preserve"> If </w:t>
      </w:r>
      <w:r w:rsidR="007E7A98" w:rsidRPr="003E3375">
        <w:rPr>
          <w:rFonts w:asciiTheme="minorHAnsi" w:hAnsiTheme="minorHAnsi" w:cstheme="minorHAnsi"/>
          <w:color w:val="000000" w:themeColor="text1"/>
        </w:rPr>
        <w:t>China</w:t>
      </w:r>
      <w:r w:rsidR="001F0167" w:rsidRPr="003E3375">
        <w:rPr>
          <w:rFonts w:asciiTheme="minorHAnsi" w:hAnsiTheme="minorHAnsi" w:cstheme="minorHAnsi"/>
          <w:color w:val="000000" w:themeColor="text1"/>
        </w:rPr>
        <w:t>'s</w:t>
      </w:r>
      <w:r w:rsidR="00036CE7" w:rsidRPr="003E3375">
        <w:rPr>
          <w:rFonts w:asciiTheme="minorHAnsi" w:hAnsiTheme="minorHAnsi" w:cstheme="minorHAnsi"/>
          <w:color w:val="000000" w:themeColor="text1"/>
        </w:rPr>
        <w:t xml:space="preserve"> position was accepted</w:t>
      </w:r>
      <w:r w:rsidR="007E7A98" w:rsidRPr="003E3375">
        <w:rPr>
          <w:rFonts w:asciiTheme="minorHAnsi" w:hAnsiTheme="minorHAnsi" w:cstheme="minorHAnsi"/>
          <w:color w:val="000000" w:themeColor="text1"/>
        </w:rPr>
        <w:t xml:space="preserve">, then </w:t>
      </w:r>
      <w:r w:rsidR="00036CE7" w:rsidRPr="003E3375">
        <w:rPr>
          <w:rFonts w:asciiTheme="minorHAnsi" w:hAnsiTheme="minorHAnsi" w:cstheme="minorHAnsi"/>
          <w:color w:val="000000" w:themeColor="text1"/>
        </w:rPr>
        <w:t xml:space="preserve">it would permit </w:t>
      </w:r>
      <w:r w:rsidR="00191641" w:rsidRPr="003E3375">
        <w:rPr>
          <w:rFonts w:asciiTheme="minorHAnsi" w:hAnsiTheme="minorHAnsi" w:cstheme="minorHAnsi"/>
          <w:color w:val="000000" w:themeColor="text1"/>
        </w:rPr>
        <w:t xml:space="preserve">an investigating authority </w:t>
      </w:r>
      <w:r w:rsidR="001F0167" w:rsidRPr="003E3375">
        <w:rPr>
          <w:rFonts w:asciiTheme="minorHAnsi" w:hAnsiTheme="minorHAnsi" w:cstheme="minorHAnsi"/>
          <w:color w:val="000000" w:themeColor="text1"/>
        </w:rPr>
        <w:t xml:space="preserve">to </w:t>
      </w:r>
      <w:r w:rsidR="00191641" w:rsidRPr="003E3375">
        <w:rPr>
          <w:rFonts w:asciiTheme="minorHAnsi" w:hAnsiTheme="minorHAnsi" w:cstheme="minorHAnsi"/>
          <w:color w:val="000000" w:themeColor="text1"/>
        </w:rPr>
        <w:t xml:space="preserve">declare any non-existent information </w:t>
      </w:r>
      <w:r w:rsidR="000D2705" w:rsidRPr="003E3375">
        <w:rPr>
          <w:rFonts w:asciiTheme="minorHAnsi" w:hAnsiTheme="minorHAnsi" w:cstheme="minorHAnsi"/>
          <w:color w:val="000000" w:themeColor="text1"/>
        </w:rPr>
        <w:t>"</w:t>
      </w:r>
      <w:r w:rsidR="00191641" w:rsidRPr="003E3375">
        <w:rPr>
          <w:rFonts w:asciiTheme="minorHAnsi" w:hAnsiTheme="minorHAnsi" w:cstheme="minorHAnsi"/>
          <w:color w:val="000000" w:themeColor="text1"/>
        </w:rPr>
        <w:t>necessary</w:t>
      </w:r>
      <w:r w:rsidR="000D2705" w:rsidRPr="003E3375">
        <w:rPr>
          <w:rFonts w:asciiTheme="minorHAnsi" w:hAnsiTheme="minorHAnsi" w:cstheme="minorHAnsi"/>
          <w:color w:val="000000" w:themeColor="text1"/>
        </w:rPr>
        <w:t>"</w:t>
      </w:r>
      <w:r w:rsidR="00094512" w:rsidRPr="003E3375">
        <w:rPr>
          <w:rFonts w:asciiTheme="minorHAnsi" w:hAnsiTheme="minorHAnsi" w:cstheme="minorHAnsi"/>
          <w:color w:val="000000" w:themeColor="text1"/>
        </w:rPr>
        <w:t xml:space="preserve">, </w:t>
      </w:r>
      <w:r w:rsidR="00191641" w:rsidRPr="003E3375">
        <w:rPr>
          <w:rFonts w:asciiTheme="minorHAnsi" w:hAnsiTheme="minorHAnsi" w:cstheme="minorHAnsi"/>
          <w:color w:val="000000" w:themeColor="text1"/>
        </w:rPr>
        <w:t>render</w:t>
      </w:r>
      <w:r w:rsidR="00094512" w:rsidRPr="003E3375">
        <w:rPr>
          <w:rFonts w:asciiTheme="minorHAnsi" w:hAnsiTheme="minorHAnsi" w:cstheme="minorHAnsi"/>
          <w:color w:val="000000" w:themeColor="text1"/>
        </w:rPr>
        <w:t>ing</w:t>
      </w:r>
      <w:r w:rsidR="00191641" w:rsidRPr="003E3375">
        <w:rPr>
          <w:rFonts w:asciiTheme="minorHAnsi" w:hAnsiTheme="minorHAnsi" w:cstheme="minorHAnsi"/>
          <w:color w:val="000000" w:themeColor="text1"/>
        </w:rPr>
        <w:t xml:space="preserve"> its resort to facts available a foregone conclusion. China's interpretation would undermine one of the key purposes of Article 2 as a whole, namely</w:t>
      </w:r>
      <w:r w:rsidR="000D2705" w:rsidRPr="003E3375">
        <w:rPr>
          <w:rFonts w:asciiTheme="minorHAnsi" w:hAnsiTheme="minorHAnsi" w:cstheme="minorHAnsi"/>
          <w:color w:val="000000" w:themeColor="text1"/>
        </w:rPr>
        <w:t>,</w:t>
      </w:r>
      <w:r w:rsidR="00191641" w:rsidRPr="003E3375">
        <w:rPr>
          <w:rFonts w:asciiTheme="minorHAnsi" w:hAnsiTheme="minorHAnsi" w:cstheme="minorHAnsi"/>
          <w:color w:val="000000" w:themeColor="text1"/>
        </w:rPr>
        <w:t xml:space="preserve"> to accurately determine the normal value, or prevailing domestic price, of the product under consideration.</w:t>
      </w:r>
    </w:p>
    <w:p w14:paraId="3AF71DAE" w14:textId="52F9DD4F"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Even assuming </w:t>
      </w:r>
      <w:r w:rsidRPr="003E3375">
        <w:rPr>
          <w:rFonts w:asciiTheme="minorHAnsi" w:hAnsiTheme="minorHAnsi" w:cstheme="minorHAnsi"/>
          <w:i/>
          <w:iCs/>
          <w:color w:val="000000" w:themeColor="text1"/>
        </w:rPr>
        <w:t>arguendo</w:t>
      </w:r>
      <w:r w:rsidRPr="003E3375">
        <w:rPr>
          <w:rFonts w:asciiTheme="minorHAnsi" w:hAnsiTheme="minorHAnsi" w:cstheme="minorHAnsi"/>
          <w:color w:val="000000" w:themeColor="text1"/>
        </w:rPr>
        <w:t xml:space="preserve"> that this non-existent information was necessary to make a determination under Article 2, Article 6.8 and Annex II provide that an investigating authority must use information </w:t>
      </w:r>
      <w:r w:rsidR="00CC0A2E" w:rsidRPr="003E3375">
        <w:rPr>
          <w:rFonts w:asciiTheme="minorHAnsi" w:hAnsiTheme="minorHAnsi" w:cstheme="minorHAnsi"/>
          <w:color w:val="000000" w:themeColor="text1"/>
        </w:rPr>
        <w:t xml:space="preserve">provided by interested parties </w:t>
      </w:r>
      <w:r w:rsidRPr="003E3375">
        <w:rPr>
          <w:rFonts w:asciiTheme="minorHAnsi" w:hAnsiTheme="minorHAnsi" w:cstheme="minorHAnsi"/>
          <w:color w:val="000000" w:themeColor="text1"/>
        </w:rPr>
        <w:t>unless it determines that the interested parties have not acted to the best of their abilities</w:t>
      </w:r>
      <w:r w:rsidR="004F60C7"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or that the provided information is unverifiable.</w:t>
      </w:r>
      <w:r w:rsidRPr="003E3375">
        <w:rPr>
          <w:rFonts w:asciiTheme="minorHAnsi" w:hAnsiTheme="minorHAnsi" w:cstheme="minorHAnsi"/>
          <w:color w:val="000000" w:themeColor="text1"/>
          <w:vertAlign w:val="superscript"/>
        </w:rPr>
        <w:footnoteReference w:id="56"/>
      </w:r>
      <w:r w:rsidRPr="003E3375">
        <w:rPr>
          <w:rFonts w:asciiTheme="minorHAnsi" w:hAnsiTheme="minorHAnsi" w:cstheme="minorHAnsi"/>
          <w:color w:val="000000" w:themeColor="text1"/>
        </w:rPr>
        <w:t xml:space="preserve"> MOFCOM made no such </w:t>
      </w:r>
      <w:r w:rsidR="004F60C7" w:rsidRPr="003E3375">
        <w:rPr>
          <w:rFonts w:asciiTheme="minorHAnsi" w:hAnsiTheme="minorHAnsi" w:cstheme="minorHAnsi"/>
          <w:color w:val="000000" w:themeColor="text1"/>
        </w:rPr>
        <w:t>findings and</w:t>
      </w:r>
      <w:r w:rsidRPr="003E3375">
        <w:rPr>
          <w:rFonts w:asciiTheme="minorHAnsi" w:hAnsiTheme="minorHAnsi" w:cstheme="minorHAnsi"/>
          <w:color w:val="000000" w:themeColor="text1"/>
        </w:rPr>
        <w:t xml:space="preserve"> was therefore required to make active efforts to use the information provided. MOFCOM did not </w:t>
      </w:r>
      <w:r w:rsidR="00CC0A2E" w:rsidRPr="003E3375">
        <w:rPr>
          <w:rFonts w:asciiTheme="minorHAnsi" w:hAnsiTheme="minorHAnsi" w:cstheme="minorHAnsi"/>
          <w:color w:val="000000" w:themeColor="text1"/>
        </w:rPr>
        <w:t>do so</w:t>
      </w:r>
      <w:r w:rsidRPr="003E3375">
        <w:rPr>
          <w:rFonts w:asciiTheme="minorHAnsi" w:hAnsiTheme="minorHAnsi" w:cstheme="minorHAnsi"/>
          <w:color w:val="000000" w:themeColor="text1"/>
        </w:rPr>
        <w:t xml:space="preserve">. In fact, despite considering </w:t>
      </w:r>
      <w:r w:rsidR="00E70852" w:rsidRPr="003E3375">
        <w:rPr>
          <w:rFonts w:asciiTheme="minorHAnsi" w:hAnsiTheme="minorHAnsi" w:cstheme="minorHAnsi"/>
          <w:color w:val="000000" w:themeColor="text1"/>
        </w:rPr>
        <w:t>certain</w:t>
      </w:r>
      <w:r w:rsidRPr="003E3375">
        <w:rPr>
          <w:rFonts w:asciiTheme="minorHAnsi" w:hAnsiTheme="minorHAnsi" w:cstheme="minorHAnsi"/>
          <w:color w:val="000000" w:themeColor="text1"/>
        </w:rPr>
        <w:t xml:space="preserve"> information</w:t>
      </w:r>
      <w:r w:rsidR="007236D6" w:rsidRPr="003E3375">
        <w:rPr>
          <w:rFonts w:asciiTheme="minorHAnsi" w:hAnsiTheme="minorHAnsi" w:cstheme="minorHAnsi"/>
          <w:color w:val="000000" w:themeColor="text1"/>
        </w:rPr>
        <w:t xml:space="preserve"> </w:t>
      </w:r>
      <w:r w:rsidR="000E3E81" w:rsidRPr="003E3375">
        <w:rPr>
          <w:rFonts w:asciiTheme="minorHAnsi" w:hAnsiTheme="minorHAnsi" w:cstheme="minorHAnsi"/>
          <w:color w:val="000000" w:themeColor="text1"/>
        </w:rPr>
        <w:t>from</w:t>
      </w:r>
      <w:r w:rsidR="007236D6" w:rsidRPr="003E3375">
        <w:rPr>
          <w:rFonts w:asciiTheme="minorHAnsi" w:hAnsiTheme="minorHAnsi" w:cstheme="minorHAnsi"/>
          <w:color w:val="000000" w:themeColor="text1"/>
        </w:rPr>
        <w:t xml:space="preserve"> producers</w:t>
      </w:r>
      <w:r w:rsidRPr="003E3375">
        <w:rPr>
          <w:rFonts w:asciiTheme="minorHAnsi" w:hAnsiTheme="minorHAnsi" w:cstheme="minorHAnsi"/>
          <w:color w:val="000000" w:themeColor="text1"/>
        </w:rPr>
        <w:t xml:space="preserve"> "necessary", MOFCOM never made any contact with </w:t>
      </w:r>
      <w:r w:rsidR="007236D6" w:rsidRPr="003E3375">
        <w:rPr>
          <w:rFonts w:asciiTheme="minorHAnsi" w:hAnsiTheme="minorHAnsi" w:cstheme="minorHAnsi"/>
          <w:color w:val="000000" w:themeColor="text1"/>
        </w:rPr>
        <w:t xml:space="preserve">those </w:t>
      </w:r>
      <w:r w:rsidRPr="003E3375">
        <w:rPr>
          <w:rFonts w:asciiTheme="minorHAnsi" w:hAnsiTheme="minorHAnsi" w:cstheme="minorHAnsi"/>
          <w:color w:val="000000" w:themeColor="text1"/>
        </w:rPr>
        <w:t>producers</w:t>
      </w:r>
      <w:r w:rsidR="003204B6" w:rsidRPr="003E3375">
        <w:rPr>
          <w:rFonts w:asciiTheme="minorHAnsi" w:hAnsiTheme="minorHAnsi" w:cstheme="minorHAnsi"/>
          <w:color w:val="000000" w:themeColor="text1"/>
        </w:rPr>
        <w:t>, as required by paragraph 1 of Annex II</w:t>
      </w:r>
      <w:r w:rsidRPr="003E3375">
        <w:rPr>
          <w:rFonts w:asciiTheme="minorHAnsi" w:hAnsiTheme="minorHAnsi" w:cstheme="minorHAnsi"/>
          <w:color w:val="000000" w:themeColor="text1"/>
        </w:rPr>
        <w:t xml:space="preserve">. It did not make interested parties aware that certain information – such as evidence of destination – was "necessary", and did not inform them of the consequences of failing to meet </w:t>
      </w:r>
      <w:r w:rsidR="00A90A96" w:rsidRPr="003E3375">
        <w:rPr>
          <w:rFonts w:asciiTheme="minorHAnsi" w:hAnsiTheme="minorHAnsi" w:cstheme="minorHAnsi"/>
          <w:color w:val="000000" w:themeColor="text1"/>
        </w:rPr>
        <w:t xml:space="preserve">its </w:t>
      </w:r>
      <w:r w:rsidRPr="003E3375">
        <w:rPr>
          <w:rFonts w:asciiTheme="minorHAnsi" w:hAnsiTheme="minorHAnsi" w:cstheme="minorHAnsi"/>
          <w:color w:val="000000" w:themeColor="text1"/>
        </w:rPr>
        <w:t>impossible requests</w:t>
      </w:r>
      <w:r w:rsidR="00A90A96" w:rsidRPr="003E3375">
        <w:rPr>
          <w:rFonts w:asciiTheme="minorHAnsi" w:hAnsiTheme="minorHAnsi" w:cstheme="minorHAnsi"/>
          <w:color w:val="000000" w:themeColor="text1"/>
        </w:rPr>
        <w:t xml:space="preserve"> for </w:t>
      </w:r>
      <w:r w:rsidR="00A90A96" w:rsidRPr="003E3375">
        <w:rPr>
          <w:rFonts w:asciiTheme="minorHAnsi" w:hAnsiTheme="minorHAnsi" w:cstheme="minorHAnsi"/>
          <w:color w:val="000000" w:themeColor="text1"/>
        </w:rPr>
        <w:lastRenderedPageBreak/>
        <w:t>information</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57"/>
      </w:r>
      <w:r w:rsidRPr="003E3375">
        <w:rPr>
          <w:rFonts w:asciiTheme="minorHAnsi" w:hAnsiTheme="minorHAnsi" w:cstheme="minorHAnsi"/>
          <w:color w:val="000000" w:themeColor="text1"/>
        </w:rPr>
        <w:t xml:space="preserve"> As outlined below, </w:t>
      </w:r>
      <w:r w:rsidR="006E1E13" w:rsidRPr="003E3375">
        <w:rPr>
          <w:rFonts w:asciiTheme="minorHAnsi" w:hAnsiTheme="minorHAnsi" w:cstheme="minorHAnsi"/>
          <w:color w:val="000000" w:themeColor="text1"/>
        </w:rPr>
        <w:t xml:space="preserve">this </w:t>
      </w:r>
      <w:r w:rsidRPr="003E3375">
        <w:rPr>
          <w:rFonts w:asciiTheme="minorHAnsi" w:hAnsiTheme="minorHAnsi" w:cstheme="minorHAnsi"/>
          <w:color w:val="000000" w:themeColor="text1"/>
        </w:rPr>
        <w:t>conduct undermin</w:t>
      </w:r>
      <w:r w:rsidR="00167B42" w:rsidRPr="003E3375">
        <w:rPr>
          <w:rFonts w:asciiTheme="minorHAnsi" w:hAnsiTheme="minorHAnsi" w:cstheme="minorHAnsi"/>
          <w:color w:val="000000" w:themeColor="text1"/>
        </w:rPr>
        <w:t>ed</w:t>
      </w:r>
      <w:r w:rsidRPr="003E3375">
        <w:rPr>
          <w:rFonts w:asciiTheme="minorHAnsi" w:hAnsiTheme="minorHAnsi" w:cstheme="minorHAnsi"/>
          <w:color w:val="000000" w:themeColor="text1"/>
        </w:rPr>
        <w:t xml:space="preserve"> the due process frameworks</w:t>
      </w:r>
      <w:r w:rsidR="00167B42" w:rsidRPr="003E3375">
        <w:rPr>
          <w:rFonts w:asciiTheme="minorHAnsi" w:hAnsiTheme="minorHAnsi" w:cstheme="minorHAnsi"/>
          <w:color w:val="000000" w:themeColor="text1"/>
        </w:rPr>
        <w:t xml:space="preserve"> of the Anti-Dumping Agreement</w:t>
      </w:r>
      <w:r w:rsidRPr="003E3375">
        <w:rPr>
          <w:rFonts w:asciiTheme="minorHAnsi" w:hAnsiTheme="minorHAnsi" w:cstheme="minorHAnsi"/>
          <w:color w:val="000000" w:themeColor="text1"/>
        </w:rPr>
        <w:t>.</w:t>
      </w:r>
    </w:p>
    <w:p w14:paraId="7F877E42" w14:textId="0E5EFE49" w:rsidR="00663C9F" w:rsidRPr="003E3375" w:rsidRDefault="00663C9F"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Pursuant to paragraph 6 of Annex II</w:t>
      </w:r>
      <w:r w:rsidR="00320E4D"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an investigating authority must inform interested parties "forthwith" if their information is rejected, provide an opportunity for explanation</w:t>
      </w:r>
      <w:r w:rsidR="00646BA9"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and consider those explanations, providing reasons if appropriate.</w:t>
      </w:r>
      <w:r w:rsidRPr="003E3375">
        <w:rPr>
          <w:rStyle w:val="FootnoteReference"/>
          <w:rFonts w:asciiTheme="minorHAnsi" w:hAnsiTheme="minorHAnsi" w:cstheme="minorHAnsi"/>
          <w:color w:val="000000" w:themeColor="text1"/>
        </w:rPr>
        <w:footnoteReference w:id="58"/>
      </w:r>
      <w:r w:rsidRPr="003E3375">
        <w:rPr>
          <w:rFonts w:asciiTheme="minorHAnsi" w:hAnsiTheme="minorHAnsi" w:cstheme="minorHAnsi"/>
          <w:color w:val="000000" w:themeColor="text1"/>
        </w:rPr>
        <w:t xml:space="preserve"> </w:t>
      </w:r>
      <w:r w:rsidR="00320E4D" w:rsidRPr="003E3375">
        <w:rPr>
          <w:rFonts w:asciiTheme="minorHAnsi" w:hAnsiTheme="minorHAnsi" w:cstheme="minorHAnsi"/>
          <w:color w:val="000000" w:themeColor="text1"/>
        </w:rPr>
        <w:t>In its Final</w:t>
      </w:r>
      <w:r w:rsidR="00EC7AA6" w:rsidRPr="003E3375">
        <w:rPr>
          <w:rFonts w:asciiTheme="minorHAnsi" w:hAnsiTheme="minorHAnsi" w:cstheme="minorHAnsi"/>
          <w:color w:val="000000" w:themeColor="text1"/>
        </w:rPr>
        <w:t> </w:t>
      </w:r>
      <w:r w:rsidR="00320E4D" w:rsidRPr="003E3375">
        <w:rPr>
          <w:rFonts w:asciiTheme="minorHAnsi" w:hAnsiTheme="minorHAnsi" w:cstheme="minorHAnsi"/>
          <w:color w:val="000000" w:themeColor="text1"/>
        </w:rPr>
        <w:t xml:space="preserve">Disclosure, </w:t>
      </w:r>
      <w:r w:rsidRPr="003E3375">
        <w:rPr>
          <w:rFonts w:asciiTheme="minorHAnsi" w:hAnsiTheme="minorHAnsi" w:cstheme="minorHAnsi"/>
          <w:color w:val="000000" w:themeColor="text1"/>
        </w:rPr>
        <w:t xml:space="preserve">MOFCOM made a general statement </w:t>
      </w:r>
      <w:r w:rsidR="008C0503" w:rsidRPr="003E3375">
        <w:rPr>
          <w:rFonts w:asciiTheme="minorHAnsi" w:hAnsiTheme="minorHAnsi" w:cstheme="minorHAnsi"/>
          <w:color w:val="000000" w:themeColor="text1"/>
        </w:rPr>
        <w:t xml:space="preserve">concerning its decision to </w:t>
      </w:r>
      <w:r w:rsidRPr="003E3375">
        <w:rPr>
          <w:rFonts w:asciiTheme="minorHAnsi" w:hAnsiTheme="minorHAnsi" w:cstheme="minorHAnsi"/>
          <w:color w:val="000000" w:themeColor="text1"/>
        </w:rPr>
        <w:t xml:space="preserve">reject all information </w:t>
      </w:r>
      <w:r w:rsidR="008C0503" w:rsidRPr="003E3375">
        <w:rPr>
          <w:rFonts w:asciiTheme="minorHAnsi" w:hAnsiTheme="minorHAnsi" w:cstheme="minorHAnsi"/>
          <w:color w:val="000000" w:themeColor="text1"/>
        </w:rPr>
        <w:t>submitted by the Australian interested partie</w:t>
      </w:r>
      <w:r w:rsidR="00960D34"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 xml:space="preserve">. It allowed </w:t>
      </w:r>
      <w:r w:rsidR="00960D34" w:rsidRPr="003E3375">
        <w:rPr>
          <w:rFonts w:asciiTheme="minorHAnsi" w:hAnsiTheme="minorHAnsi" w:cstheme="minorHAnsi"/>
          <w:color w:val="000000" w:themeColor="text1"/>
        </w:rPr>
        <w:t xml:space="preserve">only </w:t>
      </w:r>
      <w:r w:rsidRPr="003E3375">
        <w:rPr>
          <w:rFonts w:asciiTheme="minorHAnsi" w:hAnsiTheme="minorHAnsi" w:cstheme="minorHAnsi"/>
          <w:color w:val="000000" w:themeColor="text1"/>
        </w:rPr>
        <w:t>five working days for a response</w:t>
      </w:r>
      <w:r w:rsidR="00646BA9"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and published its </w:t>
      </w:r>
      <w:r w:rsidR="00465936" w:rsidRPr="003E3375">
        <w:rPr>
          <w:rFonts w:asciiTheme="minorHAnsi" w:hAnsiTheme="minorHAnsi" w:cstheme="minorHAnsi"/>
          <w:color w:val="000000" w:themeColor="text1"/>
        </w:rPr>
        <w:t xml:space="preserve">Anti-Dumping </w:t>
      </w:r>
      <w:r w:rsidRPr="003E3375">
        <w:rPr>
          <w:rFonts w:asciiTheme="minorHAnsi" w:hAnsiTheme="minorHAnsi" w:cstheme="minorHAnsi"/>
          <w:color w:val="000000" w:themeColor="text1"/>
        </w:rPr>
        <w:t xml:space="preserve">Final Determination on the date that comments on the </w:t>
      </w:r>
      <w:r w:rsidR="006770C3" w:rsidRPr="003E3375">
        <w:rPr>
          <w:rFonts w:asciiTheme="minorHAnsi" w:hAnsiTheme="minorHAnsi" w:cstheme="minorHAnsi"/>
          <w:color w:val="000000" w:themeColor="text1"/>
        </w:rPr>
        <w:t>Anti</w:t>
      </w:r>
      <w:r w:rsidR="00465936" w:rsidRPr="003E3375">
        <w:rPr>
          <w:rFonts w:asciiTheme="minorHAnsi" w:hAnsiTheme="minorHAnsi" w:cstheme="minorHAnsi"/>
          <w:color w:val="000000" w:themeColor="text1"/>
        </w:rPr>
        <w:noBreakHyphen/>
      </w:r>
      <w:r w:rsidR="006770C3" w:rsidRPr="003E3375">
        <w:rPr>
          <w:rFonts w:asciiTheme="minorHAnsi" w:hAnsiTheme="minorHAnsi" w:cstheme="minorHAnsi"/>
          <w:color w:val="000000" w:themeColor="text1"/>
        </w:rPr>
        <w:t xml:space="preserve">Dumping </w:t>
      </w:r>
      <w:r w:rsidR="00337EFB" w:rsidRPr="003E3375">
        <w:rPr>
          <w:rFonts w:asciiTheme="minorHAnsi" w:hAnsiTheme="minorHAnsi" w:cstheme="minorHAnsi"/>
          <w:color w:val="000000" w:themeColor="text1"/>
        </w:rPr>
        <w:t>Final</w:t>
      </w:r>
      <w:r w:rsidR="00614B29" w:rsidRPr="003E3375">
        <w:rPr>
          <w:rFonts w:asciiTheme="minorHAnsi" w:hAnsiTheme="minorHAnsi" w:cstheme="minorHAnsi"/>
          <w:color w:val="000000" w:themeColor="text1"/>
        </w:rPr>
        <w:t> </w:t>
      </w:r>
      <w:r w:rsidR="00337EFB" w:rsidRPr="003E3375">
        <w:rPr>
          <w:rFonts w:asciiTheme="minorHAnsi" w:hAnsiTheme="minorHAnsi" w:cstheme="minorHAnsi"/>
          <w:color w:val="000000" w:themeColor="text1"/>
        </w:rPr>
        <w:t>Disclosure</w:t>
      </w:r>
      <w:r w:rsidRPr="003E3375">
        <w:rPr>
          <w:rFonts w:asciiTheme="minorHAnsi" w:hAnsiTheme="minorHAnsi" w:cstheme="minorHAnsi"/>
          <w:color w:val="000000" w:themeColor="text1"/>
        </w:rPr>
        <w:t xml:space="preserve"> were due. This timeline d</w:t>
      </w:r>
      <w:r w:rsidR="00337EFB" w:rsidRPr="003E3375">
        <w:rPr>
          <w:rFonts w:asciiTheme="minorHAnsi" w:hAnsiTheme="minorHAnsi" w:cstheme="minorHAnsi"/>
          <w:color w:val="000000" w:themeColor="text1"/>
        </w:rPr>
        <w:t>id</w:t>
      </w:r>
      <w:r w:rsidRPr="003E3375">
        <w:rPr>
          <w:rFonts w:asciiTheme="minorHAnsi" w:hAnsiTheme="minorHAnsi" w:cstheme="minorHAnsi"/>
          <w:color w:val="000000" w:themeColor="text1"/>
        </w:rPr>
        <w:t xml:space="preserve"> not permit any examination of </w:t>
      </w:r>
      <w:r w:rsidR="00960D34" w:rsidRPr="003E3375">
        <w:rPr>
          <w:rFonts w:asciiTheme="minorHAnsi" w:hAnsiTheme="minorHAnsi" w:cstheme="minorHAnsi"/>
          <w:color w:val="000000" w:themeColor="text1"/>
        </w:rPr>
        <w:t xml:space="preserve">the further explanations </w:t>
      </w:r>
      <w:r w:rsidR="00D62338" w:rsidRPr="003E3375">
        <w:rPr>
          <w:rFonts w:asciiTheme="minorHAnsi" w:hAnsiTheme="minorHAnsi" w:cstheme="minorHAnsi"/>
          <w:color w:val="000000" w:themeColor="text1"/>
        </w:rPr>
        <w:t xml:space="preserve">that </w:t>
      </w:r>
      <w:r w:rsidR="00960D34" w:rsidRPr="003E3375">
        <w:rPr>
          <w:rFonts w:asciiTheme="minorHAnsi" w:hAnsiTheme="minorHAnsi" w:cstheme="minorHAnsi"/>
          <w:color w:val="000000" w:themeColor="text1"/>
        </w:rPr>
        <w:t>interested parties</w:t>
      </w:r>
      <w:r w:rsidR="00D62338" w:rsidRPr="003E3375">
        <w:rPr>
          <w:rFonts w:asciiTheme="minorHAnsi" w:hAnsiTheme="minorHAnsi" w:cstheme="minorHAnsi"/>
          <w:color w:val="000000" w:themeColor="text1"/>
        </w:rPr>
        <w:t xml:space="preserve"> provided</w:t>
      </w:r>
      <w:r w:rsidR="00960D34" w:rsidRPr="003E3375">
        <w:rPr>
          <w:rFonts w:asciiTheme="minorHAnsi" w:hAnsiTheme="minorHAnsi" w:cstheme="minorHAnsi"/>
          <w:color w:val="000000" w:themeColor="text1"/>
        </w:rPr>
        <w:t xml:space="preserve">, including the reasons </w:t>
      </w:r>
      <w:r w:rsidRPr="003E3375">
        <w:rPr>
          <w:rFonts w:asciiTheme="minorHAnsi" w:hAnsiTheme="minorHAnsi" w:cstheme="minorHAnsi"/>
          <w:color w:val="000000" w:themeColor="text1"/>
        </w:rPr>
        <w:t xml:space="preserve">why </w:t>
      </w:r>
      <w:r w:rsidR="00960D34" w:rsidRPr="003E3375">
        <w:rPr>
          <w:rFonts w:asciiTheme="minorHAnsi" w:hAnsiTheme="minorHAnsi" w:cstheme="minorHAnsi"/>
          <w:color w:val="000000" w:themeColor="text1"/>
        </w:rPr>
        <w:t xml:space="preserve">allegedly </w:t>
      </w:r>
      <w:r w:rsidR="00C1237D" w:rsidRPr="003E3375">
        <w:rPr>
          <w:rFonts w:asciiTheme="minorHAnsi" w:hAnsiTheme="minorHAnsi" w:cstheme="minorHAnsi"/>
          <w:color w:val="000000" w:themeColor="text1"/>
        </w:rPr>
        <w:t xml:space="preserve">missing </w:t>
      </w:r>
      <w:r w:rsidR="00960D34" w:rsidRPr="003E3375">
        <w:rPr>
          <w:rFonts w:asciiTheme="minorHAnsi" w:hAnsiTheme="minorHAnsi" w:cstheme="minorHAnsi"/>
          <w:color w:val="000000" w:themeColor="text1"/>
        </w:rPr>
        <w:t xml:space="preserve">necessary </w:t>
      </w:r>
      <w:r w:rsidRPr="003E3375">
        <w:rPr>
          <w:rFonts w:asciiTheme="minorHAnsi" w:hAnsiTheme="minorHAnsi" w:cstheme="minorHAnsi"/>
          <w:color w:val="000000" w:themeColor="text1"/>
        </w:rPr>
        <w:t xml:space="preserve">information </w:t>
      </w:r>
      <w:r w:rsidR="00C1237D" w:rsidRPr="003E3375">
        <w:rPr>
          <w:rFonts w:asciiTheme="minorHAnsi" w:hAnsiTheme="minorHAnsi" w:cstheme="minorHAnsi"/>
          <w:color w:val="000000" w:themeColor="text1"/>
        </w:rPr>
        <w:t>could not be provided</w:t>
      </w:r>
      <w:r w:rsidRPr="003E3375">
        <w:rPr>
          <w:rFonts w:asciiTheme="minorHAnsi" w:hAnsiTheme="minorHAnsi" w:cstheme="minorHAnsi"/>
          <w:color w:val="000000" w:themeColor="text1"/>
        </w:rPr>
        <w:t>.</w:t>
      </w:r>
      <w:r w:rsidR="00A5095C" w:rsidRPr="003E3375">
        <w:rPr>
          <w:rFonts w:asciiTheme="minorHAnsi" w:hAnsiTheme="minorHAnsi" w:cstheme="minorHAnsi"/>
          <w:color w:val="000000" w:themeColor="text1"/>
        </w:rPr>
        <w:t xml:space="preserve"> In order to satisfy the requirements of paragraph 6 of Annex II, MOFCOM was required to notify interested parties that their information was rejected </w:t>
      </w:r>
      <w:r w:rsidR="00744CB5" w:rsidRPr="003E3375">
        <w:rPr>
          <w:rFonts w:asciiTheme="minorHAnsi" w:hAnsiTheme="minorHAnsi" w:cstheme="minorHAnsi"/>
          <w:color w:val="000000" w:themeColor="text1"/>
        </w:rPr>
        <w:t>at a point in time whe</w:t>
      </w:r>
      <w:r w:rsidR="00E14CDE" w:rsidRPr="003E3375">
        <w:rPr>
          <w:rFonts w:asciiTheme="minorHAnsi" w:hAnsiTheme="minorHAnsi" w:cstheme="minorHAnsi"/>
          <w:color w:val="000000" w:themeColor="text1"/>
        </w:rPr>
        <w:t>n</w:t>
      </w:r>
      <w:r w:rsidR="00744CB5" w:rsidRPr="003E3375">
        <w:rPr>
          <w:rFonts w:asciiTheme="minorHAnsi" w:hAnsiTheme="minorHAnsi" w:cstheme="minorHAnsi"/>
          <w:color w:val="000000" w:themeColor="text1"/>
        </w:rPr>
        <w:t xml:space="preserve"> any potential "explanations" received </w:t>
      </w:r>
      <w:r w:rsidR="00C704A6" w:rsidRPr="003E3375">
        <w:rPr>
          <w:rFonts w:asciiTheme="minorHAnsi" w:hAnsiTheme="minorHAnsi" w:cstheme="minorHAnsi"/>
          <w:color w:val="000000" w:themeColor="text1"/>
        </w:rPr>
        <w:t>could meaningfully impact the course of the investigation.</w:t>
      </w:r>
      <w:r w:rsidR="00710A41" w:rsidRPr="003E3375">
        <w:rPr>
          <w:rStyle w:val="FootnoteReference"/>
          <w:rFonts w:cstheme="minorHAnsi"/>
          <w:color w:val="000000" w:themeColor="text1"/>
        </w:rPr>
        <w:footnoteReference w:id="59"/>
      </w:r>
      <w:r w:rsidR="00C704A6" w:rsidRPr="003E3375">
        <w:rPr>
          <w:rFonts w:asciiTheme="minorHAnsi" w:hAnsiTheme="minorHAnsi" w:cstheme="minorHAnsi"/>
          <w:color w:val="000000" w:themeColor="text1"/>
        </w:rPr>
        <w:t xml:space="preserve"> </w:t>
      </w:r>
      <w:r w:rsidR="00D62338" w:rsidRPr="003E3375">
        <w:rPr>
          <w:rFonts w:asciiTheme="minorHAnsi" w:hAnsiTheme="minorHAnsi" w:cstheme="minorHAnsi"/>
          <w:color w:val="000000" w:themeColor="text1"/>
        </w:rPr>
        <w:t>It failed to do so.</w:t>
      </w:r>
    </w:p>
    <w:p w14:paraId="353A6006" w14:textId="79FF7AE3"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Further</w:t>
      </w:r>
      <w:r w:rsidR="00BC56F1"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assuming </w:t>
      </w:r>
      <w:r w:rsidRPr="003E3375">
        <w:rPr>
          <w:rFonts w:asciiTheme="minorHAnsi" w:hAnsiTheme="minorHAnsi" w:cstheme="minorHAnsi"/>
          <w:i/>
          <w:iCs/>
          <w:color w:val="000000" w:themeColor="text1"/>
        </w:rPr>
        <w:t>arguendo</w:t>
      </w:r>
      <w:r w:rsidRPr="003E3375">
        <w:rPr>
          <w:rFonts w:asciiTheme="minorHAnsi" w:hAnsiTheme="minorHAnsi" w:cstheme="minorHAnsi"/>
          <w:color w:val="000000" w:themeColor="text1"/>
        </w:rPr>
        <w:t xml:space="preserve"> that non-existent information was necessary and that MOFCOM permissibly disregarded </w:t>
      </w:r>
      <w:r w:rsidRPr="003E3375">
        <w:rPr>
          <w:rFonts w:asciiTheme="minorHAnsi" w:hAnsiTheme="minorHAnsi" w:cstheme="minorHAnsi"/>
          <w:i/>
          <w:iCs/>
          <w:color w:val="000000" w:themeColor="text1"/>
        </w:rPr>
        <w:t>all</w:t>
      </w:r>
      <w:r w:rsidRPr="003E3375">
        <w:rPr>
          <w:rFonts w:asciiTheme="minorHAnsi" w:hAnsiTheme="minorHAnsi" w:cstheme="minorHAnsi"/>
          <w:color w:val="000000" w:themeColor="text1"/>
        </w:rPr>
        <w:t xml:space="preserve"> information provided by interested parties, paragraph 7 of Annex II </w:t>
      </w:r>
      <w:r w:rsidR="00BC56F1" w:rsidRPr="003E3375">
        <w:rPr>
          <w:rFonts w:asciiTheme="minorHAnsi" w:hAnsiTheme="minorHAnsi" w:cstheme="minorHAnsi"/>
          <w:color w:val="000000" w:themeColor="text1"/>
        </w:rPr>
        <w:t xml:space="preserve">required MOFCOM </w:t>
      </w:r>
      <w:r w:rsidR="00D055AA" w:rsidRPr="003E3375">
        <w:rPr>
          <w:rFonts w:asciiTheme="minorHAnsi" w:hAnsiTheme="minorHAnsi" w:cstheme="minorHAnsi"/>
          <w:color w:val="000000" w:themeColor="text1"/>
        </w:rPr>
        <w:t xml:space="preserve">to </w:t>
      </w:r>
      <w:r w:rsidRPr="003E3375">
        <w:rPr>
          <w:rFonts w:asciiTheme="minorHAnsi" w:hAnsiTheme="minorHAnsi" w:cstheme="minorHAnsi"/>
          <w:color w:val="000000" w:themeColor="text1"/>
        </w:rPr>
        <w:t>select replacement facts with special circumspection.</w:t>
      </w:r>
      <w:r w:rsidRPr="003E3375">
        <w:rPr>
          <w:rStyle w:val="FootnoteReference"/>
          <w:rFonts w:asciiTheme="minorHAnsi" w:hAnsiTheme="minorHAnsi" w:cstheme="minorHAnsi"/>
          <w:color w:val="000000" w:themeColor="text1"/>
        </w:rPr>
        <w:footnoteReference w:id="60"/>
      </w:r>
      <w:r w:rsidRPr="003E3375">
        <w:rPr>
          <w:rFonts w:asciiTheme="minorHAnsi" w:hAnsiTheme="minorHAnsi" w:cstheme="minorHAnsi"/>
          <w:color w:val="000000" w:themeColor="text1"/>
        </w:rPr>
        <w:t xml:space="preserve"> </w:t>
      </w:r>
      <w:r w:rsidR="00B877CF"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pecial circumspection ensures that anti-dumping investigations are conducted on the basis of information that is reliable</w:t>
      </w:r>
      <w:r w:rsidR="00D62338" w:rsidRPr="003E3375">
        <w:rPr>
          <w:rFonts w:asciiTheme="minorHAnsi" w:hAnsiTheme="minorHAnsi" w:cstheme="minorHAnsi"/>
          <w:color w:val="000000" w:themeColor="text1"/>
        </w:rPr>
        <w:t>,</w:t>
      </w:r>
      <w:r w:rsidRPr="003E3375">
        <w:rPr>
          <w:rFonts w:asciiTheme="minorHAnsi" w:hAnsiTheme="minorHAnsi" w:cstheme="minorHAnsi"/>
          <w:color w:val="000000" w:themeColor="text1"/>
          <w:vertAlign w:val="superscript"/>
        </w:rPr>
        <w:footnoteReference w:id="61"/>
      </w:r>
      <w:r w:rsidRPr="003E3375">
        <w:rPr>
          <w:rFonts w:asciiTheme="minorHAnsi" w:hAnsiTheme="minorHAnsi" w:cstheme="minorHAnsi"/>
          <w:color w:val="000000" w:themeColor="text1"/>
        </w:rPr>
        <w:t xml:space="preserve"> and with respect for due process.</w:t>
      </w:r>
      <w:r w:rsidRPr="003E3375">
        <w:rPr>
          <w:rStyle w:val="FootnoteReference"/>
          <w:rFonts w:asciiTheme="minorHAnsi" w:hAnsiTheme="minorHAnsi" w:cstheme="minorHAnsi"/>
          <w:color w:val="000000" w:themeColor="text1"/>
        </w:rPr>
        <w:footnoteReference w:id="62"/>
      </w:r>
      <w:r w:rsidRPr="003E3375">
        <w:rPr>
          <w:rFonts w:asciiTheme="minorHAnsi" w:hAnsiTheme="minorHAnsi" w:cstheme="minorHAnsi"/>
          <w:color w:val="000000" w:themeColor="text1"/>
        </w:rPr>
        <w:t xml:space="preserve"> MOFCOM undercut this purpose</w:t>
      </w:r>
      <w:r w:rsidR="0031297D" w:rsidRPr="003E3375">
        <w:rPr>
          <w:rFonts w:asciiTheme="minorHAnsi" w:hAnsiTheme="minorHAnsi" w:cstheme="minorHAnsi"/>
          <w:color w:val="000000" w:themeColor="text1"/>
        </w:rPr>
        <w:t>, and breached this obligation,</w:t>
      </w:r>
      <w:r w:rsidRPr="003E3375">
        <w:rPr>
          <w:rFonts w:asciiTheme="minorHAnsi" w:hAnsiTheme="minorHAnsi" w:cstheme="minorHAnsi"/>
          <w:color w:val="000000" w:themeColor="text1"/>
        </w:rPr>
        <w:t xml:space="preserve"> by selecting information that had no logical connection to the facts on the record and </w:t>
      </w:r>
      <w:r w:rsidR="004807CB" w:rsidRPr="003E3375">
        <w:rPr>
          <w:rFonts w:asciiTheme="minorHAnsi" w:hAnsiTheme="minorHAnsi" w:cstheme="minorHAnsi"/>
          <w:color w:val="000000" w:themeColor="text1"/>
        </w:rPr>
        <w:t xml:space="preserve">by </w:t>
      </w:r>
      <w:r w:rsidRPr="003E3375">
        <w:rPr>
          <w:rFonts w:asciiTheme="minorHAnsi" w:hAnsiTheme="minorHAnsi" w:cstheme="minorHAnsi"/>
          <w:color w:val="000000" w:themeColor="text1"/>
        </w:rPr>
        <w:t>providing no due process for interested parties.</w:t>
      </w:r>
    </w:p>
    <w:p w14:paraId="2B9E963E" w14:textId="13803FB3"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 determined that the best available information to determine normal value in Australia was the export price for two shipments of feed barley from Australia to Egypt, recorded in Global Trade Atlas. It did so without checking and analysing the sources of this data</w:t>
      </w:r>
      <w:r w:rsidR="00D24EF9" w:rsidRPr="003E3375">
        <w:rPr>
          <w:rFonts w:asciiTheme="minorHAnsi" w:hAnsiTheme="minorHAnsi" w:cstheme="minorHAnsi"/>
          <w:color w:val="000000" w:themeColor="text1"/>
        </w:rPr>
        <w:t>, contrary to paragraph 7 of Annex II</w:t>
      </w:r>
      <w:r w:rsidRPr="003E3375">
        <w:rPr>
          <w:rFonts w:asciiTheme="minorHAnsi" w:hAnsiTheme="minorHAnsi" w:cstheme="minorHAnsi"/>
          <w:color w:val="000000" w:themeColor="text1"/>
        </w:rPr>
        <w:t>.</w:t>
      </w:r>
      <w:r w:rsidR="00D24EF9" w:rsidRPr="003E3375">
        <w:rPr>
          <w:rStyle w:val="FootnoteReference"/>
          <w:rFonts w:asciiTheme="minorHAnsi" w:hAnsiTheme="minorHAnsi" w:cstheme="minorHAnsi"/>
          <w:color w:val="000000" w:themeColor="text1"/>
        </w:rPr>
        <w:footnoteReference w:id="63"/>
      </w:r>
      <w:r w:rsidRPr="003E3375">
        <w:rPr>
          <w:rFonts w:asciiTheme="minorHAnsi" w:hAnsiTheme="minorHAnsi" w:cstheme="minorHAnsi"/>
          <w:color w:val="000000" w:themeColor="text1"/>
        </w:rPr>
        <w:t xml:space="preserve"> </w:t>
      </w:r>
      <w:r w:rsidR="000663AF" w:rsidRPr="003E3375">
        <w:rPr>
          <w:rFonts w:asciiTheme="minorHAnsi" w:hAnsiTheme="minorHAnsi" w:cstheme="minorHAnsi"/>
          <w:color w:val="000000" w:themeColor="text1"/>
        </w:rPr>
        <w:t>MOFCOM's</w:t>
      </w:r>
      <w:r w:rsidRPr="003E3375">
        <w:rPr>
          <w:rFonts w:asciiTheme="minorHAnsi" w:hAnsiTheme="minorHAnsi" w:cstheme="minorHAnsi"/>
          <w:color w:val="000000" w:themeColor="text1"/>
        </w:rPr>
        <w:t xml:space="preserve"> lack of analysis is clear</w:t>
      </w:r>
      <w:r w:rsidR="00BC4013" w:rsidRPr="003E3375">
        <w:rPr>
          <w:rFonts w:asciiTheme="minorHAnsi" w:hAnsiTheme="minorHAnsi" w:cstheme="minorHAnsi"/>
          <w:color w:val="000000" w:themeColor="text1"/>
        </w:rPr>
        <w:t>. H</w:t>
      </w:r>
      <w:r w:rsidRPr="003E3375">
        <w:rPr>
          <w:rFonts w:asciiTheme="minorHAnsi" w:hAnsiTheme="minorHAnsi" w:cstheme="minorHAnsi"/>
          <w:color w:val="000000" w:themeColor="text1"/>
        </w:rPr>
        <w:t xml:space="preserve">ad </w:t>
      </w:r>
      <w:r w:rsidR="00BC4013" w:rsidRPr="003E3375">
        <w:rPr>
          <w:rFonts w:asciiTheme="minorHAnsi" w:hAnsiTheme="minorHAnsi" w:cstheme="minorHAnsi"/>
          <w:color w:val="000000" w:themeColor="text1"/>
        </w:rPr>
        <w:t xml:space="preserve">it </w:t>
      </w:r>
      <w:r w:rsidRPr="003E3375">
        <w:rPr>
          <w:rFonts w:asciiTheme="minorHAnsi" w:hAnsiTheme="minorHAnsi" w:cstheme="minorHAnsi"/>
          <w:color w:val="000000" w:themeColor="text1"/>
        </w:rPr>
        <w:t>acted in a manner compliant with paragraph 7, it would have remarked that its chosen replacement data was inconsistent with its own record.</w:t>
      </w:r>
      <w:r w:rsidRPr="003E3375">
        <w:rPr>
          <w:rStyle w:val="FootnoteReference"/>
          <w:rFonts w:asciiTheme="minorHAnsi" w:hAnsiTheme="minorHAnsi" w:cstheme="minorHAnsi"/>
          <w:color w:val="000000" w:themeColor="text1"/>
        </w:rPr>
        <w:footnoteReference w:id="64"/>
      </w:r>
      <w:r w:rsidRPr="003E3375">
        <w:rPr>
          <w:rFonts w:asciiTheme="minorHAnsi" w:hAnsiTheme="minorHAnsi" w:cstheme="minorHAnsi"/>
          <w:color w:val="000000" w:themeColor="text1"/>
        </w:rPr>
        <w:t xml:space="preserve"> In particular, the export price to Egypt was inconsistent with CICC's estimations of normal value, trader and producer records of domestic sales prices, the Australian Government Questionnaire Response data, publicly available </w:t>
      </w:r>
      <w:r w:rsidRPr="003E3375">
        <w:rPr>
          <w:rFonts w:asciiTheme="minorHAnsi" w:hAnsiTheme="minorHAnsi" w:cstheme="minorHAnsi"/>
          <w:color w:val="000000" w:themeColor="text1"/>
        </w:rPr>
        <w:lastRenderedPageBreak/>
        <w:t>Australian sales data that MOFCOM used elsewhere in its calculations, and the other information available on Global Trade Atlas.</w:t>
      </w:r>
    </w:p>
    <w:p w14:paraId="7DF693F9" w14:textId="0F448059"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 determined that the best available information to determine export price was the monthly averages </w:t>
      </w:r>
      <w:r w:rsidR="00BF2C94" w:rsidRPr="003E3375">
        <w:rPr>
          <w:rFonts w:asciiTheme="minorHAnsi" w:hAnsiTheme="minorHAnsi" w:cstheme="minorHAnsi"/>
          <w:color w:val="000000" w:themeColor="text1"/>
        </w:rPr>
        <w:t xml:space="preserve">of Australia's total barley exports to China </w:t>
      </w:r>
      <w:r w:rsidRPr="003E3375">
        <w:rPr>
          <w:rFonts w:asciiTheme="minorHAnsi" w:hAnsiTheme="minorHAnsi" w:cstheme="minorHAnsi"/>
          <w:color w:val="000000" w:themeColor="text1"/>
        </w:rPr>
        <w:t xml:space="preserve">from Global Trade Atlas. Again, had it checked this source against record evidence, MOFCOM could have seen clear inconsistencies. In addition, </w:t>
      </w:r>
      <w:r w:rsidR="00EA4178" w:rsidRPr="003E3375">
        <w:rPr>
          <w:rFonts w:asciiTheme="minorHAnsi" w:hAnsiTheme="minorHAnsi" w:cstheme="minorHAnsi"/>
          <w:color w:val="000000" w:themeColor="text1"/>
        </w:rPr>
        <w:t>MOFCOM's</w:t>
      </w:r>
      <w:r w:rsidRPr="003E3375">
        <w:rPr>
          <w:rFonts w:asciiTheme="minorHAnsi" w:hAnsiTheme="minorHAnsi" w:cstheme="minorHAnsi"/>
          <w:color w:val="000000" w:themeColor="text1"/>
        </w:rPr>
        <w:t xml:space="preserve"> decision to use broad averages made it impossible to determine individual export prices for Australian traders and producers as </w:t>
      </w:r>
      <w:r w:rsidR="002D11B2" w:rsidRPr="003E3375">
        <w:rPr>
          <w:rFonts w:asciiTheme="minorHAnsi" w:hAnsiTheme="minorHAnsi" w:cstheme="minorHAnsi"/>
          <w:color w:val="000000" w:themeColor="text1"/>
        </w:rPr>
        <w:t>the Anti-Dumping Agreement requires</w:t>
      </w:r>
      <w:r w:rsidRPr="003E3375">
        <w:rPr>
          <w:rFonts w:asciiTheme="minorHAnsi" w:hAnsiTheme="minorHAnsi" w:cstheme="minorHAnsi"/>
          <w:color w:val="000000" w:themeColor="text1"/>
        </w:rPr>
        <w:t>.</w:t>
      </w:r>
      <w:r w:rsidRPr="003E3375">
        <w:rPr>
          <w:rFonts w:asciiTheme="minorHAnsi" w:hAnsiTheme="minorHAnsi" w:cstheme="minorHAnsi"/>
          <w:color w:val="000000" w:themeColor="text1"/>
          <w:vertAlign w:val="superscript"/>
        </w:rPr>
        <w:footnoteReference w:id="65"/>
      </w:r>
    </w:p>
    <w:p w14:paraId="7797B449" w14:textId="4CA90246"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 selected replacement facts that resulted in a margin so illogical that it was punitive without reason,</w:t>
      </w:r>
      <w:r w:rsidR="00C37C6B" w:rsidRPr="003E3375">
        <w:rPr>
          <w:rStyle w:val="FootnoteReference"/>
          <w:rFonts w:cstheme="minorHAnsi"/>
          <w:color w:val="000000" w:themeColor="text1"/>
        </w:rPr>
        <w:footnoteReference w:id="66"/>
      </w:r>
      <w:r w:rsidRPr="003E3375">
        <w:rPr>
          <w:rFonts w:asciiTheme="minorHAnsi" w:hAnsiTheme="minorHAnsi" w:cstheme="minorHAnsi"/>
          <w:color w:val="000000" w:themeColor="text1"/>
        </w:rPr>
        <w:t xml:space="preserve"> and incomprehensibly applied this same margin to all traders and producers identically.</w:t>
      </w:r>
    </w:p>
    <w:p w14:paraId="11EC460A" w14:textId="77777777" w:rsidR="00191641" w:rsidRPr="003E3375" w:rsidRDefault="00191641" w:rsidP="00E72E98">
      <w:pPr>
        <w:pStyle w:val="HL2HeadingLevel2"/>
        <w:spacing w:line="276" w:lineRule="auto"/>
        <w:rPr>
          <w:rFonts w:asciiTheme="minorHAnsi" w:hAnsiTheme="minorHAnsi" w:cstheme="minorHAnsi"/>
          <w:color w:val="000000" w:themeColor="text1"/>
        </w:rPr>
      </w:pPr>
      <w:bookmarkStart w:id="15" w:name="_Toc114492225"/>
      <w:r w:rsidRPr="003E3375">
        <w:rPr>
          <w:rFonts w:asciiTheme="minorHAnsi" w:hAnsiTheme="minorHAnsi" w:cstheme="minorHAnsi"/>
          <w:color w:val="000000" w:themeColor="text1"/>
        </w:rPr>
        <w:t>Improper comparison of normal value and export price</w:t>
      </w:r>
      <w:bookmarkEnd w:id="15"/>
    </w:p>
    <w:p w14:paraId="3047A84E" w14:textId="1896BCC6" w:rsidR="00191641" w:rsidRPr="003E3375" w:rsidRDefault="00D0595D"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Article 2 </w:t>
      </w:r>
      <w:r w:rsidR="00551A7A" w:rsidRPr="003E3375">
        <w:rPr>
          <w:rFonts w:asciiTheme="minorHAnsi" w:hAnsiTheme="minorHAnsi" w:cstheme="minorHAnsi"/>
          <w:color w:val="000000" w:themeColor="text1"/>
        </w:rPr>
        <w:t xml:space="preserve">of the Anti-Dumping Agreement </w:t>
      </w:r>
      <w:r w:rsidRPr="003E3375">
        <w:rPr>
          <w:rFonts w:asciiTheme="minorHAnsi" w:hAnsiTheme="minorHAnsi" w:cstheme="minorHAnsi"/>
          <w:color w:val="000000" w:themeColor="text1"/>
        </w:rPr>
        <w:t xml:space="preserve">governs the determination of normal value and export price and the comparison of these values to arrive at an accurate determination of dumping. MOFCOM failed to comply with </w:t>
      </w:r>
      <w:r w:rsidR="006F37F6" w:rsidRPr="003E3375">
        <w:rPr>
          <w:rFonts w:asciiTheme="minorHAnsi" w:hAnsiTheme="minorHAnsi" w:cstheme="minorHAnsi"/>
          <w:color w:val="000000" w:themeColor="text1"/>
        </w:rPr>
        <w:t>its obligations under this article</w:t>
      </w:r>
      <w:r w:rsidR="00191641" w:rsidRPr="003E3375">
        <w:rPr>
          <w:rFonts w:asciiTheme="minorHAnsi" w:hAnsiTheme="minorHAnsi" w:cstheme="minorHAnsi"/>
          <w:color w:val="000000" w:themeColor="text1"/>
        </w:rPr>
        <w:t>.</w:t>
      </w:r>
      <w:r w:rsidR="00191641" w:rsidRPr="003E3375">
        <w:rPr>
          <w:rStyle w:val="FootnoteReference"/>
          <w:rFonts w:asciiTheme="minorHAnsi" w:hAnsiTheme="minorHAnsi" w:cstheme="minorHAnsi"/>
          <w:color w:val="000000" w:themeColor="text1"/>
        </w:rPr>
        <w:footnoteReference w:id="67"/>
      </w:r>
    </w:p>
    <w:p w14:paraId="4810746E" w14:textId="66087CA7"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Pursuant to Article 2.4, an investigating authority must make a fair comparison between normal value and export price. It must consider requests for price adjustments and make due allowance for factors affecting price comparability. It must also inform interested parties what information is necessary to ensure a fair comparison.</w:t>
      </w:r>
      <w:r w:rsidR="008A0EB2" w:rsidRPr="003E3375">
        <w:rPr>
          <w:rStyle w:val="FootnoteReference"/>
          <w:rFonts w:cstheme="minorHAnsi"/>
          <w:color w:val="000000" w:themeColor="text1"/>
        </w:rPr>
        <w:footnoteReference w:id="68"/>
      </w:r>
    </w:p>
    <w:p w14:paraId="3A4F6D5D" w14:textId="5B815C45" w:rsidR="00191641" w:rsidRPr="003E3375" w:rsidRDefault="009F52BF"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Several </w:t>
      </w:r>
      <w:r w:rsidR="00191641" w:rsidRPr="003E3375">
        <w:rPr>
          <w:rFonts w:asciiTheme="minorHAnsi" w:hAnsiTheme="minorHAnsi" w:cstheme="minorHAnsi"/>
          <w:color w:val="000000" w:themeColor="text1"/>
        </w:rPr>
        <w:t xml:space="preserve">interested parties </w:t>
      </w:r>
      <w:r w:rsidRPr="003E3375">
        <w:rPr>
          <w:rFonts w:asciiTheme="minorHAnsi" w:hAnsiTheme="minorHAnsi" w:cstheme="minorHAnsi"/>
          <w:color w:val="000000" w:themeColor="text1"/>
        </w:rPr>
        <w:t xml:space="preserve">made clear and uncomplicated price adjustment requests in the brief time they </w:t>
      </w:r>
      <w:r w:rsidR="00191641" w:rsidRPr="003E3375">
        <w:rPr>
          <w:rFonts w:asciiTheme="minorHAnsi" w:hAnsiTheme="minorHAnsi" w:cstheme="minorHAnsi"/>
          <w:color w:val="000000" w:themeColor="text1"/>
        </w:rPr>
        <w:t xml:space="preserve">were afforded to respond to MOFCOM's decision to use data of export sales to Egypt to determine the normal value of Australian barley. The </w:t>
      </w:r>
      <w:r w:rsidR="006A76A6" w:rsidRPr="003E3375">
        <w:rPr>
          <w:rFonts w:asciiTheme="minorHAnsi" w:hAnsiTheme="minorHAnsi" w:cstheme="minorHAnsi"/>
          <w:color w:val="000000" w:themeColor="text1"/>
        </w:rPr>
        <w:t>requests</w:t>
      </w:r>
      <w:r w:rsidR="00191641" w:rsidRPr="003E3375">
        <w:rPr>
          <w:rFonts w:asciiTheme="minorHAnsi" w:hAnsiTheme="minorHAnsi" w:cstheme="minorHAnsi"/>
          <w:color w:val="000000" w:themeColor="text1"/>
        </w:rPr>
        <w:t xml:space="preserve"> were similar to </w:t>
      </w:r>
      <w:r w:rsidR="006A76A6" w:rsidRPr="003E3375">
        <w:rPr>
          <w:rFonts w:asciiTheme="minorHAnsi" w:hAnsiTheme="minorHAnsi" w:cstheme="minorHAnsi"/>
          <w:color w:val="000000" w:themeColor="text1"/>
        </w:rPr>
        <w:t xml:space="preserve">concerns </w:t>
      </w:r>
      <w:r w:rsidR="00E457A3" w:rsidRPr="003E3375">
        <w:rPr>
          <w:rFonts w:asciiTheme="minorHAnsi" w:hAnsiTheme="minorHAnsi" w:cstheme="minorHAnsi"/>
          <w:color w:val="000000" w:themeColor="text1"/>
        </w:rPr>
        <w:t xml:space="preserve">that interested parties </w:t>
      </w:r>
      <w:r w:rsidR="00191641" w:rsidRPr="003E3375">
        <w:rPr>
          <w:rFonts w:asciiTheme="minorHAnsi" w:hAnsiTheme="minorHAnsi" w:cstheme="minorHAnsi"/>
          <w:color w:val="000000" w:themeColor="text1"/>
        </w:rPr>
        <w:t>raised at the beginning of, and during, the investigation. Parties noted that factors including departure port, barley quality, volume, timing, and logistics costs would require price adjustments. In breach of Article 2.4, MOFCOM failed to make any price adjustments</w:t>
      </w:r>
      <w:r w:rsidR="006C7B6D" w:rsidRPr="003E3375">
        <w:rPr>
          <w:rFonts w:asciiTheme="minorHAnsi" w:hAnsiTheme="minorHAnsi" w:cstheme="minorHAnsi"/>
          <w:color w:val="000000" w:themeColor="text1"/>
        </w:rPr>
        <w:t>,</w:t>
      </w:r>
      <w:r w:rsidR="00191641" w:rsidRPr="003E3375">
        <w:rPr>
          <w:rFonts w:asciiTheme="minorHAnsi" w:hAnsiTheme="minorHAnsi" w:cstheme="minorHAnsi"/>
          <w:color w:val="000000" w:themeColor="text1"/>
        </w:rPr>
        <w:t xml:space="preserve"> despite ample evidence that such adjustments were merited.</w:t>
      </w:r>
      <w:r w:rsidR="00BF2C94" w:rsidRPr="003E3375">
        <w:rPr>
          <w:rStyle w:val="FootnoteReference"/>
          <w:rFonts w:cstheme="minorHAnsi"/>
          <w:color w:val="000000" w:themeColor="text1"/>
        </w:rPr>
        <w:footnoteReference w:id="69"/>
      </w:r>
      <w:r w:rsidR="00191641" w:rsidRPr="003E3375">
        <w:rPr>
          <w:rFonts w:asciiTheme="minorHAnsi" w:hAnsiTheme="minorHAnsi" w:cstheme="minorHAnsi"/>
          <w:color w:val="000000" w:themeColor="text1"/>
        </w:rPr>
        <w:t xml:space="preserve"> Furthermore, MOFCOM did not inform interested parties what information was necessary to ensure fair comparison between export sales to Egypt and export sales to China.</w:t>
      </w:r>
      <w:r w:rsidR="00BF2C94" w:rsidRPr="003E3375">
        <w:rPr>
          <w:rStyle w:val="FootnoteReference"/>
          <w:rFonts w:cstheme="minorHAnsi"/>
          <w:color w:val="000000" w:themeColor="text1"/>
        </w:rPr>
        <w:footnoteReference w:id="70"/>
      </w:r>
      <w:r w:rsidR="00191641" w:rsidRPr="003E3375">
        <w:rPr>
          <w:rFonts w:asciiTheme="minorHAnsi" w:hAnsiTheme="minorHAnsi" w:cstheme="minorHAnsi"/>
          <w:color w:val="000000" w:themeColor="text1"/>
        </w:rPr>
        <w:t xml:space="preserve"> </w:t>
      </w:r>
    </w:p>
    <w:p w14:paraId="1423549E" w14:textId="5E9F5E54"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 </w:t>
      </w:r>
      <w:r w:rsidR="00755C5D" w:rsidRPr="003E3375">
        <w:rPr>
          <w:rFonts w:asciiTheme="minorHAnsi" w:hAnsiTheme="minorHAnsi" w:cstheme="minorHAnsi"/>
          <w:color w:val="000000" w:themeColor="text1"/>
        </w:rPr>
        <w:t xml:space="preserve">also </w:t>
      </w:r>
      <w:r w:rsidRPr="003E3375">
        <w:rPr>
          <w:rFonts w:asciiTheme="minorHAnsi" w:hAnsiTheme="minorHAnsi" w:cstheme="minorHAnsi"/>
          <w:color w:val="000000" w:themeColor="text1"/>
        </w:rPr>
        <w:t xml:space="preserve">did not observe the clear requirements of the second sentence of Article 2.4. First, MOFCOM did not provide any evidence that the comparison </w:t>
      </w:r>
      <w:r w:rsidRPr="003E3375">
        <w:rPr>
          <w:rFonts w:asciiTheme="minorHAnsi" w:hAnsiTheme="minorHAnsi" w:cstheme="minorHAnsi"/>
          <w:color w:val="000000" w:themeColor="text1"/>
          <w:lang w:val="en-US"/>
        </w:rPr>
        <w:t xml:space="preserve">occurred at the same level of trade, citing no evidence that the sales </w:t>
      </w:r>
      <w:r w:rsidR="004A1879" w:rsidRPr="003E3375">
        <w:rPr>
          <w:rFonts w:asciiTheme="minorHAnsi" w:hAnsiTheme="minorHAnsi" w:cstheme="minorHAnsi"/>
          <w:color w:val="000000" w:themeColor="text1"/>
          <w:lang w:val="en-US"/>
        </w:rPr>
        <w:t xml:space="preserve">on which </w:t>
      </w:r>
      <w:r w:rsidRPr="003E3375">
        <w:rPr>
          <w:rFonts w:asciiTheme="minorHAnsi" w:hAnsiTheme="minorHAnsi" w:cstheme="minorHAnsi"/>
          <w:color w:val="000000" w:themeColor="text1"/>
          <w:lang w:val="en-US"/>
        </w:rPr>
        <w:t xml:space="preserve">normal value and export price </w:t>
      </w:r>
      <w:r w:rsidRPr="003E3375">
        <w:rPr>
          <w:rFonts w:asciiTheme="minorHAnsi" w:hAnsiTheme="minorHAnsi" w:cstheme="minorHAnsi"/>
          <w:color w:val="000000" w:themeColor="text1"/>
          <w:lang w:val="en-US"/>
        </w:rPr>
        <w:lastRenderedPageBreak/>
        <w:t>were based were made to purchasers at the same level of trade.</w:t>
      </w:r>
      <w:r w:rsidRPr="003E3375">
        <w:rPr>
          <w:rStyle w:val="FootnoteReference"/>
          <w:rFonts w:asciiTheme="minorHAnsi" w:hAnsiTheme="minorHAnsi" w:cstheme="minorHAnsi"/>
          <w:color w:val="000000" w:themeColor="text1"/>
        </w:rPr>
        <w:footnoteReference w:id="71"/>
      </w:r>
      <w:r w:rsidRPr="003E3375">
        <w:rPr>
          <w:rFonts w:asciiTheme="minorHAnsi" w:hAnsiTheme="minorHAnsi" w:cstheme="minorHAnsi"/>
          <w:color w:val="000000" w:themeColor="text1"/>
          <w:lang w:val="en-US"/>
        </w:rPr>
        <w:t xml:space="preserve"> Second, MOFCOM did not compare transactions made "at as nearly as possible the same time". Although China argues that transactions within the 12-month POI are comparable, accepting this position would disregard the substantial evidence on MOFCOM's record that timing of sales impacts the market price of barley. </w:t>
      </w:r>
      <w:r w:rsidR="002A015D" w:rsidRPr="003E3375">
        <w:rPr>
          <w:rFonts w:asciiTheme="minorHAnsi" w:hAnsiTheme="minorHAnsi" w:cstheme="minorHAnsi"/>
          <w:color w:val="000000" w:themeColor="text1"/>
          <w:lang w:val="en-US"/>
        </w:rPr>
        <w:t xml:space="preserve">In its argument, </w:t>
      </w:r>
      <w:r w:rsidRPr="003E3375">
        <w:rPr>
          <w:rFonts w:asciiTheme="minorHAnsi" w:hAnsiTheme="minorHAnsi" w:cstheme="minorHAnsi"/>
          <w:color w:val="000000" w:themeColor="text1"/>
          <w:lang w:val="en-US"/>
        </w:rPr>
        <w:t>China conflates the requirement to determine a POI with the requirement to ensure transactions are compared at as nearly as possible the same time; the</w:t>
      </w:r>
      <w:r w:rsidR="002A015D" w:rsidRPr="003E3375">
        <w:rPr>
          <w:rFonts w:asciiTheme="minorHAnsi" w:hAnsiTheme="minorHAnsi" w:cstheme="minorHAnsi"/>
          <w:color w:val="000000" w:themeColor="text1"/>
          <w:lang w:val="en-US"/>
        </w:rPr>
        <w:t>se two</w:t>
      </w:r>
      <w:r w:rsidRPr="003E3375">
        <w:rPr>
          <w:rFonts w:asciiTheme="minorHAnsi" w:hAnsiTheme="minorHAnsi" w:cstheme="minorHAnsi"/>
          <w:color w:val="000000" w:themeColor="text1"/>
          <w:lang w:val="en-US"/>
        </w:rPr>
        <w:t xml:space="preserve"> requirements serve different purposes.</w:t>
      </w:r>
      <w:r w:rsidRPr="003E3375">
        <w:rPr>
          <w:rStyle w:val="FootnoteReference"/>
          <w:rFonts w:asciiTheme="minorHAnsi" w:hAnsiTheme="minorHAnsi" w:cstheme="minorHAnsi"/>
          <w:color w:val="000000" w:themeColor="text1"/>
          <w:lang w:val="en-US"/>
        </w:rPr>
        <w:footnoteReference w:id="72"/>
      </w:r>
      <w:r w:rsidRPr="003E3375">
        <w:rPr>
          <w:rFonts w:asciiTheme="minorHAnsi" w:hAnsiTheme="minorHAnsi" w:cstheme="minorHAnsi"/>
          <w:color w:val="000000" w:themeColor="text1"/>
          <w:lang w:val="en-US"/>
        </w:rPr>
        <w:t xml:space="preserve"> </w:t>
      </w:r>
    </w:p>
    <w:p w14:paraId="2A71DDFB" w14:textId="77777777"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Both as a result of the failures detailed above, and due to its overall failure to compare normal value and export price fairly, MOFCOM failed the overarching obligation in Article 2.4 to conduct a fair comparison between normal value and export price.</w:t>
      </w:r>
      <w:r w:rsidRPr="003E3375">
        <w:rPr>
          <w:rStyle w:val="FootnoteReference"/>
          <w:rFonts w:asciiTheme="minorHAnsi" w:hAnsiTheme="minorHAnsi" w:cstheme="minorHAnsi"/>
          <w:color w:val="000000" w:themeColor="text1"/>
        </w:rPr>
        <w:footnoteReference w:id="73"/>
      </w:r>
      <w:r w:rsidRPr="003E3375">
        <w:rPr>
          <w:rFonts w:asciiTheme="minorHAnsi" w:hAnsiTheme="minorHAnsi" w:cstheme="minorHAnsi"/>
          <w:color w:val="000000" w:themeColor="text1"/>
        </w:rPr>
        <w:t xml:space="preserve"> </w:t>
      </w:r>
    </w:p>
    <w:p w14:paraId="6D5DC2F1" w14:textId="17690356" w:rsidR="00191641" w:rsidRPr="003E3375" w:rsidRDefault="00191641">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In addition to Article 2.4, Article 2.4.2 requires that an investigating authority</w:t>
      </w:r>
      <w:r w:rsidR="005A13DA" w:rsidRPr="003E3375">
        <w:rPr>
          <w:rFonts w:asciiTheme="minorHAnsi" w:hAnsiTheme="minorHAnsi" w:cstheme="minorHAnsi"/>
          <w:color w:val="000000" w:themeColor="text1"/>
        </w:rPr>
        <w:t xml:space="preserve"> establish existence of a margin of dumping</w:t>
      </w:r>
      <w:r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lang w:val="en-CA"/>
        </w:rPr>
        <w:t>base</w:t>
      </w:r>
      <w:r w:rsidR="005A13DA" w:rsidRPr="003E3375">
        <w:rPr>
          <w:rFonts w:asciiTheme="minorHAnsi" w:hAnsiTheme="minorHAnsi" w:cstheme="minorHAnsi"/>
          <w:color w:val="000000" w:themeColor="text1"/>
          <w:lang w:val="en-CA"/>
        </w:rPr>
        <w:t>d on</w:t>
      </w:r>
      <w:r w:rsidRPr="003E3375">
        <w:rPr>
          <w:rFonts w:asciiTheme="minorHAnsi" w:hAnsiTheme="minorHAnsi" w:cstheme="minorHAnsi"/>
          <w:color w:val="000000" w:themeColor="text1"/>
          <w:lang w:val="en-CA"/>
        </w:rPr>
        <w:t xml:space="preserve"> </w:t>
      </w:r>
      <w:r w:rsidR="005407C2" w:rsidRPr="003E3375">
        <w:rPr>
          <w:rFonts w:asciiTheme="minorHAnsi" w:hAnsiTheme="minorHAnsi" w:cstheme="minorHAnsi"/>
          <w:color w:val="000000" w:themeColor="text1"/>
          <w:lang w:val="en-CA"/>
        </w:rPr>
        <w:t xml:space="preserve">a </w:t>
      </w:r>
      <w:r w:rsidRPr="003E3375">
        <w:rPr>
          <w:rFonts w:asciiTheme="minorHAnsi" w:hAnsiTheme="minorHAnsi" w:cstheme="minorHAnsi"/>
          <w:color w:val="000000" w:themeColor="text1"/>
        </w:rPr>
        <w:t xml:space="preserve">comparison of weighted average normal value with weighted average of prices of "comparable" export transactions. MOFCOM did not do this and </w:t>
      </w:r>
      <w:r w:rsidR="005407C2" w:rsidRPr="003E3375">
        <w:rPr>
          <w:rFonts w:asciiTheme="minorHAnsi" w:hAnsiTheme="minorHAnsi" w:cstheme="minorHAnsi"/>
          <w:color w:val="000000" w:themeColor="text1"/>
        </w:rPr>
        <w:t xml:space="preserve">instead </w:t>
      </w:r>
      <w:r w:rsidRPr="003E3375">
        <w:rPr>
          <w:rFonts w:asciiTheme="minorHAnsi" w:hAnsiTheme="minorHAnsi" w:cstheme="minorHAnsi"/>
          <w:color w:val="000000" w:themeColor="text1"/>
        </w:rPr>
        <w:t>compared normal value to non-comparable export transactions, breaching Article 2.4.2 in addition to Article 2.4.</w:t>
      </w:r>
      <w:r w:rsidRPr="003E3375">
        <w:rPr>
          <w:rStyle w:val="FootnoteReference"/>
          <w:rFonts w:asciiTheme="minorHAnsi" w:hAnsiTheme="minorHAnsi" w:cstheme="minorHAnsi"/>
          <w:color w:val="000000" w:themeColor="text1"/>
        </w:rPr>
        <w:footnoteReference w:id="74"/>
      </w:r>
      <w:r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lang w:val="en-CA"/>
        </w:rPr>
        <w:t>Its dumping determination was therefore inaccurate, undermining the purpose of the Anti</w:t>
      </w:r>
      <w:r w:rsidR="00954E11" w:rsidRPr="003E3375">
        <w:rPr>
          <w:rFonts w:asciiTheme="minorHAnsi" w:hAnsiTheme="minorHAnsi" w:cstheme="minorHAnsi"/>
          <w:color w:val="000000" w:themeColor="text1"/>
          <w:lang w:val="en-CA"/>
        </w:rPr>
        <w:noBreakHyphen/>
      </w:r>
      <w:r w:rsidRPr="003E3375">
        <w:rPr>
          <w:rFonts w:asciiTheme="minorHAnsi" w:hAnsiTheme="minorHAnsi" w:cstheme="minorHAnsi"/>
          <w:color w:val="000000" w:themeColor="text1"/>
          <w:lang w:val="en-CA"/>
        </w:rPr>
        <w:t>Dumping Agreement to ensure accuracy in anti-dumping investigations.</w:t>
      </w:r>
    </w:p>
    <w:p w14:paraId="410C92CF" w14:textId="77777777" w:rsidR="00191641" w:rsidRPr="003E3375" w:rsidRDefault="00191641" w:rsidP="00E72E98">
      <w:pPr>
        <w:pStyle w:val="HL2HeadingLevel2"/>
        <w:spacing w:line="276" w:lineRule="auto"/>
        <w:rPr>
          <w:rFonts w:asciiTheme="minorHAnsi" w:hAnsiTheme="minorHAnsi" w:cstheme="minorHAnsi"/>
          <w:color w:val="000000" w:themeColor="text1"/>
        </w:rPr>
      </w:pPr>
      <w:bookmarkStart w:id="16" w:name="_Toc114492226"/>
      <w:r w:rsidRPr="003E3375">
        <w:rPr>
          <w:rFonts w:asciiTheme="minorHAnsi" w:hAnsiTheme="minorHAnsi" w:cstheme="minorHAnsi"/>
          <w:color w:val="000000" w:themeColor="text1"/>
        </w:rPr>
        <w:t>Failure to determine individual dumping margins</w:t>
      </w:r>
      <w:bookmarkEnd w:id="16"/>
    </w:p>
    <w:p w14:paraId="1A68E166" w14:textId="77777777"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 assigned identical margins to all Australian companies, contravening the obligation under Article 6.10 to determine individual dumping margins for each known exporter or producer. MOFCOM possessed sufficient information on the record to determine individual dumping margins for each known exporter or producer,</w:t>
      </w:r>
      <w:r w:rsidRPr="003E3375">
        <w:rPr>
          <w:rStyle w:val="FootnoteReference"/>
          <w:rFonts w:asciiTheme="minorHAnsi" w:hAnsiTheme="minorHAnsi" w:cstheme="minorHAnsi"/>
          <w:color w:val="000000" w:themeColor="text1"/>
        </w:rPr>
        <w:footnoteReference w:id="75"/>
      </w:r>
      <w:r w:rsidRPr="003E3375">
        <w:rPr>
          <w:rFonts w:asciiTheme="minorHAnsi" w:hAnsiTheme="minorHAnsi" w:cstheme="minorHAnsi"/>
          <w:color w:val="000000" w:themeColor="text1"/>
        </w:rPr>
        <w:t xml:space="preserve"> however, it instead undertook a single dumping margin calculation for all entities.</w:t>
      </w:r>
    </w:p>
    <w:p w14:paraId="26A7B6E1" w14:textId="2C83F1C7" w:rsidR="00191641" w:rsidRPr="003E3375" w:rsidRDefault="001C0D4B"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T</w:t>
      </w:r>
      <w:r w:rsidR="00B94CFE" w:rsidRPr="003E3375">
        <w:rPr>
          <w:rFonts w:asciiTheme="minorHAnsi" w:hAnsiTheme="minorHAnsi" w:cstheme="minorHAnsi"/>
          <w:color w:val="000000" w:themeColor="text1"/>
        </w:rPr>
        <w:t xml:space="preserve">he ordinary meaning of Article 6.10, </w:t>
      </w:r>
      <w:r w:rsidR="00E71DF9" w:rsidRPr="003E3375">
        <w:rPr>
          <w:rFonts w:asciiTheme="minorHAnsi" w:hAnsiTheme="minorHAnsi" w:cstheme="minorHAnsi"/>
          <w:color w:val="000000" w:themeColor="text1"/>
        </w:rPr>
        <w:t>in its context and in light of its object and purpose</w:t>
      </w:r>
      <w:r w:rsidR="00E11670" w:rsidRPr="003E3375">
        <w:rPr>
          <w:rFonts w:asciiTheme="minorHAnsi" w:hAnsiTheme="minorHAnsi" w:cstheme="minorHAnsi"/>
          <w:color w:val="000000" w:themeColor="text1"/>
        </w:rPr>
        <w:t>,</w:t>
      </w:r>
      <w:r w:rsidR="00E71DF9" w:rsidRPr="003E3375">
        <w:rPr>
          <w:rFonts w:asciiTheme="minorHAnsi" w:hAnsiTheme="minorHAnsi" w:cstheme="minorHAnsi"/>
          <w:color w:val="000000" w:themeColor="text1"/>
        </w:rPr>
        <w:t xml:space="preserve"> requires</w:t>
      </w:r>
      <w:r w:rsidR="00B94CFE" w:rsidRPr="003E3375">
        <w:rPr>
          <w:rFonts w:asciiTheme="minorHAnsi" w:hAnsiTheme="minorHAnsi" w:cstheme="minorHAnsi"/>
          <w:color w:val="000000" w:themeColor="text1"/>
        </w:rPr>
        <w:t xml:space="preserve"> an investigating authority </w:t>
      </w:r>
      <w:r w:rsidR="00E71DF9" w:rsidRPr="003E3375">
        <w:rPr>
          <w:rFonts w:asciiTheme="minorHAnsi" w:hAnsiTheme="minorHAnsi" w:cstheme="minorHAnsi"/>
          <w:color w:val="000000" w:themeColor="text1"/>
        </w:rPr>
        <w:t>to</w:t>
      </w:r>
      <w:r w:rsidR="00B94CFE" w:rsidRPr="003E3375">
        <w:rPr>
          <w:rFonts w:asciiTheme="minorHAnsi" w:hAnsiTheme="minorHAnsi" w:cstheme="minorHAnsi"/>
          <w:color w:val="000000" w:themeColor="text1"/>
        </w:rPr>
        <w:t xml:space="preserve"> determine an individual margin for </w:t>
      </w:r>
      <w:r w:rsidR="00E71DF9" w:rsidRPr="003E3375">
        <w:rPr>
          <w:rFonts w:asciiTheme="minorHAnsi" w:hAnsiTheme="minorHAnsi" w:cstheme="minorHAnsi"/>
          <w:i/>
          <w:iCs/>
          <w:color w:val="000000" w:themeColor="text1"/>
        </w:rPr>
        <w:t>each known producer and each know exporter</w:t>
      </w:r>
      <w:r w:rsidR="00B94CFE" w:rsidRPr="003E3375">
        <w:rPr>
          <w:rFonts w:asciiTheme="minorHAnsi" w:hAnsiTheme="minorHAnsi" w:cstheme="minorHAnsi"/>
          <w:color w:val="000000" w:themeColor="text1"/>
        </w:rPr>
        <w:t xml:space="preserve">. </w:t>
      </w:r>
      <w:r w:rsidR="00C037D1" w:rsidRPr="003E3375">
        <w:rPr>
          <w:rFonts w:asciiTheme="minorHAnsi" w:hAnsiTheme="minorHAnsi" w:cstheme="minorHAnsi"/>
          <w:color w:val="000000" w:themeColor="text1"/>
        </w:rPr>
        <w:t>W</w:t>
      </w:r>
      <w:r w:rsidR="00191641" w:rsidRPr="003E3375">
        <w:rPr>
          <w:rFonts w:asciiTheme="minorHAnsi" w:hAnsiTheme="minorHAnsi" w:cstheme="minorHAnsi"/>
          <w:color w:val="000000" w:themeColor="text1"/>
        </w:rPr>
        <w:t>hen preceded by "each", the ordinary meaning of "or" can be inclusive of multiple entities – a "set" – rather than indicating a choice between those entities.</w:t>
      </w:r>
      <w:r w:rsidR="00191641" w:rsidRPr="003E3375">
        <w:rPr>
          <w:rStyle w:val="FootnoteReference"/>
          <w:rFonts w:asciiTheme="minorHAnsi" w:hAnsiTheme="minorHAnsi" w:cstheme="minorHAnsi"/>
          <w:color w:val="000000" w:themeColor="text1"/>
        </w:rPr>
        <w:footnoteReference w:id="76"/>
      </w:r>
      <w:r w:rsidR="00191641" w:rsidRPr="003E3375">
        <w:rPr>
          <w:rFonts w:asciiTheme="minorHAnsi" w:hAnsiTheme="minorHAnsi" w:cstheme="minorHAnsi"/>
          <w:color w:val="000000" w:themeColor="text1"/>
        </w:rPr>
        <w:t xml:space="preserve"> This is the case in Article 6.10, where the relevant set is "each known exporter or producer concerned". This construction is common throughout the Agreement.</w:t>
      </w:r>
      <w:r w:rsidR="00191641" w:rsidRPr="003E3375">
        <w:rPr>
          <w:rStyle w:val="FootnoteReference"/>
          <w:rFonts w:asciiTheme="minorHAnsi" w:hAnsiTheme="minorHAnsi" w:cstheme="minorHAnsi"/>
          <w:color w:val="000000" w:themeColor="text1"/>
        </w:rPr>
        <w:footnoteReference w:id="77"/>
      </w:r>
      <w:r w:rsidR="00191641" w:rsidRPr="003E3375">
        <w:rPr>
          <w:rFonts w:asciiTheme="minorHAnsi" w:hAnsiTheme="minorHAnsi" w:cstheme="minorHAnsi"/>
          <w:color w:val="000000" w:themeColor="text1"/>
        </w:rPr>
        <w:t xml:space="preserve"> </w:t>
      </w:r>
      <w:r w:rsidR="004D42FC" w:rsidRPr="003E3375">
        <w:rPr>
          <w:rFonts w:asciiTheme="minorHAnsi" w:hAnsiTheme="minorHAnsi" w:cstheme="minorHAnsi"/>
          <w:color w:val="000000" w:themeColor="text1"/>
        </w:rPr>
        <w:t>Contrary to China's flawed interpretation, t</w:t>
      </w:r>
      <w:r w:rsidR="00191641" w:rsidRPr="003E3375">
        <w:rPr>
          <w:rFonts w:asciiTheme="minorHAnsi" w:hAnsiTheme="minorHAnsi" w:cstheme="minorHAnsi"/>
          <w:color w:val="000000" w:themeColor="text1"/>
        </w:rPr>
        <w:t>he ordinary meaning of the term "or", particularly in light of the context in Article 6.10 and</w:t>
      </w:r>
      <w:r w:rsidR="003369EF" w:rsidRPr="003E3375">
        <w:rPr>
          <w:rFonts w:asciiTheme="minorHAnsi" w:hAnsiTheme="minorHAnsi" w:cstheme="minorHAnsi"/>
          <w:color w:val="000000" w:themeColor="text1"/>
        </w:rPr>
        <w:t xml:space="preserve"> use</w:t>
      </w:r>
      <w:r w:rsidR="00191641" w:rsidRPr="003E3375">
        <w:rPr>
          <w:rFonts w:asciiTheme="minorHAnsi" w:hAnsiTheme="minorHAnsi" w:cstheme="minorHAnsi"/>
          <w:color w:val="000000" w:themeColor="text1"/>
        </w:rPr>
        <w:t xml:space="preserve"> elsewhere in the Agreement, is clearly inclusive.</w:t>
      </w:r>
    </w:p>
    <w:p w14:paraId="0B1FA41E" w14:textId="6BFDB800"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lastRenderedPageBreak/>
        <w:t>If</w:t>
      </w:r>
      <w:r w:rsidR="00FD7187" w:rsidRPr="003E3375">
        <w:rPr>
          <w:rFonts w:asciiTheme="minorHAnsi" w:hAnsiTheme="minorHAnsi" w:cstheme="minorHAnsi"/>
          <w:color w:val="000000" w:themeColor="text1"/>
        </w:rPr>
        <w:t>, as China argues,</w:t>
      </w:r>
      <w:r w:rsidRPr="003E3375">
        <w:rPr>
          <w:rFonts w:asciiTheme="minorHAnsi" w:hAnsiTheme="minorHAnsi" w:cstheme="minorHAnsi"/>
          <w:color w:val="000000" w:themeColor="text1"/>
        </w:rPr>
        <w:t xml:space="preserve"> the clear, mandatory,</w:t>
      </w:r>
      <w:r w:rsidRPr="003E3375">
        <w:rPr>
          <w:rFonts w:asciiTheme="minorHAnsi" w:hAnsiTheme="minorHAnsi" w:cstheme="minorHAnsi"/>
          <w:color w:val="000000" w:themeColor="text1"/>
          <w:vertAlign w:val="superscript"/>
        </w:rPr>
        <w:footnoteReference w:id="78"/>
      </w:r>
      <w:r w:rsidRPr="003E3375">
        <w:rPr>
          <w:rFonts w:asciiTheme="minorHAnsi" w:hAnsiTheme="minorHAnsi" w:cstheme="minorHAnsi"/>
          <w:color w:val="000000" w:themeColor="text1"/>
        </w:rPr>
        <w:t xml:space="preserve"> requirement to determine individual dumping margins only requires investigating authorities to determine individual margins for one category of entities, the obligation </w:t>
      </w:r>
      <w:r w:rsidR="007B5A04" w:rsidRPr="003E3375">
        <w:rPr>
          <w:rFonts w:asciiTheme="minorHAnsi" w:hAnsiTheme="minorHAnsi" w:cstheme="minorHAnsi"/>
          <w:color w:val="000000" w:themeColor="text1"/>
        </w:rPr>
        <w:t xml:space="preserve">under Article 6.10 </w:t>
      </w:r>
      <w:r w:rsidRPr="003E3375">
        <w:rPr>
          <w:rFonts w:asciiTheme="minorHAnsi" w:hAnsiTheme="minorHAnsi" w:cstheme="minorHAnsi"/>
          <w:color w:val="000000" w:themeColor="text1"/>
        </w:rPr>
        <w:t xml:space="preserve">is significantly weakened and leaves a practical, legal and factual void for the other category. </w:t>
      </w:r>
      <w:r w:rsidR="00143748" w:rsidRPr="003E3375">
        <w:rPr>
          <w:rFonts w:asciiTheme="minorHAnsi" w:hAnsiTheme="minorHAnsi" w:cstheme="minorHAnsi"/>
          <w:color w:val="000000" w:themeColor="text1"/>
        </w:rPr>
        <w:t>T</w:t>
      </w:r>
      <w:r w:rsidRPr="003E3375">
        <w:rPr>
          <w:rFonts w:asciiTheme="minorHAnsi" w:hAnsiTheme="minorHAnsi" w:cstheme="minorHAnsi"/>
          <w:color w:val="000000" w:themeColor="text1"/>
        </w:rPr>
        <w:t xml:space="preserve">he Panel </w:t>
      </w:r>
      <w:r w:rsidR="00143748" w:rsidRPr="003E3375">
        <w:rPr>
          <w:rFonts w:asciiTheme="minorHAnsi" w:hAnsiTheme="minorHAnsi" w:cstheme="minorHAnsi"/>
          <w:color w:val="000000" w:themeColor="text1"/>
        </w:rPr>
        <w:t xml:space="preserve">should not </w:t>
      </w:r>
      <w:r w:rsidRPr="003E3375">
        <w:rPr>
          <w:rFonts w:asciiTheme="minorHAnsi" w:hAnsiTheme="minorHAnsi" w:cstheme="minorHAnsi"/>
          <w:color w:val="000000" w:themeColor="text1"/>
        </w:rPr>
        <w:t xml:space="preserve">accept </w:t>
      </w:r>
      <w:r w:rsidR="003408CF" w:rsidRPr="003E3375">
        <w:rPr>
          <w:rFonts w:asciiTheme="minorHAnsi" w:hAnsiTheme="minorHAnsi" w:cstheme="minorHAnsi"/>
          <w:color w:val="000000" w:themeColor="text1"/>
        </w:rPr>
        <w:t>an interpretation of</w:t>
      </w:r>
      <w:r w:rsidRPr="003E3375">
        <w:rPr>
          <w:rFonts w:asciiTheme="minorHAnsi" w:hAnsiTheme="minorHAnsi" w:cstheme="minorHAnsi"/>
          <w:color w:val="000000" w:themeColor="text1"/>
        </w:rPr>
        <w:t xml:space="preserve"> Article 6.10 </w:t>
      </w:r>
      <w:r w:rsidR="003408CF" w:rsidRPr="003E3375">
        <w:rPr>
          <w:rFonts w:asciiTheme="minorHAnsi" w:hAnsiTheme="minorHAnsi" w:cstheme="minorHAnsi"/>
          <w:color w:val="000000" w:themeColor="text1"/>
        </w:rPr>
        <w:t xml:space="preserve">that </w:t>
      </w:r>
      <w:r w:rsidRPr="003E3375">
        <w:rPr>
          <w:rFonts w:asciiTheme="minorHAnsi" w:hAnsiTheme="minorHAnsi" w:cstheme="minorHAnsi"/>
          <w:color w:val="000000" w:themeColor="text1"/>
        </w:rPr>
        <w:t xml:space="preserve">allows an authority to arbitrarily assign a margin of dumping to an entire category of entities with no factual foundation, contrary to the object and purpose of the Agreement to ensure "objective decision-making based on facts". China's position would also render the second sentence of Article 6.10 </w:t>
      </w:r>
      <w:r w:rsidRPr="003E3375">
        <w:rPr>
          <w:rFonts w:asciiTheme="minorHAnsi" w:hAnsiTheme="minorHAnsi" w:cstheme="minorHAnsi"/>
          <w:i/>
          <w:iCs/>
          <w:color w:val="000000" w:themeColor="text1"/>
        </w:rPr>
        <w:t>inutile</w:t>
      </w:r>
      <w:r w:rsidRPr="003E3375">
        <w:rPr>
          <w:rFonts w:asciiTheme="minorHAnsi" w:hAnsiTheme="minorHAnsi" w:cstheme="minorHAnsi"/>
          <w:color w:val="000000" w:themeColor="text1"/>
        </w:rPr>
        <w:t>.</w:t>
      </w:r>
      <w:bookmarkStart w:id="17" w:name="_Hlk101528635"/>
      <w:r w:rsidRPr="003E3375">
        <w:rPr>
          <w:rStyle w:val="FootnoteReference"/>
          <w:rFonts w:asciiTheme="minorHAnsi" w:hAnsiTheme="minorHAnsi" w:cstheme="minorHAnsi"/>
          <w:color w:val="000000" w:themeColor="text1"/>
        </w:rPr>
        <w:footnoteReference w:id="79"/>
      </w:r>
      <w:bookmarkEnd w:id="17"/>
    </w:p>
    <w:p w14:paraId="57E7C639" w14:textId="77777777"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Although the panel in </w:t>
      </w:r>
      <w:r w:rsidRPr="003E3375">
        <w:rPr>
          <w:rFonts w:asciiTheme="minorHAnsi" w:hAnsiTheme="minorHAnsi" w:cstheme="minorHAnsi"/>
          <w:i/>
          <w:iCs/>
          <w:color w:val="000000" w:themeColor="text1"/>
        </w:rPr>
        <w:t>EC – Salmon (Norway)</w:t>
      </w:r>
      <w:r w:rsidRPr="003E3375">
        <w:rPr>
          <w:rFonts w:asciiTheme="minorHAnsi" w:hAnsiTheme="minorHAnsi" w:cstheme="minorHAnsi"/>
          <w:color w:val="000000" w:themeColor="text1"/>
        </w:rPr>
        <w:t xml:space="preserve"> found that the word "or" suggested that the drafters "intended that Members be left with discretion to choose the focus of their investigations", this related to an investigating authority choosing which companies to select in a sampling exercise under the second sentence, not the ordinary meaning of the first sentence.</w:t>
      </w:r>
      <w:r w:rsidRPr="003E3375">
        <w:rPr>
          <w:rStyle w:val="FootnoteReference"/>
          <w:rFonts w:asciiTheme="minorHAnsi" w:hAnsiTheme="minorHAnsi" w:cstheme="minorHAnsi"/>
          <w:color w:val="000000" w:themeColor="text1"/>
        </w:rPr>
        <w:footnoteReference w:id="80"/>
      </w:r>
    </w:p>
    <w:p w14:paraId="71AC62CE" w14:textId="44CFE7CA" w:rsidR="00191641" w:rsidRPr="003E3375" w:rsidRDefault="00191641"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lang w:val="en-CA"/>
        </w:rPr>
        <w:t xml:space="preserve">China's failure to determine individual dumping margins for Australian exporters and producers </w:t>
      </w:r>
      <w:r w:rsidR="00725AA9" w:rsidRPr="003E3375">
        <w:rPr>
          <w:rFonts w:asciiTheme="minorHAnsi" w:hAnsiTheme="minorHAnsi" w:cstheme="minorHAnsi"/>
          <w:color w:val="000000" w:themeColor="text1"/>
          <w:lang w:val="en-CA"/>
        </w:rPr>
        <w:t>is inconsistent with its obligations under</w:t>
      </w:r>
      <w:r w:rsidRPr="003E3375">
        <w:rPr>
          <w:rFonts w:asciiTheme="minorHAnsi" w:hAnsiTheme="minorHAnsi" w:cstheme="minorHAnsi"/>
          <w:color w:val="000000" w:themeColor="text1"/>
          <w:lang w:val="en-CA"/>
        </w:rPr>
        <w:t xml:space="preserve"> Article 6.10.</w:t>
      </w:r>
      <w:r w:rsidR="00465936" w:rsidRPr="003E3375">
        <w:rPr>
          <w:rFonts w:asciiTheme="minorHAnsi" w:hAnsiTheme="minorHAnsi" w:cstheme="minorHAnsi"/>
          <w:color w:val="000000" w:themeColor="text1"/>
          <w:lang w:val="en-CA"/>
        </w:rPr>
        <w:t xml:space="preserve"> of the Anti-Dumping Agreement.</w:t>
      </w:r>
    </w:p>
    <w:p w14:paraId="29DDD78E" w14:textId="088EA289" w:rsidR="00B25DA9" w:rsidRPr="003E3375" w:rsidRDefault="007E4185" w:rsidP="00E72E98">
      <w:pPr>
        <w:pStyle w:val="HL1HeadingLevel1"/>
        <w:spacing w:line="276" w:lineRule="auto"/>
        <w:rPr>
          <w:rFonts w:asciiTheme="minorHAnsi" w:hAnsiTheme="minorHAnsi" w:cstheme="minorHAnsi"/>
          <w:color w:val="000000" w:themeColor="text1"/>
        </w:rPr>
      </w:pPr>
      <w:bookmarkStart w:id="18" w:name="_Toc114492227"/>
      <w:r w:rsidRPr="003E3375">
        <w:rPr>
          <w:rFonts w:asciiTheme="minorHAnsi" w:hAnsiTheme="minorHAnsi" w:cstheme="minorHAnsi"/>
          <w:color w:val="000000" w:themeColor="text1"/>
        </w:rPr>
        <w:t>S</w:t>
      </w:r>
      <w:r w:rsidR="000F7FAB" w:rsidRPr="003E3375">
        <w:rPr>
          <w:rFonts w:asciiTheme="minorHAnsi" w:hAnsiTheme="minorHAnsi" w:cstheme="minorHAnsi"/>
          <w:color w:val="000000" w:themeColor="text1"/>
        </w:rPr>
        <w:t>ubsidy determination</w:t>
      </w:r>
      <w:bookmarkEnd w:id="18"/>
    </w:p>
    <w:p w14:paraId="644D6641" w14:textId="4FFEA47A"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China</w:t>
      </w:r>
      <w:r w:rsidR="00DC5633" w:rsidRPr="003E3375">
        <w:rPr>
          <w:rFonts w:asciiTheme="minorHAnsi" w:hAnsiTheme="minorHAnsi" w:cstheme="minorHAnsi"/>
          <w:color w:val="000000" w:themeColor="text1"/>
        </w:rPr>
        <w:t>'s countervailing duty measures are</w:t>
      </w:r>
      <w:r w:rsidRPr="003E3375">
        <w:rPr>
          <w:rFonts w:asciiTheme="minorHAnsi" w:hAnsiTheme="minorHAnsi" w:cstheme="minorHAnsi"/>
          <w:color w:val="000000" w:themeColor="text1"/>
        </w:rPr>
        <w:t xml:space="preserve"> inconsistent with </w:t>
      </w:r>
      <w:r w:rsidR="00A31089" w:rsidRPr="003E3375">
        <w:rPr>
          <w:rFonts w:asciiTheme="minorHAnsi" w:hAnsiTheme="minorHAnsi" w:cstheme="minorHAnsi"/>
          <w:color w:val="000000" w:themeColor="text1"/>
        </w:rPr>
        <w:t xml:space="preserve">China's obligations under </w:t>
      </w:r>
      <w:r w:rsidRPr="003E3375">
        <w:rPr>
          <w:rFonts w:asciiTheme="minorHAnsi" w:hAnsiTheme="minorHAnsi" w:cstheme="minorHAnsi"/>
          <w:color w:val="000000" w:themeColor="text1"/>
        </w:rPr>
        <w:t>Article 12.7 of the SCM Agreement in respect of MOFCOM's use of facts available</w:t>
      </w:r>
      <w:r w:rsidR="00A31089" w:rsidRPr="003E3375">
        <w:rPr>
          <w:rFonts w:asciiTheme="minorHAnsi" w:hAnsiTheme="minorHAnsi" w:cstheme="minorHAnsi"/>
          <w:color w:val="000000" w:themeColor="text1"/>
        </w:rPr>
        <w:t>, and</w:t>
      </w:r>
      <w:r w:rsidRPr="003E3375">
        <w:rPr>
          <w:rFonts w:asciiTheme="minorHAnsi" w:hAnsiTheme="minorHAnsi" w:cstheme="minorHAnsi"/>
          <w:color w:val="000000" w:themeColor="text1"/>
        </w:rPr>
        <w:t xml:space="preserve"> Articles</w:t>
      </w:r>
      <w:r w:rsidR="004A5EA5"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1.1(a), 1.1(b), 1.2, 2.1, and 2.4 in respect of MOFCOM's determination</w:t>
      </w:r>
      <w:r w:rsidR="00A31089" w:rsidRPr="003E3375">
        <w:rPr>
          <w:rFonts w:asciiTheme="minorHAnsi" w:hAnsiTheme="minorHAnsi" w:cstheme="minorHAnsi"/>
          <w:color w:val="000000" w:themeColor="text1"/>
        </w:rPr>
        <w:t>s of financial contribution, benefit and specificity.</w:t>
      </w:r>
    </w:p>
    <w:p w14:paraId="0858A6CE" w14:textId="79C052BB"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The </w:t>
      </w:r>
      <w:r w:rsidR="002E579E" w:rsidRPr="003E3375">
        <w:rPr>
          <w:rFonts w:asciiTheme="minorHAnsi" w:hAnsiTheme="minorHAnsi" w:cstheme="minorHAnsi"/>
          <w:color w:val="000000" w:themeColor="text1"/>
        </w:rPr>
        <w:t xml:space="preserve">three </w:t>
      </w:r>
      <w:r w:rsidRPr="003E3375">
        <w:rPr>
          <w:rFonts w:asciiTheme="minorHAnsi" w:hAnsiTheme="minorHAnsi" w:cstheme="minorHAnsi"/>
          <w:color w:val="000000" w:themeColor="text1"/>
        </w:rPr>
        <w:t>programs at issue were the SRWUI Program, SARMS Program, and VAIJ</w:t>
      </w:r>
      <w:r w:rsidR="006923D3"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 xml:space="preserve">Fund. </w:t>
      </w:r>
      <w:r w:rsidR="0040593D" w:rsidRPr="003E3375">
        <w:rPr>
          <w:rFonts w:asciiTheme="minorHAnsi" w:hAnsiTheme="minorHAnsi" w:cstheme="minorHAnsi"/>
          <w:color w:val="000000" w:themeColor="text1"/>
        </w:rPr>
        <w:t>The evidence on the record before MOFCOM established that:</w:t>
      </w:r>
      <w:r w:rsidR="00946F1E" w:rsidRPr="003E3375">
        <w:rPr>
          <w:rFonts w:asciiTheme="minorHAnsi" w:hAnsiTheme="minorHAnsi" w:cstheme="minorHAnsi"/>
          <w:color w:val="000000" w:themeColor="text1"/>
        </w:rPr>
        <w:t xml:space="preserve"> (i)</w:t>
      </w:r>
      <w:r w:rsidR="0040593D" w:rsidRPr="003E3375">
        <w:rPr>
          <w:rFonts w:asciiTheme="minorHAnsi" w:hAnsiTheme="minorHAnsi" w:cstheme="minorHAnsi"/>
          <w:color w:val="000000" w:themeColor="text1"/>
        </w:rPr>
        <w:t xml:space="preserve"> p</w:t>
      </w:r>
      <w:r w:rsidRPr="003E3375">
        <w:rPr>
          <w:rFonts w:asciiTheme="minorHAnsi" w:hAnsiTheme="minorHAnsi" w:cstheme="minorHAnsi"/>
          <w:color w:val="000000" w:themeColor="text1"/>
        </w:rPr>
        <w:t>ursuant to the SRWUI Program, the federal government transferred funds to state governments where those governments reached certain water conservation targets</w:t>
      </w:r>
      <w:r w:rsidR="0040593D"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w:t>
      </w:r>
      <w:r w:rsidR="00946F1E" w:rsidRPr="003E3375">
        <w:rPr>
          <w:rFonts w:asciiTheme="minorHAnsi" w:hAnsiTheme="minorHAnsi" w:cstheme="minorHAnsi"/>
          <w:color w:val="000000" w:themeColor="text1"/>
        </w:rPr>
        <w:t xml:space="preserve">(ii) pursuant to </w:t>
      </w:r>
      <w:r w:rsidRPr="003E3375">
        <w:rPr>
          <w:rFonts w:asciiTheme="minorHAnsi" w:hAnsiTheme="minorHAnsi" w:cstheme="minorHAnsi"/>
          <w:color w:val="000000" w:themeColor="text1"/>
        </w:rPr>
        <w:t>the SARMS Program, the South Australian government supported improvements to irrigation infrastructure</w:t>
      </w:r>
      <w:r w:rsidR="00946F1E" w:rsidRPr="003E3375">
        <w:rPr>
          <w:rFonts w:asciiTheme="minorHAnsi" w:hAnsiTheme="minorHAnsi" w:cstheme="minorHAnsi"/>
          <w:color w:val="000000" w:themeColor="text1"/>
        </w:rPr>
        <w:t>;</w:t>
      </w:r>
      <w:r w:rsidR="0040593D" w:rsidRPr="003E3375">
        <w:rPr>
          <w:rFonts w:asciiTheme="minorHAnsi" w:hAnsiTheme="minorHAnsi" w:cstheme="minorHAnsi"/>
          <w:color w:val="000000" w:themeColor="text1"/>
        </w:rPr>
        <w:t xml:space="preserve"> and</w:t>
      </w:r>
      <w:r w:rsidRPr="003E3375">
        <w:rPr>
          <w:rFonts w:asciiTheme="minorHAnsi" w:hAnsiTheme="minorHAnsi" w:cstheme="minorHAnsi"/>
          <w:color w:val="000000" w:themeColor="text1"/>
        </w:rPr>
        <w:t xml:space="preserve"> </w:t>
      </w:r>
      <w:r w:rsidR="00946F1E" w:rsidRPr="003E3375">
        <w:rPr>
          <w:rFonts w:asciiTheme="minorHAnsi" w:hAnsiTheme="minorHAnsi" w:cstheme="minorHAnsi"/>
          <w:color w:val="000000" w:themeColor="text1"/>
        </w:rPr>
        <w:t xml:space="preserve">(iii) </w:t>
      </w:r>
      <w:r w:rsidR="0040593D" w:rsidRPr="003E3375">
        <w:rPr>
          <w:rFonts w:asciiTheme="minorHAnsi" w:hAnsiTheme="minorHAnsi" w:cstheme="minorHAnsi"/>
          <w:color w:val="000000" w:themeColor="text1"/>
        </w:rPr>
        <w:t>t</w:t>
      </w:r>
      <w:r w:rsidRPr="003E3375">
        <w:rPr>
          <w:rFonts w:asciiTheme="minorHAnsi" w:hAnsiTheme="minorHAnsi" w:cstheme="minorHAnsi"/>
          <w:color w:val="000000" w:themeColor="text1"/>
        </w:rPr>
        <w:t>he VAIJ Fund allowed the Victorian government to invest in economic infrastructure and agricultur</w:t>
      </w:r>
      <w:r w:rsidR="00946F1E" w:rsidRPr="003E3375">
        <w:rPr>
          <w:rFonts w:asciiTheme="minorHAnsi" w:hAnsiTheme="minorHAnsi" w:cstheme="minorHAnsi"/>
          <w:color w:val="000000" w:themeColor="text1"/>
        </w:rPr>
        <w:t>al</w:t>
      </w:r>
      <w:r w:rsidRPr="003E3375">
        <w:rPr>
          <w:rFonts w:asciiTheme="minorHAnsi" w:hAnsiTheme="minorHAnsi" w:cstheme="minorHAnsi"/>
          <w:color w:val="000000" w:themeColor="text1"/>
        </w:rPr>
        <w:t xml:space="preserve"> supply chains. This information was plain on the face of MOFCOM's record.</w:t>
      </w:r>
    </w:p>
    <w:p w14:paraId="4C03E27C" w14:textId="221A083E"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In each instance, MOFCOM failed to properly determine the existence of financial contribution, benefit to the barley industry, and specificity. In addition, MOFCOM improperly </w:t>
      </w:r>
      <w:r w:rsidRPr="003E3375">
        <w:rPr>
          <w:rFonts w:asciiTheme="minorHAnsi" w:hAnsiTheme="minorHAnsi" w:cstheme="minorHAnsi"/>
          <w:color w:val="000000" w:themeColor="text1"/>
        </w:rPr>
        <w:lastRenderedPageBreak/>
        <w:t>resorted to facts available contrary to Article 12.7, as all necessary information was on the record</w:t>
      </w:r>
      <w:r w:rsidR="002E579E" w:rsidRPr="003E3375">
        <w:rPr>
          <w:rFonts w:asciiTheme="minorHAnsi" w:hAnsiTheme="minorHAnsi" w:cstheme="minorHAnsi"/>
          <w:color w:val="000000" w:themeColor="text1"/>
        </w:rPr>
        <w:t xml:space="preserve"> to determine that no benefit </w:t>
      </w:r>
      <w:r w:rsidR="0040593D" w:rsidRPr="003E3375">
        <w:rPr>
          <w:rFonts w:asciiTheme="minorHAnsi" w:hAnsiTheme="minorHAnsi" w:cstheme="minorHAnsi"/>
          <w:color w:val="000000" w:themeColor="text1"/>
        </w:rPr>
        <w:t xml:space="preserve">had been </w:t>
      </w:r>
      <w:r w:rsidR="002E579E" w:rsidRPr="003E3375">
        <w:rPr>
          <w:rFonts w:asciiTheme="minorHAnsi" w:hAnsiTheme="minorHAnsi" w:cstheme="minorHAnsi"/>
          <w:color w:val="000000" w:themeColor="text1"/>
        </w:rPr>
        <w:t xml:space="preserve">conferred </w:t>
      </w:r>
      <w:r w:rsidR="004863AB" w:rsidRPr="003E3375">
        <w:rPr>
          <w:rFonts w:asciiTheme="minorHAnsi" w:hAnsiTheme="minorHAnsi" w:cstheme="minorHAnsi"/>
          <w:color w:val="000000" w:themeColor="text1"/>
        </w:rPr>
        <w:t>upon</w:t>
      </w:r>
      <w:r w:rsidR="0040593D" w:rsidRPr="003E3375">
        <w:rPr>
          <w:rFonts w:asciiTheme="minorHAnsi" w:hAnsiTheme="minorHAnsi" w:cstheme="minorHAnsi"/>
          <w:color w:val="000000" w:themeColor="text1"/>
        </w:rPr>
        <w:t xml:space="preserve"> Australian barley producers </w:t>
      </w:r>
      <w:r w:rsidR="002E579E" w:rsidRPr="003E3375">
        <w:rPr>
          <w:rFonts w:asciiTheme="minorHAnsi" w:hAnsiTheme="minorHAnsi" w:cstheme="minorHAnsi"/>
          <w:color w:val="000000" w:themeColor="text1"/>
        </w:rPr>
        <w:t xml:space="preserve">and </w:t>
      </w:r>
      <w:r w:rsidR="00525899" w:rsidRPr="003E3375">
        <w:rPr>
          <w:rFonts w:asciiTheme="minorHAnsi" w:hAnsiTheme="minorHAnsi" w:cstheme="minorHAnsi"/>
          <w:color w:val="000000" w:themeColor="text1"/>
        </w:rPr>
        <w:t xml:space="preserve">that </w:t>
      </w:r>
      <w:r w:rsidR="002E579E" w:rsidRPr="003E3375">
        <w:rPr>
          <w:rFonts w:asciiTheme="minorHAnsi" w:hAnsiTheme="minorHAnsi" w:cstheme="minorHAnsi"/>
          <w:color w:val="000000" w:themeColor="text1"/>
        </w:rPr>
        <w:t>the programs were not specific</w:t>
      </w:r>
      <w:r w:rsidRPr="003E3375">
        <w:rPr>
          <w:rFonts w:asciiTheme="minorHAnsi" w:hAnsiTheme="minorHAnsi" w:cstheme="minorHAnsi"/>
          <w:color w:val="000000" w:themeColor="text1"/>
        </w:rPr>
        <w:t xml:space="preserve">. </w:t>
      </w:r>
      <w:r w:rsidR="006A27C0" w:rsidRPr="003E3375">
        <w:rPr>
          <w:rFonts w:asciiTheme="minorHAnsi" w:hAnsiTheme="minorHAnsi" w:cstheme="minorHAnsi"/>
          <w:color w:val="000000" w:themeColor="text1"/>
        </w:rPr>
        <w:t xml:space="preserve">Even if </w:t>
      </w:r>
      <w:r w:rsidR="00675A2C" w:rsidRPr="003E3375">
        <w:rPr>
          <w:rFonts w:asciiTheme="minorHAnsi" w:hAnsiTheme="minorHAnsi" w:cstheme="minorHAnsi"/>
          <w:color w:val="000000" w:themeColor="text1"/>
        </w:rPr>
        <w:t>MOFCOM</w:t>
      </w:r>
      <w:r w:rsidR="006A27C0" w:rsidRPr="003E3375">
        <w:rPr>
          <w:rFonts w:asciiTheme="minorHAnsi" w:hAnsiTheme="minorHAnsi" w:cstheme="minorHAnsi"/>
          <w:color w:val="000000" w:themeColor="text1"/>
        </w:rPr>
        <w:t>'s recourse to</w:t>
      </w:r>
      <w:r w:rsidR="00675A2C" w:rsidRPr="003E3375">
        <w:rPr>
          <w:rFonts w:asciiTheme="minorHAnsi" w:hAnsiTheme="minorHAnsi" w:cstheme="minorHAnsi"/>
          <w:color w:val="000000" w:themeColor="text1"/>
        </w:rPr>
        <w:t xml:space="preserve"> facts available</w:t>
      </w:r>
      <w:r w:rsidR="006A27C0" w:rsidRPr="003E3375">
        <w:rPr>
          <w:rFonts w:asciiTheme="minorHAnsi" w:hAnsiTheme="minorHAnsi" w:cstheme="minorHAnsi"/>
          <w:color w:val="000000" w:themeColor="text1"/>
        </w:rPr>
        <w:t xml:space="preserve"> could be considered consistent with Article 12.7 of the SCM Agreement</w:t>
      </w:r>
      <w:r w:rsidR="00675A2C" w:rsidRPr="003E3375">
        <w:rPr>
          <w:rFonts w:asciiTheme="minorHAnsi" w:hAnsiTheme="minorHAnsi" w:cstheme="minorHAnsi"/>
          <w:color w:val="000000" w:themeColor="text1"/>
        </w:rPr>
        <w:t>,</w:t>
      </w:r>
      <w:r w:rsidR="002E579E"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MOFCOM failed to select reasonable replacement facts.</w:t>
      </w:r>
    </w:p>
    <w:p w14:paraId="4C148AFC" w14:textId="09938719" w:rsidR="00A35CA6" w:rsidRPr="003E3375" w:rsidRDefault="00853F16" w:rsidP="00E72E98">
      <w:pPr>
        <w:pStyle w:val="HL2HeadingLevel2"/>
        <w:numPr>
          <w:ilvl w:val="1"/>
          <w:numId w:val="15"/>
        </w:numPr>
        <w:spacing w:line="276" w:lineRule="auto"/>
        <w:rPr>
          <w:rFonts w:asciiTheme="minorHAnsi" w:hAnsiTheme="minorHAnsi" w:cstheme="minorHAnsi"/>
          <w:color w:val="000000" w:themeColor="text1"/>
        </w:rPr>
      </w:pPr>
      <w:bookmarkStart w:id="19" w:name="_Toc114492228"/>
      <w:r w:rsidRPr="003E3375">
        <w:rPr>
          <w:rFonts w:asciiTheme="minorHAnsi" w:hAnsiTheme="minorHAnsi" w:cstheme="minorHAnsi"/>
          <w:color w:val="000000" w:themeColor="text1"/>
        </w:rPr>
        <w:t>Financial contributions did not exist</w:t>
      </w:r>
      <w:bookmarkEnd w:id="19"/>
    </w:p>
    <w:p w14:paraId="4B24BA84" w14:textId="3311007D"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 determined </w:t>
      </w:r>
      <w:r w:rsidR="006A27C0" w:rsidRPr="003E3375">
        <w:rPr>
          <w:rFonts w:asciiTheme="minorHAnsi" w:hAnsiTheme="minorHAnsi" w:cstheme="minorHAnsi"/>
          <w:color w:val="000000" w:themeColor="text1"/>
        </w:rPr>
        <w:t xml:space="preserve">that </w:t>
      </w:r>
      <w:r w:rsidRPr="003E3375">
        <w:rPr>
          <w:rFonts w:asciiTheme="minorHAnsi" w:hAnsiTheme="minorHAnsi" w:cstheme="minorHAnsi"/>
          <w:color w:val="000000" w:themeColor="text1"/>
        </w:rPr>
        <w:t xml:space="preserve">each program provided a financial contribution in the form of </w:t>
      </w:r>
      <w:r w:rsidR="006A27C0" w:rsidRPr="003E3375">
        <w:rPr>
          <w:rFonts w:asciiTheme="minorHAnsi" w:hAnsiTheme="minorHAnsi" w:cstheme="minorHAnsi"/>
          <w:color w:val="000000" w:themeColor="text1"/>
        </w:rPr>
        <w:t xml:space="preserve">a </w:t>
      </w:r>
      <w:r w:rsidRPr="003E3375">
        <w:rPr>
          <w:rFonts w:asciiTheme="minorHAnsi" w:hAnsiTheme="minorHAnsi" w:cstheme="minorHAnsi"/>
          <w:color w:val="000000" w:themeColor="text1"/>
        </w:rPr>
        <w:t>direct transfer of funds.</w:t>
      </w:r>
      <w:r w:rsidRPr="003E3375">
        <w:rPr>
          <w:rStyle w:val="FootnoteReference"/>
          <w:rFonts w:asciiTheme="minorHAnsi" w:hAnsiTheme="minorHAnsi" w:cstheme="minorHAnsi"/>
          <w:color w:val="000000" w:themeColor="text1"/>
        </w:rPr>
        <w:footnoteReference w:id="81"/>
      </w:r>
    </w:p>
    <w:p w14:paraId="5B14330B" w14:textId="0C7A4438"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However, a financial </w:t>
      </w:r>
      <w:r w:rsidRPr="003E3375">
        <w:rPr>
          <w:color w:val="000000" w:themeColor="text1"/>
        </w:rPr>
        <w:t>contribution of this kind captures conduct in which resources are "made available to a recipient".</w:t>
      </w:r>
      <w:r w:rsidRPr="003E3375">
        <w:rPr>
          <w:color w:val="000000" w:themeColor="text1"/>
          <w:vertAlign w:val="superscript"/>
        </w:rPr>
        <w:footnoteReference w:id="82"/>
      </w:r>
      <w:r w:rsidR="00D2333C" w:rsidRPr="003E3375">
        <w:rPr>
          <w:color w:val="000000" w:themeColor="text1"/>
        </w:rPr>
        <w:t xml:space="preserve"> T</w:t>
      </w:r>
      <w:r w:rsidRPr="003E3375">
        <w:rPr>
          <w:color w:val="000000" w:themeColor="text1"/>
        </w:rPr>
        <w:t>he SRWUI</w:t>
      </w:r>
      <w:r w:rsidRPr="003E3375">
        <w:rPr>
          <w:rFonts w:asciiTheme="minorHAnsi" w:hAnsiTheme="minorHAnsi" w:cstheme="minorHAnsi"/>
          <w:color w:val="000000" w:themeColor="text1"/>
        </w:rPr>
        <w:t xml:space="preserve"> Program and VAIJ Fund transferred funding between government entities and this fact was clear on the face of MOFCOM's record.</w:t>
      </w:r>
      <w:r w:rsidRPr="003E3375">
        <w:rPr>
          <w:rStyle w:val="FootnoteReference"/>
          <w:rFonts w:asciiTheme="minorHAnsi" w:hAnsiTheme="minorHAnsi" w:cstheme="minorHAnsi"/>
          <w:color w:val="000000" w:themeColor="text1"/>
        </w:rPr>
        <w:footnoteReference w:id="83"/>
      </w:r>
      <w:r w:rsidRPr="003E3375">
        <w:rPr>
          <w:rFonts w:asciiTheme="minorHAnsi" w:hAnsiTheme="minorHAnsi" w:cstheme="minorHAnsi"/>
          <w:color w:val="000000" w:themeColor="text1"/>
        </w:rPr>
        <w:t xml:space="preserve"> The SCM Agreement seeks to address government conduct that distorts the market</w:t>
      </w:r>
      <w:r w:rsidR="007F41B8" w:rsidRPr="003E3375">
        <w:rPr>
          <w:rFonts w:asciiTheme="minorHAnsi" w:hAnsiTheme="minorHAnsi" w:cstheme="minorHAnsi"/>
          <w:color w:val="000000" w:themeColor="text1"/>
        </w:rPr>
        <w:t xml:space="preserve"> – h</w:t>
      </w:r>
      <w:r w:rsidRPr="003E3375">
        <w:rPr>
          <w:rFonts w:asciiTheme="minorHAnsi" w:hAnsiTheme="minorHAnsi" w:cstheme="minorHAnsi"/>
          <w:color w:val="000000" w:themeColor="text1"/>
        </w:rPr>
        <w:t>owever, with one immaterial exception,</w:t>
      </w:r>
      <w:r w:rsidR="00893BFD" w:rsidRPr="003E3375">
        <w:rPr>
          <w:rStyle w:val="FootnoteReference"/>
          <w:rFonts w:cstheme="minorHAnsi"/>
          <w:color w:val="000000" w:themeColor="text1"/>
        </w:rPr>
        <w:footnoteReference w:id="84"/>
      </w:r>
      <w:r w:rsidRPr="003E3375">
        <w:rPr>
          <w:rFonts w:asciiTheme="minorHAnsi" w:hAnsiTheme="minorHAnsi" w:cstheme="minorHAnsi"/>
          <w:color w:val="000000" w:themeColor="text1"/>
        </w:rPr>
        <w:t xml:space="preserve"> no funds moved from "government" into the market</w:t>
      </w:r>
      <w:r w:rsidR="0051429A" w:rsidRPr="003E3375">
        <w:rPr>
          <w:rFonts w:asciiTheme="minorHAnsi" w:hAnsiTheme="minorHAnsi" w:cstheme="minorHAnsi"/>
          <w:color w:val="000000" w:themeColor="text1"/>
        </w:rPr>
        <w:t xml:space="preserve"> under either of these programs</w:t>
      </w:r>
      <w:r w:rsidRPr="003E3375">
        <w:rPr>
          <w:rFonts w:asciiTheme="minorHAnsi" w:hAnsiTheme="minorHAnsi" w:cstheme="minorHAnsi"/>
          <w:color w:val="000000" w:themeColor="text1"/>
        </w:rPr>
        <w:t>. It was therefore impossible for these programs to have had a trade</w:t>
      </w:r>
      <w:r w:rsidR="00696227" w:rsidRPr="003E3375">
        <w:rPr>
          <w:rFonts w:asciiTheme="minorHAnsi" w:hAnsiTheme="minorHAnsi" w:cstheme="minorHAnsi"/>
          <w:color w:val="000000" w:themeColor="text1"/>
        </w:rPr>
        <w:noBreakHyphen/>
      </w:r>
      <w:r w:rsidRPr="003E3375">
        <w:rPr>
          <w:rFonts w:asciiTheme="minorHAnsi" w:hAnsiTheme="minorHAnsi" w:cstheme="minorHAnsi"/>
          <w:color w:val="000000" w:themeColor="text1"/>
        </w:rPr>
        <w:t xml:space="preserve">distortive impact. The transfers </w:t>
      </w:r>
      <w:r w:rsidR="0051429A" w:rsidRPr="003E3375">
        <w:rPr>
          <w:rFonts w:asciiTheme="minorHAnsi" w:hAnsiTheme="minorHAnsi" w:cstheme="minorHAnsi"/>
          <w:color w:val="000000" w:themeColor="text1"/>
        </w:rPr>
        <w:t xml:space="preserve">in question </w:t>
      </w:r>
      <w:r w:rsidRPr="003E3375">
        <w:rPr>
          <w:rFonts w:asciiTheme="minorHAnsi" w:hAnsiTheme="minorHAnsi" w:cstheme="minorHAnsi"/>
          <w:color w:val="000000" w:themeColor="text1"/>
        </w:rPr>
        <w:t>had no "recipient" and could not amount to financial contributions within the meaning of the SCM Agreement.</w:t>
      </w:r>
    </w:p>
    <w:p w14:paraId="7482139D" w14:textId="116FC958" w:rsidR="0085046B"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 similarly determined that </w:t>
      </w:r>
      <w:r w:rsidR="00A11441" w:rsidRPr="003E3375">
        <w:rPr>
          <w:rFonts w:asciiTheme="minorHAnsi" w:hAnsiTheme="minorHAnsi" w:cstheme="minorHAnsi"/>
          <w:color w:val="000000" w:themeColor="text1"/>
        </w:rPr>
        <w:t xml:space="preserve">payments made under </w:t>
      </w:r>
      <w:r w:rsidRPr="003E3375">
        <w:rPr>
          <w:rFonts w:asciiTheme="minorHAnsi" w:hAnsiTheme="minorHAnsi" w:cstheme="minorHAnsi"/>
          <w:color w:val="000000" w:themeColor="text1"/>
        </w:rPr>
        <w:t xml:space="preserve">the SARMS Program </w:t>
      </w:r>
      <w:r w:rsidR="0051429A" w:rsidRPr="003E3375">
        <w:rPr>
          <w:rFonts w:asciiTheme="minorHAnsi" w:hAnsiTheme="minorHAnsi" w:cstheme="minorHAnsi"/>
          <w:color w:val="000000" w:themeColor="text1"/>
        </w:rPr>
        <w:t xml:space="preserve">constituted </w:t>
      </w:r>
      <w:r w:rsidR="00A11441" w:rsidRPr="003E3375">
        <w:rPr>
          <w:rFonts w:asciiTheme="minorHAnsi" w:hAnsiTheme="minorHAnsi" w:cstheme="minorHAnsi"/>
          <w:color w:val="000000" w:themeColor="text1"/>
        </w:rPr>
        <w:t xml:space="preserve">a direct transfer of funds. </w:t>
      </w:r>
      <w:r w:rsidRPr="003E3375">
        <w:rPr>
          <w:rFonts w:asciiTheme="minorHAnsi" w:hAnsiTheme="minorHAnsi" w:cstheme="minorHAnsi"/>
          <w:color w:val="000000" w:themeColor="text1"/>
        </w:rPr>
        <w:t xml:space="preserve">However, evidence on the record demonstrated that the SARMS Program funded irrigation operators </w:t>
      </w:r>
      <w:r w:rsidR="002B5D43" w:rsidRPr="003E3375">
        <w:rPr>
          <w:rFonts w:asciiTheme="minorHAnsi" w:hAnsiTheme="minorHAnsi" w:cstheme="minorHAnsi"/>
          <w:color w:val="000000" w:themeColor="text1"/>
        </w:rPr>
        <w:t xml:space="preserve">and </w:t>
      </w:r>
      <w:r w:rsidR="00EC545E" w:rsidRPr="003E3375">
        <w:rPr>
          <w:rFonts w:asciiTheme="minorHAnsi" w:hAnsiTheme="minorHAnsi" w:cstheme="minorHAnsi"/>
          <w:color w:val="000000" w:themeColor="text1"/>
        </w:rPr>
        <w:t>involved reciprocal obligations</w:t>
      </w:r>
      <w:r w:rsidR="00FD1FAE" w:rsidRPr="003E3375">
        <w:rPr>
          <w:rFonts w:asciiTheme="minorHAnsi" w:hAnsiTheme="minorHAnsi" w:cstheme="minorHAnsi"/>
          <w:color w:val="000000" w:themeColor="text1"/>
        </w:rPr>
        <w:t xml:space="preserve"> to transfer goods to the government in the form of water access entitlements.</w:t>
      </w:r>
      <w:r w:rsidR="00FD1FAE" w:rsidRPr="003E3375">
        <w:rPr>
          <w:rStyle w:val="FootnoteReference"/>
          <w:rFonts w:cstheme="minorHAnsi"/>
          <w:color w:val="000000" w:themeColor="text1"/>
        </w:rPr>
        <w:footnoteReference w:id="85"/>
      </w:r>
      <w:r w:rsidR="00FD1FAE" w:rsidRPr="003E3375">
        <w:rPr>
          <w:rFonts w:asciiTheme="minorHAnsi" w:hAnsiTheme="minorHAnsi" w:cstheme="minorHAnsi"/>
          <w:color w:val="000000" w:themeColor="text1"/>
        </w:rPr>
        <w:t xml:space="preserve"> </w:t>
      </w:r>
      <w:r w:rsidR="00E15484" w:rsidRPr="003E3375">
        <w:rPr>
          <w:rFonts w:asciiTheme="minorHAnsi" w:hAnsiTheme="minorHAnsi" w:cstheme="minorHAnsi"/>
          <w:color w:val="000000" w:themeColor="text1"/>
        </w:rPr>
        <w:t xml:space="preserve">This evidence contradicted MOFCOM finding of a direct transfer of funds. </w:t>
      </w:r>
      <w:r w:rsidR="00FD1FAE" w:rsidRPr="003E3375">
        <w:rPr>
          <w:rFonts w:asciiTheme="minorHAnsi" w:hAnsiTheme="minorHAnsi" w:cstheme="minorHAnsi"/>
          <w:color w:val="000000" w:themeColor="text1"/>
        </w:rPr>
        <w:t xml:space="preserve">In any event, </w:t>
      </w:r>
      <w:r w:rsidR="0051429A" w:rsidRPr="003E3375">
        <w:rPr>
          <w:rFonts w:asciiTheme="minorHAnsi" w:hAnsiTheme="minorHAnsi" w:cstheme="minorHAnsi"/>
          <w:color w:val="000000" w:themeColor="text1"/>
        </w:rPr>
        <w:t xml:space="preserve">the evidence on the record clearly </w:t>
      </w:r>
      <w:r w:rsidR="00E15484" w:rsidRPr="003E3375">
        <w:rPr>
          <w:rFonts w:asciiTheme="minorHAnsi" w:hAnsiTheme="minorHAnsi" w:cstheme="minorHAnsi"/>
          <w:color w:val="000000" w:themeColor="text1"/>
        </w:rPr>
        <w:t xml:space="preserve">and repeatedly </w:t>
      </w:r>
      <w:r w:rsidR="0051429A" w:rsidRPr="003E3375">
        <w:rPr>
          <w:rFonts w:asciiTheme="minorHAnsi" w:hAnsiTheme="minorHAnsi" w:cstheme="minorHAnsi"/>
          <w:color w:val="000000" w:themeColor="text1"/>
        </w:rPr>
        <w:t xml:space="preserve">established that </w:t>
      </w:r>
      <w:r w:rsidRPr="003E3375">
        <w:rPr>
          <w:rFonts w:asciiTheme="minorHAnsi" w:hAnsiTheme="minorHAnsi" w:cstheme="minorHAnsi"/>
          <w:color w:val="000000" w:themeColor="text1"/>
        </w:rPr>
        <w:t>Australian barley production d</w:t>
      </w:r>
      <w:r w:rsidR="00FD1FAE" w:rsidRPr="003E3375">
        <w:rPr>
          <w:rFonts w:asciiTheme="minorHAnsi" w:hAnsiTheme="minorHAnsi" w:cstheme="minorHAnsi"/>
          <w:color w:val="000000" w:themeColor="text1"/>
        </w:rPr>
        <w:t>oes</w:t>
      </w:r>
      <w:r w:rsidRPr="003E3375">
        <w:rPr>
          <w:rFonts w:asciiTheme="minorHAnsi" w:hAnsiTheme="minorHAnsi" w:cstheme="minorHAnsi"/>
          <w:color w:val="000000" w:themeColor="text1"/>
        </w:rPr>
        <w:t xml:space="preserve"> not use irrigation. </w:t>
      </w:r>
    </w:p>
    <w:p w14:paraId="24492A88" w14:textId="10745EA6" w:rsidR="00255F60" w:rsidRPr="003E3375" w:rsidRDefault="00255F60"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China stated that MOFCOM did not use facts available to determine financial contribution, </w:t>
      </w:r>
      <w:r w:rsidR="0051429A" w:rsidRPr="003E3375">
        <w:rPr>
          <w:rFonts w:asciiTheme="minorHAnsi" w:hAnsiTheme="minorHAnsi" w:cstheme="minorHAnsi"/>
          <w:color w:val="000000" w:themeColor="text1"/>
        </w:rPr>
        <w:t>rel</w:t>
      </w:r>
      <w:r w:rsidR="00D630F7" w:rsidRPr="003E3375">
        <w:rPr>
          <w:rFonts w:asciiTheme="minorHAnsi" w:hAnsiTheme="minorHAnsi" w:cstheme="minorHAnsi"/>
          <w:color w:val="000000" w:themeColor="text1"/>
        </w:rPr>
        <w:t>ying</w:t>
      </w:r>
      <w:r w:rsidR="0051429A"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 xml:space="preserve">instead </w:t>
      </w:r>
      <w:r w:rsidR="007F2296" w:rsidRPr="003E3375">
        <w:rPr>
          <w:rFonts w:asciiTheme="minorHAnsi" w:hAnsiTheme="minorHAnsi" w:cstheme="minorHAnsi"/>
          <w:color w:val="000000" w:themeColor="text1"/>
        </w:rPr>
        <w:t xml:space="preserve">upon information provided in </w:t>
      </w:r>
      <w:r w:rsidRPr="003E3375">
        <w:rPr>
          <w:rFonts w:asciiTheme="minorHAnsi" w:hAnsiTheme="minorHAnsi" w:cstheme="minorHAnsi"/>
          <w:color w:val="000000" w:themeColor="text1"/>
        </w:rPr>
        <w:t xml:space="preserve">CICC's </w:t>
      </w:r>
      <w:r w:rsidR="00D630F7" w:rsidRPr="003E3375">
        <w:rPr>
          <w:rFonts w:asciiTheme="minorHAnsi" w:hAnsiTheme="minorHAnsi" w:cstheme="minorHAnsi"/>
          <w:color w:val="000000" w:themeColor="text1"/>
        </w:rPr>
        <w:t>a</w:t>
      </w:r>
      <w:r w:rsidRPr="003E3375">
        <w:rPr>
          <w:rFonts w:asciiTheme="minorHAnsi" w:hAnsiTheme="minorHAnsi" w:cstheme="minorHAnsi"/>
          <w:color w:val="000000" w:themeColor="text1"/>
        </w:rPr>
        <w:t>pplication</w:t>
      </w:r>
      <w:r w:rsidR="009F1215" w:rsidRPr="003E3375">
        <w:rPr>
          <w:rFonts w:asciiTheme="minorHAnsi" w:hAnsiTheme="minorHAnsi" w:cstheme="minorHAnsi"/>
          <w:color w:val="000000" w:themeColor="text1"/>
        </w:rPr>
        <w:t xml:space="preserve"> </w:t>
      </w:r>
      <w:r w:rsidR="007F2296" w:rsidRPr="003E3375">
        <w:rPr>
          <w:rFonts w:asciiTheme="minorHAnsi" w:hAnsiTheme="minorHAnsi" w:cstheme="minorHAnsi"/>
          <w:color w:val="000000" w:themeColor="text1"/>
        </w:rPr>
        <w:t xml:space="preserve">and </w:t>
      </w:r>
      <w:r w:rsidR="009F1215" w:rsidRPr="003E3375">
        <w:rPr>
          <w:rFonts w:asciiTheme="minorHAnsi" w:hAnsiTheme="minorHAnsi" w:cstheme="minorHAnsi"/>
          <w:color w:val="000000" w:themeColor="text1"/>
        </w:rPr>
        <w:t>the Australian Government questionnaire</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86"/>
      </w:r>
      <w:r w:rsidRPr="003E3375">
        <w:rPr>
          <w:rFonts w:asciiTheme="minorHAnsi" w:hAnsiTheme="minorHAnsi" w:cstheme="minorHAnsi"/>
          <w:color w:val="000000" w:themeColor="text1"/>
        </w:rPr>
        <w:t xml:space="preserve"> These two statements are impossible to reconcile</w:t>
      </w:r>
      <w:r w:rsidR="009F1215" w:rsidRPr="003E3375">
        <w:rPr>
          <w:rFonts w:asciiTheme="minorHAnsi" w:hAnsiTheme="minorHAnsi" w:cstheme="minorHAnsi"/>
          <w:color w:val="000000" w:themeColor="text1"/>
        </w:rPr>
        <w:t xml:space="preserve"> and demonstrate that MOFCOM had no evidentiary basis to determine financial contribution pursuant to Article</w:t>
      </w:r>
      <w:r w:rsidR="006B37DB" w:rsidRPr="003E3375">
        <w:rPr>
          <w:rFonts w:asciiTheme="minorHAnsi" w:hAnsiTheme="minorHAnsi" w:cstheme="minorHAnsi"/>
          <w:color w:val="000000" w:themeColor="text1"/>
        </w:rPr>
        <w:t> </w:t>
      </w:r>
      <w:r w:rsidR="009F1215" w:rsidRPr="003E3375">
        <w:rPr>
          <w:rFonts w:asciiTheme="minorHAnsi" w:hAnsiTheme="minorHAnsi" w:cstheme="minorHAnsi"/>
          <w:color w:val="000000" w:themeColor="text1"/>
        </w:rPr>
        <w:t>1.1(a) of the SCM Agreement</w:t>
      </w:r>
      <w:r w:rsidRPr="003E3375">
        <w:rPr>
          <w:rFonts w:asciiTheme="minorHAnsi" w:hAnsiTheme="minorHAnsi" w:cstheme="minorHAnsi"/>
          <w:color w:val="000000" w:themeColor="text1"/>
        </w:rPr>
        <w:t xml:space="preserve">. </w:t>
      </w:r>
    </w:p>
    <w:p w14:paraId="3DD787E0" w14:textId="134663F9" w:rsidR="00AD0A02" w:rsidRPr="003E3375" w:rsidRDefault="00AD0A02" w:rsidP="00AD0A02">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lastRenderedPageBreak/>
        <w:t xml:space="preserve">MOFCOM thus failed to </w:t>
      </w:r>
      <w:r w:rsidR="00E0761B" w:rsidRPr="003E3375">
        <w:rPr>
          <w:rFonts w:asciiTheme="minorHAnsi" w:hAnsiTheme="minorHAnsi" w:cstheme="minorHAnsi"/>
          <w:color w:val="000000" w:themeColor="text1"/>
        </w:rPr>
        <w:t xml:space="preserve">properly </w:t>
      </w:r>
      <w:r w:rsidRPr="003E3375">
        <w:rPr>
          <w:rFonts w:asciiTheme="minorHAnsi" w:hAnsiTheme="minorHAnsi" w:cstheme="minorHAnsi"/>
          <w:color w:val="000000" w:themeColor="text1"/>
        </w:rPr>
        <w:t>establish</w:t>
      </w:r>
      <w:r w:rsidR="007F2296" w:rsidRPr="003E3375">
        <w:rPr>
          <w:rFonts w:asciiTheme="minorHAnsi" w:hAnsiTheme="minorHAnsi" w:cstheme="minorHAnsi"/>
          <w:color w:val="000000" w:themeColor="text1"/>
        </w:rPr>
        <w:t xml:space="preserve"> that</w:t>
      </w:r>
      <w:r w:rsidRPr="003E3375">
        <w:rPr>
          <w:rFonts w:asciiTheme="minorHAnsi" w:hAnsiTheme="minorHAnsi" w:cstheme="minorHAnsi"/>
          <w:color w:val="000000" w:themeColor="text1"/>
        </w:rPr>
        <w:t xml:space="preserve"> a financial contribution </w:t>
      </w:r>
      <w:r w:rsidR="00E0761B" w:rsidRPr="003E3375">
        <w:rPr>
          <w:rFonts w:asciiTheme="minorHAnsi" w:hAnsiTheme="minorHAnsi" w:cstheme="minorHAnsi"/>
          <w:color w:val="000000" w:themeColor="text1"/>
        </w:rPr>
        <w:t xml:space="preserve">existed </w:t>
      </w:r>
      <w:r w:rsidRPr="003E3375">
        <w:rPr>
          <w:rFonts w:asciiTheme="minorHAnsi" w:hAnsiTheme="minorHAnsi" w:cstheme="minorHAnsi"/>
          <w:color w:val="000000" w:themeColor="text1"/>
        </w:rPr>
        <w:t>under Article 1.1(a).</w:t>
      </w:r>
    </w:p>
    <w:p w14:paraId="28D472D5" w14:textId="208870DE" w:rsidR="00AD0A02" w:rsidRPr="003E3375" w:rsidRDefault="00AD0A02" w:rsidP="00E0761B">
      <w:pPr>
        <w:pStyle w:val="HL2HeadingLevel2"/>
        <w:rPr>
          <w:color w:val="000000" w:themeColor="text1"/>
        </w:rPr>
      </w:pPr>
      <w:bookmarkStart w:id="20" w:name="_Toc114492229"/>
      <w:r w:rsidRPr="003E3375">
        <w:rPr>
          <w:color w:val="000000" w:themeColor="text1"/>
        </w:rPr>
        <w:t>No identified program conferred a benefit on the barley industry</w:t>
      </w:r>
      <w:bookmarkEnd w:id="20"/>
    </w:p>
    <w:p w14:paraId="0FA2F35B" w14:textId="35085835" w:rsidR="00A35CA6" w:rsidRPr="003E3375" w:rsidRDefault="00AD0A02" w:rsidP="007F2296">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 </w:t>
      </w:r>
      <w:r w:rsidR="00696340" w:rsidRPr="003E3375">
        <w:rPr>
          <w:rFonts w:asciiTheme="minorHAnsi" w:hAnsiTheme="minorHAnsi" w:cstheme="minorHAnsi"/>
          <w:color w:val="000000" w:themeColor="text1"/>
        </w:rPr>
        <w:t xml:space="preserve">failed to properly </w:t>
      </w:r>
      <w:r w:rsidRPr="003E3375">
        <w:rPr>
          <w:rFonts w:asciiTheme="minorHAnsi" w:hAnsiTheme="minorHAnsi" w:cstheme="minorHAnsi"/>
          <w:color w:val="000000" w:themeColor="text1"/>
        </w:rPr>
        <w:t>determine</w:t>
      </w:r>
      <w:r w:rsidR="00696340" w:rsidRPr="003E3375">
        <w:rPr>
          <w:rFonts w:asciiTheme="minorHAnsi" w:hAnsiTheme="minorHAnsi" w:cstheme="minorHAnsi"/>
          <w:color w:val="000000" w:themeColor="text1"/>
        </w:rPr>
        <w:t xml:space="preserve"> </w:t>
      </w:r>
      <w:r w:rsidR="007F2296" w:rsidRPr="003E3375">
        <w:rPr>
          <w:rFonts w:asciiTheme="minorHAnsi" w:hAnsiTheme="minorHAnsi" w:cstheme="minorHAnsi"/>
          <w:color w:val="000000" w:themeColor="text1"/>
        </w:rPr>
        <w:t xml:space="preserve">whether </w:t>
      </w:r>
      <w:r w:rsidRPr="003E3375">
        <w:rPr>
          <w:rFonts w:asciiTheme="minorHAnsi" w:hAnsiTheme="minorHAnsi" w:cstheme="minorHAnsi"/>
          <w:color w:val="000000" w:themeColor="text1"/>
        </w:rPr>
        <w:t>each program conferred a benefit upon Australian barley producers.</w:t>
      </w:r>
      <w:r w:rsidRPr="003E3375">
        <w:rPr>
          <w:rStyle w:val="FootnoteReference"/>
          <w:rFonts w:asciiTheme="minorHAnsi" w:hAnsiTheme="minorHAnsi" w:cstheme="minorHAnsi"/>
          <w:color w:val="000000" w:themeColor="text1"/>
        </w:rPr>
        <w:footnoteReference w:id="87"/>
      </w:r>
      <w:r w:rsidR="007F2296" w:rsidRPr="003E3375">
        <w:rPr>
          <w:rFonts w:asciiTheme="minorHAnsi" w:hAnsiTheme="minorHAnsi" w:cstheme="minorHAnsi"/>
          <w:color w:val="000000" w:themeColor="text1"/>
        </w:rPr>
        <w:t xml:space="preserve"> </w:t>
      </w:r>
      <w:r w:rsidR="00A35CA6" w:rsidRPr="003E3375">
        <w:rPr>
          <w:rFonts w:asciiTheme="minorHAnsi" w:hAnsiTheme="minorHAnsi" w:cstheme="minorHAnsi"/>
          <w:color w:val="000000" w:themeColor="text1"/>
        </w:rPr>
        <w:t xml:space="preserve">MOFCOM did not identify evidence of a single instance of a barley producer receiving </w:t>
      </w:r>
      <w:r w:rsidRPr="003E3375">
        <w:rPr>
          <w:rFonts w:asciiTheme="minorHAnsi" w:hAnsiTheme="minorHAnsi" w:cstheme="minorHAnsi"/>
          <w:color w:val="000000" w:themeColor="text1"/>
        </w:rPr>
        <w:t>a</w:t>
      </w:r>
      <w:r w:rsidR="00A35CA6" w:rsidRPr="003E3375">
        <w:rPr>
          <w:rFonts w:asciiTheme="minorHAnsi" w:hAnsiTheme="minorHAnsi" w:cstheme="minorHAnsi"/>
          <w:color w:val="000000" w:themeColor="text1"/>
        </w:rPr>
        <w:t xml:space="preserve"> benefit under any program. </w:t>
      </w:r>
      <w:r w:rsidR="0049532A" w:rsidRPr="003E3375">
        <w:rPr>
          <w:rFonts w:asciiTheme="minorHAnsi" w:hAnsiTheme="minorHAnsi" w:cstheme="minorHAnsi"/>
          <w:color w:val="000000" w:themeColor="text1"/>
        </w:rPr>
        <w:t xml:space="preserve">First, in relation to the SARMS and SRWUI Programs, </w:t>
      </w:r>
      <w:r w:rsidR="00A35CA6" w:rsidRPr="003E3375">
        <w:rPr>
          <w:rFonts w:asciiTheme="minorHAnsi" w:hAnsiTheme="minorHAnsi" w:cstheme="minorHAnsi"/>
          <w:color w:val="000000" w:themeColor="text1"/>
        </w:rPr>
        <w:t>MOFCOM's record demonstrate</w:t>
      </w:r>
      <w:r w:rsidR="00F4617F" w:rsidRPr="003E3375">
        <w:rPr>
          <w:rFonts w:asciiTheme="minorHAnsi" w:hAnsiTheme="minorHAnsi" w:cstheme="minorHAnsi"/>
          <w:color w:val="000000" w:themeColor="text1"/>
        </w:rPr>
        <w:t>d</w:t>
      </w:r>
      <w:r w:rsidR="00A35CA6" w:rsidRPr="003E3375">
        <w:rPr>
          <w:rFonts w:asciiTheme="minorHAnsi" w:hAnsiTheme="minorHAnsi" w:cstheme="minorHAnsi"/>
          <w:color w:val="000000" w:themeColor="text1"/>
        </w:rPr>
        <w:t xml:space="preserve"> that barley production is unirrigated in Australia.</w:t>
      </w:r>
      <w:r w:rsidR="00A35CA6" w:rsidRPr="003E3375">
        <w:rPr>
          <w:rStyle w:val="FootnoteReference"/>
          <w:rFonts w:asciiTheme="minorHAnsi" w:hAnsiTheme="minorHAnsi" w:cstheme="minorHAnsi"/>
          <w:color w:val="000000" w:themeColor="text1"/>
        </w:rPr>
        <w:footnoteReference w:id="88"/>
      </w:r>
      <w:r w:rsidR="00A35CA6" w:rsidRPr="003E3375">
        <w:rPr>
          <w:rFonts w:asciiTheme="minorHAnsi" w:hAnsiTheme="minorHAnsi" w:cstheme="minorHAnsi"/>
          <w:color w:val="000000" w:themeColor="text1"/>
        </w:rPr>
        <w:t xml:space="preserve"> </w:t>
      </w:r>
      <w:r w:rsidR="006B37DB" w:rsidRPr="003E3375">
        <w:rPr>
          <w:rFonts w:asciiTheme="minorHAnsi" w:hAnsiTheme="minorHAnsi" w:cstheme="minorHAnsi"/>
          <w:color w:val="000000" w:themeColor="text1"/>
        </w:rPr>
        <w:t xml:space="preserve">As such, </w:t>
      </w:r>
      <w:r w:rsidR="00A35CA6" w:rsidRPr="003E3375">
        <w:rPr>
          <w:rFonts w:asciiTheme="minorHAnsi" w:hAnsiTheme="minorHAnsi" w:cstheme="minorHAnsi"/>
          <w:color w:val="000000" w:themeColor="text1"/>
        </w:rPr>
        <w:t>MOFCOM</w:t>
      </w:r>
      <w:r w:rsidR="006B37DB" w:rsidRPr="003E3375">
        <w:rPr>
          <w:rFonts w:asciiTheme="minorHAnsi" w:hAnsiTheme="minorHAnsi" w:cstheme="minorHAnsi"/>
          <w:color w:val="000000" w:themeColor="text1"/>
        </w:rPr>
        <w:t>'s</w:t>
      </w:r>
      <w:r w:rsidR="00A35CA6" w:rsidRPr="003E3375">
        <w:rPr>
          <w:rFonts w:asciiTheme="minorHAnsi" w:hAnsiTheme="minorHAnsi" w:cstheme="minorHAnsi"/>
          <w:color w:val="000000" w:themeColor="text1"/>
        </w:rPr>
        <w:t xml:space="preserve"> determin</w:t>
      </w:r>
      <w:r w:rsidR="006B37DB" w:rsidRPr="003E3375">
        <w:rPr>
          <w:rFonts w:asciiTheme="minorHAnsi" w:hAnsiTheme="minorHAnsi" w:cstheme="minorHAnsi"/>
          <w:color w:val="000000" w:themeColor="text1"/>
        </w:rPr>
        <w:t>ation</w:t>
      </w:r>
      <w:r w:rsidR="007F2296" w:rsidRPr="003E3375">
        <w:rPr>
          <w:rFonts w:asciiTheme="minorHAnsi" w:hAnsiTheme="minorHAnsi" w:cstheme="minorHAnsi"/>
          <w:color w:val="000000" w:themeColor="text1"/>
        </w:rPr>
        <w:t>s</w:t>
      </w:r>
      <w:r w:rsidR="00A35CA6" w:rsidRPr="003E3375">
        <w:rPr>
          <w:rFonts w:asciiTheme="minorHAnsi" w:hAnsiTheme="minorHAnsi" w:cstheme="minorHAnsi"/>
          <w:color w:val="000000" w:themeColor="text1"/>
        </w:rPr>
        <w:t xml:space="preserve"> that th</w:t>
      </w:r>
      <w:r w:rsidR="0049532A" w:rsidRPr="003E3375">
        <w:rPr>
          <w:rFonts w:asciiTheme="minorHAnsi" w:hAnsiTheme="minorHAnsi" w:cstheme="minorHAnsi"/>
          <w:color w:val="000000" w:themeColor="text1"/>
        </w:rPr>
        <w:t xml:space="preserve">ose </w:t>
      </w:r>
      <w:r w:rsidR="00A35CA6" w:rsidRPr="003E3375">
        <w:rPr>
          <w:rFonts w:asciiTheme="minorHAnsi" w:hAnsiTheme="minorHAnsi" w:cstheme="minorHAnsi"/>
          <w:color w:val="000000" w:themeColor="text1"/>
        </w:rPr>
        <w:t xml:space="preserve">Programs – water conservation programs focused on irrigators – </w:t>
      </w:r>
      <w:r w:rsidR="007F2296" w:rsidRPr="003E3375">
        <w:rPr>
          <w:rFonts w:asciiTheme="minorHAnsi" w:hAnsiTheme="minorHAnsi" w:cstheme="minorHAnsi"/>
          <w:color w:val="000000" w:themeColor="text1"/>
        </w:rPr>
        <w:t xml:space="preserve">had conferred a </w:t>
      </w:r>
      <w:r w:rsidR="00A35CA6" w:rsidRPr="003E3375">
        <w:rPr>
          <w:rFonts w:asciiTheme="minorHAnsi" w:hAnsiTheme="minorHAnsi" w:cstheme="minorHAnsi"/>
          <w:color w:val="000000" w:themeColor="text1"/>
        </w:rPr>
        <w:t xml:space="preserve">benefit </w:t>
      </w:r>
      <w:r w:rsidR="007F2296" w:rsidRPr="003E3375">
        <w:rPr>
          <w:rFonts w:asciiTheme="minorHAnsi" w:hAnsiTheme="minorHAnsi" w:cstheme="minorHAnsi"/>
          <w:color w:val="000000" w:themeColor="text1"/>
        </w:rPr>
        <w:t xml:space="preserve">on the producers of </w:t>
      </w:r>
      <w:r w:rsidR="00A35CA6" w:rsidRPr="003E3375">
        <w:rPr>
          <w:rFonts w:asciiTheme="minorHAnsi" w:hAnsiTheme="minorHAnsi" w:cstheme="minorHAnsi"/>
          <w:color w:val="000000" w:themeColor="text1"/>
        </w:rPr>
        <w:t xml:space="preserve">an unirrigated crop </w:t>
      </w:r>
      <w:r w:rsidR="007F2296" w:rsidRPr="003E3375">
        <w:rPr>
          <w:rFonts w:asciiTheme="minorHAnsi" w:hAnsiTheme="minorHAnsi" w:cstheme="minorHAnsi"/>
          <w:color w:val="000000" w:themeColor="text1"/>
        </w:rPr>
        <w:t xml:space="preserve">were </w:t>
      </w:r>
      <w:r w:rsidR="006B37DB" w:rsidRPr="003E3375">
        <w:rPr>
          <w:rFonts w:asciiTheme="minorHAnsi" w:hAnsiTheme="minorHAnsi" w:cstheme="minorHAnsi"/>
          <w:color w:val="000000" w:themeColor="text1"/>
        </w:rPr>
        <w:t>directly contradicted by the evidence on the record</w:t>
      </w:r>
      <w:r w:rsidR="00A35CA6" w:rsidRPr="003E3375">
        <w:rPr>
          <w:rFonts w:asciiTheme="minorHAnsi" w:hAnsiTheme="minorHAnsi" w:cstheme="minorHAnsi"/>
          <w:color w:val="000000" w:themeColor="text1"/>
        </w:rPr>
        <w:t xml:space="preserve">. </w:t>
      </w:r>
      <w:r w:rsidR="009D1023" w:rsidRPr="003E3375">
        <w:rPr>
          <w:rFonts w:asciiTheme="minorHAnsi" w:hAnsiTheme="minorHAnsi" w:cstheme="minorHAnsi"/>
          <w:color w:val="000000" w:themeColor="text1"/>
        </w:rPr>
        <w:t>Second, in relation to the VAIJ</w:t>
      </w:r>
      <w:r w:rsidR="004863AB" w:rsidRPr="003E3375">
        <w:rPr>
          <w:rFonts w:asciiTheme="minorHAnsi" w:hAnsiTheme="minorHAnsi" w:cstheme="minorHAnsi"/>
          <w:color w:val="000000" w:themeColor="text1"/>
        </w:rPr>
        <w:t> </w:t>
      </w:r>
      <w:r w:rsidR="009D1023" w:rsidRPr="003E3375">
        <w:rPr>
          <w:rFonts w:asciiTheme="minorHAnsi" w:hAnsiTheme="minorHAnsi" w:cstheme="minorHAnsi"/>
          <w:color w:val="000000" w:themeColor="text1"/>
        </w:rPr>
        <w:t>Fund</w:t>
      </w:r>
      <w:r w:rsidR="004863AB" w:rsidRPr="003E3375">
        <w:rPr>
          <w:rFonts w:asciiTheme="minorHAnsi" w:hAnsiTheme="minorHAnsi" w:cstheme="minorHAnsi"/>
          <w:color w:val="000000" w:themeColor="text1"/>
        </w:rPr>
        <w:t>, MOFCOM's record confirmed that no payments were received by barley producers under the program and nor did they otherwise benefit from the Fund.</w:t>
      </w:r>
    </w:p>
    <w:p w14:paraId="795EB489" w14:textId="56FC916F"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 th</w:t>
      </w:r>
      <w:r w:rsidR="00272F5C" w:rsidRPr="003E3375">
        <w:rPr>
          <w:rFonts w:asciiTheme="minorHAnsi" w:hAnsiTheme="minorHAnsi" w:cstheme="minorHAnsi"/>
          <w:color w:val="000000" w:themeColor="text1"/>
        </w:rPr>
        <w:t>erefore</w:t>
      </w:r>
      <w:r w:rsidRPr="003E3375">
        <w:rPr>
          <w:rFonts w:asciiTheme="minorHAnsi" w:hAnsiTheme="minorHAnsi" w:cstheme="minorHAnsi"/>
          <w:color w:val="000000" w:themeColor="text1"/>
        </w:rPr>
        <w:t xml:space="preserve"> failed to identify evidence of any possible benefit to the barley industry in violation of Article 1.1(b). </w:t>
      </w:r>
    </w:p>
    <w:p w14:paraId="4140DABD" w14:textId="52F767FC"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China argues </w:t>
      </w:r>
      <w:r w:rsidR="00272F5C" w:rsidRPr="003E3375">
        <w:rPr>
          <w:rFonts w:asciiTheme="minorHAnsi" w:hAnsiTheme="minorHAnsi" w:cstheme="minorHAnsi"/>
          <w:color w:val="000000" w:themeColor="text1"/>
        </w:rPr>
        <w:t xml:space="preserve">on an </w:t>
      </w:r>
      <w:r w:rsidRPr="003E3375">
        <w:rPr>
          <w:rFonts w:asciiTheme="minorHAnsi" w:hAnsiTheme="minorHAnsi" w:cstheme="minorHAnsi"/>
          <w:i/>
          <w:iCs/>
          <w:color w:val="000000" w:themeColor="text1"/>
        </w:rPr>
        <w:t>ex post facto</w:t>
      </w:r>
      <w:r w:rsidRPr="003E3375">
        <w:rPr>
          <w:rFonts w:asciiTheme="minorHAnsi" w:hAnsiTheme="minorHAnsi" w:cstheme="minorHAnsi"/>
          <w:color w:val="000000" w:themeColor="text1"/>
        </w:rPr>
        <w:t xml:space="preserve"> </w:t>
      </w:r>
      <w:r w:rsidR="00272F5C" w:rsidRPr="003E3375">
        <w:rPr>
          <w:rFonts w:asciiTheme="minorHAnsi" w:hAnsiTheme="minorHAnsi" w:cstheme="minorHAnsi"/>
          <w:color w:val="000000" w:themeColor="text1"/>
        </w:rPr>
        <w:t xml:space="preserve">basis </w:t>
      </w:r>
      <w:r w:rsidRPr="003E3375">
        <w:rPr>
          <w:rFonts w:asciiTheme="minorHAnsi" w:hAnsiTheme="minorHAnsi" w:cstheme="minorHAnsi"/>
          <w:color w:val="000000" w:themeColor="text1"/>
        </w:rPr>
        <w:t xml:space="preserve">that Australia was obliged to provide information about how funds </w:t>
      </w:r>
      <w:r w:rsidR="00272F5C" w:rsidRPr="003E3375">
        <w:rPr>
          <w:rFonts w:asciiTheme="minorHAnsi" w:hAnsiTheme="minorHAnsi" w:cstheme="minorHAnsi"/>
          <w:color w:val="000000" w:themeColor="text1"/>
        </w:rPr>
        <w:t xml:space="preserve">received under these programs </w:t>
      </w:r>
      <w:r w:rsidRPr="003E3375">
        <w:rPr>
          <w:rFonts w:asciiTheme="minorHAnsi" w:hAnsiTheme="minorHAnsi" w:cstheme="minorHAnsi"/>
          <w:color w:val="000000" w:themeColor="text1"/>
        </w:rPr>
        <w:t xml:space="preserve">were </w:t>
      </w:r>
      <w:r w:rsidR="00272F5C" w:rsidRPr="003E3375">
        <w:rPr>
          <w:rFonts w:asciiTheme="minorHAnsi" w:hAnsiTheme="minorHAnsi" w:cstheme="minorHAnsi"/>
          <w:color w:val="000000" w:themeColor="text1"/>
        </w:rPr>
        <w:t xml:space="preserve">further </w:t>
      </w:r>
      <w:r w:rsidRPr="003E3375">
        <w:rPr>
          <w:rFonts w:asciiTheme="minorHAnsi" w:hAnsiTheme="minorHAnsi" w:cstheme="minorHAnsi"/>
          <w:color w:val="000000" w:themeColor="text1"/>
        </w:rPr>
        <w:t xml:space="preserve">dispersed under </w:t>
      </w:r>
      <w:r w:rsidR="00272F5C" w:rsidRPr="003E3375">
        <w:rPr>
          <w:rFonts w:asciiTheme="minorHAnsi" w:hAnsiTheme="minorHAnsi" w:cstheme="minorHAnsi"/>
          <w:color w:val="000000" w:themeColor="text1"/>
        </w:rPr>
        <w:t>separate and independ</w:t>
      </w:r>
      <w:r w:rsidR="00592DFA" w:rsidRPr="003E3375">
        <w:rPr>
          <w:rFonts w:asciiTheme="minorHAnsi" w:hAnsiTheme="minorHAnsi" w:cstheme="minorHAnsi"/>
          <w:color w:val="000000" w:themeColor="text1"/>
        </w:rPr>
        <w:t>ent</w:t>
      </w:r>
      <w:r w:rsidR="00272F5C" w:rsidRPr="003E3375">
        <w:rPr>
          <w:rFonts w:asciiTheme="minorHAnsi" w:hAnsiTheme="minorHAnsi" w:cstheme="minorHAnsi"/>
          <w:color w:val="000000" w:themeColor="text1"/>
        </w:rPr>
        <w:t xml:space="preserve"> "sub-program</w:t>
      </w:r>
      <w:r w:rsidR="00592DFA" w:rsidRPr="003E3375">
        <w:rPr>
          <w:rFonts w:asciiTheme="minorHAnsi" w:hAnsiTheme="minorHAnsi" w:cstheme="minorHAnsi"/>
          <w:color w:val="000000" w:themeColor="text1"/>
        </w:rPr>
        <w:t>s"</w:t>
      </w:r>
      <w:r w:rsidR="00FD0DDC" w:rsidRPr="003E3375">
        <w:rPr>
          <w:rFonts w:asciiTheme="minorHAnsi" w:hAnsiTheme="minorHAnsi" w:cstheme="minorHAnsi"/>
          <w:color w:val="000000" w:themeColor="text1"/>
        </w:rPr>
        <w:t>,</w:t>
      </w:r>
      <w:r w:rsidR="00592DFA" w:rsidRPr="003E3375">
        <w:rPr>
          <w:rFonts w:asciiTheme="minorHAnsi" w:hAnsiTheme="minorHAnsi" w:cstheme="minorHAnsi"/>
          <w:color w:val="000000" w:themeColor="text1"/>
        </w:rPr>
        <w:t xml:space="preserve"> or other programs operated by sub-central government entities</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89"/>
      </w:r>
      <w:r w:rsidRPr="003E3375">
        <w:rPr>
          <w:rFonts w:asciiTheme="minorHAnsi" w:hAnsiTheme="minorHAnsi" w:cstheme="minorHAnsi"/>
          <w:color w:val="000000" w:themeColor="text1"/>
        </w:rPr>
        <w:t xml:space="preserve"> This is nonsensical. The </w:t>
      </w:r>
      <w:r w:rsidR="00166142" w:rsidRPr="003E3375">
        <w:rPr>
          <w:rFonts w:asciiTheme="minorHAnsi" w:hAnsiTheme="minorHAnsi" w:cstheme="minorHAnsi"/>
          <w:color w:val="000000" w:themeColor="text1"/>
        </w:rPr>
        <w:t xml:space="preserve">respective </w:t>
      </w:r>
      <w:r w:rsidRPr="003E3375">
        <w:rPr>
          <w:rFonts w:asciiTheme="minorHAnsi" w:hAnsiTheme="minorHAnsi" w:cstheme="minorHAnsi"/>
          <w:color w:val="000000" w:themeColor="text1"/>
        </w:rPr>
        <w:t>scope</w:t>
      </w:r>
      <w:r w:rsidR="00166142"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 xml:space="preserve"> of the SRWUI Program and VAIJ Fund w</w:t>
      </w:r>
      <w:r w:rsidR="00166142" w:rsidRPr="003E3375">
        <w:rPr>
          <w:rFonts w:asciiTheme="minorHAnsi" w:hAnsiTheme="minorHAnsi" w:cstheme="minorHAnsi"/>
          <w:color w:val="000000" w:themeColor="text1"/>
        </w:rPr>
        <w:t>ere</w:t>
      </w:r>
      <w:r w:rsidRPr="003E3375">
        <w:rPr>
          <w:rFonts w:asciiTheme="minorHAnsi" w:hAnsiTheme="minorHAnsi" w:cstheme="minorHAnsi"/>
          <w:color w:val="000000" w:themeColor="text1"/>
        </w:rPr>
        <w:t xml:space="preserve"> limited to </w:t>
      </w:r>
      <w:r w:rsidR="00166142" w:rsidRPr="003E3375">
        <w:rPr>
          <w:rFonts w:asciiTheme="minorHAnsi" w:hAnsiTheme="minorHAnsi" w:cstheme="minorHAnsi"/>
          <w:color w:val="000000" w:themeColor="text1"/>
        </w:rPr>
        <w:t>int</w:t>
      </w:r>
      <w:r w:rsidR="00FD0DDC" w:rsidRPr="003E3375">
        <w:rPr>
          <w:rFonts w:asciiTheme="minorHAnsi" w:hAnsiTheme="minorHAnsi" w:cstheme="minorHAnsi"/>
          <w:color w:val="000000" w:themeColor="text1"/>
        </w:rPr>
        <w:t>ra</w:t>
      </w:r>
      <w:r w:rsidR="00166142"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government transfers,</w:t>
      </w:r>
      <w:r w:rsidRPr="003E3375">
        <w:rPr>
          <w:rStyle w:val="FootnoteReference"/>
          <w:rFonts w:asciiTheme="minorHAnsi" w:hAnsiTheme="minorHAnsi" w:cstheme="minorHAnsi"/>
          <w:color w:val="000000" w:themeColor="text1"/>
        </w:rPr>
        <w:footnoteReference w:id="90"/>
      </w:r>
      <w:r w:rsidRPr="003E3375">
        <w:rPr>
          <w:rFonts w:asciiTheme="minorHAnsi" w:hAnsiTheme="minorHAnsi" w:cstheme="minorHAnsi"/>
          <w:color w:val="000000" w:themeColor="text1"/>
        </w:rPr>
        <w:t xml:space="preserve"> with the goal of reallocating funding to allow the recipient governments to pursue ecological sustainability or local infrastructure projects. In China's words, this was the "</w:t>
      </w:r>
      <w:r w:rsidRPr="003E3375">
        <w:rPr>
          <w:rFonts w:asciiTheme="minorHAnsi" w:hAnsiTheme="minorHAnsi" w:cstheme="minorHAnsi"/>
          <w:i/>
          <w:iCs/>
          <w:color w:val="000000" w:themeColor="text1"/>
        </w:rPr>
        <w:t>end in itself</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91"/>
      </w:r>
      <w:r w:rsidRPr="003E3375">
        <w:rPr>
          <w:rFonts w:asciiTheme="minorHAnsi" w:hAnsiTheme="minorHAnsi" w:cstheme="minorHAnsi"/>
          <w:color w:val="000000" w:themeColor="text1"/>
        </w:rPr>
        <w:t xml:space="preserve"> How different government entities applied those funds had no administrative or organisational connection to the programs </w:t>
      </w:r>
      <w:r w:rsidR="00AF1FD7" w:rsidRPr="003E3375">
        <w:rPr>
          <w:rFonts w:asciiTheme="minorHAnsi" w:hAnsiTheme="minorHAnsi" w:cstheme="minorHAnsi"/>
          <w:color w:val="000000" w:themeColor="text1"/>
        </w:rPr>
        <w:t xml:space="preserve">that </w:t>
      </w:r>
      <w:r w:rsidRPr="003E3375">
        <w:rPr>
          <w:rFonts w:asciiTheme="minorHAnsi" w:hAnsiTheme="minorHAnsi" w:cstheme="minorHAnsi"/>
          <w:color w:val="000000" w:themeColor="text1"/>
        </w:rPr>
        <w:t>MOFCOM interrogated</w:t>
      </w:r>
      <w:r w:rsidR="00AF1FD7" w:rsidRPr="003E3375">
        <w:rPr>
          <w:rFonts w:asciiTheme="minorHAnsi" w:hAnsiTheme="minorHAnsi" w:cstheme="minorHAnsi"/>
          <w:color w:val="000000" w:themeColor="text1"/>
        </w:rPr>
        <w:t xml:space="preserve"> in its questionnaire</w:t>
      </w:r>
      <w:r w:rsidRPr="003E3375">
        <w:rPr>
          <w:rFonts w:asciiTheme="minorHAnsi" w:hAnsiTheme="minorHAnsi" w:cstheme="minorHAnsi"/>
          <w:color w:val="000000" w:themeColor="text1"/>
        </w:rPr>
        <w:t>. It was reasonable and logical, particularly under MOFCOM's short time limits, for the Australian Government to interpret a request for information about these programs to be just that – information about the programs themselves, not any separate disbursements.</w:t>
      </w:r>
    </w:p>
    <w:p w14:paraId="70145EF2" w14:textId="09F5E1F3"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In addition, MOFCOM knew of the </w:t>
      </w:r>
      <w:r w:rsidR="00AF1FD7" w:rsidRPr="003E3375">
        <w:rPr>
          <w:rFonts w:asciiTheme="minorHAnsi" w:hAnsiTheme="minorHAnsi" w:cstheme="minorHAnsi"/>
          <w:color w:val="000000" w:themeColor="text1"/>
        </w:rPr>
        <w:t xml:space="preserve">existence of </w:t>
      </w:r>
      <w:r w:rsidR="007F47F4" w:rsidRPr="003E3375">
        <w:rPr>
          <w:rFonts w:asciiTheme="minorHAnsi" w:hAnsiTheme="minorHAnsi" w:cstheme="minorHAnsi"/>
          <w:color w:val="000000" w:themeColor="text1"/>
        </w:rPr>
        <w:t xml:space="preserve">additional </w:t>
      </w:r>
      <w:r w:rsidRPr="003E3375">
        <w:rPr>
          <w:rFonts w:asciiTheme="minorHAnsi" w:hAnsiTheme="minorHAnsi" w:cstheme="minorHAnsi"/>
          <w:color w:val="000000" w:themeColor="text1"/>
        </w:rPr>
        <w:t xml:space="preserve">separate programs </w:t>
      </w:r>
      <w:r w:rsidR="00051FE5" w:rsidRPr="003E3375">
        <w:rPr>
          <w:rFonts w:asciiTheme="minorHAnsi" w:hAnsiTheme="minorHAnsi" w:cstheme="minorHAnsi"/>
          <w:color w:val="000000" w:themeColor="text1"/>
        </w:rPr>
        <w:t xml:space="preserve">because </w:t>
      </w:r>
      <w:r w:rsidRPr="003E3375">
        <w:rPr>
          <w:rFonts w:asciiTheme="minorHAnsi" w:hAnsiTheme="minorHAnsi" w:cstheme="minorHAnsi"/>
          <w:color w:val="000000" w:themeColor="text1"/>
        </w:rPr>
        <w:t xml:space="preserve">CICC provided these program names in its </w:t>
      </w:r>
      <w:r w:rsidR="00FD0DDC" w:rsidRPr="003E3375">
        <w:rPr>
          <w:rFonts w:asciiTheme="minorHAnsi" w:hAnsiTheme="minorHAnsi" w:cstheme="minorHAnsi"/>
          <w:color w:val="000000" w:themeColor="text1"/>
        </w:rPr>
        <w:t>a</w:t>
      </w:r>
      <w:r w:rsidRPr="003E3375">
        <w:rPr>
          <w:rFonts w:asciiTheme="minorHAnsi" w:hAnsiTheme="minorHAnsi" w:cstheme="minorHAnsi"/>
          <w:color w:val="000000" w:themeColor="text1"/>
        </w:rPr>
        <w:t>pplication.</w:t>
      </w:r>
      <w:r w:rsidRPr="003E3375">
        <w:rPr>
          <w:rStyle w:val="FootnoteReference"/>
          <w:rFonts w:asciiTheme="minorHAnsi" w:hAnsiTheme="minorHAnsi" w:cstheme="minorHAnsi"/>
          <w:color w:val="000000" w:themeColor="text1"/>
        </w:rPr>
        <w:footnoteReference w:id="92"/>
      </w:r>
      <w:r w:rsidRPr="003E3375">
        <w:rPr>
          <w:rFonts w:asciiTheme="minorHAnsi" w:hAnsiTheme="minorHAnsi" w:cstheme="minorHAnsi"/>
          <w:color w:val="000000" w:themeColor="text1"/>
        </w:rPr>
        <w:t xml:space="preserve"> However, MOFCOM never requested any information about those programs nor took any steps to investigate beyond issuing its </w:t>
      </w:r>
      <w:r w:rsidRPr="003E3375">
        <w:rPr>
          <w:rFonts w:asciiTheme="minorHAnsi" w:hAnsiTheme="minorHAnsi" w:cstheme="minorHAnsi"/>
          <w:color w:val="000000" w:themeColor="text1"/>
        </w:rPr>
        <w:lastRenderedPageBreak/>
        <w:t xml:space="preserve">single questionnaire. MOFCOM wrongly "remained passive" in the face of this </w:t>
      </w:r>
      <w:r w:rsidR="00757CA2" w:rsidRPr="003E3375">
        <w:rPr>
          <w:rFonts w:asciiTheme="minorHAnsi" w:hAnsiTheme="minorHAnsi" w:cstheme="minorHAnsi"/>
          <w:color w:val="000000" w:themeColor="text1"/>
        </w:rPr>
        <w:t>information on the record</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93"/>
      </w:r>
    </w:p>
    <w:p w14:paraId="16CB71F3" w14:textId="3E61D4F3" w:rsidR="00AD0A02" w:rsidRPr="003E3375" w:rsidRDefault="00730826" w:rsidP="00730826">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 </w:t>
      </w:r>
      <w:r w:rsidR="007F47F4" w:rsidRPr="003E3375">
        <w:rPr>
          <w:rFonts w:asciiTheme="minorHAnsi" w:hAnsiTheme="minorHAnsi" w:cstheme="minorHAnsi"/>
          <w:color w:val="000000" w:themeColor="text1"/>
        </w:rPr>
        <w:t xml:space="preserve">therefore </w:t>
      </w:r>
      <w:r w:rsidRPr="003E3375">
        <w:rPr>
          <w:rFonts w:asciiTheme="minorHAnsi" w:hAnsiTheme="minorHAnsi" w:cstheme="minorHAnsi"/>
          <w:color w:val="000000" w:themeColor="text1"/>
        </w:rPr>
        <w:t>failed to establish that a benefit was conferred on Australia</w:t>
      </w:r>
      <w:r w:rsidR="007F47F4" w:rsidRPr="003E3375">
        <w:rPr>
          <w:rFonts w:asciiTheme="minorHAnsi" w:hAnsiTheme="minorHAnsi" w:cstheme="minorHAnsi"/>
          <w:color w:val="000000" w:themeColor="text1"/>
        </w:rPr>
        <w:t>n</w:t>
      </w:r>
      <w:r w:rsidRPr="003E3375">
        <w:rPr>
          <w:rFonts w:asciiTheme="minorHAnsi" w:hAnsiTheme="minorHAnsi" w:cstheme="minorHAnsi"/>
          <w:color w:val="000000" w:themeColor="text1"/>
        </w:rPr>
        <w:t xml:space="preserve"> barley producers </w:t>
      </w:r>
      <w:r w:rsidR="00696340" w:rsidRPr="003E3375">
        <w:rPr>
          <w:rFonts w:asciiTheme="minorHAnsi" w:hAnsiTheme="minorHAnsi" w:cstheme="minorHAnsi"/>
          <w:color w:val="000000" w:themeColor="text1"/>
        </w:rPr>
        <w:t>pursuant to</w:t>
      </w:r>
      <w:r w:rsidRPr="003E3375">
        <w:rPr>
          <w:rFonts w:asciiTheme="minorHAnsi" w:hAnsiTheme="minorHAnsi" w:cstheme="minorHAnsi"/>
          <w:color w:val="000000" w:themeColor="text1"/>
        </w:rPr>
        <w:t xml:space="preserve"> Article 1.1(b).</w:t>
      </w:r>
    </w:p>
    <w:p w14:paraId="588B6565" w14:textId="77777777" w:rsidR="00A35CA6" w:rsidRPr="003E3375" w:rsidRDefault="00A35CA6" w:rsidP="00E72E98">
      <w:pPr>
        <w:pStyle w:val="HL2HeadingLevel2"/>
        <w:numPr>
          <w:ilvl w:val="1"/>
          <w:numId w:val="15"/>
        </w:numPr>
        <w:spacing w:line="276" w:lineRule="auto"/>
        <w:rPr>
          <w:rFonts w:asciiTheme="minorHAnsi" w:hAnsiTheme="minorHAnsi" w:cstheme="minorHAnsi"/>
          <w:color w:val="000000" w:themeColor="text1"/>
        </w:rPr>
      </w:pPr>
      <w:bookmarkStart w:id="21" w:name="_Toc114492230"/>
      <w:r w:rsidRPr="003E3375">
        <w:rPr>
          <w:rFonts w:asciiTheme="minorHAnsi" w:hAnsiTheme="minorHAnsi" w:cstheme="minorHAnsi"/>
          <w:color w:val="000000" w:themeColor="text1"/>
        </w:rPr>
        <w:t>No identified program was specific</w:t>
      </w:r>
      <w:bookmarkEnd w:id="21"/>
    </w:p>
    <w:p w14:paraId="76BDBAB7" w14:textId="7F0DB2F7" w:rsidR="00A35CA6" w:rsidRPr="003E3375" w:rsidRDefault="006619FF"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 determined that </w:t>
      </w:r>
      <w:r w:rsidR="00C7774A" w:rsidRPr="003E3375">
        <w:rPr>
          <w:rFonts w:asciiTheme="minorHAnsi" w:hAnsiTheme="minorHAnsi" w:cstheme="minorHAnsi"/>
          <w:color w:val="000000" w:themeColor="text1"/>
        </w:rPr>
        <w:t xml:space="preserve">the three subsidy programs were specific without any analysis </w:t>
      </w:r>
      <w:r w:rsidR="00051FE5" w:rsidRPr="003E3375">
        <w:rPr>
          <w:rFonts w:asciiTheme="minorHAnsi" w:hAnsiTheme="minorHAnsi" w:cstheme="minorHAnsi"/>
          <w:color w:val="000000" w:themeColor="text1"/>
        </w:rPr>
        <w:t xml:space="preserve">and in the absence of any </w:t>
      </w:r>
      <w:r w:rsidR="00C7774A" w:rsidRPr="003E3375">
        <w:rPr>
          <w:rFonts w:asciiTheme="minorHAnsi" w:hAnsiTheme="minorHAnsi" w:cstheme="minorHAnsi"/>
          <w:color w:val="000000" w:themeColor="text1"/>
        </w:rPr>
        <w:t>positive evidence, in contravention of Articles 1.2, 2.1, 2.4</w:t>
      </w:r>
      <w:r w:rsidR="00051FE5" w:rsidRPr="003E3375">
        <w:rPr>
          <w:rFonts w:asciiTheme="minorHAnsi" w:hAnsiTheme="minorHAnsi" w:cstheme="minorHAnsi"/>
          <w:color w:val="000000" w:themeColor="text1"/>
        </w:rPr>
        <w:t xml:space="preserve"> of the SCM Agreement</w:t>
      </w:r>
      <w:r w:rsidR="00C7774A" w:rsidRPr="003E3375">
        <w:rPr>
          <w:rFonts w:asciiTheme="minorHAnsi" w:hAnsiTheme="minorHAnsi" w:cstheme="minorHAnsi"/>
          <w:color w:val="000000" w:themeColor="text1"/>
        </w:rPr>
        <w:t>.</w:t>
      </w:r>
      <w:r w:rsidR="00C7774A" w:rsidRPr="003E3375">
        <w:rPr>
          <w:rStyle w:val="FootnoteReference"/>
          <w:rFonts w:asciiTheme="minorHAnsi" w:hAnsiTheme="minorHAnsi" w:cstheme="minorHAnsi"/>
          <w:color w:val="000000" w:themeColor="text1"/>
        </w:rPr>
        <w:footnoteReference w:id="94"/>
      </w:r>
      <w:r w:rsidR="00C7774A" w:rsidRPr="003E3375">
        <w:rPr>
          <w:rFonts w:asciiTheme="minorHAnsi" w:hAnsiTheme="minorHAnsi" w:cstheme="minorHAnsi"/>
          <w:color w:val="000000" w:themeColor="text1"/>
        </w:rPr>
        <w:t xml:space="preserve"> </w:t>
      </w:r>
      <w:r w:rsidR="00A35CA6" w:rsidRPr="003E3375">
        <w:rPr>
          <w:rFonts w:asciiTheme="minorHAnsi" w:hAnsiTheme="minorHAnsi" w:cstheme="minorHAnsi"/>
          <w:color w:val="000000" w:themeColor="text1"/>
        </w:rPr>
        <w:t>China argue</w:t>
      </w:r>
      <w:r w:rsidR="00192F1F" w:rsidRPr="003E3375">
        <w:rPr>
          <w:rFonts w:asciiTheme="minorHAnsi" w:hAnsiTheme="minorHAnsi" w:cstheme="minorHAnsi"/>
          <w:color w:val="000000" w:themeColor="text1"/>
        </w:rPr>
        <w:t>s</w:t>
      </w:r>
      <w:r w:rsidR="00A35CA6" w:rsidRPr="003E3375">
        <w:rPr>
          <w:rFonts w:asciiTheme="minorHAnsi" w:hAnsiTheme="minorHAnsi" w:cstheme="minorHAnsi"/>
          <w:color w:val="000000" w:themeColor="text1"/>
        </w:rPr>
        <w:t xml:space="preserve"> </w:t>
      </w:r>
      <w:r w:rsidR="00051FE5" w:rsidRPr="003E3375">
        <w:rPr>
          <w:rFonts w:asciiTheme="minorHAnsi" w:hAnsiTheme="minorHAnsi" w:cstheme="minorHAnsi"/>
          <w:color w:val="000000" w:themeColor="text1"/>
        </w:rPr>
        <w:t xml:space="preserve">on an </w:t>
      </w:r>
      <w:r w:rsidR="00A35CA6" w:rsidRPr="003E3375">
        <w:rPr>
          <w:rFonts w:asciiTheme="minorHAnsi" w:hAnsiTheme="minorHAnsi" w:cstheme="minorHAnsi"/>
          <w:i/>
          <w:iCs/>
          <w:color w:val="000000" w:themeColor="text1"/>
        </w:rPr>
        <w:t>ex post facto</w:t>
      </w:r>
      <w:r w:rsidR="00A35CA6" w:rsidRPr="003E3375">
        <w:rPr>
          <w:rFonts w:asciiTheme="minorHAnsi" w:hAnsiTheme="minorHAnsi" w:cstheme="minorHAnsi"/>
          <w:color w:val="000000" w:themeColor="text1"/>
        </w:rPr>
        <w:t xml:space="preserve"> </w:t>
      </w:r>
      <w:r w:rsidR="00051FE5" w:rsidRPr="003E3375">
        <w:rPr>
          <w:rFonts w:asciiTheme="minorHAnsi" w:hAnsiTheme="minorHAnsi" w:cstheme="minorHAnsi"/>
          <w:color w:val="000000" w:themeColor="text1"/>
        </w:rPr>
        <w:t>basis</w:t>
      </w:r>
      <w:r w:rsidR="007E7822" w:rsidRPr="003E3375">
        <w:rPr>
          <w:rFonts w:asciiTheme="minorHAnsi" w:hAnsiTheme="minorHAnsi" w:cstheme="minorHAnsi"/>
          <w:color w:val="000000" w:themeColor="text1"/>
        </w:rPr>
        <w:t xml:space="preserve"> </w:t>
      </w:r>
      <w:r w:rsidR="00A35CA6" w:rsidRPr="003E3375">
        <w:rPr>
          <w:rFonts w:asciiTheme="minorHAnsi" w:hAnsiTheme="minorHAnsi" w:cstheme="minorHAnsi"/>
          <w:color w:val="000000" w:themeColor="text1"/>
        </w:rPr>
        <w:t xml:space="preserve">that MOFCOM determined each program </w:t>
      </w:r>
      <w:r w:rsidR="007E7822" w:rsidRPr="003E3375">
        <w:rPr>
          <w:rFonts w:asciiTheme="minorHAnsi" w:hAnsiTheme="minorHAnsi" w:cstheme="minorHAnsi"/>
          <w:color w:val="000000" w:themeColor="text1"/>
        </w:rPr>
        <w:t xml:space="preserve">to be </w:t>
      </w:r>
      <w:r w:rsidR="00A35CA6" w:rsidRPr="003E3375">
        <w:rPr>
          <w:rFonts w:asciiTheme="minorHAnsi" w:hAnsiTheme="minorHAnsi" w:cstheme="minorHAnsi"/>
          <w:i/>
          <w:iCs/>
          <w:color w:val="000000" w:themeColor="text1"/>
        </w:rPr>
        <w:t>de facto</w:t>
      </w:r>
      <w:r w:rsidR="00A35CA6" w:rsidRPr="003E3375">
        <w:rPr>
          <w:rFonts w:asciiTheme="minorHAnsi" w:hAnsiTheme="minorHAnsi" w:cstheme="minorHAnsi"/>
          <w:color w:val="000000" w:themeColor="text1"/>
        </w:rPr>
        <w:t xml:space="preserve"> specific.</w:t>
      </w:r>
      <w:r w:rsidR="00A35CA6" w:rsidRPr="003E3375">
        <w:rPr>
          <w:rStyle w:val="FootnoteReference"/>
          <w:rFonts w:asciiTheme="minorHAnsi" w:hAnsiTheme="minorHAnsi" w:cstheme="minorHAnsi"/>
          <w:color w:val="000000" w:themeColor="text1"/>
        </w:rPr>
        <w:footnoteReference w:id="95"/>
      </w:r>
      <w:r w:rsidR="00A35CA6" w:rsidRPr="003E3375">
        <w:rPr>
          <w:rFonts w:asciiTheme="minorHAnsi" w:hAnsiTheme="minorHAnsi" w:cstheme="minorHAnsi"/>
          <w:color w:val="000000" w:themeColor="text1"/>
        </w:rPr>
        <w:t xml:space="preserve"> Th</w:t>
      </w:r>
      <w:r w:rsidR="007E7822" w:rsidRPr="003E3375">
        <w:rPr>
          <w:rFonts w:asciiTheme="minorHAnsi" w:hAnsiTheme="minorHAnsi" w:cstheme="minorHAnsi"/>
          <w:color w:val="000000" w:themeColor="text1"/>
        </w:rPr>
        <w:t xml:space="preserve">ere are no indications of any examination or determination of </w:t>
      </w:r>
      <w:r w:rsidR="007E7822" w:rsidRPr="003E3375">
        <w:rPr>
          <w:rFonts w:asciiTheme="minorHAnsi" w:hAnsiTheme="minorHAnsi" w:cstheme="minorHAnsi"/>
          <w:i/>
          <w:iCs/>
          <w:color w:val="000000" w:themeColor="text1"/>
        </w:rPr>
        <w:t>de facto</w:t>
      </w:r>
      <w:r w:rsidR="007E7822" w:rsidRPr="003E3375">
        <w:rPr>
          <w:rFonts w:asciiTheme="minorHAnsi" w:hAnsiTheme="minorHAnsi" w:cstheme="minorHAnsi"/>
          <w:color w:val="000000" w:themeColor="text1"/>
        </w:rPr>
        <w:t xml:space="preserve"> specificity in </w:t>
      </w:r>
      <w:r w:rsidR="00A35CA6" w:rsidRPr="003E3375">
        <w:rPr>
          <w:rFonts w:asciiTheme="minorHAnsi" w:hAnsiTheme="minorHAnsi" w:cstheme="minorHAnsi"/>
          <w:color w:val="000000" w:themeColor="text1"/>
        </w:rPr>
        <w:t>MOFCOM's Final Determination</w:t>
      </w:r>
      <w:r w:rsidR="00C7774A" w:rsidRPr="003E3375">
        <w:rPr>
          <w:rFonts w:asciiTheme="minorHAnsi" w:hAnsiTheme="minorHAnsi" w:cstheme="minorHAnsi"/>
          <w:color w:val="000000" w:themeColor="text1"/>
        </w:rPr>
        <w:t>, and</w:t>
      </w:r>
      <w:r w:rsidR="007E7822" w:rsidRPr="003E3375">
        <w:rPr>
          <w:rFonts w:asciiTheme="minorHAnsi" w:hAnsiTheme="minorHAnsi" w:cstheme="minorHAnsi"/>
          <w:color w:val="000000" w:themeColor="text1"/>
        </w:rPr>
        <w:t xml:space="preserve"> there is no</w:t>
      </w:r>
      <w:r w:rsidR="00C7774A" w:rsidRPr="003E3375">
        <w:rPr>
          <w:rFonts w:asciiTheme="minorHAnsi" w:hAnsiTheme="minorHAnsi" w:cstheme="minorHAnsi"/>
          <w:color w:val="000000" w:themeColor="text1"/>
        </w:rPr>
        <w:t xml:space="preserve"> evidence on the record</w:t>
      </w:r>
      <w:r w:rsidR="007E7822" w:rsidRPr="003E3375">
        <w:rPr>
          <w:rFonts w:asciiTheme="minorHAnsi" w:hAnsiTheme="minorHAnsi" w:cstheme="minorHAnsi"/>
          <w:color w:val="000000" w:themeColor="text1"/>
        </w:rPr>
        <w:t xml:space="preserve"> that would have supported such examination or determination</w:t>
      </w:r>
      <w:r w:rsidR="00A35CA6" w:rsidRPr="003E3375">
        <w:rPr>
          <w:rFonts w:asciiTheme="minorHAnsi" w:hAnsiTheme="minorHAnsi" w:cstheme="minorHAnsi"/>
          <w:color w:val="000000" w:themeColor="text1"/>
        </w:rPr>
        <w:t>.</w:t>
      </w:r>
    </w:p>
    <w:p w14:paraId="67B0F551" w14:textId="007A42DA" w:rsidR="00A35CA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Specificity requires some restriction on access to a program. MOFCOM's "analysis" included no consideration of whether such access limitation</w:t>
      </w:r>
      <w:r w:rsidR="00B5548A"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 xml:space="preserve"> existed.</w:t>
      </w:r>
      <w:r w:rsidRPr="003E3375">
        <w:rPr>
          <w:rStyle w:val="FootnoteReference"/>
          <w:rFonts w:asciiTheme="minorHAnsi" w:hAnsiTheme="minorHAnsi" w:cstheme="minorHAnsi"/>
          <w:color w:val="000000" w:themeColor="text1"/>
        </w:rPr>
        <w:footnoteReference w:id="96"/>
      </w:r>
      <w:r w:rsidRPr="003E3375">
        <w:rPr>
          <w:rFonts w:asciiTheme="minorHAnsi" w:hAnsiTheme="minorHAnsi" w:cstheme="minorHAnsi"/>
          <w:color w:val="000000" w:themeColor="text1"/>
        </w:rPr>
        <w:t xml:space="preserve"> In fact, in relation to all three programs, MOFCOM merely stated it had "reason to suspect that the barley industry is a major user of the funds".</w:t>
      </w:r>
      <w:r w:rsidRPr="003E3375">
        <w:rPr>
          <w:rStyle w:val="FootnoteReference"/>
          <w:rFonts w:asciiTheme="minorHAnsi" w:hAnsiTheme="minorHAnsi" w:cstheme="minorHAnsi"/>
          <w:color w:val="000000" w:themeColor="text1"/>
        </w:rPr>
        <w:footnoteReference w:id="97"/>
      </w:r>
      <w:r w:rsidRPr="003E3375">
        <w:rPr>
          <w:rFonts w:asciiTheme="minorHAnsi" w:hAnsiTheme="minorHAnsi" w:cstheme="minorHAnsi"/>
          <w:color w:val="000000" w:themeColor="text1"/>
        </w:rPr>
        <w:t xml:space="preserve"> This "suspicion" is insufficient to support a determination of specificity. Further, this </w:t>
      </w:r>
      <w:r w:rsidR="007E7822"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suspicion</w:t>
      </w:r>
      <w:r w:rsidR="007E7822"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was not based on </w:t>
      </w:r>
      <w:r w:rsidR="007E7822" w:rsidRPr="003E3375">
        <w:rPr>
          <w:rFonts w:asciiTheme="minorHAnsi" w:hAnsiTheme="minorHAnsi" w:cstheme="minorHAnsi"/>
          <w:color w:val="000000" w:themeColor="text1"/>
        </w:rPr>
        <w:t>affirmative,</w:t>
      </w:r>
      <w:r w:rsidR="00321DFC"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probative evidence</w:t>
      </w:r>
      <w:r w:rsidR="00321DFC" w:rsidRPr="003E3375">
        <w:rPr>
          <w:rFonts w:asciiTheme="minorHAnsi" w:hAnsiTheme="minorHAnsi" w:cstheme="minorHAnsi"/>
          <w:color w:val="000000" w:themeColor="text1"/>
        </w:rPr>
        <w:t>. Rather, it was derived from MOFCOM's</w:t>
      </w:r>
      <w:r w:rsidRPr="003E3375">
        <w:rPr>
          <w:rFonts w:asciiTheme="minorHAnsi" w:hAnsiTheme="minorHAnsi" w:cstheme="minorHAnsi"/>
          <w:color w:val="000000" w:themeColor="text1"/>
        </w:rPr>
        <w:t xml:space="preserve"> simpl</w:t>
      </w:r>
      <w:r w:rsidR="00321DFC" w:rsidRPr="003E3375">
        <w:rPr>
          <w:rFonts w:asciiTheme="minorHAnsi" w:hAnsiTheme="minorHAnsi" w:cstheme="minorHAnsi"/>
          <w:color w:val="000000" w:themeColor="text1"/>
        </w:rPr>
        <w:t>e</w:t>
      </w:r>
      <w:r w:rsidRPr="003E3375">
        <w:rPr>
          <w:rFonts w:asciiTheme="minorHAnsi" w:hAnsiTheme="minorHAnsi" w:cstheme="minorHAnsi"/>
          <w:color w:val="000000" w:themeColor="text1"/>
        </w:rPr>
        <w:t xml:space="preserve"> assum</w:t>
      </w:r>
      <w:r w:rsidR="00321DFC" w:rsidRPr="003E3375">
        <w:rPr>
          <w:rFonts w:asciiTheme="minorHAnsi" w:hAnsiTheme="minorHAnsi" w:cstheme="minorHAnsi"/>
          <w:color w:val="000000" w:themeColor="text1"/>
        </w:rPr>
        <w:t>ptions that</w:t>
      </w:r>
      <w:r w:rsidRPr="003E3375">
        <w:rPr>
          <w:rFonts w:asciiTheme="minorHAnsi" w:hAnsiTheme="minorHAnsi" w:cstheme="minorHAnsi"/>
          <w:color w:val="000000" w:themeColor="text1"/>
        </w:rPr>
        <w:t xml:space="preserve"> the programs </w:t>
      </w:r>
      <w:r w:rsidR="00E60996" w:rsidRPr="003E3375">
        <w:rPr>
          <w:rFonts w:asciiTheme="minorHAnsi" w:hAnsiTheme="minorHAnsi" w:cstheme="minorHAnsi"/>
          <w:color w:val="000000" w:themeColor="text1"/>
        </w:rPr>
        <w:t xml:space="preserve">provided funds to the benefit of </w:t>
      </w:r>
      <w:r w:rsidRPr="003E3375">
        <w:rPr>
          <w:rFonts w:asciiTheme="minorHAnsi" w:hAnsiTheme="minorHAnsi" w:cstheme="minorHAnsi"/>
          <w:color w:val="000000" w:themeColor="text1"/>
        </w:rPr>
        <w:t xml:space="preserve">the </w:t>
      </w:r>
      <w:r w:rsidR="00E60996" w:rsidRPr="003E3375">
        <w:rPr>
          <w:rFonts w:asciiTheme="minorHAnsi" w:hAnsiTheme="minorHAnsi" w:cstheme="minorHAnsi"/>
          <w:color w:val="000000" w:themeColor="text1"/>
        </w:rPr>
        <w:t xml:space="preserve">Australian </w:t>
      </w:r>
      <w:r w:rsidRPr="003E3375">
        <w:rPr>
          <w:rFonts w:asciiTheme="minorHAnsi" w:hAnsiTheme="minorHAnsi" w:cstheme="minorHAnsi"/>
          <w:color w:val="000000" w:themeColor="text1"/>
        </w:rPr>
        <w:t>agricultural sector and</w:t>
      </w:r>
      <w:r w:rsidR="004863AB" w:rsidRPr="003E3375">
        <w:rPr>
          <w:rFonts w:asciiTheme="minorHAnsi" w:hAnsiTheme="minorHAnsi" w:cstheme="minorHAnsi"/>
          <w:color w:val="000000" w:themeColor="text1"/>
        </w:rPr>
        <w:t xml:space="preserve"> that</w:t>
      </w:r>
      <w:r w:rsidRPr="003E3375">
        <w:rPr>
          <w:rFonts w:asciiTheme="minorHAnsi" w:hAnsiTheme="minorHAnsi" w:cstheme="minorHAnsi"/>
          <w:color w:val="000000" w:themeColor="text1"/>
        </w:rPr>
        <w:t xml:space="preserve"> barley is </w:t>
      </w:r>
      <w:r w:rsidR="001306A6" w:rsidRPr="003E3375">
        <w:rPr>
          <w:rFonts w:asciiTheme="minorHAnsi" w:hAnsiTheme="minorHAnsi" w:cstheme="minorHAnsi"/>
          <w:color w:val="000000" w:themeColor="text1"/>
        </w:rPr>
        <w:t xml:space="preserve">an agricultural crop that is </w:t>
      </w:r>
      <w:r w:rsidRPr="003E3375">
        <w:rPr>
          <w:rFonts w:asciiTheme="minorHAnsi" w:hAnsiTheme="minorHAnsi" w:cstheme="minorHAnsi"/>
          <w:color w:val="000000" w:themeColor="text1"/>
        </w:rPr>
        <w:t>widely produced in certain areas of Australia.</w:t>
      </w:r>
      <w:r w:rsidRPr="003E3375">
        <w:rPr>
          <w:rStyle w:val="FootnoteReference"/>
          <w:rFonts w:asciiTheme="minorHAnsi" w:hAnsiTheme="minorHAnsi" w:cstheme="minorHAnsi"/>
          <w:color w:val="000000" w:themeColor="text1"/>
        </w:rPr>
        <w:footnoteReference w:id="98"/>
      </w:r>
      <w:r w:rsidRPr="003E3375">
        <w:rPr>
          <w:rFonts w:asciiTheme="minorHAnsi" w:hAnsiTheme="minorHAnsi" w:cstheme="minorHAnsi"/>
          <w:color w:val="000000" w:themeColor="text1"/>
        </w:rPr>
        <w:t xml:space="preserve"> This approach disregarded MOFCOM's obligation to</w:t>
      </w:r>
      <w:r w:rsidR="00B74F65" w:rsidRPr="003E3375">
        <w:rPr>
          <w:rFonts w:asciiTheme="minorHAnsi" w:hAnsiTheme="minorHAnsi" w:cstheme="minorHAnsi"/>
          <w:color w:val="000000" w:themeColor="text1"/>
        </w:rPr>
        <w:t xml:space="preserve"> objectively</w:t>
      </w:r>
      <w:r w:rsidRPr="003E3375">
        <w:rPr>
          <w:rFonts w:asciiTheme="minorHAnsi" w:hAnsiTheme="minorHAnsi" w:cstheme="minorHAnsi"/>
          <w:color w:val="000000" w:themeColor="text1"/>
        </w:rPr>
        <w:t xml:space="preserve"> </w:t>
      </w:r>
      <w:r w:rsidR="00B74F65" w:rsidRPr="003E3375">
        <w:rPr>
          <w:rFonts w:asciiTheme="minorHAnsi" w:hAnsiTheme="minorHAnsi" w:cstheme="minorHAnsi"/>
          <w:color w:val="000000" w:themeColor="text1"/>
        </w:rPr>
        <w:t xml:space="preserve">determine whether the </w:t>
      </w:r>
      <w:r w:rsidRPr="003E3375">
        <w:rPr>
          <w:rFonts w:asciiTheme="minorHAnsi" w:hAnsiTheme="minorHAnsi" w:cstheme="minorHAnsi"/>
          <w:color w:val="000000" w:themeColor="text1"/>
        </w:rPr>
        <w:t xml:space="preserve">programs </w:t>
      </w:r>
      <w:r w:rsidR="00B74F65" w:rsidRPr="003E3375">
        <w:rPr>
          <w:rFonts w:asciiTheme="minorHAnsi" w:hAnsiTheme="minorHAnsi" w:cstheme="minorHAnsi"/>
          <w:color w:val="000000" w:themeColor="text1"/>
        </w:rPr>
        <w:t xml:space="preserve">were specific </w:t>
      </w:r>
      <w:r w:rsidRPr="003E3375">
        <w:rPr>
          <w:rFonts w:asciiTheme="minorHAnsi" w:hAnsiTheme="minorHAnsi" w:cstheme="minorHAnsi"/>
          <w:color w:val="000000" w:themeColor="text1"/>
        </w:rPr>
        <w:t>on the basis of positive evidence</w:t>
      </w:r>
      <w:r w:rsidR="003868E7" w:rsidRPr="003E3375">
        <w:rPr>
          <w:rFonts w:asciiTheme="minorHAnsi" w:hAnsiTheme="minorHAnsi" w:cstheme="minorHAnsi"/>
          <w:color w:val="000000" w:themeColor="text1"/>
        </w:rPr>
        <w:t>. Moreover</w:t>
      </w:r>
      <w:r w:rsidRPr="003E3375">
        <w:rPr>
          <w:rFonts w:asciiTheme="minorHAnsi" w:hAnsiTheme="minorHAnsi" w:cstheme="minorHAnsi"/>
          <w:color w:val="000000" w:themeColor="text1"/>
        </w:rPr>
        <w:t xml:space="preserve">, </w:t>
      </w:r>
      <w:r w:rsidR="003868E7" w:rsidRPr="003E3375">
        <w:rPr>
          <w:rFonts w:asciiTheme="minorHAnsi" w:hAnsiTheme="minorHAnsi" w:cstheme="minorHAnsi"/>
          <w:color w:val="000000" w:themeColor="text1"/>
        </w:rPr>
        <w:t xml:space="preserve">it </w:t>
      </w:r>
      <w:r w:rsidRPr="003E3375">
        <w:rPr>
          <w:rFonts w:asciiTheme="minorHAnsi" w:hAnsiTheme="minorHAnsi" w:cstheme="minorHAnsi"/>
          <w:color w:val="000000" w:themeColor="text1"/>
        </w:rPr>
        <w:t xml:space="preserve">ignored the record evidence </w:t>
      </w:r>
      <w:r w:rsidR="003868E7" w:rsidRPr="003E3375">
        <w:rPr>
          <w:rFonts w:asciiTheme="minorHAnsi" w:hAnsiTheme="minorHAnsi" w:cstheme="minorHAnsi"/>
          <w:color w:val="000000" w:themeColor="text1"/>
        </w:rPr>
        <w:t>demonstrating</w:t>
      </w:r>
      <w:r w:rsidR="00DE1F8C"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 xml:space="preserve">that these programs were broad environmental or infrastructure programs that </w:t>
      </w:r>
      <w:r w:rsidR="00DE1F8C" w:rsidRPr="003E3375">
        <w:rPr>
          <w:rFonts w:asciiTheme="minorHAnsi" w:hAnsiTheme="minorHAnsi" w:cstheme="minorHAnsi"/>
          <w:color w:val="000000" w:themeColor="text1"/>
        </w:rPr>
        <w:t>provided no financial contributions or benefits to the Australian barley industry, and could therefore not be considered "specific"</w:t>
      </w:r>
      <w:r w:rsidR="006011E5"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to the barley industry</w:t>
      </w:r>
      <w:r w:rsidR="006011E5" w:rsidRPr="003E3375">
        <w:rPr>
          <w:rFonts w:asciiTheme="minorHAnsi" w:hAnsiTheme="minorHAnsi" w:cstheme="minorHAnsi"/>
          <w:color w:val="000000" w:themeColor="text1"/>
        </w:rPr>
        <w:t xml:space="preserve"> in any way</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99"/>
      </w:r>
    </w:p>
    <w:p w14:paraId="0AC00191" w14:textId="0F963418" w:rsidR="00A35CA6" w:rsidRPr="003E3375" w:rsidRDefault="00A35CA6" w:rsidP="00E72E98">
      <w:pPr>
        <w:pStyle w:val="HL2HeadingLevel2"/>
        <w:numPr>
          <w:ilvl w:val="1"/>
          <w:numId w:val="15"/>
        </w:numPr>
        <w:spacing w:line="276" w:lineRule="auto"/>
        <w:rPr>
          <w:rFonts w:asciiTheme="minorHAnsi" w:hAnsiTheme="minorHAnsi" w:cstheme="minorHAnsi"/>
          <w:color w:val="000000" w:themeColor="text1"/>
        </w:rPr>
      </w:pPr>
      <w:bookmarkStart w:id="22" w:name="_Toc114492231"/>
      <w:r w:rsidRPr="003E3375">
        <w:rPr>
          <w:rFonts w:asciiTheme="minorHAnsi" w:hAnsiTheme="minorHAnsi" w:cstheme="minorHAnsi"/>
          <w:color w:val="000000" w:themeColor="text1"/>
        </w:rPr>
        <w:t>Improper re</w:t>
      </w:r>
      <w:r w:rsidR="0085046B" w:rsidRPr="003E3375">
        <w:rPr>
          <w:rFonts w:asciiTheme="minorHAnsi" w:hAnsiTheme="minorHAnsi" w:cstheme="minorHAnsi"/>
          <w:color w:val="000000" w:themeColor="text1"/>
        </w:rPr>
        <w:t>course</w:t>
      </w:r>
      <w:r w:rsidRPr="003E3375">
        <w:rPr>
          <w:rFonts w:asciiTheme="minorHAnsi" w:hAnsiTheme="minorHAnsi" w:cstheme="minorHAnsi"/>
          <w:color w:val="000000" w:themeColor="text1"/>
        </w:rPr>
        <w:t xml:space="preserve"> to</w:t>
      </w:r>
      <w:r w:rsidR="00942F17" w:rsidRPr="003E3375">
        <w:rPr>
          <w:rFonts w:asciiTheme="minorHAnsi" w:hAnsiTheme="minorHAnsi" w:cstheme="minorHAnsi"/>
          <w:color w:val="000000" w:themeColor="text1"/>
        </w:rPr>
        <w:t>, and selection of,</w:t>
      </w:r>
      <w:r w:rsidRPr="003E3375">
        <w:rPr>
          <w:rFonts w:asciiTheme="minorHAnsi" w:hAnsiTheme="minorHAnsi" w:cstheme="minorHAnsi"/>
          <w:color w:val="000000" w:themeColor="text1"/>
        </w:rPr>
        <w:t xml:space="preserve"> facts available</w:t>
      </w:r>
      <w:bookmarkEnd w:id="22"/>
    </w:p>
    <w:p w14:paraId="49E836F7" w14:textId="499CF438" w:rsidR="005A22BB" w:rsidRPr="003E3375" w:rsidRDefault="00E9592E"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No</w:t>
      </w:r>
      <w:r w:rsidR="006011E5" w:rsidRPr="003E3375">
        <w:rPr>
          <w:rFonts w:asciiTheme="minorHAnsi" w:hAnsiTheme="minorHAnsi" w:cstheme="minorHAnsi"/>
          <w:color w:val="000000" w:themeColor="text1"/>
        </w:rPr>
        <w:t xml:space="preserve"> necessary</w:t>
      </w:r>
      <w:r w:rsidRPr="003E3375">
        <w:rPr>
          <w:rFonts w:asciiTheme="minorHAnsi" w:hAnsiTheme="minorHAnsi" w:cstheme="minorHAnsi"/>
          <w:color w:val="000000" w:themeColor="text1"/>
        </w:rPr>
        <w:t xml:space="preserve"> </w:t>
      </w:r>
      <w:r w:rsidR="00231B40" w:rsidRPr="003E3375">
        <w:rPr>
          <w:rFonts w:asciiTheme="minorHAnsi" w:hAnsiTheme="minorHAnsi" w:cstheme="minorHAnsi"/>
          <w:color w:val="000000" w:themeColor="text1"/>
        </w:rPr>
        <w:t xml:space="preserve">information was missing from the record </w:t>
      </w:r>
      <w:r w:rsidR="005A22BB" w:rsidRPr="003E3375">
        <w:rPr>
          <w:rFonts w:asciiTheme="minorHAnsi" w:hAnsiTheme="minorHAnsi" w:cstheme="minorHAnsi"/>
          <w:color w:val="000000" w:themeColor="text1"/>
        </w:rPr>
        <w:t>of the countervailing duty investigation. MOFCOM had all of the information it needed to properly and accurately determine that none of the investigated programs conferred any benefit on Australian producers or exporters of barley</w:t>
      </w:r>
      <w:r w:rsidR="00B43644" w:rsidRPr="003E3375">
        <w:rPr>
          <w:rFonts w:asciiTheme="minorHAnsi" w:hAnsiTheme="minorHAnsi" w:cstheme="minorHAnsi"/>
          <w:color w:val="000000" w:themeColor="text1"/>
        </w:rPr>
        <w:t>,</w:t>
      </w:r>
      <w:r w:rsidR="005A22BB" w:rsidRPr="003E3375">
        <w:rPr>
          <w:rFonts w:asciiTheme="minorHAnsi" w:hAnsiTheme="minorHAnsi" w:cstheme="minorHAnsi"/>
          <w:color w:val="000000" w:themeColor="text1"/>
        </w:rPr>
        <w:t xml:space="preserve"> </w:t>
      </w:r>
      <w:r w:rsidR="00B43644" w:rsidRPr="003E3375">
        <w:rPr>
          <w:rFonts w:asciiTheme="minorHAnsi" w:hAnsiTheme="minorHAnsi" w:cstheme="minorHAnsi"/>
          <w:color w:val="000000" w:themeColor="text1"/>
        </w:rPr>
        <w:t>nor were they</w:t>
      </w:r>
      <w:r w:rsidR="005A22BB" w:rsidRPr="003E3375">
        <w:rPr>
          <w:rFonts w:asciiTheme="minorHAnsi" w:hAnsiTheme="minorHAnsi" w:cstheme="minorHAnsi"/>
          <w:color w:val="000000" w:themeColor="text1"/>
        </w:rPr>
        <w:t xml:space="preserve"> "specific" to the Australian barley industry</w:t>
      </w:r>
      <w:r w:rsidR="00231B40" w:rsidRPr="003E3375">
        <w:rPr>
          <w:rFonts w:asciiTheme="minorHAnsi" w:hAnsiTheme="minorHAnsi" w:cstheme="minorHAnsi"/>
          <w:color w:val="000000" w:themeColor="text1"/>
        </w:rPr>
        <w:t>.</w:t>
      </w:r>
      <w:r w:rsidR="006906A3" w:rsidRPr="003E3375">
        <w:rPr>
          <w:rStyle w:val="FootnoteReference"/>
          <w:rFonts w:cstheme="minorHAnsi"/>
          <w:color w:val="000000" w:themeColor="text1"/>
        </w:rPr>
        <w:footnoteReference w:id="100"/>
      </w:r>
      <w:r w:rsidR="00D640AE" w:rsidRPr="003E3375">
        <w:rPr>
          <w:rFonts w:asciiTheme="minorHAnsi" w:hAnsiTheme="minorHAnsi" w:cstheme="minorHAnsi"/>
          <w:color w:val="000000" w:themeColor="text1"/>
        </w:rPr>
        <w:t xml:space="preserve"> </w:t>
      </w:r>
      <w:r w:rsidR="00CC61BD" w:rsidRPr="003E3375">
        <w:rPr>
          <w:rFonts w:asciiTheme="minorHAnsi" w:hAnsiTheme="minorHAnsi" w:cstheme="minorHAnsi"/>
          <w:color w:val="000000" w:themeColor="text1"/>
        </w:rPr>
        <w:lastRenderedPageBreak/>
        <w:t xml:space="preserve">Contrary to its obligation </w:t>
      </w:r>
      <w:r w:rsidR="00FB256A" w:rsidRPr="003E3375">
        <w:rPr>
          <w:rFonts w:asciiTheme="minorHAnsi" w:hAnsiTheme="minorHAnsi" w:cstheme="minorHAnsi"/>
          <w:color w:val="000000" w:themeColor="text1"/>
        </w:rPr>
        <w:t>under Article</w:t>
      </w:r>
      <w:r w:rsidR="006F076C" w:rsidRPr="003E3375">
        <w:rPr>
          <w:rFonts w:asciiTheme="minorHAnsi" w:hAnsiTheme="minorHAnsi" w:cstheme="minorHAnsi"/>
          <w:color w:val="000000" w:themeColor="text1"/>
        </w:rPr>
        <w:t> </w:t>
      </w:r>
      <w:r w:rsidR="00FB256A" w:rsidRPr="003E3375">
        <w:rPr>
          <w:rFonts w:asciiTheme="minorHAnsi" w:hAnsiTheme="minorHAnsi" w:cstheme="minorHAnsi"/>
          <w:color w:val="000000" w:themeColor="text1"/>
        </w:rPr>
        <w:t xml:space="preserve">12.7 of the SCM Agreement </w:t>
      </w:r>
      <w:r w:rsidR="00CC61BD" w:rsidRPr="003E3375">
        <w:rPr>
          <w:rFonts w:asciiTheme="minorHAnsi" w:hAnsiTheme="minorHAnsi" w:cstheme="minorHAnsi"/>
          <w:color w:val="000000" w:themeColor="text1"/>
        </w:rPr>
        <w:t xml:space="preserve">to </w:t>
      </w:r>
      <w:r w:rsidR="00D640AE" w:rsidRPr="003E3375">
        <w:rPr>
          <w:rFonts w:asciiTheme="minorHAnsi" w:hAnsiTheme="minorHAnsi" w:cstheme="minorHAnsi"/>
          <w:color w:val="000000" w:themeColor="text1"/>
        </w:rPr>
        <w:t xml:space="preserve">consider all the evidence on the record, </w:t>
      </w:r>
      <w:r w:rsidR="004206BD" w:rsidRPr="003E3375">
        <w:rPr>
          <w:rFonts w:asciiTheme="minorHAnsi" w:hAnsiTheme="minorHAnsi" w:cstheme="minorHAnsi"/>
          <w:color w:val="000000" w:themeColor="text1"/>
        </w:rPr>
        <w:t>MOFCOM rejected all information submitted by the Australian Government.</w:t>
      </w:r>
      <w:r w:rsidR="00A35CA6" w:rsidRPr="003E3375">
        <w:rPr>
          <w:rFonts w:asciiTheme="minorHAnsi" w:hAnsiTheme="minorHAnsi" w:cstheme="minorHAnsi"/>
          <w:color w:val="000000" w:themeColor="text1"/>
        </w:rPr>
        <w:t xml:space="preserve"> </w:t>
      </w:r>
    </w:p>
    <w:p w14:paraId="356F76EB" w14:textId="293734BC" w:rsidR="0085046B"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China has attempted to justify </w:t>
      </w:r>
      <w:r w:rsidR="00EB5DF6" w:rsidRPr="003E3375">
        <w:rPr>
          <w:rFonts w:asciiTheme="minorHAnsi" w:hAnsiTheme="minorHAnsi" w:cstheme="minorHAnsi"/>
          <w:color w:val="000000" w:themeColor="text1"/>
        </w:rPr>
        <w:t xml:space="preserve">MOFCOM's disregard for relevant evidence </w:t>
      </w:r>
      <w:r w:rsidRPr="003E3375">
        <w:rPr>
          <w:rFonts w:asciiTheme="minorHAnsi" w:hAnsiTheme="minorHAnsi" w:cstheme="minorHAnsi"/>
          <w:color w:val="000000" w:themeColor="text1"/>
        </w:rPr>
        <w:t xml:space="preserve">by arguing </w:t>
      </w:r>
      <w:r w:rsidR="00EB5DF6" w:rsidRPr="003E3375">
        <w:rPr>
          <w:rFonts w:asciiTheme="minorHAnsi" w:hAnsiTheme="minorHAnsi" w:cstheme="minorHAnsi"/>
          <w:color w:val="000000" w:themeColor="text1"/>
        </w:rPr>
        <w:t xml:space="preserve">that the </w:t>
      </w:r>
      <w:r w:rsidRPr="003E3375">
        <w:rPr>
          <w:rFonts w:asciiTheme="minorHAnsi" w:hAnsiTheme="minorHAnsi" w:cstheme="minorHAnsi"/>
          <w:color w:val="000000" w:themeColor="text1"/>
        </w:rPr>
        <w:t>questionnaire responses did not meet certain requirements</w:t>
      </w:r>
      <w:r w:rsidR="000F57D6" w:rsidRPr="003E3375">
        <w:rPr>
          <w:rFonts w:asciiTheme="minorHAnsi" w:hAnsiTheme="minorHAnsi" w:cstheme="minorHAnsi"/>
          <w:color w:val="000000" w:themeColor="text1"/>
        </w:rPr>
        <w:t>. These alleged requirements were</w:t>
      </w:r>
      <w:r w:rsidR="00EB5DF6" w:rsidRPr="003E3375">
        <w:rPr>
          <w:rFonts w:asciiTheme="minorHAnsi" w:hAnsiTheme="minorHAnsi" w:cstheme="minorHAnsi"/>
          <w:color w:val="000000" w:themeColor="text1"/>
        </w:rPr>
        <w:t xml:space="preserve"> arbitrary and without any clear explanation.</w:t>
      </w:r>
      <w:r w:rsidR="00CE0CA9" w:rsidRPr="003E3375">
        <w:rPr>
          <w:rFonts w:asciiTheme="minorHAnsi" w:hAnsiTheme="minorHAnsi" w:cstheme="minorHAnsi"/>
          <w:color w:val="000000" w:themeColor="text1"/>
        </w:rPr>
        <w:t xml:space="preserve"> For example, i</w:t>
      </w:r>
      <w:r w:rsidRPr="003E3375">
        <w:rPr>
          <w:rFonts w:asciiTheme="minorHAnsi" w:hAnsiTheme="minorHAnsi" w:cstheme="minorHAnsi"/>
          <w:color w:val="000000" w:themeColor="text1"/>
        </w:rPr>
        <w:t xml:space="preserve">n relation to </w:t>
      </w:r>
      <w:r w:rsidR="00EB5DF6" w:rsidRPr="003E3375">
        <w:rPr>
          <w:rFonts w:asciiTheme="minorHAnsi" w:hAnsiTheme="minorHAnsi" w:cstheme="minorHAnsi"/>
          <w:color w:val="000000" w:themeColor="text1"/>
        </w:rPr>
        <w:t xml:space="preserve">the </w:t>
      </w:r>
      <w:r w:rsidRPr="003E3375">
        <w:rPr>
          <w:rFonts w:asciiTheme="minorHAnsi" w:hAnsiTheme="minorHAnsi" w:cstheme="minorHAnsi"/>
          <w:color w:val="000000" w:themeColor="text1"/>
        </w:rPr>
        <w:t xml:space="preserve">evidence that barley is </w:t>
      </w:r>
      <w:r w:rsidR="00EB5DF6" w:rsidRPr="003E3375">
        <w:rPr>
          <w:rFonts w:asciiTheme="minorHAnsi" w:hAnsiTheme="minorHAnsi" w:cstheme="minorHAnsi"/>
          <w:color w:val="000000" w:themeColor="text1"/>
        </w:rPr>
        <w:t xml:space="preserve">a dryland crop that is not artificially </w:t>
      </w:r>
      <w:r w:rsidRPr="003E3375">
        <w:rPr>
          <w:rFonts w:asciiTheme="minorHAnsi" w:hAnsiTheme="minorHAnsi" w:cstheme="minorHAnsi"/>
          <w:color w:val="000000" w:themeColor="text1"/>
        </w:rPr>
        <w:t>irrigated</w:t>
      </w:r>
      <w:r w:rsidR="00EB5DF6" w:rsidRPr="003E3375">
        <w:rPr>
          <w:rFonts w:asciiTheme="minorHAnsi" w:hAnsiTheme="minorHAnsi" w:cstheme="minorHAnsi"/>
          <w:color w:val="000000" w:themeColor="text1"/>
        </w:rPr>
        <w:t xml:space="preserve"> in Australia</w:t>
      </w:r>
      <w:r w:rsidRPr="003E3375">
        <w:rPr>
          <w:rFonts w:asciiTheme="minorHAnsi" w:hAnsiTheme="minorHAnsi" w:cstheme="minorHAnsi"/>
          <w:color w:val="000000" w:themeColor="text1"/>
        </w:rPr>
        <w:t xml:space="preserve">, </w:t>
      </w:r>
      <w:r w:rsidR="00EB5DF6" w:rsidRPr="003E3375">
        <w:rPr>
          <w:rFonts w:asciiTheme="minorHAnsi" w:hAnsiTheme="minorHAnsi" w:cstheme="minorHAnsi"/>
          <w:color w:val="000000" w:themeColor="text1"/>
        </w:rPr>
        <w:t>China</w:t>
      </w:r>
      <w:r w:rsidR="000C78A9"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 xml:space="preserve">argued that </w:t>
      </w:r>
      <w:r w:rsidR="000C78A9" w:rsidRPr="003E3375">
        <w:rPr>
          <w:rFonts w:asciiTheme="minorHAnsi" w:hAnsiTheme="minorHAnsi" w:cstheme="minorHAnsi"/>
          <w:color w:val="000000" w:themeColor="text1"/>
        </w:rPr>
        <w:t xml:space="preserve">this information </w:t>
      </w:r>
      <w:r w:rsidRPr="003E3375">
        <w:rPr>
          <w:rFonts w:asciiTheme="minorHAnsi" w:hAnsiTheme="minorHAnsi" w:cstheme="minorHAnsi"/>
          <w:color w:val="000000" w:themeColor="text1"/>
        </w:rPr>
        <w:t>should not constitute "evidence" at all.</w:t>
      </w:r>
      <w:r w:rsidRPr="003E3375">
        <w:rPr>
          <w:rStyle w:val="P1-N1Paragraph1-Number1Char"/>
          <w:rFonts w:asciiTheme="minorHAnsi" w:hAnsiTheme="minorHAnsi" w:cstheme="minorHAnsi"/>
          <w:color w:val="000000" w:themeColor="text1"/>
          <w:vertAlign w:val="superscript"/>
        </w:rPr>
        <w:footnoteReference w:id="101"/>
      </w:r>
      <w:r w:rsidRPr="003E3375">
        <w:rPr>
          <w:rFonts w:asciiTheme="minorHAnsi" w:hAnsiTheme="minorHAnsi" w:cstheme="minorHAnsi"/>
          <w:color w:val="000000" w:themeColor="text1"/>
        </w:rPr>
        <w:t xml:space="preserve"> </w:t>
      </w:r>
      <w:r w:rsidR="00D72FC1" w:rsidRPr="003E3375">
        <w:rPr>
          <w:rFonts w:asciiTheme="minorHAnsi" w:hAnsiTheme="minorHAnsi" w:cstheme="minorHAnsi"/>
          <w:color w:val="000000" w:themeColor="text1"/>
        </w:rPr>
        <w:t xml:space="preserve">This </w:t>
      </w:r>
      <w:r w:rsidRPr="003E3375">
        <w:rPr>
          <w:rFonts w:asciiTheme="minorHAnsi" w:hAnsiTheme="minorHAnsi" w:cstheme="minorHAnsi"/>
          <w:color w:val="000000" w:themeColor="text1"/>
        </w:rPr>
        <w:t xml:space="preserve">position has </w:t>
      </w:r>
      <w:r w:rsidR="00D72FC1" w:rsidRPr="003E3375">
        <w:rPr>
          <w:rFonts w:asciiTheme="minorHAnsi" w:hAnsiTheme="minorHAnsi" w:cstheme="minorHAnsi"/>
          <w:color w:val="000000" w:themeColor="text1"/>
        </w:rPr>
        <w:t xml:space="preserve">no </w:t>
      </w:r>
      <w:r w:rsidRPr="003E3375">
        <w:rPr>
          <w:rFonts w:asciiTheme="minorHAnsi" w:hAnsiTheme="minorHAnsi" w:cstheme="minorHAnsi"/>
          <w:color w:val="000000" w:themeColor="text1"/>
        </w:rPr>
        <w:t xml:space="preserve">legal </w:t>
      </w:r>
      <w:r w:rsidR="000C78A9" w:rsidRPr="003E3375">
        <w:rPr>
          <w:rFonts w:asciiTheme="minorHAnsi" w:hAnsiTheme="minorHAnsi" w:cstheme="minorHAnsi"/>
          <w:color w:val="000000" w:themeColor="text1"/>
        </w:rPr>
        <w:t xml:space="preserve">or factual </w:t>
      </w:r>
      <w:r w:rsidRPr="003E3375">
        <w:rPr>
          <w:rFonts w:asciiTheme="minorHAnsi" w:hAnsiTheme="minorHAnsi" w:cstheme="minorHAnsi"/>
          <w:color w:val="000000" w:themeColor="text1"/>
        </w:rPr>
        <w:t xml:space="preserve">basis. </w:t>
      </w:r>
      <w:r w:rsidR="00D82227" w:rsidRPr="003E3375">
        <w:rPr>
          <w:rFonts w:asciiTheme="minorHAnsi" w:hAnsiTheme="minorHAnsi" w:cstheme="minorHAnsi"/>
          <w:color w:val="000000" w:themeColor="text1"/>
        </w:rPr>
        <w:t>Participants and stakeholders in the barley industry provided questionnaire responses based on their expertise and experience in the production and marketing of barley in Australia, together with signed certifications that the information they provided was accurate</w:t>
      </w:r>
      <w:r w:rsidRPr="003E3375">
        <w:rPr>
          <w:rFonts w:asciiTheme="minorHAnsi" w:hAnsiTheme="minorHAnsi" w:cstheme="minorHAnsi"/>
          <w:color w:val="000000" w:themeColor="text1"/>
        </w:rPr>
        <w:t>. China's</w:t>
      </w:r>
      <w:r w:rsidR="006F076C"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argument impermissibly attempts to narrow</w:t>
      </w:r>
      <w:r w:rsidR="00AB108A" w:rsidRPr="003E3375">
        <w:rPr>
          <w:rFonts w:asciiTheme="minorHAnsi" w:hAnsiTheme="minorHAnsi" w:cstheme="minorHAnsi"/>
          <w:color w:val="000000" w:themeColor="text1"/>
        </w:rPr>
        <w:t xml:space="preserve"> the concept of</w:t>
      </w:r>
      <w:r w:rsidRPr="003E3375">
        <w:rPr>
          <w:rFonts w:asciiTheme="minorHAnsi" w:hAnsiTheme="minorHAnsi" w:cstheme="minorHAnsi"/>
          <w:color w:val="000000" w:themeColor="text1"/>
        </w:rPr>
        <w:t xml:space="preserve"> "evidence"</w:t>
      </w:r>
      <w:r w:rsidR="00AB108A" w:rsidRPr="003E3375">
        <w:rPr>
          <w:rFonts w:asciiTheme="minorHAnsi" w:hAnsiTheme="minorHAnsi" w:cstheme="minorHAnsi"/>
          <w:color w:val="000000" w:themeColor="text1"/>
        </w:rPr>
        <w:t xml:space="preserve"> in countervailing duty investigations</w:t>
      </w:r>
      <w:r w:rsidRPr="003E3375">
        <w:rPr>
          <w:rFonts w:asciiTheme="minorHAnsi" w:hAnsiTheme="minorHAnsi" w:cstheme="minorHAnsi"/>
          <w:color w:val="000000" w:themeColor="text1"/>
        </w:rPr>
        <w:t xml:space="preserve"> to exclude information </w:t>
      </w:r>
      <w:r w:rsidR="00AB108A" w:rsidRPr="003E3375">
        <w:rPr>
          <w:rFonts w:asciiTheme="minorHAnsi" w:hAnsiTheme="minorHAnsi" w:cstheme="minorHAnsi"/>
          <w:color w:val="000000" w:themeColor="text1"/>
        </w:rPr>
        <w:t xml:space="preserve">that is </w:t>
      </w:r>
      <w:r w:rsidRPr="003E3375">
        <w:rPr>
          <w:rFonts w:asciiTheme="minorHAnsi" w:hAnsiTheme="minorHAnsi" w:cstheme="minorHAnsi"/>
          <w:color w:val="000000" w:themeColor="text1"/>
        </w:rPr>
        <w:t xml:space="preserve">provided </w:t>
      </w:r>
      <w:r w:rsidR="00AB108A" w:rsidRPr="003E3375">
        <w:rPr>
          <w:rFonts w:asciiTheme="minorHAnsi" w:hAnsiTheme="minorHAnsi" w:cstheme="minorHAnsi"/>
          <w:color w:val="000000" w:themeColor="text1"/>
        </w:rPr>
        <w:t xml:space="preserve">directly </w:t>
      </w:r>
      <w:r w:rsidRPr="003E3375">
        <w:rPr>
          <w:rFonts w:asciiTheme="minorHAnsi" w:hAnsiTheme="minorHAnsi" w:cstheme="minorHAnsi"/>
          <w:color w:val="000000" w:themeColor="text1"/>
        </w:rPr>
        <w:t xml:space="preserve">by interested parties </w:t>
      </w:r>
      <w:r w:rsidR="00AB108A" w:rsidRPr="003E3375">
        <w:rPr>
          <w:rFonts w:asciiTheme="minorHAnsi" w:hAnsiTheme="minorHAnsi" w:cstheme="minorHAnsi"/>
          <w:color w:val="000000" w:themeColor="text1"/>
        </w:rPr>
        <w:t xml:space="preserve">in their certified questionnaire responses. There is no basis for this interpretation. </w:t>
      </w:r>
    </w:p>
    <w:p w14:paraId="396F6C71" w14:textId="5A9D8B4C" w:rsidR="00B36D3B" w:rsidRPr="003E3375" w:rsidRDefault="00A35CA6" w:rsidP="0017075B">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China's position </w:t>
      </w:r>
      <w:r w:rsidR="0017075B" w:rsidRPr="003E3375">
        <w:rPr>
          <w:rFonts w:asciiTheme="minorHAnsi" w:hAnsiTheme="minorHAnsi" w:cstheme="minorHAnsi"/>
          <w:color w:val="000000" w:themeColor="text1"/>
        </w:rPr>
        <w:t>that MOFCOM was permitted to disregard all information because some information was inadequate is misleading. In fact, the</w:t>
      </w:r>
      <w:r w:rsidR="00A061B8" w:rsidRPr="003E3375">
        <w:rPr>
          <w:rFonts w:asciiTheme="minorHAnsi" w:hAnsiTheme="minorHAnsi" w:cstheme="minorHAnsi"/>
          <w:color w:val="000000" w:themeColor="text1"/>
        </w:rPr>
        <w:t xml:space="preserve"> information that MOFCOM alleged was</w:t>
      </w:r>
      <w:r w:rsidRPr="003E3375">
        <w:rPr>
          <w:rFonts w:asciiTheme="minorHAnsi" w:hAnsiTheme="minorHAnsi" w:cstheme="minorHAnsi"/>
          <w:color w:val="000000" w:themeColor="text1"/>
        </w:rPr>
        <w:t xml:space="preserve"> "missing" was </w:t>
      </w:r>
      <w:r w:rsidR="001A19FA" w:rsidRPr="003E3375">
        <w:rPr>
          <w:rFonts w:asciiTheme="minorHAnsi" w:hAnsiTheme="minorHAnsi" w:cstheme="minorHAnsi"/>
          <w:color w:val="000000" w:themeColor="text1"/>
        </w:rPr>
        <w:t>not only</w:t>
      </w:r>
      <w:r w:rsidR="0084652D" w:rsidRPr="003E3375">
        <w:rPr>
          <w:rFonts w:asciiTheme="minorHAnsi" w:hAnsiTheme="minorHAnsi" w:cstheme="minorHAnsi"/>
          <w:color w:val="000000" w:themeColor="text1"/>
        </w:rPr>
        <w:t xml:space="preserve"> impossible to provide, it was also</w:t>
      </w:r>
      <w:r w:rsidR="001A19FA" w:rsidRPr="003E3375">
        <w:rPr>
          <w:rFonts w:asciiTheme="minorHAnsi" w:hAnsiTheme="minorHAnsi" w:cstheme="minorHAnsi"/>
          <w:color w:val="000000" w:themeColor="text1"/>
        </w:rPr>
        <w:t xml:space="preserve"> </w:t>
      </w:r>
      <w:r w:rsidR="00E950B5" w:rsidRPr="003E3375">
        <w:rPr>
          <w:rFonts w:asciiTheme="minorHAnsi" w:hAnsiTheme="minorHAnsi" w:cstheme="minorHAnsi"/>
          <w:color w:val="000000" w:themeColor="text1"/>
        </w:rPr>
        <w:t xml:space="preserve">not </w:t>
      </w:r>
      <w:r w:rsidR="0017075B" w:rsidRPr="003E3375">
        <w:rPr>
          <w:rFonts w:asciiTheme="minorHAnsi" w:hAnsiTheme="minorHAnsi" w:cstheme="minorHAnsi"/>
          <w:color w:val="000000" w:themeColor="text1"/>
        </w:rPr>
        <w:t xml:space="preserve">necessary </w:t>
      </w:r>
      <w:r w:rsidRPr="003E3375">
        <w:rPr>
          <w:rFonts w:asciiTheme="minorHAnsi" w:hAnsiTheme="minorHAnsi" w:cstheme="minorHAnsi"/>
          <w:color w:val="000000" w:themeColor="text1"/>
        </w:rPr>
        <w:t xml:space="preserve">to determine benefit </w:t>
      </w:r>
      <w:r w:rsidR="00884813" w:rsidRPr="003E3375">
        <w:rPr>
          <w:rFonts w:asciiTheme="minorHAnsi" w:hAnsiTheme="minorHAnsi" w:cstheme="minorHAnsi"/>
          <w:color w:val="000000" w:themeColor="text1"/>
        </w:rPr>
        <w:t xml:space="preserve">or </w:t>
      </w:r>
      <w:r w:rsidRPr="003E3375">
        <w:rPr>
          <w:rFonts w:asciiTheme="minorHAnsi" w:hAnsiTheme="minorHAnsi" w:cstheme="minorHAnsi"/>
          <w:color w:val="000000" w:themeColor="text1"/>
        </w:rPr>
        <w:t xml:space="preserve">specificity. For example, regarding the SRWUI Program, MOFCOM required application documents </w:t>
      </w:r>
      <w:r w:rsidR="00334C11" w:rsidRPr="003E3375">
        <w:rPr>
          <w:rFonts w:asciiTheme="minorHAnsi" w:hAnsiTheme="minorHAnsi" w:cstheme="minorHAnsi"/>
          <w:color w:val="000000" w:themeColor="text1"/>
        </w:rPr>
        <w:t xml:space="preserve">in circumstances </w:t>
      </w:r>
      <w:r w:rsidRPr="003E3375">
        <w:rPr>
          <w:rFonts w:asciiTheme="minorHAnsi" w:hAnsiTheme="minorHAnsi" w:cstheme="minorHAnsi"/>
          <w:color w:val="000000" w:themeColor="text1"/>
        </w:rPr>
        <w:t xml:space="preserve">where there was no application process because the program was an intra-governmental arrangement. </w:t>
      </w:r>
      <w:r w:rsidR="009E5056" w:rsidRPr="003E3375">
        <w:rPr>
          <w:rFonts w:asciiTheme="minorHAnsi" w:hAnsiTheme="minorHAnsi" w:cstheme="minorHAnsi"/>
          <w:color w:val="000000" w:themeColor="text1"/>
        </w:rPr>
        <w:t>MOFCOM</w:t>
      </w:r>
      <w:r w:rsidRPr="003E3375">
        <w:rPr>
          <w:rFonts w:asciiTheme="minorHAnsi" w:hAnsiTheme="minorHAnsi" w:cstheme="minorHAnsi"/>
          <w:color w:val="000000" w:themeColor="text1"/>
        </w:rPr>
        <w:t xml:space="preserve"> similarly required barley producers' applications for irrigation programs, however, these </w:t>
      </w:r>
      <w:r w:rsidRPr="003E3375">
        <w:rPr>
          <w:rFonts w:asciiTheme="minorHAnsi" w:hAnsiTheme="minorHAnsi" w:cstheme="minorHAnsi"/>
          <w:i/>
          <w:iCs/>
          <w:color w:val="000000" w:themeColor="text1"/>
        </w:rPr>
        <w:t>did not exist</w:t>
      </w:r>
      <w:r w:rsidRPr="003E3375">
        <w:rPr>
          <w:rFonts w:asciiTheme="minorHAnsi" w:hAnsiTheme="minorHAnsi" w:cstheme="minorHAnsi"/>
          <w:color w:val="000000" w:themeColor="text1"/>
        </w:rPr>
        <w:t xml:space="preserve"> because </w:t>
      </w:r>
      <w:r w:rsidR="008B50B3" w:rsidRPr="003E3375">
        <w:rPr>
          <w:rFonts w:asciiTheme="minorHAnsi" w:hAnsiTheme="minorHAnsi" w:cstheme="minorHAnsi"/>
          <w:color w:val="000000" w:themeColor="text1"/>
        </w:rPr>
        <w:t xml:space="preserve">no such applications were made. This is not surprising in light of the evidence on the record </w:t>
      </w:r>
      <w:r w:rsidR="00EC4BC9" w:rsidRPr="003E3375">
        <w:rPr>
          <w:rFonts w:asciiTheme="minorHAnsi" w:hAnsiTheme="minorHAnsi" w:cstheme="minorHAnsi"/>
          <w:color w:val="000000" w:themeColor="text1"/>
        </w:rPr>
        <w:t xml:space="preserve">confirming that </w:t>
      </w:r>
      <w:r w:rsidRPr="003E3375">
        <w:rPr>
          <w:rFonts w:asciiTheme="minorHAnsi" w:hAnsiTheme="minorHAnsi" w:cstheme="minorHAnsi"/>
          <w:color w:val="000000" w:themeColor="text1"/>
        </w:rPr>
        <w:t xml:space="preserve">Australian barley is unirrigated. In effect, MOFCOM required interested parties to </w:t>
      </w:r>
      <w:r w:rsidR="00647277" w:rsidRPr="003E3375">
        <w:rPr>
          <w:rFonts w:asciiTheme="minorHAnsi" w:hAnsiTheme="minorHAnsi" w:cstheme="minorHAnsi"/>
          <w:color w:val="000000" w:themeColor="text1"/>
        </w:rPr>
        <w:t xml:space="preserve">do the impossible – </w:t>
      </w:r>
      <w:r w:rsidRPr="003E3375">
        <w:rPr>
          <w:rFonts w:asciiTheme="minorHAnsi" w:hAnsiTheme="minorHAnsi" w:cstheme="minorHAnsi"/>
          <w:color w:val="000000" w:themeColor="text1"/>
        </w:rPr>
        <w:t xml:space="preserve">prove a negative. </w:t>
      </w:r>
      <w:r w:rsidR="00364306" w:rsidRPr="003E3375">
        <w:rPr>
          <w:rFonts w:asciiTheme="minorHAnsi" w:hAnsiTheme="minorHAnsi" w:cstheme="minorHAnsi"/>
          <w:color w:val="000000" w:themeColor="text1"/>
        </w:rPr>
        <w:t xml:space="preserve">MOFCOM </w:t>
      </w:r>
      <w:r w:rsidR="00F62E09" w:rsidRPr="003E3375">
        <w:rPr>
          <w:rFonts w:asciiTheme="minorHAnsi" w:hAnsiTheme="minorHAnsi" w:cstheme="minorHAnsi"/>
          <w:color w:val="000000" w:themeColor="text1"/>
        </w:rPr>
        <w:t xml:space="preserve">improperly </w:t>
      </w:r>
      <w:r w:rsidR="00364306" w:rsidRPr="003E3375">
        <w:rPr>
          <w:rFonts w:asciiTheme="minorHAnsi" w:hAnsiTheme="minorHAnsi" w:cstheme="minorHAnsi"/>
          <w:color w:val="000000" w:themeColor="text1"/>
        </w:rPr>
        <w:t xml:space="preserve">reversed the burden of proof, arguing there was no evidence that the barley industry did </w:t>
      </w:r>
      <w:r w:rsidR="00364306" w:rsidRPr="003E3375">
        <w:rPr>
          <w:rFonts w:asciiTheme="minorHAnsi" w:hAnsiTheme="minorHAnsi" w:cstheme="minorHAnsi"/>
          <w:i/>
          <w:iCs/>
          <w:color w:val="000000" w:themeColor="text1"/>
        </w:rPr>
        <w:t>not</w:t>
      </w:r>
      <w:r w:rsidR="00364306" w:rsidRPr="003E3375">
        <w:rPr>
          <w:rFonts w:asciiTheme="minorHAnsi" w:hAnsiTheme="minorHAnsi" w:cstheme="minorHAnsi"/>
          <w:color w:val="000000" w:themeColor="text1"/>
        </w:rPr>
        <w:t xml:space="preserve"> benefit.</w:t>
      </w:r>
      <w:r w:rsidR="00364306" w:rsidRPr="003E3375">
        <w:rPr>
          <w:rStyle w:val="FootnoteReference"/>
          <w:rFonts w:asciiTheme="minorHAnsi" w:hAnsiTheme="minorHAnsi" w:cstheme="minorHAnsi"/>
          <w:color w:val="000000" w:themeColor="text1"/>
        </w:rPr>
        <w:footnoteReference w:id="102"/>
      </w:r>
      <w:r w:rsidR="0085046B" w:rsidRPr="003E3375">
        <w:rPr>
          <w:rFonts w:asciiTheme="minorHAnsi" w:hAnsiTheme="minorHAnsi" w:cstheme="minorHAnsi"/>
          <w:color w:val="000000" w:themeColor="text1"/>
        </w:rPr>
        <w:t xml:space="preserve"> </w:t>
      </w:r>
      <w:r w:rsidR="00E013F7" w:rsidRPr="003E3375">
        <w:rPr>
          <w:rFonts w:asciiTheme="minorHAnsi" w:hAnsiTheme="minorHAnsi" w:cstheme="minorHAnsi"/>
          <w:color w:val="000000" w:themeColor="text1"/>
        </w:rPr>
        <w:t xml:space="preserve">MOFCOM's </w:t>
      </w:r>
      <w:r w:rsidR="006A5D92" w:rsidRPr="003E3375">
        <w:rPr>
          <w:rFonts w:asciiTheme="minorHAnsi" w:hAnsiTheme="minorHAnsi" w:cstheme="minorHAnsi"/>
          <w:color w:val="000000" w:themeColor="text1"/>
        </w:rPr>
        <w:t xml:space="preserve">position is </w:t>
      </w:r>
      <w:r w:rsidR="00E013F7" w:rsidRPr="003E3375">
        <w:rPr>
          <w:rFonts w:asciiTheme="minorHAnsi" w:hAnsiTheme="minorHAnsi" w:cstheme="minorHAnsi"/>
          <w:color w:val="000000" w:themeColor="text1"/>
        </w:rPr>
        <w:t>unsupportable on this point</w:t>
      </w:r>
      <w:r w:rsidR="006A5D92" w:rsidRPr="003E3375">
        <w:rPr>
          <w:rFonts w:asciiTheme="minorHAnsi" w:hAnsiTheme="minorHAnsi" w:cstheme="minorHAnsi"/>
          <w:color w:val="000000" w:themeColor="text1"/>
        </w:rPr>
        <w:t>. Furthermore,</w:t>
      </w:r>
      <w:r w:rsidR="00E013F7" w:rsidRPr="003E3375">
        <w:rPr>
          <w:rFonts w:asciiTheme="minorHAnsi" w:hAnsiTheme="minorHAnsi" w:cstheme="minorHAnsi"/>
          <w:color w:val="000000" w:themeColor="text1"/>
        </w:rPr>
        <w:t xml:space="preserve"> even i</w:t>
      </w:r>
      <w:r w:rsidR="00742565" w:rsidRPr="003E3375">
        <w:rPr>
          <w:rFonts w:asciiTheme="minorHAnsi" w:hAnsiTheme="minorHAnsi" w:cstheme="minorHAnsi"/>
          <w:color w:val="000000" w:themeColor="text1"/>
        </w:rPr>
        <w:t>f</w:t>
      </w:r>
      <w:r w:rsidR="00E013F7" w:rsidRPr="003E3375">
        <w:rPr>
          <w:rFonts w:asciiTheme="minorHAnsi" w:hAnsiTheme="minorHAnsi" w:cstheme="minorHAnsi"/>
          <w:color w:val="000000" w:themeColor="text1"/>
        </w:rPr>
        <w:t xml:space="preserve"> the Panel were to accept that </w:t>
      </w:r>
      <w:r w:rsidR="00742565" w:rsidRPr="003E3375">
        <w:rPr>
          <w:rFonts w:asciiTheme="minorHAnsi" w:hAnsiTheme="minorHAnsi" w:cstheme="minorHAnsi"/>
          <w:color w:val="000000" w:themeColor="text1"/>
        </w:rPr>
        <w:t>MOFCOM</w:t>
      </w:r>
      <w:r w:rsidRPr="003E3375">
        <w:rPr>
          <w:rFonts w:asciiTheme="minorHAnsi" w:hAnsiTheme="minorHAnsi" w:cstheme="minorHAnsi"/>
          <w:color w:val="000000" w:themeColor="text1"/>
        </w:rPr>
        <w:t xml:space="preserve"> considered </w:t>
      </w:r>
      <w:r w:rsidR="00E013F7" w:rsidRPr="003E3375">
        <w:rPr>
          <w:rFonts w:asciiTheme="minorHAnsi" w:hAnsiTheme="minorHAnsi" w:cstheme="minorHAnsi"/>
          <w:color w:val="000000" w:themeColor="text1"/>
        </w:rPr>
        <w:t xml:space="preserve">such </w:t>
      </w:r>
      <w:r w:rsidRPr="003E3375">
        <w:rPr>
          <w:rFonts w:asciiTheme="minorHAnsi" w:hAnsiTheme="minorHAnsi" w:cstheme="minorHAnsi"/>
          <w:color w:val="000000" w:themeColor="text1"/>
        </w:rPr>
        <w:t xml:space="preserve">necessary information was missing, MOFCOM </w:t>
      </w:r>
      <w:r w:rsidR="006A5D92" w:rsidRPr="003E3375">
        <w:rPr>
          <w:rFonts w:asciiTheme="minorHAnsi" w:hAnsiTheme="minorHAnsi" w:cstheme="minorHAnsi"/>
          <w:color w:val="000000" w:themeColor="text1"/>
        </w:rPr>
        <w:t xml:space="preserve">was obliged to not </w:t>
      </w:r>
      <w:r w:rsidRPr="003E3375">
        <w:rPr>
          <w:rFonts w:asciiTheme="minorHAnsi" w:hAnsiTheme="minorHAnsi" w:cstheme="minorHAnsi"/>
          <w:color w:val="000000" w:themeColor="text1"/>
        </w:rPr>
        <w:t>remain "passive in the face of possible shortcomings".</w:t>
      </w:r>
      <w:r w:rsidRPr="003E3375">
        <w:rPr>
          <w:rFonts w:asciiTheme="minorHAnsi" w:hAnsiTheme="minorHAnsi" w:cstheme="minorHAnsi"/>
          <w:color w:val="000000" w:themeColor="text1"/>
          <w:vertAlign w:val="superscript"/>
        </w:rPr>
        <w:footnoteReference w:id="103"/>
      </w:r>
      <w:r w:rsidRPr="003E3375">
        <w:rPr>
          <w:rFonts w:asciiTheme="minorHAnsi" w:hAnsiTheme="minorHAnsi" w:cstheme="minorHAnsi"/>
          <w:color w:val="000000" w:themeColor="text1"/>
        </w:rPr>
        <w:t xml:space="preserve"> </w:t>
      </w:r>
      <w:r w:rsidR="00D94E8D" w:rsidRPr="003E3375">
        <w:rPr>
          <w:rFonts w:asciiTheme="minorHAnsi" w:hAnsiTheme="minorHAnsi" w:cstheme="minorHAnsi"/>
          <w:color w:val="000000" w:themeColor="text1"/>
        </w:rPr>
        <w:t xml:space="preserve">MOFCOM failed to make any further enquiries with interested parties regarding purported shortcomings, </w:t>
      </w:r>
      <w:r w:rsidR="00F53AAF" w:rsidRPr="003E3375">
        <w:rPr>
          <w:rFonts w:asciiTheme="minorHAnsi" w:hAnsiTheme="minorHAnsi" w:cstheme="minorHAnsi"/>
          <w:color w:val="000000" w:themeColor="text1"/>
        </w:rPr>
        <w:t xml:space="preserve">and </w:t>
      </w:r>
      <w:r w:rsidR="00D94E8D" w:rsidRPr="003E3375">
        <w:rPr>
          <w:rFonts w:asciiTheme="minorHAnsi" w:hAnsiTheme="minorHAnsi" w:cstheme="minorHAnsi"/>
          <w:color w:val="000000" w:themeColor="text1"/>
        </w:rPr>
        <w:t xml:space="preserve">it failed to inform parties </w:t>
      </w:r>
      <w:r w:rsidR="00F53AAF" w:rsidRPr="003E3375">
        <w:rPr>
          <w:rFonts w:asciiTheme="minorHAnsi" w:hAnsiTheme="minorHAnsi" w:cstheme="minorHAnsi"/>
          <w:color w:val="000000" w:themeColor="text1"/>
        </w:rPr>
        <w:t>that it would</w:t>
      </w:r>
      <w:r w:rsidR="00D94E8D" w:rsidRPr="003E3375">
        <w:rPr>
          <w:rFonts w:asciiTheme="minorHAnsi" w:hAnsiTheme="minorHAnsi" w:cstheme="minorHAnsi"/>
          <w:color w:val="000000" w:themeColor="text1"/>
        </w:rPr>
        <w:t xml:space="preserve"> </w:t>
      </w:r>
      <w:r w:rsidR="00EB382D" w:rsidRPr="003E3375">
        <w:rPr>
          <w:rFonts w:asciiTheme="minorHAnsi" w:hAnsiTheme="minorHAnsi" w:cstheme="minorHAnsi"/>
          <w:color w:val="000000" w:themeColor="text1"/>
        </w:rPr>
        <w:t xml:space="preserve">disregard all information </w:t>
      </w:r>
      <w:r w:rsidR="00F53AAF" w:rsidRPr="003E3375">
        <w:rPr>
          <w:rFonts w:asciiTheme="minorHAnsi" w:hAnsiTheme="minorHAnsi" w:cstheme="minorHAnsi"/>
          <w:color w:val="000000" w:themeColor="text1"/>
        </w:rPr>
        <w:t xml:space="preserve">relevant to </w:t>
      </w:r>
      <w:r w:rsidR="004235EA" w:rsidRPr="003E3375">
        <w:rPr>
          <w:rFonts w:asciiTheme="minorHAnsi" w:hAnsiTheme="minorHAnsi" w:cstheme="minorHAnsi"/>
          <w:color w:val="000000" w:themeColor="text1"/>
        </w:rPr>
        <w:t xml:space="preserve">its </w:t>
      </w:r>
      <w:r w:rsidR="00F53AAF" w:rsidRPr="003E3375">
        <w:rPr>
          <w:rFonts w:asciiTheme="minorHAnsi" w:hAnsiTheme="minorHAnsi" w:cstheme="minorHAnsi"/>
          <w:color w:val="000000" w:themeColor="text1"/>
        </w:rPr>
        <w:t xml:space="preserve">benefit and specificity determinations </w:t>
      </w:r>
      <w:r w:rsidR="00EB382D" w:rsidRPr="003E3375">
        <w:rPr>
          <w:rFonts w:asciiTheme="minorHAnsi" w:hAnsiTheme="minorHAnsi" w:cstheme="minorHAnsi"/>
          <w:color w:val="000000" w:themeColor="text1"/>
        </w:rPr>
        <w:t xml:space="preserve">– </w:t>
      </w:r>
      <w:r w:rsidR="00F53AAF" w:rsidRPr="003E3375">
        <w:rPr>
          <w:rFonts w:asciiTheme="minorHAnsi" w:hAnsiTheme="minorHAnsi" w:cstheme="minorHAnsi"/>
          <w:color w:val="000000" w:themeColor="text1"/>
        </w:rPr>
        <w:t>including information</w:t>
      </w:r>
      <w:r w:rsidR="00EB382D" w:rsidRPr="003E3375">
        <w:rPr>
          <w:rFonts w:asciiTheme="minorHAnsi" w:hAnsiTheme="minorHAnsi" w:cstheme="minorHAnsi"/>
          <w:color w:val="000000" w:themeColor="text1"/>
        </w:rPr>
        <w:t xml:space="preserve"> appropriately submitted within a reasonable time</w:t>
      </w:r>
      <w:r w:rsidR="00F53AAF" w:rsidRPr="003E3375">
        <w:rPr>
          <w:rFonts w:asciiTheme="minorHAnsi" w:hAnsiTheme="minorHAnsi" w:cstheme="minorHAnsi"/>
          <w:color w:val="000000" w:themeColor="text1"/>
        </w:rPr>
        <w:t>.</w:t>
      </w:r>
      <w:r w:rsidR="00EB382D" w:rsidRPr="003E3375">
        <w:rPr>
          <w:rFonts w:asciiTheme="minorHAnsi" w:hAnsiTheme="minorHAnsi" w:cstheme="minorHAnsi"/>
          <w:color w:val="000000" w:themeColor="text1"/>
        </w:rPr>
        <w:t xml:space="preserve"> </w:t>
      </w:r>
    </w:p>
    <w:p w14:paraId="5F9B2F85" w14:textId="7CF31491" w:rsidR="00A35CA6" w:rsidRPr="003E3375" w:rsidRDefault="00742565"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Finally, </w:t>
      </w:r>
      <w:r w:rsidR="00732D22" w:rsidRPr="003E3375">
        <w:rPr>
          <w:rFonts w:asciiTheme="minorHAnsi" w:hAnsiTheme="minorHAnsi" w:cstheme="minorHAnsi"/>
          <w:color w:val="000000" w:themeColor="text1"/>
        </w:rPr>
        <w:t xml:space="preserve">if, </w:t>
      </w:r>
      <w:r w:rsidR="00507A1C" w:rsidRPr="003E3375">
        <w:rPr>
          <w:rFonts w:asciiTheme="minorHAnsi" w:hAnsiTheme="minorHAnsi" w:cstheme="minorHAnsi"/>
          <w:i/>
          <w:iCs/>
          <w:color w:val="000000" w:themeColor="text1"/>
        </w:rPr>
        <w:t>arguendo</w:t>
      </w:r>
      <w:r w:rsidR="00732D22" w:rsidRPr="003E3375">
        <w:rPr>
          <w:rFonts w:asciiTheme="minorHAnsi" w:hAnsiTheme="minorHAnsi" w:cstheme="minorHAnsi"/>
          <w:color w:val="000000" w:themeColor="text1"/>
        </w:rPr>
        <w:t>, the Panel were to find</w:t>
      </w:r>
      <w:r w:rsidR="00507A1C" w:rsidRPr="003E3375">
        <w:rPr>
          <w:rFonts w:asciiTheme="minorHAnsi" w:hAnsiTheme="minorHAnsi" w:cstheme="minorHAnsi"/>
          <w:color w:val="000000" w:themeColor="text1"/>
        </w:rPr>
        <w:t xml:space="preserve"> </w:t>
      </w:r>
      <w:r w:rsidR="006906A3" w:rsidRPr="003E3375">
        <w:rPr>
          <w:rFonts w:asciiTheme="minorHAnsi" w:hAnsiTheme="minorHAnsi" w:cstheme="minorHAnsi"/>
          <w:color w:val="000000" w:themeColor="text1"/>
        </w:rPr>
        <w:t xml:space="preserve">that MOFCOM </w:t>
      </w:r>
      <w:r w:rsidR="001B5ADB" w:rsidRPr="003E3375">
        <w:rPr>
          <w:rFonts w:asciiTheme="minorHAnsi" w:hAnsiTheme="minorHAnsi" w:cstheme="minorHAnsi"/>
          <w:color w:val="000000" w:themeColor="text1"/>
        </w:rPr>
        <w:t>properly had recourse to facts available</w:t>
      </w:r>
      <w:r w:rsidR="00A35CA6" w:rsidRPr="003E3375">
        <w:rPr>
          <w:rFonts w:asciiTheme="minorHAnsi" w:hAnsiTheme="minorHAnsi" w:cstheme="minorHAnsi"/>
          <w:color w:val="000000" w:themeColor="text1"/>
        </w:rPr>
        <w:t xml:space="preserve">, MOFCOM </w:t>
      </w:r>
      <w:r w:rsidR="00732D22" w:rsidRPr="003E3375">
        <w:rPr>
          <w:rFonts w:asciiTheme="minorHAnsi" w:hAnsiTheme="minorHAnsi" w:cstheme="minorHAnsi"/>
          <w:color w:val="000000" w:themeColor="text1"/>
        </w:rPr>
        <w:t>acted inconsistently with Article 12.7</w:t>
      </w:r>
      <w:r w:rsidR="00BF5102" w:rsidRPr="003E3375">
        <w:rPr>
          <w:rFonts w:asciiTheme="minorHAnsi" w:hAnsiTheme="minorHAnsi" w:cstheme="minorHAnsi"/>
          <w:color w:val="000000" w:themeColor="text1"/>
        </w:rPr>
        <w:t xml:space="preserve"> of the SCM Agreement</w:t>
      </w:r>
      <w:r w:rsidR="00732D22" w:rsidRPr="003E3375">
        <w:rPr>
          <w:rFonts w:asciiTheme="minorHAnsi" w:hAnsiTheme="minorHAnsi" w:cstheme="minorHAnsi"/>
          <w:color w:val="000000" w:themeColor="text1"/>
        </w:rPr>
        <w:t xml:space="preserve"> by </w:t>
      </w:r>
      <w:r w:rsidR="001B5ADB" w:rsidRPr="003E3375">
        <w:rPr>
          <w:rFonts w:asciiTheme="minorHAnsi" w:hAnsiTheme="minorHAnsi" w:cstheme="minorHAnsi"/>
          <w:color w:val="000000" w:themeColor="text1"/>
        </w:rPr>
        <w:t>fail</w:t>
      </w:r>
      <w:r w:rsidR="00732D22" w:rsidRPr="003E3375">
        <w:rPr>
          <w:rFonts w:asciiTheme="minorHAnsi" w:hAnsiTheme="minorHAnsi" w:cstheme="minorHAnsi"/>
          <w:color w:val="000000" w:themeColor="text1"/>
        </w:rPr>
        <w:t>ing</w:t>
      </w:r>
      <w:r w:rsidR="001B5ADB" w:rsidRPr="003E3375">
        <w:rPr>
          <w:rFonts w:asciiTheme="minorHAnsi" w:hAnsiTheme="minorHAnsi" w:cstheme="minorHAnsi"/>
          <w:color w:val="000000" w:themeColor="text1"/>
        </w:rPr>
        <w:t xml:space="preserve"> to </w:t>
      </w:r>
      <w:r w:rsidR="00A35CA6" w:rsidRPr="003E3375">
        <w:rPr>
          <w:rFonts w:asciiTheme="minorHAnsi" w:hAnsiTheme="minorHAnsi" w:cstheme="minorHAnsi"/>
          <w:color w:val="000000" w:themeColor="text1"/>
        </w:rPr>
        <w:t xml:space="preserve">select </w:t>
      </w:r>
      <w:r w:rsidR="001B5ADB" w:rsidRPr="003E3375">
        <w:rPr>
          <w:rFonts w:asciiTheme="minorHAnsi" w:hAnsiTheme="minorHAnsi" w:cstheme="minorHAnsi"/>
          <w:color w:val="000000" w:themeColor="text1"/>
        </w:rPr>
        <w:t xml:space="preserve">a reasonable replacement for the necessary information </w:t>
      </w:r>
      <w:r w:rsidR="00BF5102" w:rsidRPr="003E3375">
        <w:rPr>
          <w:rFonts w:asciiTheme="minorHAnsi" w:hAnsiTheme="minorHAnsi" w:cstheme="minorHAnsi"/>
          <w:color w:val="000000" w:themeColor="text1"/>
        </w:rPr>
        <w:t>it found to be missing</w:t>
      </w:r>
      <w:r w:rsidR="00A35CA6" w:rsidRPr="003E3375">
        <w:rPr>
          <w:rFonts w:asciiTheme="minorHAnsi" w:hAnsiTheme="minorHAnsi" w:cstheme="minorHAnsi"/>
          <w:color w:val="000000" w:themeColor="text1"/>
        </w:rPr>
        <w:t xml:space="preserve">. </w:t>
      </w:r>
      <w:r w:rsidR="0030702B" w:rsidRPr="003E3375">
        <w:rPr>
          <w:rFonts w:asciiTheme="minorHAnsi" w:hAnsiTheme="minorHAnsi" w:cstheme="minorHAnsi"/>
          <w:color w:val="000000" w:themeColor="text1"/>
        </w:rPr>
        <w:t xml:space="preserve">To determine benefit </w:t>
      </w:r>
      <w:r w:rsidR="007D34A3" w:rsidRPr="003E3375">
        <w:rPr>
          <w:rFonts w:asciiTheme="minorHAnsi" w:hAnsiTheme="minorHAnsi" w:cstheme="minorHAnsi"/>
          <w:color w:val="000000" w:themeColor="text1"/>
        </w:rPr>
        <w:t>and specificity</w:t>
      </w:r>
      <w:r w:rsidR="0030702B" w:rsidRPr="003E3375">
        <w:rPr>
          <w:rFonts w:asciiTheme="minorHAnsi" w:hAnsiTheme="minorHAnsi" w:cstheme="minorHAnsi"/>
          <w:color w:val="000000" w:themeColor="text1"/>
        </w:rPr>
        <w:t>, MOFCOM</w:t>
      </w:r>
      <w:r w:rsidR="00A35CA6" w:rsidRPr="003E3375">
        <w:rPr>
          <w:rFonts w:asciiTheme="minorHAnsi" w:hAnsiTheme="minorHAnsi" w:cstheme="minorHAnsi"/>
          <w:color w:val="000000" w:themeColor="text1"/>
        </w:rPr>
        <w:t xml:space="preserve"> cited budget figures that had no logical connection to the facts on the record. These budget figures included payments made outside </w:t>
      </w:r>
      <w:r w:rsidR="00A35CA6" w:rsidRPr="003E3375">
        <w:rPr>
          <w:rFonts w:asciiTheme="minorHAnsi" w:hAnsiTheme="minorHAnsi" w:cstheme="minorHAnsi"/>
          <w:color w:val="000000" w:themeColor="text1"/>
        </w:rPr>
        <w:lastRenderedPageBreak/>
        <w:t>the POI</w:t>
      </w:r>
      <w:r w:rsidR="00023822" w:rsidRPr="003E3375">
        <w:rPr>
          <w:rFonts w:asciiTheme="minorHAnsi" w:hAnsiTheme="minorHAnsi" w:cstheme="minorHAnsi"/>
          <w:color w:val="000000" w:themeColor="text1"/>
        </w:rPr>
        <w:t>.</w:t>
      </w:r>
      <w:r w:rsidR="00A35CA6" w:rsidRPr="003E3375">
        <w:rPr>
          <w:rFonts w:asciiTheme="minorHAnsi" w:hAnsiTheme="minorHAnsi" w:cstheme="minorHAnsi"/>
          <w:color w:val="000000" w:themeColor="text1"/>
        </w:rPr>
        <w:t xml:space="preserve"> MOFCOM connected </w:t>
      </w:r>
      <w:r w:rsidR="004D2F97" w:rsidRPr="003E3375">
        <w:rPr>
          <w:rFonts w:asciiTheme="minorHAnsi" w:hAnsiTheme="minorHAnsi" w:cstheme="minorHAnsi"/>
          <w:color w:val="000000" w:themeColor="text1"/>
        </w:rPr>
        <w:t xml:space="preserve">these budget figures to the alleged benefit conferred on the barley industry by stating it </w:t>
      </w:r>
      <w:r w:rsidR="00981F0E" w:rsidRPr="003E3375">
        <w:rPr>
          <w:rFonts w:asciiTheme="minorHAnsi" w:hAnsiTheme="minorHAnsi" w:cstheme="minorHAnsi"/>
          <w:color w:val="000000" w:themeColor="text1"/>
        </w:rPr>
        <w:t>"</w:t>
      </w:r>
      <w:r w:rsidR="004D2F97" w:rsidRPr="003E3375">
        <w:rPr>
          <w:rFonts w:asciiTheme="minorHAnsi" w:hAnsiTheme="minorHAnsi" w:cstheme="minorHAnsi"/>
          <w:color w:val="000000" w:themeColor="text1"/>
        </w:rPr>
        <w:t>had reason to believe</w:t>
      </w:r>
      <w:r w:rsidR="00981F0E" w:rsidRPr="003E3375">
        <w:rPr>
          <w:rFonts w:asciiTheme="minorHAnsi" w:hAnsiTheme="minorHAnsi" w:cstheme="minorHAnsi"/>
          <w:color w:val="000000" w:themeColor="text1"/>
        </w:rPr>
        <w:t>"</w:t>
      </w:r>
      <w:r w:rsidR="004D2F97" w:rsidRPr="003E3375">
        <w:rPr>
          <w:rFonts w:asciiTheme="minorHAnsi" w:hAnsiTheme="minorHAnsi" w:cstheme="minorHAnsi"/>
          <w:color w:val="000000" w:themeColor="text1"/>
        </w:rPr>
        <w:t xml:space="preserve"> that, as the program applied to the agricultural sector, and barley is an agricultural product that is widely produced in the relevant area, it follows that barley production must have received a benefit. However, this reasoning consisted of mere assumptions and there was no logical link, let alone evidence, to establish that the programs conferred any benefit on the barley industry or could be considered "specific" to that industry. Further, in choosing to "believe" as it did, MOFCOM ignored the evidence on the record, supplied by the Australian government, of the actual recipients and the actual amounts of funding that they received. MOFCOM therefore failed to undertake the required evaluation of all relevant evidence on the record in order to select a reasonable replacement for the alleged missing necessary information to reach an accurate determination of subsidisation.</w:t>
      </w:r>
    </w:p>
    <w:p w14:paraId="33CE36C8" w14:textId="4E6E5916" w:rsidR="00221B16" w:rsidRPr="003E3375" w:rsidRDefault="00A35CA6" w:rsidP="00B841E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MOFCOM's failure to properly apply Articles 1</w:t>
      </w:r>
      <w:r w:rsidR="00A437E2"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 xml:space="preserve">2 </w:t>
      </w:r>
      <w:r w:rsidR="00A437E2" w:rsidRPr="003E3375">
        <w:rPr>
          <w:rFonts w:asciiTheme="minorHAnsi" w:hAnsiTheme="minorHAnsi" w:cstheme="minorHAnsi"/>
          <w:color w:val="000000" w:themeColor="text1"/>
        </w:rPr>
        <w:t xml:space="preserve">and 12.7 </w:t>
      </w:r>
      <w:r w:rsidRPr="003E3375">
        <w:rPr>
          <w:rFonts w:asciiTheme="minorHAnsi" w:hAnsiTheme="minorHAnsi" w:cstheme="minorHAnsi"/>
          <w:color w:val="000000" w:themeColor="text1"/>
        </w:rPr>
        <w:t>of the SCM Agreement led to an improper subsidy margin of 6.9% for all Australian traders and producers.</w:t>
      </w:r>
    </w:p>
    <w:p w14:paraId="3F44399C" w14:textId="70F6A37A" w:rsidR="00221B16" w:rsidRPr="003E3375" w:rsidRDefault="00D969E9" w:rsidP="00E72E98">
      <w:pPr>
        <w:pStyle w:val="HL1HeadingLevel1"/>
        <w:spacing w:line="276" w:lineRule="auto"/>
        <w:rPr>
          <w:rFonts w:asciiTheme="minorHAnsi" w:hAnsiTheme="minorHAnsi" w:cstheme="minorHAnsi"/>
          <w:color w:val="000000" w:themeColor="text1"/>
        </w:rPr>
      </w:pPr>
      <w:bookmarkStart w:id="23" w:name="_Toc114492232"/>
      <w:r w:rsidRPr="003E3375">
        <w:rPr>
          <w:rFonts w:asciiTheme="minorHAnsi" w:hAnsiTheme="minorHAnsi" w:cstheme="minorHAnsi"/>
          <w:color w:val="000000" w:themeColor="text1"/>
        </w:rPr>
        <w:t xml:space="preserve">Injury and </w:t>
      </w:r>
      <w:r w:rsidR="00AD72E6" w:rsidRPr="003E3375">
        <w:rPr>
          <w:rFonts w:asciiTheme="minorHAnsi" w:hAnsiTheme="minorHAnsi" w:cstheme="minorHAnsi"/>
          <w:color w:val="000000" w:themeColor="text1"/>
        </w:rPr>
        <w:t>c</w:t>
      </w:r>
      <w:r w:rsidRPr="003E3375">
        <w:rPr>
          <w:rFonts w:asciiTheme="minorHAnsi" w:hAnsiTheme="minorHAnsi" w:cstheme="minorHAnsi"/>
          <w:color w:val="000000" w:themeColor="text1"/>
        </w:rPr>
        <w:t>ausation</w:t>
      </w:r>
      <w:bookmarkEnd w:id="23"/>
    </w:p>
    <w:p w14:paraId="1C727EC1" w14:textId="77777777" w:rsidR="0055393A" w:rsidRPr="003E3375" w:rsidRDefault="004D2F97" w:rsidP="00B841EF">
      <w:pPr>
        <w:pStyle w:val="P1-N1Paragraph1-Number1"/>
        <w:spacing w:line="276" w:lineRule="auto"/>
        <w:rPr>
          <w:color w:val="000000" w:themeColor="text1"/>
        </w:rPr>
      </w:pPr>
      <w:r w:rsidRPr="003E3375">
        <w:rPr>
          <w:color w:val="000000" w:themeColor="text1"/>
        </w:rPr>
        <w:t>In each of the investigations,</w:t>
      </w:r>
      <w:r w:rsidR="00BC4110" w:rsidRPr="003E3375">
        <w:rPr>
          <w:color w:val="000000" w:themeColor="text1"/>
        </w:rPr>
        <w:t xml:space="preserve"> China acted inconsistently with Articles 3.1, 3.2, 3.4, and</w:t>
      </w:r>
      <w:r w:rsidR="0053174C" w:rsidRPr="003E3375">
        <w:rPr>
          <w:color w:val="000000" w:themeColor="text1"/>
        </w:rPr>
        <w:t> </w:t>
      </w:r>
      <w:r w:rsidR="00BC4110" w:rsidRPr="003E3375">
        <w:rPr>
          <w:color w:val="000000" w:themeColor="text1"/>
        </w:rPr>
        <w:t>3.5 of the Anti-</w:t>
      </w:r>
      <w:r w:rsidR="00BC4110" w:rsidRPr="003E3375">
        <w:rPr>
          <w:rFonts w:asciiTheme="minorHAnsi" w:hAnsiTheme="minorHAnsi" w:cstheme="minorHAnsi"/>
          <w:color w:val="000000" w:themeColor="text1"/>
        </w:rPr>
        <w:t>Dumping</w:t>
      </w:r>
      <w:r w:rsidR="00BC4110" w:rsidRPr="003E3375">
        <w:rPr>
          <w:color w:val="000000" w:themeColor="text1"/>
        </w:rPr>
        <w:t xml:space="preserve"> Agreement and Articles 15.1, 15.2, 15.4, and 15.5 of the SCM</w:t>
      </w:r>
      <w:r w:rsidR="00AC1990" w:rsidRPr="003E3375">
        <w:rPr>
          <w:color w:val="000000" w:themeColor="text1"/>
        </w:rPr>
        <w:t> </w:t>
      </w:r>
      <w:r w:rsidR="00BC4110" w:rsidRPr="003E3375">
        <w:rPr>
          <w:color w:val="000000" w:themeColor="text1"/>
        </w:rPr>
        <w:t xml:space="preserve">Agreement. </w:t>
      </w:r>
    </w:p>
    <w:p w14:paraId="3AC0ADB0" w14:textId="452EEB26" w:rsidR="00BC4110" w:rsidRPr="003E3375" w:rsidRDefault="00BC4110" w:rsidP="00B841EF">
      <w:pPr>
        <w:pStyle w:val="P1-N1Paragraph1-Number1"/>
        <w:spacing w:line="276" w:lineRule="auto"/>
        <w:rPr>
          <w:color w:val="000000" w:themeColor="text1"/>
        </w:rPr>
      </w:pPr>
      <w:r w:rsidRPr="003E3375">
        <w:rPr>
          <w:color w:val="000000" w:themeColor="text1"/>
        </w:rPr>
        <w:t xml:space="preserve">Articles 3.1 and 15.1 impose overarching obligations requiring an investigating authority to make "objective" findings based on "positive evidence", </w:t>
      </w:r>
      <w:r w:rsidR="005B4DE5" w:rsidRPr="003E3375">
        <w:rPr>
          <w:color w:val="000000" w:themeColor="text1"/>
        </w:rPr>
        <w:t xml:space="preserve">meaning </w:t>
      </w:r>
      <w:r w:rsidRPr="003E3375">
        <w:rPr>
          <w:color w:val="000000" w:themeColor="text1"/>
        </w:rPr>
        <w:t xml:space="preserve">evidence </w:t>
      </w:r>
      <w:r w:rsidR="003F61F6" w:rsidRPr="003E3375">
        <w:rPr>
          <w:color w:val="000000" w:themeColor="text1"/>
        </w:rPr>
        <w:t xml:space="preserve">that is </w:t>
      </w:r>
      <w:r w:rsidRPr="003E3375">
        <w:rPr>
          <w:color w:val="000000" w:themeColor="text1"/>
        </w:rPr>
        <w:t>credible, affirmative, and verifiable in character.</w:t>
      </w:r>
      <w:r w:rsidRPr="003E3375">
        <w:rPr>
          <w:rStyle w:val="FootnoteReference"/>
          <w:rFonts w:asciiTheme="minorHAnsi" w:hAnsiTheme="minorHAnsi" w:cstheme="minorHAnsi"/>
          <w:color w:val="000000" w:themeColor="text1"/>
        </w:rPr>
        <w:footnoteReference w:id="104"/>
      </w:r>
      <w:r w:rsidRPr="003E3375">
        <w:rPr>
          <w:color w:val="000000" w:themeColor="text1"/>
        </w:rPr>
        <w:t xml:space="preserve"> </w:t>
      </w:r>
      <w:r w:rsidR="0055393A" w:rsidRPr="003E3375">
        <w:rPr>
          <w:rFonts w:asciiTheme="minorHAnsi" w:hAnsiTheme="minorHAnsi" w:cstheme="minorHAnsi"/>
          <w:color w:val="000000" w:themeColor="text1"/>
        </w:rPr>
        <w:t xml:space="preserve">Exhibits CHN-22 and 23 bring </w:t>
      </w:r>
      <w:r w:rsidRPr="003E3375">
        <w:rPr>
          <w:color w:val="000000" w:themeColor="text1"/>
        </w:rPr>
        <w:t>MOFCOM's failure to rely on positive evidence into sharp focus</w:t>
      </w:r>
      <w:r w:rsidRPr="003E3375">
        <w:rPr>
          <w:rFonts w:asciiTheme="minorHAnsi" w:hAnsiTheme="minorHAnsi" w:cstheme="minorHAnsi"/>
          <w:color w:val="000000" w:themeColor="text1"/>
        </w:rPr>
        <w:t>, reveal</w:t>
      </w:r>
      <w:r w:rsidR="00B0414D" w:rsidRPr="003E3375">
        <w:rPr>
          <w:rFonts w:asciiTheme="minorHAnsi" w:hAnsiTheme="minorHAnsi" w:cstheme="minorHAnsi"/>
          <w:color w:val="000000" w:themeColor="text1"/>
        </w:rPr>
        <w:t>ing</w:t>
      </w:r>
      <w:r w:rsidRPr="003E3375">
        <w:rPr>
          <w:rFonts w:asciiTheme="minorHAnsi" w:hAnsiTheme="minorHAnsi" w:cstheme="minorHAnsi"/>
          <w:color w:val="000000" w:themeColor="text1"/>
        </w:rPr>
        <w:t xml:space="preserve"> the lack of evidence on the record </w:t>
      </w:r>
      <w:r w:rsidR="00B250E1" w:rsidRPr="003E3375">
        <w:rPr>
          <w:rFonts w:asciiTheme="minorHAnsi" w:hAnsiTheme="minorHAnsi" w:cstheme="minorHAnsi"/>
          <w:color w:val="000000" w:themeColor="text1"/>
        </w:rPr>
        <w:t>[[</w:t>
      </w:r>
      <w:r w:rsidR="009002EB">
        <w:rPr>
          <w:rFonts w:asciiTheme="minorHAnsi" w:hAnsiTheme="minorHAnsi" w:cstheme="minorHAnsi"/>
          <w:color w:val="000000" w:themeColor="text1"/>
        </w:rPr>
        <w:t>XXX</w:t>
      </w:r>
      <w:r w:rsidR="00563EAE" w:rsidRPr="003E3375">
        <w:rPr>
          <w:rFonts w:asciiTheme="minorHAnsi" w:hAnsiTheme="minorHAnsi" w:cstheme="minorHAnsi"/>
          <w:color w:val="000000" w:themeColor="text1"/>
        </w:rPr>
        <w:t>]]</w:t>
      </w:r>
      <w:r w:rsidR="00E92DD3" w:rsidRPr="003E3375">
        <w:rPr>
          <w:rStyle w:val="FootnoteReference"/>
          <w:rFonts w:cstheme="minorHAnsi"/>
          <w:color w:val="000000" w:themeColor="text1"/>
        </w:rPr>
        <w:footnoteReference w:id="105"/>
      </w:r>
      <w:r w:rsidRPr="003E3375">
        <w:rPr>
          <w:rFonts w:asciiTheme="minorHAnsi" w:hAnsiTheme="minorHAnsi" w:cstheme="minorHAnsi"/>
          <w:color w:val="000000" w:themeColor="text1"/>
        </w:rPr>
        <w:t xml:space="preserve"> </w:t>
      </w:r>
      <w:r w:rsidR="00563EAE" w:rsidRPr="003E3375">
        <w:rPr>
          <w:rFonts w:asciiTheme="minorHAnsi" w:hAnsiTheme="minorHAnsi" w:cstheme="minorHAnsi"/>
          <w:color w:val="000000" w:themeColor="text1"/>
        </w:rPr>
        <w:t>[[</w:t>
      </w:r>
      <w:r w:rsidR="009002EB">
        <w:rPr>
          <w:rFonts w:asciiTheme="minorHAnsi" w:hAnsiTheme="minorHAnsi" w:cstheme="minorHAnsi"/>
          <w:color w:val="000000" w:themeColor="text1"/>
        </w:rPr>
        <w:t>XXX</w:t>
      </w:r>
      <w:r w:rsidR="00B250E1" w:rsidRPr="003E3375">
        <w:rPr>
          <w:color w:val="000000" w:themeColor="text1"/>
          <w:lang w:val="en-US"/>
        </w:rPr>
        <w:t>]]</w:t>
      </w:r>
      <w:r w:rsidRPr="003E3375">
        <w:rPr>
          <w:rStyle w:val="FootnoteReference"/>
          <w:color w:val="000000" w:themeColor="text1"/>
          <w:lang w:val="en-US"/>
        </w:rPr>
        <w:footnoteReference w:id="106"/>
      </w:r>
      <w:r w:rsidRPr="003E3375">
        <w:rPr>
          <w:color w:val="000000" w:themeColor="text1"/>
        </w:rPr>
        <w:t xml:space="preserve"> In short, MOFCOM's investigations and analyses were not based on positive evidence and, as such, are inconsistent with the overarching obligations in Articles</w:t>
      </w:r>
      <w:r w:rsidR="00465936" w:rsidRPr="003E3375">
        <w:rPr>
          <w:color w:val="000000" w:themeColor="text1"/>
        </w:rPr>
        <w:t> </w:t>
      </w:r>
      <w:r w:rsidRPr="003E3375">
        <w:rPr>
          <w:color w:val="000000" w:themeColor="text1"/>
        </w:rPr>
        <w:t>3.1 and 15.1</w:t>
      </w:r>
      <w:r w:rsidR="00B0414D" w:rsidRPr="003E3375">
        <w:rPr>
          <w:color w:val="000000" w:themeColor="text1"/>
        </w:rPr>
        <w:t>.</w:t>
      </w:r>
    </w:p>
    <w:p w14:paraId="0CD41D6B" w14:textId="77777777" w:rsidR="00BC4110" w:rsidRPr="003E3375" w:rsidRDefault="00BC4110" w:rsidP="007A18E6">
      <w:pPr>
        <w:pStyle w:val="HL2HeadingLevel2"/>
        <w:numPr>
          <w:ilvl w:val="1"/>
          <w:numId w:val="15"/>
        </w:numPr>
        <w:rPr>
          <w:color w:val="000000" w:themeColor="text1"/>
        </w:rPr>
      </w:pPr>
      <w:bookmarkStart w:id="24" w:name="_Toc114492233"/>
      <w:r w:rsidRPr="003E3375">
        <w:rPr>
          <w:color w:val="000000" w:themeColor="text1"/>
        </w:rPr>
        <w:t>MOFCOM's flawed analyses of changes in volume of subject imports</w:t>
      </w:r>
      <w:bookmarkEnd w:id="24"/>
    </w:p>
    <w:p w14:paraId="40795B9A" w14:textId="249EEA3C" w:rsidR="00BC4110" w:rsidRPr="003E3375" w:rsidRDefault="00BC4110" w:rsidP="00B841EF">
      <w:pPr>
        <w:pStyle w:val="P1-N1Paragraph1-Number1"/>
        <w:spacing w:line="276" w:lineRule="auto"/>
        <w:rPr>
          <w:color w:val="000000" w:themeColor="text1"/>
        </w:rPr>
      </w:pPr>
      <w:r w:rsidRPr="003E3375">
        <w:rPr>
          <w:color w:val="000000" w:themeColor="text1"/>
        </w:rPr>
        <w:t xml:space="preserve">Article 3.1 and the first sentence of Article 3.2 of the Anti-Dumping Agreement and Article 15.1 </w:t>
      </w:r>
      <w:r w:rsidRPr="003E3375">
        <w:rPr>
          <w:rFonts w:asciiTheme="minorHAnsi" w:hAnsiTheme="minorHAnsi" w:cstheme="minorHAnsi"/>
          <w:color w:val="000000" w:themeColor="text1"/>
        </w:rPr>
        <w:t>and</w:t>
      </w:r>
      <w:r w:rsidRPr="003E3375">
        <w:rPr>
          <w:color w:val="000000" w:themeColor="text1"/>
        </w:rPr>
        <w:t xml:space="preserve"> the first sentence of Article 15.2 of the SCM Agreement require an investigating authority to make an objective assessment based on positive evidence of whether there has been a </w:t>
      </w:r>
      <w:r w:rsidRPr="003E3375">
        <w:rPr>
          <w:rFonts w:asciiTheme="minorHAnsi" w:hAnsiTheme="minorHAnsi" w:cstheme="minorHAnsi"/>
          <w:color w:val="000000" w:themeColor="text1"/>
        </w:rPr>
        <w:t>significant</w:t>
      </w:r>
      <w:r w:rsidRPr="003E3375">
        <w:rPr>
          <w:color w:val="000000" w:themeColor="text1"/>
        </w:rPr>
        <w:t xml:space="preserve"> increase in subject imports.</w:t>
      </w:r>
      <w:r w:rsidRPr="003E3375">
        <w:rPr>
          <w:rStyle w:val="FootnoteReference"/>
          <w:color w:val="000000" w:themeColor="text1"/>
        </w:rPr>
        <w:footnoteReference w:id="107"/>
      </w:r>
      <w:r w:rsidRPr="003E3375">
        <w:rPr>
          <w:color w:val="000000" w:themeColor="text1"/>
        </w:rPr>
        <w:t xml:space="preserve"> MOFCOM </w:t>
      </w:r>
      <w:r w:rsidR="00524048" w:rsidRPr="003E3375">
        <w:rPr>
          <w:color w:val="000000" w:themeColor="text1"/>
        </w:rPr>
        <w:t xml:space="preserve">was required </w:t>
      </w:r>
      <w:r w:rsidRPr="003E3375">
        <w:rPr>
          <w:color w:val="000000" w:themeColor="text1"/>
        </w:rPr>
        <w:t xml:space="preserve">to </w:t>
      </w:r>
      <w:r w:rsidRPr="003E3375">
        <w:rPr>
          <w:color w:val="000000" w:themeColor="text1"/>
        </w:rPr>
        <w:lastRenderedPageBreak/>
        <w:t xml:space="preserve">consider </w:t>
      </w:r>
      <w:r w:rsidR="00FD6B0A" w:rsidRPr="003E3375">
        <w:rPr>
          <w:color w:val="000000" w:themeColor="text1"/>
        </w:rPr>
        <w:t>whether there had been a significant increase in allegedly dumped and subsidised imports of Australian barley, either in absolute terms or relative to production or consumption in China</w:t>
      </w:r>
      <w:r w:rsidRPr="003E3375">
        <w:rPr>
          <w:color w:val="000000" w:themeColor="text1"/>
        </w:rPr>
        <w:t>.</w:t>
      </w:r>
      <w:r w:rsidRPr="003E3375">
        <w:rPr>
          <w:rStyle w:val="FootnoteReference"/>
          <w:color w:val="000000" w:themeColor="text1"/>
        </w:rPr>
        <w:footnoteReference w:id="108"/>
      </w:r>
      <w:r w:rsidRPr="003E3375">
        <w:rPr>
          <w:color w:val="000000" w:themeColor="text1"/>
        </w:rPr>
        <w:t xml:space="preserve"> MOFCOM considered all three </w:t>
      </w:r>
      <w:r w:rsidR="00FD6B0A" w:rsidRPr="003E3375">
        <w:rPr>
          <w:color w:val="000000" w:themeColor="text1"/>
        </w:rPr>
        <w:t xml:space="preserve">of these </w:t>
      </w:r>
      <w:r w:rsidRPr="003E3375">
        <w:rPr>
          <w:color w:val="000000" w:themeColor="text1"/>
        </w:rPr>
        <w:t>metrics, but did not do so objectively or on the basis of positive evidence.</w:t>
      </w:r>
      <w:r w:rsidRPr="003E3375">
        <w:rPr>
          <w:rStyle w:val="FootnoteReference"/>
          <w:rFonts w:asciiTheme="minorHAnsi" w:hAnsiTheme="minorHAnsi" w:cstheme="minorHAnsi"/>
          <w:color w:val="000000" w:themeColor="text1"/>
        </w:rPr>
        <w:footnoteReference w:id="109"/>
      </w:r>
    </w:p>
    <w:p w14:paraId="0ABBF299" w14:textId="77777777" w:rsidR="00BC4110" w:rsidRPr="003E3375" w:rsidRDefault="00BC4110" w:rsidP="00B841EF">
      <w:pPr>
        <w:pStyle w:val="P1-N1Paragraph1-Number1"/>
        <w:spacing w:line="276" w:lineRule="auto"/>
        <w:rPr>
          <w:color w:val="000000" w:themeColor="text1"/>
        </w:rPr>
      </w:pPr>
      <w:r w:rsidRPr="003E3375">
        <w:rPr>
          <w:color w:val="000000" w:themeColor="text1"/>
        </w:rPr>
        <w:t xml:space="preserve">Due to the WTO-inconsistent manner in which MOFCOM determined the volumes of allegedly dumped </w:t>
      </w:r>
      <w:r w:rsidRPr="003E3375">
        <w:rPr>
          <w:rFonts w:asciiTheme="minorHAnsi" w:hAnsiTheme="minorHAnsi" w:cstheme="minorHAnsi"/>
          <w:color w:val="000000" w:themeColor="text1"/>
        </w:rPr>
        <w:t>and</w:t>
      </w:r>
      <w:r w:rsidRPr="003E3375">
        <w:rPr>
          <w:color w:val="000000" w:themeColor="text1"/>
        </w:rPr>
        <w:t xml:space="preserve"> subsidised barley imported from Australia, its consideration of whether there had been significant </w:t>
      </w:r>
      <w:r w:rsidRPr="003E3375">
        <w:rPr>
          <w:rFonts w:asciiTheme="minorHAnsi" w:hAnsiTheme="minorHAnsi" w:cstheme="minorHAnsi"/>
          <w:color w:val="000000" w:themeColor="text1"/>
        </w:rPr>
        <w:t>increases</w:t>
      </w:r>
      <w:r w:rsidRPr="003E3375">
        <w:rPr>
          <w:color w:val="000000" w:themeColor="text1"/>
        </w:rPr>
        <w:t xml:space="preserve"> in these imports was vitiated because it could not meet the overarching obligations to be "based on positive evidence" and to "involve an objective examination".</w:t>
      </w:r>
      <w:r w:rsidRPr="003E3375">
        <w:rPr>
          <w:rStyle w:val="FootnoteReference"/>
          <w:color w:val="000000" w:themeColor="text1"/>
        </w:rPr>
        <w:footnoteReference w:id="110"/>
      </w:r>
    </w:p>
    <w:p w14:paraId="67568E47" w14:textId="7F8CB943" w:rsidR="00BC4110" w:rsidRPr="003E3375" w:rsidRDefault="00BC4110" w:rsidP="00B841EF">
      <w:pPr>
        <w:pStyle w:val="P1-N1Paragraph1-Number1"/>
        <w:spacing w:line="276" w:lineRule="auto"/>
        <w:rPr>
          <w:color w:val="000000" w:themeColor="text1"/>
        </w:rPr>
      </w:pPr>
      <w:r w:rsidRPr="003E3375">
        <w:rPr>
          <w:color w:val="000000" w:themeColor="text1"/>
        </w:rPr>
        <w:t xml:space="preserve">Should the Panel determine that MOFCOM's examination of the volume of subject imports was "based on positive evidence", MOFCOM nonetheless did not conduct this examination in an "objective" </w:t>
      </w:r>
      <w:r w:rsidRPr="003E3375">
        <w:rPr>
          <w:rFonts w:asciiTheme="minorHAnsi" w:hAnsiTheme="minorHAnsi" w:cstheme="minorHAnsi"/>
          <w:color w:val="000000" w:themeColor="text1"/>
        </w:rPr>
        <w:t>manner</w:t>
      </w:r>
      <w:r w:rsidRPr="003E3375">
        <w:rPr>
          <w:color w:val="000000" w:themeColor="text1"/>
        </w:rPr>
        <w:t>.</w:t>
      </w:r>
      <w:r w:rsidRPr="003E3375">
        <w:rPr>
          <w:rStyle w:val="FootnoteReference"/>
          <w:color w:val="000000" w:themeColor="text1"/>
        </w:rPr>
        <w:footnoteReference w:id="111"/>
      </w:r>
      <w:r w:rsidRPr="003E3375">
        <w:rPr>
          <w:color w:val="000000" w:themeColor="text1"/>
        </w:rPr>
        <w:t xml:space="preserve"> MOFCOM: (i) failed to address relevant data; (ii)</w:t>
      </w:r>
      <w:r w:rsidR="0053174C" w:rsidRPr="003E3375">
        <w:rPr>
          <w:color w:val="000000" w:themeColor="text1"/>
        </w:rPr>
        <w:t> </w:t>
      </w:r>
      <w:r w:rsidRPr="003E3375">
        <w:rPr>
          <w:color w:val="000000" w:themeColor="text1"/>
        </w:rPr>
        <w:t xml:space="preserve">failed to explain how it took into account evidence that conflicted with its conclusions; and (iii) examined the metrics that it used in an inconsistent manner that made a final determination of </w:t>
      </w:r>
      <w:r w:rsidRPr="003E3375">
        <w:rPr>
          <w:rFonts w:asciiTheme="minorHAnsi" w:hAnsiTheme="minorHAnsi" w:cstheme="minorHAnsi"/>
          <w:color w:val="000000" w:themeColor="text1"/>
        </w:rPr>
        <w:t>injury</w:t>
      </w:r>
      <w:r w:rsidRPr="003E3375">
        <w:rPr>
          <w:color w:val="000000" w:themeColor="text1"/>
        </w:rPr>
        <w:t xml:space="preserve"> more likely.</w:t>
      </w:r>
      <w:r w:rsidRPr="003E3375">
        <w:rPr>
          <w:rStyle w:val="FootnoteReference"/>
          <w:color w:val="000000" w:themeColor="text1"/>
        </w:rPr>
        <w:footnoteReference w:id="112"/>
      </w:r>
      <w:r w:rsidRPr="003E3375">
        <w:rPr>
          <w:color w:val="000000" w:themeColor="text1"/>
        </w:rPr>
        <w:t xml:space="preserve"> In short, MOFCOM's failure to deal objectively with the data before it was fatal to its analysis.</w:t>
      </w:r>
    </w:p>
    <w:p w14:paraId="7E9D2A8E" w14:textId="1658C144" w:rsidR="00BC4110" w:rsidRPr="003E3375" w:rsidRDefault="00F5625E" w:rsidP="00B841EF">
      <w:pPr>
        <w:pStyle w:val="P1-N1Paragraph1-Number1"/>
        <w:spacing w:line="276" w:lineRule="auto"/>
        <w:rPr>
          <w:color w:val="000000" w:themeColor="text1"/>
        </w:rPr>
      </w:pPr>
      <w:r w:rsidRPr="003E3375">
        <w:rPr>
          <w:color w:val="000000" w:themeColor="text1"/>
        </w:rPr>
        <w:t>With respect to</w:t>
      </w:r>
      <w:r w:rsidR="003C7543" w:rsidRPr="003E3375">
        <w:rPr>
          <w:color w:val="000000" w:themeColor="text1"/>
        </w:rPr>
        <w:t xml:space="preserve"> </w:t>
      </w:r>
      <w:r w:rsidR="00BC4110" w:rsidRPr="003E3375">
        <w:rPr>
          <w:color w:val="000000" w:themeColor="text1"/>
        </w:rPr>
        <w:t>MOFCOM's treatment of conflicting evidence</w:t>
      </w:r>
      <w:r w:rsidR="004F2795" w:rsidRPr="003E3375">
        <w:rPr>
          <w:color w:val="000000" w:themeColor="text1"/>
        </w:rPr>
        <w:t>,</w:t>
      </w:r>
      <w:r w:rsidRPr="003E3375">
        <w:rPr>
          <w:color w:val="000000" w:themeColor="text1"/>
        </w:rPr>
        <w:t xml:space="preserve"> </w:t>
      </w:r>
      <w:r w:rsidR="00BC4110" w:rsidRPr="003E3375">
        <w:rPr>
          <w:color w:val="000000" w:themeColor="text1"/>
        </w:rPr>
        <w:t xml:space="preserve">MOFCOM </w:t>
      </w:r>
      <w:r w:rsidRPr="003E3375">
        <w:rPr>
          <w:color w:val="000000" w:themeColor="text1"/>
        </w:rPr>
        <w:t xml:space="preserve">observed </w:t>
      </w:r>
      <w:r w:rsidR="00BC4110" w:rsidRPr="003E3375">
        <w:rPr>
          <w:color w:val="000000" w:themeColor="text1"/>
        </w:rPr>
        <w:t xml:space="preserve">large upward </w:t>
      </w:r>
      <w:r w:rsidRPr="003E3375">
        <w:rPr>
          <w:color w:val="000000" w:themeColor="text1"/>
        </w:rPr>
        <w:t>and</w:t>
      </w:r>
      <w:r w:rsidR="00BC4110" w:rsidRPr="003E3375">
        <w:rPr>
          <w:color w:val="000000" w:themeColor="text1"/>
        </w:rPr>
        <w:t xml:space="preserve"> downward changes in annual import volumes</w:t>
      </w:r>
      <w:r w:rsidRPr="003E3375">
        <w:rPr>
          <w:color w:val="000000" w:themeColor="text1"/>
        </w:rPr>
        <w:t>,</w:t>
      </w:r>
      <w:r w:rsidR="00BC4110" w:rsidRPr="003E3375">
        <w:rPr>
          <w:rStyle w:val="FootnoteReference"/>
          <w:color w:val="000000" w:themeColor="text1"/>
        </w:rPr>
        <w:footnoteReference w:id="113"/>
      </w:r>
      <w:r w:rsidR="00BC4110" w:rsidRPr="003E3375">
        <w:rPr>
          <w:color w:val="000000" w:themeColor="text1"/>
        </w:rPr>
        <w:t xml:space="preserve"> </w:t>
      </w:r>
      <w:r w:rsidR="004F2795" w:rsidRPr="003E3375">
        <w:rPr>
          <w:color w:val="000000" w:themeColor="text1"/>
        </w:rPr>
        <w:t>b</w:t>
      </w:r>
      <w:r w:rsidRPr="003E3375">
        <w:rPr>
          <w:color w:val="000000" w:themeColor="text1"/>
        </w:rPr>
        <w:t>ut concluded that a change of 7.78%</w:t>
      </w:r>
      <w:r w:rsidR="00290EEA" w:rsidRPr="003E3375">
        <w:rPr>
          <w:color w:val="000000" w:themeColor="text1"/>
        </w:rPr>
        <w:t>,</w:t>
      </w:r>
      <w:r w:rsidRPr="003E3375">
        <w:rPr>
          <w:color w:val="000000" w:themeColor="text1"/>
        </w:rPr>
        <w:t xml:space="preserve"> based on </w:t>
      </w:r>
      <w:r w:rsidR="00BC4110" w:rsidRPr="003E3375">
        <w:rPr>
          <w:color w:val="000000" w:themeColor="text1"/>
          <w:lang w:val="en-US"/>
        </w:rPr>
        <w:t xml:space="preserve">an </w:t>
      </w:r>
      <w:r w:rsidR="00BC4110" w:rsidRPr="003E3375">
        <w:rPr>
          <w:rFonts w:asciiTheme="minorHAnsi" w:hAnsiTheme="minorHAnsi" w:cstheme="minorHAnsi"/>
          <w:color w:val="000000" w:themeColor="text1"/>
        </w:rPr>
        <w:t>endpoint</w:t>
      </w:r>
      <w:r w:rsidR="00BC4110" w:rsidRPr="003E3375">
        <w:rPr>
          <w:color w:val="000000" w:themeColor="text1"/>
          <w:lang w:val="en-US"/>
        </w:rPr>
        <w:t>-to-endpoint comparison of the data</w:t>
      </w:r>
      <w:r w:rsidR="00607E68" w:rsidRPr="003E3375">
        <w:rPr>
          <w:color w:val="000000" w:themeColor="text1"/>
          <w:lang w:val="en-US"/>
        </w:rPr>
        <w:t xml:space="preserve"> (i.e. between 2014 and 2018)</w:t>
      </w:r>
      <w:r w:rsidR="00290EEA" w:rsidRPr="003E3375">
        <w:rPr>
          <w:color w:val="000000" w:themeColor="text1"/>
          <w:lang w:val="en-US"/>
        </w:rPr>
        <w:t>,</w:t>
      </w:r>
      <w:r w:rsidR="00607E68" w:rsidRPr="003E3375">
        <w:rPr>
          <w:color w:val="000000" w:themeColor="text1"/>
          <w:lang w:val="en-US"/>
        </w:rPr>
        <w:t xml:space="preserve"> indicated</w:t>
      </w:r>
      <w:r w:rsidR="00BC4110" w:rsidRPr="003E3375">
        <w:rPr>
          <w:color w:val="000000" w:themeColor="text1"/>
          <w:lang w:val="en-US"/>
        </w:rPr>
        <w:t xml:space="preserve"> that </w:t>
      </w:r>
      <w:r w:rsidR="00BC4110" w:rsidRPr="003E3375">
        <w:rPr>
          <w:color w:val="000000" w:themeColor="text1"/>
        </w:rPr>
        <w:t>the volume of subject imports had "increased significantly".</w:t>
      </w:r>
      <w:r w:rsidR="00BC4110" w:rsidRPr="003E3375">
        <w:rPr>
          <w:color w:val="000000" w:themeColor="text1"/>
          <w:vertAlign w:val="superscript"/>
        </w:rPr>
        <w:footnoteReference w:id="114"/>
      </w:r>
      <w:r w:rsidR="00BC4110" w:rsidRPr="003E3375">
        <w:rPr>
          <w:color w:val="000000" w:themeColor="text1"/>
        </w:rPr>
        <w:t xml:space="preserve"> MOFCOM did not explain how or why it considered this increase to be "significant" in the context of the much larger year-to-year fluctuations</w:t>
      </w:r>
      <w:r w:rsidR="00837FF0" w:rsidRPr="003E3375">
        <w:rPr>
          <w:color w:val="000000" w:themeColor="text1"/>
        </w:rPr>
        <w:t>, which included decreases of over</w:t>
      </w:r>
      <w:r w:rsidR="003F61F6" w:rsidRPr="003E3375">
        <w:rPr>
          <w:color w:val="000000" w:themeColor="text1"/>
        </w:rPr>
        <w:t xml:space="preserve"> 25% between 2015 and 2016 and</w:t>
      </w:r>
      <w:r w:rsidR="00837FF0" w:rsidRPr="003E3375">
        <w:rPr>
          <w:color w:val="000000" w:themeColor="text1"/>
        </w:rPr>
        <w:t xml:space="preserve"> </w:t>
      </w:r>
      <w:r w:rsidR="003F61F6" w:rsidRPr="003E3375">
        <w:rPr>
          <w:color w:val="000000" w:themeColor="text1"/>
        </w:rPr>
        <w:t>over</w:t>
      </w:r>
      <w:r w:rsidR="00837FF0" w:rsidRPr="003E3375">
        <w:rPr>
          <w:color w:val="000000" w:themeColor="text1"/>
        </w:rPr>
        <w:t xml:space="preserve"> 35%</w:t>
      </w:r>
      <w:r w:rsidR="003F61F6" w:rsidRPr="003E3375">
        <w:rPr>
          <w:color w:val="000000" w:themeColor="text1"/>
        </w:rPr>
        <w:t xml:space="preserve"> between 2017 and 2018</w:t>
      </w:r>
      <w:r w:rsidR="00BC4110" w:rsidRPr="003E3375">
        <w:rPr>
          <w:color w:val="000000" w:themeColor="text1"/>
        </w:rPr>
        <w:t>.</w:t>
      </w:r>
      <w:r w:rsidR="00BC4110" w:rsidRPr="003E3375">
        <w:rPr>
          <w:rStyle w:val="FootnoteReference"/>
          <w:color w:val="000000" w:themeColor="text1"/>
        </w:rPr>
        <w:footnoteReference w:id="115"/>
      </w:r>
    </w:p>
    <w:p w14:paraId="6E7697F2" w14:textId="4A63210D" w:rsidR="00BC4110" w:rsidRPr="003E3375" w:rsidRDefault="00837FF0" w:rsidP="00B841EF">
      <w:pPr>
        <w:pStyle w:val="P1-N1Paragraph1-Number1"/>
        <w:spacing w:line="276" w:lineRule="auto"/>
        <w:rPr>
          <w:color w:val="000000" w:themeColor="text1"/>
        </w:rPr>
      </w:pPr>
      <w:r w:rsidRPr="003E3375">
        <w:rPr>
          <w:color w:val="000000" w:themeColor="text1"/>
        </w:rPr>
        <w:t>T</w:t>
      </w:r>
      <w:r w:rsidR="00BC4110" w:rsidRPr="003E3375">
        <w:rPr>
          <w:color w:val="000000" w:themeColor="text1"/>
        </w:rPr>
        <w:t xml:space="preserve">he panel in </w:t>
      </w:r>
      <w:r w:rsidR="00BC4110" w:rsidRPr="003E3375">
        <w:rPr>
          <w:i/>
          <w:iCs/>
          <w:color w:val="000000" w:themeColor="text1"/>
        </w:rPr>
        <w:t>Pakistan – BOPP Film (UAE)</w:t>
      </w:r>
      <w:r w:rsidR="00BC4110" w:rsidRPr="003E3375">
        <w:rPr>
          <w:color w:val="000000" w:themeColor="text1"/>
        </w:rPr>
        <w:t xml:space="preserve"> stressed that, although an investigating authority may attach greater weight to certain data on its record, it "must not ignore other relevant data, and must explain how it took into account evidence that conflicted with its conclusions".</w:t>
      </w:r>
      <w:r w:rsidR="00BC4110" w:rsidRPr="003E3375">
        <w:rPr>
          <w:rStyle w:val="FootnoteReference"/>
          <w:color w:val="000000" w:themeColor="text1"/>
        </w:rPr>
        <w:footnoteReference w:id="116"/>
      </w:r>
      <w:r w:rsidR="00BC4110" w:rsidRPr="003E3375">
        <w:rPr>
          <w:color w:val="000000" w:themeColor="text1"/>
        </w:rPr>
        <w:t xml:space="preserve"> As to the use of an "endpoint-to-endpoint" analysis, the Appellate Body stated in </w:t>
      </w:r>
      <w:r w:rsidR="00BC4110" w:rsidRPr="003E3375">
        <w:rPr>
          <w:i/>
          <w:iCs/>
          <w:color w:val="000000" w:themeColor="text1"/>
        </w:rPr>
        <w:t>US – Steel Safeguards</w:t>
      </w:r>
      <w:r w:rsidR="00BC4110" w:rsidRPr="003E3375">
        <w:rPr>
          <w:color w:val="000000" w:themeColor="text1"/>
        </w:rPr>
        <w:t xml:space="preserve"> that this type of analysis "could easily be </w:t>
      </w:r>
      <w:r w:rsidR="00BC4110" w:rsidRPr="003E3375">
        <w:rPr>
          <w:rFonts w:asciiTheme="minorHAnsi" w:hAnsiTheme="minorHAnsi" w:cstheme="minorHAnsi"/>
          <w:color w:val="000000" w:themeColor="text1"/>
        </w:rPr>
        <w:t>manipulated</w:t>
      </w:r>
      <w:r w:rsidR="00BC4110" w:rsidRPr="003E3375">
        <w:rPr>
          <w:color w:val="000000" w:themeColor="text1"/>
        </w:rPr>
        <w:t>" to avoid conflicting evidence.</w:t>
      </w:r>
      <w:r w:rsidR="00BC4110" w:rsidRPr="003E3375">
        <w:rPr>
          <w:rStyle w:val="FootnoteReference"/>
          <w:rFonts w:asciiTheme="minorHAnsi" w:hAnsiTheme="minorHAnsi" w:cstheme="minorHAnsi"/>
          <w:color w:val="000000" w:themeColor="text1"/>
        </w:rPr>
        <w:footnoteReference w:id="117"/>
      </w:r>
      <w:r w:rsidR="00BC4110" w:rsidRPr="003E3375">
        <w:rPr>
          <w:color w:val="000000" w:themeColor="text1"/>
        </w:rPr>
        <w:t xml:space="preserve"> The</w:t>
      </w:r>
      <w:r w:rsidRPr="003E3375">
        <w:rPr>
          <w:color w:val="000000" w:themeColor="text1"/>
        </w:rPr>
        <w:t>se principles</w:t>
      </w:r>
      <w:r w:rsidR="00BC4110" w:rsidRPr="003E3375">
        <w:rPr>
          <w:color w:val="000000" w:themeColor="text1"/>
        </w:rPr>
        <w:t xml:space="preserve"> </w:t>
      </w:r>
      <w:r w:rsidRPr="003E3375">
        <w:rPr>
          <w:color w:val="000000" w:themeColor="text1"/>
        </w:rPr>
        <w:t xml:space="preserve">are </w:t>
      </w:r>
      <w:r w:rsidR="00BC4110" w:rsidRPr="003E3375">
        <w:rPr>
          <w:color w:val="000000" w:themeColor="text1"/>
        </w:rPr>
        <w:t>applicable to MOFCOM's analysis.</w:t>
      </w:r>
      <w:r w:rsidR="00BC4110" w:rsidRPr="003E3375">
        <w:rPr>
          <w:rStyle w:val="FootnoteReference"/>
          <w:color w:val="000000" w:themeColor="text1"/>
        </w:rPr>
        <w:footnoteReference w:id="118"/>
      </w:r>
    </w:p>
    <w:p w14:paraId="56B0239C" w14:textId="14787334" w:rsidR="00BC4110" w:rsidRPr="003E3375" w:rsidRDefault="00837FF0" w:rsidP="00B841EF">
      <w:pPr>
        <w:pStyle w:val="P1-N1Paragraph1-Number1"/>
        <w:spacing w:line="276" w:lineRule="auto"/>
        <w:rPr>
          <w:color w:val="000000" w:themeColor="text1"/>
        </w:rPr>
      </w:pPr>
      <w:r w:rsidRPr="003E3375">
        <w:rPr>
          <w:color w:val="000000" w:themeColor="text1"/>
          <w:lang w:val="en-US"/>
        </w:rPr>
        <w:lastRenderedPageBreak/>
        <w:t xml:space="preserve">Although </w:t>
      </w:r>
      <w:r w:rsidR="00BC4110" w:rsidRPr="003E3375">
        <w:rPr>
          <w:color w:val="000000" w:themeColor="text1"/>
          <w:lang w:val="en-US"/>
        </w:rPr>
        <w:t xml:space="preserve">MOFCOM </w:t>
      </w:r>
      <w:r w:rsidRPr="003E3375">
        <w:rPr>
          <w:color w:val="000000" w:themeColor="text1"/>
          <w:lang w:val="en-US"/>
        </w:rPr>
        <w:t xml:space="preserve">also applied </w:t>
      </w:r>
      <w:r w:rsidR="00BC4110" w:rsidRPr="003E3375">
        <w:rPr>
          <w:color w:val="000000" w:themeColor="text1"/>
          <w:lang w:val="en-US"/>
        </w:rPr>
        <w:t xml:space="preserve">the endpoint-to-endpoint methodology in examining </w:t>
      </w:r>
      <w:r w:rsidR="00761293" w:rsidRPr="003E3375">
        <w:rPr>
          <w:color w:val="000000" w:themeColor="text1"/>
          <w:lang w:val="en-US"/>
        </w:rPr>
        <w:t xml:space="preserve">whether subject imports had increased relative to production of like domestic products in China, it departed from this approach in its examination of </w:t>
      </w:r>
      <w:r w:rsidR="00BC4110" w:rsidRPr="003E3375">
        <w:rPr>
          <w:color w:val="000000" w:themeColor="text1"/>
          <w:lang w:val="en-US"/>
        </w:rPr>
        <w:t>subject import</w:t>
      </w:r>
      <w:r w:rsidR="00761293" w:rsidRPr="003E3375">
        <w:rPr>
          <w:color w:val="000000" w:themeColor="text1"/>
          <w:lang w:val="en-US"/>
        </w:rPr>
        <w:t xml:space="preserve"> volume</w:t>
      </w:r>
      <w:r w:rsidR="00BC4110" w:rsidRPr="003E3375">
        <w:rPr>
          <w:color w:val="000000" w:themeColor="text1"/>
          <w:lang w:val="en-US"/>
        </w:rPr>
        <w:t>s relative to domestic consumption</w:t>
      </w:r>
      <w:r w:rsidR="00761293" w:rsidRPr="003E3375">
        <w:rPr>
          <w:color w:val="000000" w:themeColor="text1"/>
          <w:lang w:val="en-US"/>
        </w:rPr>
        <w:t>, omitting such a comparison entirely</w:t>
      </w:r>
      <w:r w:rsidR="00BC4110" w:rsidRPr="003E3375">
        <w:rPr>
          <w:color w:val="000000" w:themeColor="text1"/>
          <w:lang w:val="en-US"/>
        </w:rPr>
        <w:t xml:space="preserve">. Had it </w:t>
      </w:r>
      <w:r w:rsidR="00F510AF" w:rsidRPr="003E3375">
        <w:rPr>
          <w:color w:val="000000" w:themeColor="text1"/>
          <w:lang w:val="en-US"/>
        </w:rPr>
        <w:t>conducted</w:t>
      </w:r>
      <w:r w:rsidR="00761293" w:rsidRPr="003E3375">
        <w:rPr>
          <w:color w:val="000000" w:themeColor="text1"/>
          <w:lang w:val="en-US"/>
        </w:rPr>
        <w:t xml:space="preserve"> the same endpoint-to-endpoint</w:t>
      </w:r>
      <w:r w:rsidR="00F576F5" w:rsidRPr="003E3375">
        <w:rPr>
          <w:color w:val="000000" w:themeColor="text1"/>
          <w:lang w:val="en-US"/>
        </w:rPr>
        <w:t xml:space="preserve"> comparison</w:t>
      </w:r>
      <w:r w:rsidR="00BC4110" w:rsidRPr="003E3375">
        <w:rPr>
          <w:color w:val="000000" w:themeColor="text1"/>
          <w:lang w:val="en-US"/>
        </w:rPr>
        <w:t xml:space="preserve">, MOFCOM would have found that the "market share" of </w:t>
      </w:r>
      <w:r w:rsidR="00BC4110" w:rsidRPr="003E3375">
        <w:rPr>
          <w:rFonts w:asciiTheme="minorHAnsi" w:hAnsiTheme="minorHAnsi" w:cstheme="minorHAnsi"/>
          <w:color w:val="000000" w:themeColor="text1"/>
        </w:rPr>
        <w:t>subject</w:t>
      </w:r>
      <w:r w:rsidR="00BC4110" w:rsidRPr="003E3375">
        <w:rPr>
          <w:color w:val="000000" w:themeColor="text1"/>
          <w:lang w:val="en-US"/>
        </w:rPr>
        <w:t xml:space="preserve"> imports decreased by 4.65 percentage points </w:t>
      </w:r>
      <w:r w:rsidR="00F576F5" w:rsidRPr="003E3375">
        <w:rPr>
          <w:color w:val="000000" w:themeColor="text1"/>
          <w:lang w:val="en-US"/>
        </w:rPr>
        <w:t>during</w:t>
      </w:r>
      <w:r w:rsidR="00BC4110" w:rsidRPr="003E3375">
        <w:rPr>
          <w:color w:val="000000" w:themeColor="text1"/>
          <w:lang w:val="en-US"/>
        </w:rPr>
        <w:t xml:space="preserve"> the Injury POI (from 53.66% in 2014 to 49.01% in 2018).</w:t>
      </w:r>
      <w:r w:rsidR="00BC4110" w:rsidRPr="003E3375">
        <w:rPr>
          <w:rStyle w:val="FootnoteReference"/>
          <w:color w:val="000000" w:themeColor="text1"/>
          <w:lang w:val="en-US"/>
        </w:rPr>
        <w:footnoteReference w:id="119"/>
      </w:r>
      <w:r w:rsidR="00BC4110" w:rsidRPr="003E3375">
        <w:rPr>
          <w:color w:val="000000" w:themeColor="text1"/>
          <w:lang w:val="en-US"/>
        </w:rPr>
        <w:t xml:space="preserve"> </w:t>
      </w:r>
      <w:r w:rsidR="00BC4110" w:rsidRPr="003E3375">
        <w:rPr>
          <w:color w:val="000000" w:themeColor="text1"/>
        </w:rPr>
        <w:t>Rather than making this objective and unbiased finding, MOFCOM instead</w:t>
      </w:r>
      <w:r w:rsidR="00F576F5" w:rsidRPr="003E3375">
        <w:rPr>
          <w:color w:val="000000" w:themeColor="text1"/>
        </w:rPr>
        <w:t xml:space="preserve"> made an alternative finding</w:t>
      </w:r>
      <w:r w:rsidR="00BC4110" w:rsidRPr="003E3375">
        <w:rPr>
          <w:color w:val="000000" w:themeColor="text1"/>
        </w:rPr>
        <w:t xml:space="preserve"> that the ratio of </w:t>
      </w:r>
      <w:r w:rsidR="00F576F5" w:rsidRPr="003E3375">
        <w:rPr>
          <w:color w:val="000000" w:themeColor="text1"/>
        </w:rPr>
        <w:t xml:space="preserve">subject </w:t>
      </w:r>
      <w:r w:rsidR="00BC4110" w:rsidRPr="003E3375">
        <w:rPr>
          <w:color w:val="000000" w:themeColor="text1"/>
        </w:rPr>
        <w:t>imports to consumption "</w:t>
      </w:r>
      <w:r w:rsidR="00BC4110" w:rsidRPr="003E3375">
        <w:rPr>
          <w:color w:val="000000" w:themeColor="text1"/>
          <w:lang w:val="en-US"/>
        </w:rPr>
        <w:t>remained at a relatively high level most of the time, and even exceeded 60% in 2017".</w:t>
      </w:r>
      <w:r w:rsidR="00BC4110" w:rsidRPr="003E3375">
        <w:rPr>
          <w:rStyle w:val="FootnoteReference"/>
          <w:color w:val="000000" w:themeColor="text1"/>
          <w:lang w:val="en-US"/>
        </w:rPr>
        <w:footnoteReference w:id="120"/>
      </w:r>
    </w:p>
    <w:p w14:paraId="12FBD2BE" w14:textId="77777777" w:rsidR="00BC4110" w:rsidRPr="003E3375" w:rsidRDefault="00BC4110" w:rsidP="00BC4110">
      <w:pPr>
        <w:pStyle w:val="HL2HeadingLevel2"/>
        <w:numPr>
          <w:ilvl w:val="1"/>
          <w:numId w:val="15"/>
        </w:numPr>
        <w:rPr>
          <w:color w:val="000000" w:themeColor="text1"/>
        </w:rPr>
      </w:pPr>
      <w:bookmarkStart w:id="25" w:name="_Toc114492234"/>
      <w:r w:rsidRPr="003E3375">
        <w:rPr>
          <w:color w:val="000000" w:themeColor="text1"/>
        </w:rPr>
        <w:t>MOFCOM's flawed price effects analyses</w:t>
      </w:r>
      <w:bookmarkEnd w:id="25"/>
      <w:r w:rsidRPr="003E3375">
        <w:rPr>
          <w:color w:val="000000" w:themeColor="text1"/>
        </w:rPr>
        <w:t xml:space="preserve"> </w:t>
      </w:r>
    </w:p>
    <w:p w14:paraId="61D07D3E" w14:textId="1FA55955" w:rsidR="00BC4110" w:rsidRPr="003E3375" w:rsidRDefault="00BC4110" w:rsidP="00B841EF">
      <w:pPr>
        <w:pStyle w:val="P1-N1Paragraph1-Number1"/>
        <w:spacing w:line="276" w:lineRule="auto"/>
        <w:rPr>
          <w:color w:val="000000" w:themeColor="text1"/>
        </w:rPr>
      </w:pPr>
      <w:r w:rsidRPr="003E3375">
        <w:rPr>
          <w:color w:val="000000" w:themeColor="text1"/>
        </w:rPr>
        <w:t>An investigating authority's price effects analysis must comply with the second sentence of Article 3.2 of the Anti-Dumping Agreement and the second sentence of Article</w:t>
      </w:r>
      <w:r w:rsidR="0053174C" w:rsidRPr="003E3375">
        <w:rPr>
          <w:color w:val="000000" w:themeColor="text1"/>
        </w:rPr>
        <w:t> </w:t>
      </w:r>
      <w:r w:rsidRPr="003E3375">
        <w:rPr>
          <w:color w:val="000000" w:themeColor="text1"/>
        </w:rPr>
        <w:t xml:space="preserve">15.2 of the SCM Agreement. As in all injury </w:t>
      </w:r>
      <w:r w:rsidRPr="003E3375">
        <w:rPr>
          <w:rFonts w:asciiTheme="minorHAnsi" w:hAnsiTheme="minorHAnsi" w:cstheme="minorHAnsi"/>
          <w:color w:val="000000" w:themeColor="text1"/>
        </w:rPr>
        <w:t>analyses</w:t>
      </w:r>
      <w:r w:rsidRPr="003E3375">
        <w:rPr>
          <w:color w:val="000000" w:themeColor="text1"/>
        </w:rPr>
        <w:t>, an investigating authority cannot disregard conflicting evidence.</w:t>
      </w:r>
      <w:r w:rsidRPr="003E3375">
        <w:rPr>
          <w:rStyle w:val="FootnoteReference"/>
          <w:rFonts w:asciiTheme="minorHAnsi" w:hAnsiTheme="minorHAnsi" w:cstheme="minorHAnsi"/>
          <w:color w:val="000000" w:themeColor="text1"/>
        </w:rPr>
        <w:footnoteReference w:id="121"/>
      </w:r>
      <w:r w:rsidRPr="003E3375">
        <w:rPr>
          <w:color w:val="000000" w:themeColor="text1"/>
        </w:rPr>
        <w:t xml:space="preserve"> Furthermore, an investigating authority must ensure price comparability between subject imports and like domestic products. Failing to do so defeats the explanatory force of subject imports for a significant reduction in domestic prices.</w:t>
      </w:r>
      <w:r w:rsidRPr="003E3375">
        <w:rPr>
          <w:rStyle w:val="FootnoteReference"/>
          <w:rFonts w:asciiTheme="minorHAnsi" w:hAnsiTheme="minorHAnsi" w:cstheme="minorHAnsi"/>
          <w:color w:val="000000" w:themeColor="text1"/>
        </w:rPr>
        <w:footnoteReference w:id="122"/>
      </w:r>
    </w:p>
    <w:p w14:paraId="16619289" w14:textId="5758124B" w:rsidR="00BC4110" w:rsidRPr="003E3375" w:rsidRDefault="00BC4110" w:rsidP="00B841EF">
      <w:pPr>
        <w:pStyle w:val="P1-N1Paragraph1-Number1"/>
        <w:spacing w:line="276" w:lineRule="auto"/>
        <w:rPr>
          <w:color w:val="000000" w:themeColor="text1"/>
        </w:rPr>
      </w:pPr>
      <w:r w:rsidRPr="003E3375">
        <w:rPr>
          <w:color w:val="000000" w:themeColor="text1"/>
        </w:rPr>
        <w:t xml:space="preserve">MOFCOM determined that </w:t>
      </w:r>
      <w:r w:rsidR="005E022D" w:rsidRPr="003E3375">
        <w:rPr>
          <w:color w:val="000000" w:themeColor="text1"/>
        </w:rPr>
        <w:t xml:space="preserve">the allegedly dumping and subsidised </w:t>
      </w:r>
      <w:r w:rsidR="00A12278" w:rsidRPr="003E3375">
        <w:rPr>
          <w:color w:val="000000" w:themeColor="text1"/>
        </w:rPr>
        <w:t>"imported product caused a significant reduction in the price of similar domestic product"</w:t>
      </w:r>
      <w:r w:rsidR="00A12278" w:rsidRPr="003E3375">
        <w:rPr>
          <w:rStyle w:val="FootnoteReference"/>
          <w:color w:val="000000" w:themeColor="text1"/>
        </w:rPr>
        <w:footnoteReference w:id="123"/>
      </w:r>
      <w:r w:rsidR="00A12278" w:rsidRPr="003E3375">
        <w:rPr>
          <w:color w:val="000000" w:themeColor="text1"/>
        </w:rPr>
        <w:t xml:space="preserve"> </w:t>
      </w:r>
      <w:r w:rsidR="006619E3" w:rsidRPr="003E3375">
        <w:rPr>
          <w:color w:val="000000" w:themeColor="text1"/>
        </w:rPr>
        <w:t>and that "the low price competition for</w:t>
      </w:r>
      <w:r w:rsidR="00706C4F" w:rsidRPr="003E3375">
        <w:rPr>
          <w:color w:val="000000" w:themeColor="text1"/>
        </w:rPr>
        <w:t xml:space="preserve"> [the allegedly dumped and subsidies] imported product … caused a substantial reduction in the prices of similar products in the domestic industry".</w:t>
      </w:r>
      <w:r w:rsidR="00706C4F" w:rsidRPr="003E3375">
        <w:rPr>
          <w:rStyle w:val="FootnoteReference"/>
          <w:color w:val="000000" w:themeColor="text1"/>
        </w:rPr>
        <w:footnoteReference w:id="124"/>
      </w:r>
      <w:r w:rsidR="00706C4F" w:rsidRPr="003E3375">
        <w:rPr>
          <w:color w:val="000000" w:themeColor="text1"/>
        </w:rPr>
        <w:t xml:space="preserve"> </w:t>
      </w:r>
      <w:r w:rsidRPr="003E3375">
        <w:rPr>
          <w:rFonts w:asciiTheme="minorHAnsi" w:hAnsiTheme="minorHAnsi" w:cstheme="minorHAnsi"/>
          <w:color w:val="000000" w:themeColor="text1"/>
        </w:rPr>
        <w:t>However, MOFCOM failed to</w:t>
      </w:r>
      <w:r w:rsidRPr="003E3375">
        <w:rPr>
          <w:color w:val="000000" w:themeColor="text1"/>
        </w:rPr>
        <w:t xml:space="preserve"> objectively consider record evidence that demonstrated it was compar</w:t>
      </w:r>
      <w:r w:rsidR="00CC4446" w:rsidRPr="003E3375">
        <w:rPr>
          <w:color w:val="000000" w:themeColor="text1"/>
        </w:rPr>
        <w:t xml:space="preserve">ing prices of subject imports </w:t>
      </w:r>
      <w:r w:rsidR="00DE2874" w:rsidRPr="003E3375">
        <w:rPr>
          <w:color w:val="000000" w:themeColor="text1"/>
        </w:rPr>
        <w:t xml:space="preserve">with </w:t>
      </w:r>
      <w:r w:rsidR="00CC4446" w:rsidRPr="003E3375">
        <w:rPr>
          <w:color w:val="000000" w:themeColor="text1"/>
        </w:rPr>
        <w:t xml:space="preserve">prices of like domestic products that </w:t>
      </w:r>
      <w:r w:rsidRPr="003E3375">
        <w:rPr>
          <w:color w:val="000000" w:themeColor="text1"/>
        </w:rPr>
        <w:t xml:space="preserve">were not </w:t>
      </w:r>
      <w:r w:rsidR="00CC4446" w:rsidRPr="003E3375">
        <w:rPr>
          <w:color w:val="000000" w:themeColor="text1"/>
        </w:rPr>
        <w:t xml:space="preserve">directly </w:t>
      </w:r>
      <w:r w:rsidRPr="003E3375">
        <w:rPr>
          <w:color w:val="000000" w:themeColor="text1"/>
        </w:rPr>
        <w:t xml:space="preserve">comparable, vitiating the injury analysis in its </w:t>
      </w:r>
      <w:r w:rsidRPr="003E3375">
        <w:rPr>
          <w:rFonts w:asciiTheme="minorHAnsi" w:hAnsiTheme="minorHAnsi" w:cstheme="minorHAnsi"/>
          <w:color w:val="000000" w:themeColor="text1"/>
        </w:rPr>
        <w:t>entirety</w:t>
      </w:r>
      <w:r w:rsidRPr="003E3375">
        <w:rPr>
          <w:color w:val="000000" w:themeColor="text1"/>
        </w:rPr>
        <w:t xml:space="preserve">. MOFCOM </w:t>
      </w:r>
      <w:r w:rsidR="0075045E" w:rsidRPr="003E3375">
        <w:rPr>
          <w:color w:val="000000" w:themeColor="text1"/>
        </w:rPr>
        <w:t xml:space="preserve">failed to ensure </w:t>
      </w:r>
      <w:r w:rsidRPr="003E3375">
        <w:rPr>
          <w:color w:val="000000" w:themeColor="text1"/>
        </w:rPr>
        <w:t xml:space="preserve">that the prices compared were </w:t>
      </w:r>
      <w:r w:rsidR="0075045E" w:rsidRPr="003E3375">
        <w:rPr>
          <w:color w:val="000000" w:themeColor="text1"/>
        </w:rPr>
        <w:t xml:space="preserve">adjusted to account for different </w:t>
      </w:r>
      <w:r w:rsidRPr="003E3375">
        <w:rPr>
          <w:color w:val="000000" w:themeColor="text1"/>
        </w:rPr>
        <w:t>level</w:t>
      </w:r>
      <w:r w:rsidR="0075045E" w:rsidRPr="003E3375">
        <w:rPr>
          <w:color w:val="000000" w:themeColor="text1"/>
        </w:rPr>
        <w:t>s</w:t>
      </w:r>
      <w:r w:rsidRPr="003E3375">
        <w:rPr>
          <w:color w:val="000000" w:themeColor="text1"/>
        </w:rPr>
        <w:t xml:space="preserve"> of trade </w:t>
      </w:r>
      <w:r w:rsidR="0075045E" w:rsidRPr="003E3375">
        <w:rPr>
          <w:color w:val="000000" w:themeColor="text1"/>
        </w:rPr>
        <w:t>(e.g. sales</w:t>
      </w:r>
      <w:r w:rsidR="000C71EF" w:rsidRPr="003E3375">
        <w:rPr>
          <w:color w:val="000000" w:themeColor="text1"/>
        </w:rPr>
        <w:t xml:space="preserve"> to </w:t>
      </w:r>
      <w:r w:rsidRPr="003E3375">
        <w:rPr>
          <w:color w:val="000000" w:themeColor="text1"/>
        </w:rPr>
        <w:t>wholesaler</w:t>
      </w:r>
      <w:r w:rsidR="000C71EF" w:rsidRPr="003E3375">
        <w:rPr>
          <w:color w:val="000000" w:themeColor="text1"/>
        </w:rPr>
        <w:t>s</w:t>
      </w:r>
      <w:r w:rsidRPr="003E3375">
        <w:rPr>
          <w:color w:val="000000" w:themeColor="text1"/>
        </w:rPr>
        <w:t>, distributor</w:t>
      </w:r>
      <w:r w:rsidR="000C71EF" w:rsidRPr="003E3375">
        <w:rPr>
          <w:color w:val="000000" w:themeColor="text1"/>
        </w:rPr>
        <w:t>s</w:t>
      </w:r>
      <w:r w:rsidRPr="003E3375">
        <w:rPr>
          <w:color w:val="000000" w:themeColor="text1"/>
        </w:rPr>
        <w:t>, or end-user</w:t>
      </w:r>
      <w:r w:rsidR="000C71EF" w:rsidRPr="003E3375">
        <w:rPr>
          <w:color w:val="000000" w:themeColor="text1"/>
        </w:rPr>
        <w:t>s)</w:t>
      </w:r>
      <w:r w:rsidRPr="003E3375">
        <w:rPr>
          <w:rStyle w:val="NoSpacingChar"/>
          <w:rFonts w:asciiTheme="minorHAnsi" w:hAnsiTheme="minorHAnsi" w:cstheme="minorHAnsi"/>
          <w:color w:val="000000" w:themeColor="text1"/>
        </w:rPr>
        <w:t xml:space="preserve"> in order to ensure price comparab</w:t>
      </w:r>
      <w:r w:rsidR="000C71EF" w:rsidRPr="003E3375">
        <w:rPr>
          <w:rStyle w:val="NoSpacingChar"/>
          <w:rFonts w:asciiTheme="minorHAnsi" w:hAnsiTheme="minorHAnsi" w:cstheme="minorHAnsi"/>
          <w:color w:val="000000" w:themeColor="text1"/>
        </w:rPr>
        <w:t>ility</w:t>
      </w:r>
      <w:r w:rsidRPr="003E3375">
        <w:rPr>
          <w:rStyle w:val="NoSpacingCha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125"/>
      </w:r>
      <w:r w:rsidRPr="003E3375">
        <w:rPr>
          <w:rStyle w:val="FootnoteReference"/>
          <w:rFonts w:asciiTheme="minorHAnsi" w:hAnsiTheme="minorHAnsi" w:cstheme="minorHAnsi"/>
          <w:color w:val="000000" w:themeColor="text1"/>
        </w:rPr>
        <w:t xml:space="preserve"> </w:t>
      </w:r>
      <w:r w:rsidRPr="003E3375">
        <w:rPr>
          <w:rStyle w:val="FootnoteReference"/>
          <w:rFonts w:asciiTheme="minorHAnsi" w:hAnsiTheme="minorHAnsi" w:cstheme="minorHAnsi"/>
          <w:color w:val="000000" w:themeColor="text1"/>
          <w:vertAlign w:val="baseline"/>
        </w:rPr>
        <w:t xml:space="preserve">MOFCOM also failed to </w:t>
      </w:r>
      <w:r w:rsidR="00C92666" w:rsidRPr="003E3375">
        <w:rPr>
          <w:rStyle w:val="FootnoteReference"/>
          <w:rFonts w:asciiTheme="minorHAnsi" w:hAnsiTheme="minorHAnsi" w:cstheme="minorHAnsi"/>
          <w:color w:val="000000" w:themeColor="text1"/>
          <w:vertAlign w:val="baseline"/>
        </w:rPr>
        <w:t xml:space="preserve">correctly </w:t>
      </w:r>
      <w:r w:rsidRPr="003E3375">
        <w:rPr>
          <w:rStyle w:val="FootnoteReference"/>
          <w:rFonts w:asciiTheme="minorHAnsi" w:hAnsiTheme="minorHAnsi" w:cstheme="minorHAnsi"/>
          <w:color w:val="000000" w:themeColor="text1"/>
          <w:vertAlign w:val="baseline"/>
        </w:rPr>
        <w:t xml:space="preserve">adjust prices </w:t>
      </w:r>
      <w:r w:rsidR="000C71EF" w:rsidRPr="003E3375">
        <w:rPr>
          <w:rFonts w:asciiTheme="minorHAnsi" w:hAnsiTheme="minorHAnsi" w:cstheme="minorHAnsi"/>
          <w:color w:val="000000" w:themeColor="text1"/>
        </w:rPr>
        <w:t xml:space="preserve">to </w:t>
      </w:r>
      <w:r w:rsidRPr="003E3375">
        <w:rPr>
          <w:rStyle w:val="FootnoteReference"/>
          <w:rFonts w:asciiTheme="minorHAnsi" w:hAnsiTheme="minorHAnsi" w:cstheme="minorHAnsi"/>
          <w:color w:val="000000" w:themeColor="text1"/>
          <w:vertAlign w:val="baseline"/>
        </w:rPr>
        <w:t>account for</w:t>
      </w:r>
      <w:r w:rsidR="00C92666" w:rsidRPr="003E3375">
        <w:rPr>
          <w:rFonts w:asciiTheme="minorHAnsi" w:hAnsiTheme="minorHAnsi" w:cstheme="minorHAnsi"/>
          <w:color w:val="000000" w:themeColor="text1"/>
        </w:rPr>
        <w:t xml:space="preserve"> c</w:t>
      </w:r>
      <w:r w:rsidR="000C71EF" w:rsidRPr="003E3375">
        <w:rPr>
          <w:rFonts w:asciiTheme="minorHAnsi" w:hAnsiTheme="minorHAnsi" w:cstheme="minorHAnsi"/>
          <w:color w:val="000000" w:themeColor="text1"/>
        </w:rPr>
        <w:t xml:space="preserve">osts relating to </w:t>
      </w:r>
      <w:r w:rsidRPr="003E3375">
        <w:rPr>
          <w:color w:val="000000" w:themeColor="text1"/>
        </w:rPr>
        <w:t xml:space="preserve">transportation, logistics, storage and import operations </w:t>
      </w:r>
      <w:r w:rsidR="00345428" w:rsidRPr="003E3375">
        <w:rPr>
          <w:color w:val="000000" w:themeColor="text1"/>
        </w:rPr>
        <w:t xml:space="preserve">that arose </w:t>
      </w:r>
      <w:r w:rsidRPr="003E3375">
        <w:rPr>
          <w:color w:val="000000" w:themeColor="text1"/>
        </w:rPr>
        <w:t>prior to the importer</w:t>
      </w:r>
      <w:r w:rsidR="000C71EF" w:rsidRPr="003E3375">
        <w:rPr>
          <w:color w:val="000000" w:themeColor="text1"/>
        </w:rPr>
        <w:t>'s</w:t>
      </w:r>
      <w:r w:rsidRPr="003E3375">
        <w:rPr>
          <w:color w:val="000000" w:themeColor="text1"/>
        </w:rPr>
        <w:t xml:space="preserve"> sales </w:t>
      </w:r>
      <w:r w:rsidR="000C71EF" w:rsidRPr="003E3375">
        <w:rPr>
          <w:color w:val="000000" w:themeColor="text1"/>
        </w:rPr>
        <w:t>into the Chinese market</w:t>
      </w:r>
      <w:r w:rsidRPr="003E3375">
        <w:rPr>
          <w:color w:val="000000" w:themeColor="text1"/>
        </w:rPr>
        <w:t>.</w:t>
      </w:r>
      <w:r w:rsidRPr="003E3375">
        <w:rPr>
          <w:rStyle w:val="FootnoteReference"/>
          <w:rFonts w:asciiTheme="minorHAnsi" w:hAnsiTheme="minorHAnsi" w:cstheme="minorHAnsi"/>
          <w:color w:val="000000" w:themeColor="text1"/>
        </w:rPr>
        <w:footnoteReference w:id="126"/>
      </w:r>
      <w:r w:rsidRPr="003E3375">
        <w:rPr>
          <w:color w:val="000000" w:themeColor="text1"/>
        </w:rPr>
        <w:t xml:space="preserve"> </w:t>
      </w:r>
    </w:p>
    <w:p w14:paraId="383F5189" w14:textId="173E8744" w:rsidR="00BC4110" w:rsidRPr="003E3375" w:rsidRDefault="00BC4110" w:rsidP="00B841EF">
      <w:pPr>
        <w:pStyle w:val="P1-N1Paragraph1-Number1"/>
        <w:spacing w:line="276" w:lineRule="auto"/>
        <w:rPr>
          <w:color w:val="000000" w:themeColor="text1"/>
        </w:rPr>
      </w:pPr>
      <w:bookmarkStart w:id="26" w:name="_Ref114243064"/>
      <w:r w:rsidRPr="003E3375">
        <w:rPr>
          <w:color w:val="000000" w:themeColor="text1"/>
        </w:rPr>
        <w:lastRenderedPageBreak/>
        <w:t xml:space="preserve">In addition, MOFCOM possessed abundant evidence that the barley market in China </w:t>
      </w:r>
      <w:r w:rsidR="00AF41F3" w:rsidRPr="003E3375">
        <w:rPr>
          <w:color w:val="000000" w:themeColor="text1"/>
        </w:rPr>
        <w:t xml:space="preserve">is </w:t>
      </w:r>
      <w:r w:rsidRPr="003E3375">
        <w:rPr>
          <w:color w:val="000000" w:themeColor="text1"/>
        </w:rPr>
        <w:t xml:space="preserve">segmented, </w:t>
      </w:r>
      <w:r w:rsidR="0091321B" w:rsidRPr="003E3375">
        <w:rPr>
          <w:color w:val="000000" w:themeColor="text1"/>
        </w:rPr>
        <w:t xml:space="preserve">consisting primarily of two distinct </w:t>
      </w:r>
      <w:r w:rsidR="00DA011F" w:rsidRPr="003E3375">
        <w:rPr>
          <w:color w:val="000000" w:themeColor="text1"/>
        </w:rPr>
        <w:t>categories</w:t>
      </w:r>
      <w:r w:rsidR="0091321B" w:rsidRPr="003E3375">
        <w:rPr>
          <w:color w:val="000000" w:themeColor="text1"/>
        </w:rPr>
        <w:t>: barley for malting purposes (malting barley) and barley used as animal feed in livestock production (feed barley)</w:t>
      </w:r>
      <w:r w:rsidRPr="003E3375">
        <w:rPr>
          <w:color w:val="000000" w:themeColor="text1"/>
        </w:rPr>
        <w:t>.</w:t>
      </w:r>
      <w:r w:rsidRPr="003E3375">
        <w:rPr>
          <w:rStyle w:val="FootnoteReference"/>
          <w:rFonts w:asciiTheme="minorHAnsi" w:hAnsiTheme="minorHAnsi" w:cstheme="minorHAnsi"/>
          <w:color w:val="000000" w:themeColor="text1"/>
        </w:rPr>
        <w:footnoteReference w:id="127"/>
      </w:r>
      <w:r w:rsidRPr="003E3375">
        <w:rPr>
          <w:color w:val="000000" w:themeColor="text1"/>
        </w:rPr>
        <w:t xml:space="preserve"> </w:t>
      </w:r>
      <w:r w:rsidR="00936BF3" w:rsidRPr="003E3375">
        <w:rPr>
          <w:color w:val="000000" w:themeColor="text1"/>
        </w:rPr>
        <w:t xml:space="preserve">These sectors have separate grade, variety, consistency and quality requirements, and </w:t>
      </w:r>
      <w:r w:rsidR="00DA011F" w:rsidRPr="003E3375">
        <w:rPr>
          <w:color w:val="000000" w:themeColor="text1"/>
        </w:rPr>
        <w:t xml:space="preserve">considerable price differences </w:t>
      </w:r>
      <w:r w:rsidR="002C077B" w:rsidRPr="003E3375">
        <w:rPr>
          <w:color w:val="000000" w:themeColor="text1"/>
        </w:rPr>
        <w:t xml:space="preserve">distinguish </w:t>
      </w:r>
      <w:r w:rsidR="00936BF3" w:rsidRPr="003E3375">
        <w:rPr>
          <w:color w:val="000000" w:themeColor="text1"/>
        </w:rPr>
        <w:t>the different categories of barley</w:t>
      </w:r>
      <w:r w:rsidR="00DA011F" w:rsidRPr="003E3375">
        <w:rPr>
          <w:color w:val="000000" w:themeColor="text1"/>
        </w:rPr>
        <w:t xml:space="preserve"> </w:t>
      </w:r>
      <w:r w:rsidR="00936BF3" w:rsidRPr="003E3375">
        <w:rPr>
          <w:color w:val="000000" w:themeColor="text1"/>
        </w:rPr>
        <w:t>purchase</w:t>
      </w:r>
      <w:r w:rsidR="002C077B" w:rsidRPr="003E3375">
        <w:rPr>
          <w:color w:val="000000" w:themeColor="text1"/>
        </w:rPr>
        <w:t>d</w:t>
      </w:r>
      <w:r w:rsidR="00936BF3" w:rsidRPr="003E3375">
        <w:rPr>
          <w:color w:val="000000" w:themeColor="text1"/>
        </w:rPr>
        <w:t xml:space="preserve"> for different end uses. </w:t>
      </w:r>
      <w:r w:rsidRPr="003E3375">
        <w:rPr>
          <w:color w:val="000000" w:themeColor="text1"/>
        </w:rPr>
        <w:t xml:space="preserve">Chinese importers made this clear in </w:t>
      </w:r>
      <w:r w:rsidR="00936BF3" w:rsidRPr="003E3375">
        <w:rPr>
          <w:color w:val="000000" w:themeColor="text1"/>
        </w:rPr>
        <w:t xml:space="preserve">their </w:t>
      </w:r>
      <w:r w:rsidRPr="003E3375">
        <w:rPr>
          <w:rFonts w:asciiTheme="minorHAnsi" w:hAnsiTheme="minorHAnsi" w:cstheme="minorHAnsi"/>
          <w:color w:val="000000" w:themeColor="text1"/>
        </w:rPr>
        <w:t>questionnaire</w:t>
      </w:r>
      <w:r w:rsidRPr="003E3375">
        <w:rPr>
          <w:color w:val="000000" w:themeColor="text1"/>
        </w:rPr>
        <w:t xml:space="preserve"> responses,</w:t>
      </w:r>
      <w:r w:rsidRPr="003E3375">
        <w:rPr>
          <w:rStyle w:val="FootnoteReference"/>
          <w:rFonts w:asciiTheme="minorHAnsi" w:hAnsiTheme="minorHAnsi" w:cstheme="minorHAnsi"/>
          <w:color w:val="000000" w:themeColor="text1"/>
        </w:rPr>
        <w:footnoteReference w:id="128"/>
      </w:r>
      <w:r w:rsidRPr="003E3375">
        <w:rPr>
          <w:color w:val="000000" w:themeColor="text1"/>
        </w:rPr>
        <w:t xml:space="preserve"> as did Australian traders.</w:t>
      </w:r>
      <w:r w:rsidRPr="003E3375">
        <w:rPr>
          <w:rStyle w:val="FootnoteReference"/>
          <w:rFonts w:asciiTheme="minorHAnsi" w:hAnsiTheme="minorHAnsi" w:cstheme="minorHAnsi"/>
          <w:color w:val="000000" w:themeColor="text1"/>
        </w:rPr>
        <w:footnoteReference w:id="129"/>
      </w:r>
      <w:r w:rsidRPr="003E3375">
        <w:rPr>
          <w:color w:val="000000" w:themeColor="text1"/>
        </w:rPr>
        <w:t xml:space="preserve"> Australian malt barley imports did not compete with Chinese feed or seed barley</w:t>
      </w:r>
      <w:r w:rsidR="002C077B" w:rsidRPr="003E3375">
        <w:rPr>
          <w:color w:val="000000" w:themeColor="text1"/>
        </w:rPr>
        <w:t>,</w:t>
      </w:r>
      <w:r w:rsidRPr="003E3375">
        <w:rPr>
          <w:color w:val="000000" w:themeColor="text1"/>
        </w:rPr>
        <w:t xml:space="preserve"> but with other imports of malting barley from third countries.</w:t>
      </w:r>
      <w:r w:rsidR="00936BF3" w:rsidRPr="003E3375">
        <w:rPr>
          <w:rStyle w:val="FootnoteReference"/>
          <w:color w:val="000000" w:themeColor="text1"/>
        </w:rPr>
        <w:footnoteReference w:id="130"/>
      </w:r>
      <w:r w:rsidRPr="003E3375">
        <w:rPr>
          <w:color w:val="000000" w:themeColor="text1"/>
        </w:rPr>
        <w:t xml:space="preserve"> MOFCOM failed to ensure that it addressed relevant data and did not explain how it accounted for this market segmentation.</w:t>
      </w:r>
      <w:bookmarkEnd w:id="26"/>
      <w:r w:rsidRPr="003E3375">
        <w:rPr>
          <w:color w:val="000000" w:themeColor="text1"/>
        </w:rPr>
        <w:t xml:space="preserve"> </w:t>
      </w:r>
    </w:p>
    <w:p w14:paraId="7027BE59" w14:textId="06183357" w:rsidR="00BC4110" w:rsidRPr="003E3375" w:rsidRDefault="00BC4110" w:rsidP="00B841EF">
      <w:pPr>
        <w:pStyle w:val="P1-N1Paragraph1-Number1"/>
        <w:spacing w:line="276" w:lineRule="auto"/>
        <w:rPr>
          <w:color w:val="000000" w:themeColor="text1"/>
        </w:rPr>
      </w:pPr>
      <w:r w:rsidRPr="003E3375">
        <w:rPr>
          <w:color w:val="000000" w:themeColor="text1"/>
        </w:rPr>
        <w:t xml:space="preserve">Furthermore, MOFCOM did not address relevant data </w:t>
      </w:r>
      <w:r w:rsidR="00A62360" w:rsidRPr="003E3375">
        <w:rPr>
          <w:color w:val="000000" w:themeColor="text1"/>
        </w:rPr>
        <w:t>n</w:t>
      </w:r>
      <w:r w:rsidRPr="003E3375">
        <w:rPr>
          <w:color w:val="000000" w:themeColor="text1"/>
        </w:rPr>
        <w:t xml:space="preserve">or explain how it took into account </w:t>
      </w:r>
      <w:r w:rsidR="00B53791" w:rsidRPr="003E3375">
        <w:rPr>
          <w:color w:val="000000" w:themeColor="text1"/>
        </w:rPr>
        <w:t xml:space="preserve">evidence </w:t>
      </w:r>
      <w:r w:rsidRPr="003E3375">
        <w:rPr>
          <w:color w:val="000000" w:themeColor="text1"/>
        </w:rPr>
        <w:t xml:space="preserve">conflicting </w:t>
      </w:r>
      <w:r w:rsidR="00B53791" w:rsidRPr="003E3375">
        <w:rPr>
          <w:color w:val="000000" w:themeColor="text1"/>
        </w:rPr>
        <w:t xml:space="preserve">with </w:t>
      </w:r>
      <w:r w:rsidR="00A62360" w:rsidRPr="003E3375">
        <w:rPr>
          <w:color w:val="000000" w:themeColor="text1"/>
        </w:rPr>
        <w:t xml:space="preserve">its </w:t>
      </w:r>
      <w:r w:rsidR="00B53791" w:rsidRPr="003E3375">
        <w:rPr>
          <w:color w:val="000000" w:themeColor="text1"/>
        </w:rPr>
        <w:t>conclusions</w:t>
      </w:r>
      <w:r w:rsidRPr="003E3375">
        <w:rPr>
          <w:color w:val="000000" w:themeColor="text1"/>
        </w:rPr>
        <w:t xml:space="preserve">. For example, MOFCOM </w:t>
      </w:r>
      <w:r w:rsidR="00B53791" w:rsidRPr="003E3375">
        <w:rPr>
          <w:color w:val="000000" w:themeColor="text1"/>
        </w:rPr>
        <w:t xml:space="preserve">simply asserted </w:t>
      </w:r>
      <w:r w:rsidRPr="003E3375">
        <w:rPr>
          <w:color w:val="000000" w:themeColor="text1"/>
        </w:rPr>
        <w:t xml:space="preserve">that domestic prices and subject import prices were "linked". However, domestic prices and subject import prices moved in opposite directions in certain years, conflicting with MOFCOM's conclusion. Similarly, MOFCOM had evidence on the record that Chinese demand was rapidly </w:t>
      </w:r>
      <w:r w:rsidR="00A62360" w:rsidRPr="003E3375">
        <w:rPr>
          <w:color w:val="000000" w:themeColor="text1"/>
        </w:rPr>
        <w:t>growing,</w:t>
      </w:r>
      <w:r w:rsidRPr="003E3375">
        <w:rPr>
          <w:color w:val="000000" w:themeColor="text1"/>
        </w:rPr>
        <w:t xml:space="preserve"> and</w:t>
      </w:r>
      <w:r w:rsidR="00A62360" w:rsidRPr="003E3375">
        <w:rPr>
          <w:color w:val="000000" w:themeColor="text1"/>
        </w:rPr>
        <w:t xml:space="preserve"> that</w:t>
      </w:r>
      <w:r w:rsidRPr="003E3375">
        <w:rPr>
          <w:color w:val="000000" w:themeColor="text1"/>
        </w:rPr>
        <w:t xml:space="preserve"> Australia's market share was decreasing while the market share of third countries </w:t>
      </w:r>
      <w:r w:rsidR="003F61F6" w:rsidRPr="003E3375">
        <w:rPr>
          <w:color w:val="000000" w:themeColor="text1"/>
        </w:rPr>
        <w:t>increased</w:t>
      </w:r>
      <w:r w:rsidRPr="003E3375">
        <w:rPr>
          <w:color w:val="000000" w:themeColor="text1"/>
        </w:rPr>
        <w:t>.</w:t>
      </w:r>
      <w:r w:rsidRPr="003E3375">
        <w:rPr>
          <w:rStyle w:val="FootnoteReference"/>
          <w:rFonts w:asciiTheme="minorHAnsi" w:hAnsiTheme="minorHAnsi" w:cstheme="minorHAnsi"/>
          <w:color w:val="000000" w:themeColor="text1"/>
        </w:rPr>
        <w:footnoteReference w:id="131"/>
      </w:r>
      <w:r w:rsidRPr="003E3375">
        <w:rPr>
          <w:color w:val="000000" w:themeColor="text1"/>
        </w:rPr>
        <w:t xml:space="preserve"> MOFCOM failed to engage with this conflicting evidence.</w:t>
      </w:r>
    </w:p>
    <w:p w14:paraId="3FBE4468" w14:textId="3557B6F3" w:rsidR="00BC4110" w:rsidRPr="003E3375" w:rsidRDefault="0087317E">
      <w:pPr>
        <w:pStyle w:val="P1-N1Paragraph1-Number1"/>
        <w:spacing w:line="276" w:lineRule="auto"/>
        <w:rPr>
          <w:color w:val="000000" w:themeColor="text1"/>
        </w:rPr>
      </w:pPr>
      <w:r w:rsidRPr="003E3375">
        <w:rPr>
          <w:rFonts w:asciiTheme="minorHAnsi" w:hAnsiTheme="minorHAnsi" w:cstheme="minorHAnsi"/>
          <w:color w:val="000000" w:themeColor="text1"/>
        </w:rPr>
        <w:t xml:space="preserve">China asserted that Australia's translations of the final determinations were incorrect and that MOFCOM had found "price undercutting" rather than "price depression". </w:t>
      </w:r>
      <w:r w:rsidR="00AF31AB" w:rsidRPr="003E3375">
        <w:rPr>
          <w:rFonts w:asciiTheme="minorHAnsi" w:hAnsiTheme="minorHAnsi" w:cstheme="minorHAnsi"/>
          <w:color w:val="000000" w:themeColor="text1"/>
        </w:rPr>
        <w:t>However, t</w:t>
      </w:r>
      <w:r w:rsidRPr="003E3375">
        <w:rPr>
          <w:rFonts w:asciiTheme="minorHAnsi" w:hAnsiTheme="minorHAnsi" w:cstheme="minorHAnsi"/>
          <w:color w:val="000000" w:themeColor="text1"/>
        </w:rPr>
        <w:t xml:space="preserve">he text of the </w:t>
      </w:r>
      <w:r w:rsidR="00D46AA5" w:rsidRPr="003E3375">
        <w:rPr>
          <w:rFonts w:asciiTheme="minorHAnsi" w:hAnsiTheme="minorHAnsi" w:cstheme="minorHAnsi"/>
          <w:color w:val="000000" w:themeColor="text1"/>
        </w:rPr>
        <w:t>F</w:t>
      </w:r>
      <w:r w:rsidRPr="003E3375">
        <w:rPr>
          <w:rFonts w:asciiTheme="minorHAnsi" w:hAnsiTheme="minorHAnsi" w:cstheme="minorHAnsi"/>
          <w:color w:val="000000" w:themeColor="text1"/>
        </w:rPr>
        <w:t xml:space="preserve">inal </w:t>
      </w:r>
      <w:r w:rsidR="00D46AA5" w:rsidRPr="003E3375">
        <w:rPr>
          <w:rFonts w:asciiTheme="minorHAnsi" w:hAnsiTheme="minorHAnsi" w:cstheme="minorHAnsi"/>
          <w:color w:val="000000" w:themeColor="text1"/>
        </w:rPr>
        <w:t>D</w:t>
      </w:r>
      <w:r w:rsidRPr="003E3375">
        <w:rPr>
          <w:rFonts w:asciiTheme="minorHAnsi" w:hAnsiTheme="minorHAnsi" w:cstheme="minorHAnsi"/>
          <w:color w:val="000000" w:themeColor="text1"/>
        </w:rPr>
        <w:t>eterminations clearly indicates an examination of price depression, focusing on how the average unit price of domestic like products "dropped" over the injury POI, and alleging that this was caused by its relationship with the average unit price of subject imports.</w:t>
      </w:r>
      <w:r w:rsidRPr="003E3375">
        <w:rPr>
          <w:rStyle w:val="FootnoteReference"/>
          <w:rFonts w:asciiTheme="minorHAnsi" w:hAnsiTheme="minorHAnsi" w:cstheme="minorHAnsi"/>
          <w:color w:val="000000" w:themeColor="text1"/>
        </w:rPr>
        <w:footnoteReference w:id="132"/>
      </w:r>
      <w:r w:rsidRPr="003E3375">
        <w:rPr>
          <w:rFonts w:asciiTheme="minorHAnsi" w:hAnsiTheme="minorHAnsi" w:cstheme="minorHAnsi"/>
          <w:color w:val="000000" w:themeColor="text1"/>
        </w:rPr>
        <w:t xml:space="preserve"> For example, it is uncontested that MOFCOM considered that: "</w:t>
      </w:r>
      <w:r w:rsidR="00AF31AB" w:rsidRPr="003E3375">
        <w:rPr>
          <w:rFonts w:asciiTheme="minorHAnsi" w:hAnsiTheme="minorHAnsi" w:cstheme="minorHAnsi"/>
          <w:color w:val="000000" w:themeColor="text1"/>
        </w:rPr>
        <w:t>[u]</w:t>
      </w:r>
      <w:r w:rsidRPr="003E3375">
        <w:rPr>
          <w:rFonts w:asciiTheme="minorHAnsi" w:hAnsiTheme="minorHAnsi" w:cstheme="minorHAnsi"/>
          <w:color w:val="000000" w:themeColor="text1"/>
        </w:rPr>
        <w:t>nder the influence of the increase in the quantity and decrease in the price of [the allegedly dumped and subsidi</w:t>
      </w:r>
      <w:r w:rsidR="00464D11"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ed] imports, the sales price of similar domestic products dropped…</w:t>
      </w:r>
      <w:r w:rsidR="00AF31AB"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and "</w:t>
      </w:r>
      <w:r w:rsidRPr="003E3375">
        <w:rPr>
          <w:rFonts w:asciiTheme="minorHAnsi" w:hAnsiTheme="minorHAnsi" w:cstheme="minorHAnsi"/>
          <w:color w:val="000000" w:themeColor="text1"/>
          <w:lang w:val="en-CA"/>
        </w:rPr>
        <w:t>[a]ffected by this, the price of domestic like product in general dropped substantially".</w:t>
      </w:r>
      <w:r w:rsidRPr="003E3375">
        <w:rPr>
          <w:rStyle w:val="FootnoteReference"/>
          <w:rFonts w:asciiTheme="minorHAnsi" w:hAnsiTheme="minorHAnsi" w:cstheme="minorHAnsi"/>
          <w:color w:val="000000" w:themeColor="text1"/>
          <w:lang w:val="en-CA"/>
        </w:rPr>
        <w:footnoteReference w:id="133"/>
      </w:r>
      <w:r w:rsidRPr="003E3375">
        <w:rPr>
          <w:rFonts w:asciiTheme="minorHAnsi" w:hAnsiTheme="minorHAnsi" w:cstheme="minorHAnsi"/>
          <w:color w:val="000000" w:themeColor="text1"/>
        </w:rPr>
        <w:t xml:space="preserve"> This analysis was one of price depression, rather than price undercutting, suggesting that Australia's translation is correct when considered in the context of MOFCOM's price effects examination. In any event, the obligations to ensure price comparability and to conduct objective examinations based on positive evidence apply to MOFCOM's examination of price effects, regardless of whether it is characteri</w:t>
      </w:r>
      <w:r w:rsidR="00464D11"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 xml:space="preserve">ed as a price undercutting analysis, a price </w:t>
      </w:r>
      <w:r w:rsidRPr="003E3375">
        <w:rPr>
          <w:rFonts w:asciiTheme="minorHAnsi" w:hAnsiTheme="minorHAnsi" w:cstheme="minorHAnsi"/>
          <w:color w:val="000000" w:themeColor="text1"/>
        </w:rPr>
        <w:lastRenderedPageBreak/>
        <w:t>depression analysis, or both. The question of translation therefore has no consequence in relation to MOFCOM's failure to meet those obligations.</w:t>
      </w:r>
      <w:r w:rsidRPr="003E3375">
        <w:rPr>
          <w:rStyle w:val="FootnoteReference"/>
          <w:rFonts w:asciiTheme="minorHAnsi" w:hAnsiTheme="minorHAnsi" w:cstheme="minorHAnsi"/>
          <w:color w:val="000000" w:themeColor="text1"/>
        </w:rPr>
        <w:footnoteReference w:id="134"/>
      </w:r>
    </w:p>
    <w:p w14:paraId="01125BAD" w14:textId="037C3599" w:rsidR="003F61F6" w:rsidRPr="003E3375" w:rsidRDefault="003F61F6" w:rsidP="003F61F6">
      <w:pPr>
        <w:pStyle w:val="P1-N1Paragraph1-Number1"/>
        <w:spacing w:line="276" w:lineRule="auto"/>
        <w:rPr>
          <w:color w:val="000000" w:themeColor="text1"/>
        </w:rPr>
      </w:pPr>
      <w:r w:rsidRPr="003E3375">
        <w:rPr>
          <w:color w:val="000000" w:themeColor="text1"/>
        </w:rPr>
        <w:t xml:space="preserve">In sum, MOFCOM </w:t>
      </w:r>
      <w:r w:rsidRPr="003E3375">
        <w:rPr>
          <w:rFonts w:asciiTheme="minorHAnsi" w:hAnsiTheme="minorHAnsi" w:cstheme="minorHAnsi"/>
          <w:color w:val="000000" w:themeColor="text1"/>
        </w:rPr>
        <w:t>provided</w:t>
      </w:r>
      <w:r w:rsidRPr="003E3375">
        <w:rPr>
          <w:color w:val="000000" w:themeColor="text1"/>
        </w:rPr>
        <w:t xml:space="preserve"> no positive evidence of price depression,</w:t>
      </w:r>
      <w:r w:rsidRPr="003E3375">
        <w:rPr>
          <w:rStyle w:val="FootnoteReference"/>
          <w:rFonts w:asciiTheme="minorHAnsi" w:hAnsiTheme="minorHAnsi" w:cstheme="minorHAnsi"/>
          <w:color w:val="000000" w:themeColor="text1"/>
        </w:rPr>
        <w:footnoteReference w:id="135"/>
      </w:r>
      <w:r w:rsidRPr="003E3375">
        <w:rPr>
          <w:color w:val="000000" w:themeColor="text1"/>
        </w:rPr>
        <w:t xml:space="preserve"> and no positive evidence that </w:t>
      </w:r>
      <w:r w:rsidRPr="003E3375">
        <w:rPr>
          <w:rFonts w:asciiTheme="minorHAnsi" w:hAnsiTheme="minorHAnsi" w:cstheme="minorHAnsi"/>
          <w:color w:val="000000" w:themeColor="text1"/>
        </w:rPr>
        <w:t xml:space="preserve">the </w:t>
      </w:r>
      <w:r w:rsidRPr="003E3375">
        <w:rPr>
          <w:color w:val="000000" w:themeColor="text1"/>
        </w:rPr>
        <w:t>subject imports of Australian barley in fact caused a reduction in the average price of domestic barley.</w:t>
      </w:r>
      <w:r w:rsidRPr="003E3375">
        <w:rPr>
          <w:rStyle w:val="FootnoteReference"/>
          <w:rFonts w:asciiTheme="minorHAnsi" w:hAnsiTheme="minorHAnsi" w:cstheme="minorHAnsi"/>
          <w:color w:val="000000" w:themeColor="text1"/>
        </w:rPr>
        <w:footnoteReference w:id="136"/>
      </w:r>
    </w:p>
    <w:p w14:paraId="6F450884" w14:textId="0D3FBA6C" w:rsidR="00BC4110" w:rsidRPr="003E3375" w:rsidRDefault="00BC4110" w:rsidP="0054764F">
      <w:pPr>
        <w:pStyle w:val="HL2HeadingLevel2"/>
        <w:rPr>
          <w:rStyle w:val="FootnoteReference"/>
          <w:color w:val="000000" w:themeColor="text1"/>
          <w:vertAlign w:val="baseline"/>
        </w:rPr>
      </w:pPr>
      <w:bookmarkStart w:id="27" w:name="_Toc114492235"/>
      <w:r w:rsidRPr="003E3375">
        <w:rPr>
          <w:color w:val="000000" w:themeColor="text1"/>
        </w:rPr>
        <w:t>MOFCOM</w:t>
      </w:r>
      <w:r w:rsidR="003F61F6" w:rsidRPr="003E3375">
        <w:rPr>
          <w:color w:val="000000" w:themeColor="text1"/>
        </w:rPr>
        <w:t>'s</w:t>
      </w:r>
      <w:r w:rsidRPr="003E3375">
        <w:rPr>
          <w:color w:val="000000" w:themeColor="text1"/>
        </w:rPr>
        <w:t xml:space="preserve"> </w:t>
      </w:r>
      <w:r w:rsidR="00171D1E" w:rsidRPr="003E3375">
        <w:rPr>
          <w:color w:val="000000" w:themeColor="text1"/>
        </w:rPr>
        <w:t>fail</w:t>
      </w:r>
      <w:r w:rsidR="003F61F6" w:rsidRPr="003E3375">
        <w:rPr>
          <w:color w:val="000000" w:themeColor="text1"/>
        </w:rPr>
        <w:t>ure</w:t>
      </w:r>
      <w:r w:rsidR="00171D1E" w:rsidRPr="003E3375">
        <w:rPr>
          <w:color w:val="000000" w:themeColor="text1"/>
        </w:rPr>
        <w:t xml:space="preserve"> to evaluate all relevant economic factors</w:t>
      </w:r>
      <w:bookmarkEnd w:id="27"/>
    </w:p>
    <w:p w14:paraId="46649AE0" w14:textId="7E89E165" w:rsidR="00BC4110" w:rsidRPr="003E3375" w:rsidRDefault="00BC4110" w:rsidP="00B841EF">
      <w:pPr>
        <w:pStyle w:val="P1-N1Paragraph1-Number1"/>
        <w:spacing w:line="276" w:lineRule="auto"/>
        <w:rPr>
          <w:color w:val="000000" w:themeColor="text1"/>
        </w:rPr>
      </w:pPr>
      <w:r w:rsidRPr="003E3375">
        <w:rPr>
          <w:rStyle w:val="FootnoteReference"/>
          <w:rFonts w:asciiTheme="minorHAnsi" w:hAnsiTheme="minorHAnsi" w:cstheme="minorHAnsi"/>
          <w:color w:val="000000" w:themeColor="text1"/>
          <w:vertAlign w:val="baseline"/>
        </w:rPr>
        <w:t>Pursuant to Articles</w:t>
      </w:r>
      <w:r w:rsidRPr="003E3375">
        <w:rPr>
          <w:rStyle w:val="FootnoteReference"/>
          <w:rFonts w:asciiTheme="minorHAnsi" w:hAnsiTheme="minorHAnsi" w:cstheme="minorHAnsi"/>
          <w:color w:val="000000" w:themeColor="text1"/>
        </w:rPr>
        <w:t xml:space="preserve"> </w:t>
      </w:r>
      <w:r w:rsidRPr="003E3375">
        <w:rPr>
          <w:color w:val="000000" w:themeColor="text1"/>
        </w:rPr>
        <w:t>3.4 of the Anti-Dumping Agreement and 15.4 of the SCM</w:t>
      </w:r>
      <w:r w:rsidR="009E2BD9" w:rsidRPr="003E3375">
        <w:rPr>
          <w:color w:val="000000" w:themeColor="text1"/>
        </w:rPr>
        <w:t> </w:t>
      </w:r>
      <w:r w:rsidRPr="003E3375">
        <w:rPr>
          <w:color w:val="000000" w:themeColor="text1"/>
        </w:rPr>
        <w:t xml:space="preserve">Agreement, an investigating </w:t>
      </w:r>
      <w:r w:rsidRPr="003E3375">
        <w:rPr>
          <w:rFonts w:asciiTheme="minorHAnsi" w:hAnsiTheme="minorHAnsi" w:cstheme="minorHAnsi"/>
          <w:color w:val="000000" w:themeColor="text1"/>
        </w:rPr>
        <w:t>authority</w:t>
      </w:r>
      <w:r w:rsidRPr="003E3375">
        <w:rPr>
          <w:color w:val="000000" w:themeColor="text1"/>
        </w:rPr>
        <w:t xml:space="preserve"> must consider certain economic factors bearing on the state of the domestic </w:t>
      </w:r>
      <w:r w:rsidRPr="003E3375">
        <w:rPr>
          <w:rFonts w:asciiTheme="minorHAnsi" w:hAnsiTheme="minorHAnsi" w:cstheme="minorHAnsi"/>
          <w:color w:val="000000" w:themeColor="text1"/>
        </w:rPr>
        <w:t>industry</w:t>
      </w:r>
      <w:r w:rsidRPr="003E3375">
        <w:rPr>
          <w:color w:val="000000" w:themeColor="text1"/>
        </w:rPr>
        <w:t xml:space="preserve"> in its injury analyses.</w:t>
      </w:r>
      <w:r w:rsidRPr="003E3375">
        <w:rPr>
          <w:rStyle w:val="FootnoteReference"/>
          <w:rFonts w:asciiTheme="minorHAnsi" w:hAnsiTheme="minorHAnsi" w:cstheme="minorHAnsi"/>
          <w:color w:val="000000" w:themeColor="text1"/>
        </w:rPr>
        <w:footnoteReference w:id="137"/>
      </w:r>
      <w:r w:rsidRPr="003E3375">
        <w:rPr>
          <w:color w:val="000000" w:themeColor="text1"/>
        </w:rPr>
        <w:t xml:space="preserve"> As with the </w:t>
      </w:r>
      <w:r w:rsidR="003400BE" w:rsidRPr="003E3375">
        <w:rPr>
          <w:color w:val="000000" w:themeColor="text1"/>
        </w:rPr>
        <w:t xml:space="preserve">examination of price effects </w:t>
      </w:r>
      <w:r w:rsidRPr="003E3375">
        <w:rPr>
          <w:color w:val="000000" w:themeColor="text1"/>
        </w:rPr>
        <w:t>under the second sentences of Articles 3.2 and 15.2, Articles 3.4 and 15.4 require an examination of the relationship between the domestic industry and the subject imports.</w:t>
      </w:r>
      <w:r w:rsidRPr="003E3375">
        <w:rPr>
          <w:rStyle w:val="FootnoteReference"/>
          <w:color w:val="000000" w:themeColor="text1"/>
        </w:rPr>
        <w:footnoteReference w:id="138"/>
      </w:r>
    </w:p>
    <w:p w14:paraId="1C96708C" w14:textId="68343CEE" w:rsidR="00BC4110" w:rsidRPr="003E3375" w:rsidRDefault="00BC4110" w:rsidP="00C704BD">
      <w:pPr>
        <w:pStyle w:val="P1-N1Paragraph1-Number1"/>
        <w:spacing w:line="276" w:lineRule="auto"/>
        <w:rPr>
          <w:color w:val="000000" w:themeColor="text1"/>
        </w:rPr>
      </w:pPr>
      <w:r w:rsidRPr="003E3375">
        <w:rPr>
          <w:color w:val="000000" w:themeColor="text1"/>
        </w:rPr>
        <w:t xml:space="preserve">MOFCOM </w:t>
      </w:r>
      <w:r w:rsidRPr="003E3375">
        <w:rPr>
          <w:rFonts w:asciiTheme="minorHAnsi" w:hAnsiTheme="minorHAnsi" w:cstheme="minorHAnsi"/>
          <w:color w:val="000000" w:themeColor="text1"/>
        </w:rPr>
        <w:t>failed</w:t>
      </w:r>
      <w:r w:rsidRPr="003E3375">
        <w:rPr>
          <w:color w:val="000000" w:themeColor="text1"/>
        </w:rPr>
        <w:t xml:space="preserve"> to meet the requirements of Article 3.4 and 15.</w:t>
      </w:r>
      <w:r w:rsidR="003400BE" w:rsidRPr="003E3375">
        <w:rPr>
          <w:color w:val="000000" w:themeColor="text1"/>
        </w:rPr>
        <w:t>4</w:t>
      </w:r>
      <w:r w:rsidRPr="003E3375">
        <w:rPr>
          <w:color w:val="000000" w:themeColor="text1"/>
        </w:rPr>
        <w:t xml:space="preserve"> on a number of grounds. MOFCOM did not evaluate all</w:t>
      </w:r>
      <w:r w:rsidR="003400BE" w:rsidRPr="003E3375">
        <w:rPr>
          <w:color w:val="000000" w:themeColor="text1"/>
        </w:rPr>
        <w:t xml:space="preserve"> of</w:t>
      </w:r>
      <w:r w:rsidRPr="003E3375">
        <w:rPr>
          <w:color w:val="000000" w:themeColor="text1"/>
        </w:rPr>
        <w:t xml:space="preserve"> the listed economic factors mandated by Articles 3.4 and 15.4,</w:t>
      </w:r>
      <w:r w:rsidRPr="003E3375">
        <w:rPr>
          <w:color w:val="000000" w:themeColor="text1"/>
          <w:vertAlign w:val="superscript"/>
        </w:rPr>
        <w:footnoteReference w:id="139"/>
      </w:r>
      <w:r w:rsidR="00803DFF" w:rsidRPr="003E3375">
        <w:rPr>
          <w:color w:val="000000" w:themeColor="text1"/>
        </w:rPr>
        <w:t xml:space="preserve"> i</w:t>
      </w:r>
      <w:r w:rsidRPr="003E3375">
        <w:rPr>
          <w:color w:val="000000" w:themeColor="text1"/>
        </w:rPr>
        <w:t>ncluding cash flow, inventories, employment, wages, growth, financing, or investment.</w:t>
      </w:r>
      <w:r w:rsidRPr="003E3375">
        <w:rPr>
          <w:color w:val="000000" w:themeColor="text1"/>
          <w:vertAlign w:val="superscript"/>
        </w:rPr>
        <w:footnoteReference w:id="140"/>
      </w:r>
      <w:r w:rsidR="00B10F8F" w:rsidRPr="003E3375">
        <w:rPr>
          <w:color w:val="000000" w:themeColor="text1"/>
        </w:rPr>
        <w:t xml:space="preserve"> </w:t>
      </w:r>
      <w:r w:rsidRPr="003E3375">
        <w:rPr>
          <w:color w:val="000000" w:themeColor="text1"/>
        </w:rPr>
        <w:t>China</w:t>
      </w:r>
      <w:r w:rsidR="00802FB5" w:rsidRPr="003E3375">
        <w:rPr>
          <w:color w:val="000000" w:themeColor="text1"/>
        </w:rPr>
        <w:t xml:space="preserve">'s assertion </w:t>
      </w:r>
      <w:r w:rsidRPr="003E3375">
        <w:rPr>
          <w:color w:val="000000" w:themeColor="text1"/>
        </w:rPr>
        <w:t>that statistics were not available</w:t>
      </w:r>
      <w:r w:rsidRPr="003E3375">
        <w:rPr>
          <w:color w:val="000000" w:themeColor="text1"/>
          <w:vertAlign w:val="superscript"/>
        </w:rPr>
        <w:footnoteReference w:id="141"/>
      </w:r>
      <w:r w:rsidRPr="003E3375">
        <w:rPr>
          <w:color w:val="000000" w:themeColor="text1"/>
        </w:rPr>
        <w:t xml:space="preserve"> does not absolve MOFCOM of its complete failure to obtain or evaluate any positive evidence regarding these mandatory factors. </w:t>
      </w:r>
      <w:r w:rsidR="00334ED2" w:rsidRPr="003E3375">
        <w:rPr>
          <w:color w:val="000000" w:themeColor="text1"/>
        </w:rPr>
        <w:t xml:space="preserve">One of the reasons why this information was not available is because no domestic producers had participated in the investigation, and therefore none had submitted their evidence in questionnaire responses. If even a sample of domestic producers had </w:t>
      </w:r>
      <w:r w:rsidR="005722C9" w:rsidRPr="003E3375">
        <w:rPr>
          <w:color w:val="000000" w:themeColor="text1"/>
        </w:rPr>
        <w:t>participated</w:t>
      </w:r>
      <w:r w:rsidR="00334ED2" w:rsidRPr="003E3375">
        <w:rPr>
          <w:color w:val="000000" w:themeColor="text1"/>
        </w:rPr>
        <w:t>, MOFCOM would have had the required information.</w:t>
      </w:r>
      <w:r w:rsidR="00334ED2" w:rsidRPr="003E3375">
        <w:rPr>
          <w:color w:val="000000" w:themeColor="text1"/>
          <w:vertAlign w:val="superscript"/>
        </w:rPr>
        <w:footnoteReference w:id="142"/>
      </w:r>
      <w:r w:rsidR="00334ED2" w:rsidRPr="003E3375">
        <w:rPr>
          <w:color w:val="000000" w:themeColor="text1"/>
        </w:rPr>
        <w:t xml:space="preserve"> Further, </w:t>
      </w:r>
      <w:r w:rsidR="005722C9" w:rsidRPr="003E3375">
        <w:rPr>
          <w:color w:val="000000" w:themeColor="text1"/>
        </w:rPr>
        <w:t xml:space="preserve">in </w:t>
      </w:r>
      <w:r w:rsidR="00334ED2" w:rsidRPr="003E3375">
        <w:rPr>
          <w:color w:val="000000" w:themeColor="text1"/>
        </w:rPr>
        <w:t>relation to wages, CICC had in fact provided information on average labour costs for certain domestic producers</w:t>
      </w:r>
      <w:r w:rsidRPr="003E3375">
        <w:rPr>
          <w:color w:val="000000" w:themeColor="text1"/>
        </w:rPr>
        <w:t>.</w:t>
      </w:r>
      <w:r w:rsidRPr="003E3375">
        <w:rPr>
          <w:rStyle w:val="FootnoteReference"/>
          <w:rFonts w:asciiTheme="minorHAnsi" w:hAnsiTheme="minorHAnsi" w:cstheme="minorHAnsi"/>
          <w:color w:val="000000" w:themeColor="text1"/>
        </w:rPr>
        <w:footnoteReference w:id="143"/>
      </w:r>
    </w:p>
    <w:p w14:paraId="52687749" w14:textId="437A3E78" w:rsidR="00BC4110" w:rsidRPr="003E3375" w:rsidRDefault="00BC4110" w:rsidP="00B841EF">
      <w:pPr>
        <w:pStyle w:val="P1-N1Paragraph1-Number1"/>
        <w:spacing w:line="276" w:lineRule="auto"/>
        <w:rPr>
          <w:color w:val="000000" w:themeColor="text1"/>
        </w:rPr>
      </w:pPr>
      <w:r w:rsidRPr="003E3375">
        <w:rPr>
          <w:color w:val="000000" w:themeColor="text1"/>
        </w:rPr>
        <w:t xml:space="preserve">Those factors that MOFCOM </w:t>
      </w:r>
      <w:r w:rsidRPr="003E3375">
        <w:rPr>
          <w:i/>
          <w:iCs/>
          <w:color w:val="000000" w:themeColor="text1"/>
        </w:rPr>
        <w:t>did</w:t>
      </w:r>
      <w:r w:rsidRPr="003E3375">
        <w:rPr>
          <w:color w:val="000000" w:themeColor="text1"/>
        </w:rPr>
        <w:t xml:space="preserve"> mention were cited in a mere "checklist", a</w:t>
      </w:r>
      <w:r w:rsidR="00833354" w:rsidRPr="003E3375">
        <w:rPr>
          <w:color w:val="000000" w:themeColor="text1"/>
        </w:rPr>
        <w:t>n approach</w:t>
      </w:r>
      <w:r w:rsidRPr="003E3375">
        <w:rPr>
          <w:color w:val="000000" w:themeColor="text1"/>
        </w:rPr>
        <w:t xml:space="preserve"> that previous panels have expressly ruled to be insufficient.</w:t>
      </w:r>
      <w:r w:rsidRPr="003E3375">
        <w:rPr>
          <w:rStyle w:val="FootnoteReference"/>
          <w:rFonts w:asciiTheme="minorHAnsi" w:hAnsiTheme="minorHAnsi" w:cstheme="minorHAnsi"/>
          <w:color w:val="000000" w:themeColor="text1"/>
        </w:rPr>
        <w:footnoteReference w:id="144"/>
      </w:r>
      <w:r w:rsidRPr="003E3375">
        <w:rPr>
          <w:color w:val="000000" w:themeColor="text1"/>
        </w:rPr>
        <w:t xml:space="preserve"> MOFCOM offered no explanation or </w:t>
      </w:r>
      <w:r w:rsidRPr="003E3375">
        <w:rPr>
          <w:rFonts w:asciiTheme="minorHAnsi" w:hAnsiTheme="minorHAnsi" w:cstheme="minorHAnsi"/>
          <w:color w:val="000000" w:themeColor="text1"/>
        </w:rPr>
        <w:t>assessment</w:t>
      </w:r>
      <w:r w:rsidRPr="003E3375">
        <w:rPr>
          <w:color w:val="000000" w:themeColor="text1"/>
        </w:rPr>
        <w:t xml:space="preserve"> of the relative significance, weight, role</w:t>
      </w:r>
      <w:r w:rsidR="00C704BD" w:rsidRPr="003E3375">
        <w:rPr>
          <w:color w:val="000000" w:themeColor="text1"/>
        </w:rPr>
        <w:t>, or</w:t>
      </w:r>
      <w:r w:rsidRPr="003E3375">
        <w:rPr>
          <w:color w:val="000000" w:themeColor="text1"/>
        </w:rPr>
        <w:t xml:space="preserve"> relevance of the economic factors, stating only that a factor was "important" with no further information. </w:t>
      </w:r>
      <w:r w:rsidR="00BE49D1" w:rsidRPr="003E3375">
        <w:rPr>
          <w:color w:val="000000" w:themeColor="text1"/>
        </w:rPr>
        <w:t>MOFCOM therefore did not conduct a</w:t>
      </w:r>
      <w:r w:rsidRPr="003E3375">
        <w:rPr>
          <w:color w:val="000000" w:themeColor="text1"/>
        </w:rPr>
        <w:t xml:space="preserve"> substantive assessment that consider</w:t>
      </w:r>
      <w:r w:rsidR="00BE49D1" w:rsidRPr="003E3375">
        <w:rPr>
          <w:color w:val="000000" w:themeColor="text1"/>
        </w:rPr>
        <w:t>ed</w:t>
      </w:r>
      <w:r w:rsidRPr="003E3375">
        <w:rPr>
          <w:color w:val="000000" w:themeColor="text1"/>
        </w:rPr>
        <w:t xml:space="preserve"> conflicting </w:t>
      </w:r>
      <w:r w:rsidRPr="003E3375">
        <w:rPr>
          <w:color w:val="000000" w:themeColor="text1"/>
        </w:rPr>
        <w:lastRenderedPageBreak/>
        <w:t>evidence, including intervening trends and increases to planting costs.</w:t>
      </w:r>
      <w:r w:rsidRPr="003E3375">
        <w:rPr>
          <w:rStyle w:val="FootnoteReference"/>
          <w:rFonts w:asciiTheme="minorHAnsi" w:hAnsiTheme="minorHAnsi" w:cstheme="minorHAnsi"/>
          <w:color w:val="000000" w:themeColor="text1"/>
        </w:rPr>
        <w:footnoteReference w:id="145"/>
      </w:r>
      <w:r w:rsidRPr="003E3375">
        <w:rPr>
          <w:color w:val="000000" w:themeColor="text1"/>
        </w:rPr>
        <w:t xml:space="preserve"> As </w:t>
      </w:r>
      <w:r w:rsidR="00BE49D1" w:rsidRPr="003E3375">
        <w:rPr>
          <w:color w:val="000000" w:themeColor="text1"/>
        </w:rPr>
        <w:t xml:space="preserve">stated </w:t>
      </w:r>
      <w:r w:rsidRPr="003E3375">
        <w:rPr>
          <w:color w:val="000000" w:themeColor="text1"/>
        </w:rPr>
        <w:t>in relation to Articles</w:t>
      </w:r>
      <w:r w:rsidR="001E367F" w:rsidRPr="003E3375">
        <w:rPr>
          <w:color w:val="000000" w:themeColor="text1"/>
        </w:rPr>
        <w:t> </w:t>
      </w:r>
      <w:r w:rsidRPr="003E3375">
        <w:rPr>
          <w:color w:val="000000" w:themeColor="text1"/>
        </w:rPr>
        <w:t xml:space="preserve">3.2 and 15.2, an unbiased and objective investigating authority must also consider conflicting evidence in order to comply with the </w:t>
      </w:r>
      <w:r w:rsidR="00D73D74" w:rsidRPr="003E3375">
        <w:rPr>
          <w:color w:val="000000" w:themeColor="text1"/>
        </w:rPr>
        <w:t xml:space="preserve">obligations </w:t>
      </w:r>
      <w:r w:rsidRPr="003E3375">
        <w:rPr>
          <w:color w:val="000000" w:themeColor="text1"/>
        </w:rPr>
        <w:t>under Articles 3.4 and 15.4.</w:t>
      </w:r>
    </w:p>
    <w:p w14:paraId="0CB50FDA" w14:textId="37F0E26F" w:rsidR="00BC4110" w:rsidRPr="003E3375" w:rsidRDefault="00BC4110" w:rsidP="00B841EF">
      <w:pPr>
        <w:pStyle w:val="P1-N1Paragraph1-Number1"/>
        <w:spacing w:line="276" w:lineRule="auto"/>
        <w:rPr>
          <w:color w:val="000000" w:themeColor="text1"/>
        </w:rPr>
      </w:pPr>
      <w:r w:rsidRPr="003E3375">
        <w:rPr>
          <w:color w:val="000000" w:themeColor="text1"/>
        </w:rPr>
        <w:t xml:space="preserve">In addition, and as explained above, MOFCOM did not correctly identify the domestic industry. It </w:t>
      </w:r>
      <w:r w:rsidRPr="003E3375">
        <w:rPr>
          <w:rFonts w:asciiTheme="minorHAnsi" w:hAnsiTheme="minorHAnsi" w:cstheme="minorHAnsi"/>
          <w:color w:val="000000" w:themeColor="text1"/>
        </w:rPr>
        <w:t>follows</w:t>
      </w:r>
      <w:r w:rsidRPr="003E3375">
        <w:rPr>
          <w:color w:val="000000" w:themeColor="text1"/>
        </w:rPr>
        <w:t xml:space="preserve"> that </w:t>
      </w:r>
      <w:r w:rsidRPr="003E3375">
        <w:rPr>
          <w:rFonts w:asciiTheme="minorHAnsi" w:hAnsiTheme="minorHAnsi" w:cstheme="minorHAnsi"/>
          <w:color w:val="000000" w:themeColor="text1"/>
        </w:rPr>
        <w:t>MOFCOM</w:t>
      </w:r>
      <w:r w:rsidRPr="003E3375">
        <w:rPr>
          <w:color w:val="000000" w:themeColor="text1"/>
        </w:rPr>
        <w:t xml:space="preserve">, by necessity, could not have evaluated all factors "bearing on the domestic industry" without having first </w:t>
      </w:r>
      <w:r w:rsidR="00042F52" w:rsidRPr="003E3375">
        <w:rPr>
          <w:color w:val="000000" w:themeColor="text1"/>
        </w:rPr>
        <w:t xml:space="preserve">properly </w:t>
      </w:r>
      <w:r w:rsidRPr="003E3375">
        <w:rPr>
          <w:color w:val="000000" w:themeColor="text1"/>
        </w:rPr>
        <w:t xml:space="preserve">defined </w:t>
      </w:r>
      <w:r w:rsidR="00D73D74" w:rsidRPr="003E3375">
        <w:rPr>
          <w:color w:val="000000" w:themeColor="text1"/>
        </w:rPr>
        <w:t xml:space="preserve">the </w:t>
      </w:r>
      <w:r w:rsidRPr="003E3375">
        <w:rPr>
          <w:color w:val="000000" w:themeColor="text1"/>
        </w:rPr>
        <w:t>industry</w:t>
      </w:r>
      <w:r w:rsidR="00D73D74" w:rsidRPr="003E3375">
        <w:rPr>
          <w:color w:val="000000" w:themeColor="text1"/>
        </w:rPr>
        <w:t xml:space="preserve"> in question</w:t>
      </w:r>
      <w:r w:rsidRPr="003E3375">
        <w:rPr>
          <w:color w:val="000000" w:themeColor="text1"/>
        </w:rPr>
        <w:t>.</w:t>
      </w:r>
      <w:r w:rsidRPr="003E3375">
        <w:rPr>
          <w:rStyle w:val="FootnoteReference"/>
          <w:rFonts w:asciiTheme="minorHAnsi" w:hAnsiTheme="minorHAnsi" w:cstheme="minorHAnsi"/>
          <w:color w:val="000000" w:themeColor="text1"/>
        </w:rPr>
        <w:footnoteReference w:id="146"/>
      </w:r>
    </w:p>
    <w:p w14:paraId="192DD9FE" w14:textId="383CCD66" w:rsidR="00BC4110" w:rsidRPr="003E3375" w:rsidRDefault="00BC4110" w:rsidP="00BC4110">
      <w:pPr>
        <w:pStyle w:val="HL2HeadingLevel2"/>
        <w:numPr>
          <w:ilvl w:val="1"/>
          <w:numId w:val="15"/>
        </w:numPr>
        <w:rPr>
          <w:color w:val="000000" w:themeColor="text1"/>
        </w:rPr>
      </w:pPr>
      <w:bookmarkStart w:id="28" w:name="_Toc114492236"/>
      <w:r w:rsidRPr="003E3375">
        <w:rPr>
          <w:color w:val="000000" w:themeColor="text1"/>
        </w:rPr>
        <w:t xml:space="preserve">MOFCOM's </w:t>
      </w:r>
      <w:r w:rsidR="00C704BD" w:rsidRPr="003E3375">
        <w:rPr>
          <w:color w:val="000000" w:themeColor="text1"/>
        </w:rPr>
        <w:t xml:space="preserve">flawed </w:t>
      </w:r>
      <w:r w:rsidRPr="003E3375">
        <w:rPr>
          <w:color w:val="000000" w:themeColor="text1"/>
        </w:rPr>
        <w:t>causation analyses</w:t>
      </w:r>
      <w:bookmarkEnd w:id="28"/>
    </w:p>
    <w:p w14:paraId="0F1096CE" w14:textId="017BA7F9" w:rsidR="00BC4110" w:rsidRPr="003E3375" w:rsidRDefault="00BC4110" w:rsidP="00B841EF">
      <w:pPr>
        <w:pStyle w:val="P1-N1Paragraph1-Number1"/>
        <w:spacing w:line="276" w:lineRule="auto"/>
        <w:rPr>
          <w:color w:val="000000" w:themeColor="text1"/>
        </w:rPr>
      </w:pPr>
      <w:r w:rsidRPr="003E3375">
        <w:rPr>
          <w:color w:val="000000" w:themeColor="text1"/>
        </w:rPr>
        <w:t xml:space="preserve">Article 3.5 of the Anti-Dumping Agreement and Article 15.5 of the SCM Agreement establish the framework for an investigating authority to determine whether a "causal relationship" </w:t>
      </w:r>
      <w:r w:rsidRPr="003E3375">
        <w:rPr>
          <w:rFonts w:asciiTheme="minorHAnsi" w:hAnsiTheme="minorHAnsi" w:cstheme="minorHAnsi"/>
          <w:color w:val="000000" w:themeColor="text1"/>
        </w:rPr>
        <w:t>exists</w:t>
      </w:r>
      <w:r w:rsidRPr="003E3375">
        <w:rPr>
          <w:color w:val="000000" w:themeColor="text1"/>
        </w:rPr>
        <w:t xml:space="preserve"> between dumped or subsidised imports and injury to the relevant domestic industry.</w:t>
      </w:r>
      <w:r w:rsidRPr="003E3375">
        <w:rPr>
          <w:rStyle w:val="FootnoteReference"/>
          <w:color w:val="000000" w:themeColor="text1"/>
        </w:rPr>
        <w:footnoteReference w:id="147"/>
      </w:r>
      <w:r w:rsidRPr="003E3375">
        <w:rPr>
          <w:color w:val="000000" w:themeColor="text1"/>
        </w:rPr>
        <w:t xml:space="preserve"> MOFCOM's causation analysis </w:t>
      </w:r>
      <w:r w:rsidR="00F52274" w:rsidRPr="003E3375">
        <w:rPr>
          <w:color w:val="000000" w:themeColor="text1"/>
        </w:rPr>
        <w:t xml:space="preserve">fell short of </w:t>
      </w:r>
      <w:r w:rsidR="007B476C" w:rsidRPr="003E3375">
        <w:rPr>
          <w:color w:val="000000" w:themeColor="text1"/>
        </w:rPr>
        <w:t xml:space="preserve">meeting </w:t>
      </w:r>
      <w:r w:rsidR="00F52274" w:rsidRPr="003E3375">
        <w:rPr>
          <w:color w:val="000000" w:themeColor="text1"/>
        </w:rPr>
        <w:t xml:space="preserve">China's obligations </w:t>
      </w:r>
      <w:r w:rsidR="00803DFF" w:rsidRPr="003E3375">
        <w:rPr>
          <w:color w:val="000000" w:themeColor="text1"/>
        </w:rPr>
        <w:t>under</w:t>
      </w:r>
      <w:r w:rsidR="00F52274" w:rsidRPr="003E3375">
        <w:rPr>
          <w:color w:val="000000" w:themeColor="text1"/>
        </w:rPr>
        <w:t xml:space="preserve"> </w:t>
      </w:r>
      <w:r w:rsidRPr="003E3375">
        <w:rPr>
          <w:color w:val="000000" w:themeColor="text1"/>
        </w:rPr>
        <w:t>Articles 3.5 and 15.5.</w:t>
      </w:r>
      <w:r w:rsidRPr="003E3375">
        <w:rPr>
          <w:rStyle w:val="FootnoteReference"/>
          <w:rFonts w:asciiTheme="minorHAnsi" w:hAnsiTheme="minorHAnsi" w:cstheme="minorHAnsi"/>
          <w:color w:val="000000" w:themeColor="text1"/>
        </w:rPr>
        <w:footnoteReference w:id="148"/>
      </w:r>
      <w:r w:rsidRPr="003E3375">
        <w:rPr>
          <w:color w:val="000000" w:themeColor="text1"/>
        </w:rPr>
        <w:t xml:space="preserve"> This is </w:t>
      </w:r>
      <w:r w:rsidR="00F52274" w:rsidRPr="003E3375">
        <w:rPr>
          <w:color w:val="000000" w:themeColor="text1"/>
        </w:rPr>
        <w:t xml:space="preserve">the case </w:t>
      </w:r>
      <w:r w:rsidRPr="003E3375">
        <w:rPr>
          <w:color w:val="000000" w:themeColor="text1"/>
        </w:rPr>
        <w:t>for three key reasons.</w:t>
      </w:r>
    </w:p>
    <w:p w14:paraId="1DDD2A66" w14:textId="7CEA7890" w:rsidR="0085046B" w:rsidRPr="003E3375" w:rsidRDefault="00430B62" w:rsidP="00B841EF">
      <w:pPr>
        <w:pStyle w:val="P1-N1Paragraph1-Number1"/>
        <w:spacing w:line="276" w:lineRule="auto"/>
        <w:rPr>
          <w:color w:val="000000" w:themeColor="text1"/>
        </w:rPr>
      </w:pPr>
      <w:r w:rsidRPr="003E3375">
        <w:rPr>
          <w:color w:val="000000" w:themeColor="text1"/>
        </w:rPr>
        <w:t>First, MOFCOM carried forward the outcomes of its flawed examinations of price effects under Articles 3.2 and 15.2 and of relevant economic factors under Articles 3.4 and 15.4 into its causation analyses under Articles 3.5 and 15.5, vitiating the latter</w:t>
      </w:r>
      <w:r w:rsidR="00BC4110" w:rsidRPr="003E3375">
        <w:rPr>
          <w:color w:val="000000" w:themeColor="text1"/>
        </w:rPr>
        <w:t>.</w:t>
      </w:r>
      <w:r w:rsidR="00BC4110" w:rsidRPr="003E3375">
        <w:rPr>
          <w:rStyle w:val="FootnoteReference"/>
          <w:rFonts w:asciiTheme="minorHAnsi" w:hAnsiTheme="minorHAnsi" w:cstheme="minorHAnsi"/>
          <w:color w:val="000000" w:themeColor="text1"/>
        </w:rPr>
        <w:footnoteReference w:id="149"/>
      </w:r>
    </w:p>
    <w:p w14:paraId="03DD00D7" w14:textId="61152CBD" w:rsidR="002C229D" w:rsidRPr="003E3375" w:rsidRDefault="00BC4110" w:rsidP="00B841EF">
      <w:pPr>
        <w:pStyle w:val="P1-N1Paragraph1-Number1"/>
        <w:spacing w:line="276" w:lineRule="auto"/>
        <w:rPr>
          <w:color w:val="000000" w:themeColor="text1"/>
        </w:rPr>
      </w:pPr>
      <w:r w:rsidRPr="003E3375">
        <w:rPr>
          <w:color w:val="000000" w:themeColor="text1"/>
        </w:rPr>
        <w:t xml:space="preserve">Second, MOFCOM failed to provide any reasoned explanation of a "genuine and substantial relationship" of </w:t>
      </w:r>
      <w:r w:rsidRPr="003E3375">
        <w:rPr>
          <w:rFonts w:asciiTheme="minorHAnsi" w:hAnsiTheme="minorHAnsi" w:cstheme="minorHAnsi"/>
          <w:color w:val="000000" w:themeColor="text1"/>
        </w:rPr>
        <w:t>cause</w:t>
      </w:r>
      <w:r w:rsidRPr="003E3375">
        <w:rPr>
          <w:color w:val="000000" w:themeColor="text1"/>
        </w:rPr>
        <w:t xml:space="preserve"> and effect between subject imports and injury to the domestic industry.</w:t>
      </w:r>
      <w:r w:rsidRPr="003E3375">
        <w:rPr>
          <w:rStyle w:val="FootnoteReference"/>
          <w:rFonts w:asciiTheme="minorHAnsi" w:hAnsiTheme="minorHAnsi" w:cstheme="minorHAnsi"/>
          <w:color w:val="000000" w:themeColor="text1"/>
        </w:rPr>
        <w:footnoteReference w:id="150"/>
      </w:r>
      <w:r w:rsidRPr="003E3375">
        <w:rPr>
          <w:color w:val="000000" w:themeColor="text1"/>
        </w:rPr>
        <w:t xml:space="preserve"> The Final Determinations </w:t>
      </w:r>
      <w:r w:rsidR="00430B62" w:rsidRPr="003E3375">
        <w:rPr>
          <w:color w:val="000000" w:themeColor="text1"/>
        </w:rPr>
        <w:t xml:space="preserve">merely </w:t>
      </w:r>
      <w:r w:rsidRPr="003E3375">
        <w:rPr>
          <w:color w:val="000000" w:themeColor="text1"/>
        </w:rPr>
        <w:t>state that "low price competition from [dumped/subsidi</w:t>
      </w:r>
      <w:r w:rsidR="00C332CF" w:rsidRPr="003E3375">
        <w:rPr>
          <w:color w:val="000000" w:themeColor="text1"/>
        </w:rPr>
        <w:t>s</w:t>
      </w:r>
      <w:r w:rsidRPr="003E3375">
        <w:rPr>
          <w:color w:val="000000" w:themeColor="text1"/>
        </w:rPr>
        <w:t xml:space="preserve">ed] imported product has caused a substantial reduction in the prices of similar products in the </w:t>
      </w:r>
      <w:r w:rsidRPr="003E3375">
        <w:rPr>
          <w:rFonts w:asciiTheme="minorHAnsi" w:hAnsiTheme="minorHAnsi" w:cstheme="minorHAnsi"/>
          <w:color w:val="000000" w:themeColor="text1"/>
        </w:rPr>
        <w:t>domestic</w:t>
      </w:r>
      <w:r w:rsidRPr="003E3375">
        <w:rPr>
          <w:color w:val="000000" w:themeColor="text1"/>
        </w:rPr>
        <w:t xml:space="preserve"> industry"</w:t>
      </w:r>
      <w:r w:rsidR="00A13FDB" w:rsidRPr="003E3375">
        <w:rPr>
          <w:color w:val="000000" w:themeColor="text1"/>
        </w:rPr>
        <w:t>,</w:t>
      </w:r>
      <w:r w:rsidRPr="003E3375">
        <w:rPr>
          <w:color w:val="000000" w:themeColor="text1"/>
        </w:rPr>
        <w:t xml:space="preserve"> with no further analysis.</w:t>
      </w:r>
      <w:r w:rsidRPr="003E3375">
        <w:rPr>
          <w:rStyle w:val="FootnoteReference"/>
          <w:rFonts w:asciiTheme="minorHAnsi" w:hAnsiTheme="minorHAnsi" w:cstheme="minorHAnsi"/>
          <w:color w:val="000000" w:themeColor="text1"/>
        </w:rPr>
        <w:footnoteReference w:id="151"/>
      </w:r>
      <w:r w:rsidRPr="003E3375">
        <w:rPr>
          <w:color w:val="000000" w:themeColor="text1"/>
        </w:rPr>
        <w:t xml:space="preserve"> This statement is insufficient to constitute a </w:t>
      </w:r>
      <w:r w:rsidRPr="003E3375">
        <w:rPr>
          <w:rFonts w:asciiTheme="minorHAnsi" w:hAnsiTheme="minorHAnsi" w:cstheme="minorHAnsi"/>
          <w:color w:val="000000" w:themeColor="text1"/>
        </w:rPr>
        <w:t>proper</w:t>
      </w:r>
      <w:r w:rsidRPr="003E3375">
        <w:rPr>
          <w:color w:val="000000" w:themeColor="text1"/>
        </w:rPr>
        <w:t xml:space="preserve"> explanation establishing causation.</w:t>
      </w:r>
      <w:r w:rsidR="00A24A30" w:rsidRPr="003E3375">
        <w:rPr>
          <w:color w:val="000000" w:themeColor="text1"/>
        </w:rPr>
        <w:t xml:space="preserve"> </w:t>
      </w:r>
    </w:p>
    <w:p w14:paraId="5ABE4E25" w14:textId="2561DA5F" w:rsidR="00BC4110" w:rsidRPr="003E3375" w:rsidRDefault="00BC4110" w:rsidP="00B841EF">
      <w:pPr>
        <w:pStyle w:val="P1-N1Paragraph1-Number1"/>
        <w:spacing w:line="276" w:lineRule="auto"/>
        <w:rPr>
          <w:color w:val="000000" w:themeColor="text1"/>
        </w:rPr>
      </w:pPr>
      <w:r w:rsidRPr="003E3375">
        <w:rPr>
          <w:color w:val="000000" w:themeColor="text1"/>
        </w:rPr>
        <w:t xml:space="preserve">Third, </w:t>
      </w:r>
      <w:r w:rsidRPr="003E3375">
        <w:rPr>
          <w:rFonts w:asciiTheme="minorHAnsi" w:hAnsiTheme="minorHAnsi" w:cstheme="minorHAnsi"/>
          <w:color w:val="000000" w:themeColor="text1"/>
        </w:rPr>
        <w:t>MOFCOM</w:t>
      </w:r>
      <w:r w:rsidRPr="003E3375">
        <w:rPr>
          <w:color w:val="000000" w:themeColor="text1"/>
        </w:rPr>
        <w:t xml:space="preserve"> failed to conduct a non-attribution analysis in relation to "known factors" to </w:t>
      </w:r>
      <w:r w:rsidR="001349A1" w:rsidRPr="003E3375">
        <w:rPr>
          <w:color w:val="000000" w:themeColor="text1"/>
        </w:rPr>
        <w:t xml:space="preserve">identify and distinguish </w:t>
      </w:r>
      <w:r w:rsidRPr="003E3375">
        <w:rPr>
          <w:color w:val="000000" w:themeColor="text1"/>
        </w:rPr>
        <w:t>their contribution</w:t>
      </w:r>
      <w:r w:rsidR="00516BBF" w:rsidRPr="003E3375">
        <w:rPr>
          <w:color w:val="000000" w:themeColor="text1"/>
        </w:rPr>
        <w:t>s</w:t>
      </w:r>
      <w:r w:rsidRPr="003E3375">
        <w:rPr>
          <w:color w:val="000000" w:themeColor="text1"/>
        </w:rPr>
        <w:t xml:space="preserve"> to injury suffered by the domestic industry.</w:t>
      </w:r>
      <w:r w:rsidRPr="003E3375">
        <w:rPr>
          <w:rStyle w:val="FootnoteReference"/>
          <w:color w:val="000000" w:themeColor="text1"/>
        </w:rPr>
        <w:footnoteReference w:id="152"/>
      </w:r>
      <w:r w:rsidRPr="003E3375">
        <w:rPr>
          <w:color w:val="000000" w:themeColor="text1"/>
        </w:rPr>
        <w:t xml:space="preserve"> As the Appellate Body explained in </w:t>
      </w:r>
      <w:r w:rsidRPr="003E3375">
        <w:rPr>
          <w:i/>
          <w:iCs/>
          <w:color w:val="000000" w:themeColor="text1"/>
        </w:rPr>
        <w:t>US – Hot-Rolled Steel</w:t>
      </w:r>
      <w:r w:rsidRPr="003E3375">
        <w:rPr>
          <w:color w:val="000000" w:themeColor="text1"/>
        </w:rPr>
        <w:t>, the third sentences of Articles 3.5 and 15.5 require an investigating authority to "ensure that the injurious effects of the other known factors are not 'attributed' to dumped [subsidi</w:t>
      </w:r>
      <w:r w:rsidR="00C332CF" w:rsidRPr="003E3375">
        <w:rPr>
          <w:color w:val="000000" w:themeColor="text1"/>
        </w:rPr>
        <w:t>s</w:t>
      </w:r>
      <w:r w:rsidRPr="003E3375">
        <w:rPr>
          <w:color w:val="000000" w:themeColor="text1"/>
        </w:rPr>
        <w:t>ed] imports".</w:t>
      </w:r>
      <w:r w:rsidRPr="003E3375">
        <w:rPr>
          <w:rStyle w:val="FootnoteReference"/>
          <w:color w:val="000000" w:themeColor="text1"/>
        </w:rPr>
        <w:footnoteReference w:id="153"/>
      </w:r>
      <w:r w:rsidRPr="003E3375">
        <w:rPr>
          <w:color w:val="000000" w:themeColor="text1"/>
        </w:rPr>
        <w:t xml:space="preserve"> </w:t>
      </w:r>
      <w:r w:rsidR="001349A1" w:rsidRPr="003E3375">
        <w:rPr>
          <w:color w:val="000000" w:themeColor="text1"/>
        </w:rPr>
        <w:t>In this case, t</w:t>
      </w:r>
      <w:r w:rsidRPr="003E3375">
        <w:rPr>
          <w:color w:val="000000" w:themeColor="text1"/>
        </w:rPr>
        <w:t xml:space="preserve">he "known factors" </w:t>
      </w:r>
      <w:r w:rsidR="00635234" w:rsidRPr="003E3375">
        <w:rPr>
          <w:color w:val="000000" w:themeColor="text1"/>
        </w:rPr>
        <w:t>that MOFCOM failed to properly consider included</w:t>
      </w:r>
      <w:r w:rsidRPr="003E3375">
        <w:rPr>
          <w:color w:val="000000" w:themeColor="text1"/>
        </w:rPr>
        <w:t>: the impact of Chinese wheat and corn support policies on the domestic market;</w:t>
      </w:r>
      <w:r w:rsidRPr="003E3375">
        <w:rPr>
          <w:rStyle w:val="FootnoteReference"/>
          <w:rFonts w:asciiTheme="minorHAnsi" w:hAnsiTheme="minorHAnsi" w:cstheme="minorHAnsi"/>
          <w:color w:val="000000" w:themeColor="text1"/>
        </w:rPr>
        <w:footnoteReference w:id="154"/>
      </w:r>
      <w:r w:rsidR="00CF53D5" w:rsidRPr="003E3375">
        <w:rPr>
          <w:color w:val="000000" w:themeColor="text1"/>
        </w:rPr>
        <w:t xml:space="preserve"> </w:t>
      </w:r>
      <w:r w:rsidRPr="003E3375">
        <w:rPr>
          <w:color w:val="000000" w:themeColor="text1"/>
        </w:rPr>
        <w:t xml:space="preserve">uncompetitive domestic </w:t>
      </w:r>
      <w:r w:rsidRPr="003E3375">
        <w:rPr>
          <w:color w:val="000000" w:themeColor="text1"/>
        </w:rPr>
        <w:lastRenderedPageBreak/>
        <w:t>production costs;</w:t>
      </w:r>
      <w:r w:rsidRPr="003E3375">
        <w:rPr>
          <w:rStyle w:val="FootnoteReference"/>
          <w:rFonts w:asciiTheme="minorHAnsi" w:hAnsiTheme="minorHAnsi" w:cstheme="minorHAnsi"/>
          <w:color w:val="000000" w:themeColor="text1"/>
        </w:rPr>
        <w:footnoteReference w:id="155"/>
      </w:r>
      <w:r w:rsidRPr="003E3375">
        <w:rPr>
          <w:color w:val="000000" w:themeColor="text1"/>
        </w:rPr>
        <w:t xml:space="preserve"> the impact of third</w:t>
      </w:r>
      <w:r w:rsidR="00B23DAB" w:rsidRPr="003E3375">
        <w:rPr>
          <w:color w:val="000000" w:themeColor="text1"/>
        </w:rPr>
        <w:noBreakHyphen/>
      </w:r>
      <w:r w:rsidRPr="003E3375">
        <w:rPr>
          <w:color w:val="000000" w:themeColor="text1"/>
        </w:rPr>
        <w:t>country imports on the market;</w:t>
      </w:r>
      <w:r w:rsidRPr="003E3375">
        <w:rPr>
          <w:rStyle w:val="FootnoteReference"/>
          <w:rFonts w:asciiTheme="minorHAnsi" w:hAnsiTheme="minorHAnsi" w:cstheme="minorHAnsi"/>
          <w:color w:val="000000" w:themeColor="text1"/>
        </w:rPr>
        <w:footnoteReference w:id="156"/>
      </w:r>
      <w:r w:rsidRPr="003E3375">
        <w:rPr>
          <w:color w:val="000000" w:themeColor="text1"/>
        </w:rPr>
        <w:t xml:space="preserve"> and, in relation to the anti-dumping determination, Chinese buyers purchasing Australian barley due to "factors other than price".</w:t>
      </w:r>
      <w:r w:rsidRPr="003E3375">
        <w:rPr>
          <w:rStyle w:val="FootnoteReference"/>
          <w:rFonts w:asciiTheme="minorHAnsi" w:hAnsiTheme="minorHAnsi" w:cstheme="minorHAnsi"/>
          <w:color w:val="000000" w:themeColor="text1"/>
        </w:rPr>
        <w:footnoteReference w:id="157"/>
      </w:r>
      <w:r w:rsidRPr="003E3375">
        <w:rPr>
          <w:color w:val="000000" w:themeColor="text1"/>
        </w:rPr>
        <w:t xml:space="preserve"> </w:t>
      </w:r>
    </w:p>
    <w:p w14:paraId="16B30B29" w14:textId="0A6B341A" w:rsidR="00CF53D5" w:rsidRPr="003E3375" w:rsidRDefault="003F61F6">
      <w:pPr>
        <w:pStyle w:val="P1-N1Paragraph1-Number1"/>
        <w:spacing w:line="276" w:lineRule="auto"/>
        <w:rPr>
          <w:color w:val="000000" w:themeColor="text1"/>
        </w:rPr>
      </w:pPr>
      <w:r w:rsidRPr="003E3375">
        <w:rPr>
          <w:color w:val="000000" w:themeColor="text1"/>
        </w:rPr>
        <w:t xml:space="preserve">MOFCOM's treatment of </w:t>
      </w:r>
      <w:r w:rsidR="00CF53D5" w:rsidRPr="003E3375">
        <w:rPr>
          <w:color w:val="000000" w:themeColor="text1"/>
        </w:rPr>
        <w:t>non-subject imports from third countries</w:t>
      </w:r>
      <w:r w:rsidRPr="003E3375">
        <w:rPr>
          <w:color w:val="000000" w:themeColor="text1"/>
        </w:rPr>
        <w:t xml:space="preserve"> is a striking example of its failure to account for the impact of other important factors on the Chinese market</w:t>
      </w:r>
      <w:r w:rsidR="00CF53D5" w:rsidRPr="003E3375">
        <w:rPr>
          <w:color w:val="000000" w:themeColor="text1"/>
        </w:rPr>
        <w:t>.</w:t>
      </w:r>
      <w:r w:rsidR="00CF53D5" w:rsidRPr="003E3375">
        <w:rPr>
          <w:rStyle w:val="FootnoteReference"/>
          <w:color w:val="000000" w:themeColor="text1"/>
        </w:rPr>
        <w:footnoteReference w:id="158"/>
      </w:r>
      <w:r w:rsidR="00CF53D5" w:rsidRPr="003E3375">
        <w:rPr>
          <w:color w:val="000000" w:themeColor="text1"/>
        </w:rPr>
        <w:t xml:space="preserve"> </w:t>
      </w:r>
      <w:r w:rsidR="00CF53D5" w:rsidRPr="003E3375">
        <w:rPr>
          <w:rFonts w:asciiTheme="minorHAnsi" w:hAnsiTheme="minorHAnsi" w:cstheme="minorHAnsi"/>
          <w:color w:val="000000" w:themeColor="text1"/>
        </w:rPr>
        <w:t>Demand</w:t>
      </w:r>
      <w:r w:rsidR="00CF53D5" w:rsidRPr="003E3375">
        <w:rPr>
          <w:color w:val="000000" w:themeColor="text1"/>
          <w:lang w:eastAsia="en-GB"/>
        </w:rPr>
        <w:t xml:space="preserve"> for barley in China increased between 2014 and 2018 by 1.3 million tonnes, or 18%.</w:t>
      </w:r>
      <w:r w:rsidR="00CF53D5" w:rsidRPr="003E3375">
        <w:rPr>
          <w:rStyle w:val="FootnoteReference"/>
          <w:color w:val="000000" w:themeColor="text1"/>
          <w:lang w:eastAsia="en-GB"/>
        </w:rPr>
        <w:footnoteReference w:id="159"/>
      </w:r>
      <w:r w:rsidR="00CF53D5" w:rsidRPr="003E3375">
        <w:rPr>
          <w:color w:val="000000" w:themeColor="text1"/>
          <w:lang w:eastAsia="en-GB"/>
        </w:rPr>
        <w:t xml:space="preserve"> However, subject imports increased over the same period by only 301,300 tonnes, satisfying only a small portion – 23% – of this growth, and showing an 8.7% relative decline in market share. In contrast, imports from third countries increased over the same period by 1.1 million tonnes, capturing 85% of the growth, showing a 45.5% relative increase in market share, and ultimately taking market share from Chinese domestic barley and imports of Australian barley.</w:t>
      </w:r>
      <w:r w:rsidR="00CF53D5" w:rsidRPr="003E3375">
        <w:rPr>
          <w:rStyle w:val="FootnoteReference"/>
          <w:color w:val="000000" w:themeColor="text1"/>
          <w:lang w:eastAsia="en-GB"/>
        </w:rPr>
        <w:footnoteReference w:id="160"/>
      </w:r>
    </w:p>
    <w:p w14:paraId="388D0C92" w14:textId="3DC69C66" w:rsidR="00313571" w:rsidRPr="003E3375" w:rsidRDefault="00F276B8" w:rsidP="00E72E98">
      <w:pPr>
        <w:pStyle w:val="HL1HeadingLevel1"/>
        <w:spacing w:line="276" w:lineRule="auto"/>
        <w:rPr>
          <w:rFonts w:asciiTheme="minorHAnsi" w:hAnsiTheme="minorHAnsi" w:cstheme="minorHAnsi"/>
          <w:color w:val="000000" w:themeColor="text1"/>
        </w:rPr>
      </w:pPr>
      <w:bookmarkStart w:id="29" w:name="_Toc114492237"/>
      <w:r w:rsidRPr="003E3375">
        <w:rPr>
          <w:rFonts w:asciiTheme="minorHAnsi" w:hAnsiTheme="minorHAnsi" w:cstheme="minorHAnsi"/>
          <w:color w:val="000000" w:themeColor="text1"/>
        </w:rPr>
        <w:t>Conduct</w:t>
      </w:r>
      <w:r w:rsidR="00D53741" w:rsidRPr="003E3375">
        <w:rPr>
          <w:rFonts w:asciiTheme="minorHAnsi" w:hAnsiTheme="minorHAnsi" w:cstheme="minorHAnsi"/>
          <w:color w:val="000000" w:themeColor="text1"/>
        </w:rPr>
        <w:t xml:space="preserve"> of the investigations</w:t>
      </w:r>
      <w:bookmarkEnd w:id="29"/>
    </w:p>
    <w:p w14:paraId="66CFE7FC" w14:textId="381C8683" w:rsidR="00234709" w:rsidRPr="003E3375" w:rsidRDefault="003D655E" w:rsidP="00025BA6">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MOFCOM's conduct undermined the due process framework of both the SCM</w:t>
      </w:r>
      <w:r w:rsidR="00BE0553"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Agreement and the Anti-Dumping Agreement.</w:t>
      </w:r>
      <w:r w:rsidRPr="003E3375">
        <w:rPr>
          <w:rStyle w:val="FootnoteReference"/>
          <w:rFonts w:asciiTheme="minorHAnsi" w:hAnsiTheme="minorHAnsi" w:cstheme="minorHAnsi"/>
          <w:color w:val="000000" w:themeColor="text1"/>
        </w:rPr>
        <w:footnoteReference w:id="161"/>
      </w:r>
      <w:r w:rsidRPr="003E3375">
        <w:rPr>
          <w:rFonts w:asciiTheme="minorHAnsi" w:hAnsiTheme="minorHAnsi" w:cstheme="minorHAnsi"/>
          <w:color w:val="000000" w:themeColor="text1"/>
        </w:rPr>
        <w:t xml:space="preserve"> As a result, China acted inconsistently with Articles 6.1, 6.2, 6.4, 6.5.1, 6.6, 6.9, 12.2 and 12.2.2 of the Anti</w:t>
      </w:r>
      <w:r w:rsidR="00BE0553" w:rsidRPr="003E3375">
        <w:rPr>
          <w:rFonts w:asciiTheme="minorHAnsi" w:hAnsiTheme="minorHAnsi" w:cstheme="minorHAnsi"/>
          <w:color w:val="000000" w:themeColor="text1"/>
        </w:rPr>
        <w:noBreakHyphen/>
      </w:r>
      <w:r w:rsidRPr="003E3375">
        <w:rPr>
          <w:rFonts w:asciiTheme="minorHAnsi" w:hAnsiTheme="minorHAnsi" w:cstheme="minorHAnsi"/>
          <w:color w:val="000000" w:themeColor="text1"/>
        </w:rPr>
        <w:t>Dumping Agreement and Articles 12.1, 12.3, 12.4.1, 12.5, 12.8, 22.3 and 22.5 of the SCM</w:t>
      </w:r>
      <w:r w:rsidR="00BE0553"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Agreement.</w:t>
      </w:r>
      <w:r w:rsidRPr="003E3375">
        <w:rPr>
          <w:rStyle w:val="FootnoteReference"/>
          <w:rFonts w:asciiTheme="minorHAnsi" w:hAnsiTheme="minorHAnsi" w:cstheme="minorHAnsi"/>
          <w:color w:val="000000" w:themeColor="text1"/>
        </w:rPr>
        <w:footnoteReference w:id="162"/>
      </w:r>
      <w:r w:rsidRPr="003E3375">
        <w:rPr>
          <w:rFonts w:asciiTheme="minorHAnsi" w:hAnsiTheme="minorHAnsi" w:cstheme="minorHAnsi"/>
          <w:color w:val="000000" w:themeColor="text1"/>
        </w:rPr>
        <w:t xml:space="preserve"> </w:t>
      </w:r>
      <w:r w:rsidR="00362801" w:rsidRPr="003E3375">
        <w:rPr>
          <w:rFonts w:asciiTheme="minorHAnsi" w:hAnsiTheme="minorHAnsi" w:cstheme="minorHAnsi"/>
          <w:color w:val="000000" w:themeColor="text1"/>
        </w:rPr>
        <w:t xml:space="preserve">Failures with respect to </w:t>
      </w:r>
      <w:r w:rsidR="00592BB9" w:rsidRPr="003E3375">
        <w:rPr>
          <w:rFonts w:asciiTheme="minorHAnsi" w:hAnsiTheme="minorHAnsi" w:cstheme="minorHAnsi"/>
          <w:color w:val="000000" w:themeColor="text1"/>
        </w:rPr>
        <w:t xml:space="preserve">MOFCOM's </w:t>
      </w:r>
      <w:r w:rsidR="00362801" w:rsidRPr="003E3375">
        <w:rPr>
          <w:rFonts w:asciiTheme="minorHAnsi" w:hAnsiTheme="minorHAnsi" w:cstheme="minorHAnsi"/>
          <w:color w:val="000000" w:themeColor="text1"/>
        </w:rPr>
        <w:t>c</w:t>
      </w:r>
      <w:r w:rsidRPr="003E3375">
        <w:rPr>
          <w:rFonts w:asciiTheme="minorHAnsi" w:hAnsiTheme="minorHAnsi" w:cstheme="minorHAnsi"/>
          <w:color w:val="000000" w:themeColor="text1"/>
        </w:rPr>
        <w:t xml:space="preserve">onduct </w:t>
      </w:r>
      <w:r w:rsidR="00362801" w:rsidRPr="003E3375">
        <w:rPr>
          <w:rFonts w:asciiTheme="minorHAnsi" w:hAnsiTheme="minorHAnsi" w:cstheme="minorHAnsi"/>
          <w:color w:val="000000" w:themeColor="text1"/>
        </w:rPr>
        <w:t xml:space="preserve">of the investigations </w:t>
      </w:r>
      <w:r w:rsidRPr="003E3375">
        <w:rPr>
          <w:rFonts w:asciiTheme="minorHAnsi" w:hAnsiTheme="minorHAnsi" w:cstheme="minorHAnsi"/>
          <w:color w:val="000000" w:themeColor="text1"/>
        </w:rPr>
        <w:t xml:space="preserve">are intertwined with, and </w:t>
      </w:r>
      <w:r w:rsidR="00135D7C" w:rsidRPr="003E3375">
        <w:rPr>
          <w:rFonts w:asciiTheme="minorHAnsi" w:hAnsiTheme="minorHAnsi" w:cstheme="minorHAnsi"/>
          <w:color w:val="000000" w:themeColor="text1"/>
        </w:rPr>
        <w:t>exacerbate</w:t>
      </w:r>
      <w:r w:rsidRPr="003E3375">
        <w:rPr>
          <w:rFonts w:asciiTheme="minorHAnsi" w:hAnsiTheme="minorHAnsi" w:cstheme="minorHAnsi"/>
          <w:color w:val="000000" w:themeColor="text1"/>
        </w:rPr>
        <w:t xml:space="preserve">, </w:t>
      </w:r>
      <w:r w:rsidR="00592BB9" w:rsidRPr="003E3375">
        <w:rPr>
          <w:rFonts w:asciiTheme="minorHAnsi" w:hAnsiTheme="minorHAnsi" w:cstheme="minorHAnsi"/>
          <w:color w:val="000000" w:themeColor="text1"/>
        </w:rPr>
        <w:t xml:space="preserve">MOFCOM's </w:t>
      </w:r>
      <w:r w:rsidRPr="003E3375">
        <w:rPr>
          <w:rFonts w:asciiTheme="minorHAnsi" w:hAnsiTheme="minorHAnsi" w:cstheme="minorHAnsi"/>
          <w:color w:val="000000" w:themeColor="text1"/>
        </w:rPr>
        <w:t xml:space="preserve">failures in </w:t>
      </w:r>
      <w:r w:rsidR="00592BB9" w:rsidRPr="003E3375">
        <w:rPr>
          <w:rFonts w:asciiTheme="minorHAnsi" w:hAnsiTheme="minorHAnsi" w:cstheme="minorHAnsi"/>
          <w:color w:val="000000" w:themeColor="text1"/>
        </w:rPr>
        <w:t xml:space="preserve">its </w:t>
      </w:r>
      <w:r w:rsidRPr="003E3375">
        <w:rPr>
          <w:rFonts w:asciiTheme="minorHAnsi" w:hAnsiTheme="minorHAnsi" w:cstheme="minorHAnsi"/>
          <w:color w:val="000000" w:themeColor="text1"/>
        </w:rPr>
        <w:t>substantive determinations.</w:t>
      </w:r>
      <w:r w:rsidRPr="003E3375">
        <w:rPr>
          <w:rStyle w:val="FootnoteReference"/>
          <w:rFonts w:asciiTheme="minorHAnsi" w:hAnsiTheme="minorHAnsi" w:cstheme="minorHAnsi"/>
          <w:color w:val="000000" w:themeColor="text1"/>
        </w:rPr>
        <w:footnoteReference w:id="163"/>
      </w:r>
      <w:r w:rsidR="006C6C23" w:rsidRPr="003E3375">
        <w:rPr>
          <w:rFonts w:asciiTheme="minorHAnsi" w:hAnsiTheme="minorHAnsi" w:cstheme="minorHAnsi"/>
          <w:color w:val="000000" w:themeColor="text1"/>
        </w:rPr>
        <w:t xml:space="preserve"> </w:t>
      </w:r>
      <w:r w:rsidR="00025BA6" w:rsidRPr="003E3375">
        <w:rPr>
          <w:rFonts w:asciiTheme="minorHAnsi" w:hAnsiTheme="minorHAnsi" w:cstheme="minorHAnsi"/>
          <w:color w:val="000000" w:themeColor="text1"/>
        </w:rPr>
        <w:t>Contrary to China's assertions, t</w:t>
      </w:r>
      <w:r w:rsidR="00234709" w:rsidRPr="003E3375">
        <w:rPr>
          <w:rFonts w:asciiTheme="minorHAnsi" w:hAnsiTheme="minorHAnsi" w:cstheme="minorHAnsi"/>
          <w:color w:val="000000" w:themeColor="text1"/>
        </w:rPr>
        <w:t xml:space="preserve">here is no basis in the text of the Agreements to afford </w:t>
      </w:r>
      <w:r w:rsidR="00771CE9" w:rsidRPr="003E3375">
        <w:rPr>
          <w:rFonts w:asciiTheme="minorHAnsi" w:hAnsiTheme="minorHAnsi" w:cstheme="minorHAnsi"/>
          <w:color w:val="000000" w:themeColor="text1"/>
        </w:rPr>
        <w:t xml:space="preserve">"procedural" obligations less weight </w:t>
      </w:r>
      <w:r w:rsidR="007421F1" w:rsidRPr="003E3375">
        <w:rPr>
          <w:rFonts w:asciiTheme="minorHAnsi" w:hAnsiTheme="minorHAnsi" w:cstheme="minorHAnsi"/>
          <w:color w:val="000000" w:themeColor="text1"/>
        </w:rPr>
        <w:t>than</w:t>
      </w:r>
      <w:r w:rsidR="00771CE9" w:rsidRPr="003E3375">
        <w:rPr>
          <w:rFonts w:asciiTheme="minorHAnsi" w:hAnsiTheme="minorHAnsi" w:cstheme="minorHAnsi"/>
          <w:color w:val="000000" w:themeColor="text1"/>
        </w:rPr>
        <w:t xml:space="preserve"> substantive obligations.</w:t>
      </w:r>
    </w:p>
    <w:p w14:paraId="2D71C05A" w14:textId="37BDA0FB" w:rsidR="00F276B8" w:rsidRPr="003E3375" w:rsidRDefault="00DF192E" w:rsidP="00E72E98">
      <w:pPr>
        <w:pStyle w:val="HL2HeadingLevel2"/>
        <w:spacing w:line="276" w:lineRule="auto"/>
        <w:rPr>
          <w:rFonts w:asciiTheme="minorHAnsi" w:hAnsiTheme="minorHAnsi" w:cstheme="minorHAnsi"/>
          <w:color w:val="000000" w:themeColor="text1"/>
        </w:rPr>
      </w:pPr>
      <w:bookmarkStart w:id="30" w:name="_Toc114492238"/>
      <w:r w:rsidRPr="003E3375">
        <w:rPr>
          <w:rFonts w:asciiTheme="minorHAnsi" w:hAnsiTheme="minorHAnsi" w:cstheme="minorHAnsi"/>
          <w:color w:val="000000" w:themeColor="text1"/>
        </w:rPr>
        <w:t>MOFCOM fail</w:t>
      </w:r>
      <w:r w:rsidR="00D53741" w:rsidRPr="003E3375">
        <w:rPr>
          <w:rFonts w:asciiTheme="minorHAnsi" w:hAnsiTheme="minorHAnsi" w:cstheme="minorHAnsi"/>
          <w:color w:val="000000" w:themeColor="text1"/>
        </w:rPr>
        <w:t xml:space="preserve">ed to provide interested parties with ample opportunities to present evidence </w:t>
      </w:r>
      <w:r w:rsidR="002A003C" w:rsidRPr="003E3375">
        <w:rPr>
          <w:rFonts w:asciiTheme="minorHAnsi" w:hAnsiTheme="minorHAnsi" w:cstheme="minorHAnsi"/>
          <w:color w:val="000000" w:themeColor="text1"/>
        </w:rPr>
        <w:t xml:space="preserve">that </w:t>
      </w:r>
      <w:r w:rsidR="00D53741" w:rsidRPr="003E3375">
        <w:rPr>
          <w:rFonts w:asciiTheme="minorHAnsi" w:hAnsiTheme="minorHAnsi" w:cstheme="minorHAnsi"/>
          <w:color w:val="000000" w:themeColor="text1"/>
        </w:rPr>
        <w:t>they considered relevant</w:t>
      </w:r>
      <w:bookmarkEnd w:id="30"/>
    </w:p>
    <w:p w14:paraId="4CD0C066" w14:textId="20F2CFE1" w:rsidR="00A30C8F" w:rsidRPr="003E3375" w:rsidRDefault="001B1C07" w:rsidP="00A30C8F">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Article</w:t>
      </w:r>
      <w:r w:rsidR="00660373"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 xml:space="preserve"> 6.1 and 6.2 of the Anti-Dumping Agreement and Article 12.1 of the SCM</w:t>
      </w:r>
      <w:r w:rsidR="001723D7"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Agreement expressly require that interested parties have a full and "ample" opportunity to defend their interests.</w:t>
      </w:r>
      <w:r w:rsidRPr="003E3375">
        <w:rPr>
          <w:rStyle w:val="FootnoteReference"/>
          <w:rFonts w:asciiTheme="minorHAnsi" w:hAnsiTheme="minorHAnsi" w:cstheme="minorHAnsi"/>
          <w:color w:val="000000" w:themeColor="text1"/>
        </w:rPr>
        <w:footnoteReference w:id="164"/>
      </w:r>
      <w:r w:rsidRPr="003E3375">
        <w:rPr>
          <w:rFonts w:asciiTheme="minorHAnsi" w:hAnsiTheme="minorHAnsi" w:cstheme="minorHAnsi"/>
          <w:color w:val="000000" w:themeColor="text1"/>
        </w:rPr>
        <w:t xml:space="preserve"> </w:t>
      </w:r>
      <w:r w:rsidR="00A30C8F" w:rsidRPr="003E3375">
        <w:rPr>
          <w:rFonts w:asciiTheme="minorHAnsi" w:hAnsiTheme="minorHAnsi" w:cstheme="minorHAnsi"/>
          <w:color w:val="000000" w:themeColor="text1"/>
        </w:rPr>
        <w:t xml:space="preserve">The requirements to give "ample opportunity" to present all evidence and give notice within the meaning of Articles 6.1 and 12.1 are "distinct yet closely </w:t>
      </w:r>
      <w:r w:rsidR="00A30C8F" w:rsidRPr="003E3375">
        <w:rPr>
          <w:rFonts w:asciiTheme="minorHAnsi" w:hAnsiTheme="minorHAnsi" w:cstheme="minorHAnsi"/>
          <w:color w:val="000000" w:themeColor="text1"/>
        </w:rPr>
        <w:lastRenderedPageBreak/>
        <w:t>related" obligations. Contrary to China's assertions, this does not mean that the scope of the obligation to give "ample opportunity" is limited by the obligation to give notice.</w:t>
      </w:r>
      <w:r w:rsidR="00A30C8F" w:rsidRPr="003E3375">
        <w:rPr>
          <w:rStyle w:val="FootnoteReference"/>
          <w:rFonts w:asciiTheme="minorHAnsi" w:hAnsiTheme="minorHAnsi" w:cstheme="minorHAnsi"/>
          <w:color w:val="000000" w:themeColor="text1"/>
        </w:rPr>
        <w:footnoteReference w:id="165"/>
      </w:r>
      <w:r w:rsidR="00A30C8F" w:rsidRPr="003E3375">
        <w:rPr>
          <w:rFonts w:asciiTheme="minorHAnsi" w:hAnsiTheme="minorHAnsi" w:cstheme="minorHAnsi"/>
          <w:color w:val="000000" w:themeColor="text1"/>
        </w:rPr>
        <w:t xml:space="preserve"> China's interpretation – that the obligation to give "ample opportunity" only arises when "notice" has been given – would largely render Articles 6.1 and 12.1 devoid of meaning. </w:t>
      </w:r>
      <w:r w:rsidR="008933F7" w:rsidRPr="003E3375">
        <w:rPr>
          <w:rFonts w:asciiTheme="minorHAnsi" w:hAnsiTheme="minorHAnsi" w:cstheme="minorHAnsi"/>
          <w:color w:val="000000" w:themeColor="text1"/>
        </w:rPr>
        <w:t xml:space="preserve">To that end, </w:t>
      </w:r>
      <w:r w:rsidR="00660373" w:rsidRPr="003E3375">
        <w:rPr>
          <w:rFonts w:asciiTheme="minorHAnsi" w:hAnsiTheme="minorHAnsi" w:cstheme="minorHAnsi"/>
          <w:color w:val="000000" w:themeColor="text1"/>
        </w:rPr>
        <w:t xml:space="preserve">the </w:t>
      </w:r>
      <w:r w:rsidR="008933F7" w:rsidRPr="003E3375">
        <w:rPr>
          <w:rFonts w:asciiTheme="minorHAnsi" w:hAnsiTheme="minorHAnsi" w:cstheme="minorHAnsi"/>
          <w:color w:val="000000" w:themeColor="text1"/>
        </w:rPr>
        <w:t xml:space="preserve">conduct of an investigating authority can be subject to more than one obligation </w:t>
      </w:r>
      <w:r w:rsidR="00660373" w:rsidRPr="003E3375">
        <w:rPr>
          <w:rFonts w:asciiTheme="minorHAnsi" w:hAnsiTheme="minorHAnsi" w:cstheme="minorHAnsi"/>
          <w:color w:val="000000" w:themeColor="text1"/>
        </w:rPr>
        <w:t xml:space="preserve">at a time </w:t>
      </w:r>
      <w:r w:rsidR="008933F7" w:rsidRPr="003E3375">
        <w:rPr>
          <w:rFonts w:asciiTheme="minorHAnsi" w:hAnsiTheme="minorHAnsi" w:cstheme="minorHAnsi"/>
          <w:color w:val="000000" w:themeColor="text1"/>
        </w:rPr>
        <w:t>under the Agreements.</w:t>
      </w:r>
    </w:p>
    <w:p w14:paraId="14BA7F14" w14:textId="02D67462" w:rsidR="00A359AE" w:rsidRPr="003E3375" w:rsidRDefault="009D192C" w:rsidP="00EA06B1">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MOFCOM's failure to provide interested parties with a full opportunity for the defence of their interests </w:t>
      </w:r>
      <w:r w:rsidR="00A359AE" w:rsidRPr="003E3375">
        <w:rPr>
          <w:color w:val="000000" w:themeColor="text1"/>
        </w:rPr>
        <w:t xml:space="preserve">manifested not only in certain specific instances, </w:t>
      </w:r>
      <w:r w:rsidR="000F5694" w:rsidRPr="003E3375">
        <w:rPr>
          <w:color w:val="000000" w:themeColor="text1"/>
        </w:rPr>
        <w:t xml:space="preserve">outlined </w:t>
      </w:r>
      <w:r w:rsidR="00A359AE" w:rsidRPr="003E3375">
        <w:rPr>
          <w:color w:val="000000" w:themeColor="text1"/>
        </w:rPr>
        <w:t>below, but also when considering the totality of MOFCOM's conduct and management of the investigations.</w:t>
      </w:r>
      <w:r w:rsidR="00A359AE" w:rsidRPr="003E3375">
        <w:rPr>
          <w:rStyle w:val="FootnoteReference"/>
          <w:color w:val="000000" w:themeColor="text1"/>
        </w:rPr>
        <w:footnoteReference w:id="166"/>
      </w:r>
      <w:r w:rsidR="00A359AE" w:rsidRPr="003E3375">
        <w:rPr>
          <w:color w:val="000000" w:themeColor="text1"/>
        </w:rPr>
        <w:t xml:space="preserve"> </w:t>
      </w:r>
    </w:p>
    <w:p w14:paraId="1EEA0DFC" w14:textId="6A68BE30" w:rsidR="00EA06B1" w:rsidRPr="003E3375" w:rsidRDefault="00EA06B1" w:rsidP="00EA06B1">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Interested parties requested between two to four week extensions to respond to </w:t>
      </w:r>
      <w:r w:rsidR="00660373" w:rsidRPr="003E3375">
        <w:rPr>
          <w:rFonts w:asciiTheme="minorHAnsi" w:hAnsiTheme="minorHAnsi" w:cstheme="minorHAnsi"/>
          <w:color w:val="000000" w:themeColor="text1"/>
        </w:rPr>
        <w:t xml:space="preserve">the </w:t>
      </w:r>
      <w:r w:rsidRPr="003E3375">
        <w:rPr>
          <w:rFonts w:asciiTheme="minorHAnsi" w:hAnsiTheme="minorHAnsi" w:cstheme="minorHAnsi"/>
          <w:color w:val="000000" w:themeColor="text1"/>
        </w:rPr>
        <w:t xml:space="preserve">questionnaires, detailing significant barriers including </w:t>
      </w:r>
      <w:r w:rsidR="00431D35" w:rsidRPr="003E3375">
        <w:rPr>
          <w:rFonts w:asciiTheme="minorHAnsi" w:hAnsiTheme="minorHAnsi" w:cstheme="minorHAnsi"/>
          <w:color w:val="000000" w:themeColor="text1"/>
        </w:rPr>
        <w:t xml:space="preserve">the </w:t>
      </w:r>
      <w:r w:rsidRPr="003E3375">
        <w:rPr>
          <w:rFonts w:asciiTheme="minorHAnsi" w:hAnsiTheme="minorHAnsi" w:cstheme="minorHAnsi"/>
          <w:color w:val="000000" w:themeColor="text1"/>
        </w:rPr>
        <w:t xml:space="preserve">unavailability of translators over the Chinese holiday period, </w:t>
      </w:r>
      <w:r w:rsidR="00287F9F" w:rsidRPr="003E3375">
        <w:rPr>
          <w:rFonts w:asciiTheme="minorHAnsi" w:hAnsiTheme="minorHAnsi" w:cstheme="minorHAnsi"/>
          <w:color w:val="000000" w:themeColor="text1"/>
        </w:rPr>
        <w:t xml:space="preserve">the demands of the peak harvest period, and, in the case of the countervailing duties investigation, </w:t>
      </w:r>
      <w:r w:rsidRPr="003E3375">
        <w:rPr>
          <w:rFonts w:asciiTheme="minorHAnsi" w:hAnsiTheme="minorHAnsi" w:cstheme="minorHAnsi"/>
          <w:color w:val="000000" w:themeColor="text1"/>
        </w:rPr>
        <w:t>resources dedicated to the concurrent anti</w:t>
      </w:r>
      <w:r w:rsidR="005A6922"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dumping investigation.</w:t>
      </w:r>
      <w:r w:rsidRPr="003E3375">
        <w:rPr>
          <w:rStyle w:val="FootnoteReference"/>
          <w:rFonts w:asciiTheme="minorHAnsi" w:hAnsiTheme="minorHAnsi" w:cstheme="minorHAnsi"/>
          <w:color w:val="000000" w:themeColor="text1"/>
        </w:rPr>
        <w:footnoteReference w:id="167"/>
      </w:r>
      <w:r w:rsidRPr="003E3375">
        <w:rPr>
          <w:rFonts w:asciiTheme="minorHAnsi" w:hAnsiTheme="minorHAnsi" w:cstheme="minorHAnsi"/>
          <w:color w:val="000000" w:themeColor="text1"/>
        </w:rPr>
        <w:t xml:space="preserve"> MOFCOM provided </w:t>
      </w:r>
      <w:r w:rsidR="00431D35" w:rsidRPr="003E3375">
        <w:rPr>
          <w:rFonts w:asciiTheme="minorHAnsi" w:hAnsiTheme="minorHAnsi" w:cstheme="minorHAnsi"/>
          <w:color w:val="000000" w:themeColor="text1"/>
        </w:rPr>
        <w:t xml:space="preserve">an extension of </w:t>
      </w:r>
      <w:r w:rsidRPr="003E3375">
        <w:rPr>
          <w:rFonts w:asciiTheme="minorHAnsi" w:hAnsiTheme="minorHAnsi" w:cstheme="minorHAnsi"/>
          <w:color w:val="000000" w:themeColor="text1"/>
        </w:rPr>
        <w:t xml:space="preserve">only two business days, without the due consideration mandated by Article 12.1.1. This inadequate time to prepare evidence undermined </w:t>
      </w:r>
      <w:r w:rsidR="00693A05" w:rsidRPr="003E3375">
        <w:rPr>
          <w:rFonts w:asciiTheme="minorHAnsi" w:hAnsiTheme="minorHAnsi" w:cstheme="minorHAnsi"/>
          <w:color w:val="000000" w:themeColor="text1"/>
        </w:rPr>
        <w:t xml:space="preserve">interested parties' </w:t>
      </w:r>
      <w:r w:rsidRPr="003E3375">
        <w:rPr>
          <w:rFonts w:asciiTheme="minorHAnsi" w:hAnsiTheme="minorHAnsi" w:cstheme="minorHAnsi"/>
          <w:color w:val="000000" w:themeColor="text1"/>
        </w:rPr>
        <w:t xml:space="preserve">right to present evidence under </w:t>
      </w:r>
      <w:r w:rsidR="00693A05" w:rsidRPr="003E3375">
        <w:rPr>
          <w:rFonts w:asciiTheme="minorHAnsi" w:hAnsiTheme="minorHAnsi" w:cstheme="minorHAnsi"/>
          <w:color w:val="000000" w:themeColor="text1"/>
        </w:rPr>
        <w:t>A</w:t>
      </w:r>
      <w:r w:rsidRPr="003E3375">
        <w:rPr>
          <w:rFonts w:asciiTheme="minorHAnsi" w:hAnsiTheme="minorHAnsi" w:cstheme="minorHAnsi"/>
          <w:color w:val="000000" w:themeColor="text1"/>
        </w:rPr>
        <w:t xml:space="preserve">rticle 12.1 </w:t>
      </w:r>
      <w:r w:rsidR="00431D35" w:rsidRPr="003E3375">
        <w:rPr>
          <w:rFonts w:asciiTheme="minorHAnsi" w:hAnsiTheme="minorHAnsi" w:cstheme="minorHAnsi"/>
          <w:color w:val="000000" w:themeColor="text1"/>
        </w:rPr>
        <w:t xml:space="preserve">of the </w:t>
      </w:r>
      <w:r w:rsidRPr="003E3375">
        <w:rPr>
          <w:rFonts w:asciiTheme="minorHAnsi" w:hAnsiTheme="minorHAnsi" w:cstheme="minorHAnsi"/>
          <w:color w:val="000000" w:themeColor="text1"/>
        </w:rPr>
        <w:t>SCM</w:t>
      </w:r>
      <w:r w:rsidR="00025BA6" w:rsidRPr="003E3375">
        <w:rPr>
          <w:rFonts w:asciiTheme="minorHAnsi" w:hAnsiTheme="minorHAnsi" w:cstheme="minorHAnsi"/>
          <w:color w:val="000000" w:themeColor="text1"/>
        </w:rPr>
        <w:t> </w:t>
      </w:r>
      <w:r w:rsidR="00A43DC3" w:rsidRPr="003E3375">
        <w:rPr>
          <w:rFonts w:asciiTheme="minorHAnsi" w:hAnsiTheme="minorHAnsi" w:cstheme="minorHAnsi"/>
          <w:color w:val="000000" w:themeColor="text1"/>
        </w:rPr>
        <w:t>A</w:t>
      </w:r>
      <w:r w:rsidRPr="003E3375">
        <w:rPr>
          <w:rFonts w:asciiTheme="minorHAnsi" w:hAnsiTheme="minorHAnsi" w:cstheme="minorHAnsi"/>
          <w:color w:val="000000" w:themeColor="text1"/>
        </w:rPr>
        <w:t>greement.</w:t>
      </w:r>
      <w:r w:rsidRPr="003E3375">
        <w:rPr>
          <w:rStyle w:val="FootnoteReference"/>
          <w:rFonts w:asciiTheme="minorHAnsi" w:hAnsiTheme="minorHAnsi" w:cstheme="minorHAnsi"/>
          <w:color w:val="000000" w:themeColor="text1"/>
        </w:rPr>
        <w:footnoteReference w:id="168"/>
      </w:r>
    </w:p>
    <w:p w14:paraId="62A432A8" w14:textId="350C5C7E" w:rsidR="00AA3FFF" w:rsidRPr="003E3375" w:rsidRDefault="00693A05" w:rsidP="00B841EF">
      <w:pPr>
        <w:pStyle w:val="P1-N1Paragraph1-Number1"/>
        <w:spacing w:line="276" w:lineRule="auto"/>
        <w:rPr>
          <w:color w:val="000000" w:themeColor="text1"/>
        </w:rPr>
      </w:pPr>
      <w:r w:rsidRPr="003E3375">
        <w:rPr>
          <w:color w:val="000000" w:themeColor="text1"/>
        </w:rPr>
        <w:t xml:space="preserve">Further, </w:t>
      </w:r>
      <w:r w:rsidR="00AA3FFF" w:rsidRPr="003E3375">
        <w:rPr>
          <w:color w:val="000000" w:themeColor="text1"/>
        </w:rPr>
        <w:t xml:space="preserve">MOFCOM failed to give notice to interested parties of the information required and collected at </w:t>
      </w:r>
      <w:r w:rsidR="004524A2" w:rsidRPr="003E3375">
        <w:rPr>
          <w:color w:val="000000" w:themeColor="text1"/>
        </w:rPr>
        <w:t xml:space="preserve">"the prominent barley producing areas in Jiangsu" </w:t>
      </w:r>
      <w:r w:rsidR="008E62A3" w:rsidRPr="003E3375">
        <w:rPr>
          <w:color w:val="000000" w:themeColor="text1"/>
        </w:rPr>
        <w:t>in</w:t>
      </w:r>
      <w:r w:rsidR="004524A2" w:rsidRPr="003E3375">
        <w:rPr>
          <w:color w:val="000000" w:themeColor="text1"/>
        </w:rPr>
        <w:t> December 2018.</w:t>
      </w:r>
      <w:r w:rsidR="004524A2" w:rsidRPr="003E3375">
        <w:rPr>
          <w:rStyle w:val="FootnoteReference"/>
          <w:color w:val="000000" w:themeColor="text1"/>
        </w:rPr>
        <w:footnoteReference w:id="169"/>
      </w:r>
      <w:r w:rsidR="00AA3FFF" w:rsidRPr="003E3375">
        <w:rPr>
          <w:color w:val="000000" w:themeColor="text1"/>
        </w:rPr>
        <w:t xml:space="preserve"> </w:t>
      </w:r>
      <w:r w:rsidR="004524A2" w:rsidRPr="003E3375">
        <w:rPr>
          <w:color w:val="000000" w:themeColor="text1"/>
        </w:rPr>
        <w:t>A</w:t>
      </w:r>
      <w:r w:rsidR="00AA3FFF" w:rsidRPr="003E3375">
        <w:rPr>
          <w:color w:val="000000" w:themeColor="text1"/>
        </w:rPr>
        <w:t xml:space="preserve">n investigating authority must give notice to </w:t>
      </w:r>
      <w:r w:rsidR="00AA3FFF" w:rsidRPr="003E3375">
        <w:rPr>
          <w:i/>
          <w:iCs/>
          <w:color w:val="000000" w:themeColor="text1"/>
        </w:rPr>
        <w:t>all</w:t>
      </w:r>
      <w:r w:rsidR="00AA3FFF" w:rsidRPr="003E3375">
        <w:rPr>
          <w:color w:val="000000" w:themeColor="text1"/>
        </w:rPr>
        <w:t xml:space="preserve"> interested parties of the information </w:t>
      </w:r>
      <w:r w:rsidR="00DA693C" w:rsidRPr="003E3375">
        <w:rPr>
          <w:color w:val="000000" w:themeColor="text1"/>
        </w:rPr>
        <w:t xml:space="preserve">it </w:t>
      </w:r>
      <w:r w:rsidR="00AA3FFF" w:rsidRPr="003E3375">
        <w:rPr>
          <w:color w:val="000000" w:themeColor="text1"/>
        </w:rPr>
        <w:t>requir</w:t>
      </w:r>
      <w:r w:rsidR="00DA693C" w:rsidRPr="003E3375">
        <w:rPr>
          <w:color w:val="000000" w:themeColor="text1"/>
        </w:rPr>
        <w:t>es</w:t>
      </w:r>
      <w:r w:rsidR="00C976CD" w:rsidRPr="003E3375">
        <w:rPr>
          <w:color w:val="000000" w:themeColor="text1"/>
        </w:rPr>
        <w:t>,</w:t>
      </w:r>
      <w:r w:rsidR="00DA693C" w:rsidRPr="003E3375">
        <w:rPr>
          <w:color w:val="000000" w:themeColor="text1"/>
        </w:rPr>
        <w:t xml:space="preserve"> </w:t>
      </w:r>
      <w:r w:rsidR="00C976CD" w:rsidRPr="003E3375">
        <w:rPr>
          <w:color w:val="000000" w:themeColor="text1"/>
        </w:rPr>
        <w:t>as</w:t>
      </w:r>
      <w:r w:rsidR="0075161F" w:rsidRPr="003E3375">
        <w:rPr>
          <w:color w:val="000000" w:themeColor="text1"/>
        </w:rPr>
        <w:t xml:space="preserve"> the</w:t>
      </w:r>
      <w:r w:rsidR="009D1441" w:rsidRPr="003E3375">
        <w:rPr>
          <w:color w:val="000000" w:themeColor="text1"/>
        </w:rPr>
        <w:t xml:space="preserve"> </w:t>
      </w:r>
      <w:r w:rsidR="00AA3FFF" w:rsidRPr="003E3375">
        <w:rPr>
          <w:color w:val="000000" w:themeColor="text1"/>
        </w:rPr>
        <w:t>notice requirement</w:t>
      </w:r>
      <w:r w:rsidR="008A3DCB" w:rsidRPr="003E3375">
        <w:rPr>
          <w:color w:val="000000" w:themeColor="text1"/>
        </w:rPr>
        <w:t>s</w:t>
      </w:r>
      <w:r w:rsidR="00AA3FFF" w:rsidRPr="003E3375">
        <w:rPr>
          <w:color w:val="000000" w:themeColor="text1"/>
        </w:rPr>
        <w:t xml:space="preserve"> </w:t>
      </w:r>
      <w:r w:rsidR="00E932A3" w:rsidRPr="003E3375">
        <w:rPr>
          <w:color w:val="000000" w:themeColor="text1"/>
        </w:rPr>
        <w:t xml:space="preserve">in Articles 6.1 and 12.1 </w:t>
      </w:r>
      <w:r w:rsidR="00F56ECE" w:rsidRPr="003E3375">
        <w:rPr>
          <w:color w:val="000000" w:themeColor="text1"/>
        </w:rPr>
        <w:t xml:space="preserve">cover all interested parties, not merely </w:t>
      </w:r>
      <w:r w:rsidR="00AA3FFF" w:rsidRPr="003E3375">
        <w:rPr>
          <w:color w:val="000000" w:themeColor="text1"/>
        </w:rPr>
        <w:t xml:space="preserve">the recipient of </w:t>
      </w:r>
      <w:r w:rsidR="008A3DCB" w:rsidRPr="003E3375">
        <w:rPr>
          <w:color w:val="000000" w:themeColor="text1"/>
        </w:rPr>
        <w:t xml:space="preserve">requests for </w:t>
      </w:r>
      <w:r w:rsidR="00AA3FFF" w:rsidRPr="003E3375">
        <w:rPr>
          <w:color w:val="000000" w:themeColor="text1"/>
        </w:rPr>
        <w:t>information.</w:t>
      </w:r>
      <w:r w:rsidR="00AA3FFF" w:rsidRPr="003E3375">
        <w:rPr>
          <w:rStyle w:val="FootnoteReference"/>
          <w:color w:val="000000" w:themeColor="text1"/>
        </w:rPr>
        <w:footnoteReference w:id="170"/>
      </w:r>
      <w:r w:rsidR="00AA3FFF" w:rsidRPr="003E3375">
        <w:rPr>
          <w:color w:val="000000" w:themeColor="text1"/>
        </w:rPr>
        <w:t xml:space="preserve"> </w:t>
      </w:r>
      <w:r w:rsidR="008A3DCB" w:rsidRPr="003E3375">
        <w:rPr>
          <w:color w:val="000000" w:themeColor="text1"/>
        </w:rPr>
        <w:t xml:space="preserve">The scope of these requirements </w:t>
      </w:r>
      <w:r w:rsidR="00AA3FFF" w:rsidRPr="003E3375">
        <w:rPr>
          <w:color w:val="000000" w:themeColor="text1"/>
        </w:rPr>
        <w:t xml:space="preserve">also entails the right for parties to comment on how data that may be collected is assessed. </w:t>
      </w:r>
      <w:r w:rsidR="00203D91" w:rsidRPr="003E3375">
        <w:rPr>
          <w:color w:val="000000" w:themeColor="text1"/>
        </w:rPr>
        <w:t>I</w:t>
      </w:r>
      <w:r w:rsidR="00AA3FFF" w:rsidRPr="003E3375">
        <w:rPr>
          <w:color w:val="000000" w:themeColor="text1"/>
        </w:rPr>
        <w:t>nterested parties must</w:t>
      </w:r>
      <w:r w:rsidR="00F56ECE" w:rsidRPr="003E3375">
        <w:rPr>
          <w:color w:val="000000" w:themeColor="text1"/>
        </w:rPr>
        <w:t>,</w:t>
      </w:r>
      <w:r w:rsidR="00AA3FFF" w:rsidRPr="003E3375">
        <w:rPr>
          <w:color w:val="000000" w:themeColor="text1"/>
        </w:rPr>
        <w:t xml:space="preserve"> </w:t>
      </w:r>
      <w:r w:rsidR="00203D91" w:rsidRPr="003E3375">
        <w:rPr>
          <w:color w:val="000000" w:themeColor="text1"/>
        </w:rPr>
        <w:t>therefore</w:t>
      </w:r>
      <w:r w:rsidR="00F56ECE" w:rsidRPr="003E3375">
        <w:rPr>
          <w:color w:val="000000" w:themeColor="text1"/>
        </w:rPr>
        <w:t>, first</w:t>
      </w:r>
      <w:r w:rsidR="00203D91" w:rsidRPr="003E3375">
        <w:rPr>
          <w:color w:val="000000" w:themeColor="text1"/>
        </w:rPr>
        <w:t xml:space="preserve"> </w:t>
      </w:r>
      <w:r w:rsidR="00AA3FFF" w:rsidRPr="003E3375">
        <w:rPr>
          <w:color w:val="000000" w:themeColor="text1"/>
        </w:rPr>
        <w:t xml:space="preserve">be aware of what information is requested. As such, MOFCOM was under an obligation to give notice to Australian </w:t>
      </w:r>
      <w:r w:rsidR="00E0758F" w:rsidRPr="003E3375">
        <w:rPr>
          <w:color w:val="000000" w:themeColor="text1"/>
        </w:rPr>
        <w:t xml:space="preserve">interested parties </w:t>
      </w:r>
      <w:r w:rsidR="00AA3FFF" w:rsidRPr="003E3375">
        <w:rPr>
          <w:color w:val="000000" w:themeColor="text1"/>
        </w:rPr>
        <w:t xml:space="preserve">of the information requested from the participants </w:t>
      </w:r>
      <w:r w:rsidR="008A3DCB" w:rsidRPr="003E3375">
        <w:rPr>
          <w:color w:val="000000" w:themeColor="text1"/>
        </w:rPr>
        <w:t xml:space="preserve">in </w:t>
      </w:r>
      <w:r w:rsidR="00AA3FFF" w:rsidRPr="003E3375">
        <w:rPr>
          <w:color w:val="000000" w:themeColor="text1"/>
        </w:rPr>
        <w:t>the December visit</w:t>
      </w:r>
      <w:r w:rsidR="00203D91" w:rsidRPr="003E3375">
        <w:rPr>
          <w:color w:val="000000" w:themeColor="text1"/>
        </w:rPr>
        <w:t>,</w:t>
      </w:r>
      <w:r w:rsidR="00135D7C" w:rsidRPr="003E3375">
        <w:rPr>
          <w:color w:val="000000" w:themeColor="text1"/>
        </w:rPr>
        <w:t xml:space="preserve"> and</w:t>
      </w:r>
      <w:r w:rsidR="00203D91" w:rsidRPr="003E3375">
        <w:rPr>
          <w:color w:val="000000" w:themeColor="text1"/>
        </w:rPr>
        <w:t xml:space="preserve"> it</w:t>
      </w:r>
      <w:r w:rsidR="00135D7C" w:rsidRPr="003E3375">
        <w:rPr>
          <w:color w:val="000000" w:themeColor="text1"/>
        </w:rPr>
        <w:t xml:space="preserve"> </w:t>
      </w:r>
      <w:r w:rsidR="00AA3FFF" w:rsidRPr="003E3375">
        <w:rPr>
          <w:color w:val="000000" w:themeColor="text1"/>
        </w:rPr>
        <w:t>failed to do so.</w:t>
      </w:r>
    </w:p>
    <w:p w14:paraId="447A4D76" w14:textId="0342A711" w:rsidR="00EA06B1" w:rsidRPr="003E3375" w:rsidRDefault="00E01119" w:rsidP="00A30C8F">
      <w:pPr>
        <w:pStyle w:val="P1-N1Paragraph1-Number1"/>
        <w:spacing w:line="276" w:lineRule="auto"/>
        <w:rPr>
          <w:rFonts w:asciiTheme="minorHAnsi" w:hAnsiTheme="minorHAnsi" w:cstheme="minorHAnsi"/>
          <w:color w:val="000000" w:themeColor="text1"/>
        </w:rPr>
      </w:pPr>
      <w:r w:rsidRPr="003E3375">
        <w:rPr>
          <w:color w:val="000000" w:themeColor="text1"/>
        </w:rPr>
        <w:t>Australian interested parties were not provided with any opportunity to comment on how the data they provided was to be assessed until after the Final Disclosure</w:t>
      </w:r>
      <w:r w:rsidR="006770C3" w:rsidRPr="003E3375">
        <w:rPr>
          <w:color w:val="000000" w:themeColor="text1"/>
        </w:rPr>
        <w:t>s</w:t>
      </w:r>
      <w:r w:rsidRPr="003E3375">
        <w:rPr>
          <w:color w:val="000000" w:themeColor="text1"/>
        </w:rPr>
        <w:t>. In order to have "ample opportunity" to present evidence, an investigating authority must give notice in a timely manner. Waiting until the Final Disclosure</w:t>
      </w:r>
      <w:r w:rsidR="006770C3" w:rsidRPr="003E3375">
        <w:rPr>
          <w:color w:val="000000" w:themeColor="text1"/>
        </w:rPr>
        <w:t>s</w:t>
      </w:r>
      <w:r w:rsidRPr="003E3375">
        <w:rPr>
          <w:color w:val="000000" w:themeColor="text1"/>
        </w:rPr>
        <w:t xml:space="preserve"> clearly does not meet this requirement.</w:t>
      </w:r>
      <w:r w:rsidRPr="003E3375">
        <w:rPr>
          <w:rStyle w:val="FootnoteReference"/>
          <w:color w:val="000000" w:themeColor="text1"/>
        </w:rPr>
        <w:footnoteReference w:id="171"/>
      </w:r>
      <w:r w:rsidRPr="003E3375">
        <w:rPr>
          <w:color w:val="000000" w:themeColor="text1"/>
        </w:rPr>
        <w:t xml:space="preserve"> </w:t>
      </w:r>
    </w:p>
    <w:p w14:paraId="3067E06F" w14:textId="5A3D7313" w:rsidR="0047106C" w:rsidRPr="003E3375" w:rsidRDefault="0047106C" w:rsidP="00A30C8F">
      <w:pPr>
        <w:pStyle w:val="P1-N1Paragraph1-Number1"/>
        <w:spacing w:line="276" w:lineRule="auto"/>
        <w:rPr>
          <w:rFonts w:asciiTheme="minorHAnsi" w:hAnsiTheme="minorHAnsi" w:cstheme="minorHAnsi"/>
          <w:color w:val="000000" w:themeColor="text1"/>
        </w:rPr>
      </w:pPr>
      <w:r w:rsidRPr="003E3375">
        <w:rPr>
          <w:color w:val="000000" w:themeColor="text1"/>
        </w:rPr>
        <w:lastRenderedPageBreak/>
        <w:t>MOFCOM also failed to give notice of deficiencies in information submitted by Australian interested parties</w:t>
      </w:r>
      <w:r w:rsidR="006B0323" w:rsidRPr="003E3375">
        <w:rPr>
          <w:color w:val="000000" w:themeColor="text1"/>
        </w:rPr>
        <w:t xml:space="preserve">. </w:t>
      </w:r>
      <w:r w:rsidR="00DD6AEC" w:rsidRPr="003E3375">
        <w:rPr>
          <w:color w:val="000000" w:themeColor="text1"/>
        </w:rPr>
        <w:t xml:space="preserve">In order to provide "ample opportunity" to present evidence, an investigating authority must give notice in a timely manner. </w:t>
      </w:r>
      <w:r w:rsidR="006B0323" w:rsidRPr="003E3375">
        <w:rPr>
          <w:color w:val="000000" w:themeColor="text1"/>
        </w:rPr>
        <w:t xml:space="preserve">These parties were not </w:t>
      </w:r>
      <w:r w:rsidR="0018360C" w:rsidRPr="003E3375">
        <w:rPr>
          <w:color w:val="000000" w:themeColor="text1"/>
        </w:rPr>
        <w:t>provided with any opportunity to comment on how the data they provided was to be assessed until after the Final Disclosure</w:t>
      </w:r>
      <w:r w:rsidR="00025BA6" w:rsidRPr="003E3375">
        <w:rPr>
          <w:color w:val="000000" w:themeColor="text1"/>
        </w:rPr>
        <w:t>s</w:t>
      </w:r>
      <w:r w:rsidR="00DD6AEC" w:rsidRPr="003E3375">
        <w:rPr>
          <w:color w:val="000000" w:themeColor="text1"/>
        </w:rPr>
        <w:t>, and</w:t>
      </w:r>
      <w:r w:rsidR="0018360C" w:rsidRPr="003E3375">
        <w:rPr>
          <w:color w:val="000000" w:themeColor="text1"/>
        </w:rPr>
        <w:t xml:space="preserve"> </w:t>
      </w:r>
      <w:r w:rsidR="00DD6AEC" w:rsidRPr="003E3375">
        <w:rPr>
          <w:color w:val="000000" w:themeColor="text1"/>
        </w:rPr>
        <w:t>w</w:t>
      </w:r>
      <w:r w:rsidR="0018360C" w:rsidRPr="003E3375">
        <w:rPr>
          <w:color w:val="000000" w:themeColor="text1"/>
        </w:rPr>
        <w:t xml:space="preserve">aiting until the </w:t>
      </w:r>
      <w:r w:rsidR="00DD6AEC" w:rsidRPr="003E3375">
        <w:rPr>
          <w:color w:val="000000" w:themeColor="text1"/>
        </w:rPr>
        <w:t>this point</w:t>
      </w:r>
      <w:r w:rsidR="0018360C" w:rsidRPr="003E3375">
        <w:rPr>
          <w:color w:val="000000" w:themeColor="text1"/>
        </w:rPr>
        <w:t xml:space="preserve"> clearly did not meet this requirement. Moreover, MOFCOM failed to take into account </w:t>
      </w:r>
      <w:r w:rsidR="00633E62" w:rsidRPr="003E3375">
        <w:rPr>
          <w:color w:val="000000" w:themeColor="text1"/>
        </w:rPr>
        <w:t xml:space="preserve">interested parties' </w:t>
      </w:r>
      <w:r w:rsidR="0018360C" w:rsidRPr="003E3375">
        <w:rPr>
          <w:color w:val="000000" w:themeColor="text1"/>
        </w:rPr>
        <w:t>comments on the Final Disclosures. I</w:t>
      </w:r>
      <w:r w:rsidR="00633E62" w:rsidRPr="003E3375">
        <w:rPr>
          <w:color w:val="000000" w:themeColor="text1"/>
        </w:rPr>
        <w:t>nstead, i</w:t>
      </w:r>
      <w:r w:rsidR="0018360C" w:rsidRPr="003E3375">
        <w:rPr>
          <w:color w:val="000000" w:themeColor="text1"/>
        </w:rPr>
        <w:t xml:space="preserve">t published the Final Determinations on the same day that submissions in response </w:t>
      </w:r>
      <w:r w:rsidR="008A3DCB" w:rsidRPr="003E3375">
        <w:rPr>
          <w:color w:val="000000" w:themeColor="text1"/>
        </w:rPr>
        <w:t xml:space="preserve">to the Final Disclosures </w:t>
      </w:r>
      <w:r w:rsidR="0018360C" w:rsidRPr="003E3375">
        <w:rPr>
          <w:color w:val="000000" w:themeColor="text1"/>
        </w:rPr>
        <w:t>were due</w:t>
      </w:r>
      <w:r w:rsidR="00633E62" w:rsidRPr="003E3375">
        <w:rPr>
          <w:color w:val="000000" w:themeColor="text1"/>
        </w:rPr>
        <w:t xml:space="preserve"> providing</w:t>
      </w:r>
      <w:r w:rsidR="008A3DCB" w:rsidRPr="003E3375">
        <w:rPr>
          <w:color w:val="000000" w:themeColor="text1"/>
        </w:rPr>
        <w:t xml:space="preserve"> </w:t>
      </w:r>
      <w:r w:rsidR="0018360C" w:rsidRPr="003E3375">
        <w:rPr>
          <w:color w:val="000000" w:themeColor="text1"/>
        </w:rPr>
        <w:t>no scope for MOFCOM to give meaningful consideration to the submissions received.</w:t>
      </w:r>
    </w:p>
    <w:p w14:paraId="4F189A9C" w14:textId="15DDBC34" w:rsidR="009F434A" w:rsidRPr="003E3375" w:rsidRDefault="009F434A" w:rsidP="00A30C8F">
      <w:pPr>
        <w:pStyle w:val="P1-N1Paragraph1-Number1"/>
        <w:spacing w:line="276" w:lineRule="auto"/>
        <w:rPr>
          <w:rFonts w:asciiTheme="minorHAnsi" w:hAnsiTheme="minorHAnsi" w:cstheme="minorHAnsi"/>
          <w:color w:val="000000" w:themeColor="text1"/>
        </w:rPr>
      </w:pPr>
      <w:r w:rsidRPr="003E3375">
        <w:rPr>
          <w:color w:val="000000" w:themeColor="text1"/>
        </w:rPr>
        <w:t xml:space="preserve">For these reasons, </w:t>
      </w:r>
      <w:r w:rsidR="0025190F" w:rsidRPr="003E3375">
        <w:rPr>
          <w:color w:val="000000" w:themeColor="text1"/>
        </w:rPr>
        <w:t>China</w:t>
      </w:r>
      <w:r w:rsidRPr="003E3375">
        <w:rPr>
          <w:color w:val="000000" w:themeColor="text1"/>
        </w:rPr>
        <w:t xml:space="preserve"> acted inconsistently with Articles 6.1 and 6.2 of the Anti</w:t>
      </w:r>
      <w:r w:rsidR="00E95EA4" w:rsidRPr="003E3375">
        <w:rPr>
          <w:color w:val="000000" w:themeColor="text1"/>
        </w:rPr>
        <w:noBreakHyphen/>
      </w:r>
      <w:r w:rsidRPr="003E3375">
        <w:rPr>
          <w:color w:val="000000" w:themeColor="text1"/>
        </w:rPr>
        <w:t>Dumping Agreement and Article 12.1 of the SCM Agreement.</w:t>
      </w:r>
    </w:p>
    <w:p w14:paraId="673DEC1D" w14:textId="69DF2BA8" w:rsidR="009F434A" w:rsidRPr="003E3375" w:rsidRDefault="00640789" w:rsidP="00B841EF">
      <w:pPr>
        <w:pStyle w:val="HL2HeadingLevel2"/>
        <w:rPr>
          <w:rFonts w:asciiTheme="minorHAnsi" w:hAnsiTheme="minorHAnsi" w:cstheme="minorHAnsi"/>
          <w:color w:val="000000" w:themeColor="text1"/>
        </w:rPr>
      </w:pPr>
      <w:bookmarkStart w:id="31" w:name="_Toc114492239"/>
      <w:r w:rsidRPr="003E3375">
        <w:rPr>
          <w:color w:val="000000" w:themeColor="text1"/>
        </w:rPr>
        <w:t>MOFCOM failed to provide opportunities to see all information</w:t>
      </w:r>
      <w:bookmarkEnd w:id="31"/>
      <w:r w:rsidRPr="003E3375">
        <w:rPr>
          <w:color w:val="000000" w:themeColor="text1"/>
        </w:rPr>
        <w:t xml:space="preserve"> </w:t>
      </w:r>
    </w:p>
    <w:p w14:paraId="6FA03021" w14:textId="5EEB788E" w:rsidR="007461D1" w:rsidRPr="003E3375" w:rsidRDefault="0025190F" w:rsidP="00A30C8F">
      <w:pPr>
        <w:pStyle w:val="P1-N1Paragraph1-Number1"/>
        <w:spacing w:line="276" w:lineRule="auto"/>
        <w:rPr>
          <w:rFonts w:asciiTheme="minorHAnsi" w:hAnsiTheme="minorHAnsi" w:cstheme="minorHAnsi"/>
          <w:color w:val="000000" w:themeColor="text1"/>
        </w:rPr>
      </w:pPr>
      <w:r w:rsidRPr="003E3375">
        <w:rPr>
          <w:color w:val="000000" w:themeColor="text1"/>
        </w:rPr>
        <w:t>China acted inconsistently with Article 6.4 of the Anti-Dumping Agreement and Article 12.3 of the SCM Agreement</w:t>
      </w:r>
      <w:r w:rsidR="004046A0" w:rsidRPr="003E3375">
        <w:rPr>
          <w:color w:val="000000" w:themeColor="text1"/>
        </w:rPr>
        <w:t>.</w:t>
      </w:r>
      <w:r w:rsidR="00ED2FCB" w:rsidRPr="003E3375">
        <w:rPr>
          <w:rStyle w:val="FootnoteReference"/>
          <w:color w:val="000000" w:themeColor="text1"/>
        </w:rPr>
        <w:footnoteReference w:id="172"/>
      </w:r>
      <w:r w:rsidR="004046A0" w:rsidRPr="003E3375">
        <w:rPr>
          <w:color w:val="000000" w:themeColor="text1"/>
        </w:rPr>
        <w:t xml:space="preserve"> </w:t>
      </w:r>
      <w:r w:rsidR="00E151FA" w:rsidRPr="003E3375">
        <w:rPr>
          <w:color w:val="000000" w:themeColor="text1"/>
        </w:rPr>
        <w:t>MOFCOM failed to provide opportunities for interested parties to see whether and, if so, how</w:t>
      </w:r>
      <w:r w:rsidR="002837AD" w:rsidRPr="003E3375">
        <w:rPr>
          <w:color w:val="000000" w:themeColor="text1"/>
        </w:rPr>
        <w:t>:</w:t>
      </w:r>
      <w:r w:rsidR="00E151FA" w:rsidRPr="003E3375">
        <w:rPr>
          <w:color w:val="000000" w:themeColor="text1"/>
        </w:rPr>
        <w:t xml:space="preserve"> (i) the domestic industry was defined, (ii) the standing of CICC to make </w:t>
      </w:r>
      <w:r w:rsidR="002837AD" w:rsidRPr="003E3375">
        <w:rPr>
          <w:color w:val="000000" w:themeColor="text1"/>
        </w:rPr>
        <w:t>a</w:t>
      </w:r>
      <w:r w:rsidR="00E151FA" w:rsidRPr="003E3375">
        <w:rPr>
          <w:color w:val="000000" w:themeColor="text1"/>
        </w:rPr>
        <w:t>pplications on behalf of the domestic industry was established, and (iii)</w:t>
      </w:r>
      <w:r w:rsidR="00025BA6" w:rsidRPr="003E3375">
        <w:rPr>
          <w:color w:val="000000" w:themeColor="text1"/>
        </w:rPr>
        <w:t> </w:t>
      </w:r>
      <w:r w:rsidR="002837AD" w:rsidRPr="003E3375">
        <w:rPr>
          <w:color w:val="000000" w:themeColor="text1"/>
        </w:rPr>
        <w:t xml:space="preserve">MOFCOM utilised the </w:t>
      </w:r>
      <w:r w:rsidR="00E151FA" w:rsidRPr="003E3375">
        <w:rPr>
          <w:color w:val="000000" w:themeColor="text1"/>
        </w:rPr>
        <w:t>Global Trade Atlas data in the anti-dumping investigation. This information met the criteria of Articles 6.4 and 12.3, and China was therefore obliged to provide timely opportunities</w:t>
      </w:r>
      <w:r w:rsidR="009A151E" w:rsidRPr="003E3375">
        <w:rPr>
          <w:color w:val="000000" w:themeColor="text1"/>
        </w:rPr>
        <w:t xml:space="preserve"> for interested parties</w:t>
      </w:r>
      <w:r w:rsidR="00E151FA" w:rsidRPr="003E3375">
        <w:rPr>
          <w:color w:val="000000" w:themeColor="text1"/>
        </w:rPr>
        <w:t xml:space="preserve"> to see the information.</w:t>
      </w:r>
    </w:p>
    <w:p w14:paraId="319AC245" w14:textId="450BE4F9" w:rsidR="0025190F" w:rsidRPr="003E3375" w:rsidRDefault="00F278B1" w:rsidP="00B841EF">
      <w:pPr>
        <w:pStyle w:val="HL2HeadingLevel2"/>
        <w:rPr>
          <w:rFonts w:asciiTheme="minorHAnsi" w:hAnsiTheme="minorHAnsi" w:cstheme="minorHAnsi"/>
          <w:color w:val="000000" w:themeColor="text1"/>
        </w:rPr>
      </w:pPr>
      <w:bookmarkStart w:id="32" w:name="_Toc84071744"/>
      <w:bookmarkStart w:id="33" w:name="_Toc86661672"/>
      <w:bookmarkStart w:id="34" w:name="_Toc114492240"/>
      <w:r w:rsidRPr="003E3375">
        <w:rPr>
          <w:color w:val="000000" w:themeColor="text1"/>
        </w:rPr>
        <w:t>MOFCOM failed to require</w:t>
      </w:r>
      <w:r w:rsidR="009A151E" w:rsidRPr="003E3375">
        <w:rPr>
          <w:color w:val="000000" w:themeColor="text1"/>
        </w:rPr>
        <w:t xml:space="preserve"> that</w:t>
      </w:r>
      <w:r w:rsidRPr="003E3375">
        <w:rPr>
          <w:color w:val="000000" w:themeColor="text1"/>
        </w:rPr>
        <w:t xml:space="preserve"> interested parties furnish non</w:t>
      </w:r>
      <w:r w:rsidRPr="003E3375">
        <w:rPr>
          <w:color w:val="000000" w:themeColor="text1"/>
        </w:rPr>
        <w:noBreakHyphen/>
        <w:t>confidential summaries</w:t>
      </w:r>
      <w:bookmarkEnd w:id="32"/>
      <w:bookmarkEnd w:id="33"/>
      <w:bookmarkEnd w:id="34"/>
      <w:r w:rsidRPr="003E3375" w:rsidDel="00741FE3">
        <w:rPr>
          <w:color w:val="000000" w:themeColor="text1"/>
        </w:rPr>
        <w:t xml:space="preserve"> </w:t>
      </w:r>
    </w:p>
    <w:p w14:paraId="43BDD290" w14:textId="263667BA" w:rsidR="00D8738D" w:rsidRPr="003E3375" w:rsidRDefault="00D8738D"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Under Articles 6.5.1 of the Anti-Dumping Agreement and 12.4.1 of the SCM</w:t>
      </w:r>
      <w:r w:rsidR="00F1268B"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Agreement</w:t>
      </w:r>
      <w:r w:rsidR="009A151E" w:rsidRPr="003E3375">
        <w:rPr>
          <w:rFonts w:asciiTheme="minorHAnsi" w:hAnsiTheme="minorHAnsi" w:cstheme="minorHAnsi"/>
          <w:color w:val="000000" w:themeColor="text1"/>
        </w:rPr>
        <w:t>,</w:t>
      </w:r>
      <w:r w:rsidRPr="003E3375">
        <w:rPr>
          <w:rFonts w:asciiTheme="minorHAnsi" w:hAnsiTheme="minorHAnsi" w:cstheme="minorHAnsi"/>
          <w:color w:val="000000" w:themeColor="text1"/>
        </w:rPr>
        <w:t xml:space="preserve"> MOFCOM was obliged to </w:t>
      </w:r>
      <w:r w:rsidR="00BE438F" w:rsidRPr="003E3375">
        <w:rPr>
          <w:rFonts w:asciiTheme="minorHAnsi" w:hAnsiTheme="minorHAnsi" w:cstheme="minorHAnsi"/>
          <w:color w:val="000000" w:themeColor="text1"/>
        </w:rPr>
        <w:t xml:space="preserve">require CICC to </w:t>
      </w:r>
      <w:r w:rsidRPr="003E3375">
        <w:rPr>
          <w:rFonts w:asciiTheme="minorHAnsi" w:hAnsiTheme="minorHAnsi" w:cstheme="minorHAnsi"/>
          <w:color w:val="000000" w:themeColor="text1"/>
        </w:rPr>
        <w:t xml:space="preserve">provide a non-confidential summary of </w:t>
      </w:r>
      <w:r w:rsidR="00BE438F" w:rsidRPr="003E3375">
        <w:rPr>
          <w:rFonts w:asciiTheme="minorHAnsi" w:hAnsiTheme="minorHAnsi" w:cstheme="minorHAnsi"/>
          <w:color w:val="000000" w:themeColor="text1"/>
        </w:rPr>
        <w:t xml:space="preserve">allegedly confidential </w:t>
      </w:r>
      <w:r w:rsidRPr="003E3375">
        <w:rPr>
          <w:rFonts w:asciiTheme="minorHAnsi" w:hAnsiTheme="minorHAnsi" w:cstheme="minorHAnsi"/>
          <w:color w:val="000000" w:themeColor="text1"/>
        </w:rPr>
        <w:t>information.</w:t>
      </w:r>
      <w:r w:rsidRPr="003E3375">
        <w:rPr>
          <w:rStyle w:val="FootnoteReference"/>
          <w:rFonts w:asciiTheme="minorHAnsi" w:hAnsiTheme="minorHAnsi" w:cstheme="minorHAnsi"/>
          <w:color w:val="000000" w:themeColor="text1"/>
        </w:rPr>
        <w:footnoteReference w:id="173"/>
      </w:r>
      <w:r w:rsidRPr="003E3375">
        <w:rPr>
          <w:rFonts w:asciiTheme="minorHAnsi" w:hAnsiTheme="minorHAnsi" w:cstheme="minorHAnsi"/>
          <w:color w:val="000000" w:themeColor="text1"/>
        </w:rPr>
        <w:t xml:space="preserve"> As previously detailed in relation to </w:t>
      </w:r>
      <w:r w:rsidR="00E151FA" w:rsidRPr="003E3375">
        <w:rPr>
          <w:rFonts w:asciiTheme="minorHAnsi" w:hAnsiTheme="minorHAnsi" w:cstheme="minorHAnsi"/>
          <w:color w:val="000000" w:themeColor="text1"/>
        </w:rPr>
        <w:t xml:space="preserve">MOFCOM's failure to properly define the </w:t>
      </w:r>
      <w:r w:rsidRPr="003E3375">
        <w:rPr>
          <w:rFonts w:asciiTheme="minorHAnsi" w:hAnsiTheme="minorHAnsi" w:cstheme="minorHAnsi"/>
          <w:color w:val="000000" w:themeColor="text1"/>
        </w:rPr>
        <w:t xml:space="preserve">domestic industry, CICC's </w:t>
      </w:r>
      <w:r w:rsidR="009A151E" w:rsidRPr="003E3375">
        <w:rPr>
          <w:rFonts w:asciiTheme="minorHAnsi" w:hAnsiTheme="minorHAnsi" w:cstheme="minorHAnsi"/>
          <w:color w:val="000000" w:themeColor="text1"/>
        </w:rPr>
        <w:t>a</w:t>
      </w:r>
      <w:r w:rsidRPr="003E3375">
        <w:rPr>
          <w:rFonts w:asciiTheme="minorHAnsi" w:hAnsiTheme="minorHAnsi" w:cstheme="minorHAnsi"/>
          <w:color w:val="000000" w:themeColor="text1"/>
        </w:rPr>
        <w:t>pplications did not do this</w:t>
      </w:r>
      <w:r w:rsidR="00C15F84" w:rsidRPr="003E3375">
        <w:rPr>
          <w:rFonts w:asciiTheme="minorHAnsi" w:hAnsiTheme="minorHAnsi" w:cstheme="minorHAnsi"/>
          <w:color w:val="000000" w:themeColor="text1"/>
        </w:rPr>
        <w:t>. Not only</w:t>
      </w:r>
      <w:r w:rsidRPr="003E3375">
        <w:rPr>
          <w:rFonts w:asciiTheme="minorHAnsi" w:hAnsiTheme="minorHAnsi" w:cstheme="minorHAnsi"/>
          <w:color w:val="000000" w:themeColor="text1"/>
        </w:rPr>
        <w:t xml:space="preserve"> </w:t>
      </w:r>
      <w:r w:rsidR="00C15F84" w:rsidRPr="003E3375">
        <w:rPr>
          <w:rFonts w:asciiTheme="minorHAnsi" w:hAnsiTheme="minorHAnsi" w:cstheme="minorHAnsi"/>
          <w:color w:val="000000" w:themeColor="text1"/>
        </w:rPr>
        <w:t>was the information not, in fact, confidential,</w:t>
      </w:r>
      <w:r w:rsidR="00E151FA" w:rsidRPr="003E3375">
        <w:rPr>
          <w:rFonts w:asciiTheme="minorHAnsi" w:hAnsiTheme="minorHAnsi" w:cstheme="minorHAnsi"/>
          <w:color w:val="000000" w:themeColor="text1"/>
        </w:rPr>
        <w:t xml:space="preserve"> but</w:t>
      </w:r>
      <w:r w:rsidR="00C15F84" w:rsidRPr="003E3375">
        <w:rPr>
          <w:rFonts w:asciiTheme="minorHAnsi" w:hAnsiTheme="minorHAnsi" w:cstheme="minorHAnsi"/>
          <w:color w:val="000000" w:themeColor="text1"/>
        </w:rPr>
        <w:t xml:space="preserve"> CICC </w:t>
      </w:r>
      <w:r w:rsidRPr="003E3375">
        <w:rPr>
          <w:rFonts w:asciiTheme="minorHAnsi" w:hAnsiTheme="minorHAnsi" w:cstheme="minorHAnsi"/>
          <w:color w:val="000000" w:themeColor="text1"/>
        </w:rPr>
        <w:t>did not indicate what the confidential information covered in a manner permitting interested parties to understand the substance of the information</w:t>
      </w:r>
      <w:r w:rsidR="005C084F" w:rsidRPr="003E3375">
        <w:rPr>
          <w:rFonts w:asciiTheme="minorHAnsi" w:hAnsiTheme="minorHAnsi" w:cstheme="minorHAnsi"/>
          <w:color w:val="000000" w:themeColor="text1"/>
        </w:rPr>
        <w:t>.</w:t>
      </w:r>
      <w:r w:rsidR="004E3D26" w:rsidRPr="003E3375">
        <w:rPr>
          <w:rStyle w:val="FootnoteReference"/>
          <w:rFonts w:cstheme="minorHAnsi"/>
          <w:color w:val="000000" w:themeColor="text1"/>
        </w:rPr>
        <w:footnoteReference w:id="174"/>
      </w:r>
      <w:r w:rsidR="005C084F" w:rsidRPr="003E3375">
        <w:rPr>
          <w:rFonts w:asciiTheme="minorHAnsi" w:hAnsiTheme="minorHAnsi" w:cstheme="minorHAnsi"/>
          <w:color w:val="000000" w:themeColor="text1"/>
        </w:rPr>
        <w:t xml:space="preserve"> </w:t>
      </w:r>
      <w:r w:rsidR="00CB5BE7" w:rsidRPr="003E3375">
        <w:rPr>
          <w:rFonts w:asciiTheme="minorHAnsi" w:hAnsiTheme="minorHAnsi" w:cstheme="minorHAnsi"/>
          <w:color w:val="000000" w:themeColor="text1"/>
        </w:rPr>
        <w:t xml:space="preserve">The summaries were </w:t>
      </w:r>
      <w:r w:rsidR="007039F7" w:rsidRPr="003E3375">
        <w:rPr>
          <w:rFonts w:asciiTheme="minorHAnsi" w:hAnsiTheme="minorHAnsi" w:cstheme="minorHAnsi"/>
          <w:color w:val="000000" w:themeColor="text1"/>
        </w:rPr>
        <w:t>in</w:t>
      </w:r>
      <w:r w:rsidR="00CB5BE7" w:rsidRPr="003E3375">
        <w:rPr>
          <w:rFonts w:asciiTheme="minorHAnsi" w:hAnsiTheme="minorHAnsi" w:cstheme="minorHAnsi"/>
          <w:color w:val="000000" w:themeColor="text1"/>
        </w:rPr>
        <w:t xml:space="preserve">sufficient because they implied that underlying data </w:t>
      </w:r>
      <w:r w:rsidR="00341D0D" w:rsidRPr="003E3375">
        <w:rPr>
          <w:rFonts w:asciiTheme="minorHAnsi" w:hAnsiTheme="minorHAnsi" w:cstheme="minorHAnsi"/>
          <w:color w:val="000000" w:themeColor="text1"/>
        </w:rPr>
        <w:t xml:space="preserve">existed to </w:t>
      </w:r>
      <w:r w:rsidR="00CB5BE7" w:rsidRPr="003E3375">
        <w:rPr>
          <w:rFonts w:asciiTheme="minorHAnsi" w:hAnsiTheme="minorHAnsi" w:cstheme="minorHAnsi"/>
          <w:color w:val="000000" w:themeColor="text1"/>
        </w:rPr>
        <w:t>support the summari</w:t>
      </w:r>
      <w:r w:rsidR="00C332CF" w:rsidRPr="003E3375">
        <w:rPr>
          <w:rFonts w:asciiTheme="minorHAnsi" w:hAnsiTheme="minorHAnsi" w:cstheme="minorHAnsi"/>
          <w:color w:val="000000" w:themeColor="text1"/>
        </w:rPr>
        <w:t>s</w:t>
      </w:r>
      <w:r w:rsidR="00CB5BE7" w:rsidRPr="003E3375">
        <w:rPr>
          <w:rFonts w:asciiTheme="minorHAnsi" w:hAnsiTheme="minorHAnsi" w:cstheme="minorHAnsi"/>
          <w:color w:val="000000" w:themeColor="text1"/>
        </w:rPr>
        <w:t>ed information when</w:t>
      </w:r>
      <w:r w:rsidR="007039F7" w:rsidRPr="003E3375">
        <w:rPr>
          <w:rFonts w:asciiTheme="minorHAnsi" w:hAnsiTheme="minorHAnsi" w:cstheme="minorHAnsi"/>
          <w:color w:val="000000" w:themeColor="text1"/>
        </w:rPr>
        <w:t>,</w:t>
      </w:r>
      <w:r w:rsidR="00CB5BE7" w:rsidRPr="003E3375">
        <w:rPr>
          <w:rFonts w:asciiTheme="minorHAnsi" w:hAnsiTheme="minorHAnsi" w:cstheme="minorHAnsi"/>
          <w:color w:val="000000" w:themeColor="text1"/>
        </w:rPr>
        <w:t xml:space="preserve"> in fact, the summaries were a full reproduction of the allegedly confidential information. </w:t>
      </w:r>
      <w:r w:rsidR="00A02C2C" w:rsidRPr="003E3375">
        <w:rPr>
          <w:rFonts w:asciiTheme="minorHAnsi" w:hAnsiTheme="minorHAnsi" w:cstheme="minorHAnsi"/>
          <w:color w:val="000000" w:themeColor="text1"/>
        </w:rPr>
        <w:t>Finally, in relation to the name of the third</w:t>
      </w:r>
      <w:r w:rsidR="008629EB" w:rsidRPr="003E3375">
        <w:rPr>
          <w:rFonts w:asciiTheme="minorHAnsi" w:hAnsiTheme="minorHAnsi" w:cstheme="minorHAnsi"/>
          <w:color w:val="000000" w:themeColor="text1"/>
        </w:rPr>
        <w:t>-</w:t>
      </w:r>
      <w:r w:rsidR="00A02C2C" w:rsidRPr="003E3375">
        <w:rPr>
          <w:rFonts w:asciiTheme="minorHAnsi" w:hAnsiTheme="minorHAnsi" w:cstheme="minorHAnsi"/>
          <w:color w:val="000000" w:themeColor="text1"/>
        </w:rPr>
        <w:t xml:space="preserve">party organisation providing </w:t>
      </w:r>
      <w:r w:rsidR="008629EB" w:rsidRPr="003E3375">
        <w:rPr>
          <w:rFonts w:asciiTheme="minorHAnsi" w:hAnsiTheme="minorHAnsi" w:cstheme="minorHAnsi"/>
          <w:color w:val="000000" w:themeColor="text1"/>
        </w:rPr>
        <w:t xml:space="preserve">the </w:t>
      </w:r>
      <w:r w:rsidR="00A02C2C" w:rsidRPr="003E3375">
        <w:rPr>
          <w:rFonts w:asciiTheme="minorHAnsi" w:hAnsiTheme="minorHAnsi" w:cstheme="minorHAnsi"/>
          <w:color w:val="000000" w:themeColor="text1"/>
        </w:rPr>
        <w:t xml:space="preserve">information, </w:t>
      </w:r>
      <w:r w:rsidR="00374A61" w:rsidRPr="003E3375">
        <w:rPr>
          <w:rFonts w:asciiTheme="minorHAnsi" w:hAnsiTheme="minorHAnsi" w:cstheme="minorHAnsi"/>
          <w:color w:val="000000" w:themeColor="text1"/>
        </w:rPr>
        <w:t xml:space="preserve">not only was there no </w:t>
      </w:r>
      <w:r w:rsidR="00374A61" w:rsidRPr="003E3375">
        <w:rPr>
          <w:rFonts w:asciiTheme="minorHAnsi" w:hAnsiTheme="minorHAnsi" w:cstheme="minorHAnsi"/>
          <w:color w:val="000000" w:themeColor="text1"/>
        </w:rPr>
        <w:lastRenderedPageBreak/>
        <w:t>justification for confidential treatment, MOFCOM</w:t>
      </w:r>
      <w:r w:rsidR="00A24A30" w:rsidRPr="003E3375">
        <w:rPr>
          <w:rFonts w:asciiTheme="minorHAnsi" w:hAnsiTheme="minorHAnsi" w:cstheme="minorHAnsi"/>
          <w:color w:val="000000" w:themeColor="text1"/>
        </w:rPr>
        <w:t xml:space="preserve"> also</w:t>
      </w:r>
      <w:r w:rsidR="00374A61" w:rsidRPr="003E3375">
        <w:rPr>
          <w:rFonts w:asciiTheme="minorHAnsi" w:hAnsiTheme="minorHAnsi" w:cstheme="minorHAnsi"/>
          <w:color w:val="000000" w:themeColor="text1"/>
        </w:rPr>
        <w:t xml:space="preserve"> failed to require CICC to provide an adequate non</w:t>
      </w:r>
      <w:r w:rsidR="00341D0D" w:rsidRPr="003E3375">
        <w:rPr>
          <w:rFonts w:asciiTheme="minorHAnsi" w:hAnsiTheme="minorHAnsi" w:cstheme="minorHAnsi"/>
          <w:color w:val="000000" w:themeColor="text1"/>
        </w:rPr>
        <w:t>-</w:t>
      </w:r>
      <w:r w:rsidR="00374A61" w:rsidRPr="003E3375">
        <w:rPr>
          <w:rFonts w:asciiTheme="minorHAnsi" w:hAnsiTheme="minorHAnsi" w:cstheme="minorHAnsi"/>
          <w:color w:val="000000" w:themeColor="text1"/>
        </w:rPr>
        <w:t xml:space="preserve">confidential summary of the nature of the organisation. </w:t>
      </w:r>
    </w:p>
    <w:p w14:paraId="7DF9BFAA" w14:textId="5AE7AD1E" w:rsidR="00CA70FC" w:rsidRPr="003E3375" w:rsidRDefault="00CA70FC" w:rsidP="00CA70FC">
      <w:pPr>
        <w:pStyle w:val="HL2HeadingLevel2"/>
        <w:rPr>
          <w:color w:val="000000" w:themeColor="text1"/>
        </w:rPr>
      </w:pPr>
      <w:bookmarkStart w:id="35" w:name="_Toc114492241"/>
      <w:r w:rsidRPr="003E3375">
        <w:rPr>
          <w:color w:val="000000" w:themeColor="text1"/>
        </w:rPr>
        <w:t>MOFCOM failed to satisfy itself as to the accuracy of the information</w:t>
      </w:r>
      <w:bookmarkEnd w:id="35"/>
    </w:p>
    <w:p w14:paraId="4031B390" w14:textId="5860B5D0" w:rsidR="00F84A1E" w:rsidRPr="003E3375" w:rsidRDefault="00F84A1E" w:rsidP="00F84A1E">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 remained passive and failed to verify extensive data and submissions, in contravention of Articles 6.6 and 12.5.</w:t>
      </w:r>
      <w:r w:rsidRPr="003E3375">
        <w:rPr>
          <w:rStyle w:val="FootnoteReference"/>
          <w:rFonts w:asciiTheme="minorHAnsi" w:hAnsiTheme="minorHAnsi" w:cstheme="minorHAnsi"/>
          <w:color w:val="000000" w:themeColor="text1"/>
        </w:rPr>
        <w:footnoteReference w:id="175"/>
      </w:r>
      <w:r w:rsidRPr="003E3375">
        <w:rPr>
          <w:rFonts w:asciiTheme="minorHAnsi" w:hAnsiTheme="minorHAnsi" w:cstheme="minorHAnsi"/>
          <w:color w:val="000000" w:themeColor="text1"/>
        </w:rPr>
        <w:t xml:space="preserve"> The sole verification-style activity </w:t>
      </w:r>
      <w:r w:rsidR="00000D09" w:rsidRPr="003E3375">
        <w:rPr>
          <w:rFonts w:asciiTheme="minorHAnsi" w:hAnsiTheme="minorHAnsi" w:cstheme="minorHAnsi"/>
          <w:color w:val="000000" w:themeColor="text1"/>
        </w:rPr>
        <w:t xml:space="preserve">that MOFCOM conducted </w:t>
      </w:r>
      <w:r w:rsidRPr="003E3375">
        <w:rPr>
          <w:rFonts w:asciiTheme="minorHAnsi" w:hAnsiTheme="minorHAnsi" w:cstheme="minorHAnsi"/>
          <w:color w:val="000000" w:themeColor="text1"/>
        </w:rPr>
        <w:t xml:space="preserve">– a reference to a visit in connection with </w:t>
      </w:r>
      <w:r w:rsidR="00000D09" w:rsidRPr="003E3375">
        <w:rPr>
          <w:rFonts w:asciiTheme="minorHAnsi" w:hAnsiTheme="minorHAnsi" w:cstheme="minorHAnsi"/>
          <w:color w:val="000000" w:themeColor="text1"/>
        </w:rPr>
        <w:t xml:space="preserve">the </w:t>
      </w:r>
      <w:r w:rsidRPr="003E3375">
        <w:rPr>
          <w:rFonts w:asciiTheme="minorHAnsi" w:hAnsiTheme="minorHAnsi" w:cstheme="minorHAnsi"/>
          <w:color w:val="000000" w:themeColor="text1"/>
        </w:rPr>
        <w:t xml:space="preserve">domestic industry </w:t>
      </w:r>
      <w:r w:rsidR="00000D09" w:rsidRPr="003E3375">
        <w:rPr>
          <w:rFonts w:asciiTheme="minorHAnsi" w:hAnsiTheme="minorHAnsi" w:cstheme="minorHAnsi"/>
          <w:color w:val="000000" w:themeColor="text1"/>
        </w:rPr>
        <w:t xml:space="preserve">in </w:t>
      </w:r>
      <w:r w:rsidRPr="003E3375">
        <w:rPr>
          <w:rFonts w:asciiTheme="minorHAnsi" w:hAnsiTheme="minorHAnsi" w:cstheme="minorHAnsi"/>
          <w:color w:val="000000" w:themeColor="text1"/>
        </w:rPr>
        <w:t xml:space="preserve">December 2018 – occurred prior to </w:t>
      </w:r>
      <w:r w:rsidR="00F83E95" w:rsidRPr="003E3375">
        <w:rPr>
          <w:rFonts w:asciiTheme="minorHAnsi" w:hAnsiTheme="minorHAnsi" w:cstheme="minorHAnsi"/>
          <w:color w:val="000000" w:themeColor="text1"/>
        </w:rPr>
        <w:t xml:space="preserve">MOFCOM's receipt of </w:t>
      </w:r>
      <w:r w:rsidRPr="003E3375">
        <w:rPr>
          <w:rFonts w:asciiTheme="minorHAnsi" w:hAnsiTheme="minorHAnsi" w:cstheme="minorHAnsi"/>
          <w:color w:val="000000" w:themeColor="text1"/>
        </w:rPr>
        <w:t xml:space="preserve">CICC's questionnaire responses in either investigation. In fact, the </w:t>
      </w:r>
      <w:r w:rsidR="005A4A42" w:rsidRPr="003E3375">
        <w:rPr>
          <w:rFonts w:asciiTheme="minorHAnsi" w:hAnsiTheme="minorHAnsi" w:cstheme="minorHAnsi"/>
          <w:color w:val="000000" w:themeColor="text1"/>
        </w:rPr>
        <w:t xml:space="preserve">countervailing duties </w:t>
      </w:r>
      <w:r w:rsidRPr="003E3375">
        <w:rPr>
          <w:rFonts w:asciiTheme="minorHAnsi" w:hAnsiTheme="minorHAnsi" w:cstheme="minorHAnsi"/>
          <w:color w:val="000000" w:themeColor="text1"/>
        </w:rPr>
        <w:t>investigation had not even been initiated. MOFCOM cites no other consultation, inquiry,</w:t>
      </w:r>
      <w:r w:rsidR="00FB4068" w:rsidRPr="003E3375">
        <w:rPr>
          <w:rFonts w:asciiTheme="minorHAnsi" w:hAnsiTheme="minorHAnsi" w:cstheme="minorHAnsi"/>
          <w:color w:val="000000" w:themeColor="text1"/>
        </w:rPr>
        <w:t xml:space="preserve"> or</w:t>
      </w:r>
      <w:r w:rsidRPr="003E3375">
        <w:rPr>
          <w:rFonts w:asciiTheme="minorHAnsi" w:hAnsiTheme="minorHAnsi" w:cstheme="minorHAnsi"/>
          <w:color w:val="000000" w:themeColor="text1"/>
        </w:rPr>
        <w:t xml:space="preserve"> verification or other activity undertaken to verify information provided. If MOFCOM believed that certain information was required in order to verify</w:t>
      </w:r>
      <w:r w:rsidR="00F83E95" w:rsidRPr="003E3375">
        <w:rPr>
          <w:rFonts w:asciiTheme="minorHAnsi" w:hAnsiTheme="minorHAnsi" w:cstheme="minorHAnsi"/>
          <w:color w:val="000000" w:themeColor="text1"/>
        </w:rPr>
        <w:t xml:space="preserve"> the accuracy of the information provided by interested parties</w:t>
      </w:r>
      <w:r w:rsidRPr="003E3375">
        <w:rPr>
          <w:rFonts w:asciiTheme="minorHAnsi" w:hAnsiTheme="minorHAnsi" w:cstheme="minorHAnsi"/>
          <w:color w:val="000000" w:themeColor="text1"/>
        </w:rPr>
        <w:t>, then it was obligated to inform the relevant parties what was required</w:t>
      </w:r>
      <w:r w:rsidR="00477DAE" w:rsidRPr="003E3375">
        <w:rPr>
          <w:rFonts w:asciiTheme="minorHAnsi" w:hAnsiTheme="minorHAnsi" w:cstheme="minorHAnsi"/>
          <w:color w:val="000000" w:themeColor="text1"/>
        </w:rPr>
        <w:t xml:space="preserve"> in this regard</w:t>
      </w:r>
      <w:r w:rsidRPr="003E3375">
        <w:rPr>
          <w:rFonts w:asciiTheme="minorHAnsi" w:hAnsiTheme="minorHAnsi" w:cstheme="minorHAnsi"/>
          <w:color w:val="000000" w:themeColor="text1"/>
        </w:rPr>
        <w:t>.</w:t>
      </w:r>
      <w:r w:rsidR="00477DAE" w:rsidRPr="003E3375">
        <w:rPr>
          <w:rFonts w:asciiTheme="minorHAnsi" w:hAnsiTheme="minorHAnsi" w:cstheme="minorHAnsi"/>
          <w:color w:val="000000" w:themeColor="text1"/>
        </w:rPr>
        <w:t xml:space="preserve"> It failed to do so.</w:t>
      </w:r>
      <w:r w:rsidRPr="003E3375">
        <w:rPr>
          <w:rStyle w:val="FootnoteReference"/>
          <w:rFonts w:asciiTheme="minorHAnsi" w:hAnsiTheme="minorHAnsi" w:cstheme="minorHAnsi"/>
          <w:color w:val="000000" w:themeColor="text1"/>
        </w:rPr>
        <w:footnoteReference w:id="176"/>
      </w:r>
    </w:p>
    <w:p w14:paraId="04E93929" w14:textId="2FED04BD" w:rsidR="00CA70FC" w:rsidRPr="003E3375" w:rsidRDefault="001834E9" w:rsidP="00B841EF">
      <w:pPr>
        <w:pStyle w:val="HL2HeadingLevel2"/>
        <w:rPr>
          <w:color w:val="000000" w:themeColor="text1"/>
        </w:rPr>
      </w:pPr>
      <w:bookmarkStart w:id="36" w:name="_Toc114492242"/>
      <w:r w:rsidRPr="003E3375">
        <w:rPr>
          <w:color w:val="000000" w:themeColor="text1"/>
        </w:rPr>
        <w:t>MOFCOM failed to disclose essential facts</w:t>
      </w:r>
      <w:bookmarkEnd w:id="36"/>
    </w:p>
    <w:p w14:paraId="493E9CBE" w14:textId="33914EED" w:rsidR="003424E5" w:rsidRPr="003E3375" w:rsidRDefault="003424E5" w:rsidP="003424E5">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 was required to disclose essential facts</w:t>
      </w:r>
      <w:r w:rsidR="000C7EF4" w:rsidRPr="003E3375">
        <w:rPr>
          <w:rFonts w:asciiTheme="minorHAnsi" w:hAnsiTheme="minorHAnsi" w:cstheme="minorHAnsi"/>
          <w:color w:val="000000" w:themeColor="text1"/>
        </w:rPr>
        <w:t xml:space="preserve"> under Articles 6.9 of the Anti</w:t>
      </w:r>
      <w:r w:rsidR="00025BA6" w:rsidRPr="003E3375">
        <w:rPr>
          <w:rFonts w:asciiTheme="minorHAnsi" w:hAnsiTheme="minorHAnsi" w:cstheme="minorHAnsi"/>
          <w:color w:val="000000" w:themeColor="text1"/>
        </w:rPr>
        <w:noBreakHyphen/>
      </w:r>
      <w:r w:rsidR="000C7EF4" w:rsidRPr="003E3375">
        <w:rPr>
          <w:rFonts w:asciiTheme="minorHAnsi" w:hAnsiTheme="minorHAnsi" w:cstheme="minorHAnsi"/>
          <w:color w:val="000000" w:themeColor="text1"/>
        </w:rPr>
        <w:t>Dumping Agreement and 12.8 of the SCM Agreement</w:t>
      </w:r>
      <w:r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177"/>
      </w:r>
      <w:r w:rsidRPr="003E3375">
        <w:rPr>
          <w:rFonts w:asciiTheme="minorHAnsi" w:hAnsiTheme="minorHAnsi" w:cstheme="minorHAnsi"/>
          <w:color w:val="000000" w:themeColor="text1"/>
        </w:rPr>
        <w:t xml:space="preserve"> However, MOFCOM's sole "disclosure" of both the facts essential to the investigation and the decision to reject all information from interested parties was the Final Disclosures.</w:t>
      </w:r>
      <w:r w:rsidRPr="003E3375">
        <w:rPr>
          <w:rStyle w:val="FootnoteReference"/>
          <w:rFonts w:asciiTheme="minorHAnsi" w:hAnsiTheme="minorHAnsi" w:cstheme="minorHAnsi"/>
          <w:color w:val="000000" w:themeColor="text1"/>
        </w:rPr>
        <w:footnoteReference w:id="178"/>
      </w:r>
      <w:r w:rsidRPr="003E3375">
        <w:rPr>
          <w:rFonts w:asciiTheme="minorHAnsi" w:hAnsiTheme="minorHAnsi" w:cstheme="minorHAnsi"/>
          <w:color w:val="000000" w:themeColor="text1"/>
        </w:rPr>
        <w:t xml:space="preserve"> Several essential facts were never disclosed at all, including </w:t>
      </w:r>
      <w:r w:rsidR="00FF37A9" w:rsidRPr="003E3375">
        <w:rPr>
          <w:rFonts w:asciiTheme="minorHAnsi" w:hAnsiTheme="minorHAnsi" w:cstheme="minorHAnsi"/>
          <w:color w:val="000000" w:themeColor="text1"/>
        </w:rPr>
        <w:t xml:space="preserve">the basis of </w:t>
      </w:r>
      <w:r w:rsidRPr="003E3375">
        <w:rPr>
          <w:rFonts w:asciiTheme="minorHAnsi" w:hAnsiTheme="minorHAnsi" w:cstheme="minorHAnsi"/>
          <w:color w:val="000000" w:themeColor="text1"/>
        </w:rPr>
        <w:t xml:space="preserve">CICC's standing </w:t>
      </w:r>
      <w:r w:rsidR="00FF37A9" w:rsidRPr="003E3375">
        <w:rPr>
          <w:rFonts w:asciiTheme="minorHAnsi" w:hAnsiTheme="minorHAnsi" w:cstheme="minorHAnsi"/>
          <w:color w:val="000000" w:themeColor="text1"/>
        </w:rPr>
        <w:t>as an Applicant</w:t>
      </w:r>
      <w:r w:rsidRPr="003E3375">
        <w:rPr>
          <w:rFonts w:asciiTheme="minorHAnsi" w:hAnsiTheme="minorHAnsi" w:cstheme="minorHAnsi"/>
          <w:color w:val="000000" w:themeColor="text1"/>
        </w:rPr>
        <w:t xml:space="preserve">, the definition of domestic injury MOFCOM utilised, the Global Trade Atlas Data that was vital to determining </w:t>
      </w:r>
      <w:r w:rsidR="00B42F78" w:rsidRPr="003E3375">
        <w:rPr>
          <w:rFonts w:asciiTheme="minorHAnsi" w:hAnsiTheme="minorHAnsi" w:cstheme="minorHAnsi"/>
          <w:color w:val="000000" w:themeColor="text1"/>
        </w:rPr>
        <w:t>the dumping margin, and the factual bases for MOFCOM’s findings that the investigated programs involved a "financial contribution" in the form of a direct transfer of funds or that the subject imports were causing material injury to the domestic</w:t>
      </w:r>
      <w:r w:rsidR="00F7271F" w:rsidRPr="003E3375">
        <w:rPr>
          <w:rFonts w:asciiTheme="minorHAnsi" w:hAnsiTheme="minorHAnsi" w:cstheme="minorHAnsi"/>
          <w:color w:val="000000" w:themeColor="text1"/>
        </w:rPr>
        <w:t xml:space="preserve"> industry</w:t>
      </w:r>
      <w:r w:rsidR="00B42F78" w:rsidRPr="003E3375">
        <w:rPr>
          <w:rFonts w:asciiTheme="minorHAnsi" w:hAnsiTheme="minorHAnsi" w:cstheme="minorHAnsi"/>
          <w:color w:val="000000" w:themeColor="text1"/>
        </w:rPr>
        <w:t>.</w:t>
      </w:r>
    </w:p>
    <w:p w14:paraId="02100563" w14:textId="5D143A3A" w:rsidR="003424E5" w:rsidRPr="003E3375" w:rsidRDefault="00AB37D4" w:rsidP="003424E5">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Even with respect to the information that </w:t>
      </w:r>
      <w:r w:rsidR="003424E5" w:rsidRPr="003E3375">
        <w:rPr>
          <w:rFonts w:asciiTheme="minorHAnsi" w:hAnsiTheme="minorHAnsi" w:cstheme="minorHAnsi"/>
          <w:color w:val="000000" w:themeColor="text1"/>
        </w:rPr>
        <w:t xml:space="preserve">was actually disclosed, parties had only five business days to respond, and MOFCOM published its Final Determinations on the same day those responses were due. </w:t>
      </w:r>
      <w:r w:rsidR="00470E2A" w:rsidRPr="003E3375">
        <w:rPr>
          <w:rFonts w:asciiTheme="minorHAnsi" w:hAnsiTheme="minorHAnsi" w:cstheme="minorHAnsi"/>
          <w:color w:val="000000" w:themeColor="text1"/>
        </w:rPr>
        <w:t xml:space="preserve">As a consequence, MOFCOM deprived interested parties </w:t>
      </w:r>
      <w:r w:rsidR="00F7271F" w:rsidRPr="003E3375">
        <w:rPr>
          <w:rFonts w:asciiTheme="minorHAnsi" w:hAnsiTheme="minorHAnsi" w:cstheme="minorHAnsi"/>
          <w:color w:val="000000" w:themeColor="text1"/>
        </w:rPr>
        <w:t xml:space="preserve">of </w:t>
      </w:r>
      <w:r w:rsidR="00470E2A" w:rsidRPr="003E3375">
        <w:rPr>
          <w:rFonts w:asciiTheme="minorHAnsi" w:hAnsiTheme="minorHAnsi" w:cstheme="minorHAnsi"/>
          <w:color w:val="000000" w:themeColor="text1"/>
        </w:rPr>
        <w:t>a meaningful opportunity to respond. MOFCOM provided no reasoning for rejecting interested parties' arguments – and, more importantly, it could not have properly considered them or set out reasons for disregarding them under its self-imposed timetable.</w:t>
      </w:r>
    </w:p>
    <w:p w14:paraId="3C93E61E" w14:textId="25866762" w:rsidR="001B1C07" w:rsidRPr="003E3375" w:rsidRDefault="00DB65AA" w:rsidP="00B841EF">
      <w:pPr>
        <w:pStyle w:val="HL2HeadingLevel2"/>
        <w:rPr>
          <w:color w:val="000000" w:themeColor="text1"/>
        </w:rPr>
      </w:pPr>
      <w:bookmarkStart w:id="37" w:name="_Toc84071756"/>
      <w:bookmarkStart w:id="38" w:name="_Ref86143819"/>
      <w:bookmarkStart w:id="39" w:name="_Ref86143951"/>
      <w:bookmarkStart w:id="40" w:name="_Toc86661680"/>
      <w:bookmarkStart w:id="41" w:name="_Toc114492243"/>
      <w:r w:rsidRPr="003E3375">
        <w:rPr>
          <w:color w:val="000000" w:themeColor="text1"/>
        </w:rPr>
        <w:lastRenderedPageBreak/>
        <w:t>MOFCOM's public notices failed to contain all relevant information</w:t>
      </w:r>
      <w:bookmarkEnd w:id="37"/>
      <w:bookmarkEnd w:id="38"/>
      <w:bookmarkEnd w:id="39"/>
      <w:bookmarkEnd w:id="40"/>
      <w:bookmarkEnd w:id="41"/>
      <w:r w:rsidRPr="003E3375">
        <w:rPr>
          <w:color w:val="000000" w:themeColor="text1"/>
        </w:rPr>
        <w:t xml:space="preserve"> </w:t>
      </w:r>
    </w:p>
    <w:p w14:paraId="18732CD3" w14:textId="1DC29FD7" w:rsidR="009E20D2" w:rsidRPr="003E3375" w:rsidRDefault="001B1C07"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MOFCOM was obliged to provide sufficiently detailed reasons for its </w:t>
      </w:r>
      <w:r w:rsidR="0099264A" w:rsidRPr="003E3375">
        <w:rPr>
          <w:rFonts w:asciiTheme="minorHAnsi" w:hAnsiTheme="minorHAnsi" w:cstheme="minorHAnsi"/>
          <w:color w:val="000000" w:themeColor="text1"/>
        </w:rPr>
        <w:t>determinations</w:t>
      </w:r>
      <w:r w:rsidRPr="003E3375">
        <w:rPr>
          <w:rFonts w:asciiTheme="minorHAnsi" w:hAnsiTheme="minorHAnsi" w:cstheme="minorHAnsi"/>
          <w:color w:val="000000" w:themeColor="text1"/>
        </w:rPr>
        <w:t xml:space="preserve"> pursuant to Articles 12.2 and 12.2.2 of the Anti-Dumping Agreement and Articles</w:t>
      </w:r>
      <w:r w:rsidR="00EF4A61" w:rsidRPr="003E3375">
        <w:rPr>
          <w:rFonts w:asciiTheme="minorHAnsi" w:hAnsiTheme="minorHAnsi" w:cstheme="minorHAnsi"/>
          <w:color w:val="000000" w:themeColor="text1"/>
        </w:rPr>
        <w:t> </w:t>
      </w:r>
      <w:r w:rsidRPr="003E3375">
        <w:rPr>
          <w:rFonts w:asciiTheme="minorHAnsi" w:hAnsiTheme="minorHAnsi" w:cstheme="minorHAnsi"/>
          <w:color w:val="000000" w:themeColor="text1"/>
        </w:rPr>
        <w:t>22.3 and 22.5 of the SCM Agreement.</w:t>
      </w:r>
      <w:r w:rsidRPr="003E3375">
        <w:rPr>
          <w:rStyle w:val="FootnoteReference"/>
          <w:rFonts w:asciiTheme="minorHAnsi" w:hAnsiTheme="minorHAnsi" w:cstheme="minorHAnsi"/>
          <w:color w:val="000000" w:themeColor="text1"/>
        </w:rPr>
        <w:footnoteReference w:id="179"/>
      </w:r>
      <w:r w:rsidR="005965D1" w:rsidRPr="003E3375">
        <w:rPr>
          <w:rFonts w:asciiTheme="minorHAnsi" w:hAnsiTheme="minorHAnsi" w:cstheme="minorHAnsi"/>
          <w:color w:val="000000" w:themeColor="text1"/>
        </w:rPr>
        <w:t xml:space="preserve"> This </w:t>
      </w:r>
      <w:r w:rsidRPr="003E3375">
        <w:rPr>
          <w:rFonts w:asciiTheme="minorHAnsi" w:hAnsiTheme="minorHAnsi" w:cstheme="minorHAnsi"/>
          <w:color w:val="000000" w:themeColor="text1"/>
        </w:rPr>
        <w:t xml:space="preserve">obligation includes </w:t>
      </w:r>
      <w:r w:rsidR="005965D1" w:rsidRPr="003E3375">
        <w:rPr>
          <w:rFonts w:asciiTheme="minorHAnsi" w:hAnsiTheme="minorHAnsi" w:cstheme="minorHAnsi"/>
          <w:color w:val="000000" w:themeColor="text1"/>
        </w:rPr>
        <w:t xml:space="preserve">reasons for MOFCOM's </w:t>
      </w:r>
      <w:r w:rsidRPr="003E3375">
        <w:rPr>
          <w:rFonts w:asciiTheme="minorHAnsi" w:hAnsiTheme="minorHAnsi" w:cstheme="minorHAnsi"/>
          <w:color w:val="000000" w:themeColor="text1"/>
        </w:rPr>
        <w:t>decisions to disregard information and resort to facts available</w:t>
      </w:r>
      <w:r w:rsidR="00396FD0" w:rsidRPr="003E3375">
        <w:rPr>
          <w:rFonts w:asciiTheme="minorHAnsi" w:hAnsiTheme="minorHAnsi" w:cstheme="minorHAnsi"/>
          <w:color w:val="000000" w:themeColor="text1"/>
        </w:rPr>
        <w:t>.</w:t>
      </w:r>
      <w:r w:rsidRPr="003E3375">
        <w:rPr>
          <w:rStyle w:val="FootnoteReference"/>
          <w:rFonts w:asciiTheme="minorHAnsi" w:hAnsiTheme="minorHAnsi" w:cstheme="minorHAnsi"/>
          <w:color w:val="000000" w:themeColor="text1"/>
        </w:rPr>
        <w:footnoteReference w:id="180"/>
      </w:r>
      <w:r w:rsidRPr="003E3375">
        <w:rPr>
          <w:rFonts w:asciiTheme="minorHAnsi" w:hAnsiTheme="minorHAnsi" w:cstheme="minorHAnsi"/>
          <w:color w:val="000000" w:themeColor="text1"/>
        </w:rPr>
        <w:t xml:space="preserve"> However, MOFCOM's </w:t>
      </w:r>
      <w:r w:rsidR="00396FD0" w:rsidRPr="003E3375">
        <w:rPr>
          <w:rFonts w:asciiTheme="minorHAnsi" w:hAnsiTheme="minorHAnsi" w:cstheme="minorHAnsi"/>
          <w:color w:val="000000" w:themeColor="text1"/>
        </w:rPr>
        <w:t xml:space="preserve">determinations </w:t>
      </w:r>
      <w:r w:rsidRPr="003E3375">
        <w:rPr>
          <w:rFonts w:asciiTheme="minorHAnsi" w:hAnsiTheme="minorHAnsi" w:cstheme="minorHAnsi"/>
          <w:color w:val="000000" w:themeColor="text1"/>
        </w:rPr>
        <w:t xml:space="preserve">failed to contain all relevant information on the matters of fact, law and reasons which led to the imposition of final measures. MOFCOM's determinations did not explain the basis for finding a subsidy existed, why the same </w:t>
      </w:r>
      <w:r w:rsidR="00C92140" w:rsidRPr="003E3375">
        <w:rPr>
          <w:rFonts w:asciiTheme="minorHAnsi" w:hAnsiTheme="minorHAnsi" w:cstheme="minorHAnsi"/>
          <w:color w:val="000000" w:themeColor="text1"/>
        </w:rPr>
        <w:t>anti-dumping dut</w:t>
      </w:r>
      <w:r w:rsidR="00573F2E" w:rsidRPr="003E3375">
        <w:rPr>
          <w:rFonts w:asciiTheme="minorHAnsi" w:hAnsiTheme="minorHAnsi" w:cstheme="minorHAnsi"/>
          <w:color w:val="000000" w:themeColor="text1"/>
        </w:rPr>
        <w:t xml:space="preserve">y and countervailing duty </w:t>
      </w:r>
      <w:r w:rsidRPr="003E3375">
        <w:rPr>
          <w:rFonts w:asciiTheme="minorHAnsi" w:hAnsiTheme="minorHAnsi" w:cstheme="minorHAnsi"/>
          <w:color w:val="000000" w:themeColor="text1"/>
        </w:rPr>
        <w:t>rate</w:t>
      </w:r>
      <w:r w:rsidR="00573F2E"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 xml:space="preserve"> w</w:t>
      </w:r>
      <w:r w:rsidR="00573F2E" w:rsidRPr="003E3375">
        <w:rPr>
          <w:rFonts w:asciiTheme="minorHAnsi" w:hAnsiTheme="minorHAnsi" w:cstheme="minorHAnsi"/>
          <w:color w:val="000000" w:themeColor="text1"/>
        </w:rPr>
        <w:t>ere</w:t>
      </w:r>
      <w:r w:rsidRPr="003E3375">
        <w:rPr>
          <w:rFonts w:asciiTheme="minorHAnsi" w:hAnsiTheme="minorHAnsi" w:cstheme="minorHAnsi"/>
          <w:color w:val="000000" w:themeColor="text1"/>
        </w:rPr>
        <w:t xml:space="preserve"> applied to traders and producers, the basis for injury</w:t>
      </w:r>
      <w:r w:rsidR="00573F2E" w:rsidRPr="003E3375">
        <w:rPr>
          <w:rFonts w:asciiTheme="minorHAnsi" w:hAnsiTheme="minorHAnsi" w:cstheme="minorHAnsi"/>
          <w:color w:val="000000" w:themeColor="text1"/>
        </w:rPr>
        <w:t xml:space="preserve"> and causation</w:t>
      </w:r>
      <w:r w:rsidRPr="003E3375">
        <w:rPr>
          <w:rFonts w:asciiTheme="minorHAnsi" w:hAnsiTheme="minorHAnsi" w:cstheme="minorHAnsi"/>
          <w:color w:val="000000" w:themeColor="text1"/>
        </w:rPr>
        <w:t xml:space="preserve">, the basis for the </w:t>
      </w:r>
      <w:r w:rsidR="00573F2E" w:rsidRPr="003E3375">
        <w:rPr>
          <w:rFonts w:asciiTheme="minorHAnsi" w:hAnsiTheme="minorHAnsi" w:cstheme="minorHAnsi"/>
          <w:color w:val="000000" w:themeColor="text1"/>
        </w:rPr>
        <w:t>comparison of normal value and</w:t>
      </w:r>
      <w:r w:rsidR="00511693" w:rsidRPr="003E3375">
        <w:rPr>
          <w:rFonts w:asciiTheme="minorHAnsi" w:hAnsiTheme="minorHAnsi" w:cstheme="minorHAnsi"/>
          <w:color w:val="000000" w:themeColor="text1"/>
        </w:rPr>
        <w:t xml:space="preserve"> export price</w:t>
      </w:r>
      <w:r w:rsidRPr="003E3375">
        <w:rPr>
          <w:rFonts w:asciiTheme="minorHAnsi" w:hAnsiTheme="minorHAnsi" w:cstheme="minorHAnsi"/>
          <w:color w:val="000000" w:themeColor="text1"/>
        </w:rPr>
        <w:t>, or the reasons for rejecting information</w:t>
      </w:r>
      <w:r w:rsidR="00511693" w:rsidRPr="003E3375">
        <w:rPr>
          <w:rFonts w:asciiTheme="minorHAnsi" w:hAnsiTheme="minorHAnsi" w:cstheme="minorHAnsi"/>
          <w:color w:val="000000" w:themeColor="text1"/>
        </w:rPr>
        <w:t xml:space="preserve"> provided by interested parties</w:t>
      </w:r>
      <w:r w:rsidRPr="003E3375">
        <w:rPr>
          <w:rFonts w:asciiTheme="minorHAnsi" w:hAnsiTheme="minorHAnsi" w:cstheme="minorHAnsi"/>
          <w:color w:val="000000" w:themeColor="text1"/>
        </w:rPr>
        <w:t>.</w:t>
      </w:r>
      <w:r w:rsidRPr="003E3375">
        <w:rPr>
          <w:rFonts w:asciiTheme="minorHAnsi" w:hAnsiTheme="minorHAnsi" w:cstheme="minorHAnsi"/>
          <w:color w:val="000000" w:themeColor="text1"/>
          <w:vertAlign w:val="superscript"/>
        </w:rPr>
        <w:footnoteReference w:id="181"/>
      </w:r>
    </w:p>
    <w:p w14:paraId="04978E0B" w14:textId="308487B0" w:rsidR="00C9295D" w:rsidRPr="003E3375" w:rsidRDefault="007A462E" w:rsidP="00B841EF">
      <w:pPr>
        <w:pStyle w:val="P1-N1Paragraph1-Number1"/>
        <w:spacing w:line="276" w:lineRule="auto"/>
        <w:rPr>
          <w:color w:val="000000" w:themeColor="text1"/>
        </w:rPr>
      </w:pPr>
      <w:r w:rsidRPr="003E3375">
        <w:rPr>
          <w:rFonts w:asciiTheme="minorHAnsi" w:hAnsiTheme="minorHAnsi" w:cstheme="minorHAnsi"/>
          <w:color w:val="000000" w:themeColor="text1"/>
        </w:rPr>
        <w:t>For</w:t>
      </w:r>
      <w:r w:rsidR="001629F8" w:rsidRPr="003E3375">
        <w:rPr>
          <w:rFonts w:asciiTheme="minorHAnsi" w:hAnsiTheme="minorHAnsi" w:cstheme="minorHAnsi"/>
          <w:color w:val="000000" w:themeColor="text1"/>
        </w:rPr>
        <w:t xml:space="preserve"> example</w:t>
      </w:r>
      <w:r w:rsidRPr="003E3375">
        <w:rPr>
          <w:rFonts w:asciiTheme="minorHAnsi" w:hAnsiTheme="minorHAnsi" w:cstheme="minorHAnsi"/>
          <w:color w:val="000000" w:themeColor="text1"/>
        </w:rPr>
        <w:t>,</w:t>
      </w:r>
      <w:r w:rsidR="001629F8" w:rsidRPr="003E3375">
        <w:rPr>
          <w:rFonts w:asciiTheme="minorHAnsi" w:hAnsiTheme="minorHAnsi" w:cstheme="minorHAnsi"/>
          <w:color w:val="000000" w:themeColor="text1"/>
        </w:rPr>
        <w:t xml:space="preserve"> </w:t>
      </w:r>
      <w:r w:rsidR="001B1C07" w:rsidRPr="003E3375">
        <w:rPr>
          <w:rFonts w:asciiTheme="minorHAnsi" w:hAnsiTheme="minorHAnsi" w:cstheme="minorHAnsi"/>
          <w:color w:val="000000" w:themeColor="text1"/>
        </w:rPr>
        <w:t>when considering whether a program was specific to the barley industry</w:t>
      </w:r>
      <w:r w:rsidRPr="003E3375">
        <w:rPr>
          <w:rFonts w:asciiTheme="minorHAnsi" w:hAnsiTheme="minorHAnsi" w:cstheme="minorHAnsi"/>
          <w:color w:val="000000" w:themeColor="text1"/>
        </w:rPr>
        <w:t xml:space="preserve">, </w:t>
      </w:r>
      <w:r w:rsidR="001B1C07" w:rsidRPr="003E3375">
        <w:rPr>
          <w:rFonts w:asciiTheme="minorHAnsi" w:hAnsiTheme="minorHAnsi" w:cstheme="minorHAnsi"/>
          <w:color w:val="000000" w:themeColor="text1"/>
        </w:rPr>
        <w:t>MOFCOM merely stated it "had reason to suspect that the barley industry is a major user of the funds"</w:t>
      </w:r>
      <w:r w:rsidRPr="003E3375">
        <w:rPr>
          <w:rFonts w:asciiTheme="minorHAnsi" w:hAnsiTheme="minorHAnsi" w:cstheme="minorHAnsi"/>
          <w:color w:val="000000" w:themeColor="text1"/>
        </w:rPr>
        <w:t>.</w:t>
      </w:r>
      <w:r w:rsidR="001B1C07"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 xml:space="preserve">It </w:t>
      </w:r>
      <w:r w:rsidR="001B1C07" w:rsidRPr="003E3375">
        <w:rPr>
          <w:rFonts w:asciiTheme="minorHAnsi" w:hAnsiTheme="minorHAnsi" w:cstheme="minorHAnsi"/>
          <w:color w:val="000000" w:themeColor="text1"/>
        </w:rPr>
        <w:t>provid</w:t>
      </w:r>
      <w:r w:rsidRPr="003E3375">
        <w:rPr>
          <w:rFonts w:asciiTheme="minorHAnsi" w:hAnsiTheme="minorHAnsi" w:cstheme="minorHAnsi"/>
          <w:color w:val="000000" w:themeColor="text1"/>
        </w:rPr>
        <w:t>ed</w:t>
      </w:r>
      <w:r w:rsidR="001B1C07" w:rsidRPr="003E3375">
        <w:rPr>
          <w:rFonts w:asciiTheme="minorHAnsi" w:hAnsiTheme="minorHAnsi" w:cstheme="minorHAnsi"/>
          <w:color w:val="000000" w:themeColor="text1"/>
        </w:rPr>
        <w:t xml:space="preserve"> no factual</w:t>
      </w:r>
      <w:r w:rsidRPr="003E3375">
        <w:rPr>
          <w:rFonts w:asciiTheme="minorHAnsi" w:hAnsiTheme="minorHAnsi" w:cstheme="minorHAnsi"/>
          <w:color w:val="000000" w:themeColor="text1"/>
        </w:rPr>
        <w:t xml:space="preserve"> or legal</w:t>
      </w:r>
      <w:r w:rsidR="001B1C07" w:rsidRPr="003E3375">
        <w:rPr>
          <w:rFonts w:asciiTheme="minorHAnsi" w:hAnsiTheme="minorHAnsi" w:cstheme="minorHAnsi"/>
          <w:color w:val="000000" w:themeColor="text1"/>
        </w:rPr>
        <w:t xml:space="preserve"> basis for this statement</w:t>
      </w:r>
      <w:r w:rsidRPr="003E3375">
        <w:rPr>
          <w:rFonts w:asciiTheme="minorHAnsi" w:hAnsiTheme="minorHAnsi" w:cstheme="minorHAnsi"/>
          <w:color w:val="000000" w:themeColor="text1"/>
        </w:rPr>
        <w:t>. MOFCOM</w:t>
      </w:r>
      <w:r w:rsidR="001B1C07"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 xml:space="preserve">failed to </w:t>
      </w:r>
      <w:r w:rsidR="001B1C07" w:rsidRPr="003E3375">
        <w:rPr>
          <w:rFonts w:asciiTheme="minorHAnsi" w:hAnsiTheme="minorHAnsi" w:cstheme="minorHAnsi"/>
          <w:color w:val="000000" w:themeColor="text1"/>
        </w:rPr>
        <w:t xml:space="preserve">explain how </w:t>
      </w:r>
      <w:r w:rsidR="00886B4F" w:rsidRPr="003E3375">
        <w:rPr>
          <w:rFonts w:asciiTheme="minorHAnsi" w:hAnsiTheme="minorHAnsi" w:cstheme="minorHAnsi"/>
          <w:color w:val="000000" w:themeColor="text1"/>
        </w:rPr>
        <w:t xml:space="preserve">its </w:t>
      </w:r>
      <w:r w:rsidR="0035030C" w:rsidRPr="003E3375">
        <w:rPr>
          <w:rFonts w:asciiTheme="minorHAnsi" w:hAnsiTheme="minorHAnsi" w:cstheme="minorHAnsi"/>
          <w:color w:val="000000" w:themeColor="text1"/>
        </w:rPr>
        <w:t>"</w:t>
      </w:r>
      <w:r w:rsidR="001B1C07" w:rsidRPr="003E3375">
        <w:rPr>
          <w:rFonts w:asciiTheme="minorHAnsi" w:hAnsiTheme="minorHAnsi" w:cstheme="minorHAnsi"/>
          <w:color w:val="000000" w:themeColor="text1"/>
        </w:rPr>
        <w:t>suspicio</w:t>
      </w:r>
      <w:r w:rsidR="00886B4F" w:rsidRPr="003E3375">
        <w:rPr>
          <w:rFonts w:asciiTheme="minorHAnsi" w:hAnsiTheme="minorHAnsi" w:cstheme="minorHAnsi"/>
          <w:color w:val="000000" w:themeColor="text1"/>
        </w:rPr>
        <w:t>n</w:t>
      </w:r>
      <w:r w:rsidR="0035030C" w:rsidRPr="003E3375">
        <w:rPr>
          <w:rFonts w:asciiTheme="minorHAnsi" w:hAnsiTheme="minorHAnsi" w:cstheme="minorHAnsi"/>
          <w:color w:val="000000" w:themeColor="text1"/>
        </w:rPr>
        <w:t>"</w:t>
      </w:r>
      <w:r w:rsidR="001B1C07" w:rsidRPr="003E3375">
        <w:rPr>
          <w:rFonts w:asciiTheme="minorHAnsi" w:hAnsiTheme="minorHAnsi" w:cstheme="minorHAnsi"/>
          <w:color w:val="000000" w:themeColor="text1"/>
        </w:rPr>
        <w:t xml:space="preserve"> met the requirements </w:t>
      </w:r>
      <w:r w:rsidR="003B0CE0" w:rsidRPr="003E3375">
        <w:rPr>
          <w:rFonts w:asciiTheme="minorHAnsi" w:hAnsiTheme="minorHAnsi" w:cstheme="minorHAnsi"/>
          <w:color w:val="000000" w:themeColor="text1"/>
        </w:rPr>
        <w:t>under Article 2 of the SCM Agreement</w:t>
      </w:r>
      <w:r w:rsidR="005D1F90" w:rsidRPr="003E3375">
        <w:rPr>
          <w:rFonts w:asciiTheme="minorHAnsi" w:hAnsiTheme="minorHAnsi" w:cstheme="minorHAnsi"/>
          <w:color w:val="000000" w:themeColor="text1"/>
        </w:rPr>
        <w:t xml:space="preserve"> to clearly substantiate any determination of specificity on the basis of positive evidence</w:t>
      </w:r>
      <w:r w:rsidR="001B1C07" w:rsidRPr="003E3375">
        <w:rPr>
          <w:rFonts w:asciiTheme="minorHAnsi" w:hAnsiTheme="minorHAnsi" w:cstheme="minorHAnsi"/>
          <w:color w:val="000000" w:themeColor="text1"/>
        </w:rPr>
        <w:t>. These gaps prevented interested parties from understanding MOFCOM's reasoning and thus responding to MOFCOM's position adequately, undermining their systemically important right</w:t>
      </w:r>
      <w:r w:rsidRPr="003E3375">
        <w:rPr>
          <w:rFonts w:asciiTheme="minorHAnsi" w:hAnsiTheme="minorHAnsi" w:cstheme="minorHAnsi"/>
          <w:color w:val="000000" w:themeColor="text1"/>
        </w:rPr>
        <w:t>s</w:t>
      </w:r>
      <w:r w:rsidR="001B1C07" w:rsidRPr="003E3375">
        <w:rPr>
          <w:rFonts w:asciiTheme="minorHAnsi" w:hAnsiTheme="minorHAnsi" w:cstheme="minorHAnsi"/>
          <w:color w:val="000000" w:themeColor="text1"/>
        </w:rPr>
        <w:t xml:space="preserve"> to due process.</w:t>
      </w:r>
      <w:r w:rsidR="001B1C07" w:rsidRPr="003E3375">
        <w:rPr>
          <w:rStyle w:val="FootnoteReference"/>
          <w:rFonts w:asciiTheme="minorHAnsi" w:hAnsiTheme="minorHAnsi" w:cstheme="minorHAnsi"/>
          <w:color w:val="000000" w:themeColor="text1"/>
        </w:rPr>
        <w:footnoteReference w:id="182"/>
      </w:r>
      <w:r w:rsidR="001B1C07" w:rsidRPr="003E3375">
        <w:rPr>
          <w:rFonts w:asciiTheme="minorHAnsi" w:hAnsiTheme="minorHAnsi" w:cstheme="minorHAnsi"/>
          <w:color w:val="000000" w:themeColor="text1"/>
        </w:rPr>
        <w:t xml:space="preserve"> </w:t>
      </w:r>
    </w:p>
    <w:p w14:paraId="50D0CEDD" w14:textId="3B2087B1" w:rsidR="00A51C0C" w:rsidRPr="003E3375" w:rsidRDefault="001B1C07" w:rsidP="00B841EF">
      <w:pPr>
        <w:pStyle w:val="P1-N1Paragraph1-Number1"/>
        <w:spacing w:line="276" w:lineRule="auto"/>
        <w:rPr>
          <w:color w:val="000000" w:themeColor="text1"/>
        </w:rPr>
      </w:pPr>
      <w:r w:rsidRPr="003E3375">
        <w:rPr>
          <w:rFonts w:asciiTheme="minorHAnsi" w:hAnsiTheme="minorHAnsi" w:cstheme="minorHAnsi"/>
          <w:color w:val="000000" w:themeColor="text1"/>
        </w:rPr>
        <w:t>China's only defence of MOFCOM's public notices is that the deficiencies raised by Australia were, in fact, "sufficiently addressed" in the Final Determinations.</w:t>
      </w:r>
      <w:r w:rsidRPr="003E3375">
        <w:rPr>
          <w:rFonts w:asciiTheme="minorHAnsi" w:hAnsiTheme="minorHAnsi" w:cstheme="minorHAnsi"/>
          <w:color w:val="000000" w:themeColor="text1"/>
          <w:vertAlign w:val="superscript"/>
        </w:rPr>
        <w:footnoteReference w:id="183"/>
      </w:r>
      <w:r w:rsidRPr="003E3375">
        <w:rPr>
          <w:rFonts w:asciiTheme="minorHAnsi" w:hAnsiTheme="minorHAnsi" w:cstheme="minorHAnsi"/>
          <w:color w:val="000000" w:themeColor="text1"/>
        </w:rPr>
        <w:t xml:space="preserve"> </w:t>
      </w:r>
      <w:r w:rsidR="003D2B98" w:rsidRPr="003E3375">
        <w:rPr>
          <w:rFonts w:asciiTheme="minorHAnsi" w:hAnsiTheme="minorHAnsi" w:cstheme="minorHAnsi"/>
          <w:color w:val="000000" w:themeColor="text1"/>
        </w:rPr>
        <w:t>This was not in fact the case and, in any event</w:t>
      </w:r>
      <w:r w:rsidR="005A5EEC" w:rsidRPr="003E3375">
        <w:rPr>
          <w:rFonts w:asciiTheme="minorHAnsi" w:hAnsiTheme="minorHAnsi" w:cstheme="minorHAnsi"/>
          <w:color w:val="000000" w:themeColor="text1"/>
        </w:rPr>
        <w:t>,</w:t>
      </w:r>
      <w:r w:rsidR="003D2B98" w:rsidRPr="003E3375">
        <w:rPr>
          <w:rFonts w:asciiTheme="minorHAnsi" w:hAnsiTheme="minorHAnsi" w:cstheme="minorHAnsi"/>
          <w:color w:val="000000" w:themeColor="text1"/>
        </w:rPr>
        <w:t xml:space="preserve"> </w:t>
      </w:r>
      <w:r w:rsidR="005A5EEC" w:rsidRPr="003E3375">
        <w:rPr>
          <w:rFonts w:asciiTheme="minorHAnsi" w:hAnsiTheme="minorHAnsi" w:cstheme="minorHAnsi"/>
          <w:color w:val="000000" w:themeColor="text1"/>
        </w:rPr>
        <w:t>t</w:t>
      </w:r>
      <w:r w:rsidRPr="003E3375">
        <w:rPr>
          <w:rFonts w:asciiTheme="minorHAnsi" w:hAnsiTheme="minorHAnsi" w:cstheme="minorHAnsi"/>
          <w:color w:val="000000" w:themeColor="text1"/>
        </w:rPr>
        <w:t>his argument is insufficient to rebut Australia's claims.</w:t>
      </w:r>
      <w:r w:rsidRPr="003E3375">
        <w:rPr>
          <w:rFonts w:asciiTheme="minorHAnsi" w:hAnsiTheme="minorHAnsi" w:cstheme="minorHAnsi"/>
          <w:color w:val="000000" w:themeColor="text1"/>
          <w:vertAlign w:val="superscript"/>
        </w:rPr>
        <w:footnoteReference w:id="184"/>
      </w:r>
      <w:r w:rsidRPr="003E3375">
        <w:rPr>
          <w:rFonts w:asciiTheme="minorHAnsi" w:hAnsiTheme="minorHAnsi" w:cstheme="minorHAnsi"/>
          <w:color w:val="000000" w:themeColor="text1"/>
        </w:rPr>
        <w:t xml:space="preserve"> </w:t>
      </w:r>
    </w:p>
    <w:p w14:paraId="3656CC0D" w14:textId="182269BA" w:rsidR="00797BF4" w:rsidRPr="003E3375" w:rsidRDefault="00797BF4" w:rsidP="00B841EF">
      <w:pPr>
        <w:pStyle w:val="HL1HeadingLevel1"/>
        <w:rPr>
          <w:color w:val="000000" w:themeColor="text1"/>
        </w:rPr>
      </w:pPr>
      <w:bookmarkStart w:id="42" w:name="_Toc114492244"/>
      <w:r w:rsidRPr="003E3375">
        <w:rPr>
          <w:color w:val="000000" w:themeColor="text1"/>
        </w:rPr>
        <w:t>Duty imposition</w:t>
      </w:r>
      <w:bookmarkEnd w:id="42"/>
    </w:p>
    <w:p w14:paraId="79473D48" w14:textId="77777777" w:rsidR="001B1C07" w:rsidRPr="003E3375" w:rsidRDefault="001B1C07"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MOFCOM's improper and insubstantial investigation resulted in China incorrectly imposing anti-dumping and countervailing duties.</w:t>
      </w:r>
      <w:r w:rsidRPr="003E3375">
        <w:rPr>
          <w:rStyle w:val="FootnoteReference"/>
          <w:rFonts w:asciiTheme="minorHAnsi" w:hAnsiTheme="minorHAnsi" w:cstheme="minorHAnsi"/>
          <w:color w:val="000000" w:themeColor="text1"/>
        </w:rPr>
        <w:footnoteReference w:id="185"/>
      </w:r>
    </w:p>
    <w:p w14:paraId="3D06FE73" w14:textId="6387B2F0" w:rsidR="001B1C07" w:rsidRPr="003E3375" w:rsidRDefault="001B1C07"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China's imposition of anti-dumping duties was</w:t>
      </w:r>
      <w:r w:rsidR="007D5CD5" w:rsidRPr="003E3375">
        <w:rPr>
          <w:rFonts w:asciiTheme="minorHAnsi" w:hAnsiTheme="minorHAnsi" w:cstheme="minorHAnsi"/>
          <w:color w:val="000000" w:themeColor="text1"/>
        </w:rPr>
        <w:t xml:space="preserve"> the result of a flawed investigation, and</w:t>
      </w:r>
      <w:r w:rsidR="00C770EA" w:rsidRPr="003E3375">
        <w:rPr>
          <w:rFonts w:asciiTheme="minorHAnsi" w:hAnsiTheme="minorHAnsi" w:cstheme="minorHAnsi"/>
          <w:color w:val="000000" w:themeColor="text1"/>
        </w:rPr>
        <w:t xml:space="preserve"> was</w:t>
      </w:r>
      <w:r w:rsidRPr="003E3375">
        <w:rPr>
          <w:rFonts w:asciiTheme="minorHAnsi" w:hAnsiTheme="minorHAnsi" w:cstheme="minorHAnsi"/>
          <w:color w:val="000000" w:themeColor="text1"/>
        </w:rPr>
        <w:t xml:space="preserve"> inconsistent with Articles 1, 9.1, 9.2 and 9.3 of the Anti-Dumping Agreement, and Article VI:2 of the GATT 1994. Th</w:t>
      </w:r>
      <w:r w:rsidR="00D9283E" w:rsidRPr="003E3375">
        <w:rPr>
          <w:rFonts w:asciiTheme="minorHAnsi" w:hAnsiTheme="minorHAnsi" w:cstheme="minorHAnsi"/>
          <w:color w:val="000000" w:themeColor="text1"/>
        </w:rPr>
        <w:t>e</w:t>
      </w:r>
      <w:r w:rsidRPr="003E3375">
        <w:rPr>
          <w:rFonts w:asciiTheme="minorHAnsi" w:hAnsiTheme="minorHAnsi" w:cstheme="minorHAnsi"/>
          <w:color w:val="000000" w:themeColor="text1"/>
        </w:rPr>
        <w:t xml:space="preserve"> margin is higher than would have been </w:t>
      </w:r>
      <w:r w:rsidR="00E77015" w:rsidRPr="003E3375">
        <w:rPr>
          <w:rFonts w:asciiTheme="minorHAnsi" w:hAnsiTheme="minorHAnsi" w:cstheme="minorHAnsi"/>
          <w:color w:val="000000" w:themeColor="text1"/>
        </w:rPr>
        <w:t xml:space="preserve">the case had </w:t>
      </w:r>
      <w:r w:rsidRPr="003E3375">
        <w:rPr>
          <w:rFonts w:asciiTheme="minorHAnsi" w:hAnsiTheme="minorHAnsi" w:cstheme="minorHAnsi"/>
          <w:color w:val="000000" w:themeColor="text1"/>
        </w:rPr>
        <w:lastRenderedPageBreak/>
        <w:t xml:space="preserve">MOFCOM complied with </w:t>
      </w:r>
      <w:r w:rsidR="00736248" w:rsidRPr="003E3375">
        <w:rPr>
          <w:rFonts w:asciiTheme="minorHAnsi" w:hAnsiTheme="minorHAnsi" w:cstheme="minorHAnsi"/>
          <w:color w:val="000000" w:themeColor="text1"/>
        </w:rPr>
        <w:t xml:space="preserve">the Anti-Dumping Agreement. </w:t>
      </w:r>
      <w:r w:rsidR="00455458" w:rsidRPr="003E3375">
        <w:rPr>
          <w:color w:val="000000" w:themeColor="text1"/>
        </w:rPr>
        <w:t xml:space="preserve">Had MOFCOM acted consistently with Article 2, it would have determined that dumping was not occurring or at least would have determined a dumping margin substantially lower than 73.6%. </w:t>
      </w:r>
    </w:p>
    <w:p w14:paraId="505C4F07" w14:textId="77777777" w:rsidR="001B1C07" w:rsidRPr="003E3375" w:rsidRDefault="001B1C07"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In addition, MOFCOM only listed four producers individually and applied an "all others" rate to all 15 traders who had responded to the questionnaire. This is inconsistent with the mandatory obligation under Article 9.2 to name the suppliers of the product concerned.</w:t>
      </w:r>
      <w:r w:rsidRPr="003E3375">
        <w:rPr>
          <w:rStyle w:val="FootnoteReference"/>
          <w:rFonts w:asciiTheme="minorHAnsi" w:hAnsiTheme="minorHAnsi" w:cstheme="minorHAnsi"/>
          <w:color w:val="000000" w:themeColor="text1"/>
        </w:rPr>
        <w:footnoteReference w:id="186"/>
      </w:r>
    </w:p>
    <w:p w14:paraId="7B3ED3EB" w14:textId="45DF5B1A" w:rsidR="001B1C07" w:rsidRPr="003E3375" w:rsidRDefault="001B1C07"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China's imposition of countervailing duties was inconsistent with Articles 10, 19.4 and 32.1 of the SCM Agreement, and Article VI:3 of the GATT 1994. China implemented the duties that MOFCOM recommended based on an investigation that did not comply with Article VI:3 of GATT 1994 as interpreted by the SCM Agreement. </w:t>
      </w:r>
      <w:r w:rsidR="00010994" w:rsidRPr="003E3375">
        <w:rPr>
          <w:rFonts w:asciiTheme="minorHAnsi" w:hAnsiTheme="minorHAnsi" w:cstheme="minorHAnsi"/>
          <w:color w:val="000000" w:themeColor="text1"/>
        </w:rPr>
        <w:t>S</w:t>
      </w:r>
      <w:r w:rsidRPr="003E3375">
        <w:rPr>
          <w:rFonts w:asciiTheme="minorHAnsi" w:hAnsiTheme="minorHAnsi" w:cstheme="minorHAnsi"/>
          <w:color w:val="000000" w:themeColor="text1"/>
        </w:rPr>
        <w:t>uch a failure results in a consequential breach of Articles 10 and 32.1 of the SCM Agreement in respect of the imposition of countervailing duties.</w:t>
      </w:r>
      <w:r w:rsidRPr="003E3375">
        <w:rPr>
          <w:rStyle w:val="FootnoteReference"/>
          <w:rFonts w:asciiTheme="minorHAnsi" w:hAnsiTheme="minorHAnsi" w:cstheme="minorHAnsi"/>
          <w:color w:val="000000" w:themeColor="text1"/>
        </w:rPr>
        <w:footnoteReference w:id="187"/>
      </w:r>
      <w:r w:rsidR="00015415" w:rsidRPr="003E3375">
        <w:rPr>
          <w:rFonts w:asciiTheme="minorHAnsi" w:hAnsiTheme="minorHAnsi" w:cstheme="minorHAnsi"/>
          <w:color w:val="000000" w:themeColor="text1"/>
        </w:rPr>
        <w:t xml:space="preserve"> </w:t>
      </w:r>
      <w:r w:rsidR="00274397" w:rsidRPr="003E3375">
        <w:rPr>
          <w:rFonts w:asciiTheme="minorHAnsi" w:hAnsiTheme="minorHAnsi" w:cstheme="minorHAnsi"/>
          <w:color w:val="000000" w:themeColor="text1"/>
        </w:rPr>
        <w:t xml:space="preserve">Further, China's imposition of a rate of duty greater than zero also contravened Article 19.4 of the SCM Agreement because there was no factual or legal basis for MOFCOM's calculation of per unit rate of subsidisation. </w:t>
      </w:r>
      <w:r w:rsidR="00015415" w:rsidRPr="003E3375">
        <w:rPr>
          <w:rFonts w:asciiTheme="minorHAnsi" w:hAnsiTheme="minorHAnsi" w:cstheme="minorHAnsi"/>
          <w:color w:val="000000" w:themeColor="text1"/>
        </w:rPr>
        <w:t>Had MOFCOM properly complied with the SCM Agreement, no countervailing duties would have been</w:t>
      </w:r>
      <w:r w:rsidR="00C97538" w:rsidRPr="003E3375">
        <w:rPr>
          <w:rFonts w:asciiTheme="minorHAnsi" w:hAnsiTheme="minorHAnsi" w:cstheme="minorHAnsi"/>
          <w:color w:val="000000" w:themeColor="text1"/>
        </w:rPr>
        <w:t xml:space="preserve"> imposed.</w:t>
      </w:r>
    </w:p>
    <w:p w14:paraId="1F8A7BDA" w14:textId="0F095F70" w:rsidR="00797BF4" w:rsidRPr="003E3375" w:rsidRDefault="00F36B01" w:rsidP="00B841EF">
      <w:pPr>
        <w:pStyle w:val="HL1HeadingLevel1"/>
        <w:rPr>
          <w:color w:val="000000" w:themeColor="text1"/>
        </w:rPr>
      </w:pPr>
      <w:bookmarkStart w:id="43" w:name="_Toc114492245"/>
      <w:r w:rsidRPr="003E3375">
        <w:rPr>
          <w:color w:val="000000" w:themeColor="text1"/>
        </w:rPr>
        <w:t>Conclusion</w:t>
      </w:r>
      <w:bookmarkEnd w:id="43"/>
    </w:p>
    <w:p w14:paraId="6E05A87E" w14:textId="63EC5532" w:rsidR="00564C6E" w:rsidRPr="003E3375" w:rsidRDefault="00564C6E"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For the reasons set out in </w:t>
      </w:r>
      <w:r w:rsidR="00134D10" w:rsidRPr="003E3375">
        <w:rPr>
          <w:rFonts w:asciiTheme="minorHAnsi" w:hAnsiTheme="minorHAnsi" w:cstheme="minorHAnsi"/>
          <w:color w:val="000000" w:themeColor="text1"/>
        </w:rPr>
        <w:t>its submissions</w:t>
      </w:r>
      <w:r w:rsidRPr="003E3375">
        <w:rPr>
          <w:rFonts w:asciiTheme="minorHAnsi" w:hAnsiTheme="minorHAnsi" w:cstheme="minorHAnsi"/>
          <w:color w:val="000000" w:themeColor="text1"/>
        </w:rPr>
        <w:t xml:space="preserve">, Australia respectfully requests </w:t>
      </w:r>
      <w:r w:rsidR="00765F26" w:rsidRPr="003E3375">
        <w:rPr>
          <w:rFonts w:asciiTheme="minorHAnsi" w:hAnsiTheme="minorHAnsi" w:cstheme="minorHAnsi"/>
          <w:color w:val="000000" w:themeColor="text1"/>
        </w:rPr>
        <w:t xml:space="preserve">that </w:t>
      </w:r>
      <w:r w:rsidRPr="003E3375">
        <w:rPr>
          <w:rFonts w:asciiTheme="minorHAnsi" w:hAnsiTheme="minorHAnsi" w:cstheme="minorHAnsi"/>
          <w:color w:val="000000" w:themeColor="text1"/>
        </w:rPr>
        <w:t>the Panel find that China's measures</w:t>
      </w:r>
      <w:r w:rsidR="00134D10" w:rsidRPr="003E3375">
        <w:rPr>
          <w:rFonts w:asciiTheme="minorHAnsi" w:hAnsiTheme="minorHAnsi" w:cstheme="minorHAnsi"/>
          <w:color w:val="000000" w:themeColor="text1"/>
        </w:rPr>
        <w:t xml:space="preserve"> </w:t>
      </w:r>
      <w:r w:rsidRPr="003E3375">
        <w:rPr>
          <w:rFonts w:asciiTheme="minorHAnsi" w:hAnsiTheme="minorHAnsi" w:cstheme="minorHAnsi"/>
          <w:color w:val="000000" w:themeColor="text1"/>
        </w:rPr>
        <w:t xml:space="preserve">are inconsistent with </w:t>
      </w:r>
      <w:r w:rsidR="00393EE3" w:rsidRPr="003E3375">
        <w:rPr>
          <w:rFonts w:asciiTheme="minorHAnsi" w:hAnsiTheme="minorHAnsi" w:cstheme="minorHAnsi"/>
          <w:color w:val="000000" w:themeColor="text1"/>
        </w:rPr>
        <w:t xml:space="preserve">its </w:t>
      </w:r>
      <w:r w:rsidRPr="003E3375">
        <w:rPr>
          <w:rFonts w:asciiTheme="minorHAnsi" w:hAnsiTheme="minorHAnsi" w:cstheme="minorHAnsi"/>
          <w:color w:val="000000" w:themeColor="text1"/>
        </w:rPr>
        <w:t>obligations under the following agreements:</w:t>
      </w:r>
    </w:p>
    <w:p w14:paraId="6A1DCD80" w14:textId="77777777" w:rsidR="00564C6E" w:rsidRPr="003E3375" w:rsidRDefault="00564C6E" w:rsidP="00E72E98">
      <w:pPr>
        <w:pStyle w:val="P2-B1Paragraph2-Bullet1"/>
        <w:tabs>
          <w:tab w:val="clear" w:pos="1701"/>
          <w:tab w:val="num" w:pos="1134"/>
        </w:tabs>
        <w:spacing w:line="276" w:lineRule="auto"/>
        <w:ind w:left="1134" w:hanging="567"/>
        <w:rPr>
          <w:rFonts w:asciiTheme="minorHAnsi" w:hAnsiTheme="minorHAnsi" w:cstheme="minorHAnsi"/>
          <w:color w:val="000000" w:themeColor="text1"/>
        </w:rPr>
      </w:pPr>
      <w:r w:rsidRPr="003E3375">
        <w:rPr>
          <w:rFonts w:asciiTheme="minorHAnsi" w:hAnsiTheme="minorHAnsi" w:cstheme="minorHAnsi"/>
          <w:color w:val="000000" w:themeColor="text1"/>
        </w:rPr>
        <w:t>Articles 1, 2.4 and 2.4.2, 3.1, 3.2, 3.4, 3.5, 4.1, 5.1, 5.2, 5.3, 5.4, 5.8, 6.1, 6.2, 6.4, 6.5.1, 6.6, 6.8 and paragraphs 1, 3, 5, 6 and 7 of Annex II, 6.9, 6.10, 9.1, 9.2, 9.3, 12.2 and 12.2.2 of the Anti-Dumping Agreement;</w:t>
      </w:r>
    </w:p>
    <w:p w14:paraId="14619EB7" w14:textId="77777777" w:rsidR="00564C6E" w:rsidRPr="003E3375" w:rsidRDefault="00564C6E" w:rsidP="00E72E98">
      <w:pPr>
        <w:pStyle w:val="P2-B1Paragraph2-Bullet1"/>
        <w:tabs>
          <w:tab w:val="clear" w:pos="1701"/>
          <w:tab w:val="num" w:pos="1134"/>
        </w:tabs>
        <w:spacing w:line="276" w:lineRule="auto"/>
        <w:ind w:left="1134" w:hanging="567"/>
        <w:rPr>
          <w:rFonts w:asciiTheme="minorHAnsi" w:hAnsiTheme="minorHAnsi" w:cstheme="minorHAnsi"/>
          <w:color w:val="000000" w:themeColor="text1"/>
        </w:rPr>
      </w:pPr>
      <w:r w:rsidRPr="003E3375">
        <w:rPr>
          <w:rFonts w:asciiTheme="minorHAnsi" w:hAnsiTheme="minorHAnsi" w:cstheme="minorHAnsi"/>
          <w:color w:val="000000" w:themeColor="text1"/>
        </w:rPr>
        <w:t xml:space="preserve">Articles 1.1(a), 1.1(b), 1.2, 2.1, 2.4, 10, 11.1, 11.2, 11.3, 11.4, 11.9, 12.1, 12.3, 12.4.1, 12.5, 12.7, 12.8, 15.1, 15.2, 15.4, 15.5, 16.1, 19.4, 22.3, 22.5 and 32.1 of the SCM Agreement; and </w:t>
      </w:r>
    </w:p>
    <w:p w14:paraId="00128596" w14:textId="77777777" w:rsidR="00564C6E" w:rsidRPr="003E3375" w:rsidRDefault="00564C6E" w:rsidP="00E72E98">
      <w:pPr>
        <w:pStyle w:val="P2-B1Paragraph2-Bullet1"/>
        <w:tabs>
          <w:tab w:val="clear" w:pos="1701"/>
          <w:tab w:val="num" w:pos="1134"/>
        </w:tabs>
        <w:spacing w:line="276" w:lineRule="auto"/>
        <w:ind w:left="1134" w:hanging="567"/>
        <w:rPr>
          <w:rFonts w:asciiTheme="minorHAnsi" w:hAnsiTheme="minorHAnsi" w:cstheme="minorHAnsi"/>
          <w:color w:val="000000" w:themeColor="text1"/>
        </w:rPr>
      </w:pPr>
      <w:r w:rsidRPr="003E3375">
        <w:rPr>
          <w:rFonts w:asciiTheme="minorHAnsi" w:hAnsiTheme="minorHAnsi" w:cstheme="minorHAnsi"/>
          <w:color w:val="000000" w:themeColor="text1"/>
        </w:rPr>
        <w:t xml:space="preserve">Articles VI:2 and VI:3 of the GATT 1994. </w:t>
      </w:r>
    </w:p>
    <w:p w14:paraId="759EF2F2" w14:textId="297D72EC" w:rsidR="00564C6E" w:rsidRPr="003E3375" w:rsidRDefault="00564C6E" w:rsidP="00E72E98">
      <w:pPr>
        <w:pStyle w:val="P1-N1Paragraph1-Number1"/>
        <w:spacing w:line="276" w:lineRule="auto"/>
        <w:rPr>
          <w:rFonts w:asciiTheme="minorHAnsi" w:hAnsiTheme="minorHAnsi" w:cstheme="minorHAnsi"/>
          <w:color w:val="000000" w:themeColor="text1"/>
        </w:rPr>
      </w:pPr>
      <w:r w:rsidRPr="003E3375">
        <w:rPr>
          <w:rFonts w:asciiTheme="minorHAnsi" w:hAnsiTheme="minorHAnsi" w:cstheme="minorHAnsi"/>
          <w:color w:val="000000" w:themeColor="text1"/>
        </w:rPr>
        <w:t xml:space="preserve">Australia further requests, pursuant to Article 19.1 of the DSU, that the Panel recommend to the DSB that it request China to bring its measures into conformity with its obligations under the Anti-Dumping Agreement, the SCM Agreement and the GATT 1994. </w:t>
      </w:r>
    </w:p>
    <w:sectPr w:rsidR="00564C6E" w:rsidRPr="003E3375" w:rsidSect="0081244F">
      <w:headerReference w:type="first" r:id="rId37"/>
      <w:pgSz w:w="11906" w:h="16838" w:code="9"/>
      <w:pgMar w:top="1701"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2CD2" w14:textId="77777777" w:rsidR="00651731" w:rsidRDefault="00651731" w:rsidP="00006269">
      <w:pPr>
        <w:spacing w:after="0" w:line="240" w:lineRule="auto"/>
      </w:pPr>
      <w:r>
        <w:separator/>
      </w:r>
    </w:p>
  </w:endnote>
  <w:endnote w:type="continuationSeparator" w:id="0">
    <w:p w14:paraId="0C204635" w14:textId="77777777" w:rsidR="00651731" w:rsidRDefault="00651731"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62808"/>
      <w:docPartObj>
        <w:docPartGallery w:val="Page Numbers (Bottom of Page)"/>
        <w:docPartUnique/>
      </w:docPartObj>
    </w:sdtPr>
    <w:sdtEndPr>
      <w:rPr>
        <w:noProof/>
      </w:rPr>
    </w:sdtEndPr>
    <w:sdtContent>
      <w:p w14:paraId="6F44577A" w14:textId="531FE84A" w:rsidR="005D36EC" w:rsidRDefault="005D36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FB5359" w14:textId="103C95D0" w:rsidR="005D36EC" w:rsidRDefault="005D3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79445"/>
      <w:docPartObj>
        <w:docPartGallery w:val="Page Numbers (Bottom of Page)"/>
        <w:docPartUnique/>
      </w:docPartObj>
    </w:sdtPr>
    <w:sdtEndPr>
      <w:rPr>
        <w:noProof/>
      </w:rPr>
    </w:sdtEndPr>
    <w:sdtContent>
      <w:p w14:paraId="1AD8DBC6" w14:textId="583B9A1E" w:rsidR="005D36EC" w:rsidRDefault="005D36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511178" w14:textId="77777777" w:rsidR="005D36EC" w:rsidRDefault="005D3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C400" w14:textId="77777777" w:rsidR="00651731" w:rsidRDefault="00651731" w:rsidP="00006269">
      <w:pPr>
        <w:spacing w:after="0" w:line="240" w:lineRule="auto"/>
      </w:pPr>
      <w:r>
        <w:separator/>
      </w:r>
    </w:p>
  </w:footnote>
  <w:footnote w:type="continuationSeparator" w:id="0">
    <w:p w14:paraId="6D7ACD3C" w14:textId="77777777" w:rsidR="00651731" w:rsidRDefault="00651731" w:rsidP="00006269">
      <w:pPr>
        <w:spacing w:after="0" w:line="240" w:lineRule="auto"/>
      </w:pPr>
      <w:r>
        <w:continuationSeparator/>
      </w:r>
    </w:p>
  </w:footnote>
  <w:footnote w:id="1">
    <w:p w14:paraId="3B5FC294" w14:textId="73C95DF1"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Anti-Dumping Final Determination (Exhibit AUS-2), p. 22.</w:t>
      </w:r>
    </w:p>
  </w:footnote>
  <w:footnote w:id="2">
    <w:p w14:paraId="727D68F3" w14:textId="77777777" w:rsidR="005D36EC" w:rsidRPr="003E3375" w:rsidRDefault="005D36EC" w:rsidP="000F22E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Countervailing Duties Final Determination (Exhibit AUS</w:t>
      </w:r>
      <w:r w:rsidRPr="003E3375">
        <w:rPr>
          <w:rFonts w:asciiTheme="minorHAnsi" w:hAnsiTheme="minorHAnsi" w:cstheme="minorHAnsi"/>
          <w:szCs w:val="18"/>
        </w:rPr>
        <w:noBreakHyphen/>
        <w:t>11), pp. 7-9.</w:t>
      </w:r>
    </w:p>
  </w:footnote>
  <w:footnote w:id="3">
    <w:p w14:paraId="5030201F" w14:textId="77777777" w:rsidR="005D36EC" w:rsidRPr="003E3375" w:rsidRDefault="005D36EC" w:rsidP="000F22E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Countervailing Duties Final Determination (Exhibit AUS</w:t>
      </w:r>
      <w:r w:rsidRPr="003E3375">
        <w:rPr>
          <w:rFonts w:asciiTheme="minorHAnsi" w:hAnsiTheme="minorHAnsi" w:cstheme="minorHAnsi"/>
          <w:szCs w:val="18"/>
        </w:rPr>
        <w:noBreakHyphen/>
        <w:t>11), pp. 9-10.</w:t>
      </w:r>
    </w:p>
  </w:footnote>
  <w:footnote w:id="4">
    <w:p w14:paraId="614D2A30" w14:textId="77777777" w:rsidR="005D36EC" w:rsidRPr="003E3375" w:rsidRDefault="005D36EC" w:rsidP="000F22E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Countervailing Duties Final Determination (Exhibit AUS</w:t>
      </w:r>
      <w:r w:rsidRPr="003E3375">
        <w:rPr>
          <w:rFonts w:asciiTheme="minorHAnsi" w:hAnsiTheme="minorHAnsi" w:cstheme="minorHAnsi"/>
          <w:szCs w:val="18"/>
        </w:rPr>
        <w:noBreakHyphen/>
        <w:t>11), pp. 10-12.</w:t>
      </w:r>
    </w:p>
  </w:footnote>
  <w:footnote w:id="5">
    <w:p w14:paraId="685866FA" w14:textId="5500A6CB" w:rsidR="005D36EC" w:rsidRPr="003E3375" w:rsidRDefault="005D36EC" w:rsidP="000F22E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bookmarkStart w:id="5" w:name="_Hlk83914379"/>
      <w:r w:rsidR="003E0C0B" w:rsidRPr="003E3375">
        <w:rPr>
          <w:rFonts w:asciiTheme="minorHAnsi" w:hAnsiTheme="minorHAnsi" w:cstheme="minorHAnsi"/>
          <w:szCs w:val="18"/>
        </w:rPr>
        <w:t xml:space="preserve"> </w:t>
      </w:r>
      <w:r w:rsidRPr="003E3375">
        <w:rPr>
          <w:rFonts w:asciiTheme="minorHAnsi" w:hAnsiTheme="minorHAnsi" w:cstheme="minorHAnsi"/>
          <w:szCs w:val="18"/>
        </w:rPr>
        <w:t>Countervailing Duties Announcement (Exhibit AUS-4), p. 1; Countervailing Duties Final Determination (Exhibit AUS</w:t>
      </w:r>
      <w:r w:rsidRPr="003E3375">
        <w:rPr>
          <w:rFonts w:asciiTheme="minorHAnsi" w:hAnsiTheme="minorHAnsi" w:cstheme="minorHAnsi"/>
          <w:szCs w:val="18"/>
        </w:rPr>
        <w:noBreakHyphen/>
      </w:r>
      <w:bookmarkEnd w:id="5"/>
      <w:r w:rsidRPr="003E3375">
        <w:rPr>
          <w:rFonts w:asciiTheme="minorHAnsi" w:hAnsiTheme="minorHAnsi" w:cstheme="minorHAnsi"/>
          <w:szCs w:val="18"/>
        </w:rPr>
        <w:t>11), p.</w:t>
      </w:r>
      <w:r w:rsidR="003E0C0B" w:rsidRPr="003E3375">
        <w:rPr>
          <w:rFonts w:asciiTheme="minorHAnsi" w:hAnsiTheme="minorHAnsi" w:cstheme="minorHAnsi"/>
          <w:szCs w:val="18"/>
        </w:rPr>
        <w:t> </w:t>
      </w:r>
      <w:r w:rsidRPr="003E3375">
        <w:rPr>
          <w:rFonts w:asciiTheme="minorHAnsi" w:hAnsiTheme="minorHAnsi" w:cstheme="minorHAnsi"/>
          <w:szCs w:val="18"/>
        </w:rPr>
        <w:t>22.</w:t>
      </w:r>
    </w:p>
  </w:footnote>
  <w:footnote w:id="6">
    <w:p w14:paraId="6E66DA22" w14:textId="6044C7D7" w:rsidR="005D36EC" w:rsidRPr="003E3375" w:rsidRDefault="005D36EC" w:rsidP="0021349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Anti-Dumping Duty Announcement (Exhibit AUS-3)</w:t>
      </w:r>
      <w:r w:rsidR="00FC11C0" w:rsidRPr="003E3375">
        <w:rPr>
          <w:rFonts w:asciiTheme="minorHAnsi" w:hAnsiTheme="minorHAnsi" w:cstheme="minorHAnsi"/>
          <w:szCs w:val="18"/>
        </w:rPr>
        <w:t>,</w:t>
      </w:r>
      <w:r w:rsidRPr="003E3375">
        <w:rPr>
          <w:rFonts w:asciiTheme="minorHAnsi" w:hAnsiTheme="minorHAnsi" w:cstheme="minorHAnsi"/>
          <w:szCs w:val="18"/>
        </w:rPr>
        <w:t xml:space="preserve"> p. 1; Countervailing Duties Announcement (Exhibit AUS-4)</w:t>
      </w:r>
      <w:r w:rsidR="00FC11C0" w:rsidRPr="003E3375">
        <w:rPr>
          <w:rFonts w:asciiTheme="minorHAnsi" w:hAnsiTheme="minorHAnsi" w:cstheme="minorHAnsi"/>
          <w:szCs w:val="18"/>
        </w:rPr>
        <w:t>,</w:t>
      </w:r>
      <w:r w:rsidRPr="003E3375">
        <w:rPr>
          <w:rFonts w:asciiTheme="minorHAnsi" w:hAnsiTheme="minorHAnsi" w:cstheme="minorHAnsi"/>
          <w:szCs w:val="18"/>
        </w:rPr>
        <w:t xml:space="preserve"> p. 1.</w:t>
      </w:r>
    </w:p>
  </w:footnote>
  <w:footnote w:id="7">
    <w:p w14:paraId="5894201F" w14:textId="75823BE9"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 </w:t>
      </w:r>
      <w:r w:rsidRPr="003E3375">
        <w:rPr>
          <w:rFonts w:asciiTheme="minorHAnsi" w:hAnsiTheme="minorHAnsi" w:cstheme="minorHAnsi"/>
          <w:i/>
          <w:iCs/>
          <w:szCs w:val="18"/>
        </w:rPr>
        <w:t>US – Softwood Lumber VI</w:t>
      </w:r>
      <w:r w:rsidRPr="003E3375">
        <w:rPr>
          <w:rFonts w:asciiTheme="minorHAnsi" w:hAnsiTheme="minorHAnsi" w:cstheme="minorHAnsi"/>
          <w:szCs w:val="18"/>
        </w:rPr>
        <w:t>, para. 7.15; Australia's first written submission, section I.E.</w:t>
      </w:r>
    </w:p>
  </w:footnote>
  <w:footnote w:id="8">
    <w:p w14:paraId="6D12D7EB" w14:textId="77777777" w:rsidR="005D36EC" w:rsidRPr="003E3375" w:rsidRDefault="005D36EC" w:rsidP="007622E5">
      <w:pPr>
        <w:pStyle w:val="FootnoteText"/>
        <w:rPr>
          <w:rFonts w:asciiTheme="minorHAnsi" w:hAnsiTheme="minorHAnsi" w:cstheme="minorHAnsi"/>
          <w:szCs w:val="18"/>
          <w:lang w:val="en-CA"/>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 </w:t>
      </w:r>
      <w:r w:rsidRPr="003E3375">
        <w:rPr>
          <w:rFonts w:asciiTheme="minorHAnsi" w:hAnsiTheme="minorHAnsi" w:cstheme="minorHAnsi"/>
          <w:i/>
          <w:iCs/>
          <w:szCs w:val="18"/>
        </w:rPr>
        <w:t>EC – Tube or Pipe Fittings</w:t>
      </w:r>
      <w:r w:rsidRPr="003E3375">
        <w:rPr>
          <w:rFonts w:asciiTheme="minorHAnsi" w:hAnsiTheme="minorHAnsi" w:cstheme="minorHAnsi"/>
          <w:szCs w:val="18"/>
        </w:rPr>
        <w:t>, para. 7.397.</w:t>
      </w:r>
    </w:p>
  </w:footnote>
  <w:footnote w:id="9">
    <w:p w14:paraId="277BF0E1" w14:textId="634D64B6"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Anti-Dumping Final Determination (Exhibit AUS-2), p. 14; Countervailing Duties Final Determination (Exhibit AUS-11), p. 14.</w:t>
      </w:r>
    </w:p>
  </w:footnote>
  <w:footnote w:id="10">
    <w:p w14:paraId="06F2326F" w14:textId="77777777"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opening statement at the second meeting of the Panel, para. 39.</w:t>
      </w:r>
    </w:p>
  </w:footnote>
  <w:footnote w:id="11">
    <w:p w14:paraId="14857AB5" w14:textId="72C7626D"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Anti-Dumping Final Determination (Exhibit AUS-2), pp. 13-14; Countervailing Duties Final Determination (Exhibit AUS-11), p. 14; Australia's first written submission, para. 546.</w:t>
      </w:r>
    </w:p>
  </w:footnote>
  <w:footnote w:id="12">
    <w:p w14:paraId="5FC135F0" w14:textId="77777777"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 28.</w:t>
      </w:r>
    </w:p>
  </w:footnote>
  <w:footnote w:id="13">
    <w:p w14:paraId="123F1D45" w14:textId="77777777"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Relevant organizations (Exhibit CHN-15 (BCI)).</w:t>
      </w:r>
    </w:p>
  </w:footnote>
  <w:footnote w:id="14">
    <w:p w14:paraId="1A5294D2" w14:textId="77777777"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 28.</w:t>
      </w:r>
    </w:p>
  </w:footnote>
  <w:footnote w:id="15">
    <w:p w14:paraId="7FB323A0" w14:textId="46CC1E0F"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546-549.</w:t>
      </w:r>
    </w:p>
  </w:footnote>
  <w:footnote w:id="16">
    <w:p w14:paraId="6D23EAF8" w14:textId="7BCF0789"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opening statement at the second meeting of the Panel, para. 40 and footnotes thereto.</w:t>
      </w:r>
    </w:p>
  </w:footnote>
  <w:footnote w:id="17">
    <w:p w14:paraId="15FA0C28" w14:textId="77777777"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w:t>
      </w:r>
      <w:r w:rsidRPr="00B747DB">
        <w:rPr>
          <w:rFonts w:asciiTheme="minorHAnsi" w:hAnsiTheme="minorHAnsi" w:cstheme="minorHAnsi"/>
          <w:szCs w:val="18"/>
        </w:rPr>
        <w:t>China's response to Panel question No. 43 following the first meeting of the Panel, para. 142.</w:t>
      </w:r>
    </w:p>
  </w:footnote>
  <w:footnote w:id="18">
    <w:p w14:paraId="5503C512" w14:textId="53AE7B73" w:rsidR="005D36EC" w:rsidRPr="003E3375" w:rsidRDefault="005D36EC" w:rsidP="007521F4">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paras. 29-30. See also Australia's opening statement at the second meeting of the </w:t>
      </w:r>
      <w:r w:rsidR="007A6CCA" w:rsidRPr="003E3375">
        <w:rPr>
          <w:rFonts w:asciiTheme="minorHAnsi" w:hAnsiTheme="minorHAnsi" w:cstheme="minorHAnsi"/>
          <w:szCs w:val="18"/>
        </w:rPr>
        <w:t>P</w:t>
      </w:r>
      <w:r w:rsidRPr="003E3375">
        <w:rPr>
          <w:rFonts w:asciiTheme="minorHAnsi" w:hAnsiTheme="minorHAnsi" w:cstheme="minorHAnsi"/>
          <w:szCs w:val="18"/>
        </w:rPr>
        <w:t>anel, para. 40.</w:t>
      </w:r>
    </w:p>
  </w:footnote>
  <w:footnote w:id="19">
    <w:p w14:paraId="32826B97" w14:textId="4FD24C8C" w:rsidR="005D36EC" w:rsidRPr="003E3375" w:rsidRDefault="005D36EC" w:rsidP="009261CB">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paras. 29-30. See also Australia's first written submission, </w:t>
      </w:r>
      <w:r w:rsidR="006F2041" w:rsidRPr="003E3375">
        <w:rPr>
          <w:rFonts w:asciiTheme="minorHAnsi" w:hAnsiTheme="minorHAnsi" w:cstheme="minorHAnsi"/>
          <w:szCs w:val="18"/>
        </w:rPr>
        <w:t>section IV.A</w:t>
      </w:r>
      <w:r w:rsidRPr="003E3375">
        <w:rPr>
          <w:rFonts w:asciiTheme="minorHAnsi" w:hAnsiTheme="minorHAnsi" w:cstheme="minorHAnsi"/>
          <w:szCs w:val="18"/>
        </w:rPr>
        <w:t xml:space="preserve">; Appellate Body Reports, </w:t>
      </w:r>
      <w:r w:rsidRPr="003E3375">
        <w:rPr>
          <w:rFonts w:asciiTheme="minorHAnsi" w:hAnsiTheme="minorHAnsi" w:cstheme="minorHAnsi"/>
          <w:i/>
          <w:iCs/>
          <w:szCs w:val="18"/>
        </w:rPr>
        <w:t>EC – Fasteners (China)</w:t>
      </w:r>
      <w:r w:rsidRPr="003E3375">
        <w:rPr>
          <w:rFonts w:asciiTheme="minorHAnsi" w:hAnsiTheme="minorHAnsi" w:cstheme="minorHAnsi"/>
          <w:szCs w:val="18"/>
        </w:rPr>
        <w:t xml:space="preserve">, para. 418; </w:t>
      </w:r>
      <w:r w:rsidRPr="003E3375">
        <w:rPr>
          <w:rFonts w:asciiTheme="minorHAnsi" w:hAnsiTheme="minorHAnsi" w:cstheme="minorHAnsi"/>
          <w:i/>
          <w:iCs/>
          <w:szCs w:val="18"/>
          <w:lang w:eastAsia="zh-CN"/>
        </w:rPr>
        <w:t>EC – Fasteners (China) (</w:t>
      </w:r>
      <w:r w:rsidRPr="003E3375">
        <w:rPr>
          <w:rFonts w:asciiTheme="minorHAnsi" w:hAnsiTheme="minorHAnsi" w:cstheme="minorHAnsi"/>
          <w:i/>
          <w:iCs/>
          <w:szCs w:val="18"/>
        </w:rPr>
        <w:t>Article 21.5 – China</w:t>
      </w:r>
      <w:r w:rsidRPr="003E3375">
        <w:rPr>
          <w:rFonts w:asciiTheme="minorHAnsi" w:hAnsiTheme="minorHAnsi" w:cstheme="minorHAnsi"/>
          <w:i/>
          <w:iCs/>
          <w:szCs w:val="18"/>
          <w:lang w:eastAsia="zh-CN"/>
        </w:rPr>
        <w:t>)</w:t>
      </w:r>
      <w:r w:rsidRPr="003E3375">
        <w:rPr>
          <w:rFonts w:asciiTheme="minorHAnsi" w:hAnsiTheme="minorHAnsi" w:cstheme="minorHAnsi"/>
          <w:szCs w:val="18"/>
          <w:lang w:eastAsia="zh-CN"/>
        </w:rPr>
        <w:t>, para. 5.323.</w:t>
      </w:r>
    </w:p>
  </w:footnote>
  <w:footnote w:id="20">
    <w:p w14:paraId="1EF9E5E2" w14:textId="38FD4B45"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first written submission, para. 435. See also China's responses to Panel question Nos. 43, 44 and 55 following the first meeting of the Panel</w:t>
      </w:r>
      <w:r w:rsidR="00254797" w:rsidRPr="003E3375">
        <w:rPr>
          <w:rFonts w:asciiTheme="minorHAnsi" w:hAnsiTheme="minorHAnsi" w:cstheme="minorHAnsi"/>
          <w:szCs w:val="18"/>
        </w:rPr>
        <w:t>;</w:t>
      </w:r>
      <w:r w:rsidRPr="003E3375">
        <w:rPr>
          <w:rFonts w:asciiTheme="minorHAnsi" w:hAnsiTheme="minorHAnsi" w:cstheme="minorHAnsi"/>
          <w:szCs w:val="18"/>
        </w:rPr>
        <w:t xml:space="preserve"> China's second written submission, paras. 139-140.</w:t>
      </w:r>
    </w:p>
  </w:footnote>
  <w:footnote w:id="21">
    <w:p w14:paraId="73F4C3D9" w14:textId="77777777"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second written submission, para. 140.</w:t>
      </w:r>
    </w:p>
  </w:footnote>
  <w:footnote w:id="22">
    <w:p w14:paraId="100A573E" w14:textId="0ECD9EA6"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opening statement at the second meeting of the Panel, para. 42. See also Australia's second written submission, paras. 32-35.</w:t>
      </w:r>
    </w:p>
  </w:footnote>
  <w:footnote w:id="23">
    <w:p w14:paraId="77C19F4A" w14:textId="77777777"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opening statement at the second meeting of the Panel, para. 43.</w:t>
      </w:r>
    </w:p>
  </w:footnote>
  <w:footnote w:id="24">
    <w:p w14:paraId="5A08DBCF" w14:textId="77777777"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 35.</w:t>
      </w:r>
    </w:p>
  </w:footnote>
  <w:footnote w:id="25">
    <w:p w14:paraId="20E56CD7" w14:textId="11491CD6" w:rsidR="005D36EC" w:rsidRPr="003E3375" w:rsidRDefault="005D36EC" w:rsidP="007622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opening statement at the second meeting of the Panel, para. 45. See also Australia's second written submission, paras. 34-35.</w:t>
      </w:r>
    </w:p>
  </w:footnote>
  <w:footnote w:id="26">
    <w:p w14:paraId="13727896" w14:textId="1AE724B6" w:rsidR="005D36EC" w:rsidRPr="003E3375" w:rsidRDefault="005D36EC" w:rsidP="00B6009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VII.B</w:t>
      </w:r>
      <w:r w:rsidR="006F2041" w:rsidRPr="003E3375">
        <w:rPr>
          <w:rFonts w:asciiTheme="minorHAnsi" w:hAnsiTheme="minorHAnsi" w:cstheme="minorHAnsi"/>
          <w:szCs w:val="18"/>
        </w:rPr>
        <w:t>.1</w:t>
      </w:r>
      <w:r w:rsidRPr="003E3375">
        <w:rPr>
          <w:rFonts w:asciiTheme="minorHAnsi" w:hAnsiTheme="minorHAnsi" w:cstheme="minorHAnsi"/>
          <w:szCs w:val="18"/>
        </w:rPr>
        <w:t>; second written submission, section II.B.2.</w:t>
      </w:r>
    </w:p>
  </w:footnote>
  <w:footnote w:id="27">
    <w:p w14:paraId="4B29021E" w14:textId="2AEC7EA8" w:rsidR="005D36EC" w:rsidRPr="003E3375" w:rsidRDefault="005D36EC" w:rsidP="00371993">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The unique exception is where the applicant itself constitutes the domestic industry. See generally Canada's third party submission, para. 12; Australia's first written submission, para. 766; response to Panel question No. 55</w:t>
      </w:r>
      <w:r w:rsidR="002A553F" w:rsidRPr="003E3375">
        <w:rPr>
          <w:rFonts w:asciiTheme="minorHAnsi" w:hAnsiTheme="minorHAnsi" w:cstheme="minorHAnsi"/>
          <w:szCs w:val="18"/>
        </w:rPr>
        <w:t xml:space="preserve"> following the first meeting of the Panel</w:t>
      </w:r>
      <w:r w:rsidRPr="003E3375">
        <w:rPr>
          <w:rFonts w:asciiTheme="minorHAnsi" w:hAnsiTheme="minorHAnsi" w:cstheme="minorHAnsi"/>
          <w:szCs w:val="18"/>
        </w:rPr>
        <w:t>, para. 161.</w:t>
      </w:r>
    </w:p>
  </w:footnote>
  <w:footnote w:id="28">
    <w:p w14:paraId="7F45F872" w14:textId="198718F7" w:rsidR="005D36EC" w:rsidRPr="003E3375" w:rsidRDefault="005D36EC" w:rsidP="00E24AF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w:t>
      </w:r>
      <w:r w:rsidR="002A553F" w:rsidRPr="003E3375">
        <w:rPr>
          <w:rFonts w:asciiTheme="minorHAnsi" w:hAnsiTheme="minorHAnsi" w:cstheme="minorHAnsi"/>
          <w:szCs w:val="18"/>
        </w:rPr>
        <w:t xml:space="preserve">See </w:t>
      </w:r>
      <w:r w:rsidRPr="003E3375">
        <w:rPr>
          <w:rFonts w:asciiTheme="minorHAnsi" w:hAnsiTheme="minorHAnsi" w:cstheme="minorHAnsi"/>
          <w:szCs w:val="18"/>
        </w:rPr>
        <w:t>Australia's first written submission, para</w:t>
      </w:r>
      <w:r w:rsidR="002A553F" w:rsidRPr="003E3375">
        <w:rPr>
          <w:rFonts w:asciiTheme="minorHAnsi" w:hAnsiTheme="minorHAnsi" w:cstheme="minorHAnsi"/>
          <w:szCs w:val="18"/>
        </w:rPr>
        <w:t>s</w:t>
      </w:r>
      <w:r w:rsidRPr="003E3375">
        <w:rPr>
          <w:rFonts w:asciiTheme="minorHAnsi" w:hAnsiTheme="minorHAnsi" w:cstheme="minorHAnsi"/>
          <w:szCs w:val="18"/>
        </w:rPr>
        <w:t xml:space="preserve">. </w:t>
      </w:r>
      <w:r w:rsidR="002A553F" w:rsidRPr="003E3375">
        <w:rPr>
          <w:rFonts w:asciiTheme="minorHAnsi" w:hAnsiTheme="minorHAnsi" w:cstheme="minorHAnsi"/>
          <w:szCs w:val="18"/>
        </w:rPr>
        <w:t xml:space="preserve">751, </w:t>
      </w:r>
      <w:r w:rsidRPr="003E3375">
        <w:rPr>
          <w:rFonts w:asciiTheme="minorHAnsi" w:hAnsiTheme="minorHAnsi" w:cstheme="minorHAnsi"/>
          <w:szCs w:val="18"/>
        </w:rPr>
        <w:t>766.</w:t>
      </w:r>
    </w:p>
  </w:footnote>
  <w:footnote w:id="29">
    <w:p w14:paraId="3B55DC10" w14:textId="7D43B646"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772-775.</w:t>
      </w:r>
    </w:p>
  </w:footnote>
  <w:footnote w:id="30">
    <w:p w14:paraId="648820C4" w14:textId="67F826AD" w:rsidR="005D36EC" w:rsidRPr="003E3375" w:rsidRDefault="005D36EC" w:rsidP="002A184D">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first written submission, para. 552 and fn 386 citing Anti-Dumping Final Determination English Translation (Exhibit CHN-1), p.</w:t>
      </w:r>
      <w:r w:rsidR="0047530C" w:rsidRPr="003E3375">
        <w:rPr>
          <w:rFonts w:asciiTheme="minorHAnsi" w:hAnsiTheme="minorHAnsi" w:cstheme="minorHAnsi"/>
          <w:szCs w:val="18"/>
        </w:rPr>
        <w:t> </w:t>
      </w:r>
      <w:r w:rsidRPr="003E3375">
        <w:rPr>
          <w:rFonts w:asciiTheme="minorHAnsi" w:hAnsiTheme="minorHAnsi" w:cstheme="minorHAnsi"/>
          <w:szCs w:val="18"/>
        </w:rPr>
        <w:t>14 and Countervailing Duties Final Determination English Translation (Exhibit CHN-4), p. 14.</w:t>
      </w:r>
    </w:p>
  </w:footnote>
  <w:footnote w:id="31">
    <w:p w14:paraId="76C7B4DE" w14:textId="5E4A89B5"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paras. 22-24.</w:t>
      </w:r>
    </w:p>
  </w:footnote>
  <w:footnote w:id="32">
    <w:p w14:paraId="6638C5B5" w14:textId="68DA810E" w:rsidR="005D36EC" w:rsidRPr="003E3375" w:rsidRDefault="005D36EC" w:rsidP="00ED1E2B">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further Australia's first written submission, section VII.B; second written submission, section II.B.</w:t>
      </w:r>
    </w:p>
  </w:footnote>
  <w:footnote w:id="33">
    <w:p w14:paraId="5E8F0594" w14:textId="0FE471D2" w:rsidR="005D36EC" w:rsidRPr="003E3375" w:rsidRDefault="005D36EC" w:rsidP="001B7CA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w:t>
      </w:r>
      <w:r w:rsidR="00A30387" w:rsidRPr="003E3375">
        <w:rPr>
          <w:rFonts w:asciiTheme="minorHAnsi" w:hAnsiTheme="minorHAnsi" w:cstheme="minorHAnsi"/>
          <w:szCs w:val="18"/>
        </w:rPr>
        <w:t>s</w:t>
      </w:r>
      <w:r w:rsidRPr="003E3375">
        <w:rPr>
          <w:rFonts w:asciiTheme="minorHAnsi" w:hAnsiTheme="minorHAnsi" w:cstheme="minorHAnsi"/>
          <w:szCs w:val="18"/>
        </w:rPr>
        <w:t>. 771</w:t>
      </w:r>
      <w:r w:rsidR="00A30387" w:rsidRPr="003E3375">
        <w:rPr>
          <w:rFonts w:asciiTheme="minorHAnsi" w:hAnsiTheme="minorHAnsi" w:cstheme="minorHAnsi"/>
          <w:szCs w:val="18"/>
        </w:rPr>
        <w:t>, 780-783</w:t>
      </w:r>
      <w:r w:rsidRPr="003E3375">
        <w:rPr>
          <w:rFonts w:asciiTheme="minorHAnsi" w:hAnsiTheme="minorHAnsi" w:cstheme="minorHAnsi"/>
          <w:szCs w:val="18"/>
        </w:rPr>
        <w:t>.</w:t>
      </w:r>
    </w:p>
  </w:footnote>
  <w:footnote w:id="34">
    <w:p w14:paraId="74DFAE21" w14:textId="11F3CA65" w:rsidR="005D36EC" w:rsidRPr="003E3375" w:rsidRDefault="005D36EC" w:rsidP="00282C1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 </w:t>
      </w:r>
      <w:r w:rsidRPr="003E3375">
        <w:rPr>
          <w:rFonts w:asciiTheme="minorHAnsi" w:hAnsiTheme="minorHAnsi" w:cstheme="minorHAnsi"/>
          <w:i/>
          <w:iCs/>
          <w:szCs w:val="18"/>
        </w:rPr>
        <w:t>Mexico – Steel Pipes and Tubes</w:t>
      </w:r>
      <w:r w:rsidRPr="003E3375">
        <w:rPr>
          <w:rFonts w:asciiTheme="minorHAnsi" w:hAnsiTheme="minorHAnsi" w:cstheme="minorHAnsi"/>
          <w:szCs w:val="18"/>
        </w:rPr>
        <w:t>, para. 7.24.</w:t>
      </w:r>
    </w:p>
  </w:footnote>
  <w:footnote w:id="35">
    <w:p w14:paraId="28F4C05E" w14:textId="43A0119D" w:rsidR="005D36EC" w:rsidRPr="003E3375" w:rsidRDefault="005D36EC" w:rsidP="00332DB4">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w:t>
      </w:r>
      <w:r w:rsidR="001760EE" w:rsidRPr="003E3375">
        <w:rPr>
          <w:rFonts w:asciiTheme="minorHAnsi" w:hAnsiTheme="minorHAnsi" w:cstheme="minorHAnsi"/>
          <w:szCs w:val="18"/>
        </w:rPr>
        <w:t>s</w:t>
      </w:r>
      <w:r w:rsidRPr="003E3375">
        <w:rPr>
          <w:rFonts w:asciiTheme="minorHAnsi" w:hAnsiTheme="minorHAnsi" w:cstheme="minorHAnsi"/>
          <w:szCs w:val="18"/>
        </w:rPr>
        <w:t xml:space="preserve"> VII.A.3</w:t>
      </w:r>
      <w:r w:rsidR="000A46D4" w:rsidRPr="003E3375">
        <w:rPr>
          <w:rFonts w:asciiTheme="minorHAnsi" w:hAnsiTheme="minorHAnsi" w:cstheme="minorHAnsi"/>
          <w:szCs w:val="18"/>
        </w:rPr>
        <w:t>, VII.C</w:t>
      </w:r>
      <w:r w:rsidRPr="003E3375">
        <w:rPr>
          <w:rFonts w:asciiTheme="minorHAnsi" w:hAnsiTheme="minorHAnsi" w:cstheme="minorHAnsi"/>
          <w:szCs w:val="18"/>
        </w:rPr>
        <w:t>; second written submission, section III.B-D.</w:t>
      </w:r>
    </w:p>
  </w:footnote>
  <w:footnote w:id="36">
    <w:p w14:paraId="4545B4F2" w14:textId="07573B74" w:rsidR="005D36EC" w:rsidRPr="003E3375" w:rsidRDefault="005D36EC" w:rsidP="00332DB4">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w:t>
      </w:r>
      <w:r w:rsidR="001760EE" w:rsidRPr="003E3375">
        <w:rPr>
          <w:rFonts w:asciiTheme="minorHAnsi" w:hAnsiTheme="minorHAnsi" w:cstheme="minorHAnsi"/>
          <w:szCs w:val="18"/>
        </w:rPr>
        <w:t>s</w:t>
      </w:r>
      <w:r w:rsidRPr="003E3375">
        <w:rPr>
          <w:rFonts w:asciiTheme="minorHAnsi" w:hAnsiTheme="minorHAnsi" w:cstheme="minorHAnsi"/>
          <w:szCs w:val="18"/>
        </w:rPr>
        <w:t xml:space="preserve"> VII.A.4</w:t>
      </w:r>
      <w:r w:rsidR="001760EE" w:rsidRPr="003E3375">
        <w:rPr>
          <w:rFonts w:asciiTheme="minorHAnsi" w:hAnsiTheme="minorHAnsi" w:cstheme="minorHAnsi"/>
          <w:szCs w:val="18"/>
        </w:rPr>
        <w:t>,</w:t>
      </w:r>
      <w:r w:rsidRPr="003E3375">
        <w:rPr>
          <w:rFonts w:asciiTheme="minorHAnsi" w:hAnsiTheme="minorHAnsi" w:cstheme="minorHAnsi"/>
          <w:szCs w:val="18"/>
        </w:rPr>
        <w:t xml:space="preserve"> VII.C.</w:t>
      </w:r>
    </w:p>
  </w:footnote>
  <w:footnote w:id="37">
    <w:p w14:paraId="13EBAD06" w14:textId="2CBBE53D"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784-820</w:t>
      </w:r>
      <w:r w:rsidR="00A905BA" w:rsidRPr="003E3375">
        <w:rPr>
          <w:rFonts w:asciiTheme="minorHAnsi" w:hAnsiTheme="minorHAnsi" w:cstheme="minorHAnsi"/>
          <w:szCs w:val="18"/>
        </w:rPr>
        <w:t>; second written submission, paras. 19-</w:t>
      </w:r>
      <w:r w:rsidR="005B0981" w:rsidRPr="003E3375">
        <w:rPr>
          <w:rFonts w:asciiTheme="minorHAnsi" w:hAnsiTheme="minorHAnsi" w:cstheme="minorHAnsi"/>
          <w:szCs w:val="18"/>
        </w:rPr>
        <w:t>21</w:t>
      </w:r>
      <w:r w:rsidR="00114031" w:rsidRPr="003E3375">
        <w:rPr>
          <w:rFonts w:asciiTheme="minorHAnsi" w:hAnsiTheme="minorHAnsi" w:cstheme="minorHAnsi"/>
          <w:szCs w:val="18"/>
        </w:rPr>
        <w:t xml:space="preserve">, </w:t>
      </w:r>
      <w:r w:rsidR="005B0981" w:rsidRPr="003E3375">
        <w:rPr>
          <w:rFonts w:asciiTheme="minorHAnsi" w:hAnsiTheme="minorHAnsi" w:cstheme="minorHAnsi"/>
          <w:szCs w:val="18"/>
        </w:rPr>
        <w:t>39-</w:t>
      </w:r>
      <w:r w:rsidR="000654A9" w:rsidRPr="003E3375">
        <w:rPr>
          <w:rFonts w:asciiTheme="minorHAnsi" w:hAnsiTheme="minorHAnsi" w:cstheme="minorHAnsi"/>
          <w:szCs w:val="18"/>
        </w:rPr>
        <w:t>50.</w:t>
      </w:r>
    </w:p>
  </w:footnote>
  <w:footnote w:id="38">
    <w:p w14:paraId="422540B0" w14:textId="5C8B0BB6" w:rsidR="005D36EC" w:rsidRPr="003E3375" w:rsidRDefault="005D36EC" w:rsidP="007719AA">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VII.</w:t>
      </w:r>
      <w:r w:rsidR="005C6C72" w:rsidRPr="003E3375">
        <w:rPr>
          <w:rFonts w:asciiTheme="minorHAnsi" w:hAnsiTheme="minorHAnsi" w:cstheme="minorHAnsi"/>
          <w:szCs w:val="18"/>
        </w:rPr>
        <w:t>C.1.(b)</w:t>
      </w:r>
      <w:r w:rsidRPr="003E3375">
        <w:rPr>
          <w:rFonts w:asciiTheme="minorHAnsi" w:hAnsiTheme="minorHAnsi" w:cstheme="minorHAnsi"/>
          <w:szCs w:val="18"/>
        </w:rPr>
        <w:t>; second written submission, para. 42.</w:t>
      </w:r>
    </w:p>
  </w:footnote>
  <w:footnote w:id="39">
    <w:p w14:paraId="76002DD5" w14:textId="22F7D782"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813.</w:t>
      </w:r>
    </w:p>
  </w:footnote>
  <w:footnote w:id="40">
    <w:p w14:paraId="43C4CF0E"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375-376; Appellate Body Report, </w:t>
      </w:r>
      <w:r w:rsidRPr="003E3375">
        <w:rPr>
          <w:rFonts w:asciiTheme="minorHAnsi" w:hAnsiTheme="minorHAnsi" w:cstheme="minorHAnsi"/>
          <w:i/>
          <w:szCs w:val="18"/>
        </w:rPr>
        <w:t>US – Hot-Rolled Steel</w:t>
      </w:r>
      <w:r w:rsidRPr="003E3375">
        <w:rPr>
          <w:rFonts w:asciiTheme="minorHAnsi" w:hAnsiTheme="minorHAnsi" w:cstheme="minorHAnsi"/>
          <w:szCs w:val="18"/>
        </w:rPr>
        <w:t xml:space="preserve">, para. 77; Panel Report, </w:t>
      </w:r>
      <w:r w:rsidRPr="003E3375">
        <w:rPr>
          <w:rFonts w:asciiTheme="minorHAnsi" w:hAnsiTheme="minorHAnsi" w:cstheme="minorHAnsi"/>
          <w:i/>
          <w:szCs w:val="18"/>
        </w:rPr>
        <w:t>Mexico – Anti-Dumping Measures on Rice</w:t>
      </w:r>
      <w:r w:rsidRPr="003E3375">
        <w:rPr>
          <w:rFonts w:asciiTheme="minorHAnsi" w:hAnsiTheme="minorHAnsi" w:cstheme="minorHAnsi"/>
          <w:szCs w:val="18"/>
        </w:rPr>
        <w:t>, para. 7.238.</w:t>
      </w:r>
    </w:p>
  </w:footnote>
  <w:footnote w:id="41">
    <w:p w14:paraId="7048197C" w14:textId="1E119801"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 contends that MOFCOM did not use facts available with respect to Group 2 traders. </w:t>
      </w:r>
      <w:r w:rsidR="00D202D2" w:rsidRPr="003E3375">
        <w:rPr>
          <w:rFonts w:asciiTheme="minorHAnsi" w:hAnsiTheme="minorHAnsi" w:cstheme="minorHAnsi"/>
          <w:szCs w:val="18"/>
        </w:rPr>
        <w:t xml:space="preserve">It is evident from MOFCOM's Final </w:t>
      </w:r>
      <w:r w:rsidR="007A6CE3" w:rsidRPr="003E3375">
        <w:rPr>
          <w:rFonts w:asciiTheme="minorHAnsi" w:hAnsiTheme="minorHAnsi" w:cstheme="minorHAnsi"/>
          <w:szCs w:val="18"/>
        </w:rPr>
        <w:t>D</w:t>
      </w:r>
      <w:r w:rsidR="00D202D2" w:rsidRPr="003E3375">
        <w:rPr>
          <w:rFonts w:asciiTheme="minorHAnsi" w:hAnsiTheme="minorHAnsi" w:cstheme="minorHAnsi"/>
          <w:szCs w:val="18"/>
        </w:rPr>
        <w:t>etermination that it was because of the alleged lack of necessary information that it purported to resort to other available "facts" on the record.</w:t>
      </w:r>
      <w:r w:rsidR="007A6CE3" w:rsidRPr="003E3375">
        <w:rPr>
          <w:rFonts w:asciiTheme="minorHAnsi" w:hAnsiTheme="minorHAnsi" w:cstheme="minorHAnsi"/>
          <w:szCs w:val="18"/>
        </w:rPr>
        <w:t xml:space="preserve"> This is a clear application of "facts available"</w:t>
      </w:r>
      <w:r w:rsidR="00312FF7" w:rsidRPr="003E3375">
        <w:rPr>
          <w:rFonts w:asciiTheme="minorHAnsi" w:hAnsiTheme="minorHAnsi" w:cstheme="minorHAnsi"/>
          <w:szCs w:val="18"/>
        </w:rPr>
        <w:t>, conduct to which Article 6.8 of the Anti-Dumping Agreement applies</w:t>
      </w:r>
      <w:r w:rsidR="007A6CE3" w:rsidRPr="003E3375">
        <w:rPr>
          <w:rFonts w:asciiTheme="minorHAnsi" w:hAnsiTheme="minorHAnsi" w:cstheme="minorHAnsi"/>
          <w:szCs w:val="18"/>
        </w:rPr>
        <w:t xml:space="preserve">. See </w:t>
      </w:r>
      <w:r w:rsidRPr="003E3375">
        <w:rPr>
          <w:rFonts w:asciiTheme="minorHAnsi" w:hAnsiTheme="minorHAnsi" w:cstheme="minorHAnsi"/>
          <w:szCs w:val="18"/>
        </w:rPr>
        <w:t>Australia's second written submission, section V.C.2.(a).</w:t>
      </w:r>
    </w:p>
  </w:footnote>
  <w:footnote w:id="42">
    <w:p w14:paraId="19069C3E" w14:textId="4C93569C"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 115.</w:t>
      </w:r>
    </w:p>
  </w:footnote>
  <w:footnote w:id="43">
    <w:p w14:paraId="2DA4A31B"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Reports, </w:t>
      </w:r>
      <w:r w:rsidRPr="003E3375">
        <w:rPr>
          <w:rFonts w:asciiTheme="minorHAnsi" w:hAnsiTheme="minorHAnsi" w:cstheme="minorHAnsi"/>
          <w:i/>
          <w:iCs/>
          <w:szCs w:val="18"/>
        </w:rPr>
        <w:t>EC – Salmon (Norway)</w:t>
      </w:r>
      <w:r w:rsidRPr="003E3375">
        <w:rPr>
          <w:rFonts w:asciiTheme="minorHAnsi" w:hAnsiTheme="minorHAnsi" w:cstheme="minorHAnsi"/>
          <w:szCs w:val="18"/>
        </w:rPr>
        <w:t xml:space="preserve">, para. 7.343; </w:t>
      </w:r>
      <w:bookmarkStart w:id="14" w:name="_Hlk81578419"/>
      <w:r w:rsidRPr="003E3375">
        <w:rPr>
          <w:rFonts w:asciiTheme="minorHAnsi" w:hAnsiTheme="minorHAnsi" w:cstheme="minorHAnsi"/>
          <w:i/>
          <w:iCs/>
          <w:szCs w:val="18"/>
        </w:rPr>
        <w:t>Korea – Stainless Steel Bars</w:t>
      </w:r>
      <w:r w:rsidRPr="003E3375">
        <w:rPr>
          <w:rFonts w:asciiTheme="minorHAnsi" w:hAnsiTheme="minorHAnsi" w:cstheme="minorHAnsi"/>
          <w:szCs w:val="18"/>
        </w:rPr>
        <w:t xml:space="preserve">, para. </w:t>
      </w:r>
      <w:bookmarkEnd w:id="14"/>
      <w:r w:rsidRPr="003E3375">
        <w:rPr>
          <w:rFonts w:asciiTheme="minorHAnsi" w:hAnsiTheme="minorHAnsi" w:cstheme="minorHAnsi"/>
          <w:szCs w:val="18"/>
        </w:rPr>
        <w:t>7.185.</w:t>
      </w:r>
    </w:p>
  </w:footnote>
  <w:footnote w:id="44">
    <w:p w14:paraId="20121F92"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Reports, </w:t>
      </w:r>
      <w:r w:rsidRPr="003E3375">
        <w:rPr>
          <w:rFonts w:asciiTheme="minorHAnsi" w:hAnsiTheme="minorHAnsi" w:cstheme="minorHAnsi"/>
          <w:i/>
          <w:szCs w:val="18"/>
        </w:rPr>
        <w:t>Egypt – Steel Rebar</w:t>
      </w:r>
      <w:r w:rsidRPr="003E3375">
        <w:rPr>
          <w:rFonts w:asciiTheme="minorHAnsi" w:hAnsiTheme="minorHAnsi" w:cstheme="minorHAnsi"/>
          <w:szCs w:val="18"/>
        </w:rPr>
        <w:t xml:space="preserve">, para. 7.151; </w:t>
      </w:r>
      <w:r w:rsidRPr="003E3375">
        <w:rPr>
          <w:rFonts w:asciiTheme="minorHAnsi" w:hAnsiTheme="minorHAnsi" w:cstheme="minorHAnsi"/>
          <w:i/>
          <w:iCs/>
          <w:szCs w:val="18"/>
        </w:rPr>
        <w:t>US – Supercalendered Paper</w:t>
      </w:r>
      <w:r w:rsidRPr="003E3375">
        <w:rPr>
          <w:rFonts w:asciiTheme="minorHAnsi" w:hAnsiTheme="minorHAnsi" w:cstheme="minorHAnsi"/>
          <w:szCs w:val="18"/>
        </w:rPr>
        <w:t>, para. 7.174.</w:t>
      </w:r>
    </w:p>
  </w:footnote>
  <w:footnote w:id="45">
    <w:p w14:paraId="7251F8EE" w14:textId="22C50C29"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Anti-Dumping Final Determination (Exhibit AUS-2), pp. 7, 9</w:t>
      </w:r>
      <w:r w:rsidR="003C3A3A" w:rsidRPr="003E3375">
        <w:rPr>
          <w:rFonts w:asciiTheme="minorHAnsi" w:hAnsiTheme="minorHAnsi" w:cstheme="minorHAnsi"/>
          <w:szCs w:val="18"/>
        </w:rPr>
        <w:t>, 11</w:t>
      </w:r>
      <w:r w:rsidRPr="003E3375">
        <w:rPr>
          <w:rFonts w:asciiTheme="minorHAnsi" w:hAnsiTheme="minorHAnsi" w:cstheme="minorHAnsi"/>
          <w:szCs w:val="18"/>
        </w:rPr>
        <w:t>.</w:t>
      </w:r>
    </w:p>
  </w:footnote>
  <w:footnote w:id="46">
    <w:p w14:paraId="4DC7BAF2" w14:textId="692F5F7E"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Refer Australia's response to Panel question No. 4</w:t>
      </w:r>
      <w:r w:rsidR="003C3A3A" w:rsidRPr="003E3375">
        <w:rPr>
          <w:rFonts w:asciiTheme="minorHAnsi" w:hAnsiTheme="minorHAnsi" w:cstheme="minorHAnsi"/>
          <w:szCs w:val="18"/>
        </w:rPr>
        <w:t xml:space="preserve"> following the first meeting of the Panel</w:t>
      </w:r>
      <w:r w:rsidRPr="003E3375">
        <w:rPr>
          <w:rFonts w:asciiTheme="minorHAnsi" w:hAnsiTheme="minorHAnsi" w:cstheme="minorHAnsi"/>
          <w:szCs w:val="18"/>
        </w:rPr>
        <w:t>, para. 15. Australia reiterates that information regarding destination was never actually requested of interested parties, and was an ex post facto addition, the information supposedly "necessary" was not requested in detail as paragraph 1 of Annex II requires: refer Australia's first written submission, section II.A.4; second written submission, section V.C.3.</w:t>
      </w:r>
    </w:p>
  </w:footnote>
  <w:footnote w:id="47">
    <w:p w14:paraId="025BB2C1" w14:textId="53815C33"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first written submission, section II.A.3(b); second written submission, section</w:t>
      </w:r>
      <w:r w:rsidR="00940F4A" w:rsidRPr="003E3375">
        <w:rPr>
          <w:rFonts w:asciiTheme="minorHAnsi" w:hAnsiTheme="minorHAnsi" w:cstheme="minorHAnsi"/>
          <w:szCs w:val="18"/>
        </w:rPr>
        <w:t>s</w:t>
      </w:r>
      <w:r w:rsidRPr="003E3375">
        <w:rPr>
          <w:rFonts w:asciiTheme="minorHAnsi" w:hAnsiTheme="minorHAnsi" w:cstheme="minorHAnsi"/>
          <w:szCs w:val="18"/>
        </w:rPr>
        <w:t xml:space="preserve"> V.C.2.(a)-(b).</w:t>
      </w:r>
    </w:p>
  </w:footnote>
  <w:footnote w:id="48">
    <w:p w14:paraId="74D53CB1" w14:textId="77777777" w:rsidR="005D36EC" w:rsidRPr="003E3375" w:rsidRDefault="005D36EC" w:rsidP="00777D1F">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144-147, 185 and footnotes thereto.</w:t>
      </w:r>
    </w:p>
  </w:footnote>
  <w:footnote w:id="49">
    <w:p w14:paraId="33864CA9" w14:textId="77777777" w:rsidR="005D36EC" w:rsidRPr="003E3375" w:rsidRDefault="005D36EC" w:rsidP="00777D1F">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118-129 and footnotes thereto.</w:t>
      </w:r>
    </w:p>
  </w:footnote>
  <w:footnote w:id="50">
    <w:p w14:paraId="12E54B9D"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115-134 and footnotes thereto; see particularly paras. 118-122.</w:t>
      </w:r>
    </w:p>
  </w:footnote>
  <w:footnote w:id="51">
    <w:p w14:paraId="0192940B" w14:textId="1260B106"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w:t>
      </w:r>
      <w:r w:rsidR="00E04B26" w:rsidRPr="003E3375">
        <w:rPr>
          <w:rFonts w:asciiTheme="minorHAnsi" w:hAnsiTheme="minorHAnsi" w:cstheme="minorHAnsi"/>
          <w:szCs w:val="18"/>
        </w:rPr>
        <w:t>s</w:t>
      </w:r>
      <w:r w:rsidRPr="003E3375">
        <w:rPr>
          <w:rFonts w:asciiTheme="minorHAnsi" w:hAnsiTheme="minorHAnsi" w:cstheme="minorHAnsi"/>
          <w:szCs w:val="18"/>
        </w:rPr>
        <w:t>ection II.A.5; second written submission, section V.C.4</w:t>
      </w:r>
      <w:r w:rsidR="00E62661" w:rsidRPr="003E3375">
        <w:rPr>
          <w:rFonts w:asciiTheme="minorHAnsi" w:hAnsiTheme="minorHAnsi" w:cstheme="minorHAnsi"/>
          <w:szCs w:val="18"/>
        </w:rPr>
        <w:t>; n</w:t>
      </w:r>
      <w:r w:rsidRPr="003E3375">
        <w:rPr>
          <w:rFonts w:asciiTheme="minorHAnsi" w:hAnsiTheme="minorHAnsi" w:cstheme="minorHAnsi"/>
          <w:szCs w:val="18"/>
        </w:rPr>
        <w:t>ote also that MOFCOM never considered timeliness of submitted information at all as required under Annex II: see for example Australia's second written submission, para. 162.</w:t>
      </w:r>
    </w:p>
  </w:footnote>
  <w:footnote w:id="52">
    <w:p w14:paraId="6F46117B" w14:textId="78412BCE"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Although China states MOFCOM did consider paragraph 3 information requirements, there is no evidence of this on the record: China's first written submission, para</w:t>
      </w:r>
      <w:r w:rsidR="0052579B" w:rsidRPr="003E3375">
        <w:rPr>
          <w:rFonts w:asciiTheme="minorHAnsi" w:hAnsiTheme="minorHAnsi" w:cstheme="minorHAnsi"/>
          <w:szCs w:val="18"/>
        </w:rPr>
        <w:t>s</w:t>
      </w:r>
      <w:r w:rsidRPr="003E3375">
        <w:rPr>
          <w:rFonts w:asciiTheme="minorHAnsi" w:hAnsiTheme="minorHAnsi" w:cstheme="minorHAnsi"/>
          <w:szCs w:val="18"/>
        </w:rPr>
        <w:t>. 130</w:t>
      </w:r>
      <w:r w:rsidR="0052579B" w:rsidRPr="003E3375">
        <w:rPr>
          <w:rFonts w:asciiTheme="minorHAnsi" w:hAnsiTheme="minorHAnsi" w:cstheme="minorHAnsi"/>
          <w:szCs w:val="18"/>
        </w:rPr>
        <w:t>-131</w:t>
      </w:r>
      <w:r w:rsidRPr="003E3375">
        <w:rPr>
          <w:rFonts w:asciiTheme="minorHAnsi" w:hAnsiTheme="minorHAnsi" w:cstheme="minorHAnsi"/>
          <w:szCs w:val="18"/>
        </w:rPr>
        <w:t>; Australia's first written submission, para. 170; second written submission, section V.C.4.</w:t>
      </w:r>
    </w:p>
  </w:footnote>
  <w:footnote w:id="53">
    <w:p w14:paraId="6E199152" w14:textId="7D603B11"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Noting exceptions where producer has actual knowledge of export under a contract: Australia's response to Panel question No. 4</w:t>
      </w:r>
      <w:r w:rsidR="0052579B" w:rsidRPr="003E3375">
        <w:rPr>
          <w:rFonts w:asciiTheme="minorHAnsi" w:hAnsiTheme="minorHAnsi" w:cstheme="minorHAnsi"/>
          <w:szCs w:val="18"/>
        </w:rPr>
        <w:t xml:space="preserve"> following the first meeting of the Panel</w:t>
      </w:r>
      <w:r w:rsidRPr="003E3375">
        <w:rPr>
          <w:rFonts w:asciiTheme="minorHAnsi" w:hAnsiTheme="minorHAnsi" w:cstheme="minorHAnsi"/>
          <w:szCs w:val="18"/>
        </w:rPr>
        <w:t>, para. 20.</w:t>
      </w:r>
    </w:p>
  </w:footnote>
  <w:footnote w:id="54">
    <w:p w14:paraId="65E8E2E9" w14:textId="14EBAF40"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response to Panel question No. 4</w:t>
      </w:r>
      <w:r w:rsidR="0052579B" w:rsidRPr="003E3375">
        <w:rPr>
          <w:rFonts w:asciiTheme="minorHAnsi" w:hAnsiTheme="minorHAnsi" w:cstheme="minorHAnsi"/>
          <w:szCs w:val="18"/>
        </w:rPr>
        <w:t xml:space="preserve"> following the first meeting of the Panel</w:t>
      </w:r>
      <w:r w:rsidRPr="003E3375">
        <w:rPr>
          <w:rFonts w:asciiTheme="minorHAnsi" w:hAnsiTheme="minorHAnsi" w:cstheme="minorHAnsi"/>
          <w:szCs w:val="18"/>
        </w:rPr>
        <w:t>, paras. 13-23.</w:t>
      </w:r>
    </w:p>
  </w:footnote>
  <w:footnote w:id="55">
    <w:p w14:paraId="3255E2AE" w14:textId="4D3A721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response to Panel question No. 4</w:t>
      </w:r>
      <w:r w:rsidR="0052579B" w:rsidRPr="003E3375">
        <w:rPr>
          <w:rFonts w:asciiTheme="minorHAnsi" w:hAnsiTheme="minorHAnsi" w:cstheme="minorHAnsi"/>
          <w:szCs w:val="18"/>
        </w:rPr>
        <w:t xml:space="preserve"> following the first meeting of the Panel</w:t>
      </w:r>
      <w:r w:rsidRPr="003E3375">
        <w:rPr>
          <w:rFonts w:asciiTheme="minorHAnsi" w:hAnsiTheme="minorHAnsi" w:cstheme="minorHAnsi"/>
          <w:szCs w:val="18"/>
        </w:rPr>
        <w:t xml:space="preserve">, para. 52. </w:t>
      </w:r>
    </w:p>
  </w:footnote>
  <w:footnote w:id="56">
    <w:p w14:paraId="23E6057A"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Panel Report, </w:t>
      </w:r>
      <w:r w:rsidRPr="003E3375">
        <w:rPr>
          <w:rFonts w:asciiTheme="minorHAnsi" w:hAnsiTheme="minorHAnsi" w:cstheme="minorHAnsi"/>
          <w:i/>
          <w:szCs w:val="18"/>
        </w:rPr>
        <w:t>US – Steel Plate</w:t>
      </w:r>
      <w:r w:rsidRPr="003E3375">
        <w:rPr>
          <w:rFonts w:asciiTheme="minorHAnsi" w:hAnsiTheme="minorHAnsi" w:cstheme="minorHAnsi"/>
          <w:szCs w:val="18"/>
        </w:rPr>
        <w:t xml:space="preserve">, para. 7.65. </w:t>
      </w:r>
    </w:p>
  </w:footnote>
  <w:footnote w:id="57">
    <w:p w14:paraId="4A6CF21C" w14:textId="372298F5"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II.A.6; second written submission, section V.C.5; MOFCOM only provided a "general statement" in the questionnaire – expressly ruled insufficient by previous panels – stating the possibility that it would make a determination on facts available: Panel Report, </w:t>
      </w:r>
      <w:r w:rsidRPr="003E3375">
        <w:rPr>
          <w:rFonts w:asciiTheme="minorHAnsi" w:hAnsiTheme="minorHAnsi" w:cstheme="minorHAnsi"/>
          <w:i/>
          <w:szCs w:val="18"/>
        </w:rPr>
        <w:t>Mexico – Steel Pipes and Tubes</w:t>
      </w:r>
      <w:r w:rsidRPr="003E3375">
        <w:rPr>
          <w:rFonts w:asciiTheme="minorHAnsi" w:hAnsiTheme="minorHAnsi" w:cstheme="minorHAnsi"/>
          <w:szCs w:val="18"/>
        </w:rPr>
        <w:t>, para. 7.188.</w:t>
      </w:r>
    </w:p>
  </w:footnote>
  <w:footnote w:id="58">
    <w:p w14:paraId="30E8C263" w14:textId="77777777" w:rsidR="005D36EC" w:rsidRPr="003E3375" w:rsidRDefault="005D36EC" w:rsidP="00663C9F">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 </w:t>
      </w:r>
      <w:r w:rsidRPr="003E3375">
        <w:rPr>
          <w:rFonts w:asciiTheme="minorHAnsi" w:hAnsiTheme="minorHAnsi" w:cstheme="minorHAnsi"/>
          <w:i/>
          <w:szCs w:val="18"/>
        </w:rPr>
        <w:t>Korea – Certain Paper</w:t>
      </w:r>
      <w:r w:rsidRPr="003E3375">
        <w:rPr>
          <w:rFonts w:asciiTheme="minorHAnsi" w:hAnsiTheme="minorHAnsi" w:cstheme="minorHAnsi"/>
          <w:szCs w:val="18"/>
        </w:rPr>
        <w:t>, para. 7.85.</w:t>
      </w:r>
    </w:p>
  </w:footnote>
  <w:footnote w:id="59">
    <w:p w14:paraId="51EABC1D" w14:textId="32E7B520" w:rsidR="00710A41" w:rsidRPr="003E3375" w:rsidRDefault="00710A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w:t>
      </w:r>
      <w:r w:rsidR="00517A97" w:rsidRPr="003E3375">
        <w:rPr>
          <w:rFonts w:asciiTheme="minorHAnsi" w:hAnsiTheme="minorHAnsi" w:cstheme="minorHAnsi"/>
          <w:szCs w:val="18"/>
        </w:rPr>
        <w:t xml:space="preserve">response to Panel question No. </w:t>
      </w:r>
      <w:r w:rsidR="006E1814" w:rsidRPr="003E3375">
        <w:rPr>
          <w:rFonts w:asciiTheme="minorHAnsi" w:hAnsiTheme="minorHAnsi" w:cstheme="minorHAnsi"/>
          <w:szCs w:val="18"/>
        </w:rPr>
        <w:t>4</w:t>
      </w:r>
      <w:r w:rsidR="00517A97" w:rsidRPr="003E3375">
        <w:rPr>
          <w:rFonts w:asciiTheme="minorHAnsi" w:hAnsiTheme="minorHAnsi" w:cstheme="minorHAnsi"/>
          <w:szCs w:val="18"/>
        </w:rPr>
        <w:t xml:space="preserve"> following the second meeting of the Panel, para</w:t>
      </w:r>
      <w:r w:rsidR="006E1814" w:rsidRPr="003E3375">
        <w:rPr>
          <w:rFonts w:asciiTheme="minorHAnsi" w:hAnsiTheme="minorHAnsi" w:cstheme="minorHAnsi"/>
          <w:szCs w:val="18"/>
        </w:rPr>
        <w:t>s</w:t>
      </w:r>
      <w:r w:rsidR="00517A97" w:rsidRPr="003E3375">
        <w:rPr>
          <w:rFonts w:asciiTheme="minorHAnsi" w:hAnsiTheme="minorHAnsi" w:cstheme="minorHAnsi"/>
          <w:szCs w:val="18"/>
        </w:rPr>
        <w:t xml:space="preserve">. </w:t>
      </w:r>
      <w:r w:rsidR="006E1814" w:rsidRPr="003E3375">
        <w:rPr>
          <w:rFonts w:asciiTheme="minorHAnsi" w:hAnsiTheme="minorHAnsi" w:cstheme="minorHAnsi"/>
          <w:szCs w:val="18"/>
        </w:rPr>
        <w:t>22-28</w:t>
      </w:r>
      <w:r w:rsidR="00517A97" w:rsidRPr="003E3375">
        <w:rPr>
          <w:rFonts w:asciiTheme="minorHAnsi" w:hAnsiTheme="minorHAnsi" w:cstheme="minorHAnsi"/>
          <w:szCs w:val="18"/>
        </w:rPr>
        <w:t>.</w:t>
      </w:r>
    </w:p>
  </w:footnote>
  <w:footnote w:id="60">
    <w:p w14:paraId="5090FF60" w14:textId="6409341D"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II.A.7; second written submission, section V.C.6</w:t>
      </w:r>
      <w:r w:rsidR="00D22B10" w:rsidRPr="003E3375">
        <w:rPr>
          <w:rFonts w:asciiTheme="minorHAnsi" w:hAnsiTheme="minorHAnsi" w:cstheme="minorHAnsi"/>
          <w:szCs w:val="18"/>
        </w:rPr>
        <w:t>.</w:t>
      </w:r>
    </w:p>
  </w:footnote>
  <w:footnote w:id="61">
    <w:p w14:paraId="65A1F298"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Panel Report, </w:t>
      </w:r>
      <w:r w:rsidRPr="003E3375">
        <w:rPr>
          <w:rFonts w:asciiTheme="minorHAnsi" w:hAnsiTheme="minorHAnsi" w:cstheme="minorHAnsi"/>
          <w:i/>
          <w:iCs/>
          <w:szCs w:val="18"/>
        </w:rPr>
        <w:t>Egypt – Steel Rebar</w:t>
      </w:r>
      <w:r w:rsidRPr="003E3375">
        <w:rPr>
          <w:rFonts w:asciiTheme="minorHAnsi" w:hAnsiTheme="minorHAnsi" w:cstheme="minorHAnsi"/>
          <w:szCs w:val="18"/>
        </w:rPr>
        <w:t>, para. 7.154.</w:t>
      </w:r>
    </w:p>
  </w:footnote>
  <w:footnote w:id="62">
    <w:p w14:paraId="10E4A091"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214-258; second written submission, section V.F.</w:t>
      </w:r>
    </w:p>
  </w:footnote>
  <w:footnote w:id="63">
    <w:p w14:paraId="7A000FAB" w14:textId="76B0FDDA" w:rsidR="005D36EC" w:rsidRPr="003E3375" w:rsidRDefault="005D36EC" w:rsidP="00D24EF9">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 </w:t>
      </w:r>
      <w:r w:rsidRPr="003E3375">
        <w:rPr>
          <w:rFonts w:asciiTheme="minorHAnsi" w:hAnsiTheme="minorHAnsi" w:cstheme="minorHAnsi"/>
          <w:i/>
          <w:szCs w:val="18"/>
        </w:rPr>
        <w:t>Canada – Welded Pipe</w:t>
      </w:r>
      <w:r w:rsidRPr="003E3375">
        <w:rPr>
          <w:rFonts w:asciiTheme="minorHAnsi" w:hAnsiTheme="minorHAnsi" w:cstheme="minorHAnsi"/>
          <w:szCs w:val="18"/>
        </w:rPr>
        <w:t xml:space="preserve">, para. 7.140. See Appellate Body, </w:t>
      </w:r>
      <w:r w:rsidRPr="003E3375">
        <w:rPr>
          <w:rFonts w:asciiTheme="minorHAnsi" w:hAnsiTheme="minorHAnsi" w:cstheme="minorHAnsi"/>
          <w:i/>
          <w:iCs/>
          <w:szCs w:val="18"/>
        </w:rPr>
        <w:t xml:space="preserve">US </w:t>
      </w:r>
      <w:r w:rsidRPr="003E3375">
        <w:rPr>
          <w:rFonts w:asciiTheme="minorHAnsi" w:hAnsiTheme="minorHAnsi" w:cstheme="minorHAnsi"/>
          <w:i/>
          <w:szCs w:val="18"/>
        </w:rPr>
        <w:t xml:space="preserve">– </w:t>
      </w:r>
      <w:r w:rsidRPr="003E3375">
        <w:rPr>
          <w:rFonts w:asciiTheme="minorHAnsi" w:hAnsiTheme="minorHAnsi" w:cstheme="minorHAnsi"/>
          <w:i/>
          <w:iCs/>
          <w:szCs w:val="18"/>
        </w:rPr>
        <w:t>Carbon Steel (India)</w:t>
      </w:r>
      <w:r w:rsidRPr="003E3375">
        <w:rPr>
          <w:rFonts w:asciiTheme="minorHAnsi" w:hAnsiTheme="minorHAnsi" w:cstheme="minorHAnsi"/>
          <w:szCs w:val="18"/>
        </w:rPr>
        <w:t>, para. 4.42</w:t>
      </w:r>
      <w:r w:rsidR="005637F4" w:rsidRPr="003E3375">
        <w:rPr>
          <w:rFonts w:asciiTheme="minorHAnsi" w:hAnsiTheme="minorHAnsi" w:cstheme="minorHAnsi"/>
          <w:szCs w:val="18"/>
        </w:rPr>
        <w:t>5</w:t>
      </w:r>
      <w:r w:rsidRPr="003E3375">
        <w:rPr>
          <w:rFonts w:asciiTheme="minorHAnsi" w:hAnsiTheme="minorHAnsi" w:cstheme="minorHAnsi"/>
          <w:szCs w:val="18"/>
        </w:rPr>
        <w:t>. In that dispute, the Appellate Body was considering the equivalent provision in the SCM Agreement, Article 12.7.</w:t>
      </w:r>
    </w:p>
  </w:footnote>
  <w:footnote w:id="64">
    <w:p w14:paraId="1E8E51D9"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II.A.7.</w:t>
      </w:r>
    </w:p>
  </w:footnote>
  <w:footnote w:id="65">
    <w:p w14:paraId="54E6C5AD" w14:textId="3641BAE2"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first written submission, </w:t>
      </w:r>
      <w:r w:rsidR="00C46C57" w:rsidRPr="003E3375">
        <w:rPr>
          <w:rFonts w:asciiTheme="minorHAnsi" w:hAnsiTheme="minorHAnsi" w:cstheme="minorHAnsi"/>
          <w:szCs w:val="18"/>
        </w:rPr>
        <w:t>paras.</w:t>
      </w:r>
      <w:r w:rsidR="0025378C" w:rsidRPr="003E3375">
        <w:rPr>
          <w:rFonts w:asciiTheme="minorHAnsi" w:hAnsiTheme="minorHAnsi" w:cstheme="minorHAnsi"/>
          <w:szCs w:val="18"/>
        </w:rPr>
        <w:t xml:space="preserve"> </w:t>
      </w:r>
      <w:r w:rsidR="00C46C57" w:rsidRPr="003E3375">
        <w:rPr>
          <w:rFonts w:asciiTheme="minorHAnsi" w:hAnsiTheme="minorHAnsi" w:cstheme="minorHAnsi"/>
          <w:szCs w:val="18"/>
        </w:rPr>
        <w:t>250-251</w:t>
      </w:r>
      <w:r w:rsidRPr="003E3375">
        <w:rPr>
          <w:rFonts w:asciiTheme="minorHAnsi" w:hAnsiTheme="minorHAnsi" w:cstheme="minorHAnsi"/>
          <w:szCs w:val="18"/>
        </w:rPr>
        <w:t>.</w:t>
      </w:r>
    </w:p>
  </w:footnote>
  <w:footnote w:id="66">
    <w:p w14:paraId="0AC9097B" w14:textId="4C19B693"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first written submission, paras. 252-253.</w:t>
      </w:r>
    </w:p>
  </w:footnote>
  <w:footnote w:id="67">
    <w:p w14:paraId="343A6181" w14:textId="37B36122"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II.B-C; second written submission, section V.D.</w:t>
      </w:r>
    </w:p>
  </w:footnote>
  <w:footnote w:id="68">
    <w:p w14:paraId="6EA2EDA1" w14:textId="6B590BCF"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II.C.1.</w:t>
      </w:r>
    </w:p>
  </w:footnote>
  <w:footnote w:id="69">
    <w:p w14:paraId="7A7DA6CD" w14:textId="29B83327"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II.C.2.(c).</w:t>
      </w:r>
    </w:p>
  </w:footnote>
  <w:footnote w:id="70">
    <w:p w14:paraId="02C41411" w14:textId="24910A01"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II.C.3.</w:t>
      </w:r>
    </w:p>
  </w:footnote>
  <w:footnote w:id="71">
    <w:p w14:paraId="3EBB5BAB" w14:textId="76332876"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section V.D.2.</w:t>
      </w:r>
    </w:p>
  </w:footnote>
  <w:footnote w:id="72">
    <w:p w14:paraId="34B885BD" w14:textId="463AD6FA"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first written submission, para. 294; second written submission, V.D.3.</w:t>
      </w:r>
    </w:p>
  </w:footnote>
  <w:footnote w:id="73">
    <w:p w14:paraId="25EF7C9A"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II.C.2.(d).</w:t>
      </w:r>
    </w:p>
  </w:footnote>
  <w:footnote w:id="74">
    <w:p w14:paraId="6F8BEAB9"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II.D; second written submission, section V.E.</w:t>
      </w:r>
    </w:p>
  </w:footnote>
  <w:footnote w:id="75">
    <w:p w14:paraId="65B89FAF" w14:textId="3ECCC193"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second written submission, section V.B.2.(b).</w:t>
      </w:r>
    </w:p>
  </w:footnote>
  <w:footnote w:id="76">
    <w:p w14:paraId="32B86B85"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Oxford English Dictionary online, definition of "each", </w:t>
      </w:r>
      <w:hyperlink r:id="rId1" w:history="1">
        <w:r w:rsidRPr="003E3375">
          <w:rPr>
            <w:rStyle w:val="Hyperlink"/>
            <w:rFonts w:asciiTheme="minorHAnsi" w:hAnsiTheme="minorHAnsi" w:cstheme="minorHAnsi"/>
            <w:szCs w:val="18"/>
          </w:rPr>
          <w:t>https://www.oed.com/view/Entry/58924</w:t>
        </w:r>
      </w:hyperlink>
      <w:r w:rsidRPr="003E3375">
        <w:rPr>
          <w:rFonts w:asciiTheme="minorHAnsi" w:hAnsiTheme="minorHAnsi" w:cstheme="minorHAnsi"/>
          <w:szCs w:val="18"/>
        </w:rPr>
        <w:t xml:space="preserve"> (accessed 6 May 2022). (emphasis original)</w:t>
      </w:r>
    </w:p>
  </w:footnote>
  <w:footnote w:id="77">
    <w:p w14:paraId="68019818"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second written submission, paras. 86-88.</w:t>
      </w:r>
    </w:p>
  </w:footnote>
  <w:footnote w:id="78">
    <w:p w14:paraId="21182F42" w14:textId="77777777" w:rsidR="005D36EC" w:rsidRPr="00B747DB"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w:t>
      </w:r>
      <w:r w:rsidRPr="00B747DB">
        <w:rPr>
          <w:rFonts w:asciiTheme="minorHAnsi" w:hAnsiTheme="minorHAnsi" w:cstheme="minorHAnsi"/>
          <w:szCs w:val="18"/>
        </w:rPr>
        <w:t xml:space="preserve">Appellate Body Report, </w:t>
      </w:r>
      <w:r w:rsidRPr="00B747DB">
        <w:rPr>
          <w:rFonts w:asciiTheme="minorHAnsi" w:hAnsiTheme="minorHAnsi" w:cstheme="minorHAnsi"/>
          <w:i/>
          <w:szCs w:val="18"/>
        </w:rPr>
        <w:t>EC – Fasteners (China)</w:t>
      </w:r>
      <w:r w:rsidRPr="00B747DB">
        <w:rPr>
          <w:rFonts w:asciiTheme="minorHAnsi" w:hAnsiTheme="minorHAnsi" w:cstheme="minorHAnsi"/>
          <w:szCs w:val="18"/>
        </w:rPr>
        <w:t>, paras. 316-317.</w:t>
      </w:r>
    </w:p>
  </w:footnote>
  <w:footnote w:id="79">
    <w:p w14:paraId="37D9C6A0" w14:textId="77777777"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Similarly, China's interpretation cannot be read coherently with Article 6.10.2 of the Anti-Dumping Agreement, which provides that, where an investigating authority conducts sampling, it must nevertheless "determine an individual margin of dumping for any exporter or producer not initially selected who submits the necessary information". China's interpretation of the first sentence of Article 6.10 does not countenance such a requirement, and indeed MOFCOM did not determine individual margins for traders despite each submitting all necessary information. This reading of Article 6.10, wherein there are more requirements, and the interests of exporters and producers are more thoroughly protected, where sampling is used, is illogical.</w:t>
      </w:r>
    </w:p>
  </w:footnote>
  <w:footnote w:id="80">
    <w:p w14:paraId="38A5C530" w14:textId="608A5B53" w:rsidR="005D36EC" w:rsidRPr="003E3375" w:rsidRDefault="005D36EC" w:rsidP="0019164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United States' third</w:t>
      </w:r>
      <w:r w:rsidR="003E3375">
        <w:rPr>
          <w:rFonts w:asciiTheme="minorHAnsi" w:hAnsiTheme="minorHAnsi" w:cstheme="minorHAnsi"/>
          <w:szCs w:val="18"/>
        </w:rPr>
        <w:t xml:space="preserve"> </w:t>
      </w:r>
      <w:r w:rsidRPr="003E3375">
        <w:rPr>
          <w:rFonts w:asciiTheme="minorHAnsi" w:hAnsiTheme="minorHAnsi" w:cstheme="minorHAnsi"/>
          <w:szCs w:val="18"/>
        </w:rPr>
        <w:t xml:space="preserve">party submission, para. 27. </w:t>
      </w:r>
    </w:p>
  </w:footnote>
  <w:footnote w:id="81">
    <w:p w14:paraId="4058F50C" w14:textId="50B59709"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Countervailing Duties Final Determination (Exhibit AUS-11) pp. 7-10.</w:t>
      </w:r>
    </w:p>
  </w:footnote>
  <w:footnote w:id="82">
    <w:p w14:paraId="2FBDA1E1" w14:textId="56A70B9D"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III.A.1; Appellate Body Report</w:t>
      </w:r>
      <w:r w:rsidR="00B747DB" w:rsidRPr="003E3375">
        <w:rPr>
          <w:rFonts w:asciiTheme="minorHAnsi" w:hAnsiTheme="minorHAnsi" w:cstheme="minorHAnsi"/>
          <w:szCs w:val="18"/>
        </w:rPr>
        <w:t>s</w:t>
      </w:r>
      <w:r w:rsidRPr="003E3375">
        <w:rPr>
          <w:rFonts w:asciiTheme="minorHAnsi" w:hAnsiTheme="minorHAnsi" w:cstheme="minorHAnsi"/>
          <w:szCs w:val="18"/>
        </w:rPr>
        <w:t xml:space="preserve">, </w:t>
      </w:r>
      <w:r w:rsidRPr="003E3375">
        <w:rPr>
          <w:rFonts w:asciiTheme="minorHAnsi" w:hAnsiTheme="minorHAnsi" w:cstheme="minorHAnsi"/>
          <w:i/>
          <w:iCs/>
          <w:szCs w:val="18"/>
        </w:rPr>
        <w:t>US – Large Civil Aircraft (2</w:t>
      </w:r>
      <w:r w:rsidRPr="003E3375">
        <w:rPr>
          <w:rFonts w:asciiTheme="minorHAnsi" w:hAnsiTheme="minorHAnsi" w:cstheme="minorHAnsi"/>
          <w:i/>
          <w:iCs/>
          <w:szCs w:val="18"/>
          <w:vertAlign w:val="superscript"/>
        </w:rPr>
        <w:t>nd</w:t>
      </w:r>
      <w:r w:rsidRPr="003E3375">
        <w:rPr>
          <w:rFonts w:asciiTheme="minorHAnsi" w:hAnsiTheme="minorHAnsi" w:cstheme="minorHAnsi"/>
          <w:i/>
          <w:iCs/>
          <w:szCs w:val="18"/>
        </w:rPr>
        <w:t xml:space="preserve"> Complaint)</w:t>
      </w:r>
      <w:r w:rsidRPr="003E3375">
        <w:rPr>
          <w:rFonts w:asciiTheme="minorHAnsi" w:hAnsiTheme="minorHAnsi" w:cstheme="minorHAnsi"/>
          <w:szCs w:val="18"/>
        </w:rPr>
        <w:t>, para.</w:t>
      </w:r>
      <w:r w:rsidR="00D2333C" w:rsidRPr="003E3375">
        <w:rPr>
          <w:rFonts w:asciiTheme="minorHAnsi" w:hAnsiTheme="minorHAnsi" w:cstheme="minorHAnsi"/>
          <w:szCs w:val="18"/>
        </w:rPr>
        <w:t> </w:t>
      </w:r>
      <w:r w:rsidRPr="003E3375">
        <w:rPr>
          <w:rFonts w:asciiTheme="minorHAnsi" w:hAnsiTheme="minorHAnsi" w:cstheme="minorHAnsi"/>
          <w:szCs w:val="18"/>
        </w:rPr>
        <w:t xml:space="preserve">614; </w:t>
      </w:r>
      <w:r w:rsidRPr="003E3375">
        <w:rPr>
          <w:rFonts w:asciiTheme="minorHAnsi" w:hAnsiTheme="minorHAnsi" w:cstheme="minorHAnsi"/>
          <w:i/>
          <w:iCs/>
          <w:szCs w:val="18"/>
        </w:rPr>
        <w:t>Canada – Aircraft</w:t>
      </w:r>
      <w:r w:rsidRPr="003E3375">
        <w:rPr>
          <w:rFonts w:asciiTheme="minorHAnsi" w:hAnsiTheme="minorHAnsi" w:cstheme="minorHAnsi"/>
          <w:szCs w:val="18"/>
        </w:rPr>
        <w:t>, para. 154.</w:t>
      </w:r>
    </w:p>
  </w:footnote>
  <w:footnote w:id="83">
    <w:p w14:paraId="18F80A62" w14:textId="449DCE34"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w:t>
      </w:r>
      <w:r w:rsidR="0025378C" w:rsidRPr="003E3375">
        <w:rPr>
          <w:rFonts w:asciiTheme="minorHAnsi" w:hAnsiTheme="minorHAnsi" w:cstheme="minorHAnsi"/>
          <w:szCs w:val="18"/>
        </w:rPr>
        <w:t>s</w:t>
      </w:r>
      <w:r w:rsidRPr="003E3375">
        <w:rPr>
          <w:rFonts w:asciiTheme="minorHAnsi" w:hAnsiTheme="minorHAnsi" w:cstheme="minorHAnsi"/>
          <w:szCs w:val="18"/>
        </w:rPr>
        <w:t>ection</w:t>
      </w:r>
      <w:r w:rsidR="0025378C" w:rsidRPr="003E3375">
        <w:rPr>
          <w:rFonts w:asciiTheme="minorHAnsi" w:hAnsiTheme="minorHAnsi" w:cstheme="minorHAnsi"/>
          <w:szCs w:val="18"/>
        </w:rPr>
        <w:t>s</w:t>
      </w:r>
      <w:r w:rsidRPr="003E3375">
        <w:rPr>
          <w:rFonts w:asciiTheme="minorHAnsi" w:hAnsiTheme="minorHAnsi" w:cstheme="minorHAnsi"/>
          <w:szCs w:val="18"/>
        </w:rPr>
        <w:t xml:space="preserve"> </w:t>
      </w:r>
      <w:r w:rsidR="00870F01" w:rsidRPr="003E3375">
        <w:rPr>
          <w:rFonts w:asciiTheme="minorHAnsi" w:hAnsiTheme="minorHAnsi" w:cstheme="minorHAnsi"/>
          <w:szCs w:val="18"/>
        </w:rPr>
        <w:t>III.B.1-2</w:t>
      </w:r>
      <w:r w:rsidRPr="003E3375">
        <w:rPr>
          <w:rFonts w:asciiTheme="minorHAnsi" w:hAnsiTheme="minorHAnsi" w:cstheme="minorHAnsi"/>
          <w:szCs w:val="18"/>
        </w:rPr>
        <w:t>. Under the VAIJ Fund, a single payment was made to an economic entity, a regional development organisation, in order to conduct a feasibility study for a Networked Grains Centre of Excellence.</w:t>
      </w:r>
    </w:p>
  </w:footnote>
  <w:footnote w:id="84">
    <w:p w14:paraId="143F90A3" w14:textId="45296314"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This payment was to the Wimmera Development Association, which is not a barley producer. See Australia's second written submission, para. 286.</w:t>
      </w:r>
    </w:p>
  </w:footnote>
  <w:footnote w:id="85">
    <w:p w14:paraId="195BF8E2" w14:textId="71BC14E9"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405.</w:t>
      </w:r>
    </w:p>
  </w:footnote>
  <w:footnote w:id="86">
    <w:p w14:paraId="59E31897" w14:textId="77777777" w:rsidR="005D36EC" w:rsidRPr="003E3375" w:rsidRDefault="005D36EC" w:rsidP="00255F6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 264.</w:t>
      </w:r>
    </w:p>
  </w:footnote>
  <w:footnote w:id="87">
    <w:p w14:paraId="6D871BD4" w14:textId="3E751F15" w:rsidR="005D36EC" w:rsidRPr="003E3375" w:rsidRDefault="005D36EC" w:rsidP="00AD0A02">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Countervailing Duties Final Determination (Exhibit AUS-11) pp. 8-11. See also Australia's second written submission, paras.</w:t>
      </w:r>
      <w:r w:rsidR="00F20B49" w:rsidRPr="003E3375">
        <w:rPr>
          <w:rFonts w:asciiTheme="minorHAnsi" w:hAnsiTheme="minorHAnsi" w:cstheme="minorHAnsi"/>
          <w:szCs w:val="18"/>
        </w:rPr>
        <w:t> </w:t>
      </w:r>
      <w:r w:rsidRPr="003E3375">
        <w:rPr>
          <w:rFonts w:asciiTheme="minorHAnsi" w:hAnsiTheme="minorHAnsi" w:cstheme="minorHAnsi"/>
          <w:szCs w:val="18"/>
        </w:rPr>
        <w:t>293-296.</w:t>
      </w:r>
    </w:p>
  </w:footnote>
  <w:footnote w:id="88">
    <w:p w14:paraId="7EB31CAD" w14:textId="5B4E120D"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390, 451-455, 466, 499 and footnotes thereto; second written submission, section </w:t>
      </w:r>
      <w:r w:rsidRPr="003E3375">
        <w:rPr>
          <w:rFonts w:asciiTheme="minorHAnsi" w:hAnsiTheme="minorHAnsi" w:cstheme="minorHAnsi"/>
          <w:szCs w:val="18"/>
        </w:rPr>
        <w:fldChar w:fldCharType="begin" w:fldLock="1"/>
      </w:r>
      <w:r w:rsidRPr="003E3375">
        <w:rPr>
          <w:rFonts w:asciiTheme="minorHAnsi" w:hAnsiTheme="minorHAnsi" w:cstheme="minorHAnsi"/>
          <w:szCs w:val="18"/>
        </w:rPr>
        <w:instrText xml:space="preserve"> REF _Ref85550178 \w \h  \* MERGEFORMAT </w:instrText>
      </w:r>
      <w:r w:rsidRPr="003E3375">
        <w:rPr>
          <w:rFonts w:asciiTheme="minorHAnsi" w:hAnsiTheme="minorHAnsi" w:cstheme="minorHAnsi"/>
          <w:szCs w:val="18"/>
        </w:rPr>
      </w:r>
      <w:r w:rsidRPr="003E3375">
        <w:rPr>
          <w:rFonts w:asciiTheme="minorHAnsi" w:hAnsiTheme="minorHAnsi" w:cstheme="minorHAnsi"/>
          <w:szCs w:val="18"/>
        </w:rPr>
        <w:fldChar w:fldCharType="separate"/>
      </w:r>
      <w:r w:rsidRPr="003E3375">
        <w:rPr>
          <w:rFonts w:asciiTheme="minorHAnsi" w:hAnsiTheme="minorHAnsi" w:cstheme="minorHAnsi"/>
          <w:szCs w:val="18"/>
        </w:rPr>
        <w:t>III.A.2</w:t>
      </w:r>
      <w:r w:rsidRPr="003E3375">
        <w:rPr>
          <w:rFonts w:asciiTheme="minorHAnsi" w:hAnsiTheme="minorHAnsi" w:cstheme="minorHAnsi"/>
          <w:szCs w:val="18"/>
        </w:rPr>
        <w:fldChar w:fldCharType="end"/>
      </w:r>
      <w:r w:rsidRPr="003E3375">
        <w:rPr>
          <w:rFonts w:asciiTheme="minorHAnsi" w:hAnsiTheme="minorHAnsi" w:cstheme="minorHAnsi"/>
          <w:szCs w:val="18"/>
        </w:rPr>
        <w:t>, in particular paras. 250-263 and footnotes thereto.</w:t>
      </w:r>
    </w:p>
  </w:footnote>
  <w:footnote w:id="89">
    <w:p w14:paraId="38601933" w14:textId="7E37C505"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 267.</w:t>
      </w:r>
    </w:p>
  </w:footnote>
  <w:footnote w:id="90">
    <w:p w14:paraId="59B39936" w14:textId="0C17861D"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The one immaterial exception to this was the payment to the Wimmera Development Association. See Australia's first written submission, paras. 393, 400.</w:t>
      </w:r>
    </w:p>
  </w:footnote>
  <w:footnote w:id="91">
    <w:p w14:paraId="5A0984BB" w14:textId="7A3935BC"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first written submission, paras. 329-332. (</w:t>
      </w:r>
      <w:r w:rsidR="00F20B49" w:rsidRPr="003E3375">
        <w:rPr>
          <w:rFonts w:asciiTheme="minorHAnsi" w:hAnsiTheme="minorHAnsi" w:cstheme="minorHAnsi"/>
          <w:szCs w:val="18"/>
        </w:rPr>
        <w:t>e</w:t>
      </w:r>
      <w:r w:rsidRPr="003E3375">
        <w:rPr>
          <w:rFonts w:asciiTheme="minorHAnsi" w:hAnsiTheme="minorHAnsi" w:cstheme="minorHAnsi"/>
          <w:szCs w:val="18"/>
        </w:rPr>
        <w:t>mphasis original)</w:t>
      </w:r>
    </w:p>
  </w:footnote>
  <w:footnote w:id="92">
    <w:p w14:paraId="3A35EB27" w14:textId="6084447D"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CICC Application for Countervailing Duties Investigation, Annexes (Exhibit AUS-64), pp.</w:t>
      </w:r>
      <w:r w:rsidR="00F20B49" w:rsidRPr="003E3375">
        <w:rPr>
          <w:rFonts w:asciiTheme="minorHAnsi" w:hAnsiTheme="minorHAnsi" w:cstheme="minorHAnsi"/>
          <w:szCs w:val="18"/>
        </w:rPr>
        <w:t xml:space="preserve"> </w:t>
      </w:r>
      <w:r w:rsidRPr="003E3375">
        <w:rPr>
          <w:rFonts w:asciiTheme="minorHAnsi" w:hAnsiTheme="minorHAnsi" w:cstheme="minorHAnsi"/>
          <w:szCs w:val="18"/>
        </w:rPr>
        <w:t>53-61</w:t>
      </w:r>
      <w:r w:rsidR="00F20B49" w:rsidRPr="003E3375">
        <w:rPr>
          <w:rFonts w:asciiTheme="minorHAnsi" w:hAnsiTheme="minorHAnsi" w:cstheme="minorHAnsi"/>
          <w:szCs w:val="18"/>
        </w:rPr>
        <w:t>.</w:t>
      </w:r>
    </w:p>
  </w:footnote>
  <w:footnote w:id="93">
    <w:p w14:paraId="418AFC41" w14:textId="049210C0"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Appellate Body Report, </w:t>
      </w:r>
      <w:r w:rsidRPr="003E3375">
        <w:rPr>
          <w:rFonts w:asciiTheme="minorHAnsi" w:hAnsiTheme="minorHAnsi" w:cstheme="minorHAnsi"/>
          <w:i/>
          <w:iCs/>
          <w:szCs w:val="18"/>
        </w:rPr>
        <w:t>US – Washing Machines</w:t>
      </w:r>
      <w:r w:rsidRPr="003E3375">
        <w:rPr>
          <w:rFonts w:asciiTheme="minorHAnsi" w:hAnsiTheme="minorHAnsi" w:cstheme="minorHAnsi"/>
          <w:szCs w:val="18"/>
        </w:rPr>
        <w:t>, para. 5.268; Australia's first written submission para</w:t>
      </w:r>
      <w:r w:rsidR="00FE0BC0" w:rsidRPr="003E3375">
        <w:rPr>
          <w:rFonts w:asciiTheme="minorHAnsi" w:hAnsiTheme="minorHAnsi" w:cstheme="minorHAnsi"/>
          <w:szCs w:val="18"/>
        </w:rPr>
        <w:t>s</w:t>
      </w:r>
      <w:r w:rsidRPr="003E3375">
        <w:rPr>
          <w:rFonts w:asciiTheme="minorHAnsi" w:hAnsiTheme="minorHAnsi" w:cstheme="minorHAnsi"/>
          <w:szCs w:val="18"/>
        </w:rPr>
        <w:t>. 519-522.</w:t>
      </w:r>
    </w:p>
  </w:footnote>
  <w:footnote w:id="94">
    <w:p w14:paraId="0E083458" w14:textId="6767014E" w:rsidR="005D36EC" w:rsidRPr="003E3375" w:rsidRDefault="005D36EC" w:rsidP="00C7774A">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first written submission, section </w:t>
      </w:r>
      <w:r w:rsidRPr="003E3375">
        <w:rPr>
          <w:rFonts w:asciiTheme="minorHAnsi" w:hAnsiTheme="minorHAnsi" w:cstheme="minorHAnsi"/>
          <w:szCs w:val="18"/>
        </w:rPr>
        <w:fldChar w:fldCharType="begin" w:fldLock="1"/>
      </w:r>
      <w:r w:rsidRPr="003E3375">
        <w:rPr>
          <w:rFonts w:asciiTheme="minorHAnsi" w:hAnsiTheme="minorHAnsi" w:cstheme="minorHAnsi"/>
          <w:szCs w:val="18"/>
        </w:rPr>
        <w:instrText xml:space="preserve"> REF _Ref86249362 \w \h </w:instrText>
      </w:r>
      <w:r w:rsidR="00B747DB" w:rsidRPr="003E3375">
        <w:rPr>
          <w:rFonts w:asciiTheme="minorHAnsi" w:hAnsiTheme="minorHAnsi" w:cstheme="minorHAnsi"/>
          <w:szCs w:val="18"/>
        </w:rPr>
        <w:instrText xml:space="preserve"> \* MERGEFORMAT </w:instrText>
      </w:r>
      <w:r w:rsidRPr="003E3375">
        <w:rPr>
          <w:rFonts w:asciiTheme="minorHAnsi" w:hAnsiTheme="minorHAnsi" w:cstheme="minorHAnsi"/>
          <w:szCs w:val="18"/>
        </w:rPr>
      </w:r>
      <w:r w:rsidRPr="003E3375">
        <w:rPr>
          <w:rFonts w:asciiTheme="minorHAnsi" w:hAnsiTheme="minorHAnsi" w:cstheme="minorHAnsi"/>
          <w:szCs w:val="18"/>
        </w:rPr>
        <w:fldChar w:fldCharType="separate"/>
      </w:r>
      <w:r w:rsidRPr="003E3375">
        <w:rPr>
          <w:rFonts w:asciiTheme="minorHAnsi" w:hAnsiTheme="minorHAnsi" w:cstheme="minorHAnsi"/>
          <w:szCs w:val="18"/>
        </w:rPr>
        <w:t>III.E.1</w:t>
      </w:r>
      <w:r w:rsidRPr="003E3375">
        <w:rPr>
          <w:rFonts w:asciiTheme="minorHAnsi" w:hAnsiTheme="minorHAnsi" w:cstheme="minorHAnsi"/>
          <w:szCs w:val="18"/>
        </w:rPr>
        <w:fldChar w:fldCharType="end"/>
      </w:r>
      <w:r w:rsidRPr="003E3375">
        <w:rPr>
          <w:rFonts w:asciiTheme="minorHAnsi" w:hAnsiTheme="minorHAnsi" w:cstheme="minorHAnsi"/>
          <w:szCs w:val="18"/>
        </w:rPr>
        <w:t>.</w:t>
      </w:r>
    </w:p>
  </w:footnote>
  <w:footnote w:id="95">
    <w:p w14:paraId="0BFC0F3A" w14:textId="77777777"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first written submission, paras. 388-392.</w:t>
      </w:r>
    </w:p>
  </w:footnote>
  <w:footnote w:id="96">
    <w:p w14:paraId="4E415879" w14:textId="77777777"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Countervailing Duties Final Determination (Exhibit AUS-11), p. 8.</w:t>
      </w:r>
    </w:p>
  </w:footnote>
  <w:footnote w:id="97">
    <w:p w14:paraId="3BEBF61F" w14:textId="20A53E60"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second written submission, paras. 312-313, 318.</w:t>
      </w:r>
    </w:p>
  </w:footnote>
  <w:footnote w:id="98">
    <w:p w14:paraId="664DC6C5" w14:textId="1E9EA3C0"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Countervailing Duties Final Determination (Exhibit AUS-11), pp. 8</w:t>
      </w:r>
      <w:r w:rsidR="00FE0BC0" w:rsidRPr="003E3375">
        <w:rPr>
          <w:rFonts w:asciiTheme="minorHAnsi" w:hAnsiTheme="minorHAnsi" w:cstheme="minorHAnsi"/>
          <w:szCs w:val="18"/>
        </w:rPr>
        <w:t>-</w:t>
      </w:r>
      <w:r w:rsidRPr="003E3375">
        <w:rPr>
          <w:rFonts w:asciiTheme="minorHAnsi" w:hAnsiTheme="minorHAnsi" w:cstheme="minorHAnsi"/>
          <w:szCs w:val="18"/>
        </w:rPr>
        <w:t>9, 11.</w:t>
      </w:r>
    </w:p>
  </w:footnote>
  <w:footnote w:id="99">
    <w:p w14:paraId="50CF66A8" w14:textId="70F12394"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Australian Government Countervailing Duties Questionnaire Response, Section 2 (Exhibit AUS-50), pp. 1, 162</w:t>
      </w:r>
      <w:r w:rsidR="00FE0BC0" w:rsidRPr="003E3375">
        <w:rPr>
          <w:rFonts w:asciiTheme="minorHAnsi" w:hAnsiTheme="minorHAnsi" w:cstheme="minorHAnsi"/>
          <w:szCs w:val="18"/>
        </w:rPr>
        <w:t xml:space="preserve">, </w:t>
      </w:r>
      <w:r w:rsidRPr="003E3375">
        <w:rPr>
          <w:rFonts w:asciiTheme="minorHAnsi" w:hAnsiTheme="minorHAnsi" w:cstheme="minorHAnsi"/>
          <w:szCs w:val="18"/>
        </w:rPr>
        <w:t>205.</w:t>
      </w:r>
    </w:p>
  </w:footnote>
  <w:footnote w:id="100">
    <w:p w14:paraId="5859DCE1" w14:textId="3FECCDC2"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w:t>
      </w:r>
      <w:r w:rsidR="00FE0BC0" w:rsidRPr="003E3375">
        <w:rPr>
          <w:rFonts w:asciiTheme="minorHAnsi" w:hAnsiTheme="minorHAnsi" w:cstheme="minorHAnsi"/>
          <w:szCs w:val="18"/>
        </w:rPr>
        <w:t>first</w:t>
      </w:r>
      <w:r w:rsidRPr="003E3375">
        <w:rPr>
          <w:rFonts w:asciiTheme="minorHAnsi" w:hAnsiTheme="minorHAnsi" w:cstheme="minorHAnsi"/>
          <w:szCs w:val="18"/>
        </w:rPr>
        <w:t xml:space="preserve"> written submission, sections III.D.2 and III.E.2; second written submission, section VI.D.</w:t>
      </w:r>
    </w:p>
  </w:footnote>
  <w:footnote w:id="101">
    <w:p w14:paraId="1C4F0B75" w14:textId="77777777"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second written submission, paras. 298-299, 301.</w:t>
      </w:r>
    </w:p>
  </w:footnote>
  <w:footnote w:id="102">
    <w:p w14:paraId="3078788A" w14:textId="77777777" w:rsidR="005D36EC" w:rsidRPr="003E3375" w:rsidRDefault="005D36EC" w:rsidP="0036430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Countervailing Duties Final Determination (Exhibit AUS-11), p. 8.</w:t>
      </w:r>
    </w:p>
  </w:footnote>
  <w:footnote w:id="103">
    <w:p w14:paraId="1F774206" w14:textId="77777777" w:rsidR="005D36EC" w:rsidRPr="003E3375" w:rsidRDefault="005D36EC" w:rsidP="00A35CA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Appellate Body Report, </w:t>
      </w:r>
      <w:r w:rsidRPr="003E3375">
        <w:rPr>
          <w:rFonts w:asciiTheme="minorHAnsi" w:hAnsiTheme="minorHAnsi" w:cstheme="minorHAnsi"/>
          <w:i/>
          <w:iCs/>
          <w:szCs w:val="18"/>
        </w:rPr>
        <w:t>US – Washing Machines</w:t>
      </w:r>
      <w:r w:rsidRPr="003E3375">
        <w:rPr>
          <w:rFonts w:asciiTheme="minorHAnsi" w:hAnsiTheme="minorHAnsi" w:cstheme="minorHAnsi"/>
          <w:szCs w:val="18"/>
        </w:rPr>
        <w:t>, para. 5.268. (footnotes omitted)</w:t>
      </w:r>
    </w:p>
  </w:footnote>
  <w:footnote w:id="104">
    <w:p w14:paraId="66006400" w14:textId="4A08437D"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553-556; Appellate Body Report, </w:t>
      </w:r>
      <w:r w:rsidRPr="003E3375">
        <w:rPr>
          <w:rFonts w:asciiTheme="minorHAnsi" w:hAnsiTheme="minorHAnsi" w:cstheme="minorHAnsi"/>
          <w:i/>
          <w:iCs/>
          <w:szCs w:val="18"/>
        </w:rPr>
        <w:t>US – Hot-Rolled Steel</w:t>
      </w:r>
      <w:r w:rsidRPr="003E3375">
        <w:rPr>
          <w:rFonts w:asciiTheme="minorHAnsi" w:hAnsiTheme="minorHAnsi" w:cstheme="minorHAnsi"/>
          <w:szCs w:val="18"/>
        </w:rPr>
        <w:t>, paras. 192, 196; Panel Report</w:t>
      </w:r>
      <w:r w:rsidR="00443B16" w:rsidRPr="003E3375">
        <w:rPr>
          <w:rFonts w:asciiTheme="minorHAnsi" w:hAnsiTheme="minorHAnsi" w:cstheme="minorHAnsi"/>
          <w:szCs w:val="18"/>
        </w:rPr>
        <w:t>s</w:t>
      </w:r>
      <w:r w:rsidRPr="003E3375">
        <w:rPr>
          <w:rFonts w:asciiTheme="minorHAnsi" w:hAnsiTheme="minorHAnsi" w:cstheme="minorHAnsi"/>
          <w:szCs w:val="18"/>
        </w:rPr>
        <w:t xml:space="preserve">, </w:t>
      </w:r>
      <w:r w:rsidRPr="003E3375">
        <w:rPr>
          <w:rFonts w:asciiTheme="minorHAnsi" w:hAnsiTheme="minorHAnsi" w:cstheme="minorHAnsi"/>
          <w:i/>
          <w:iCs/>
          <w:szCs w:val="18"/>
        </w:rPr>
        <w:t>Morocco – Hot-Rolled Steel (Turkey)</w:t>
      </w:r>
      <w:r w:rsidR="00443B16" w:rsidRPr="003E3375">
        <w:rPr>
          <w:rFonts w:asciiTheme="minorHAnsi" w:hAnsiTheme="minorHAnsi" w:cstheme="minorHAnsi"/>
          <w:szCs w:val="18"/>
        </w:rPr>
        <w:t>,</w:t>
      </w:r>
      <w:r w:rsidRPr="003E3375">
        <w:rPr>
          <w:rFonts w:asciiTheme="minorHAnsi" w:hAnsiTheme="minorHAnsi" w:cstheme="minorHAnsi"/>
          <w:szCs w:val="18"/>
        </w:rPr>
        <w:t xml:space="preserve"> para. 7.272; </w:t>
      </w:r>
      <w:r w:rsidRPr="003E3375">
        <w:rPr>
          <w:rFonts w:asciiTheme="minorHAnsi" w:hAnsiTheme="minorHAnsi" w:cstheme="minorHAnsi"/>
          <w:i/>
          <w:iCs/>
          <w:szCs w:val="18"/>
        </w:rPr>
        <w:t>US – Carbon Steel (India)</w:t>
      </w:r>
      <w:r w:rsidRPr="003E3375">
        <w:rPr>
          <w:rFonts w:asciiTheme="minorHAnsi" w:hAnsiTheme="minorHAnsi" w:cstheme="minorHAnsi"/>
          <w:szCs w:val="18"/>
        </w:rPr>
        <w:t>, para. 4.582</w:t>
      </w:r>
      <w:r w:rsidR="008A3AED" w:rsidRPr="003E3375">
        <w:rPr>
          <w:rFonts w:asciiTheme="minorHAnsi" w:hAnsiTheme="minorHAnsi" w:cstheme="minorHAnsi"/>
          <w:szCs w:val="18"/>
        </w:rPr>
        <w:t>.</w:t>
      </w:r>
      <w:r w:rsidRPr="003E3375">
        <w:rPr>
          <w:rFonts w:asciiTheme="minorHAnsi" w:hAnsiTheme="minorHAnsi" w:cstheme="minorHAnsi"/>
          <w:szCs w:val="18"/>
        </w:rPr>
        <w:t xml:space="preserve"> </w:t>
      </w:r>
      <w:r w:rsidR="008A3AED" w:rsidRPr="003E3375">
        <w:rPr>
          <w:rFonts w:asciiTheme="minorHAnsi" w:hAnsiTheme="minorHAnsi" w:cstheme="minorHAnsi"/>
          <w:szCs w:val="18"/>
        </w:rPr>
        <w:t>T</w:t>
      </w:r>
      <w:r w:rsidRPr="003E3375">
        <w:rPr>
          <w:rFonts w:asciiTheme="minorHAnsi" w:hAnsiTheme="minorHAnsi" w:cstheme="minorHAnsi"/>
          <w:szCs w:val="18"/>
        </w:rPr>
        <w:t>hese obligations are absolute</w:t>
      </w:r>
      <w:r w:rsidR="008A3AED" w:rsidRPr="003E3375">
        <w:rPr>
          <w:rFonts w:asciiTheme="minorHAnsi" w:hAnsiTheme="minorHAnsi" w:cstheme="minorHAnsi"/>
          <w:szCs w:val="18"/>
        </w:rPr>
        <w:t>. See Panel Report,</w:t>
      </w:r>
      <w:r w:rsidRPr="003E3375">
        <w:rPr>
          <w:rFonts w:asciiTheme="minorHAnsi" w:hAnsiTheme="minorHAnsi" w:cstheme="minorHAnsi"/>
          <w:szCs w:val="18"/>
        </w:rPr>
        <w:t xml:space="preserve"> </w:t>
      </w:r>
      <w:r w:rsidRPr="003E3375">
        <w:rPr>
          <w:rFonts w:asciiTheme="minorHAnsi" w:hAnsiTheme="minorHAnsi" w:cstheme="minorHAnsi"/>
          <w:i/>
          <w:iCs/>
          <w:szCs w:val="18"/>
        </w:rPr>
        <w:t>EC – Bed Linen (Article 21.5 – India)</w:t>
      </w:r>
      <w:r w:rsidRPr="003E3375">
        <w:rPr>
          <w:rFonts w:asciiTheme="minorHAnsi" w:hAnsiTheme="minorHAnsi" w:cstheme="minorHAnsi"/>
          <w:szCs w:val="18"/>
        </w:rPr>
        <w:t>, para. 109.</w:t>
      </w:r>
    </w:p>
  </w:footnote>
  <w:footnote w:id="105">
    <w:p w14:paraId="51B28921" w14:textId="166CD46C" w:rsidR="00E92DD3" w:rsidRPr="003E3375" w:rsidRDefault="00E92DD3">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w:t>
      </w:r>
      <w:r w:rsidR="00B250E1" w:rsidRPr="003E3375">
        <w:rPr>
          <w:rFonts w:asciiTheme="minorHAnsi" w:hAnsiTheme="minorHAnsi" w:cstheme="minorHAnsi"/>
          <w:szCs w:val="18"/>
        </w:rPr>
        <w:t>Australia's opening statement at the second meeting of the Panel, para. 43.</w:t>
      </w:r>
    </w:p>
  </w:footnote>
  <w:footnote w:id="106">
    <w:p w14:paraId="58BF42C3" w14:textId="1A406952"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particularly Australia's opening statement at the second meeting of the Panel, para. 47 and footnotes thereto.</w:t>
      </w:r>
    </w:p>
  </w:footnote>
  <w:footnote w:id="107">
    <w:p w14:paraId="3C710590"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559.</w:t>
      </w:r>
    </w:p>
  </w:footnote>
  <w:footnote w:id="108">
    <w:p w14:paraId="56EF2D2B" w14:textId="6CFAF97D"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564; second written submission, para. 405.</w:t>
      </w:r>
    </w:p>
  </w:footnote>
  <w:footnote w:id="109">
    <w:p w14:paraId="30A4ABE1" w14:textId="512DEED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V.A.2; second written submission, section VII.B.</w:t>
      </w:r>
    </w:p>
  </w:footnote>
  <w:footnote w:id="110">
    <w:p w14:paraId="3862A7BD"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566.</w:t>
      </w:r>
    </w:p>
  </w:footnote>
  <w:footnote w:id="111">
    <w:p w14:paraId="3BC9BEB3"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567.</w:t>
      </w:r>
    </w:p>
  </w:footnote>
  <w:footnote w:id="112">
    <w:p w14:paraId="45A5A5FB"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567.</w:t>
      </w:r>
    </w:p>
  </w:footnote>
  <w:footnote w:id="113">
    <w:p w14:paraId="7EDD5690"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570.</w:t>
      </w:r>
    </w:p>
  </w:footnote>
  <w:footnote w:id="114">
    <w:p w14:paraId="0C4EBDFD" w14:textId="77777777" w:rsidR="005D36EC" w:rsidRPr="003E3375" w:rsidRDefault="005D36EC" w:rsidP="00BC4110">
      <w:pPr>
        <w:pStyle w:val="FootnoteText"/>
        <w:rPr>
          <w:rFonts w:asciiTheme="minorHAnsi" w:hAnsiTheme="minorHAnsi" w:cstheme="minorHAnsi"/>
          <w:szCs w:val="18"/>
          <w:lang w:val="en-GB"/>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w:t>
      </w:r>
      <w:r w:rsidRPr="003E3375">
        <w:rPr>
          <w:rStyle w:val="FootnoteReference"/>
          <w:rFonts w:asciiTheme="minorHAnsi" w:hAnsiTheme="minorHAnsi" w:cstheme="minorHAnsi"/>
          <w:szCs w:val="18"/>
          <w:vertAlign w:val="baseline"/>
        </w:rPr>
        <w:t>nti-Dumping Final Determination (</w:t>
      </w:r>
      <w:r w:rsidRPr="003E3375">
        <w:rPr>
          <w:rFonts w:asciiTheme="minorHAnsi" w:hAnsiTheme="minorHAnsi" w:cstheme="minorHAnsi"/>
          <w:szCs w:val="18"/>
        </w:rPr>
        <w:t>Exhibit AUS-2),</w:t>
      </w:r>
      <w:r w:rsidRPr="003E3375">
        <w:rPr>
          <w:rStyle w:val="FootnoteReference"/>
          <w:rFonts w:asciiTheme="minorHAnsi" w:hAnsiTheme="minorHAnsi" w:cstheme="minorHAnsi"/>
          <w:szCs w:val="18"/>
          <w:vertAlign w:val="baseline"/>
        </w:rPr>
        <w:t xml:space="preserve"> p. 1</w:t>
      </w:r>
      <w:r w:rsidRPr="003E3375">
        <w:rPr>
          <w:rFonts w:asciiTheme="minorHAnsi" w:hAnsiTheme="minorHAnsi" w:cstheme="minorHAnsi"/>
          <w:szCs w:val="18"/>
        </w:rPr>
        <w:t xml:space="preserve">4; </w:t>
      </w:r>
      <w:r w:rsidRPr="003E3375">
        <w:rPr>
          <w:rStyle w:val="FootnoteReference"/>
          <w:rFonts w:asciiTheme="minorHAnsi" w:hAnsiTheme="minorHAnsi" w:cstheme="minorHAnsi"/>
          <w:szCs w:val="18"/>
          <w:vertAlign w:val="baseline"/>
        </w:rPr>
        <w:t>Countervailing Duties Final Determination (</w:t>
      </w:r>
      <w:r w:rsidRPr="003E3375">
        <w:rPr>
          <w:rFonts w:asciiTheme="minorHAnsi" w:hAnsiTheme="minorHAnsi" w:cstheme="minorHAnsi"/>
          <w:szCs w:val="18"/>
        </w:rPr>
        <w:t>Exhibit AUS</w:t>
      </w:r>
      <w:r w:rsidRPr="003E3375">
        <w:rPr>
          <w:rFonts w:asciiTheme="minorHAnsi" w:hAnsiTheme="minorHAnsi" w:cstheme="minorHAnsi"/>
          <w:szCs w:val="18"/>
        </w:rPr>
        <w:noBreakHyphen/>
        <w:t xml:space="preserve">11), </w:t>
      </w:r>
      <w:r w:rsidRPr="003E3375">
        <w:rPr>
          <w:rStyle w:val="FootnoteReference"/>
          <w:rFonts w:asciiTheme="minorHAnsi" w:hAnsiTheme="minorHAnsi" w:cstheme="minorHAnsi"/>
          <w:szCs w:val="18"/>
          <w:vertAlign w:val="baseline"/>
        </w:rPr>
        <w:t>p.</w:t>
      </w:r>
      <w:r w:rsidRPr="003E3375">
        <w:rPr>
          <w:rFonts w:asciiTheme="minorHAnsi" w:hAnsiTheme="minorHAnsi" w:cstheme="minorHAnsi"/>
          <w:szCs w:val="18"/>
        </w:rPr>
        <w:t> 15.</w:t>
      </w:r>
    </w:p>
  </w:footnote>
  <w:footnote w:id="115">
    <w:p w14:paraId="43DB4723"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571.</w:t>
      </w:r>
    </w:p>
  </w:footnote>
  <w:footnote w:id="116">
    <w:p w14:paraId="4E44D458" w14:textId="180983E3" w:rsidR="005D36EC" w:rsidRPr="003E3375" w:rsidRDefault="005D36EC" w:rsidP="00BC4110">
      <w:pPr>
        <w:pStyle w:val="FootnoteText"/>
        <w:rPr>
          <w:rFonts w:asciiTheme="minorHAnsi" w:hAnsiTheme="minorHAnsi" w:cstheme="minorHAnsi"/>
          <w:szCs w:val="18"/>
          <w:lang w:val="en-CA"/>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 </w:t>
      </w:r>
      <w:r w:rsidRPr="003E3375">
        <w:rPr>
          <w:rFonts w:asciiTheme="minorHAnsi" w:hAnsiTheme="minorHAnsi" w:cstheme="minorHAnsi"/>
          <w:i/>
          <w:iCs/>
          <w:szCs w:val="18"/>
        </w:rPr>
        <w:t>Pakistan – BOPP Film (UAE)</w:t>
      </w:r>
      <w:r w:rsidRPr="003E3375">
        <w:rPr>
          <w:rFonts w:asciiTheme="minorHAnsi" w:hAnsiTheme="minorHAnsi" w:cstheme="minorHAnsi"/>
          <w:szCs w:val="18"/>
        </w:rPr>
        <w:t>, para. 7.271</w:t>
      </w:r>
      <w:r w:rsidR="00994D6F" w:rsidRPr="003E3375">
        <w:rPr>
          <w:rFonts w:asciiTheme="minorHAnsi" w:hAnsiTheme="minorHAnsi" w:cstheme="minorHAnsi"/>
          <w:szCs w:val="18"/>
        </w:rPr>
        <w:t xml:space="preserve"> (footnotes omitted)</w:t>
      </w:r>
      <w:r w:rsidRPr="003E3375">
        <w:rPr>
          <w:rFonts w:asciiTheme="minorHAnsi" w:hAnsiTheme="minorHAnsi" w:cstheme="minorHAnsi"/>
          <w:szCs w:val="18"/>
        </w:rPr>
        <w:t>; Australia's first written submission, paras.</w:t>
      </w:r>
      <w:r w:rsidR="00994D6F" w:rsidRPr="003E3375">
        <w:rPr>
          <w:rFonts w:asciiTheme="minorHAnsi" w:hAnsiTheme="minorHAnsi" w:cstheme="minorHAnsi"/>
          <w:szCs w:val="18"/>
        </w:rPr>
        <w:t> </w:t>
      </w:r>
      <w:r w:rsidRPr="003E3375">
        <w:rPr>
          <w:rFonts w:asciiTheme="minorHAnsi" w:hAnsiTheme="minorHAnsi" w:cstheme="minorHAnsi"/>
          <w:szCs w:val="18"/>
        </w:rPr>
        <w:t>572</w:t>
      </w:r>
      <w:r w:rsidR="00994D6F" w:rsidRPr="003E3375">
        <w:rPr>
          <w:rFonts w:asciiTheme="minorHAnsi" w:hAnsiTheme="minorHAnsi" w:cstheme="minorHAnsi"/>
          <w:szCs w:val="18"/>
        </w:rPr>
        <w:noBreakHyphen/>
      </w:r>
      <w:r w:rsidRPr="003E3375">
        <w:rPr>
          <w:rFonts w:asciiTheme="minorHAnsi" w:hAnsiTheme="minorHAnsi" w:cstheme="minorHAnsi"/>
          <w:szCs w:val="18"/>
        </w:rPr>
        <w:t>573.</w:t>
      </w:r>
    </w:p>
  </w:footnote>
  <w:footnote w:id="117">
    <w:p w14:paraId="41930A83"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Appellate Body Report, </w:t>
      </w:r>
      <w:r w:rsidRPr="003E3375">
        <w:rPr>
          <w:rFonts w:asciiTheme="minorHAnsi" w:hAnsiTheme="minorHAnsi" w:cstheme="minorHAnsi"/>
          <w:i/>
          <w:iCs/>
          <w:szCs w:val="18"/>
        </w:rPr>
        <w:t>US – Steel Safeguards</w:t>
      </w:r>
      <w:r w:rsidRPr="003E3375">
        <w:rPr>
          <w:rFonts w:asciiTheme="minorHAnsi" w:hAnsiTheme="minorHAnsi" w:cstheme="minorHAnsi"/>
          <w:szCs w:val="18"/>
        </w:rPr>
        <w:t>, para. 354.</w:t>
      </w:r>
    </w:p>
  </w:footnote>
  <w:footnote w:id="118">
    <w:p w14:paraId="41071590"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574.</w:t>
      </w:r>
    </w:p>
  </w:footnote>
  <w:footnote w:id="119">
    <w:p w14:paraId="47D30436"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577.</w:t>
      </w:r>
    </w:p>
  </w:footnote>
  <w:footnote w:id="120">
    <w:p w14:paraId="05556FBA"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w:t>
      </w:r>
      <w:r w:rsidRPr="003E3375">
        <w:rPr>
          <w:rStyle w:val="FootnoteReference"/>
          <w:rFonts w:asciiTheme="minorHAnsi" w:hAnsiTheme="minorHAnsi" w:cstheme="minorHAnsi"/>
          <w:szCs w:val="18"/>
          <w:vertAlign w:val="baseline"/>
        </w:rPr>
        <w:t>Anti-Dumping Final Determination (</w:t>
      </w:r>
      <w:r w:rsidRPr="003E3375">
        <w:rPr>
          <w:rFonts w:asciiTheme="minorHAnsi" w:hAnsiTheme="minorHAnsi" w:cstheme="minorHAnsi"/>
          <w:szCs w:val="18"/>
        </w:rPr>
        <w:t xml:space="preserve">Exhibit AUS-2), </w:t>
      </w:r>
      <w:r w:rsidRPr="003E3375">
        <w:rPr>
          <w:rStyle w:val="FootnoteReference"/>
          <w:rFonts w:asciiTheme="minorHAnsi" w:hAnsiTheme="minorHAnsi" w:cstheme="minorHAnsi"/>
          <w:szCs w:val="18"/>
          <w:vertAlign w:val="baseline"/>
        </w:rPr>
        <w:t>p. 15</w:t>
      </w:r>
      <w:r w:rsidRPr="003E3375">
        <w:rPr>
          <w:rFonts w:asciiTheme="minorHAnsi" w:hAnsiTheme="minorHAnsi" w:cstheme="minorHAnsi"/>
          <w:szCs w:val="18"/>
        </w:rPr>
        <w:t xml:space="preserve">; </w:t>
      </w:r>
      <w:r w:rsidRPr="003E3375">
        <w:rPr>
          <w:rStyle w:val="FootnoteReference"/>
          <w:rFonts w:asciiTheme="minorHAnsi" w:hAnsiTheme="minorHAnsi" w:cstheme="minorHAnsi"/>
          <w:szCs w:val="18"/>
          <w:vertAlign w:val="baseline"/>
        </w:rPr>
        <w:t>Countervailing Duties Final Determination (</w:t>
      </w:r>
      <w:r w:rsidRPr="003E3375">
        <w:rPr>
          <w:rFonts w:asciiTheme="minorHAnsi" w:hAnsiTheme="minorHAnsi" w:cstheme="minorHAnsi"/>
          <w:szCs w:val="18"/>
        </w:rPr>
        <w:t>Exhibit AUS</w:t>
      </w:r>
      <w:r w:rsidRPr="003E3375">
        <w:rPr>
          <w:rFonts w:asciiTheme="minorHAnsi" w:hAnsiTheme="minorHAnsi" w:cstheme="minorHAnsi"/>
          <w:szCs w:val="18"/>
        </w:rPr>
        <w:noBreakHyphen/>
        <w:t>11),</w:t>
      </w:r>
      <w:r w:rsidRPr="003E3375">
        <w:rPr>
          <w:rStyle w:val="FootnoteReference"/>
          <w:rFonts w:asciiTheme="minorHAnsi" w:hAnsiTheme="minorHAnsi" w:cstheme="minorHAnsi"/>
          <w:szCs w:val="18"/>
          <w:vertAlign w:val="baseline"/>
        </w:rPr>
        <w:t xml:space="preserve"> p</w:t>
      </w:r>
      <w:r w:rsidRPr="003E3375">
        <w:rPr>
          <w:rFonts w:asciiTheme="minorHAnsi" w:hAnsiTheme="minorHAnsi" w:cstheme="minorHAnsi"/>
          <w:szCs w:val="18"/>
        </w:rPr>
        <w:t>. 15; Australia's first written submission, para. 578.</w:t>
      </w:r>
    </w:p>
  </w:footnote>
  <w:footnote w:id="121">
    <w:p w14:paraId="6D2C9C80" w14:textId="2840980B"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591. See also Australia's first written submission, para. 620.</w:t>
      </w:r>
    </w:p>
  </w:footnote>
  <w:footnote w:id="122">
    <w:p w14:paraId="637CD5D5"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592-593.</w:t>
      </w:r>
    </w:p>
  </w:footnote>
  <w:footnote w:id="123">
    <w:p w14:paraId="3A994813" w14:textId="4525C7A5"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Anti-Dumping Final Determination (Exhibit AUS-2), p. 17; Countervailing Duties Final Determination (Exhibit AUS-11), p.</w:t>
      </w:r>
      <w:r w:rsidR="00BB3BE1" w:rsidRPr="003E3375">
        <w:rPr>
          <w:rFonts w:asciiTheme="minorHAnsi" w:hAnsiTheme="minorHAnsi" w:cstheme="minorHAnsi"/>
          <w:szCs w:val="18"/>
        </w:rPr>
        <w:t> </w:t>
      </w:r>
      <w:r w:rsidRPr="003E3375">
        <w:rPr>
          <w:rFonts w:asciiTheme="minorHAnsi" w:hAnsiTheme="minorHAnsi" w:cstheme="minorHAnsi"/>
          <w:szCs w:val="18"/>
        </w:rPr>
        <w:t>17.</w:t>
      </w:r>
    </w:p>
  </w:footnote>
  <w:footnote w:id="124">
    <w:p w14:paraId="7A872E95" w14:textId="299B713C"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Anti-Dumping Final Determination (Exhibit AUS-2), p. 20 ("the low price competition for dumped imported product has caused a substantial reduction in the prices of similar products in the domestic industry"); Countervailing Duties Final Determination (Exhibit AUS-11), p. 21 ("the Investigating Authority believed that the low price competition for subsidized imports had caused a significant reduction in the prices of similar domestic products").</w:t>
      </w:r>
    </w:p>
  </w:footnote>
  <w:footnote w:id="125">
    <w:p w14:paraId="50C4050D" w14:textId="1F488106"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600-602; second written submission, section V.D.2.</w:t>
      </w:r>
    </w:p>
  </w:footnote>
  <w:footnote w:id="126">
    <w:p w14:paraId="0B0297B9"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603-605.</w:t>
      </w:r>
    </w:p>
  </w:footnote>
  <w:footnote w:id="127">
    <w:p w14:paraId="7D833911" w14:textId="5A5825B4"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w:t>
      </w:r>
      <w:r w:rsidR="00B20B9E" w:rsidRPr="003E3375">
        <w:rPr>
          <w:rFonts w:asciiTheme="minorHAnsi" w:hAnsiTheme="minorHAnsi" w:cstheme="minorHAnsi"/>
          <w:szCs w:val="18"/>
        </w:rPr>
        <w:t>s</w:t>
      </w:r>
      <w:r w:rsidRPr="003E3375">
        <w:rPr>
          <w:rFonts w:asciiTheme="minorHAnsi" w:hAnsiTheme="minorHAnsi" w:cstheme="minorHAnsi"/>
          <w:szCs w:val="18"/>
        </w:rPr>
        <w:t>. 606</w:t>
      </w:r>
      <w:r w:rsidR="00B20B9E" w:rsidRPr="003E3375">
        <w:rPr>
          <w:rFonts w:asciiTheme="minorHAnsi" w:hAnsiTheme="minorHAnsi" w:cstheme="minorHAnsi"/>
          <w:szCs w:val="18"/>
        </w:rPr>
        <w:t>-614</w:t>
      </w:r>
      <w:r w:rsidRPr="003E3375">
        <w:rPr>
          <w:rFonts w:asciiTheme="minorHAnsi" w:hAnsiTheme="minorHAnsi" w:cstheme="minorHAnsi"/>
          <w:szCs w:val="18"/>
        </w:rPr>
        <w:t>; second written submission, paras. 424-436.</w:t>
      </w:r>
    </w:p>
  </w:footnote>
  <w:footnote w:id="128">
    <w:p w14:paraId="2E314F77"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608-610.</w:t>
      </w:r>
    </w:p>
  </w:footnote>
  <w:footnote w:id="129">
    <w:p w14:paraId="34C25FAC"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611-613.</w:t>
      </w:r>
    </w:p>
  </w:footnote>
  <w:footnote w:id="130">
    <w:p w14:paraId="09DCD3FD" w14:textId="5C62AC87"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paras. 437-442.</w:t>
      </w:r>
    </w:p>
  </w:footnote>
  <w:footnote w:id="131">
    <w:p w14:paraId="1FDD225A"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624; second written submission, section VII.C.4.</w:t>
      </w:r>
    </w:p>
  </w:footnote>
  <w:footnote w:id="132">
    <w:p w14:paraId="3A21B459" w14:textId="7E62B773" w:rsidR="005D36EC" w:rsidRPr="003E3375" w:rsidRDefault="005D36EC" w:rsidP="0087317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w:t>
      </w:r>
      <w:r w:rsidRPr="003E3375">
        <w:rPr>
          <w:rFonts w:asciiTheme="minorHAnsi" w:hAnsiTheme="minorHAnsi" w:cstheme="minorHAnsi"/>
          <w:szCs w:val="18"/>
          <w:lang w:val="en-CA"/>
        </w:rPr>
        <w:t xml:space="preserve">See </w:t>
      </w:r>
      <w:r w:rsidRPr="003E3375">
        <w:rPr>
          <w:rStyle w:val="FootnoteReference"/>
          <w:rFonts w:asciiTheme="minorHAnsi" w:hAnsiTheme="minorHAnsi" w:cstheme="minorHAnsi"/>
          <w:szCs w:val="18"/>
          <w:vertAlign w:val="baseline"/>
        </w:rPr>
        <w:t>Anti-Dumping Final Determination</w:t>
      </w:r>
      <w:r w:rsidRPr="003E3375">
        <w:rPr>
          <w:rFonts w:asciiTheme="minorHAnsi" w:hAnsiTheme="minorHAnsi" w:cstheme="minorHAnsi"/>
          <w:szCs w:val="18"/>
        </w:rPr>
        <w:t xml:space="preserve"> (Exhibit AUS-2), p.16, and (Exhibit CHN-1), p. 16; </w:t>
      </w:r>
      <w:r w:rsidRPr="003E3375">
        <w:rPr>
          <w:rStyle w:val="FootnoteReference"/>
          <w:rFonts w:asciiTheme="minorHAnsi" w:hAnsiTheme="minorHAnsi" w:cstheme="minorHAnsi"/>
          <w:szCs w:val="18"/>
          <w:vertAlign w:val="baseline"/>
        </w:rPr>
        <w:t>Countervailing Duties Final Determination</w:t>
      </w:r>
      <w:r w:rsidRPr="003E3375">
        <w:rPr>
          <w:rFonts w:asciiTheme="minorHAnsi" w:hAnsiTheme="minorHAnsi" w:cstheme="minorHAnsi"/>
          <w:szCs w:val="18"/>
        </w:rPr>
        <w:t xml:space="preserve"> (Exhibit AUS-11), pp. 16-17, and (Exhibit CHN-4), p. 16.</w:t>
      </w:r>
    </w:p>
  </w:footnote>
  <w:footnote w:id="133">
    <w:p w14:paraId="3A109512" w14:textId="2C24B5C8" w:rsidR="005D36EC" w:rsidRPr="003E3375" w:rsidRDefault="005D36EC" w:rsidP="0087317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w:t>
      </w:r>
      <w:r w:rsidRPr="003E3375">
        <w:rPr>
          <w:rStyle w:val="FootnoteReference"/>
          <w:rFonts w:asciiTheme="minorHAnsi" w:hAnsiTheme="minorHAnsi" w:cstheme="minorHAnsi"/>
          <w:szCs w:val="18"/>
          <w:vertAlign w:val="baseline"/>
        </w:rPr>
        <w:t>Anti-Dumping Final Determination</w:t>
      </w:r>
      <w:r w:rsidRPr="003E3375">
        <w:rPr>
          <w:rFonts w:asciiTheme="minorHAnsi" w:hAnsiTheme="minorHAnsi" w:cstheme="minorHAnsi"/>
          <w:szCs w:val="18"/>
        </w:rPr>
        <w:t xml:space="preserve"> (Exhibit AUS-2), p.16, and (Exhibit CHN-1), p. 16; </w:t>
      </w:r>
      <w:r w:rsidRPr="003E3375">
        <w:rPr>
          <w:rStyle w:val="FootnoteReference"/>
          <w:rFonts w:asciiTheme="minorHAnsi" w:hAnsiTheme="minorHAnsi" w:cstheme="minorHAnsi"/>
          <w:szCs w:val="18"/>
          <w:vertAlign w:val="baseline"/>
        </w:rPr>
        <w:t>Countervailing Duties Final Determination</w:t>
      </w:r>
      <w:r w:rsidRPr="003E3375">
        <w:rPr>
          <w:rFonts w:asciiTheme="minorHAnsi" w:hAnsiTheme="minorHAnsi" w:cstheme="minorHAnsi"/>
          <w:szCs w:val="18"/>
        </w:rPr>
        <w:t xml:space="preserve"> (Exhibit AUS-11), pp. 16-17, and (Exhibit CHN-4), p. 16.</w:t>
      </w:r>
    </w:p>
  </w:footnote>
  <w:footnote w:id="134">
    <w:p w14:paraId="2933AC1B" w14:textId="1C0A147E" w:rsidR="005D36EC" w:rsidRPr="003E3375" w:rsidRDefault="005D36EC" w:rsidP="0087317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sections I.B; VII.C.2.</w:t>
      </w:r>
    </w:p>
  </w:footnote>
  <w:footnote w:id="135">
    <w:p w14:paraId="25C4787F" w14:textId="28AB7BD1" w:rsidR="005D36EC" w:rsidRPr="003E3375" w:rsidRDefault="005D36EC" w:rsidP="003F61F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generally Australia's first written submission, section V.A.</w:t>
      </w:r>
      <w:r w:rsidR="003F28DE" w:rsidRPr="003E3375">
        <w:rPr>
          <w:rFonts w:asciiTheme="minorHAnsi" w:hAnsiTheme="minorHAnsi" w:cstheme="minorHAnsi"/>
          <w:szCs w:val="18"/>
        </w:rPr>
        <w:t>3</w:t>
      </w:r>
      <w:r w:rsidRPr="003E3375">
        <w:rPr>
          <w:rFonts w:asciiTheme="minorHAnsi" w:hAnsiTheme="minorHAnsi" w:cstheme="minorHAnsi"/>
          <w:szCs w:val="18"/>
        </w:rPr>
        <w:t>.(b)</w:t>
      </w:r>
      <w:r w:rsidR="00E92149" w:rsidRPr="003E3375">
        <w:rPr>
          <w:rFonts w:asciiTheme="minorHAnsi" w:hAnsiTheme="minorHAnsi" w:cstheme="minorHAnsi"/>
          <w:szCs w:val="18"/>
        </w:rPr>
        <w:t>.</w:t>
      </w:r>
    </w:p>
  </w:footnote>
  <w:footnote w:id="136">
    <w:p w14:paraId="7D4F54BC" w14:textId="153B8034" w:rsidR="005D36EC" w:rsidRPr="003E3375" w:rsidRDefault="005D36EC" w:rsidP="003F61F6">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w:t>
      </w:r>
      <w:r w:rsidR="00E92149" w:rsidRPr="003E3375">
        <w:rPr>
          <w:rFonts w:asciiTheme="minorHAnsi" w:hAnsiTheme="minorHAnsi" w:cstheme="minorHAnsi"/>
          <w:szCs w:val="18"/>
        </w:rPr>
        <w:t xml:space="preserve">See </w:t>
      </w:r>
      <w:r w:rsidRPr="003E3375">
        <w:rPr>
          <w:rFonts w:asciiTheme="minorHAnsi" w:hAnsiTheme="minorHAnsi" w:cstheme="minorHAnsi"/>
          <w:szCs w:val="18"/>
        </w:rPr>
        <w:t>Australia's first written submission, para. 620.</w:t>
      </w:r>
    </w:p>
  </w:footnote>
  <w:footnote w:id="137">
    <w:p w14:paraId="22C9A647" w14:textId="2050C545"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 second written submission, section VII.D.3.</w:t>
      </w:r>
    </w:p>
  </w:footnote>
  <w:footnote w:id="138">
    <w:p w14:paraId="2CFCC304"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629.</w:t>
      </w:r>
    </w:p>
  </w:footnote>
  <w:footnote w:id="139">
    <w:p w14:paraId="77D24665" w14:textId="021BCC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Noting this requirement is mandatory and cannot be met with a checklist approach: Panel Reports, </w:t>
      </w:r>
      <w:r w:rsidRPr="003E3375">
        <w:rPr>
          <w:rFonts w:asciiTheme="minorHAnsi" w:hAnsiTheme="minorHAnsi" w:cstheme="minorHAnsi"/>
          <w:i/>
          <w:iCs/>
          <w:szCs w:val="18"/>
        </w:rPr>
        <w:t>Guatemala – Cement</w:t>
      </w:r>
      <w:r w:rsidR="0053270C" w:rsidRPr="003E3375">
        <w:rPr>
          <w:rFonts w:asciiTheme="minorHAnsi" w:hAnsiTheme="minorHAnsi" w:cstheme="minorHAnsi"/>
          <w:i/>
          <w:iCs/>
          <w:szCs w:val="18"/>
        </w:rPr>
        <w:t> </w:t>
      </w:r>
      <w:r w:rsidRPr="003E3375">
        <w:rPr>
          <w:rFonts w:asciiTheme="minorHAnsi" w:hAnsiTheme="minorHAnsi" w:cstheme="minorHAnsi"/>
          <w:i/>
          <w:iCs/>
          <w:szCs w:val="18"/>
        </w:rPr>
        <w:t>II</w:t>
      </w:r>
      <w:r w:rsidRPr="003E3375">
        <w:rPr>
          <w:rFonts w:asciiTheme="minorHAnsi" w:hAnsiTheme="minorHAnsi" w:cstheme="minorHAnsi"/>
          <w:szCs w:val="18"/>
        </w:rPr>
        <w:t xml:space="preserve">, para. 8.283; </w:t>
      </w:r>
      <w:r w:rsidRPr="003E3375">
        <w:rPr>
          <w:rFonts w:asciiTheme="minorHAnsi" w:hAnsiTheme="minorHAnsi" w:cstheme="minorHAnsi"/>
          <w:i/>
          <w:iCs/>
          <w:szCs w:val="18"/>
        </w:rPr>
        <w:t>Thailand – H-Beams</w:t>
      </w:r>
      <w:r w:rsidRPr="003E3375">
        <w:rPr>
          <w:rFonts w:asciiTheme="minorHAnsi" w:hAnsiTheme="minorHAnsi" w:cstheme="minorHAnsi"/>
          <w:szCs w:val="18"/>
        </w:rPr>
        <w:t xml:space="preserve">, para. 7.229; </w:t>
      </w:r>
      <w:r w:rsidRPr="003E3375">
        <w:rPr>
          <w:rFonts w:asciiTheme="minorHAnsi" w:hAnsiTheme="minorHAnsi" w:cstheme="minorHAnsi"/>
          <w:i/>
          <w:iCs/>
          <w:szCs w:val="18"/>
        </w:rPr>
        <w:t>Korea – Certain Paper</w:t>
      </w:r>
      <w:r w:rsidRPr="003E3375">
        <w:rPr>
          <w:rFonts w:asciiTheme="minorHAnsi" w:hAnsiTheme="minorHAnsi" w:cstheme="minorHAnsi"/>
          <w:szCs w:val="18"/>
        </w:rPr>
        <w:t xml:space="preserve">, para. 7.272.  </w:t>
      </w:r>
    </w:p>
  </w:footnote>
  <w:footnote w:id="140">
    <w:p w14:paraId="58E377A4"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V.A.4.(c).</w:t>
      </w:r>
    </w:p>
  </w:footnote>
  <w:footnote w:id="141">
    <w:p w14:paraId="2971BE99"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first written submission, para. 504.</w:t>
      </w:r>
    </w:p>
  </w:footnote>
  <w:footnote w:id="142">
    <w:p w14:paraId="739CCA39" w14:textId="7B49A7FC" w:rsidR="005D36EC" w:rsidRPr="003E3375" w:rsidRDefault="005D36EC" w:rsidP="00334ED2">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comments on China's response to question</w:t>
      </w:r>
      <w:r w:rsidR="00A00753" w:rsidRPr="003E3375">
        <w:rPr>
          <w:rFonts w:asciiTheme="minorHAnsi" w:hAnsiTheme="minorHAnsi" w:cstheme="minorHAnsi"/>
          <w:szCs w:val="18"/>
        </w:rPr>
        <w:t xml:space="preserve"> No. 14</w:t>
      </w:r>
      <w:r w:rsidRPr="003E3375">
        <w:rPr>
          <w:rFonts w:asciiTheme="minorHAnsi" w:hAnsiTheme="minorHAnsi" w:cstheme="minorHAnsi"/>
          <w:szCs w:val="18"/>
        </w:rPr>
        <w:t xml:space="preserve"> from the Panel following the second substantive meeting, para.</w:t>
      </w:r>
      <w:r w:rsidR="00812F6C" w:rsidRPr="003E3375">
        <w:rPr>
          <w:rFonts w:asciiTheme="minorHAnsi" w:hAnsiTheme="minorHAnsi" w:cstheme="minorHAnsi"/>
          <w:szCs w:val="18"/>
        </w:rPr>
        <w:t> </w:t>
      </w:r>
      <w:r w:rsidRPr="003E3375">
        <w:rPr>
          <w:rFonts w:asciiTheme="minorHAnsi" w:hAnsiTheme="minorHAnsi" w:cstheme="minorHAnsi"/>
          <w:szCs w:val="18"/>
        </w:rPr>
        <w:t>44.</w:t>
      </w:r>
    </w:p>
  </w:footnote>
  <w:footnote w:id="143">
    <w:p w14:paraId="0BA9BC44"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650-651.</w:t>
      </w:r>
    </w:p>
  </w:footnote>
  <w:footnote w:id="144">
    <w:p w14:paraId="09A83787" w14:textId="1CE92795"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w:t>
      </w:r>
      <w:r w:rsidR="00AB0F4D" w:rsidRPr="003E3375">
        <w:rPr>
          <w:rFonts w:asciiTheme="minorHAnsi" w:hAnsiTheme="minorHAnsi" w:cstheme="minorHAnsi"/>
          <w:szCs w:val="18"/>
        </w:rPr>
        <w:t>s</w:t>
      </w:r>
      <w:r w:rsidRPr="003E3375">
        <w:rPr>
          <w:rFonts w:asciiTheme="minorHAnsi" w:hAnsiTheme="minorHAnsi" w:cstheme="minorHAnsi"/>
          <w:szCs w:val="18"/>
        </w:rPr>
        <w:t xml:space="preserve">, </w:t>
      </w:r>
      <w:r w:rsidR="00AB0F4D" w:rsidRPr="003E3375">
        <w:rPr>
          <w:rFonts w:asciiTheme="minorHAnsi" w:hAnsiTheme="minorHAnsi" w:cstheme="minorHAnsi"/>
          <w:i/>
          <w:iCs/>
          <w:szCs w:val="18"/>
        </w:rPr>
        <w:t>EC – Tube or Pipe Fittings</w:t>
      </w:r>
      <w:r w:rsidR="00AB0F4D" w:rsidRPr="003E3375">
        <w:rPr>
          <w:rFonts w:asciiTheme="minorHAnsi" w:hAnsiTheme="minorHAnsi" w:cstheme="minorHAnsi"/>
          <w:szCs w:val="18"/>
        </w:rPr>
        <w:t xml:space="preserve">, para. 7.314; </w:t>
      </w:r>
      <w:r w:rsidRPr="003E3375">
        <w:rPr>
          <w:rFonts w:asciiTheme="minorHAnsi" w:hAnsiTheme="minorHAnsi" w:cstheme="minorHAnsi"/>
          <w:i/>
          <w:iCs/>
          <w:szCs w:val="18"/>
        </w:rPr>
        <w:t>US – Hot-Rolled Steel</w:t>
      </w:r>
      <w:r w:rsidRPr="003E3375">
        <w:rPr>
          <w:rFonts w:asciiTheme="minorHAnsi" w:hAnsiTheme="minorHAnsi" w:cstheme="minorHAnsi"/>
          <w:szCs w:val="18"/>
        </w:rPr>
        <w:t>, para. 7.234.</w:t>
      </w:r>
    </w:p>
  </w:footnote>
  <w:footnote w:id="145">
    <w:p w14:paraId="1566D9B6" w14:textId="7253179F"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part</w:t>
      </w:r>
      <w:r w:rsidR="00AB0F4D" w:rsidRPr="003E3375">
        <w:rPr>
          <w:rFonts w:asciiTheme="minorHAnsi" w:hAnsiTheme="minorHAnsi" w:cstheme="minorHAnsi"/>
          <w:szCs w:val="18"/>
        </w:rPr>
        <w:t>icularly</w:t>
      </w:r>
      <w:r w:rsidRPr="003E3375">
        <w:rPr>
          <w:rFonts w:asciiTheme="minorHAnsi" w:hAnsiTheme="minorHAnsi" w:cstheme="minorHAnsi"/>
          <w:szCs w:val="18"/>
        </w:rPr>
        <w:t xml:space="preserve"> Australia's first written submission, paras. 640-641.</w:t>
      </w:r>
    </w:p>
  </w:footnote>
  <w:footnote w:id="146">
    <w:p w14:paraId="0D3AD060"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V.A.4.(b); second written submission, section VII.D.4.</w:t>
      </w:r>
    </w:p>
  </w:footnote>
  <w:footnote w:id="147">
    <w:p w14:paraId="2458986B"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655.</w:t>
      </w:r>
    </w:p>
  </w:footnote>
  <w:footnote w:id="148">
    <w:p w14:paraId="75DBF46B"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particularly Australia's second written submission, section VII.E.4</w:t>
      </w:r>
    </w:p>
  </w:footnote>
  <w:footnote w:id="149">
    <w:p w14:paraId="123CABE1" w14:textId="740F0953"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V.A.4.(b); second written submission, section V</w:t>
      </w:r>
      <w:r w:rsidR="009E376B" w:rsidRPr="003E3375">
        <w:rPr>
          <w:rFonts w:asciiTheme="minorHAnsi" w:hAnsiTheme="minorHAnsi" w:cstheme="minorHAnsi"/>
          <w:szCs w:val="18"/>
        </w:rPr>
        <w:t>II</w:t>
      </w:r>
      <w:r w:rsidRPr="003E3375">
        <w:rPr>
          <w:rFonts w:asciiTheme="minorHAnsi" w:hAnsiTheme="minorHAnsi" w:cstheme="minorHAnsi"/>
          <w:szCs w:val="18"/>
        </w:rPr>
        <w:t>.</w:t>
      </w:r>
      <w:r w:rsidR="009E376B" w:rsidRPr="003E3375">
        <w:rPr>
          <w:rFonts w:asciiTheme="minorHAnsi" w:hAnsiTheme="minorHAnsi" w:cstheme="minorHAnsi"/>
          <w:szCs w:val="18"/>
        </w:rPr>
        <w:t>B</w:t>
      </w:r>
      <w:r w:rsidRPr="003E3375">
        <w:rPr>
          <w:rFonts w:asciiTheme="minorHAnsi" w:hAnsiTheme="minorHAnsi" w:cstheme="minorHAnsi"/>
          <w:szCs w:val="18"/>
        </w:rPr>
        <w:t>.</w:t>
      </w:r>
    </w:p>
  </w:footnote>
  <w:footnote w:id="150">
    <w:p w14:paraId="3C9A85B8" w14:textId="11D5CA4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V.A.4.(c); Appellate Body Report, </w:t>
      </w:r>
      <w:r w:rsidRPr="003E3375">
        <w:rPr>
          <w:rFonts w:asciiTheme="minorHAnsi" w:hAnsiTheme="minorHAnsi" w:cstheme="minorHAnsi"/>
          <w:i/>
          <w:iCs/>
          <w:szCs w:val="18"/>
        </w:rPr>
        <w:t>US – Wheat Gluten</w:t>
      </w:r>
      <w:r w:rsidRPr="003E3375">
        <w:rPr>
          <w:rFonts w:asciiTheme="minorHAnsi" w:hAnsiTheme="minorHAnsi" w:cstheme="minorHAnsi"/>
          <w:szCs w:val="18"/>
        </w:rPr>
        <w:t>, para. 69.</w:t>
      </w:r>
    </w:p>
  </w:footnote>
  <w:footnote w:id="151">
    <w:p w14:paraId="0F08B96A" w14:textId="28C497D2"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Anti-Dumping Final Determination (Exhibit AUS-2), p. 20; Countervailing Duties Final Determination (Exhibit AUS-11), p.</w:t>
      </w:r>
      <w:r w:rsidR="00FE3FE2" w:rsidRPr="003E3375">
        <w:rPr>
          <w:rFonts w:asciiTheme="minorHAnsi" w:hAnsiTheme="minorHAnsi" w:cstheme="minorHAnsi"/>
          <w:szCs w:val="18"/>
        </w:rPr>
        <w:t> </w:t>
      </w:r>
      <w:r w:rsidRPr="003E3375">
        <w:rPr>
          <w:rFonts w:asciiTheme="minorHAnsi" w:hAnsiTheme="minorHAnsi" w:cstheme="minorHAnsi"/>
          <w:szCs w:val="18"/>
        </w:rPr>
        <w:t>21</w:t>
      </w:r>
      <w:r w:rsidR="0053270C" w:rsidRPr="003E3375">
        <w:rPr>
          <w:rFonts w:asciiTheme="minorHAnsi" w:hAnsiTheme="minorHAnsi" w:cstheme="minorHAnsi"/>
          <w:szCs w:val="18"/>
        </w:rPr>
        <w:t>;</w:t>
      </w:r>
      <w:r w:rsidRPr="003E3375">
        <w:rPr>
          <w:rFonts w:asciiTheme="minorHAnsi" w:hAnsiTheme="minorHAnsi" w:cstheme="minorHAnsi"/>
          <w:szCs w:val="18"/>
        </w:rPr>
        <w:t xml:space="preserve"> see particularly Australia's second written submission, section VII.E.3.</w:t>
      </w:r>
    </w:p>
  </w:footnote>
  <w:footnote w:id="152">
    <w:p w14:paraId="5CBDDB9E" w14:textId="77777777"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673.</w:t>
      </w:r>
    </w:p>
  </w:footnote>
  <w:footnote w:id="153">
    <w:p w14:paraId="7A9F1A81" w14:textId="5F045432"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Appellate Body Report, </w:t>
      </w:r>
      <w:r w:rsidRPr="003E3375">
        <w:rPr>
          <w:rFonts w:asciiTheme="minorHAnsi" w:hAnsiTheme="minorHAnsi" w:cstheme="minorHAnsi"/>
          <w:i/>
          <w:iCs/>
          <w:szCs w:val="18"/>
        </w:rPr>
        <w:t>US – Hot-Rolled Steel</w:t>
      </w:r>
      <w:r w:rsidRPr="003E3375">
        <w:rPr>
          <w:rFonts w:asciiTheme="minorHAnsi" w:hAnsiTheme="minorHAnsi" w:cstheme="minorHAnsi"/>
          <w:szCs w:val="18"/>
        </w:rPr>
        <w:t>, para. 223; Australia's first written submission, para. 657</w:t>
      </w:r>
      <w:r w:rsidR="0001336D" w:rsidRPr="003E3375">
        <w:rPr>
          <w:rFonts w:asciiTheme="minorHAnsi" w:hAnsiTheme="minorHAnsi" w:cstheme="minorHAnsi"/>
          <w:szCs w:val="18"/>
        </w:rPr>
        <w:t>; second written submission, section VII.E.4.</w:t>
      </w:r>
    </w:p>
  </w:footnote>
  <w:footnote w:id="154">
    <w:p w14:paraId="44C8CC76" w14:textId="060314B2"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V.A.4.(d</w:t>
      </w:r>
      <w:r w:rsidR="0001336D" w:rsidRPr="003E3375">
        <w:rPr>
          <w:rFonts w:asciiTheme="minorHAnsi" w:hAnsiTheme="minorHAnsi" w:cstheme="minorHAnsi"/>
          <w:szCs w:val="18"/>
        </w:rPr>
        <w:t>)</w:t>
      </w:r>
      <w:r w:rsidRPr="003E3375">
        <w:rPr>
          <w:rFonts w:asciiTheme="minorHAnsi" w:hAnsiTheme="minorHAnsi" w:cstheme="minorHAnsi"/>
          <w:szCs w:val="18"/>
        </w:rPr>
        <w:t xml:space="preserve">; </w:t>
      </w:r>
      <w:r w:rsidR="0001336D" w:rsidRPr="003E3375">
        <w:rPr>
          <w:rFonts w:asciiTheme="minorHAnsi" w:hAnsiTheme="minorHAnsi" w:cstheme="minorHAnsi"/>
          <w:szCs w:val="18"/>
        </w:rPr>
        <w:t xml:space="preserve">second written submission, section VII.E.A.(a); </w:t>
      </w:r>
      <w:r w:rsidRPr="003E3375">
        <w:rPr>
          <w:rFonts w:asciiTheme="minorHAnsi" w:hAnsiTheme="minorHAnsi" w:cstheme="minorHAnsi"/>
          <w:szCs w:val="18"/>
        </w:rPr>
        <w:t>Anti-Dumping Final Determination (Exhibit, AUS-2), p. 21.</w:t>
      </w:r>
      <w:r w:rsidR="00B747DB">
        <w:rPr>
          <w:rFonts w:asciiTheme="minorHAnsi" w:hAnsiTheme="minorHAnsi" w:cstheme="minorHAnsi"/>
          <w:szCs w:val="18"/>
        </w:rPr>
        <w:t>;</w:t>
      </w:r>
      <w:r w:rsidRPr="003E3375">
        <w:rPr>
          <w:rFonts w:asciiTheme="minorHAnsi" w:hAnsiTheme="minorHAnsi" w:cstheme="minorHAnsi"/>
          <w:szCs w:val="18"/>
        </w:rPr>
        <w:t xml:space="preserve"> </w:t>
      </w:r>
      <w:r w:rsidR="00B747DB">
        <w:rPr>
          <w:rFonts w:asciiTheme="minorHAnsi" w:hAnsiTheme="minorHAnsi" w:cstheme="minorHAnsi"/>
          <w:szCs w:val="18"/>
        </w:rPr>
        <w:t>s</w:t>
      </w:r>
      <w:r w:rsidRPr="003E3375">
        <w:rPr>
          <w:rFonts w:asciiTheme="minorHAnsi" w:hAnsiTheme="minorHAnsi" w:cstheme="minorHAnsi"/>
          <w:szCs w:val="18"/>
        </w:rPr>
        <w:t>ee also Countervailing Duties Final Determination (Exhibit AUS-11), p. 22; Australia's first written submission, para. 679 and footnotes thereto. MOFCOM was also more likely to be in possession of information regarding government policy impact on industry.</w:t>
      </w:r>
    </w:p>
  </w:footnote>
  <w:footnote w:id="155">
    <w:p w14:paraId="66589F9C" w14:textId="307186EE"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 Australian Government Comments on Initiation of Anti-Dumping Investigation (Exhibit AUS-45), para. 36.  </w:t>
      </w:r>
    </w:p>
  </w:footnote>
  <w:footnote w:id="156">
    <w:p w14:paraId="70F00E38" w14:textId="5C4E62C3"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w:t>
      </w:r>
    </w:p>
  </w:footnote>
  <w:footnote w:id="157">
    <w:p w14:paraId="445E5F6C" w14:textId="31328B11" w:rsidR="005D36EC" w:rsidRPr="003E3375" w:rsidRDefault="005D36EC" w:rsidP="00BC4110">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V.A.4.(d)iii; second written submission, section VII.C.3; refer above </w:t>
      </w:r>
      <w:r w:rsidR="007445F7" w:rsidRPr="003E3375">
        <w:rPr>
          <w:rFonts w:asciiTheme="minorHAnsi" w:hAnsiTheme="minorHAnsi" w:cstheme="minorHAnsi"/>
          <w:szCs w:val="18"/>
        </w:rPr>
        <w:t>regarding market segmentation</w:t>
      </w:r>
      <w:r w:rsidRPr="003E3375">
        <w:rPr>
          <w:rFonts w:asciiTheme="minorHAnsi" w:hAnsiTheme="minorHAnsi" w:cstheme="minorHAnsi"/>
          <w:szCs w:val="18"/>
        </w:rPr>
        <w:t>.</w:t>
      </w:r>
    </w:p>
  </w:footnote>
  <w:footnote w:id="158">
    <w:p w14:paraId="22D932F1" w14:textId="77777777" w:rsidR="005D36EC" w:rsidRPr="003E3375" w:rsidRDefault="005D36EC" w:rsidP="00CF53D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vertAlign w:val="superscript"/>
        </w:rPr>
        <w:t xml:space="preserve"> </w:t>
      </w:r>
      <w:r w:rsidRPr="003E3375">
        <w:rPr>
          <w:rFonts w:asciiTheme="minorHAnsi" w:hAnsiTheme="minorHAnsi" w:cstheme="minorHAnsi"/>
          <w:szCs w:val="18"/>
        </w:rPr>
        <w:t>Australia's first written submission, paras. 584-585.</w:t>
      </w:r>
    </w:p>
  </w:footnote>
  <w:footnote w:id="159">
    <w:p w14:paraId="0183FE1A" w14:textId="77777777" w:rsidR="005D36EC" w:rsidRPr="003E3375" w:rsidRDefault="005D36EC" w:rsidP="00CF53D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vertAlign w:val="superscript"/>
        </w:rPr>
        <w:t xml:space="preserve"> </w:t>
      </w:r>
      <w:r w:rsidRPr="003E3375">
        <w:rPr>
          <w:rFonts w:asciiTheme="minorHAnsi" w:hAnsiTheme="minorHAnsi" w:cstheme="minorHAnsi"/>
          <w:szCs w:val="18"/>
        </w:rPr>
        <w:t>Australia's first written submission, Table 11, p. 268.</w:t>
      </w:r>
    </w:p>
  </w:footnote>
  <w:footnote w:id="160">
    <w:p w14:paraId="3FB7E7EA" w14:textId="77777777" w:rsidR="005D36EC" w:rsidRPr="003E3375" w:rsidRDefault="005D36EC" w:rsidP="00CF53D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693.</w:t>
      </w:r>
    </w:p>
  </w:footnote>
  <w:footnote w:id="161">
    <w:p w14:paraId="2452CAFA" w14:textId="1A5EDBAC" w:rsidR="005D36EC" w:rsidRPr="003E3375" w:rsidRDefault="005D36EC" w:rsidP="003D655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section</w:t>
      </w:r>
      <w:r w:rsidR="00A12E6A" w:rsidRPr="003E3375">
        <w:rPr>
          <w:rFonts w:asciiTheme="minorHAnsi" w:hAnsiTheme="minorHAnsi" w:cstheme="minorHAnsi"/>
          <w:szCs w:val="18"/>
        </w:rPr>
        <w:t>s</w:t>
      </w:r>
      <w:r w:rsidRPr="003E3375">
        <w:rPr>
          <w:rFonts w:asciiTheme="minorHAnsi" w:hAnsiTheme="minorHAnsi" w:cstheme="minorHAnsi"/>
          <w:szCs w:val="18"/>
        </w:rPr>
        <w:t xml:space="preserve"> VII.F, VI.E, V.F.</w:t>
      </w:r>
    </w:p>
  </w:footnote>
  <w:footnote w:id="162">
    <w:p w14:paraId="1741ACBE" w14:textId="09487B54" w:rsidR="005D36EC" w:rsidRPr="003E3375" w:rsidRDefault="005D36EC" w:rsidP="003D655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VIII; second written submission, section IV.</w:t>
      </w:r>
    </w:p>
  </w:footnote>
  <w:footnote w:id="163">
    <w:p w14:paraId="4D8CB948" w14:textId="77777777" w:rsidR="005D36EC" w:rsidRPr="003E3375" w:rsidRDefault="005D36EC" w:rsidP="003D655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section IV.</w:t>
      </w:r>
    </w:p>
  </w:footnote>
  <w:footnote w:id="164">
    <w:p w14:paraId="22730AB4" w14:textId="029124CB"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VIII.A</w:t>
      </w:r>
      <w:r w:rsidR="005A2C46" w:rsidRPr="003E3375">
        <w:rPr>
          <w:rFonts w:asciiTheme="minorHAnsi" w:hAnsiTheme="minorHAnsi" w:cstheme="minorHAnsi"/>
          <w:szCs w:val="18"/>
        </w:rPr>
        <w:t xml:space="preserve">; second written submission, sections </w:t>
      </w:r>
      <w:r w:rsidR="0003339E" w:rsidRPr="003E3375">
        <w:rPr>
          <w:rFonts w:asciiTheme="minorHAnsi" w:hAnsiTheme="minorHAnsi" w:cstheme="minorHAnsi"/>
          <w:szCs w:val="18"/>
        </w:rPr>
        <w:t>VI.E.2; IV.C; V.F.2</w:t>
      </w:r>
      <w:r w:rsidRPr="003E3375">
        <w:rPr>
          <w:rFonts w:asciiTheme="minorHAnsi" w:hAnsiTheme="minorHAnsi" w:cstheme="minorHAnsi"/>
          <w:szCs w:val="18"/>
        </w:rPr>
        <w:t>.</w:t>
      </w:r>
      <w:r w:rsidR="00D24D20" w:rsidRPr="003E3375">
        <w:rPr>
          <w:rFonts w:asciiTheme="minorHAnsi" w:hAnsiTheme="minorHAnsi" w:cstheme="minorHAnsi"/>
          <w:szCs w:val="18"/>
        </w:rPr>
        <w:t xml:space="preserve"> See also Panel Report, </w:t>
      </w:r>
      <w:r w:rsidR="00D24D20" w:rsidRPr="003E3375">
        <w:rPr>
          <w:rFonts w:asciiTheme="minorHAnsi" w:hAnsiTheme="minorHAnsi" w:cstheme="minorHAnsi"/>
          <w:i/>
          <w:iCs/>
          <w:szCs w:val="18"/>
        </w:rPr>
        <w:t>China – X-Ray Equipment</w:t>
      </w:r>
      <w:r w:rsidR="00D24D20" w:rsidRPr="003E3375">
        <w:rPr>
          <w:rFonts w:asciiTheme="minorHAnsi" w:hAnsiTheme="minorHAnsi" w:cstheme="minorHAnsi"/>
          <w:szCs w:val="18"/>
        </w:rPr>
        <w:t>, para. 7.459.</w:t>
      </w:r>
    </w:p>
  </w:footnote>
  <w:footnote w:id="165">
    <w:p w14:paraId="4DD84B59" w14:textId="44F991CD" w:rsidR="005D36EC" w:rsidRPr="003E3375" w:rsidRDefault="005D36EC" w:rsidP="00A30C8F">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first written submission, para. 620; Australia's second written submission, section IV.C.</w:t>
      </w:r>
    </w:p>
  </w:footnote>
  <w:footnote w:id="166">
    <w:p w14:paraId="062BD910" w14:textId="79F7E0E2"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 859.</w:t>
      </w:r>
    </w:p>
  </w:footnote>
  <w:footnote w:id="167">
    <w:p w14:paraId="142750FE" w14:textId="77777777" w:rsidR="005D36EC" w:rsidRPr="003E3375" w:rsidRDefault="005D36EC" w:rsidP="00EA06B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860-861 and footnotes thereto.</w:t>
      </w:r>
    </w:p>
  </w:footnote>
  <w:footnote w:id="168">
    <w:p w14:paraId="435AEEF3" w14:textId="5DA37D35" w:rsidR="005D36EC" w:rsidRPr="003E3375" w:rsidRDefault="005D36EC" w:rsidP="00EA06B1">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 </w:t>
      </w:r>
      <w:r w:rsidRPr="003E3375">
        <w:rPr>
          <w:rFonts w:asciiTheme="minorHAnsi" w:hAnsiTheme="minorHAnsi" w:cstheme="minorHAnsi"/>
          <w:i/>
          <w:iCs/>
          <w:szCs w:val="18"/>
        </w:rPr>
        <w:t>China – Broiler Products (Article 21.5 – US)</w:t>
      </w:r>
      <w:r w:rsidRPr="003E3375">
        <w:rPr>
          <w:rFonts w:asciiTheme="minorHAnsi" w:hAnsiTheme="minorHAnsi" w:cstheme="minorHAnsi"/>
          <w:szCs w:val="18"/>
        </w:rPr>
        <w:t>, para. 7.218; Australia's first written submission, para. 862.</w:t>
      </w:r>
    </w:p>
  </w:footnote>
  <w:footnote w:id="169">
    <w:p w14:paraId="638A8CFD" w14:textId="56ABCECD" w:rsidR="005D36EC" w:rsidRPr="003E3375" w:rsidRDefault="005D36EC" w:rsidP="004524A2">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864-867.</w:t>
      </w:r>
    </w:p>
  </w:footnote>
  <w:footnote w:id="170">
    <w:p w14:paraId="503833A4" w14:textId="77777777" w:rsidR="005D36EC" w:rsidRPr="003E3375" w:rsidRDefault="005D36EC" w:rsidP="00AA3FFF">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 </w:t>
      </w:r>
      <w:r w:rsidRPr="003E3375">
        <w:rPr>
          <w:rFonts w:asciiTheme="minorHAnsi" w:hAnsiTheme="minorHAnsi" w:cstheme="minorHAnsi"/>
          <w:i/>
          <w:iCs/>
          <w:szCs w:val="18"/>
        </w:rPr>
        <w:t xml:space="preserve">China – Broiler Products (Article 21.5 – US), </w:t>
      </w:r>
      <w:r w:rsidRPr="003E3375">
        <w:rPr>
          <w:rFonts w:asciiTheme="minorHAnsi" w:hAnsiTheme="minorHAnsi" w:cstheme="minorHAnsi"/>
          <w:szCs w:val="18"/>
        </w:rPr>
        <w:t xml:space="preserve">para. 7.221. </w:t>
      </w:r>
    </w:p>
  </w:footnote>
  <w:footnote w:id="171">
    <w:p w14:paraId="197A1CA5" w14:textId="0DD2398F" w:rsidR="005D36EC" w:rsidRPr="003E3375" w:rsidRDefault="005D36EC" w:rsidP="00E01119">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868-870.</w:t>
      </w:r>
    </w:p>
  </w:footnote>
  <w:footnote w:id="172">
    <w:p w14:paraId="6BFEA656" w14:textId="785F6501"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first written submission, para. 878.</w:t>
      </w:r>
    </w:p>
  </w:footnote>
  <w:footnote w:id="173">
    <w:p w14:paraId="52B75395" w14:textId="1AA38333" w:rsidR="005D36EC" w:rsidRPr="003E3375" w:rsidRDefault="005D36EC" w:rsidP="00D8738D">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sections VIII.A.5; VIII.B.3; Australia's opening statement at the second substantive meeting of the Panel, paras. 61-63. See also Appellate Body Report, </w:t>
      </w:r>
      <w:r w:rsidRPr="003E3375">
        <w:rPr>
          <w:rFonts w:asciiTheme="minorHAnsi" w:hAnsiTheme="minorHAnsi" w:cstheme="minorHAnsi"/>
          <w:i/>
          <w:iCs/>
          <w:szCs w:val="18"/>
        </w:rPr>
        <w:t>China – GOES</w:t>
      </w:r>
      <w:r w:rsidRPr="003E3375">
        <w:rPr>
          <w:rFonts w:asciiTheme="minorHAnsi" w:hAnsiTheme="minorHAnsi" w:cstheme="minorHAnsi"/>
          <w:szCs w:val="18"/>
        </w:rPr>
        <w:t>, para. 240-241.</w:t>
      </w:r>
    </w:p>
  </w:footnote>
  <w:footnote w:id="174">
    <w:p w14:paraId="38F36DB9" w14:textId="47B06572" w:rsidR="005D36EC" w:rsidRPr="003E3375" w:rsidRDefault="005D36EC">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opening statement at the second substantive meeting of the Panel, para. 60.</w:t>
      </w:r>
    </w:p>
  </w:footnote>
  <w:footnote w:id="175">
    <w:p w14:paraId="4DC269B9" w14:textId="51FE130D" w:rsidR="005D36EC" w:rsidRPr="003E3375" w:rsidRDefault="005D36EC" w:rsidP="00F84A1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VIII.B.4; Panel Reports, </w:t>
      </w:r>
      <w:r w:rsidRPr="003E3375">
        <w:rPr>
          <w:rFonts w:asciiTheme="minorHAnsi" w:hAnsiTheme="minorHAnsi" w:cstheme="minorHAnsi"/>
          <w:i/>
          <w:iCs/>
          <w:szCs w:val="18"/>
        </w:rPr>
        <w:t>EC – Fasteners (China) (Article 21.5 – China)</w:t>
      </w:r>
      <w:r w:rsidRPr="003E3375">
        <w:rPr>
          <w:rFonts w:asciiTheme="minorHAnsi" w:hAnsiTheme="minorHAnsi" w:cstheme="minorHAnsi"/>
          <w:szCs w:val="18"/>
        </w:rPr>
        <w:t xml:space="preserve">, para. 7.191; </w:t>
      </w:r>
      <w:r w:rsidRPr="003E3375">
        <w:rPr>
          <w:rFonts w:asciiTheme="minorHAnsi" w:hAnsiTheme="minorHAnsi" w:cstheme="minorHAnsi"/>
          <w:i/>
          <w:iCs/>
          <w:szCs w:val="18"/>
        </w:rPr>
        <w:t>US – Steel Plate</w:t>
      </w:r>
      <w:r w:rsidRPr="003E3375">
        <w:rPr>
          <w:rFonts w:asciiTheme="minorHAnsi" w:hAnsiTheme="minorHAnsi" w:cstheme="minorHAnsi"/>
          <w:szCs w:val="18"/>
        </w:rPr>
        <w:t>, fn 67.</w:t>
      </w:r>
    </w:p>
  </w:footnote>
  <w:footnote w:id="176">
    <w:p w14:paraId="365ECE9A" w14:textId="0C186D59" w:rsidR="005D36EC" w:rsidRPr="003E3375" w:rsidRDefault="005D36EC" w:rsidP="00F84A1E">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second written submission, </w:t>
      </w:r>
      <w:r w:rsidR="00902BA7" w:rsidRPr="003E3375">
        <w:rPr>
          <w:rFonts w:asciiTheme="minorHAnsi" w:hAnsiTheme="minorHAnsi" w:cstheme="minorHAnsi"/>
          <w:szCs w:val="18"/>
        </w:rPr>
        <w:t>para. 514 and footnotes thereto.</w:t>
      </w:r>
    </w:p>
  </w:footnote>
  <w:footnote w:id="177">
    <w:p w14:paraId="3BAB4AB5" w14:textId="1ABE1A18" w:rsidR="005D36EC" w:rsidRPr="003E3375" w:rsidRDefault="005D36EC" w:rsidP="003424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VIII.B.5.</w:t>
      </w:r>
    </w:p>
  </w:footnote>
  <w:footnote w:id="178">
    <w:p w14:paraId="355DCDE2" w14:textId="7B2F89CB" w:rsidR="005D36EC" w:rsidRPr="003E3375" w:rsidRDefault="005D36EC" w:rsidP="003424E5">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opening statement at the second substantive meeting with the Panel, para. 16; Australia's first written submission, section VIII.B.2.</w:t>
      </w:r>
    </w:p>
  </w:footnote>
  <w:footnote w:id="179">
    <w:p w14:paraId="326E54F0" w14:textId="2A893AD2"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Panel Reports, </w:t>
      </w:r>
      <w:r w:rsidRPr="003E3375">
        <w:rPr>
          <w:rFonts w:asciiTheme="minorHAnsi" w:hAnsiTheme="minorHAnsi" w:cstheme="minorHAnsi"/>
          <w:i/>
          <w:iCs/>
          <w:szCs w:val="18"/>
        </w:rPr>
        <w:t>China – X-Ray Equipment</w:t>
      </w:r>
      <w:r w:rsidRPr="003E3375">
        <w:rPr>
          <w:rFonts w:asciiTheme="minorHAnsi" w:hAnsiTheme="minorHAnsi" w:cstheme="minorHAnsi"/>
          <w:szCs w:val="18"/>
        </w:rPr>
        <w:t xml:space="preserve">, para. 7.472; </w:t>
      </w:r>
      <w:r w:rsidRPr="003E3375">
        <w:rPr>
          <w:rFonts w:asciiTheme="minorHAnsi" w:hAnsiTheme="minorHAnsi" w:cstheme="minorHAnsi"/>
          <w:i/>
          <w:iCs/>
          <w:szCs w:val="18"/>
        </w:rPr>
        <w:t>EU – Footwear (China)</w:t>
      </w:r>
      <w:r w:rsidRPr="003E3375">
        <w:rPr>
          <w:rFonts w:asciiTheme="minorHAnsi" w:hAnsiTheme="minorHAnsi" w:cstheme="minorHAnsi"/>
          <w:szCs w:val="18"/>
        </w:rPr>
        <w:t>, para. 7.844; Australia's first written submission, section VIII.B.6.</w:t>
      </w:r>
    </w:p>
  </w:footnote>
  <w:footnote w:id="180">
    <w:p w14:paraId="4DBD41D8" w14:textId="77777777"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Panel Reports, </w:t>
      </w:r>
      <w:r w:rsidRPr="003E3375">
        <w:rPr>
          <w:rFonts w:asciiTheme="minorHAnsi" w:hAnsiTheme="minorHAnsi" w:cstheme="minorHAnsi"/>
          <w:i/>
          <w:iCs/>
          <w:szCs w:val="18"/>
        </w:rPr>
        <w:t>China – Broiler Products</w:t>
      </w:r>
      <w:r w:rsidRPr="003E3375">
        <w:rPr>
          <w:rFonts w:asciiTheme="minorHAnsi" w:hAnsiTheme="minorHAnsi" w:cstheme="minorHAnsi"/>
          <w:szCs w:val="18"/>
        </w:rPr>
        <w:t xml:space="preserve">, para. 7.317; </w:t>
      </w:r>
      <w:r w:rsidRPr="003E3375">
        <w:rPr>
          <w:rFonts w:asciiTheme="minorHAnsi" w:hAnsiTheme="minorHAnsi" w:cstheme="minorHAnsi"/>
          <w:i/>
          <w:iCs/>
          <w:szCs w:val="18"/>
        </w:rPr>
        <w:t>China – Broiler Products (Article 21.5 – US)</w:t>
      </w:r>
      <w:r w:rsidRPr="003E3375">
        <w:rPr>
          <w:rFonts w:asciiTheme="minorHAnsi" w:hAnsiTheme="minorHAnsi" w:cstheme="minorHAnsi"/>
          <w:szCs w:val="18"/>
        </w:rPr>
        <w:t xml:space="preserve">, paras. 7.368 and 7.401. See also, Panel Report, </w:t>
      </w:r>
      <w:r w:rsidRPr="003E3375">
        <w:rPr>
          <w:rFonts w:asciiTheme="minorHAnsi" w:hAnsiTheme="minorHAnsi" w:cstheme="minorHAnsi"/>
          <w:i/>
          <w:iCs/>
          <w:szCs w:val="18"/>
        </w:rPr>
        <w:t>Morocco – Hot-Rolled Steel (Turkey)</w:t>
      </w:r>
      <w:r w:rsidRPr="003E3375">
        <w:rPr>
          <w:rFonts w:asciiTheme="minorHAnsi" w:hAnsiTheme="minorHAnsi" w:cstheme="minorHAnsi"/>
          <w:szCs w:val="18"/>
        </w:rPr>
        <w:t xml:space="preserve">, para. 7.115.  </w:t>
      </w:r>
    </w:p>
  </w:footnote>
  <w:footnote w:id="181">
    <w:p w14:paraId="7093E052" w14:textId="77777777"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VIII.B.6.</w:t>
      </w:r>
    </w:p>
  </w:footnote>
  <w:footnote w:id="182">
    <w:p w14:paraId="7411965B" w14:textId="513ECD18"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United States' third</w:t>
      </w:r>
      <w:r w:rsidRPr="003E3375">
        <w:rPr>
          <w:szCs w:val="18"/>
        </w:rPr>
        <w:t xml:space="preserve"> </w:t>
      </w:r>
      <w:r w:rsidRPr="003E3375">
        <w:rPr>
          <w:rFonts w:asciiTheme="minorHAnsi" w:hAnsiTheme="minorHAnsi" w:cstheme="minorHAnsi"/>
          <w:szCs w:val="18"/>
        </w:rPr>
        <w:t>party submission, para. 79; Canada's third</w:t>
      </w:r>
      <w:r w:rsidRPr="003E3375">
        <w:rPr>
          <w:szCs w:val="18"/>
        </w:rPr>
        <w:t xml:space="preserve"> </w:t>
      </w:r>
      <w:r w:rsidRPr="003E3375">
        <w:rPr>
          <w:rFonts w:asciiTheme="minorHAnsi" w:hAnsiTheme="minorHAnsi" w:cstheme="minorHAnsi"/>
          <w:szCs w:val="18"/>
        </w:rPr>
        <w:t>party submission, para. 42.</w:t>
      </w:r>
    </w:p>
  </w:footnote>
  <w:footnote w:id="183">
    <w:p w14:paraId="61C228E7" w14:textId="01B32B76"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China's first written submission, paras. 690-694 and 697-709.</w:t>
      </w:r>
    </w:p>
  </w:footnote>
  <w:footnote w:id="184">
    <w:p w14:paraId="70A80BE5" w14:textId="3B3920FA"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See Australia's second written submission, section IV.D.</w:t>
      </w:r>
    </w:p>
  </w:footnote>
  <w:footnote w:id="185">
    <w:p w14:paraId="30A8A44C" w14:textId="77777777"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VI; second written submission, section VIII.</w:t>
      </w:r>
    </w:p>
  </w:footnote>
  <w:footnote w:id="186">
    <w:p w14:paraId="50B3D39F" w14:textId="77777777"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paras. 720-722.</w:t>
      </w:r>
    </w:p>
  </w:footnote>
  <w:footnote w:id="187">
    <w:p w14:paraId="1DCA6516" w14:textId="461F9C6D" w:rsidR="005D36EC" w:rsidRPr="003E3375" w:rsidRDefault="005D36EC" w:rsidP="001B1C07">
      <w:pPr>
        <w:pStyle w:val="FootnoteText"/>
        <w:rPr>
          <w:rFonts w:asciiTheme="minorHAnsi" w:hAnsiTheme="minorHAnsi" w:cstheme="minorHAnsi"/>
          <w:szCs w:val="18"/>
        </w:rPr>
      </w:pPr>
      <w:r w:rsidRPr="003E3375">
        <w:rPr>
          <w:rStyle w:val="FootnoteReference"/>
          <w:rFonts w:asciiTheme="minorHAnsi" w:hAnsiTheme="minorHAnsi" w:cstheme="minorHAnsi"/>
          <w:szCs w:val="18"/>
        </w:rPr>
        <w:footnoteRef/>
      </w:r>
      <w:r w:rsidRPr="003E3375">
        <w:rPr>
          <w:rFonts w:asciiTheme="minorHAnsi" w:hAnsiTheme="minorHAnsi" w:cstheme="minorHAnsi"/>
          <w:szCs w:val="18"/>
        </w:rPr>
        <w:t xml:space="preserve"> Australia's first written submission, section VI.B.; Appellate Body Report, </w:t>
      </w:r>
      <w:r w:rsidRPr="003E3375">
        <w:rPr>
          <w:rFonts w:asciiTheme="minorHAnsi" w:hAnsiTheme="minorHAnsi" w:cstheme="minorHAnsi"/>
          <w:i/>
          <w:iCs/>
          <w:szCs w:val="18"/>
        </w:rPr>
        <w:t>US – Anti-Dumping and Countervailing Duties (China)</w:t>
      </w:r>
      <w:r w:rsidRPr="003E3375">
        <w:rPr>
          <w:rFonts w:asciiTheme="minorHAnsi" w:hAnsiTheme="minorHAnsi" w:cstheme="minorHAnsi"/>
          <w:szCs w:val="18"/>
        </w:rPr>
        <w:t>, para. 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0482" w14:textId="5467652B" w:rsidR="005D36EC" w:rsidRPr="00F31B5D" w:rsidRDefault="005D36EC" w:rsidP="00E358AD">
    <w:pPr>
      <w:pStyle w:val="Header"/>
      <w:pBdr>
        <w:top w:val="single" w:sz="4" w:space="1" w:color="auto"/>
        <w:left w:val="single" w:sz="4" w:space="4" w:color="auto"/>
        <w:bottom w:val="single" w:sz="4" w:space="1" w:color="auto"/>
        <w:right w:val="single" w:sz="4" w:space="0" w:color="auto"/>
      </w:pBdr>
      <w:jc w:val="center"/>
      <w:rPr>
        <w:sz w:val="20"/>
        <w:szCs w:val="20"/>
      </w:rPr>
    </w:pPr>
    <w:r>
      <w:rPr>
        <w:noProof/>
        <w:sz w:val="20"/>
        <w:szCs w:val="20"/>
      </w:rPr>
      <w:t>Business Confidential Information</w:t>
    </w:r>
    <w:r w:rsidR="009002EB">
      <w:rPr>
        <w:noProof/>
        <w:sz w:val="20"/>
        <w:szCs w:val="20"/>
      </w:rPr>
      <w:t xml:space="preserve"> - REDACTED</w:t>
    </w:r>
  </w:p>
  <w:p w14:paraId="6785F502" w14:textId="404A520D" w:rsidR="005D36EC" w:rsidRDefault="005D36EC">
    <w:pPr>
      <w:pStyle w:val="Header"/>
    </w:pPr>
    <w:r>
      <w:rPr>
        <w:i/>
        <w:iCs/>
      </w:rPr>
      <w:t>China – AC/CVD on Barley (Australia)</w:t>
    </w:r>
    <w:r>
      <w:tab/>
    </w:r>
    <w:r>
      <w:tab/>
      <w:t>Australia's Executive Summary</w:t>
    </w:r>
  </w:p>
  <w:p w14:paraId="191546AA" w14:textId="44E9E64D" w:rsidR="005D36EC" w:rsidRDefault="00000000">
    <w:pPr>
      <w:pStyle w:val="Header"/>
    </w:pPr>
    <w:fldSimple w:instr=" STYLEREF  &quot;[DSN] DS Number&quot;  \* MERGEFORMAT ">
      <w:r w:rsidR="007C5997">
        <w:rPr>
          <w:noProof/>
        </w:rPr>
        <w:t>(DS598)</w:t>
      </w:r>
    </w:fldSimple>
    <w:r w:rsidR="005D36EC">
      <w:ptab w:relativeTo="margin" w:alignment="right" w:leader="none"/>
    </w:r>
    <w:fldSimple w:instr=" STYLEREF  &quot;[DD] Document Date&quot;  \* MERGEFORMAT ">
      <w:r w:rsidR="007C5997">
        <w:rPr>
          <w:noProof/>
        </w:rPr>
        <w:t>19 September 2022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0C85" w14:textId="77777777" w:rsidR="005D36EC" w:rsidRDefault="005D3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04656"/>
    <w:multiLevelType w:val="hybridMultilevel"/>
    <w:tmpl w:val="994A581E"/>
    <w:lvl w:ilvl="0" w:tplc="FDC8A928">
      <w:start w:val="1"/>
      <w:numFmt w:val="decimal"/>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3" w15:restartNumberingAfterBreak="0">
    <w:nsid w:val="13834A2C"/>
    <w:multiLevelType w:val="hybridMultilevel"/>
    <w:tmpl w:val="73CA67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8E5CDB"/>
    <w:multiLevelType w:val="hybridMultilevel"/>
    <w:tmpl w:val="04823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2216C"/>
    <w:multiLevelType w:val="hybridMultilevel"/>
    <w:tmpl w:val="6C44E39A"/>
    <w:lvl w:ilvl="0" w:tplc="24285A22">
      <w:start w:val="49"/>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DA5CA4"/>
    <w:multiLevelType w:val="hybridMultilevel"/>
    <w:tmpl w:val="CB200BA4"/>
    <w:lvl w:ilvl="0" w:tplc="E342ECD0">
      <w:start w:val="1"/>
      <w:numFmt w:val="lowerLetter"/>
      <w:pStyle w:val="Barley-HeadingLevel6"/>
      <w:lvlText w:val="%1."/>
      <w:lvlJc w:val="left"/>
      <w:pPr>
        <w:ind w:left="6317" w:hanging="360"/>
      </w:pPr>
    </w:lvl>
    <w:lvl w:ilvl="1" w:tplc="0C090019" w:tentative="1">
      <w:start w:val="1"/>
      <w:numFmt w:val="lowerLetter"/>
      <w:lvlText w:val="%2."/>
      <w:lvlJc w:val="left"/>
      <w:pPr>
        <w:ind w:left="7037" w:hanging="360"/>
      </w:pPr>
    </w:lvl>
    <w:lvl w:ilvl="2" w:tplc="0C09001B" w:tentative="1">
      <w:start w:val="1"/>
      <w:numFmt w:val="lowerRoman"/>
      <w:lvlText w:val="%3."/>
      <w:lvlJc w:val="right"/>
      <w:pPr>
        <w:ind w:left="7757" w:hanging="180"/>
      </w:pPr>
    </w:lvl>
    <w:lvl w:ilvl="3" w:tplc="0C09000F" w:tentative="1">
      <w:start w:val="1"/>
      <w:numFmt w:val="decimal"/>
      <w:lvlText w:val="%4."/>
      <w:lvlJc w:val="left"/>
      <w:pPr>
        <w:ind w:left="8477" w:hanging="360"/>
      </w:pPr>
    </w:lvl>
    <w:lvl w:ilvl="4" w:tplc="0C090019" w:tentative="1">
      <w:start w:val="1"/>
      <w:numFmt w:val="lowerLetter"/>
      <w:lvlText w:val="%5."/>
      <w:lvlJc w:val="left"/>
      <w:pPr>
        <w:ind w:left="9197" w:hanging="360"/>
      </w:pPr>
    </w:lvl>
    <w:lvl w:ilvl="5" w:tplc="0C09001B" w:tentative="1">
      <w:start w:val="1"/>
      <w:numFmt w:val="lowerRoman"/>
      <w:lvlText w:val="%6."/>
      <w:lvlJc w:val="right"/>
      <w:pPr>
        <w:ind w:left="9917" w:hanging="180"/>
      </w:pPr>
    </w:lvl>
    <w:lvl w:ilvl="6" w:tplc="0C09000F" w:tentative="1">
      <w:start w:val="1"/>
      <w:numFmt w:val="decimal"/>
      <w:lvlText w:val="%7."/>
      <w:lvlJc w:val="left"/>
      <w:pPr>
        <w:ind w:left="10637" w:hanging="360"/>
      </w:pPr>
    </w:lvl>
    <w:lvl w:ilvl="7" w:tplc="0C090019" w:tentative="1">
      <w:start w:val="1"/>
      <w:numFmt w:val="lowerLetter"/>
      <w:lvlText w:val="%8."/>
      <w:lvlJc w:val="left"/>
      <w:pPr>
        <w:ind w:left="11357" w:hanging="360"/>
      </w:pPr>
    </w:lvl>
    <w:lvl w:ilvl="8" w:tplc="0C09001B" w:tentative="1">
      <w:start w:val="1"/>
      <w:numFmt w:val="lowerRoman"/>
      <w:lvlText w:val="%9."/>
      <w:lvlJc w:val="right"/>
      <w:pPr>
        <w:ind w:left="12077" w:hanging="180"/>
      </w:pPr>
    </w:lvl>
  </w:abstractNum>
  <w:abstractNum w:abstractNumId="7" w15:restartNumberingAfterBreak="0">
    <w:nsid w:val="20201FEE"/>
    <w:multiLevelType w:val="hybridMultilevel"/>
    <w:tmpl w:val="2452B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43105"/>
    <w:multiLevelType w:val="hybridMultilevel"/>
    <w:tmpl w:val="4ED849A8"/>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9" w15:restartNumberingAfterBreak="0">
    <w:nsid w:val="2A07052C"/>
    <w:multiLevelType w:val="hybridMultilevel"/>
    <w:tmpl w:val="0ECA96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BA80DE1"/>
    <w:multiLevelType w:val="hybridMultilevel"/>
    <w:tmpl w:val="42D40C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2C656292"/>
    <w:multiLevelType w:val="hybridMultilevel"/>
    <w:tmpl w:val="F2EAB660"/>
    <w:lvl w:ilvl="0" w:tplc="A2F630EE">
      <w:start w:val="1"/>
      <w:numFmt w:val="decimal"/>
      <w:lvlText w:val="%1."/>
      <w:lvlJc w:val="left"/>
      <w:pPr>
        <w:ind w:left="590" w:hanging="590"/>
      </w:pPr>
      <w:rPr>
        <w:rFonts w:ascii="Times New Roman" w:eastAsiaTheme="minorEastAsia" w:hAnsi="Times New Roman"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E60A8D"/>
    <w:multiLevelType w:val="hybridMultilevel"/>
    <w:tmpl w:val="BBA065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43014693"/>
    <w:multiLevelType w:val="hybridMultilevel"/>
    <w:tmpl w:val="E28EF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681CB2"/>
    <w:multiLevelType w:val="hybridMultilevel"/>
    <w:tmpl w:val="0DF24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B77CD7"/>
    <w:multiLevelType w:val="hybridMultilevel"/>
    <w:tmpl w:val="2B5A6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1C70810"/>
    <w:multiLevelType w:val="hybridMultilevel"/>
    <w:tmpl w:val="1302A1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551E12"/>
    <w:multiLevelType w:val="multilevel"/>
    <w:tmpl w:val="6C9C29E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8"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9" w15:restartNumberingAfterBreak="0">
    <w:nsid w:val="5C4D4F97"/>
    <w:multiLevelType w:val="hybridMultilevel"/>
    <w:tmpl w:val="3F5CFE52"/>
    <w:lvl w:ilvl="0" w:tplc="2D6E1D4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613C98"/>
    <w:multiLevelType w:val="hybridMultilevel"/>
    <w:tmpl w:val="84763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4286B51"/>
    <w:multiLevelType w:val="hybridMultilevel"/>
    <w:tmpl w:val="F7B818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597A5C"/>
    <w:multiLevelType w:val="hybridMultilevel"/>
    <w:tmpl w:val="8D300440"/>
    <w:lvl w:ilvl="0" w:tplc="62E2EFD0">
      <w:start w:val="1"/>
      <w:numFmt w:val="decimal"/>
      <w:lvlText w:val="%1."/>
      <w:lvlJc w:val="left"/>
      <w:pPr>
        <w:tabs>
          <w:tab w:val="num" w:pos="1004"/>
        </w:tabs>
        <w:ind w:left="284" w:firstLine="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70B26A7"/>
    <w:multiLevelType w:val="hybridMultilevel"/>
    <w:tmpl w:val="942CC4EA"/>
    <w:lvl w:ilvl="0" w:tplc="296A2EB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7171913">
    <w:abstractNumId w:val="8"/>
  </w:num>
  <w:num w:numId="2" w16cid:durableId="257561116">
    <w:abstractNumId w:val="2"/>
  </w:num>
  <w:num w:numId="3" w16cid:durableId="1696034290">
    <w:abstractNumId w:val="8"/>
    <w:lvlOverride w:ilvl="0">
      <w:startOverride w:val="1"/>
    </w:lvlOverride>
  </w:num>
  <w:num w:numId="4" w16cid:durableId="93401794">
    <w:abstractNumId w:val="0"/>
  </w:num>
  <w:num w:numId="5" w16cid:durableId="196045691">
    <w:abstractNumId w:val="20"/>
  </w:num>
  <w:num w:numId="6" w16cid:durableId="29186414">
    <w:abstractNumId w:val="18"/>
  </w:num>
  <w:num w:numId="7" w16cid:durableId="1124081114">
    <w:abstractNumId w:val="18"/>
  </w:num>
  <w:num w:numId="8" w16cid:durableId="2089493224">
    <w:abstractNumId w:val="23"/>
  </w:num>
  <w:num w:numId="9" w16cid:durableId="1111777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867752">
    <w:abstractNumId w:val="15"/>
  </w:num>
  <w:num w:numId="11" w16cid:durableId="1621952180">
    <w:abstractNumId w:val="21"/>
  </w:num>
  <w:num w:numId="12" w16cid:durableId="1748961412">
    <w:abstractNumId w:val="8"/>
    <w:lvlOverride w:ilvl="0">
      <w:startOverride w:val="1"/>
    </w:lvlOverride>
    <w:lvlOverride w:ilvl="1"/>
    <w:lvlOverride w:ilvl="2"/>
    <w:lvlOverride w:ilvl="3"/>
    <w:lvlOverride w:ilvl="4"/>
    <w:lvlOverride w:ilvl="5"/>
    <w:lvlOverride w:ilvl="6"/>
    <w:lvlOverride w:ilvl="7"/>
    <w:lvlOverride w:ilvl="8"/>
  </w:num>
  <w:num w:numId="13" w16cid:durableId="1142120658">
    <w:abstractNumId w:val="11"/>
  </w:num>
  <w:num w:numId="14" w16cid:durableId="253170863">
    <w:abstractNumId w:val="8"/>
    <w:lvlOverride w:ilvl="0">
      <w:startOverride w:val="1"/>
    </w:lvlOverride>
    <w:lvlOverride w:ilvl="1"/>
    <w:lvlOverride w:ilvl="2"/>
    <w:lvlOverride w:ilvl="3"/>
    <w:lvlOverride w:ilvl="4"/>
    <w:lvlOverride w:ilvl="5"/>
    <w:lvlOverride w:ilvl="6"/>
    <w:lvlOverride w:ilvl="7"/>
    <w:lvlOverride w:ilvl="8"/>
  </w:num>
  <w:num w:numId="15" w16cid:durableId="127698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514347">
    <w:abstractNumId w:val="19"/>
  </w:num>
  <w:num w:numId="17" w16cid:durableId="172965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6589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383016">
    <w:abstractNumId w:val="9"/>
  </w:num>
  <w:num w:numId="20" w16cid:durableId="1455516137">
    <w:abstractNumId w:val="16"/>
  </w:num>
  <w:num w:numId="21" w16cid:durableId="1374579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5937098">
    <w:abstractNumId w:val="7"/>
  </w:num>
  <w:num w:numId="23" w16cid:durableId="1491171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4997376">
    <w:abstractNumId w:val="3"/>
  </w:num>
  <w:num w:numId="25" w16cid:durableId="1810047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2589870">
    <w:abstractNumId w:val="17"/>
    <w:lvlOverride w:ilvl="0">
      <w:lvl w:ilvl="0">
        <w:start w:val="1"/>
        <w:numFmt w:val="decimal"/>
        <w:isLgl/>
        <w:suff w:val="nothing"/>
        <w:lvlText w:val="%1  "/>
        <w:lvlJc w:val="left"/>
        <w:pPr>
          <w:ind w:left="0" w:firstLine="0"/>
        </w:pPr>
        <w:rPr>
          <w:rFonts w:hint="default"/>
          <w:sz w:val="24"/>
          <w:szCs w:val="24"/>
        </w:rPr>
      </w:lvl>
    </w:lvlOverride>
  </w:num>
  <w:num w:numId="27" w16cid:durableId="727344921">
    <w:abstractNumId w:val="5"/>
  </w:num>
  <w:num w:numId="28" w16cid:durableId="385837061">
    <w:abstractNumId w:val="17"/>
  </w:num>
  <w:num w:numId="29" w16cid:durableId="1614091495">
    <w:abstractNumId w:val="10"/>
  </w:num>
  <w:num w:numId="30" w16cid:durableId="1653172991">
    <w:abstractNumId w:val="12"/>
  </w:num>
  <w:num w:numId="31" w16cid:durableId="439030399">
    <w:abstractNumId w:val="4"/>
  </w:num>
  <w:num w:numId="32" w16cid:durableId="2096440483">
    <w:abstractNumId w:val="14"/>
  </w:num>
  <w:num w:numId="33" w16cid:durableId="1226062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486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8380075">
    <w:abstractNumId w:val="24"/>
  </w:num>
  <w:num w:numId="36" w16cid:durableId="1119834619">
    <w:abstractNumId w:val="6"/>
  </w:num>
  <w:num w:numId="37" w16cid:durableId="863205137">
    <w:abstractNumId w:val="22"/>
  </w:num>
  <w:num w:numId="38" w16cid:durableId="950629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7321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2376982">
    <w:abstractNumId w:val="8"/>
    <w:lvlOverride w:ilvl="0">
      <w:startOverride w:val="1"/>
    </w:lvlOverride>
    <w:lvlOverride w:ilvl="1"/>
    <w:lvlOverride w:ilvl="2"/>
    <w:lvlOverride w:ilvl="3"/>
    <w:lvlOverride w:ilvl="4"/>
    <w:lvlOverride w:ilvl="5"/>
    <w:lvlOverride w:ilvl="6"/>
    <w:lvlOverride w:ilvl="7"/>
    <w:lvlOverride w:ilvl="8"/>
  </w:num>
  <w:num w:numId="41" w16cid:durableId="1620145782">
    <w:abstractNumId w:val="8"/>
  </w:num>
  <w:num w:numId="42" w16cid:durableId="2010407762">
    <w:abstractNumId w:val="8"/>
  </w:num>
  <w:num w:numId="43" w16cid:durableId="139422341">
    <w:abstractNumId w:val="8"/>
  </w:num>
  <w:num w:numId="44" w16cid:durableId="2103334482">
    <w:abstractNumId w:val="8"/>
  </w:num>
  <w:num w:numId="45" w16cid:durableId="334038255">
    <w:abstractNumId w:val="8"/>
  </w:num>
  <w:num w:numId="46" w16cid:durableId="1767195351">
    <w:abstractNumId w:val="8"/>
  </w:num>
  <w:num w:numId="47" w16cid:durableId="1654261275">
    <w:abstractNumId w:val="8"/>
  </w:num>
  <w:num w:numId="48" w16cid:durableId="135999288">
    <w:abstractNumId w:val="8"/>
  </w:num>
  <w:num w:numId="49" w16cid:durableId="1671565090">
    <w:abstractNumId w:val="8"/>
  </w:num>
  <w:num w:numId="50" w16cid:durableId="1586920733">
    <w:abstractNumId w:val="8"/>
  </w:num>
  <w:num w:numId="51" w16cid:durableId="411199495">
    <w:abstractNumId w:val="8"/>
  </w:num>
  <w:num w:numId="52" w16cid:durableId="2126073971">
    <w:abstractNumId w:val="8"/>
  </w:num>
  <w:num w:numId="53" w16cid:durableId="1273633578">
    <w:abstractNumId w:val="8"/>
  </w:num>
  <w:num w:numId="54" w16cid:durableId="1348631011">
    <w:abstractNumId w:val="8"/>
  </w:num>
  <w:num w:numId="55" w16cid:durableId="589973216">
    <w:abstractNumId w:val="8"/>
  </w:num>
  <w:num w:numId="56" w16cid:durableId="1902398863">
    <w:abstractNumId w:val="8"/>
  </w:num>
  <w:num w:numId="57" w16cid:durableId="501624033">
    <w:abstractNumId w:val="8"/>
  </w:num>
  <w:num w:numId="58" w16cid:durableId="1310944189">
    <w:abstractNumId w:val="8"/>
  </w:num>
  <w:num w:numId="59" w16cid:durableId="2060779905">
    <w:abstractNumId w:val="8"/>
  </w:num>
  <w:num w:numId="60" w16cid:durableId="1376661459">
    <w:abstractNumId w:val="8"/>
  </w:num>
  <w:num w:numId="61" w16cid:durableId="861818887">
    <w:abstractNumId w:val="8"/>
  </w:num>
  <w:num w:numId="62" w16cid:durableId="908926600">
    <w:abstractNumId w:val="8"/>
  </w:num>
  <w:num w:numId="63" w16cid:durableId="1087193511">
    <w:abstractNumId w:val="8"/>
  </w:num>
  <w:num w:numId="64" w16cid:durableId="818425739">
    <w:abstractNumId w:val="8"/>
  </w:num>
  <w:num w:numId="65" w16cid:durableId="118692813">
    <w:abstractNumId w:val="8"/>
  </w:num>
  <w:num w:numId="66" w16cid:durableId="60375231">
    <w:abstractNumId w:val="8"/>
  </w:num>
  <w:num w:numId="67" w16cid:durableId="1430389595">
    <w:abstractNumId w:val="8"/>
  </w:num>
  <w:num w:numId="68" w16cid:durableId="1475294066">
    <w:abstractNumId w:val="8"/>
  </w:num>
  <w:num w:numId="69" w16cid:durableId="1294941211">
    <w:abstractNumId w:val="8"/>
  </w:num>
  <w:num w:numId="70" w16cid:durableId="817920383">
    <w:abstractNumId w:val="8"/>
  </w:num>
  <w:num w:numId="71" w16cid:durableId="790712406">
    <w:abstractNumId w:val="8"/>
  </w:num>
  <w:num w:numId="72" w16cid:durableId="1840579666">
    <w:abstractNumId w:val="8"/>
  </w:num>
  <w:num w:numId="73" w16cid:durableId="642124676">
    <w:abstractNumId w:val="8"/>
  </w:num>
  <w:num w:numId="74" w16cid:durableId="690187146">
    <w:abstractNumId w:val="8"/>
  </w:num>
  <w:num w:numId="75" w16cid:durableId="1472136198">
    <w:abstractNumId w:val="8"/>
  </w:num>
  <w:num w:numId="76" w16cid:durableId="1940135307">
    <w:abstractNumId w:val="8"/>
  </w:num>
  <w:num w:numId="77" w16cid:durableId="1207914080">
    <w:abstractNumId w:val="8"/>
  </w:num>
  <w:num w:numId="78" w16cid:durableId="1068066979">
    <w:abstractNumId w:val="8"/>
  </w:num>
  <w:num w:numId="79" w16cid:durableId="1069425458">
    <w:abstractNumId w:val="8"/>
  </w:num>
  <w:num w:numId="80" w16cid:durableId="1993823759">
    <w:abstractNumId w:val="8"/>
  </w:num>
  <w:num w:numId="81" w16cid:durableId="1281255587">
    <w:abstractNumId w:val="8"/>
  </w:num>
  <w:num w:numId="82" w16cid:durableId="800731143">
    <w:abstractNumId w:val="8"/>
  </w:num>
  <w:num w:numId="83" w16cid:durableId="472018077">
    <w:abstractNumId w:val="8"/>
  </w:num>
  <w:num w:numId="84" w16cid:durableId="2008632363">
    <w:abstractNumId w:val="8"/>
  </w:num>
  <w:num w:numId="85" w16cid:durableId="1633169188">
    <w:abstractNumId w:val="8"/>
  </w:num>
  <w:num w:numId="86" w16cid:durableId="1362631055">
    <w:abstractNumId w:val="8"/>
  </w:num>
  <w:num w:numId="87" w16cid:durableId="1296913512">
    <w:abstractNumId w:val="8"/>
  </w:num>
  <w:num w:numId="88" w16cid:durableId="760420043">
    <w:abstractNumId w:val="8"/>
  </w:num>
  <w:num w:numId="89" w16cid:durableId="1983342582">
    <w:abstractNumId w:val="8"/>
  </w:num>
  <w:num w:numId="90" w16cid:durableId="1370914717">
    <w:abstractNumId w:val="8"/>
  </w:num>
  <w:num w:numId="91" w16cid:durableId="1975596529">
    <w:abstractNumId w:val="8"/>
  </w:num>
  <w:num w:numId="92" w16cid:durableId="1677804575">
    <w:abstractNumId w:val="8"/>
  </w:num>
  <w:num w:numId="93" w16cid:durableId="1049692177">
    <w:abstractNumId w:val="8"/>
  </w:num>
  <w:num w:numId="94" w16cid:durableId="237253835">
    <w:abstractNumId w:val="8"/>
  </w:num>
  <w:num w:numId="95" w16cid:durableId="1150512133">
    <w:abstractNumId w:val="8"/>
  </w:num>
  <w:num w:numId="96" w16cid:durableId="937449381">
    <w:abstractNumId w:val="8"/>
  </w:num>
  <w:num w:numId="97" w16cid:durableId="1471084">
    <w:abstractNumId w:val="8"/>
  </w:num>
  <w:num w:numId="98" w16cid:durableId="1661470405">
    <w:abstractNumId w:val="8"/>
  </w:num>
  <w:num w:numId="99" w16cid:durableId="918558749">
    <w:abstractNumId w:val="8"/>
  </w:num>
  <w:num w:numId="100" w16cid:durableId="1566405061">
    <w:abstractNumId w:val="8"/>
  </w:num>
  <w:num w:numId="101" w16cid:durableId="1882203417">
    <w:abstractNumId w:val="8"/>
  </w:num>
  <w:num w:numId="102" w16cid:durableId="1864591823">
    <w:abstractNumId w:val="8"/>
  </w:num>
  <w:num w:numId="103" w16cid:durableId="642076736">
    <w:abstractNumId w:val="8"/>
  </w:num>
  <w:num w:numId="104" w16cid:durableId="1300963952">
    <w:abstractNumId w:val="8"/>
  </w:num>
  <w:num w:numId="105" w16cid:durableId="1135947740">
    <w:abstractNumId w:val="8"/>
  </w:num>
  <w:num w:numId="106" w16cid:durableId="1309899112">
    <w:abstractNumId w:val="8"/>
  </w:num>
  <w:num w:numId="107" w16cid:durableId="1357778702">
    <w:abstractNumId w:val="8"/>
  </w:num>
  <w:num w:numId="108" w16cid:durableId="492070792">
    <w:abstractNumId w:val="8"/>
  </w:num>
  <w:num w:numId="109" w16cid:durableId="1840271016">
    <w:abstractNumId w:val="8"/>
  </w:num>
  <w:num w:numId="110" w16cid:durableId="1439176458">
    <w:abstractNumId w:val="8"/>
  </w:num>
  <w:num w:numId="111" w16cid:durableId="295793911">
    <w:abstractNumId w:val="8"/>
  </w:num>
  <w:num w:numId="112" w16cid:durableId="1021511418">
    <w:abstractNumId w:val="8"/>
  </w:num>
  <w:num w:numId="113" w16cid:durableId="1176386277">
    <w:abstractNumId w:val="8"/>
  </w:num>
  <w:num w:numId="114" w16cid:durableId="875581912">
    <w:abstractNumId w:val="8"/>
  </w:num>
  <w:num w:numId="115" w16cid:durableId="596522333">
    <w:abstractNumId w:val="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E3"/>
    <w:rsid w:val="00000198"/>
    <w:rsid w:val="00000290"/>
    <w:rsid w:val="00000473"/>
    <w:rsid w:val="00000C3C"/>
    <w:rsid w:val="00000D09"/>
    <w:rsid w:val="00000F0C"/>
    <w:rsid w:val="00002521"/>
    <w:rsid w:val="00002A76"/>
    <w:rsid w:val="00002A8E"/>
    <w:rsid w:val="000030D6"/>
    <w:rsid w:val="000039A2"/>
    <w:rsid w:val="00003FD6"/>
    <w:rsid w:val="00004009"/>
    <w:rsid w:val="0000451E"/>
    <w:rsid w:val="00004C49"/>
    <w:rsid w:val="00004DC7"/>
    <w:rsid w:val="0000573F"/>
    <w:rsid w:val="0000606F"/>
    <w:rsid w:val="00006269"/>
    <w:rsid w:val="000070A0"/>
    <w:rsid w:val="000076A4"/>
    <w:rsid w:val="000076E0"/>
    <w:rsid w:val="00007723"/>
    <w:rsid w:val="0000778C"/>
    <w:rsid w:val="00010037"/>
    <w:rsid w:val="000101BF"/>
    <w:rsid w:val="00010994"/>
    <w:rsid w:val="00011E3E"/>
    <w:rsid w:val="00011F78"/>
    <w:rsid w:val="000128CC"/>
    <w:rsid w:val="00013210"/>
    <w:rsid w:val="0001336D"/>
    <w:rsid w:val="00013580"/>
    <w:rsid w:val="00013B6F"/>
    <w:rsid w:val="00013F6E"/>
    <w:rsid w:val="000141F9"/>
    <w:rsid w:val="00015151"/>
    <w:rsid w:val="00015415"/>
    <w:rsid w:val="00015F16"/>
    <w:rsid w:val="0001600C"/>
    <w:rsid w:val="00016218"/>
    <w:rsid w:val="00016B0B"/>
    <w:rsid w:val="0001786D"/>
    <w:rsid w:val="00017B19"/>
    <w:rsid w:val="00017E5E"/>
    <w:rsid w:val="00017ED6"/>
    <w:rsid w:val="0002203D"/>
    <w:rsid w:val="00022752"/>
    <w:rsid w:val="0002284B"/>
    <w:rsid w:val="00022C03"/>
    <w:rsid w:val="00022FF1"/>
    <w:rsid w:val="00023673"/>
    <w:rsid w:val="00023822"/>
    <w:rsid w:val="00023C47"/>
    <w:rsid w:val="000249BB"/>
    <w:rsid w:val="00024BAE"/>
    <w:rsid w:val="00024EF7"/>
    <w:rsid w:val="00025077"/>
    <w:rsid w:val="00025483"/>
    <w:rsid w:val="00025759"/>
    <w:rsid w:val="00025B8D"/>
    <w:rsid w:val="00025B9B"/>
    <w:rsid w:val="00025BA6"/>
    <w:rsid w:val="00025BBC"/>
    <w:rsid w:val="00025E11"/>
    <w:rsid w:val="00026CAB"/>
    <w:rsid w:val="00026FB1"/>
    <w:rsid w:val="000270C1"/>
    <w:rsid w:val="0002785A"/>
    <w:rsid w:val="00027B69"/>
    <w:rsid w:val="00030052"/>
    <w:rsid w:val="000309E6"/>
    <w:rsid w:val="00030A32"/>
    <w:rsid w:val="00031001"/>
    <w:rsid w:val="00031577"/>
    <w:rsid w:val="0003227D"/>
    <w:rsid w:val="000329F7"/>
    <w:rsid w:val="00032E13"/>
    <w:rsid w:val="0003339E"/>
    <w:rsid w:val="00035308"/>
    <w:rsid w:val="00036A81"/>
    <w:rsid w:val="00036CE7"/>
    <w:rsid w:val="00036E49"/>
    <w:rsid w:val="0003719E"/>
    <w:rsid w:val="000371A1"/>
    <w:rsid w:val="00040482"/>
    <w:rsid w:val="000407F9"/>
    <w:rsid w:val="0004176D"/>
    <w:rsid w:val="0004228D"/>
    <w:rsid w:val="0004250C"/>
    <w:rsid w:val="00042D18"/>
    <w:rsid w:val="00042F52"/>
    <w:rsid w:val="00043177"/>
    <w:rsid w:val="0004346A"/>
    <w:rsid w:val="000438DD"/>
    <w:rsid w:val="00044911"/>
    <w:rsid w:val="000453F8"/>
    <w:rsid w:val="000454B0"/>
    <w:rsid w:val="00045685"/>
    <w:rsid w:val="000459C0"/>
    <w:rsid w:val="000459D5"/>
    <w:rsid w:val="0004635C"/>
    <w:rsid w:val="000465FD"/>
    <w:rsid w:val="00046BAF"/>
    <w:rsid w:val="00046E08"/>
    <w:rsid w:val="0004733C"/>
    <w:rsid w:val="00047760"/>
    <w:rsid w:val="0005009B"/>
    <w:rsid w:val="00051A5E"/>
    <w:rsid w:val="00051E72"/>
    <w:rsid w:val="00051FE5"/>
    <w:rsid w:val="0005272B"/>
    <w:rsid w:val="0005297F"/>
    <w:rsid w:val="000535ED"/>
    <w:rsid w:val="0005422F"/>
    <w:rsid w:val="0005468E"/>
    <w:rsid w:val="000546FC"/>
    <w:rsid w:val="0005473F"/>
    <w:rsid w:val="00055711"/>
    <w:rsid w:val="000557E3"/>
    <w:rsid w:val="00055C58"/>
    <w:rsid w:val="00056A00"/>
    <w:rsid w:val="00056E3E"/>
    <w:rsid w:val="00056F9B"/>
    <w:rsid w:val="00057097"/>
    <w:rsid w:val="00057115"/>
    <w:rsid w:val="000577F3"/>
    <w:rsid w:val="00057EAE"/>
    <w:rsid w:val="000619BB"/>
    <w:rsid w:val="000619D3"/>
    <w:rsid w:val="00062BFE"/>
    <w:rsid w:val="0006310F"/>
    <w:rsid w:val="00063932"/>
    <w:rsid w:val="00063DE7"/>
    <w:rsid w:val="000643C7"/>
    <w:rsid w:val="000644F2"/>
    <w:rsid w:val="000654A9"/>
    <w:rsid w:val="00065FBE"/>
    <w:rsid w:val="000662B0"/>
    <w:rsid w:val="000662EE"/>
    <w:rsid w:val="000663AF"/>
    <w:rsid w:val="00067FAC"/>
    <w:rsid w:val="000703AE"/>
    <w:rsid w:val="00070763"/>
    <w:rsid w:val="00070F3E"/>
    <w:rsid w:val="000714FD"/>
    <w:rsid w:val="000716BD"/>
    <w:rsid w:val="000717EF"/>
    <w:rsid w:val="00071D6A"/>
    <w:rsid w:val="0007327B"/>
    <w:rsid w:val="0007346E"/>
    <w:rsid w:val="00073A0E"/>
    <w:rsid w:val="00073E3F"/>
    <w:rsid w:val="000740B1"/>
    <w:rsid w:val="000743E5"/>
    <w:rsid w:val="00074522"/>
    <w:rsid w:val="00075285"/>
    <w:rsid w:val="0007636E"/>
    <w:rsid w:val="00077CA0"/>
    <w:rsid w:val="000815D1"/>
    <w:rsid w:val="00081602"/>
    <w:rsid w:val="00082549"/>
    <w:rsid w:val="00083718"/>
    <w:rsid w:val="00083EF5"/>
    <w:rsid w:val="0008506C"/>
    <w:rsid w:val="00085527"/>
    <w:rsid w:val="00085A2B"/>
    <w:rsid w:val="00086641"/>
    <w:rsid w:val="0008696B"/>
    <w:rsid w:val="00086D8A"/>
    <w:rsid w:val="00086F5F"/>
    <w:rsid w:val="0008710F"/>
    <w:rsid w:val="00087385"/>
    <w:rsid w:val="00087586"/>
    <w:rsid w:val="000902FC"/>
    <w:rsid w:val="00090A2E"/>
    <w:rsid w:val="000913E5"/>
    <w:rsid w:val="000913F9"/>
    <w:rsid w:val="000921A9"/>
    <w:rsid w:val="000929C0"/>
    <w:rsid w:val="00092DA5"/>
    <w:rsid w:val="00093175"/>
    <w:rsid w:val="00093405"/>
    <w:rsid w:val="000941E3"/>
    <w:rsid w:val="00094512"/>
    <w:rsid w:val="000950D2"/>
    <w:rsid w:val="0009526F"/>
    <w:rsid w:val="00096489"/>
    <w:rsid w:val="0009707C"/>
    <w:rsid w:val="000A036D"/>
    <w:rsid w:val="000A087A"/>
    <w:rsid w:val="000A0B1D"/>
    <w:rsid w:val="000A12AF"/>
    <w:rsid w:val="000A1471"/>
    <w:rsid w:val="000A314E"/>
    <w:rsid w:val="000A3680"/>
    <w:rsid w:val="000A42EA"/>
    <w:rsid w:val="000A445E"/>
    <w:rsid w:val="000A45E8"/>
    <w:rsid w:val="000A4695"/>
    <w:rsid w:val="000A46D4"/>
    <w:rsid w:val="000A4B09"/>
    <w:rsid w:val="000A520B"/>
    <w:rsid w:val="000A52D5"/>
    <w:rsid w:val="000A5590"/>
    <w:rsid w:val="000A587F"/>
    <w:rsid w:val="000A7605"/>
    <w:rsid w:val="000A7A05"/>
    <w:rsid w:val="000B12F5"/>
    <w:rsid w:val="000B16C3"/>
    <w:rsid w:val="000B1F74"/>
    <w:rsid w:val="000B204B"/>
    <w:rsid w:val="000B2898"/>
    <w:rsid w:val="000B2F9F"/>
    <w:rsid w:val="000B35EA"/>
    <w:rsid w:val="000B3906"/>
    <w:rsid w:val="000B40FF"/>
    <w:rsid w:val="000B4C51"/>
    <w:rsid w:val="000B5353"/>
    <w:rsid w:val="000B5769"/>
    <w:rsid w:val="000B5854"/>
    <w:rsid w:val="000B704D"/>
    <w:rsid w:val="000B71EC"/>
    <w:rsid w:val="000B7F81"/>
    <w:rsid w:val="000C0965"/>
    <w:rsid w:val="000C14F5"/>
    <w:rsid w:val="000C1C9B"/>
    <w:rsid w:val="000C2F43"/>
    <w:rsid w:val="000C3665"/>
    <w:rsid w:val="000C408A"/>
    <w:rsid w:val="000C48E8"/>
    <w:rsid w:val="000C4E71"/>
    <w:rsid w:val="000C5005"/>
    <w:rsid w:val="000C5D43"/>
    <w:rsid w:val="000C63AB"/>
    <w:rsid w:val="000C697B"/>
    <w:rsid w:val="000C69EE"/>
    <w:rsid w:val="000C6B3B"/>
    <w:rsid w:val="000C71EF"/>
    <w:rsid w:val="000C78A9"/>
    <w:rsid w:val="000C7EF4"/>
    <w:rsid w:val="000D056A"/>
    <w:rsid w:val="000D0B51"/>
    <w:rsid w:val="000D0C68"/>
    <w:rsid w:val="000D2705"/>
    <w:rsid w:val="000D2D22"/>
    <w:rsid w:val="000D2F4B"/>
    <w:rsid w:val="000D2F61"/>
    <w:rsid w:val="000D34DA"/>
    <w:rsid w:val="000D35EA"/>
    <w:rsid w:val="000D3F1C"/>
    <w:rsid w:val="000D4DDF"/>
    <w:rsid w:val="000D4FD3"/>
    <w:rsid w:val="000D57D4"/>
    <w:rsid w:val="000D71AC"/>
    <w:rsid w:val="000D76CD"/>
    <w:rsid w:val="000D7E60"/>
    <w:rsid w:val="000D7EC7"/>
    <w:rsid w:val="000E0282"/>
    <w:rsid w:val="000E0FB6"/>
    <w:rsid w:val="000E19EA"/>
    <w:rsid w:val="000E1D45"/>
    <w:rsid w:val="000E202F"/>
    <w:rsid w:val="000E22AD"/>
    <w:rsid w:val="000E38F1"/>
    <w:rsid w:val="000E3E81"/>
    <w:rsid w:val="000E40E3"/>
    <w:rsid w:val="000E4143"/>
    <w:rsid w:val="000E48B3"/>
    <w:rsid w:val="000E4D67"/>
    <w:rsid w:val="000E4ED2"/>
    <w:rsid w:val="000E5967"/>
    <w:rsid w:val="000E662F"/>
    <w:rsid w:val="000E66FE"/>
    <w:rsid w:val="000E7474"/>
    <w:rsid w:val="000F11F6"/>
    <w:rsid w:val="000F21A7"/>
    <w:rsid w:val="000F221E"/>
    <w:rsid w:val="000F22E1"/>
    <w:rsid w:val="000F3440"/>
    <w:rsid w:val="000F34D6"/>
    <w:rsid w:val="000F39C9"/>
    <w:rsid w:val="000F3E33"/>
    <w:rsid w:val="000F4512"/>
    <w:rsid w:val="000F46A9"/>
    <w:rsid w:val="000F4C88"/>
    <w:rsid w:val="000F523E"/>
    <w:rsid w:val="000F52C5"/>
    <w:rsid w:val="000F53E7"/>
    <w:rsid w:val="000F5694"/>
    <w:rsid w:val="000F56BC"/>
    <w:rsid w:val="000F57D6"/>
    <w:rsid w:val="000F61F7"/>
    <w:rsid w:val="000F6D36"/>
    <w:rsid w:val="000F711E"/>
    <w:rsid w:val="000F71ED"/>
    <w:rsid w:val="000F7FAB"/>
    <w:rsid w:val="001001FF"/>
    <w:rsid w:val="00101210"/>
    <w:rsid w:val="00101F8C"/>
    <w:rsid w:val="001023BF"/>
    <w:rsid w:val="00102644"/>
    <w:rsid w:val="00103016"/>
    <w:rsid w:val="00104B66"/>
    <w:rsid w:val="00104BF7"/>
    <w:rsid w:val="00104CB5"/>
    <w:rsid w:val="00104D90"/>
    <w:rsid w:val="00105711"/>
    <w:rsid w:val="001057B6"/>
    <w:rsid w:val="00105DD2"/>
    <w:rsid w:val="00106467"/>
    <w:rsid w:val="00107041"/>
    <w:rsid w:val="001101F3"/>
    <w:rsid w:val="0011082A"/>
    <w:rsid w:val="0011190E"/>
    <w:rsid w:val="00111FFF"/>
    <w:rsid w:val="00112078"/>
    <w:rsid w:val="0011277A"/>
    <w:rsid w:val="00112C44"/>
    <w:rsid w:val="00113584"/>
    <w:rsid w:val="001139FF"/>
    <w:rsid w:val="00113EF6"/>
    <w:rsid w:val="00114031"/>
    <w:rsid w:val="00114148"/>
    <w:rsid w:val="00114BE3"/>
    <w:rsid w:val="0011527E"/>
    <w:rsid w:val="0011547E"/>
    <w:rsid w:val="0011583D"/>
    <w:rsid w:val="00117213"/>
    <w:rsid w:val="0012013F"/>
    <w:rsid w:val="001208F7"/>
    <w:rsid w:val="00120942"/>
    <w:rsid w:val="0012148C"/>
    <w:rsid w:val="0012151F"/>
    <w:rsid w:val="0012153D"/>
    <w:rsid w:val="00121631"/>
    <w:rsid w:val="00121FD8"/>
    <w:rsid w:val="00121FFF"/>
    <w:rsid w:val="00122116"/>
    <w:rsid w:val="0012231C"/>
    <w:rsid w:val="0012308F"/>
    <w:rsid w:val="0012326B"/>
    <w:rsid w:val="001239CE"/>
    <w:rsid w:val="00123C72"/>
    <w:rsid w:val="00123FEB"/>
    <w:rsid w:val="001248E9"/>
    <w:rsid w:val="0012556A"/>
    <w:rsid w:val="00125B55"/>
    <w:rsid w:val="0012620F"/>
    <w:rsid w:val="00126249"/>
    <w:rsid w:val="001265FB"/>
    <w:rsid w:val="00126BF7"/>
    <w:rsid w:val="00126C63"/>
    <w:rsid w:val="00126DCD"/>
    <w:rsid w:val="00126F9C"/>
    <w:rsid w:val="001273A4"/>
    <w:rsid w:val="001306A6"/>
    <w:rsid w:val="00130B5A"/>
    <w:rsid w:val="00131CF2"/>
    <w:rsid w:val="001323E3"/>
    <w:rsid w:val="00132457"/>
    <w:rsid w:val="00132946"/>
    <w:rsid w:val="00133117"/>
    <w:rsid w:val="001332D4"/>
    <w:rsid w:val="00133C58"/>
    <w:rsid w:val="001349A1"/>
    <w:rsid w:val="00134C83"/>
    <w:rsid w:val="00134CB3"/>
    <w:rsid w:val="00134D10"/>
    <w:rsid w:val="00135D7C"/>
    <w:rsid w:val="00136113"/>
    <w:rsid w:val="00136EB5"/>
    <w:rsid w:val="00137510"/>
    <w:rsid w:val="00137DF7"/>
    <w:rsid w:val="001411F0"/>
    <w:rsid w:val="001414CF"/>
    <w:rsid w:val="001417EF"/>
    <w:rsid w:val="00142C55"/>
    <w:rsid w:val="00143748"/>
    <w:rsid w:val="00144B9F"/>
    <w:rsid w:val="00145082"/>
    <w:rsid w:val="00145642"/>
    <w:rsid w:val="00146386"/>
    <w:rsid w:val="001463DF"/>
    <w:rsid w:val="00146771"/>
    <w:rsid w:val="0014709E"/>
    <w:rsid w:val="001473E3"/>
    <w:rsid w:val="00147D04"/>
    <w:rsid w:val="00150BC3"/>
    <w:rsid w:val="001514FD"/>
    <w:rsid w:val="00152954"/>
    <w:rsid w:val="001552B2"/>
    <w:rsid w:val="00155D9D"/>
    <w:rsid w:val="00156147"/>
    <w:rsid w:val="00156375"/>
    <w:rsid w:val="0015691A"/>
    <w:rsid w:val="00156AD8"/>
    <w:rsid w:val="00156E7A"/>
    <w:rsid w:val="001570CB"/>
    <w:rsid w:val="001575B7"/>
    <w:rsid w:val="001578A4"/>
    <w:rsid w:val="00160C94"/>
    <w:rsid w:val="00161513"/>
    <w:rsid w:val="00161B60"/>
    <w:rsid w:val="0016214F"/>
    <w:rsid w:val="00162315"/>
    <w:rsid w:val="001628BC"/>
    <w:rsid w:val="001629F8"/>
    <w:rsid w:val="00162CA4"/>
    <w:rsid w:val="0016391D"/>
    <w:rsid w:val="00163C4F"/>
    <w:rsid w:val="00164B43"/>
    <w:rsid w:val="00164F32"/>
    <w:rsid w:val="00165108"/>
    <w:rsid w:val="00165427"/>
    <w:rsid w:val="00166142"/>
    <w:rsid w:val="001668CD"/>
    <w:rsid w:val="00166C08"/>
    <w:rsid w:val="00166E61"/>
    <w:rsid w:val="001674DB"/>
    <w:rsid w:val="0016761F"/>
    <w:rsid w:val="00167962"/>
    <w:rsid w:val="00167B08"/>
    <w:rsid w:val="00167B42"/>
    <w:rsid w:val="00167C1C"/>
    <w:rsid w:val="00167CEA"/>
    <w:rsid w:val="0017075B"/>
    <w:rsid w:val="001709B4"/>
    <w:rsid w:val="00170AEB"/>
    <w:rsid w:val="00171199"/>
    <w:rsid w:val="0017123F"/>
    <w:rsid w:val="0017174B"/>
    <w:rsid w:val="0017192E"/>
    <w:rsid w:val="00171D1E"/>
    <w:rsid w:val="001723D7"/>
    <w:rsid w:val="00172BA7"/>
    <w:rsid w:val="00172F0F"/>
    <w:rsid w:val="001739E7"/>
    <w:rsid w:val="00174308"/>
    <w:rsid w:val="00174378"/>
    <w:rsid w:val="001745E9"/>
    <w:rsid w:val="00174AD6"/>
    <w:rsid w:val="00174B88"/>
    <w:rsid w:val="00175A34"/>
    <w:rsid w:val="001760EE"/>
    <w:rsid w:val="00176320"/>
    <w:rsid w:val="00176C21"/>
    <w:rsid w:val="00177563"/>
    <w:rsid w:val="00177847"/>
    <w:rsid w:val="0017798E"/>
    <w:rsid w:val="00180F0B"/>
    <w:rsid w:val="0018106A"/>
    <w:rsid w:val="001813EC"/>
    <w:rsid w:val="00181487"/>
    <w:rsid w:val="00182231"/>
    <w:rsid w:val="001826FB"/>
    <w:rsid w:val="00182727"/>
    <w:rsid w:val="00182DD8"/>
    <w:rsid w:val="001834E9"/>
    <w:rsid w:val="0018360C"/>
    <w:rsid w:val="00184FF5"/>
    <w:rsid w:val="001854E4"/>
    <w:rsid w:val="00186AA8"/>
    <w:rsid w:val="00187F34"/>
    <w:rsid w:val="00190B59"/>
    <w:rsid w:val="00190FB5"/>
    <w:rsid w:val="00191641"/>
    <w:rsid w:val="00192B2B"/>
    <w:rsid w:val="00192F1F"/>
    <w:rsid w:val="00193752"/>
    <w:rsid w:val="00193E0C"/>
    <w:rsid w:val="0019465D"/>
    <w:rsid w:val="00194B48"/>
    <w:rsid w:val="00194C0B"/>
    <w:rsid w:val="00194C78"/>
    <w:rsid w:val="001953F6"/>
    <w:rsid w:val="00195553"/>
    <w:rsid w:val="00195ADF"/>
    <w:rsid w:val="001962C4"/>
    <w:rsid w:val="00197814"/>
    <w:rsid w:val="00197A63"/>
    <w:rsid w:val="001A08EC"/>
    <w:rsid w:val="001A0C42"/>
    <w:rsid w:val="001A0DCE"/>
    <w:rsid w:val="001A1389"/>
    <w:rsid w:val="001A19FA"/>
    <w:rsid w:val="001A223B"/>
    <w:rsid w:val="001A2387"/>
    <w:rsid w:val="001A41B7"/>
    <w:rsid w:val="001A5495"/>
    <w:rsid w:val="001A559F"/>
    <w:rsid w:val="001A6886"/>
    <w:rsid w:val="001A6DD4"/>
    <w:rsid w:val="001B12B2"/>
    <w:rsid w:val="001B1C07"/>
    <w:rsid w:val="001B1D83"/>
    <w:rsid w:val="001B249D"/>
    <w:rsid w:val="001B2545"/>
    <w:rsid w:val="001B29F1"/>
    <w:rsid w:val="001B3253"/>
    <w:rsid w:val="001B36C1"/>
    <w:rsid w:val="001B3AAE"/>
    <w:rsid w:val="001B5ADB"/>
    <w:rsid w:val="001B5D4F"/>
    <w:rsid w:val="001B5E29"/>
    <w:rsid w:val="001B61B8"/>
    <w:rsid w:val="001B6414"/>
    <w:rsid w:val="001B6966"/>
    <w:rsid w:val="001B6DAF"/>
    <w:rsid w:val="001B6DB8"/>
    <w:rsid w:val="001B6E7B"/>
    <w:rsid w:val="001B75E8"/>
    <w:rsid w:val="001B7CAE"/>
    <w:rsid w:val="001C02D8"/>
    <w:rsid w:val="001C0373"/>
    <w:rsid w:val="001C0643"/>
    <w:rsid w:val="001C0D4B"/>
    <w:rsid w:val="001C220E"/>
    <w:rsid w:val="001C236B"/>
    <w:rsid w:val="001C2381"/>
    <w:rsid w:val="001C28E4"/>
    <w:rsid w:val="001C39D1"/>
    <w:rsid w:val="001C4276"/>
    <w:rsid w:val="001C459C"/>
    <w:rsid w:val="001C5747"/>
    <w:rsid w:val="001C5AE5"/>
    <w:rsid w:val="001C5DB8"/>
    <w:rsid w:val="001C6E64"/>
    <w:rsid w:val="001D0EC6"/>
    <w:rsid w:val="001D1767"/>
    <w:rsid w:val="001D22AC"/>
    <w:rsid w:val="001D3105"/>
    <w:rsid w:val="001D31B1"/>
    <w:rsid w:val="001D33ED"/>
    <w:rsid w:val="001D3634"/>
    <w:rsid w:val="001D41CB"/>
    <w:rsid w:val="001D46F0"/>
    <w:rsid w:val="001D48D9"/>
    <w:rsid w:val="001D52D0"/>
    <w:rsid w:val="001D56A6"/>
    <w:rsid w:val="001D5786"/>
    <w:rsid w:val="001D604F"/>
    <w:rsid w:val="001D69D5"/>
    <w:rsid w:val="001D70AC"/>
    <w:rsid w:val="001D796C"/>
    <w:rsid w:val="001D7A04"/>
    <w:rsid w:val="001E008A"/>
    <w:rsid w:val="001E12B3"/>
    <w:rsid w:val="001E134F"/>
    <w:rsid w:val="001E136D"/>
    <w:rsid w:val="001E2244"/>
    <w:rsid w:val="001E29D6"/>
    <w:rsid w:val="001E2FB5"/>
    <w:rsid w:val="001E367F"/>
    <w:rsid w:val="001E3953"/>
    <w:rsid w:val="001E4B18"/>
    <w:rsid w:val="001E5584"/>
    <w:rsid w:val="001E560C"/>
    <w:rsid w:val="001E5687"/>
    <w:rsid w:val="001E586E"/>
    <w:rsid w:val="001E5ECF"/>
    <w:rsid w:val="001E64C4"/>
    <w:rsid w:val="001E6657"/>
    <w:rsid w:val="001E6791"/>
    <w:rsid w:val="001E6D4F"/>
    <w:rsid w:val="001E6E7D"/>
    <w:rsid w:val="001E7AE7"/>
    <w:rsid w:val="001F0167"/>
    <w:rsid w:val="001F2628"/>
    <w:rsid w:val="001F2E23"/>
    <w:rsid w:val="001F2F5B"/>
    <w:rsid w:val="001F340A"/>
    <w:rsid w:val="001F344E"/>
    <w:rsid w:val="001F46B7"/>
    <w:rsid w:val="001F4A5E"/>
    <w:rsid w:val="001F51B9"/>
    <w:rsid w:val="001F6074"/>
    <w:rsid w:val="001F740C"/>
    <w:rsid w:val="001F740D"/>
    <w:rsid w:val="002004E7"/>
    <w:rsid w:val="00200BC5"/>
    <w:rsid w:val="002019C5"/>
    <w:rsid w:val="002021A7"/>
    <w:rsid w:val="00202513"/>
    <w:rsid w:val="0020255B"/>
    <w:rsid w:val="00202588"/>
    <w:rsid w:val="002025B8"/>
    <w:rsid w:val="00202759"/>
    <w:rsid w:val="00202CCF"/>
    <w:rsid w:val="00203D91"/>
    <w:rsid w:val="00204021"/>
    <w:rsid w:val="002042D8"/>
    <w:rsid w:val="002060B7"/>
    <w:rsid w:val="00206805"/>
    <w:rsid w:val="00206EC7"/>
    <w:rsid w:val="002070FA"/>
    <w:rsid w:val="002074D5"/>
    <w:rsid w:val="00210726"/>
    <w:rsid w:val="00210B10"/>
    <w:rsid w:val="00212275"/>
    <w:rsid w:val="002127D2"/>
    <w:rsid w:val="00212CBA"/>
    <w:rsid w:val="00212E6E"/>
    <w:rsid w:val="00212F7B"/>
    <w:rsid w:val="00213491"/>
    <w:rsid w:val="00213E68"/>
    <w:rsid w:val="00214305"/>
    <w:rsid w:val="0021448D"/>
    <w:rsid w:val="002157C2"/>
    <w:rsid w:val="002158F7"/>
    <w:rsid w:val="002161BB"/>
    <w:rsid w:val="0021638E"/>
    <w:rsid w:val="00216C31"/>
    <w:rsid w:val="0021710C"/>
    <w:rsid w:val="00217215"/>
    <w:rsid w:val="0021775E"/>
    <w:rsid w:val="00217FA5"/>
    <w:rsid w:val="00217FC4"/>
    <w:rsid w:val="0022012E"/>
    <w:rsid w:val="002211DE"/>
    <w:rsid w:val="0022154F"/>
    <w:rsid w:val="00221B16"/>
    <w:rsid w:val="0022391A"/>
    <w:rsid w:val="00224164"/>
    <w:rsid w:val="002247A0"/>
    <w:rsid w:val="00226471"/>
    <w:rsid w:val="00226575"/>
    <w:rsid w:val="002266BE"/>
    <w:rsid w:val="00226CFB"/>
    <w:rsid w:val="00230197"/>
    <w:rsid w:val="00230462"/>
    <w:rsid w:val="00230B49"/>
    <w:rsid w:val="002313E0"/>
    <w:rsid w:val="00231994"/>
    <w:rsid w:val="00231B40"/>
    <w:rsid w:val="00232307"/>
    <w:rsid w:val="0023272D"/>
    <w:rsid w:val="00232958"/>
    <w:rsid w:val="00232D40"/>
    <w:rsid w:val="0023363C"/>
    <w:rsid w:val="002344FB"/>
    <w:rsid w:val="00234709"/>
    <w:rsid w:val="00234742"/>
    <w:rsid w:val="0023528F"/>
    <w:rsid w:val="00235B9E"/>
    <w:rsid w:val="00235D2A"/>
    <w:rsid w:val="00235F91"/>
    <w:rsid w:val="00236D73"/>
    <w:rsid w:val="002411B5"/>
    <w:rsid w:val="002414E4"/>
    <w:rsid w:val="00241CFF"/>
    <w:rsid w:val="00241D75"/>
    <w:rsid w:val="00242BAF"/>
    <w:rsid w:val="00242DDC"/>
    <w:rsid w:val="0024329F"/>
    <w:rsid w:val="00243E5A"/>
    <w:rsid w:val="00243FCC"/>
    <w:rsid w:val="0024415C"/>
    <w:rsid w:val="002441D2"/>
    <w:rsid w:val="0024483F"/>
    <w:rsid w:val="00244EC1"/>
    <w:rsid w:val="00245569"/>
    <w:rsid w:val="00245CA6"/>
    <w:rsid w:val="00245EE4"/>
    <w:rsid w:val="00245FA1"/>
    <w:rsid w:val="00246217"/>
    <w:rsid w:val="0024661E"/>
    <w:rsid w:val="00247F73"/>
    <w:rsid w:val="00250FFB"/>
    <w:rsid w:val="00251140"/>
    <w:rsid w:val="00251237"/>
    <w:rsid w:val="002515AA"/>
    <w:rsid w:val="0025190F"/>
    <w:rsid w:val="00251DA0"/>
    <w:rsid w:val="00251F3A"/>
    <w:rsid w:val="00252829"/>
    <w:rsid w:val="0025378C"/>
    <w:rsid w:val="00253E33"/>
    <w:rsid w:val="00254285"/>
    <w:rsid w:val="0025473F"/>
    <w:rsid w:val="00254797"/>
    <w:rsid w:val="0025530C"/>
    <w:rsid w:val="00255CF7"/>
    <w:rsid w:val="00255F60"/>
    <w:rsid w:val="002568F2"/>
    <w:rsid w:val="002569F9"/>
    <w:rsid w:val="00257E6D"/>
    <w:rsid w:val="002603E6"/>
    <w:rsid w:val="002605ED"/>
    <w:rsid w:val="0026061B"/>
    <w:rsid w:val="00260CA3"/>
    <w:rsid w:val="0026128E"/>
    <w:rsid w:val="0026146C"/>
    <w:rsid w:val="00261E5A"/>
    <w:rsid w:val="00262227"/>
    <w:rsid w:val="0026260B"/>
    <w:rsid w:val="00262BFB"/>
    <w:rsid w:val="00262D65"/>
    <w:rsid w:val="002632E6"/>
    <w:rsid w:val="0026368A"/>
    <w:rsid w:val="00263BCF"/>
    <w:rsid w:val="0026411E"/>
    <w:rsid w:val="002642A7"/>
    <w:rsid w:val="00264CA1"/>
    <w:rsid w:val="00264EA4"/>
    <w:rsid w:val="00264F09"/>
    <w:rsid w:val="00265CF3"/>
    <w:rsid w:val="00265D16"/>
    <w:rsid w:val="00265FE6"/>
    <w:rsid w:val="0026612D"/>
    <w:rsid w:val="0026657A"/>
    <w:rsid w:val="00266CC6"/>
    <w:rsid w:val="00270049"/>
    <w:rsid w:val="00271BF1"/>
    <w:rsid w:val="00271D76"/>
    <w:rsid w:val="00271E90"/>
    <w:rsid w:val="00272F5C"/>
    <w:rsid w:val="00273391"/>
    <w:rsid w:val="002735BD"/>
    <w:rsid w:val="00274095"/>
    <w:rsid w:val="00274397"/>
    <w:rsid w:val="002744DB"/>
    <w:rsid w:val="002744FA"/>
    <w:rsid w:val="00274BF4"/>
    <w:rsid w:val="00274EDE"/>
    <w:rsid w:val="00275143"/>
    <w:rsid w:val="002751D1"/>
    <w:rsid w:val="00275614"/>
    <w:rsid w:val="00275D87"/>
    <w:rsid w:val="00275FB7"/>
    <w:rsid w:val="0027648C"/>
    <w:rsid w:val="002765AD"/>
    <w:rsid w:val="002774D9"/>
    <w:rsid w:val="00277DC6"/>
    <w:rsid w:val="00281B63"/>
    <w:rsid w:val="00281FB7"/>
    <w:rsid w:val="00282C1C"/>
    <w:rsid w:val="002837AD"/>
    <w:rsid w:val="00283C78"/>
    <w:rsid w:val="00283DB2"/>
    <w:rsid w:val="00284437"/>
    <w:rsid w:val="002855A9"/>
    <w:rsid w:val="002855ED"/>
    <w:rsid w:val="002861F4"/>
    <w:rsid w:val="00286D61"/>
    <w:rsid w:val="00287BFB"/>
    <w:rsid w:val="00287D5B"/>
    <w:rsid w:val="00287F9F"/>
    <w:rsid w:val="0029075D"/>
    <w:rsid w:val="00290ED7"/>
    <w:rsid w:val="00290EEA"/>
    <w:rsid w:val="0029108F"/>
    <w:rsid w:val="00291692"/>
    <w:rsid w:val="002918BE"/>
    <w:rsid w:val="00291F47"/>
    <w:rsid w:val="0029371A"/>
    <w:rsid w:val="00293C81"/>
    <w:rsid w:val="00293E99"/>
    <w:rsid w:val="002942F4"/>
    <w:rsid w:val="00294A57"/>
    <w:rsid w:val="00295977"/>
    <w:rsid w:val="00296874"/>
    <w:rsid w:val="0029687D"/>
    <w:rsid w:val="002A003C"/>
    <w:rsid w:val="002A015D"/>
    <w:rsid w:val="002A0256"/>
    <w:rsid w:val="002A05C4"/>
    <w:rsid w:val="002A184D"/>
    <w:rsid w:val="002A23AB"/>
    <w:rsid w:val="002A24D0"/>
    <w:rsid w:val="002A2B64"/>
    <w:rsid w:val="002A32C8"/>
    <w:rsid w:val="002A367C"/>
    <w:rsid w:val="002A44C0"/>
    <w:rsid w:val="002A4661"/>
    <w:rsid w:val="002A46E2"/>
    <w:rsid w:val="002A53A6"/>
    <w:rsid w:val="002A553F"/>
    <w:rsid w:val="002A6C92"/>
    <w:rsid w:val="002A7378"/>
    <w:rsid w:val="002B2AF0"/>
    <w:rsid w:val="002B2E96"/>
    <w:rsid w:val="002B3658"/>
    <w:rsid w:val="002B39E8"/>
    <w:rsid w:val="002B3FB4"/>
    <w:rsid w:val="002B55F5"/>
    <w:rsid w:val="002B56CC"/>
    <w:rsid w:val="002B5D43"/>
    <w:rsid w:val="002B6906"/>
    <w:rsid w:val="002B6C80"/>
    <w:rsid w:val="002B73B9"/>
    <w:rsid w:val="002B74B3"/>
    <w:rsid w:val="002C077B"/>
    <w:rsid w:val="002C223E"/>
    <w:rsid w:val="002C229D"/>
    <w:rsid w:val="002C2C7F"/>
    <w:rsid w:val="002C35B7"/>
    <w:rsid w:val="002C3A6C"/>
    <w:rsid w:val="002C3BC5"/>
    <w:rsid w:val="002C411E"/>
    <w:rsid w:val="002C4F91"/>
    <w:rsid w:val="002C53AE"/>
    <w:rsid w:val="002C55E7"/>
    <w:rsid w:val="002C5A5C"/>
    <w:rsid w:val="002C61E5"/>
    <w:rsid w:val="002C6C58"/>
    <w:rsid w:val="002C7198"/>
    <w:rsid w:val="002C7674"/>
    <w:rsid w:val="002C7EA5"/>
    <w:rsid w:val="002D0EC0"/>
    <w:rsid w:val="002D11B2"/>
    <w:rsid w:val="002D1C8B"/>
    <w:rsid w:val="002D2004"/>
    <w:rsid w:val="002D210A"/>
    <w:rsid w:val="002D2610"/>
    <w:rsid w:val="002D3AAA"/>
    <w:rsid w:val="002D46C7"/>
    <w:rsid w:val="002D4A6A"/>
    <w:rsid w:val="002D5459"/>
    <w:rsid w:val="002D59C4"/>
    <w:rsid w:val="002D6DB7"/>
    <w:rsid w:val="002D72F2"/>
    <w:rsid w:val="002D73B6"/>
    <w:rsid w:val="002D7A6A"/>
    <w:rsid w:val="002D7BE9"/>
    <w:rsid w:val="002D7E62"/>
    <w:rsid w:val="002E0512"/>
    <w:rsid w:val="002E11FD"/>
    <w:rsid w:val="002E16C5"/>
    <w:rsid w:val="002E1BDB"/>
    <w:rsid w:val="002E24F5"/>
    <w:rsid w:val="002E2C91"/>
    <w:rsid w:val="002E3377"/>
    <w:rsid w:val="002E3388"/>
    <w:rsid w:val="002E37A7"/>
    <w:rsid w:val="002E3E47"/>
    <w:rsid w:val="002E43E3"/>
    <w:rsid w:val="002E4B8B"/>
    <w:rsid w:val="002E4CE9"/>
    <w:rsid w:val="002E4EF0"/>
    <w:rsid w:val="002E4F49"/>
    <w:rsid w:val="002E5204"/>
    <w:rsid w:val="002E5722"/>
    <w:rsid w:val="002E579E"/>
    <w:rsid w:val="002E5994"/>
    <w:rsid w:val="002E5AE3"/>
    <w:rsid w:val="002E6386"/>
    <w:rsid w:val="002E66E9"/>
    <w:rsid w:val="002E69D3"/>
    <w:rsid w:val="002E6E3E"/>
    <w:rsid w:val="002E73F1"/>
    <w:rsid w:val="002E74FA"/>
    <w:rsid w:val="002F0C0F"/>
    <w:rsid w:val="002F0D68"/>
    <w:rsid w:val="002F0FE7"/>
    <w:rsid w:val="002F1025"/>
    <w:rsid w:val="002F11F6"/>
    <w:rsid w:val="002F1E10"/>
    <w:rsid w:val="002F27B8"/>
    <w:rsid w:val="002F2828"/>
    <w:rsid w:val="002F2908"/>
    <w:rsid w:val="002F29CD"/>
    <w:rsid w:val="002F3533"/>
    <w:rsid w:val="002F433F"/>
    <w:rsid w:val="002F4637"/>
    <w:rsid w:val="002F5071"/>
    <w:rsid w:val="002F6062"/>
    <w:rsid w:val="002F6A16"/>
    <w:rsid w:val="002F73D1"/>
    <w:rsid w:val="002F7F55"/>
    <w:rsid w:val="0030047F"/>
    <w:rsid w:val="003005A3"/>
    <w:rsid w:val="00300D09"/>
    <w:rsid w:val="00302268"/>
    <w:rsid w:val="0030287D"/>
    <w:rsid w:val="0030313C"/>
    <w:rsid w:val="003034FF"/>
    <w:rsid w:val="0030380F"/>
    <w:rsid w:val="00303DB2"/>
    <w:rsid w:val="00304599"/>
    <w:rsid w:val="00304B5E"/>
    <w:rsid w:val="0030617A"/>
    <w:rsid w:val="0030663C"/>
    <w:rsid w:val="00306663"/>
    <w:rsid w:val="00306E6E"/>
    <w:rsid w:val="00306F17"/>
    <w:rsid w:val="0030702B"/>
    <w:rsid w:val="00307906"/>
    <w:rsid w:val="003103A2"/>
    <w:rsid w:val="0031054B"/>
    <w:rsid w:val="00310627"/>
    <w:rsid w:val="00310F0E"/>
    <w:rsid w:val="00311059"/>
    <w:rsid w:val="003110ED"/>
    <w:rsid w:val="003113FA"/>
    <w:rsid w:val="003123E4"/>
    <w:rsid w:val="00312777"/>
    <w:rsid w:val="0031297D"/>
    <w:rsid w:val="00312DAB"/>
    <w:rsid w:val="00312FF7"/>
    <w:rsid w:val="00313351"/>
    <w:rsid w:val="00313571"/>
    <w:rsid w:val="003138DC"/>
    <w:rsid w:val="00314285"/>
    <w:rsid w:val="00315319"/>
    <w:rsid w:val="003169A4"/>
    <w:rsid w:val="00316BD6"/>
    <w:rsid w:val="00316E07"/>
    <w:rsid w:val="003170E3"/>
    <w:rsid w:val="003175DB"/>
    <w:rsid w:val="0031782B"/>
    <w:rsid w:val="00317F57"/>
    <w:rsid w:val="003203E7"/>
    <w:rsid w:val="003204B6"/>
    <w:rsid w:val="00320B18"/>
    <w:rsid w:val="00320E4D"/>
    <w:rsid w:val="003212DF"/>
    <w:rsid w:val="00321483"/>
    <w:rsid w:val="003214A8"/>
    <w:rsid w:val="00321DFC"/>
    <w:rsid w:val="003222BF"/>
    <w:rsid w:val="003226A2"/>
    <w:rsid w:val="00323D58"/>
    <w:rsid w:val="003245C0"/>
    <w:rsid w:val="00324945"/>
    <w:rsid w:val="0032525A"/>
    <w:rsid w:val="00325E31"/>
    <w:rsid w:val="0032600F"/>
    <w:rsid w:val="00326FEF"/>
    <w:rsid w:val="00327D9C"/>
    <w:rsid w:val="00327EB4"/>
    <w:rsid w:val="003300D9"/>
    <w:rsid w:val="00330582"/>
    <w:rsid w:val="00331BEC"/>
    <w:rsid w:val="00332471"/>
    <w:rsid w:val="003325EE"/>
    <w:rsid w:val="00332DB4"/>
    <w:rsid w:val="0033332E"/>
    <w:rsid w:val="00333336"/>
    <w:rsid w:val="0033333F"/>
    <w:rsid w:val="00334A66"/>
    <w:rsid w:val="00334C11"/>
    <w:rsid w:val="00334ED2"/>
    <w:rsid w:val="003367B4"/>
    <w:rsid w:val="0033693E"/>
    <w:rsid w:val="003369EF"/>
    <w:rsid w:val="00336AA6"/>
    <w:rsid w:val="003370D7"/>
    <w:rsid w:val="00337C18"/>
    <w:rsid w:val="00337C69"/>
    <w:rsid w:val="00337D7C"/>
    <w:rsid w:val="00337EFB"/>
    <w:rsid w:val="003400BE"/>
    <w:rsid w:val="003408CF"/>
    <w:rsid w:val="003408F5"/>
    <w:rsid w:val="00341645"/>
    <w:rsid w:val="0034182B"/>
    <w:rsid w:val="00341CA6"/>
    <w:rsid w:val="00341D0D"/>
    <w:rsid w:val="003424AA"/>
    <w:rsid w:val="003424E5"/>
    <w:rsid w:val="003425EE"/>
    <w:rsid w:val="003430ED"/>
    <w:rsid w:val="00343C7D"/>
    <w:rsid w:val="00344053"/>
    <w:rsid w:val="00344CE7"/>
    <w:rsid w:val="00345270"/>
    <w:rsid w:val="00345428"/>
    <w:rsid w:val="00345995"/>
    <w:rsid w:val="00345B68"/>
    <w:rsid w:val="00346044"/>
    <w:rsid w:val="00346598"/>
    <w:rsid w:val="00346B6D"/>
    <w:rsid w:val="00346D86"/>
    <w:rsid w:val="00347004"/>
    <w:rsid w:val="00347404"/>
    <w:rsid w:val="00347731"/>
    <w:rsid w:val="00347C33"/>
    <w:rsid w:val="0035026A"/>
    <w:rsid w:val="0035030C"/>
    <w:rsid w:val="00350880"/>
    <w:rsid w:val="00350AA9"/>
    <w:rsid w:val="00350C5F"/>
    <w:rsid w:val="0035100D"/>
    <w:rsid w:val="0035194B"/>
    <w:rsid w:val="00351F99"/>
    <w:rsid w:val="00352198"/>
    <w:rsid w:val="003525A0"/>
    <w:rsid w:val="0035268D"/>
    <w:rsid w:val="00353CDD"/>
    <w:rsid w:val="0035430B"/>
    <w:rsid w:val="00354849"/>
    <w:rsid w:val="003548B5"/>
    <w:rsid w:val="00354A06"/>
    <w:rsid w:val="00354F7C"/>
    <w:rsid w:val="00355394"/>
    <w:rsid w:val="003558E0"/>
    <w:rsid w:val="00355C8D"/>
    <w:rsid w:val="00355FD5"/>
    <w:rsid w:val="00356530"/>
    <w:rsid w:val="00356C91"/>
    <w:rsid w:val="00356E7D"/>
    <w:rsid w:val="00357B5C"/>
    <w:rsid w:val="00360158"/>
    <w:rsid w:val="00360FC1"/>
    <w:rsid w:val="00361420"/>
    <w:rsid w:val="003625D1"/>
    <w:rsid w:val="00362801"/>
    <w:rsid w:val="003632E2"/>
    <w:rsid w:val="0036376D"/>
    <w:rsid w:val="00364306"/>
    <w:rsid w:val="00364747"/>
    <w:rsid w:val="00364ED0"/>
    <w:rsid w:val="0036539F"/>
    <w:rsid w:val="003657A0"/>
    <w:rsid w:val="00365A9A"/>
    <w:rsid w:val="00366C5C"/>
    <w:rsid w:val="00367313"/>
    <w:rsid w:val="003678FD"/>
    <w:rsid w:val="003679F5"/>
    <w:rsid w:val="003707B0"/>
    <w:rsid w:val="0037086E"/>
    <w:rsid w:val="00370D0C"/>
    <w:rsid w:val="00371800"/>
    <w:rsid w:val="00371993"/>
    <w:rsid w:val="00371BE8"/>
    <w:rsid w:val="00372779"/>
    <w:rsid w:val="00372DDC"/>
    <w:rsid w:val="003733FF"/>
    <w:rsid w:val="0037374F"/>
    <w:rsid w:val="00374A61"/>
    <w:rsid w:val="003750D7"/>
    <w:rsid w:val="00375E00"/>
    <w:rsid w:val="00375EDE"/>
    <w:rsid w:val="0037661C"/>
    <w:rsid w:val="00376D1C"/>
    <w:rsid w:val="00380306"/>
    <w:rsid w:val="00380454"/>
    <w:rsid w:val="00380795"/>
    <w:rsid w:val="00380D8D"/>
    <w:rsid w:val="003816D4"/>
    <w:rsid w:val="003825A2"/>
    <w:rsid w:val="00382685"/>
    <w:rsid w:val="00382817"/>
    <w:rsid w:val="00382D1E"/>
    <w:rsid w:val="00383021"/>
    <w:rsid w:val="00383170"/>
    <w:rsid w:val="003831BD"/>
    <w:rsid w:val="00383660"/>
    <w:rsid w:val="00383827"/>
    <w:rsid w:val="00383D89"/>
    <w:rsid w:val="00383EEC"/>
    <w:rsid w:val="00384B38"/>
    <w:rsid w:val="0038531D"/>
    <w:rsid w:val="0038561A"/>
    <w:rsid w:val="00385700"/>
    <w:rsid w:val="003857B7"/>
    <w:rsid w:val="00385A19"/>
    <w:rsid w:val="003862CC"/>
    <w:rsid w:val="00386561"/>
    <w:rsid w:val="003868E7"/>
    <w:rsid w:val="003876DB"/>
    <w:rsid w:val="0038796B"/>
    <w:rsid w:val="00387B91"/>
    <w:rsid w:val="00390770"/>
    <w:rsid w:val="00390B27"/>
    <w:rsid w:val="003911B8"/>
    <w:rsid w:val="00391356"/>
    <w:rsid w:val="003917AD"/>
    <w:rsid w:val="00392285"/>
    <w:rsid w:val="00392770"/>
    <w:rsid w:val="003928CF"/>
    <w:rsid w:val="00393EE3"/>
    <w:rsid w:val="00394351"/>
    <w:rsid w:val="003948D2"/>
    <w:rsid w:val="00394C85"/>
    <w:rsid w:val="00395390"/>
    <w:rsid w:val="00396B82"/>
    <w:rsid w:val="00396E07"/>
    <w:rsid w:val="00396FD0"/>
    <w:rsid w:val="00397165"/>
    <w:rsid w:val="003973B1"/>
    <w:rsid w:val="00397697"/>
    <w:rsid w:val="00397AE2"/>
    <w:rsid w:val="003A10EE"/>
    <w:rsid w:val="003A1150"/>
    <w:rsid w:val="003A11FB"/>
    <w:rsid w:val="003A12C4"/>
    <w:rsid w:val="003A13FB"/>
    <w:rsid w:val="003A1F08"/>
    <w:rsid w:val="003A3621"/>
    <w:rsid w:val="003A367D"/>
    <w:rsid w:val="003A3BF0"/>
    <w:rsid w:val="003A3FC8"/>
    <w:rsid w:val="003A43CA"/>
    <w:rsid w:val="003A4EEC"/>
    <w:rsid w:val="003A56A4"/>
    <w:rsid w:val="003A5EE8"/>
    <w:rsid w:val="003A6F97"/>
    <w:rsid w:val="003A7E37"/>
    <w:rsid w:val="003A7F73"/>
    <w:rsid w:val="003B0284"/>
    <w:rsid w:val="003B0844"/>
    <w:rsid w:val="003B0CE0"/>
    <w:rsid w:val="003B0FCE"/>
    <w:rsid w:val="003B11D0"/>
    <w:rsid w:val="003B15A4"/>
    <w:rsid w:val="003B18BE"/>
    <w:rsid w:val="003B20BD"/>
    <w:rsid w:val="003B2135"/>
    <w:rsid w:val="003B23F3"/>
    <w:rsid w:val="003B2E98"/>
    <w:rsid w:val="003B38F5"/>
    <w:rsid w:val="003B3BC5"/>
    <w:rsid w:val="003B3C77"/>
    <w:rsid w:val="003B3D56"/>
    <w:rsid w:val="003B400F"/>
    <w:rsid w:val="003B41A8"/>
    <w:rsid w:val="003B4876"/>
    <w:rsid w:val="003B7A25"/>
    <w:rsid w:val="003B7AF5"/>
    <w:rsid w:val="003C016C"/>
    <w:rsid w:val="003C01D3"/>
    <w:rsid w:val="003C08DE"/>
    <w:rsid w:val="003C0CA3"/>
    <w:rsid w:val="003C0DBD"/>
    <w:rsid w:val="003C0F02"/>
    <w:rsid w:val="003C1905"/>
    <w:rsid w:val="003C1FAF"/>
    <w:rsid w:val="003C2562"/>
    <w:rsid w:val="003C29A5"/>
    <w:rsid w:val="003C2B17"/>
    <w:rsid w:val="003C386D"/>
    <w:rsid w:val="003C39C9"/>
    <w:rsid w:val="003C3A3A"/>
    <w:rsid w:val="003C4437"/>
    <w:rsid w:val="003C44D8"/>
    <w:rsid w:val="003C4644"/>
    <w:rsid w:val="003C4BF4"/>
    <w:rsid w:val="003C54FF"/>
    <w:rsid w:val="003C5F57"/>
    <w:rsid w:val="003C7050"/>
    <w:rsid w:val="003C7543"/>
    <w:rsid w:val="003C7D13"/>
    <w:rsid w:val="003D17CF"/>
    <w:rsid w:val="003D2291"/>
    <w:rsid w:val="003D27F4"/>
    <w:rsid w:val="003D2B98"/>
    <w:rsid w:val="003D2E95"/>
    <w:rsid w:val="003D3306"/>
    <w:rsid w:val="003D5499"/>
    <w:rsid w:val="003D655E"/>
    <w:rsid w:val="003D69FC"/>
    <w:rsid w:val="003E086F"/>
    <w:rsid w:val="003E0C0B"/>
    <w:rsid w:val="003E1C7E"/>
    <w:rsid w:val="003E2A25"/>
    <w:rsid w:val="003E2B27"/>
    <w:rsid w:val="003E3375"/>
    <w:rsid w:val="003E370A"/>
    <w:rsid w:val="003E4794"/>
    <w:rsid w:val="003E49F5"/>
    <w:rsid w:val="003E4AA1"/>
    <w:rsid w:val="003E4E1D"/>
    <w:rsid w:val="003E4F50"/>
    <w:rsid w:val="003E55CB"/>
    <w:rsid w:val="003E6012"/>
    <w:rsid w:val="003E6188"/>
    <w:rsid w:val="003E6410"/>
    <w:rsid w:val="003E7346"/>
    <w:rsid w:val="003E7A9F"/>
    <w:rsid w:val="003E7AD1"/>
    <w:rsid w:val="003E7B7C"/>
    <w:rsid w:val="003E7C88"/>
    <w:rsid w:val="003E7CFF"/>
    <w:rsid w:val="003E7F4C"/>
    <w:rsid w:val="003F0FB0"/>
    <w:rsid w:val="003F154B"/>
    <w:rsid w:val="003F1D06"/>
    <w:rsid w:val="003F24D8"/>
    <w:rsid w:val="003F27C4"/>
    <w:rsid w:val="003F28DE"/>
    <w:rsid w:val="003F2C72"/>
    <w:rsid w:val="003F3042"/>
    <w:rsid w:val="003F41AE"/>
    <w:rsid w:val="003F538C"/>
    <w:rsid w:val="003F548D"/>
    <w:rsid w:val="003F54D6"/>
    <w:rsid w:val="003F6094"/>
    <w:rsid w:val="003F61F6"/>
    <w:rsid w:val="003F63E7"/>
    <w:rsid w:val="003F6BE9"/>
    <w:rsid w:val="003F6C8D"/>
    <w:rsid w:val="003F7899"/>
    <w:rsid w:val="003F7D16"/>
    <w:rsid w:val="00400367"/>
    <w:rsid w:val="00400E35"/>
    <w:rsid w:val="0040108F"/>
    <w:rsid w:val="00401401"/>
    <w:rsid w:val="0040172F"/>
    <w:rsid w:val="00401FBF"/>
    <w:rsid w:val="004021B9"/>
    <w:rsid w:val="004023FB"/>
    <w:rsid w:val="00402452"/>
    <w:rsid w:val="00402B25"/>
    <w:rsid w:val="00402BDE"/>
    <w:rsid w:val="00402C6C"/>
    <w:rsid w:val="00402F24"/>
    <w:rsid w:val="004038FC"/>
    <w:rsid w:val="00403D60"/>
    <w:rsid w:val="004042BA"/>
    <w:rsid w:val="004046A0"/>
    <w:rsid w:val="004049D2"/>
    <w:rsid w:val="00404C76"/>
    <w:rsid w:val="00404E25"/>
    <w:rsid w:val="004051EC"/>
    <w:rsid w:val="004055FF"/>
    <w:rsid w:val="0040593D"/>
    <w:rsid w:val="00405CAB"/>
    <w:rsid w:val="00406FF1"/>
    <w:rsid w:val="00407530"/>
    <w:rsid w:val="00407566"/>
    <w:rsid w:val="00407C35"/>
    <w:rsid w:val="0041028D"/>
    <w:rsid w:val="0041036E"/>
    <w:rsid w:val="00410907"/>
    <w:rsid w:val="00410B99"/>
    <w:rsid w:val="00411231"/>
    <w:rsid w:val="004118D7"/>
    <w:rsid w:val="004125AB"/>
    <w:rsid w:val="00412E76"/>
    <w:rsid w:val="00413B6C"/>
    <w:rsid w:val="0041581B"/>
    <w:rsid w:val="00416C3A"/>
    <w:rsid w:val="004173CF"/>
    <w:rsid w:val="00417DB1"/>
    <w:rsid w:val="00420432"/>
    <w:rsid w:val="00420443"/>
    <w:rsid w:val="0042059F"/>
    <w:rsid w:val="004206BD"/>
    <w:rsid w:val="004207B2"/>
    <w:rsid w:val="004217A0"/>
    <w:rsid w:val="00423590"/>
    <w:rsid w:val="004235EA"/>
    <w:rsid w:val="004244B2"/>
    <w:rsid w:val="00425E79"/>
    <w:rsid w:val="004275B3"/>
    <w:rsid w:val="00427730"/>
    <w:rsid w:val="0043003F"/>
    <w:rsid w:val="00430219"/>
    <w:rsid w:val="00430B62"/>
    <w:rsid w:val="00430D18"/>
    <w:rsid w:val="004315C3"/>
    <w:rsid w:val="0043168D"/>
    <w:rsid w:val="0043188D"/>
    <w:rsid w:val="00431B9A"/>
    <w:rsid w:val="00431D35"/>
    <w:rsid w:val="004328FD"/>
    <w:rsid w:val="004334B2"/>
    <w:rsid w:val="004338FF"/>
    <w:rsid w:val="00433DB9"/>
    <w:rsid w:val="00434332"/>
    <w:rsid w:val="00434A9E"/>
    <w:rsid w:val="00434FC0"/>
    <w:rsid w:val="00435090"/>
    <w:rsid w:val="00436125"/>
    <w:rsid w:val="00436215"/>
    <w:rsid w:val="00436AAC"/>
    <w:rsid w:val="00436CF0"/>
    <w:rsid w:val="004372F8"/>
    <w:rsid w:val="004378AF"/>
    <w:rsid w:val="00437D1C"/>
    <w:rsid w:val="00440585"/>
    <w:rsid w:val="00440BA4"/>
    <w:rsid w:val="00441975"/>
    <w:rsid w:val="0044292E"/>
    <w:rsid w:val="0044354C"/>
    <w:rsid w:val="00443559"/>
    <w:rsid w:val="004439FA"/>
    <w:rsid w:val="00443B16"/>
    <w:rsid w:val="00443FF3"/>
    <w:rsid w:val="004446C4"/>
    <w:rsid w:val="00445959"/>
    <w:rsid w:val="00445B2F"/>
    <w:rsid w:val="0044725D"/>
    <w:rsid w:val="004479C3"/>
    <w:rsid w:val="00447D9E"/>
    <w:rsid w:val="00451211"/>
    <w:rsid w:val="00451C00"/>
    <w:rsid w:val="00451D8F"/>
    <w:rsid w:val="004524A2"/>
    <w:rsid w:val="004524CE"/>
    <w:rsid w:val="0045297D"/>
    <w:rsid w:val="00453095"/>
    <w:rsid w:val="0045378E"/>
    <w:rsid w:val="00453819"/>
    <w:rsid w:val="00453C67"/>
    <w:rsid w:val="00453C6C"/>
    <w:rsid w:val="00453E25"/>
    <w:rsid w:val="004546A1"/>
    <w:rsid w:val="004549CE"/>
    <w:rsid w:val="00454A7C"/>
    <w:rsid w:val="00454A8F"/>
    <w:rsid w:val="0045502A"/>
    <w:rsid w:val="00455122"/>
    <w:rsid w:val="00455458"/>
    <w:rsid w:val="004556A6"/>
    <w:rsid w:val="00455E8E"/>
    <w:rsid w:val="00456857"/>
    <w:rsid w:val="00457BEC"/>
    <w:rsid w:val="00457E54"/>
    <w:rsid w:val="0046009E"/>
    <w:rsid w:val="00461AE2"/>
    <w:rsid w:val="00461B5E"/>
    <w:rsid w:val="00461D2F"/>
    <w:rsid w:val="0046206F"/>
    <w:rsid w:val="004623DD"/>
    <w:rsid w:val="00462688"/>
    <w:rsid w:val="00463EEE"/>
    <w:rsid w:val="004641EF"/>
    <w:rsid w:val="00464A5F"/>
    <w:rsid w:val="00464B62"/>
    <w:rsid w:val="00464D11"/>
    <w:rsid w:val="00465435"/>
    <w:rsid w:val="0046548B"/>
    <w:rsid w:val="0046560A"/>
    <w:rsid w:val="00465936"/>
    <w:rsid w:val="00465947"/>
    <w:rsid w:val="004669DF"/>
    <w:rsid w:val="00466A7D"/>
    <w:rsid w:val="00470245"/>
    <w:rsid w:val="0047075B"/>
    <w:rsid w:val="004708D8"/>
    <w:rsid w:val="00470E2A"/>
    <w:rsid w:val="0047106C"/>
    <w:rsid w:val="00471B67"/>
    <w:rsid w:val="004723FA"/>
    <w:rsid w:val="004727B9"/>
    <w:rsid w:val="00472805"/>
    <w:rsid w:val="00472E5B"/>
    <w:rsid w:val="004730E0"/>
    <w:rsid w:val="00473476"/>
    <w:rsid w:val="00474591"/>
    <w:rsid w:val="0047505A"/>
    <w:rsid w:val="0047530C"/>
    <w:rsid w:val="00475846"/>
    <w:rsid w:val="00475C67"/>
    <w:rsid w:val="0047638C"/>
    <w:rsid w:val="00476C19"/>
    <w:rsid w:val="00477519"/>
    <w:rsid w:val="004776EB"/>
    <w:rsid w:val="00477DAE"/>
    <w:rsid w:val="00477E7A"/>
    <w:rsid w:val="004807CB"/>
    <w:rsid w:val="00480F48"/>
    <w:rsid w:val="0048134D"/>
    <w:rsid w:val="00481DBB"/>
    <w:rsid w:val="00482267"/>
    <w:rsid w:val="0048350C"/>
    <w:rsid w:val="00483E13"/>
    <w:rsid w:val="00484B96"/>
    <w:rsid w:val="00484CB9"/>
    <w:rsid w:val="00485352"/>
    <w:rsid w:val="00485CF3"/>
    <w:rsid w:val="004863AB"/>
    <w:rsid w:val="00486931"/>
    <w:rsid w:val="00486CF5"/>
    <w:rsid w:val="004870A2"/>
    <w:rsid w:val="00487568"/>
    <w:rsid w:val="0049024D"/>
    <w:rsid w:val="004902FC"/>
    <w:rsid w:val="004904FE"/>
    <w:rsid w:val="00491236"/>
    <w:rsid w:val="00491450"/>
    <w:rsid w:val="0049168B"/>
    <w:rsid w:val="00491AB0"/>
    <w:rsid w:val="0049202A"/>
    <w:rsid w:val="00492511"/>
    <w:rsid w:val="0049265A"/>
    <w:rsid w:val="0049279F"/>
    <w:rsid w:val="00492861"/>
    <w:rsid w:val="00494942"/>
    <w:rsid w:val="00494F4A"/>
    <w:rsid w:val="0049532A"/>
    <w:rsid w:val="00495EBA"/>
    <w:rsid w:val="00495F5B"/>
    <w:rsid w:val="004961CA"/>
    <w:rsid w:val="0049739E"/>
    <w:rsid w:val="00497A08"/>
    <w:rsid w:val="00497A22"/>
    <w:rsid w:val="00497AEB"/>
    <w:rsid w:val="004A0029"/>
    <w:rsid w:val="004A12AC"/>
    <w:rsid w:val="004A170E"/>
    <w:rsid w:val="004A17F6"/>
    <w:rsid w:val="004A1879"/>
    <w:rsid w:val="004A20DB"/>
    <w:rsid w:val="004A2139"/>
    <w:rsid w:val="004A2296"/>
    <w:rsid w:val="004A2B1F"/>
    <w:rsid w:val="004A3325"/>
    <w:rsid w:val="004A392B"/>
    <w:rsid w:val="004A417F"/>
    <w:rsid w:val="004A41E8"/>
    <w:rsid w:val="004A506A"/>
    <w:rsid w:val="004A53BD"/>
    <w:rsid w:val="004A5557"/>
    <w:rsid w:val="004A5622"/>
    <w:rsid w:val="004A5E2D"/>
    <w:rsid w:val="004A5EA5"/>
    <w:rsid w:val="004A6061"/>
    <w:rsid w:val="004A6642"/>
    <w:rsid w:val="004A664F"/>
    <w:rsid w:val="004A6773"/>
    <w:rsid w:val="004A6A3A"/>
    <w:rsid w:val="004A6E3E"/>
    <w:rsid w:val="004A78D5"/>
    <w:rsid w:val="004A7C99"/>
    <w:rsid w:val="004B0310"/>
    <w:rsid w:val="004B05EE"/>
    <w:rsid w:val="004B11BC"/>
    <w:rsid w:val="004B11DF"/>
    <w:rsid w:val="004B1715"/>
    <w:rsid w:val="004B188A"/>
    <w:rsid w:val="004B1C92"/>
    <w:rsid w:val="004B1FB4"/>
    <w:rsid w:val="004B2A1B"/>
    <w:rsid w:val="004B2A7E"/>
    <w:rsid w:val="004B2F96"/>
    <w:rsid w:val="004B308D"/>
    <w:rsid w:val="004B30BB"/>
    <w:rsid w:val="004B3759"/>
    <w:rsid w:val="004B450F"/>
    <w:rsid w:val="004B4763"/>
    <w:rsid w:val="004B50FA"/>
    <w:rsid w:val="004B570B"/>
    <w:rsid w:val="004B573F"/>
    <w:rsid w:val="004B5E3A"/>
    <w:rsid w:val="004B5EF5"/>
    <w:rsid w:val="004B77E8"/>
    <w:rsid w:val="004B7B62"/>
    <w:rsid w:val="004B7B74"/>
    <w:rsid w:val="004B7EF6"/>
    <w:rsid w:val="004C0AB2"/>
    <w:rsid w:val="004C0D8E"/>
    <w:rsid w:val="004C0E07"/>
    <w:rsid w:val="004C11BB"/>
    <w:rsid w:val="004C1918"/>
    <w:rsid w:val="004C199B"/>
    <w:rsid w:val="004C19CF"/>
    <w:rsid w:val="004C28FD"/>
    <w:rsid w:val="004C2998"/>
    <w:rsid w:val="004C2A32"/>
    <w:rsid w:val="004C2BE1"/>
    <w:rsid w:val="004C335E"/>
    <w:rsid w:val="004C472A"/>
    <w:rsid w:val="004C4FCF"/>
    <w:rsid w:val="004C5605"/>
    <w:rsid w:val="004C56A3"/>
    <w:rsid w:val="004C7E4A"/>
    <w:rsid w:val="004D04D0"/>
    <w:rsid w:val="004D0F04"/>
    <w:rsid w:val="004D1386"/>
    <w:rsid w:val="004D1589"/>
    <w:rsid w:val="004D1726"/>
    <w:rsid w:val="004D2800"/>
    <w:rsid w:val="004D2F19"/>
    <w:rsid w:val="004D2F97"/>
    <w:rsid w:val="004D3018"/>
    <w:rsid w:val="004D32A1"/>
    <w:rsid w:val="004D3B80"/>
    <w:rsid w:val="004D3DB3"/>
    <w:rsid w:val="004D42FC"/>
    <w:rsid w:val="004D5244"/>
    <w:rsid w:val="004D57F7"/>
    <w:rsid w:val="004D5A03"/>
    <w:rsid w:val="004D63AB"/>
    <w:rsid w:val="004D6588"/>
    <w:rsid w:val="004D6B7D"/>
    <w:rsid w:val="004D6BFA"/>
    <w:rsid w:val="004D6DC8"/>
    <w:rsid w:val="004D6E69"/>
    <w:rsid w:val="004D7079"/>
    <w:rsid w:val="004D7C18"/>
    <w:rsid w:val="004D7C3F"/>
    <w:rsid w:val="004D7EDD"/>
    <w:rsid w:val="004E0BBF"/>
    <w:rsid w:val="004E108E"/>
    <w:rsid w:val="004E18FC"/>
    <w:rsid w:val="004E1DF0"/>
    <w:rsid w:val="004E230D"/>
    <w:rsid w:val="004E254E"/>
    <w:rsid w:val="004E2671"/>
    <w:rsid w:val="004E26CF"/>
    <w:rsid w:val="004E3D26"/>
    <w:rsid w:val="004E4181"/>
    <w:rsid w:val="004E460E"/>
    <w:rsid w:val="004E4C44"/>
    <w:rsid w:val="004E5F0F"/>
    <w:rsid w:val="004E7CB8"/>
    <w:rsid w:val="004F031F"/>
    <w:rsid w:val="004F0D9C"/>
    <w:rsid w:val="004F0E67"/>
    <w:rsid w:val="004F13DD"/>
    <w:rsid w:val="004F1B48"/>
    <w:rsid w:val="004F1DE3"/>
    <w:rsid w:val="004F2795"/>
    <w:rsid w:val="004F2E9C"/>
    <w:rsid w:val="004F3B8B"/>
    <w:rsid w:val="004F3C70"/>
    <w:rsid w:val="004F3D4C"/>
    <w:rsid w:val="004F3E35"/>
    <w:rsid w:val="004F43CB"/>
    <w:rsid w:val="004F541C"/>
    <w:rsid w:val="004F591C"/>
    <w:rsid w:val="004F60C7"/>
    <w:rsid w:val="004F6910"/>
    <w:rsid w:val="004F6C1C"/>
    <w:rsid w:val="004F7381"/>
    <w:rsid w:val="004F7FE8"/>
    <w:rsid w:val="0050001F"/>
    <w:rsid w:val="0050067B"/>
    <w:rsid w:val="0050080F"/>
    <w:rsid w:val="00501028"/>
    <w:rsid w:val="00501642"/>
    <w:rsid w:val="00501C5B"/>
    <w:rsid w:val="00502222"/>
    <w:rsid w:val="00502714"/>
    <w:rsid w:val="00503D6E"/>
    <w:rsid w:val="0050477D"/>
    <w:rsid w:val="00505CB1"/>
    <w:rsid w:val="00506C9B"/>
    <w:rsid w:val="005071FE"/>
    <w:rsid w:val="00507A1C"/>
    <w:rsid w:val="00507C40"/>
    <w:rsid w:val="00507D3F"/>
    <w:rsid w:val="00507FC6"/>
    <w:rsid w:val="005106C1"/>
    <w:rsid w:val="00510BBB"/>
    <w:rsid w:val="00511693"/>
    <w:rsid w:val="0051183E"/>
    <w:rsid w:val="00511FD4"/>
    <w:rsid w:val="005121F1"/>
    <w:rsid w:val="005122E2"/>
    <w:rsid w:val="00512492"/>
    <w:rsid w:val="005127A4"/>
    <w:rsid w:val="00512850"/>
    <w:rsid w:val="00512852"/>
    <w:rsid w:val="0051342C"/>
    <w:rsid w:val="00513430"/>
    <w:rsid w:val="00513A57"/>
    <w:rsid w:val="0051429A"/>
    <w:rsid w:val="00514A76"/>
    <w:rsid w:val="00514D09"/>
    <w:rsid w:val="0051539A"/>
    <w:rsid w:val="00515AC1"/>
    <w:rsid w:val="00516434"/>
    <w:rsid w:val="00516BBF"/>
    <w:rsid w:val="00516C54"/>
    <w:rsid w:val="00516D6B"/>
    <w:rsid w:val="00517A97"/>
    <w:rsid w:val="00517AB9"/>
    <w:rsid w:val="00520202"/>
    <w:rsid w:val="005219A2"/>
    <w:rsid w:val="00521F30"/>
    <w:rsid w:val="00523C32"/>
    <w:rsid w:val="00523F38"/>
    <w:rsid w:val="00524048"/>
    <w:rsid w:val="005247C3"/>
    <w:rsid w:val="00524A83"/>
    <w:rsid w:val="00524DA9"/>
    <w:rsid w:val="00525257"/>
    <w:rsid w:val="00525668"/>
    <w:rsid w:val="0052579B"/>
    <w:rsid w:val="00525899"/>
    <w:rsid w:val="00525CB3"/>
    <w:rsid w:val="00525F21"/>
    <w:rsid w:val="0052636C"/>
    <w:rsid w:val="0052689F"/>
    <w:rsid w:val="005269CC"/>
    <w:rsid w:val="00527756"/>
    <w:rsid w:val="00527A21"/>
    <w:rsid w:val="00527CD8"/>
    <w:rsid w:val="00530594"/>
    <w:rsid w:val="0053174C"/>
    <w:rsid w:val="005317EC"/>
    <w:rsid w:val="00532054"/>
    <w:rsid w:val="0053270C"/>
    <w:rsid w:val="00532A97"/>
    <w:rsid w:val="00533698"/>
    <w:rsid w:val="0053387F"/>
    <w:rsid w:val="00533A4F"/>
    <w:rsid w:val="00533B0F"/>
    <w:rsid w:val="0053403B"/>
    <w:rsid w:val="00534B28"/>
    <w:rsid w:val="00534F02"/>
    <w:rsid w:val="00535C88"/>
    <w:rsid w:val="00535D2B"/>
    <w:rsid w:val="00536BAE"/>
    <w:rsid w:val="005370BD"/>
    <w:rsid w:val="00537482"/>
    <w:rsid w:val="005403FB"/>
    <w:rsid w:val="005407C2"/>
    <w:rsid w:val="00540927"/>
    <w:rsid w:val="00540947"/>
    <w:rsid w:val="00540CC5"/>
    <w:rsid w:val="00540EF8"/>
    <w:rsid w:val="00540F77"/>
    <w:rsid w:val="005412DB"/>
    <w:rsid w:val="0054173B"/>
    <w:rsid w:val="00541A5F"/>
    <w:rsid w:val="00541D51"/>
    <w:rsid w:val="00541E7D"/>
    <w:rsid w:val="0054202B"/>
    <w:rsid w:val="00542929"/>
    <w:rsid w:val="00542FD8"/>
    <w:rsid w:val="0054333B"/>
    <w:rsid w:val="0054343C"/>
    <w:rsid w:val="00543AB4"/>
    <w:rsid w:val="00543F46"/>
    <w:rsid w:val="00544383"/>
    <w:rsid w:val="005450A6"/>
    <w:rsid w:val="0054526B"/>
    <w:rsid w:val="005456D3"/>
    <w:rsid w:val="00545C01"/>
    <w:rsid w:val="005462B4"/>
    <w:rsid w:val="005464C9"/>
    <w:rsid w:val="00546B2F"/>
    <w:rsid w:val="00546D81"/>
    <w:rsid w:val="0054719A"/>
    <w:rsid w:val="005471B7"/>
    <w:rsid w:val="0054720A"/>
    <w:rsid w:val="0054756A"/>
    <w:rsid w:val="0054764F"/>
    <w:rsid w:val="00547B2B"/>
    <w:rsid w:val="00547F08"/>
    <w:rsid w:val="00550091"/>
    <w:rsid w:val="00550093"/>
    <w:rsid w:val="005504AB"/>
    <w:rsid w:val="00551612"/>
    <w:rsid w:val="005516B2"/>
    <w:rsid w:val="00551A02"/>
    <w:rsid w:val="00551A7A"/>
    <w:rsid w:val="00551C63"/>
    <w:rsid w:val="00552247"/>
    <w:rsid w:val="00552B34"/>
    <w:rsid w:val="00552C89"/>
    <w:rsid w:val="00553582"/>
    <w:rsid w:val="00553863"/>
    <w:rsid w:val="0055393A"/>
    <w:rsid w:val="00554B11"/>
    <w:rsid w:val="00554DEA"/>
    <w:rsid w:val="0055532D"/>
    <w:rsid w:val="0055533D"/>
    <w:rsid w:val="0055566A"/>
    <w:rsid w:val="00555ECA"/>
    <w:rsid w:val="00556766"/>
    <w:rsid w:val="005568EC"/>
    <w:rsid w:val="00556F41"/>
    <w:rsid w:val="00557CD0"/>
    <w:rsid w:val="00560A58"/>
    <w:rsid w:val="00560AB8"/>
    <w:rsid w:val="00560D29"/>
    <w:rsid w:val="00561195"/>
    <w:rsid w:val="00561B00"/>
    <w:rsid w:val="00561CAF"/>
    <w:rsid w:val="005628E6"/>
    <w:rsid w:val="00562F41"/>
    <w:rsid w:val="0056316A"/>
    <w:rsid w:val="005631D6"/>
    <w:rsid w:val="005637F4"/>
    <w:rsid w:val="00563EAE"/>
    <w:rsid w:val="00563F22"/>
    <w:rsid w:val="00564B55"/>
    <w:rsid w:val="00564C6E"/>
    <w:rsid w:val="00564EB7"/>
    <w:rsid w:val="005651BF"/>
    <w:rsid w:val="005655D5"/>
    <w:rsid w:val="005666F3"/>
    <w:rsid w:val="00567D46"/>
    <w:rsid w:val="00570963"/>
    <w:rsid w:val="005714C3"/>
    <w:rsid w:val="005715A9"/>
    <w:rsid w:val="005717F5"/>
    <w:rsid w:val="005722C9"/>
    <w:rsid w:val="00572A41"/>
    <w:rsid w:val="0057318E"/>
    <w:rsid w:val="005734EA"/>
    <w:rsid w:val="00573F2E"/>
    <w:rsid w:val="00574BEA"/>
    <w:rsid w:val="00574F6F"/>
    <w:rsid w:val="005750A1"/>
    <w:rsid w:val="00575295"/>
    <w:rsid w:val="0057538C"/>
    <w:rsid w:val="00575478"/>
    <w:rsid w:val="0057551F"/>
    <w:rsid w:val="00575943"/>
    <w:rsid w:val="005765A7"/>
    <w:rsid w:val="00576968"/>
    <w:rsid w:val="00576973"/>
    <w:rsid w:val="00577EE4"/>
    <w:rsid w:val="0058062E"/>
    <w:rsid w:val="005809DF"/>
    <w:rsid w:val="00580A89"/>
    <w:rsid w:val="00580AD7"/>
    <w:rsid w:val="005812B0"/>
    <w:rsid w:val="00583338"/>
    <w:rsid w:val="005839A8"/>
    <w:rsid w:val="00583B40"/>
    <w:rsid w:val="00584C15"/>
    <w:rsid w:val="00584C7F"/>
    <w:rsid w:val="00584E07"/>
    <w:rsid w:val="00585612"/>
    <w:rsid w:val="0058590A"/>
    <w:rsid w:val="005869C1"/>
    <w:rsid w:val="005872D6"/>
    <w:rsid w:val="00587F05"/>
    <w:rsid w:val="00590423"/>
    <w:rsid w:val="005904FF"/>
    <w:rsid w:val="00590C88"/>
    <w:rsid w:val="00591946"/>
    <w:rsid w:val="00591AFC"/>
    <w:rsid w:val="00591DE3"/>
    <w:rsid w:val="0059200F"/>
    <w:rsid w:val="005923B3"/>
    <w:rsid w:val="0059241B"/>
    <w:rsid w:val="005924BA"/>
    <w:rsid w:val="005925E2"/>
    <w:rsid w:val="00592BB9"/>
    <w:rsid w:val="00592DFA"/>
    <w:rsid w:val="00593B77"/>
    <w:rsid w:val="00595564"/>
    <w:rsid w:val="0059632C"/>
    <w:rsid w:val="005965D1"/>
    <w:rsid w:val="00596612"/>
    <w:rsid w:val="005967D8"/>
    <w:rsid w:val="00596A3B"/>
    <w:rsid w:val="00597306"/>
    <w:rsid w:val="005A01E2"/>
    <w:rsid w:val="005A0CF9"/>
    <w:rsid w:val="005A0FD4"/>
    <w:rsid w:val="005A13DA"/>
    <w:rsid w:val="005A16E4"/>
    <w:rsid w:val="005A1E65"/>
    <w:rsid w:val="005A2238"/>
    <w:rsid w:val="005A22BB"/>
    <w:rsid w:val="005A2480"/>
    <w:rsid w:val="005A2627"/>
    <w:rsid w:val="005A2BA7"/>
    <w:rsid w:val="005A2C46"/>
    <w:rsid w:val="005A3373"/>
    <w:rsid w:val="005A3691"/>
    <w:rsid w:val="005A3BBD"/>
    <w:rsid w:val="005A3C8B"/>
    <w:rsid w:val="005A456F"/>
    <w:rsid w:val="005A49C0"/>
    <w:rsid w:val="005A4A42"/>
    <w:rsid w:val="005A5189"/>
    <w:rsid w:val="005A5E49"/>
    <w:rsid w:val="005A5EEC"/>
    <w:rsid w:val="005A64D0"/>
    <w:rsid w:val="005A6922"/>
    <w:rsid w:val="005B046C"/>
    <w:rsid w:val="005B0981"/>
    <w:rsid w:val="005B2717"/>
    <w:rsid w:val="005B2CAF"/>
    <w:rsid w:val="005B2F6C"/>
    <w:rsid w:val="005B3CD4"/>
    <w:rsid w:val="005B43A2"/>
    <w:rsid w:val="005B483E"/>
    <w:rsid w:val="005B4DE5"/>
    <w:rsid w:val="005B4EC1"/>
    <w:rsid w:val="005B52FB"/>
    <w:rsid w:val="005B536E"/>
    <w:rsid w:val="005B58BB"/>
    <w:rsid w:val="005B5BDA"/>
    <w:rsid w:val="005B5BF8"/>
    <w:rsid w:val="005B6202"/>
    <w:rsid w:val="005B6710"/>
    <w:rsid w:val="005B6B45"/>
    <w:rsid w:val="005B6EFF"/>
    <w:rsid w:val="005B74D7"/>
    <w:rsid w:val="005B7E47"/>
    <w:rsid w:val="005B7F09"/>
    <w:rsid w:val="005C06E8"/>
    <w:rsid w:val="005C084F"/>
    <w:rsid w:val="005C0C65"/>
    <w:rsid w:val="005C0E21"/>
    <w:rsid w:val="005C164E"/>
    <w:rsid w:val="005C21D5"/>
    <w:rsid w:val="005C238A"/>
    <w:rsid w:val="005C2469"/>
    <w:rsid w:val="005C302C"/>
    <w:rsid w:val="005C32FD"/>
    <w:rsid w:val="005C364B"/>
    <w:rsid w:val="005C41BD"/>
    <w:rsid w:val="005C4302"/>
    <w:rsid w:val="005C48F6"/>
    <w:rsid w:val="005C4A67"/>
    <w:rsid w:val="005C4C96"/>
    <w:rsid w:val="005C50A3"/>
    <w:rsid w:val="005C529F"/>
    <w:rsid w:val="005C573A"/>
    <w:rsid w:val="005C6386"/>
    <w:rsid w:val="005C662C"/>
    <w:rsid w:val="005C6ABA"/>
    <w:rsid w:val="005C6C72"/>
    <w:rsid w:val="005C7098"/>
    <w:rsid w:val="005C7134"/>
    <w:rsid w:val="005D0266"/>
    <w:rsid w:val="005D0701"/>
    <w:rsid w:val="005D0800"/>
    <w:rsid w:val="005D0D08"/>
    <w:rsid w:val="005D0D0C"/>
    <w:rsid w:val="005D13AF"/>
    <w:rsid w:val="005D17A9"/>
    <w:rsid w:val="005D1F90"/>
    <w:rsid w:val="005D2097"/>
    <w:rsid w:val="005D2690"/>
    <w:rsid w:val="005D2A79"/>
    <w:rsid w:val="005D2B2E"/>
    <w:rsid w:val="005D30E8"/>
    <w:rsid w:val="005D36EC"/>
    <w:rsid w:val="005D38B8"/>
    <w:rsid w:val="005D4092"/>
    <w:rsid w:val="005D4796"/>
    <w:rsid w:val="005D4BFA"/>
    <w:rsid w:val="005D659A"/>
    <w:rsid w:val="005D6F43"/>
    <w:rsid w:val="005D7A01"/>
    <w:rsid w:val="005E0127"/>
    <w:rsid w:val="005E022D"/>
    <w:rsid w:val="005E02C1"/>
    <w:rsid w:val="005E065F"/>
    <w:rsid w:val="005E0CB6"/>
    <w:rsid w:val="005E1C49"/>
    <w:rsid w:val="005E230A"/>
    <w:rsid w:val="005E25A2"/>
    <w:rsid w:val="005E2BC9"/>
    <w:rsid w:val="005E328E"/>
    <w:rsid w:val="005E3DD1"/>
    <w:rsid w:val="005E4300"/>
    <w:rsid w:val="005E4546"/>
    <w:rsid w:val="005E456A"/>
    <w:rsid w:val="005E461B"/>
    <w:rsid w:val="005E5321"/>
    <w:rsid w:val="005E6180"/>
    <w:rsid w:val="005E66D1"/>
    <w:rsid w:val="005E6A4E"/>
    <w:rsid w:val="005E6B68"/>
    <w:rsid w:val="005E777A"/>
    <w:rsid w:val="005E7CD7"/>
    <w:rsid w:val="005F08E3"/>
    <w:rsid w:val="005F0AEB"/>
    <w:rsid w:val="005F0DD5"/>
    <w:rsid w:val="005F16B5"/>
    <w:rsid w:val="005F21D1"/>
    <w:rsid w:val="005F2D66"/>
    <w:rsid w:val="005F3655"/>
    <w:rsid w:val="005F366B"/>
    <w:rsid w:val="005F3C49"/>
    <w:rsid w:val="005F4257"/>
    <w:rsid w:val="005F4454"/>
    <w:rsid w:val="005F4C13"/>
    <w:rsid w:val="005F4E5E"/>
    <w:rsid w:val="005F55EF"/>
    <w:rsid w:val="005F657C"/>
    <w:rsid w:val="005F7117"/>
    <w:rsid w:val="005F73F8"/>
    <w:rsid w:val="0060020D"/>
    <w:rsid w:val="00600663"/>
    <w:rsid w:val="00600A92"/>
    <w:rsid w:val="006011E5"/>
    <w:rsid w:val="00601245"/>
    <w:rsid w:val="00601FAF"/>
    <w:rsid w:val="006023B5"/>
    <w:rsid w:val="006026CF"/>
    <w:rsid w:val="00602F39"/>
    <w:rsid w:val="006035BF"/>
    <w:rsid w:val="00604F5D"/>
    <w:rsid w:val="006052EB"/>
    <w:rsid w:val="006057FF"/>
    <w:rsid w:val="006058AF"/>
    <w:rsid w:val="0060638C"/>
    <w:rsid w:val="006063E1"/>
    <w:rsid w:val="00606BD0"/>
    <w:rsid w:val="00607E68"/>
    <w:rsid w:val="00610468"/>
    <w:rsid w:val="00611AAA"/>
    <w:rsid w:val="00611C4A"/>
    <w:rsid w:val="00611F5E"/>
    <w:rsid w:val="00612803"/>
    <w:rsid w:val="00613F60"/>
    <w:rsid w:val="00614B29"/>
    <w:rsid w:val="0061501E"/>
    <w:rsid w:val="0061572B"/>
    <w:rsid w:val="00615F05"/>
    <w:rsid w:val="006163A3"/>
    <w:rsid w:val="00616D8B"/>
    <w:rsid w:val="00616FDE"/>
    <w:rsid w:val="00617F36"/>
    <w:rsid w:val="0062041F"/>
    <w:rsid w:val="00620BCC"/>
    <w:rsid w:val="006213DC"/>
    <w:rsid w:val="0062170F"/>
    <w:rsid w:val="006220E2"/>
    <w:rsid w:val="00622703"/>
    <w:rsid w:val="00622912"/>
    <w:rsid w:val="00622C64"/>
    <w:rsid w:val="00624195"/>
    <w:rsid w:val="00624EBB"/>
    <w:rsid w:val="00625CE4"/>
    <w:rsid w:val="00627378"/>
    <w:rsid w:val="00627578"/>
    <w:rsid w:val="00627C78"/>
    <w:rsid w:val="00627D18"/>
    <w:rsid w:val="00627D1D"/>
    <w:rsid w:val="00630BFC"/>
    <w:rsid w:val="0063162F"/>
    <w:rsid w:val="00631C3B"/>
    <w:rsid w:val="00631E3D"/>
    <w:rsid w:val="00633E62"/>
    <w:rsid w:val="00633F67"/>
    <w:rsid w:val="00633FCA"/>
    <w:rsid w:val="00634F8B"/>
    <w:rsid w:val="00635234"/>
    <w:rsid w:val="00635AB9"/>
    <w:rsid w:val="00635F38"/>
    <w:rsid w:val="00636059"/>
    <w:rsid w:val="00636237"/>
    <w:rsid w:val="00636675"/>
    <w:rsid w:val="00636822"/>
    <w:rsid w:val="00637505"/>
    <w:rsid w:val="00637C58"/>
    <w:rsid w:val="0064020E"/>
    <w:rsid w:val="00640756"/>
    <w:rsid w:val="00640789"/>
    <w:rsid w:val="00640840"/>
    <w:rsid w:val="00642AD8"/>
    <w:rsid w:val="006432AB"/>
    <w:rsid w:val="006434CF"/>
    <w:rsid w:val="00643677"/>
    <w:rsid w:val="006437FE"/>
    <w:rsid w:val="006439BB"/>
    <w:rsid w:val="0064427F"/>
    <w:rsid w:val="00644CD2"/>
    <w:rsid w:val="006453AB"/>
    <w:rsid w:val="00645720"/>
    <w:rsid w:val="00645810"/>
    <w:rsid w:val="00645AE3"/>
    <w:rsid w:val="00645D4A"/>
    <w:rsid w:val="006462A0"/>
    <w:rsid w:val="00646BA9"/>
    <w:rsid w:val="00647277"/>
    <w:rsid w:val="0064739D"/>
    <w:rsid w:val="00647905"/>
    <w:rsid w:val="00647B1B"/>
    <w:rsid w:val="00647D66"/>
    <w:rsid w:val="00650B96"/>
    <w:rsid w:val="00651731"/>
    <w:rsid w:val="00651CDD"/>
    <w:rsid w:val="00651CF2"/>
    <w:rsid w:val="00651EFE"/>
    <w:rsid w:val="00651FBE"/>
    <w:rsid w:val="006521D1"/>
    <w:rsid w:val="006526D3"/>
    <w:rsid w:val="00652AA1"/>
    <w:rsid w:val="00652C17"/>
    <w:rsid w:val="006533A5"/>
    <w:rsid w:val="0065341F"/>
    <w:rsid w:val="00653763"/>
    <w:rsid w:val="0065472D"/>
    <w:rsid w:val="006550D0"/>
    <w:rsid w:val="006555E3"/>
    <w:rsid w:val="00655D03"/>
    <w:rsid w:val="00655E9E"/>
    <w:rsid w:val="006570BE"/>
    <w:rsid w:val="00657CBA"/>
    <w:rsid w:val="00660373"/>
    <w:rsid w:val="0066148D"/>
    <w:rsid w:val="006617D5"/>
    <w:rsid w:val="006619E3"/>
    <w:rsid w:val="006619FF"/>
    <w:rsid w:val="00661FE6"/>
    <w:rsid w:val="00662848"/>
    <w:rsid w:val="00663866"/>
    <w:rsid w:val="00663C9F"/>
    <w:rsid w:val="00663F30"/>
    <w:rsid w:val="00664211"/>
    <w:rsid w:val="006644EE"/>
    <w:rsid w:val="006648BC"/>
    <w:rsid w:val="00664D91"/>
    <w:rsid w:val="00664EBA"/>
    <w:rsid w:val="006650FF"/>
    <w:rsid w:val="006655FC"/>
    <w:rsid w:val="0066587A"/>
    <w:rsid w:val="00665901"/>
    <w:rsid w:val="00665A27"/>
    <w:rsid w:val="00665B6D"/>
    <w:rsid w:val="0066608F"/>
    <w:rsid w:val="006660B8"/>
    <w:rsid w:val="00666676"/>
    <w:rsid w:val="006667C2"/>
    <w:rsid w:val="00666DEA"/>
    <w:rsid w:val="00667F35"/>
    <w:rsid w:val="00670656"/>
    <w:rsid w:val="006712FE"/>
    <w:rsid w:val="0067184D"/>
    <w:rsid w:val="00671912"/>
    <w:rsid w:val="00673128"/>
    <w:rsid w:val="006731E7"/>
    <w:rsid w:val="00673355"/>
    <w:rsid w:val="006736A1"/>
    <w:rsid w:val="006737C4"/>
    <w:rsid w:val="00674286"/>
    <w:rsid w:val="00675218"/>
    <w:rsid w:val="00675812"/>
    <w:rsid w:val="00675A2C"/>
    <w:rsid w:val="00676E5D"/>
    <w:rsid w:val="006770C3"/>
    <w:rsid w:val="006778A5"/>
    <w:rsid w:val="00680802"/>
    <w:rsid w:val="00680886"/>
    <w:rsid w:val="00681741"/>
    <w:rsid w:val="006824A0"/>
    <w:rsid w:val="0068298E"/>
    <w:rsid w:val="006834AB"/>
    <w:rsid w:val="00684166"/>
    <w:rsid w:val="006854E6"/>
    <w:rsid w:val="006857A6"/>
    <w:rsid w:val="0068627A"/>
    <w:rsid w:val="0068641D"/>
    <w:rsid w:val="006865AA"/>
    <w:rsid w:val="0068670E"/>
    <w:rsid w:val="00686BFB"/>
    <w:rsid w:val="00686E32"/>
    <w:rsid w:val="0068715E"/>
    <w:rsid w:val="00687ACE"/>
    <w:rsid w:val="00687E18"/>
    <w:rsid w:val="006903AC"/>
    <w:rsid w:val="00690656"/>
    <w:rsid w:val="006906A3"/>
    <w:rsid w:val="006918C4"/>
    <w:rsid w:val="006922FE"/>
    <w:rsid w:val="006923D3"/>
    <w:rsid w:val="0069258D"/>
    <w:rsid w:val="0069277F"/>
    <w:rsid w:val="006931E0"/>
    <w:rsid w:val="006937DA"/>
    <w:rsid w:val="00693A05"/>
    <w:rsid w:val="00693C95"/>
    <w:rsid w:val="00693D1B"/>
    <w:rsid w:val="00693D52"/>
    <w:rsid w:val="00694761"/>
    <w:rsid w:val="0069497E"/>
    <w:rsid w:val="00694E60"/>
    <w:rsid w:val="00694E6A"/>
    <w:rsid w:val="006950AD"/>
    <w:rsid w:val="00695117"/>
    <w:rsid w:val="00695D05"/>
    <w:rsid w:val="00695EAD"/>
    <w:rsid w:val="00696227"/>
    <w:rsid w:val="00696340"/>
    <w:rsid w:val="00696B9C"/>
    <w:rsid w:val="00697C99"/>
    <w:rsid w:val="006A02CC"/>
    <w:rsid w:val="006A054D"/>
    <w:rsid w:val="006A156C"/>
    <w:rsid w:val="006A1751"/>
    <w:rsid w:val="006A18E5"/>
    <w:rsid w:val="006A27C0"/>
    <w:rsid w:val="006A2FD9"/>
    <w:rsid w:val="006A3FA6"/>
    <w:rsid w:val="006A43FE"/>
    <w:rsid w:val="006A4CEA"/>
    <w:rsid w:val="006A5708"/>
    <w:rsid w:val="006A5D92"/>
    <w:rsid w:val="006A61DF"/>
    <w:rsid w:val="006A7215"/>
    <w:rsid w:val="006A76A6"/>
    <w:rsid w:val="006A771F"/>
    <w:rsid w:val="006B0251"/>
    <w:rsid w:val="006B0323"/>
    <w:rsid w:val="006B0BDB"/>
    <w:rsid w:val="006B0DEB"/>
    <w:rsid w:val="006B1237"/>
    <w:rsid w:val="006B1C9A"/>
    <w:rsid w:val="006B1CAF"/>
    <w:rsid w:val="006B2D81"/>
    <w:rsid w:val="006B37DB"/>
    <w:rsid w:val="006B3A8C"/>
    <w:rsid w:val="006B3E3F"/>
    <w:rsid w:val="006B4B4D"/>
    <w:rsid w:val="006B589A"/>
    <w:rsid w:val="006B5E24"/>
    <w:rsid w:val="006B6B42"/>
    <w:rsid w:val="006B748C"/>
    <w:rsid w:val="006B75D4"/>
    <w:rsid w:val="006B79DF"/>
    <w:rsid w:val="006B7C0D"/>
    <w:rsid w:val="006C03F1"/>
    <w:rsid w:val="006C0819"/>
    <w:rsid w:val="006C1D90"/>
    <w:rsid w:val="006C28EF"/>
    <w:rsid w:val="006C294E"/>
    <w:rsid w:val="006C2F46"/>
    <w:rsid w:val="006C3766"/>
    <w:rsid w:val="006C411E"/>
    <w:rsid w:val="006C5381"/>
    <w:rsid w:val="006C5455"/>
    <w:rsid w:val="006C5644"/>
    <w:rsid w:val="006C6041"/>
    <w:rsid w:val="006C669E"/>
    <w:rsid w:val="006C6C23"/>
    <w:rsid w:val="006C7B6D"/>
    <w:rsid w:val="006C7E49"/>
    <w:rsid w:val="006D0C2C"/>
    <w:rsid w:val="006D106F"/>
    <w:rsid w:val="006D17F6"/>
    <w:rsid w:val="006D1AAD"/>
    <w:rsid w:val="006D2125"/>
    <w:rsid w:val="006D2AD4"/>
    <w:rsid w:val="006D2E35"/>
    <w:rsid w:val="006D2F31"/>
    <w:rsid w:val="006D318B"/>
    <w:rsid w:val="006D41A8"/>
    <w:rsid w:val="006D5AA0"/>
    <w:rsid w:val="006D613E"/>
    <w:rsid w:val="006D65E9"/>
    <w:rsid w:val="006D7590"/>
    <w:rsid w:val="006D77BF"/>
    <w:rsid w:val="006E0A3E"/>
    <w:rsid w:val="006E0D31"/>
    <w:rsid w:val="006E1137"/>
    <w:rsid w:val="006E1814"/>
    <w:rsid w:val="006E19B2"/>
    <w:rsid w:val="006E1CD1"/>
    <w:rsid w:val="006E1E13"/>
    <w:rsid w:val="006E2F9F"/>
    <w:rsid w:val="006E3128"/>
    <w:rsid w:val="006E314A"/>
    <w:rsid w:val="006E370F"/>
    <w:rsid w:val="006E5D10"/>
    <w:rsid w:val="006E692E"/>
    <w:rsid w:val="006E753B"/>
    <w:rsid w:val="006E76D7"/>
    <w:rsid w:val="006F046B"/>
    <w:rsid w:val="006F076C"/>
    <w:rsid w:val="006F0777"/>
    <w:rsid w:val="006F1337"/>
    <w:rsid w:val="006F16B6"/>
    <w:rsid w:val="006F189E"/>
    <w:rsid w:val="006F1CC8"/>
    <w:rsid w:val="006F2041"/>
    <w:rsid w:val="006F25B9"/>
    <w:rsid w:val="006F28BC"/>
    <w:rsid w:val="006F37F6"/>
    <w:rsid w:val="006F3AA5"/>
    <w:rsid w:val="006F40DC"/>
    <w:rsid w:val="006F4602"/>
    <w:rsid w:val="006F56E2"/>
    <w:rsid w:val="006F56F1"/>
    <w:rsid w:val="006F65B8"/>
    <w:rsid w:val="006F6933"/>
    <w:rsid w:val="006F77CB"/>
    <w:rsid w:val="006F7FF6"/>
    <w:rsid w:val="00700790"/>
    <w:rsid w:val="007009E4"/>
    <w:rsid w:val="0070136C"/>
    <w:rsid w:val="00701992"/>
    <w:rsid w:val="00701B7C"/>
    <w:rsid w:val="00701C34"/>
    <w:rsid w:val="00701EB8"/>
    <w:rsid w:val="007039F7"/>
    <w:rsid w:val="007046DB"/>
    <w:rsid w:val="00704758"/>
    <w:rsid w:val="00704B89"/>
    <w:rsid w:val="00705415"/>
    <w:rsid w:val="00705552"/>
    <w:rsid w:val="00705714"/>
    <w:rsid w:val="00705D34"/>
    <w:rsid w:val="00705E02"/>
    <w:rsid w:val="00706289"/>
    <w:rsid w:val="00706C4F"/>
    <w:rsid w:val="00706CC5"/>
    <w:rsid w:val="00706E5D"/>
    <w:rsid w:val="00707206"/>
    <w:rsid w:val="00707B1C"/>
    <w:rsid w:val="00710A41"/>
    <w:rsid w:val="00711097"/>
    <w:rsid w:val="00711852"/>
    <w:rsid w:val="0071223E"/>
    <w:rsid w:val="00712FE3"/>
    <w:rsid w:val="007138E4"/>
    <w:rsid w:val="00713900"/>
    <w:rsid w:val="0071436C"/>
    <w:rsid w:val="00714390"/>
    <w:rsid w:val="00714E0C"/>
    <w:rsid w:val="00715400"/>
    <w:rsid w:val="007159D7"/>
    <w:rsid w:val="00715C9D"/>
    <w:rsid w:val="00715E97"/>
    <w:rsid w:val="007167F1"/>
    <w:rsid w:val="007169A7"/>
    <w:rsid w:val="00716A9E"/>
    <w:rsid w:val="00716ED8"/>
    <w:rsid w:val="00716EE8"/>
    <w:rsid w:val="00717128"/>
    <w:rsid w:val="007177E2"/>
    <w:rsid w:val="00717DC8"/>
    <w:rsid w:val="007206B9"/>
    <w:rsid w:val="00720CBB"/>
    <w:rsid w:val="0072189B"/>
    <w:rsid w:val="00721B04"/>
    <w:rsid w:val="0072217A"/>
    <w:rsid w:val="00722182"/>
    <w:rsid w:val="00722CF5"/>
    <w:rsid w:val="007236D6"/>
    <w:rsid w:val="0072410F"/>
    <w:rsid w:val="00724406"/>
    <w:rsid w:val="00724B83"/>
    <w:rsid w:val="00725598"/>
    <w:rsid w:val="00725AA9"/>
    <w:rsid w:val="00726329"/>
    <w:rsid w:val="007263AA"/>
    <w:rsid w:val="00726695"/>
    <w:rsid w:val="00726A95"/>
    <w:rsid w:val="00726AA4"/>
    <w:rsid w:val="00727AB3"/>
    <w:rsid w:val="00727D3D"/>
    <w:rsid w:val="00727DBC"/>
    <w:rsid w:val="0073003C"/>
    <w:rsid w:val="00730826"/>
    <w:rsid w:val="007308EC"/>
    <w:rsid w:val="00731514"/>
    <w:rsid w:val="00731906"/>
    <w:rsid w:val="00731B22"/>
    <w:rsid w:val="00732D22"/>
    <w:rsid w:val="00733114"/>
    <w:rsid w:val="007335E1"/>
    <w:rsid w:val="00733975"/>
    <w:rsid w:val="0073407E"/>
    <w:rsid w:val="00734434"/>
    <w:rsid w:val="00735346"/>
    <w:rsid w:val="00736248"/>
    <w:rsid w:val="0073642E"/>
    <w:rsid w:val="00736CB0"/>
    <w:rsid w:val="007370D9"/>
    <w:rsid w:val="00737248"/>
    <w:rsid w:val="007376E9"/>
    <w:rsid w:val="00737D27"/>
    <w:rsid w:val="0074126F"/>
    <w:rsid w:val="00741C53"/>
    <w:rsid w:val="00741D96"/>
    <w:rsid w:val="00741FE3"/>
    <w:rsid w:val="007421F1"/>
    <w:rsid w:val="00742565"/>
    <w:rsid w:val="007427EC"/>
    <w:rsid w:val="00742ADC"/>
    <w:rsid w:val="00743614"/>
    <w:rsid w:val="00744467"/>
    <w:rsid w:val="007445F7"/>
    <w:rsid w:val="007449E2"/>
    <w:rsid w:val="00744CB5"/>
    <w:rsid w:val="007461D1"/>
    <w:rsid w:val="0074695D"/>
    <w:rsid w:val="007474D3"/>
    <w:rsid w:val="007475EA"/>
    <w:rsid w:val="00747A6A"/>
    <w:rsid w:val="00747CC8"/>
    <w:rsid w:val="0075045E"/>
    <w:rsid w:val="007508C1"/>
    <w:rsid w:val="00750F5E"/>
    <w:rsid w:val="0075161F"/>
    <w:rsid w:val="00751778"/>
    <w:rsid w:val="00752044"/>
    <w:rsid w:val="00752167"/>
    <w:rsid w:val="007521F4"/>
    <w:rsid w:val="007524B3"/>
    <w:rsid w:val="00752610"/>
    <w:rsid w:val="00752F11"/>
    <w:rsid w:val="00753792"/>
    <w:rsid w:val="00753EA1"/>
    <w:rsid w:val="00754781"/>
    <w:rsid w:val="00754957"/>
    <w:rsid w:val="00754989"/>
    <w:rsid w:val="0075521E"/>
    <w:rsid w:val="00755623"/>
    <w:rsid w:val="00755C5D"/>
    <w:rsid w:val="0075635B"/>
    <w:rsid w:val="0075653F"/>
    <w:rsid w:val="007570FD"/>
    <w:rsid w:val="00757235"/>
    <w:rsid w:val="00757857"/>
    <w:rsid w:val="00757CA2"/>
    <w:rsid w:val="007606FB"/>
    <w:rsid w:val="00760F1A"/>
    <w:rsid w:val="00761110"/>
    <w:rsid w:val="00761293"/>
    <w:rsid w:val="0076217F"/>
    <w:rsid w:val="007622E5"/>
    <w:rsid w:val="007630FC"/>
    <w:rsid w:val="00763A40"/>
    <w:rsid w:val="0076488C"/>
    <w:rsid w:val="00765F26"/>
    <w:rsid w:val="00766840"/>
    <w:rsid w:val="00766CF7"/>
    <w:rsid w:val="00766D71"/>
    <w:rsid w:val="00770492"/>
    <w:rsid w:val="00770D53"/>
    <w:rsid w:val="00771183"/>
    <w:rsid w:val="007714F0"/>
    <w:rsid w:val="007719AA"/>
    <w:rsid w:val="00771CE9"/>
    <w:rsid w:val="00772062"/>
    <w:rsid w:val="0077243C"/>
    <w:rsid w:val="0077268F"/>
    <w:rsid w:val="007729A9"/>
    <w:rsid w:val="00772E0C"/>
    <w:rsid w:val="0077310C"/>
    <w:rsid w:val="007736B8"/>
    <w:rsid w:val="00773D77"/>
    <w:rsid w:val="00773D9A"/>
    <w:rsid w:val="00773E2B"/>
    <w:rsid w:val="00774C92"/>
    <w:rsid w:val="00775B57"/>
    <w:rsid w:val="007761AD"/>
    <w:rsid w:val="00776707"/>
    <w:rsid w:val="00777669"/>
    <w:rsid w:val="00777B3A"/>
    <w:rsid w:val="00777D1F"/>
    <w:rsid w:val="00777D53"/>
    <w:rsid w:val="00777ED1"/>
    <w:rsid w:val="007806F4"/>
    <w:rsid w:val="00780A82"/>
    <w:rsid w:val="007828EA"/>
    <w:rsid w:val="00782CDB"/>
    <w:rsid w:val="00783435"/>
    <w:rsid w:val="0078376F"/>
    <w:rsid w:val="0078382E"/>
    <w:rsid w:val="007839AE"/>
    <w:rsid w:val="0078485E"/>
    <w:rsid w:val="007849BA"/>
    <w:rsid w:val="00785050"/>
    <w:rsid w:val="00787D8B"/>
    <w:rsid w:val="007903E4"/>
    <w:rsid w:val="00791E95"/>
    <w:rsid w:val="00793077"/>
    <w:rsid w:val="00793ED4"/>
    <w:rsid w:val="00794791"/>
    <w:rsid w:val="00795203"/>
    <w:rsid w:val="0079576C"/>
    <w:rsid w:val="00796B49"/>
    <w:rsid w:val="007972A9"/>
    <w:rsid w:val="00797411"/>
    <w:rsid w:val="00797BF4"/>
    <w:rsid w:val="007A00F2"/>
    <w:rsid w:val="007A0BF0"/>
    <w:rsid w:val="007A1094"/>
    <w:rsid w:val="007A18E6"/>
    <w:rsid w:val="007A3546"/>
    <w:rsid w:val="007A3A43"/>
    <w:rsid w:val="007A3EF1"/>
    <w:rsid w:val="007A441C"/>
    <w:rsid w:val="007A4543"/>
    <w:rsid w:val="007A462E"/>
    <w:rsid w:val="007A4711"/>
    <w:rsid w:val="007A50A6"/>
    <w:rsid w:val="007A53DD"/>
    <w:rsid w:val="007A5617"/>
    <w:rsid w:val="007A5C44"/>
    <w:rsid w:val="007A6683"/>
    <w:rsid w:val="007A6CCA"/>
    <w:rsid w:val="007A6CE3"/>
    <w:rsid w:val="007A7506"/>
    <w:rsid w:val="007A7919"/>
    <w:rsid w:val="007A7B49"/>
    <w:rsid w:val="007B0312"/>
    <w:rsid w:val="007B049C"/>
    <w:rsid w:val="007B2225"/>
    <w:rsid w:val="007B236A"/>
    <w:rsid w:val="007B3493"/>
    <w:rsid w:val="007B35B3"/>
    <w:rsid w:val="007B3FE5"/>
    <w:rsid w:val="007B440F"/>
    <w:rsid w:val="007B476C"/>
    <w:rsid w:val="007B4AFE"/>
    <w:rsid w:val="007B4CD8"/>
    <w:rsid w:val="007B50A1"/>
    <w:rsid w:val="007B5967"/>
    <w:rsid w:val="007B5A04"/>
    <w:rsid w:val="007B6D04"/>
    <w:rsid w:val="007B6E58"/>
    <w:rsid w:val="007B6F2E"/>
    <w:rsid w:val="007C03AD"/>
    <w:rsid w:val="007C0E44"/>
    <w:rsid w:val="007C1021"/>
    <w:rsid w:val="007C15D3"/>
    <w:rsid w:val="007C3B5B"/>
    <w:rsid w:val="007C407B"/>
    <w:rsid w:val="007C46AE"/>
    <w:rsid w:val="007C4DC3"/>
    <w:rsid w:val="007C5666"/>
    <w:rsid w:val="007C58DB"/>
    <w:rsid w:val="007C5997"/>
    <w:rsid w:val="007C5A23"/>
    <w:rsid w:val="007C622B"/>
    <w:rsid w:val="007C6B06"/>
    <w:rsid w:val="007C7B39"/>
    <w:rsid w:val="007D150F"/>
    <w:rsid w:val="007D1631"/>
    <w:rsid w:val="007D1A40"/>
    <w:rsid w:val="007D1BC6"/>
    <w:rsid w:val="007D1EDA"/>
    <w:rsid w:val="007D26C5"/>
    <w:rsid w:val="007D2D5B"/>
    <w:rsid w:val="007D31BC"/>
    <w:rsid w:val="007D331B"/>
    <w:rsid w:val="007D34A3"/>
    <w:rsid w:val="007D41D1"/>
    <w:rsid w:val="007D431D"/>
    <w:rsid w:val="007D43AC"/>
    <w:rsid w:val="007D54E9"/>
    <w:rsid w:val="007D5A3D"/>
    <w:rsid w:val="007D5CD5"/>
    <w:rsid w:val="007D6472"/>
    <w:rsid w:val="007D6F04"/>
    <w:rsid w:val="007D7424"/>
    <w:rsid w:val="007D77DD"/>
    <w:rsid w:val="007D7CE7"/>
    <w:rsid w:val="007E033C"/>
    <w:rsid w:val="007E0690"/>
    <w:rsid w:val="007E07C8"/>
    <w:rsid w:val="007E083B"/>
    <w:rsid w:val="007E1BB2"/>
    <w:rsid w:val="007E1C9C"/>
    <w:rsid w:val="007E235B"/>
    <w:rsid w:val="007E2B09"/>
    <w:rsid w:val="007E36AF"/>
    <w:rsid w:val="007E36D5"/>
    <w:rsid w:val="007E4185"/>
    <w:rsid w:val="007E43B1"/>
    <w:rsid w:val="007E44D4"/>
    <w:rsid w:val="007E4FE7"/>
    <w:rsid w:val="007E5F67"/>
    <w:rsid w:val="007E721F"/>
    <w:rsid w:val="007E7822"/>
    <w:rsid w:val="007E7A98"/>
    <w:rsid w:val="007E7B60"/>
    <w:rsid w:val="007E7DB4"/>
    <w:rsid w:val="007E7F96"/>
    <w:rsid w:val="007F0460"/>
    <w:rsid w:val="007F0619"/>
    <w:rsid w:val="007F17CD"/>
    <w:rsid w:val="007F1EA0"/>
    <w:rsid w:val="007F2296"/>
    <w:rsid w:val="007F263E"/>
    <w:rsid w:val="007F2935"/>
    <w:rsid w:val="007F2946"/>
    <w:rsid w:val="007F3160"/>
    <w:rsid w:val="007F39AA"/>
    <w:rsid w:val="007F3D19"/>
    <w:rsid w:val="007F41B8"/>
    <w:rsid w:val="007F47F4"/>
    <w:rsid w:val="007F4A73"/>
    <w:rsid w:val="007F4AC7"/>
    <w:rsid w:val="007F4B5A"/>
    <w:rsid w:val="007F4E2A"/>
    <w:rsid w:val="007F55BA"/>
    <w:rsid w:val="007F55C4"/>
    <w:rsid w:val="007F59C6"/>
    <w:rsid w:val="007F5E4F"/>
    <w:rsid w:val="007F6B8E"/>
    <w:rsid w:val="007F6D82"/>
    <w:rsid w:val="007F7CD9"/>
    <w:rsid w:val="007F7D32"/>
    <w:rsid w:val="007F7D56"/>
    <w:rsid w:val="00800159"/>
    <w:rsid w:val="00801041"/>
    <w:rsid w:val="008012A1"/>
    <w:rsid w:val="00802826"/>
    <w:rsid w:val="00802AA3"/>
    <w:rsid w:val="00802FB5"/>
    <w:rsid w:val="008031EF"/>
    <w:rsid w:val="00803C31"/>
    <w:rsid w:val="00803DFF"/>
    <w:rsid w:val="00803ECD"/>
    <w:rsid w:val="00804C74"/>
    <w:rsid w:val="00805A88"/>
    <w:rsid w:val="00805CEF"/>
    <w:rsid w:val="008067ED"/>
    <w:rsid w:val="00806B1C"/>
    <w:rsid w:val="00810042"/>
    <w:rsid w:val="00810DD6"/>
    <w:rsid w:val="00811369"/>
    <w:rsid w:val="008117B1"/>
    <w:rsid w:val="00811F5A"/>
    <w:rsid w:val="00812130"/>
    <w:rsid w:val="008123DA"/>
    <w:rsid w:val="0081244F"/>
    <w:rsid w:val="0081254F"/>
    <w:rsid w:val="0081273E"/>
    <w:rsid w:val="008128E4"/>
    <w:rsid w:val="00812F6C"/>
    <w:rsid w:val="00813339"/>
    <w:rsid w:val="008136AB"/>
    <w:rsid w:val="00813FEE"/>
    <w:rsid w:val="0081410B"/>
    <w:rsid w:val="00814528"/>
    <w:rsid w:val="00814B40"/>
    <w:rsid w:val="00817111"/>
    <w:rsid w:val="00817418"/>
    <w:rsid w:val="008175FC"/>
    <w:rsid w:val="00817E0E"/>
    <w:rsid w:val="00817E2F"/>
    <w:rsid w:val="00820230"/>
    <w:rsid w:val="008206A4"/>
    <w:rsid w:val="008206D6"/>
    <w:rsid w:val="00820A24"/>
    <w:rsid w:val="008216AB"/>
    <w:rsid w:val="00821B71"/>
    <w:rsid w:val="00822067"/>
    <w:rsid w:val="008224B1"/>
    <w:rsid w:val="008235E9"/>
    <w:rsid w:val="0082363B"/>
    <w:rsid w:val="00824911"/>
    <w:rsid w:val="00824A86"/>
    <w:rsid w:val="00824AB2"/>
    <w:rsid w:val="00824EFD"/>
    <w:rsid w:val="00825484"/>
    <w:rsid w:val="00826B25"/>
    <w:rsid w:val="00827318"/>
    <w:rsid w:val="008309C2"/>
    <w:rsid w:val="00830C55"/>
    <w:rsid w:val="00830D27"/>
    <w:rsid w:val="00831707"/>
    <w:rsid w:val="00832DAD"/>
    <w:rsid w:val="00833234"/>
    <w:rsid w:val="00833354"/>
    <w:rsid w:val="00833CBA"/>
    <w:rsid w:val="0083432E"/>
    <w:rsid w:val="00834B33"/>
    <w:rsid w:val="0083537A"/>
    <w:rsid w:val="008353B9"/>
    <w:rsid w:val="0083549F"/>
    <w:rsid w:val="00835745"/>
    <w:rsid w:val="0083577D"/>
    <w:rsid w:val="00836763"/>
    <w:rsid w:val="00836958"/>
    <w:rsid w:val="00836EFF"/>
    <w:rsid w:val="00837046"/>
    <w:rsid w:val="00837773"/>
    <w:rsid w:val="00837984"/>
    <w:rsid w:val="00837C2E"/>
    <w:rsid w:val="00837C88"/>
    <w:rsid w:val="00837FF0"/>
    <w:rsid w:val="008400FF"/>
    <w:rsid w:val="00841405"/>
    <w:rsid w:val="00841459"/>
    <w:rsid w:val="00841906"/>
    <w:rsid w:val="008419C9"/>
    <w:rsid w:val="00841A1A"/>
    <w:rsid w:val="00842ADC"/>
    <w:rsid w:val="008431DB"/>
    <w:rsid w:val="008445CB"/>
    <w:rsid w:val="00844CC1"/>
    <w:rsid w:val="0084547B"/>
    <w:rsid w:val="008455C9"/>
    <w:rsid w:val="008462D1"/>
    <w:rsid w:val="0084640A"/>
    <w:rsid w:val="0084652D"/>
    <w:rsid w:val="00846DE6"/>
    <w:rsid w:val="00847D88"/>
    <w:rsid w:val="0085046B"/>
    <w:rsid w:val="00851797"/>
    <w:rsid w:val="00851A4F"/>
    <w:rsid w:val="00852262"/>
    <w:rsid w:val="0085314E"/>
    <w:rsid w:val="0085337C"/>
    <w:rsid w:val="00853F16"/>
    <w:rsid w:val="00854394"/>
    <w:rsid w:val="008546C6"/>
    <w:rsid w:val="0085495D"/>
    <w:rsid w:val="00854DFB"/>
    <w:rsid w:val="00855BCA"/>
    <w:rsid w:val="00856581"/>
    <w:rsid w:val="00856EF6"/>
    <w:rsid w:val="008571D4"/>
    <w:rsid w:val="008575A9"/>
    <w:rsid w:val="00860085"/>
    <w:rsid w:val="00860891"/>
    <w:rsid w:val="00860F61"/>
    <w:rsid w:val="0086116F"/>
    <w:rsid w:val="00861F49"/>
    <w:rsid w:val="008628BD"/>
    <w:rsid w:val="008629EB"/>
    <w:rsid w:val="0086384D"/>
    <w:rsid w:val="00865039"/>
    <w:rsid w:val="00865963"/>
    <w:rsid w:val="008661E7"/>
    <w:rsid w:val="0086690E"/>
    <w:rsid w:val="0086700B"/>
    <w:rsid w:val="00867F0F"/>
    <w:rsid w:val="008703A7"/>
    <w:rsid w:val="00870570"/>
    <w:rsid w:val="00870675"/>
    <w:rsid w:val="00870F01"/>
    <w:rsid w:val="008727D4"/>
    <w:rsid w:val="0087317E"/>
    <w:rsid w:val="0087404A"/>
    <w:rsid w:val="00874D5E"/>
    <w:rsid w:val="0087545B"/>
    <w:rsid w:val="008755CE"/>
    <w:rsid w:val="00876459"/>
    <w:rsid w:val="00876A03"/>
    <w:rsid w:val="00876DEB"/>
    <w:rsid w:val="0087738C"/>
    <w:rsid w:val="008773FA"/>
    <w:rsid w:val="00877E87"/>
    <w:rsid w:val="00880191"/>
    <w:rsid w:val="00880F76"/>
    <w:rsid w:val="00881B23"/>
    <w:rsid w:val="00881BAB"/>
    <w:rsid w:val="00881C87"/>
    <w:rsid w:val="00881DAE"/>
    <w:rsid w:val="0088239B"/>
    <w:rsid w:val="00882CFA"/>
    <w:rsid w:val="00883020"/>
    <w:rsid w:val="008836BF"/>
    <w:rsid w:val="00883A6A"/>
    <w:rsid w:val="00883AB8"/>
    <w:rsid w:val="0088439F"/>
    <w:rsid w:val="008846E5"/>
    <w:rsid w:val="00884813"/>
    <w:rsid w:val="00884BFC"/>
    <w:rsid w:val="00884FA0"/>
    <w:rsid w:val="008853A4"/>
    <w:rsid w:val="0088552A"/>
    <w:rsid w:val="00885724"/>
    <w:rsid w:val="008861AA"/>
    <w:rsid w:val="008865A6"/>
    <w:rsid w:val="008867AC"/>
    <w:rsid w:val="00886B4F"/>
    <w:rsid w:val="00887746"/>
    <w:rsid w:val="00887792"/>
    <w:rsid w:val="00887AF8"/>
    <w:rsid w:val="00887DD8"/>
    <w:rsid w:val="008901DB"/>
    <w:rsid w:val="00890385"/>
    <w:rsid w:val="00890E41"/>
    <w:rsid w:val="00890E85"/>
    <w:rsid w:val="00890EC4"/>
    <w:rsid w:val="00891107"/>
    <w:rsid w:val="008929A5"/>
    <w:rsid w:val="008933F7"/>
    <w:rsid w:val="00893BFD"/>
    <w:rsid w:val="00894C58"/>
    <w:rsid w:val="00894D38"/>
    <w:rsid w:val="0089513F"/>
    <w:rsid w:val="00895BA7"/>
    <w:rsid w:val="00896312"/>
    <w:rsid w:val="00897308"/>
    <w:rsid w:val="008A04FB"/>
    <w:rsid w:val="008A0DAF"/>
    <w:rsid w:val="008A0DFF"/>
    <w:rsid w:val="008A0EB2"/>
    <w:rsid w:val="008A1191"/>
    <w:rsid w:val="008A1221"/>
    <w:rsid w:val="008A21AA"/>
    <w:rsid w:val="008A2241"/>
    <w:rsid w:val="008A2B51"/>
    <w:rsid w:val="008A3294"/>
    <w:rsid w:val="008A3410"/>
    <w:rsid w:val="008A3688"/>
    <w:rsid w:val="008A3AED"/>
    <w:rsid w:val="008A3DCB"/>
    <w:rsid w:val="008A3F4A"/>
    <w:rsid w:val="008A4C46"/>
    <w:rsid w:val="008A4C51"/>
    <w:rsid w:val="008A4E3D"/>
    <w:rsid w:val="008A56AD"/>
    <w:rsid w:val="008A6450"/>
    <w:rsid w:val="008A6AA9"/>
    <w:rsid w:val="008A7FFC"/>
    <w:rsid w:val="008B0F45"/>
    <w:rsid w:val="008B1006"/>
    <w:rsid w:val="008B1C97"/>
    <w:rsid w:val="008B2992"/>
    <w:rsid w:val="008B2C45"/>
    <w:rsid w:val="008B3AB1"/>
    <w:rsid w:val="008B43C1"/>
    <w:rsid w:val="008B4CAD"/>
    <w:rsid w:val="008B50B3"/>
    <w:rsid w:val="008B5459"/>
    <w:rsid w:val="008B56E9"/>
    <w:rsid w:val="008B592B"/>
    <w:rsid w:val="008B6DD8"/>
    <w:rsid w:val="008B7134"/>
    <w:rsid w:val="008C0503"/>
    <w:rsid w:val="008C0D35"/>
    <w:rsid w:val="008C0DF8"/>
    <w:rsid w:val="008C157E"/>
    <w:rsid w:val="008C1917"/>
    <w:rsid w:val="008C1AAF"/>
    <w:rsid w:val="008C237C"/>
    <w:rsid w:val="008C249A"/>
    <w:rsid w:val="008C28A7"/>
    <w:rsid w:val="008C2A1F"/>
    <w:rsid w:val="008C302F"/>
    <w:rsid w:val="008C323D"/>
    <w:rsid w:val="008C341D"/>
    <w:rsid w:val="008C3654"/>
    <w:rsid w:val="008C3834"/>
    <w:rsid w:val="008C3E70"/>
    <w:rsid w:val="008C4776"/>
    <w:rsid w:val="008C4A13"/>
    <w:rsid w:val="008C4D50"/>
    <w:rsid w:val="008C526D"/>
    <w:rsid w:val="008C60AC"/>
    <w:rsid w:val="008C6B88"/>
    <w:rsid w:val="008C6E35"/>
    <w:rsid w:val="008C6ECF"/>
    <w:rsid w:val="008D0941"/>
    <w:rsid w:val="008D0C25"/>
    <w:rsid w:val="008D3365"/>
    <w:rsid w:val="008D3591"/>
    <w:rsid w:val="008D3B85"/>
    <w:rsid w:val="008D4BFC"/>
    <w:rsid w:val="008D734C"/>
    <w:rsid w:val="008D7B14"/>
    <w:rsid w:val="008E0031"/>
    <w:rsid w:val="008E0CB0"/>
    <w:rsid w:val="008E1239"/>
    <w:rsid w:val="008E2176"/>
    <w:rsid w:val="008E2322"/>
    <w:rsid w:val="008E3354"/>
    <w:rsid w:val="008E3375"/>
    <w:rsid w:val="008E4CFF"/>
    <w:rsid w:val="008E5537"/>
    <w:rsid w:val="008E5888"/>
    <w:rsid w:val="008E59CF"/>
    <w:rsid w:val="008E5EF4"/>
    <w:rsid w:val="008E62A3"/>
    <w:rsid w:val="008E62BE"/>
    <w:rsid w:val="008E6CF5"/>
    <w:rsid w:val="008F0193"/>
    <w:rsid w:val="008F0E7D"/>
    <w:rsid w:val="008F11D7"/>
    <w:rsid w:val="008F1322"/>
    <w:rsid w:val="008F140C"/>
    <w:rsid w:val="008F1B2F"/>
    <w:rsid w:val="008F1B9B"/>
    <w:rsid w:val="008F1FA0"/>
    <w:rsid w:val="008F2814"/>
    <w:rsid w:val="008F2A9F"/>
    <w:rsid w:val="008F4091"/>
    <w:rsid w:val="008F42B0"/>
    <w:rsid w:val="008F463C"/>
    <w:rsid w:val="008F4A3D"/>
    <w:rsid w:val="008F5129"/>
    <w:rsid w:val="008F56A7"/>
    <w:rsid w:val="008F5ACF"/>
    <w:rsid w:val="008F5B14"/>
    <w:rsid w:val="008F7779"/>
    <w:rsid w:val="008F7A85"/>
    <w:rsid w:val="009002EB"/>
    <w:rsid w:val="009004A8"/>
    <w:rsid w:val="00900D3C"/>
    <w:rsid w:val="009016D3"/>
    <w:rsid w:val="00901A13"/>
    <w:rsid w:val="00901CEE"/>
    <w:rsid w:val="009023F8"/>
    <w:rsid w:val="00902717"/>
    <w:rsid w:val="00902973"/>
    <w:rsid w:val="00902BA7"/>
    <w:rsid w:val="00902BFE"/>
    <w:rsid w:val="00902E04"/>
    <w:rsid w:val="0090458D"/>
    <w:rsid w:val="00904C6D"/>
    <w:rsid w:val="00905A9C"/>
    <w:rsid w:val="00905D4C"/>
    <w:rsid w:val="00906D86"/>
    <w:rsid w:val="009072F7"/>
    <w:rsid w:val="009075AE"/>
    <w:rsid w:val="00907A5C"/>
    <w:rsid w:val="0091103B"/>
    <w:rsid w:val="0091255F"/>
    <w:rsid w:val="009125BA"/>
    <w:rsid w:val="009125F8"/>
    <w:rsid w:val="00912AD6"/>
    <w:rsid w:val="00913214"/>
    <w:rsid w:val="0091321B"/>
    <w:rsid w:val="0091418F"/>
    <w:rsid w:val="00914B60"/>
    <w:rsid w:val="0091647F"/>
    <w:rsid w:val="009170C1"/>
    <w:rsid w:val="00917DE6"/>
    <w:rsid w:val="00917F7F"/>
    <w:rsid w:val="00920110"/>
    <w:rsid w:val="009214B1"/>
    <w:rsid w:val="00921516"/>
    <w:rsid w:val="00921645"/>
    <w:rsid w:val="00922AB5"/>
    <w:rsid w:val="00923C51"/>
    <w:rsid w:val="00923D8B"/>
    <w:rsid w:val="00924129"/>
    <w:rsid w:val="009242E0"/>
    <w:rsid w:val="0092453B"/>
    <w:rsid w:val="00924A98"/>
    <w:rsid w:val="00924B40"/>
    <w:rsid w:val="00924BBD"/>
    <w:rsid w:val="00924D2C"/>
    <w:rsid w:val="00925AC4"/>
    <w:rsid w:val="009260E7"/>
    <w:rsid w:val="009261CB"/>
    <w:rsid w:val="00927726"/>
    <w:rsid w:val="0093054A"/>
    <w:rsid w:val="009305A7"/>
    <w:rsid w:val="009306B5"/>
    <w:rsid w:val="00930DF4"/>
    <w:rsid w:val="009312D8"/>
    <w:rsid w:val="009328D8"/>
    <w:rsid w:val="00932DD4"/>
    <w:rsid w:val="00933332"/>
    <w:rsid w:val="009333F3"/>
    <w:rsid w:val="00933552"/>
    <w:rsid w:val="009335D8"/>
    <w:rsid w:val="009338B2"/>
    <w:rsid w:val="00934360"/>
    <w:rsid w:val="00934A20"/>
    <w:rsid w:val="00934CB1"/>
    <w:rsid w:val="00935335"/>
    <w:rsid w:val="00935E3C"/>
    <w:rsid w:val="00936568"/>
    <w:rsid w:val="00936BF3"/>
    <w:rsid w:val="00936F7F"/>
    <w:rsid w:val="0093773F"/>
    <w:rsid w:val="00940F4A"/>
    <w:rsid w:val="009410A9"/>
    <w:rsid w:val="00941150"/>
    <w:rsid w:val="00941629"/>
    <w:rsid w:val="00941C80"/>
    <w:rsid w:val="009428EF"/>
    <w:rsid w:val="00942A3F"/>
    <w:rsid w:val="00942BD1"/>
    <w:rsid w:val="00942CC4"/>
    <w:rsid w:val="00942F17"/>
    <w:rsid w:val="00943550"/>
    <w:rsid w:val="009441C2"/>
    <w:rsid w:val="00944240"/>
    <w:rsid w:val="009442A5"/>
    <w:rsid w:val="009445C9"/>
    <w:rsid w:val="00944BAB"/>
    <w:rsid w:val="00944D7E"/>
    <w:rsid w:val="00945659"/>
    <w:rsid w:val="009459F1"/>
    <w:rsid w:val="00945FCB"/>
    <w:rsid w:val="009464E1"/>
    <w:rsid w:val="00946AF3"/>
    <w:rsid w:val="00946CC3"/>
    <w:rsid w:val="00946F1E"/>
    <w:rsid w:val="0095005E"/>
    <w:rsid w:val="00950838"/>
    <w:rsid w:val="00950B05"/>
    <w:rsid w:val="00951355"/>
    <w:rsid w:val="00951E4A"/>
    <w:rsid w:val="0095201C"/>
    <w:rsid w:val="009529DC"/>
    <w:rsid w:val="0095389E"/>
    <w:rsid w:val="00953948"/>
    <w:rsid w:val="00953EA5"/>
    <w:rsid w:val="00953F40"/>
    <w:rsid w:val="00953FBF"/>
    <w:rsid w:val="00954299"/>
    <w:rsid w:val="00954E11"/>
    <w:rsid w:val="00955A20"/>
    <w:rsid w:val="00955E16"/>
    <w:rsid w:val="00956A57"/>
    <w:rsid w:val="009600B7"/>
    <w:rsid w:val="0096031F"/>
    <w:rsid w:val="009609B8"/>
    <w:rsid w:val="00960D34"/>
    <w:rsid w:val="00960EBE"/>
    <w:rsid w:val="009614E4"/>
    <w:rsid w:val="00961C14"/>
    <w:rsid w:val="00961CE5"/>
    <w:rsid w:val="00961DAB"/>
    <w:rsid w:val="0096255D"/>
    <w:rsid w:val="009625E0"/>
    <w:rsid w:val="00962639"/>
    <w:rsid w:val="0096299D"/>
    <w:rsid w:val="00962C06"/>
    <w:rsid w:val="00962F73"/>
    <w:rsid w:val="0096356C"/>
    <w:rsid w:val="00963965"/>
    <w:rsid w:val="00964796"/>
    <w:rsid w:val="00964C3A"/>
    <w:rsid w:val="00964FAF"/>
    <w:rsid w:val="00964FFA"/>
    <w:rsid w:val="0096671C"/>
    <w:rsid w:val="009669AD"/>
    <w:rsid w:val="00966A3D"/>
    <w:rsid w:val="00966AFB"/>
    <w:rsid w:val="00966C64"/>
    <w:rsid w:val="00967290"/>
    <w:rsid w:val="00967661"/>
    <w:rsid w:val="00970A74"/>
    <w:rsid w:val="00970C52"/>
    <w:rsid w:val="00974C7A"/>
    <w:rsid w:val="0097552D"/>
    <w:rsid w:val="00976AB1"/>
    <w:rsid w:val="00976B35"/>
    <w:rsid w:val="0097700D"/>
    <w:rsid w:val="00977AD0"/>
    <w:rsid w:val="009813CB"/>
    <w:rsid w:val="00981567"/>
    <w:rsid w:val="00981578"/>
    <w:rsid w:val="00981F0E"/>
    <w:rsid w:val="00982730"/>
    <w:rsid w:val="0098281E"/>
    <w:rsid w:val="00982909"/>
    <w:rsid w:val="00982E75"/>
    <w:rsid w:val="00982EC2"/>
    <w:rsid w:val="00983708"/>
    <w:rsid w:val="009842DA"/>
    <w:rsid w:val="0098447E"/>
    <w:rsid w:val="009855D9"/>
    <w:rsid w:val="00985C6C"/>
    <w:rsid w:val="00985F22"/>
    <w:rsid w:val="00986430"/>
    <w:rsid w:val="00987888"/>
    <w:rsid w:val="009879F9"/>
    <w:rsid w:val="009901B3"/>
    <w:rsid w:val="009903CB"/>
    <w:rsid w:val="00990602"/>
    <w:rsid w:val="00990891"/>
    <w:rsid w:val="00990894"/>
    <w:rsid w:val="00990A30"/>
    <w:rsid w:val="00991494"/>
    <w:rsid w:val="0099184A"/>
    <w:rsid w:val="00991E72"/>
    <w:rsid w:val="0099264A"/>
    <w:rsid w:val="00992733"/>
    <w:rsid w:val="00992DE4"/>
    <w:rsid w:val="0099398F"/>
    <w:rsid w:val="00993D55"/>
    <w:rsid w:val="009942D6"/>
    <w:rsid w:val="00994D6F"/>
    <w:rsid w:val="009950B3"/>
    <w:rsid w:val="00995207"/>
    <w:rsid w:val="00995311"/>
    <w:rsid w:val="00995326"/>
    <w:rsid w:val="00995A79"/>
    <w:rsid w:val="009965DE"/>
    <w:rsid w:val="009966CC"/>
    <w:rsid w:val="009A0A42"/>
    <w:rsid w:val="009A151E"/>
    <w:rsid w:val="009A1859"/>
    <w:rsid w:val="009A275E"/>
    <w:rsid w:val="009A297F"/>
    <w:rsid w:val="009A2A17"/>
    <w:rsid w:val="009A33CD"/>
    <w:rsid w:val="009A48A9"/>
    <w:rsid w:val="009A545B"/>
    <w:rsid w:val="009A551D"/>
    <w:rsid w:val="009A68D6"/>
    <w:rsid w:val="009A7617"/>
    <w:rsid w:val="009A7C17"/>
    <w:rsid w:val="009A7C5A"/>
    <w:rsid w:val="009A7F01"/>
    <w:rsid w:val="009B0A54"/>
    <w:rsid w:val="009B1959"/>
    <w:rsid w:val="009B1DE8"/>
    <w:rsid w:val="009B2453"/>
    <w:rsid w:val="009B2609"/>
    <w:rsid w:val="009B308E"/>
    <w:rsid w:val="009B3304"/>
    <w:rsid w:val="009B3718"/>
    <w:rsid w:val="009B44E4"/>
    <w:rsid w:val="009B4A83"/>
    <w:rsid w:val="009B5998"/>
    <w:rsid w:val="009B59C6"/>
    <w:rsid w:val="009B5C36"/>
    <w:rsid w:val="009B5E9C"/>
    <w:rsid w:val="009B6F5C"/>
    <w:rsid w:val="009B784A"/>
    <w:rsid w:val="009B7E62"/>
    <w:rsid w:val="009C0285"/>
    <w:rsid w:val="009C0FCF"/>
    <w:rsid w:val="009C1577"/>
    <w:rsid w:val="009C1725"/>
    <w:rsid w:val="009C198C"/>
    <w:rsid w:val="009C1D45"/>
    <w:rsid w:val="009C2D96"/>
    <w:rsid w:val="009C3318"/>
    <w:rsid w:val="009C39B9"/>
    <w:rsid w:val="009C489C"/>
    <w:rsid w:val="009C4D65"/>
    <w:rsid w:val="009C5305"/>
    <w:rsid w:val="009C54A9"/>
    <w:rsid w:val="009C586E"/>
    <w:rsid w:val="009C58B0"/>
    <w:rsid w:val="009C5EDA"/>
    <w:rsid w:val="009C5EFB"/>
    <w:rsid w:val="009C6B6E"/>
    <w:rsid w:val="009D033E"/>
    <w:rsid w:val="009D04FC"/>
    <w:rsid w:val="009D069F"/>
    <w:rsid w:val="009D0749"/>
    <w:rsid w:val="009D0D52"/>
    <w:rsid w:val="009D1023"/>
    <w:rsid w:val="009D109D"/>
    <w:rsid w:val="009D119D"/>
    <w:rsid w:val="009D13FD"/>
    <w:rsid w:val="009D1441"/>
    <w:rsid w:val="009D17EA"/>
    <w:rsid w:val="009D192C"/>
    <w:rsid w:val="009D1EE0"/>
    <w:rsid w:val="009D1F26"/>
    <w:rsid w:val="009D2147"/>
    <w:rsid w:val="009D2AB8"/>
    <w:rsid w:val="009D2CCB"/>
    <w:rsid w:val="009D44A2"/>
    <w:rsid w:val="009D456D"/>
    <w:rsid w:val="009D46A3"/>
    <w:rsid w:val="009D49D9"/>
    <w:rsid w:val="009D4B16"/>
    <w:rsid w:val="009D5184"/>
    <w:rsid w:val="009D527A"/>
    <w:rsid w:val="009D5BAB"/>
    <w:rsid w:val="009D65BC"/>
    <w:rsid w:val="009D67CF"/>
    <w:rsid w:val="009D67F2"/>
    <w:rsid w:val="009D7618"/>
    <w:rsid w:val="009D771B"/>
    <w:rsid w:val="009D7D75"/>
    <w:rsid w:val="009E02A4"/>
    <w:rsid w:val="009E06A6"/>
    <w:rsid w:val="009E0A5A"/>
    <w:rsid w:val="009E1B3B"/>
    <w:rsid w:val="009E1C56"/>
    <w:rsid w:val="009E20D2"/>
    <w:rsid w:val="009E2426"/>
    <w:rsid w:val="009E28F9"/>
    <w:rsid w:val="009E2BD9"/>
    <w:rsid w:val="009E327B"/>
    <w:rsid w:val="009E376B"/>
    <w:rsid w:val="009E38CF"/>
    <w:rsid w:val="009E3953"/>
    <w:rsid w:val="009E4947"/>
    <w:rsid w:val="009E4C85"/>
    <w:rsid w:val="009E4DE5"/>
    <w:rsid w:val="009E5013"/>
    <w:rsid w:val="009E5056"/>
    <w:rsid w:val="009E5570"/>
    <w:rsid w:val="009E5FC3"/>
    <w:rsid w:val="009E5FD5"/>
    <w:rsid w:val="009E73AA"/>
    <w:rsid w:val="009F07F5"/>
    <w:rsid w:val="009F0F66"/>
    <w:rsid w:val="009F1215"/>
    <w:rsid w:val="009F3D59"/>
    <w:rsid w:val="009F3E69"/>
    <w:rsid w:val="009F434A"/>
    <w:rsid w:val="009F4BED"/>
    <w:rsid w:val="009F50B1"/>
    <w:rsid w:val="009F52BF"/>
    <w:rsid w:val="009F540D"/>
    <w:rsid w:val="009F736B"/>
    <w:rsid w:val="00A00364"/>
    <w:rsid w:val="00A00753"/>
    <w:rsid w:val="00A00981"/>
    <w:rsid w:val="00A0287C"/>
    <w:rsid w:val="00A02ADE"/>
    <w:rsid w:val="00A02C2C"/>
    <w:rsid w:val="00A02DE1"/>
    <w:rsid w:val="00A0336D"/>
    <w:rsid w:val="00A03722"/>
    <w:rsid w:val="00A04C07"/>
    <w:rsid w:val="00A04DD4"/>
    <w:rsid w:val="00A04E4C"/>
    <w:rsid w:val="00A04EE8"/>
    <w:rsid w:val="00A04FEE"/>
    <w:rsid w:val="00A051E8"/>
    <w:rsid w:val="00A057B8"/>
    <w:rsid w:val="00A05D60"/>
    <w:rsid w:val="00A061B8"/>
    <w:rsid w:val="00A06322"/>
    <w:rsid w:val="00A06493"/>
    <w:rsid w:val="00A06826"/>
    <w:rsid w:val="00A069C4"/>
    <w:rsid w:val="00A06B57"/>
    <w:rsid w:val="00A06DC1"/>
    <w:rsid w:val="00A06F9C"/>
    <w:rsid w:val="00A07785"/>
    <w:rsid w:val="00A07803"/>
    <w:rsid w:val="00A07C66"/>
    <w:rsid w:val="00A10DBB"/>
    <w:rsid w:val="00A11441"/>
    <w:rsid w:val="00A11678"/>
    <w:rsid w:val="00A12278"/>
    <w:rsid w:val="00A126F4"/>
    <w:rsid w:val="00A129C2"/>
    <w:rsid w:val="00A12A29"/>
    <w:rsid w:val="00A12E6A"/>
    <w:rsid w:val="00A13389"/>
    <w:rsid w:val="00A137E6"/>
    <w:rsid w:val="00A13972"/>
    <w:rsid w:val="00A13BFA"/>
    <w:rsid w:val="00A13FDB"/>
    <w:rsid w:val="00A14CCA"/>
    <w:rsid w:val="00A15021"/>
    <w:rsid w:val="00A15E93"/>
    <w:rsid w:val="00A16A98"/>
    <w:rsid w:val="00A1724A"/>
    <w:rsid w:val="00A17507"/>
    <w:rsid w:val="00A17942"/>
    <w:rsid w:val="00A17E5A"/>
    <w:rsid w:val="00A204D2"/>
    <w:rsid w:val="00A20987"/>
    <w:rsid w:val="00A2116F"/>
    <w:rsid w:val="00A21440"/>
    <w:rsid w:val="00A21C4F"/>
    <w:rsid w:val="00A222E8"/>
    <w:rsid w:val="00A226F6"/>
    <w:rsid w:val="00A229DB"/>
    <w:rsid w:val="00A22BE5"/>
    <w:rsid w:val="00A23A77"/>
    <w:rsid w:val="00A2447D"/>
    <w:rsid w:val="00A245C6"/>
    <w:rsid w:val="00A24A30"/>
    <w:rsid w:val="00A24CA2"/>
    <w:rsid w:val="00A24E27"/>
    <w:rsid w:val="00A250A6"/>
    <w:rsid w:val="00A25596"/>
    <w:rsid w:val="00A25BDE"/>
    <w:rsid w:val="00A261D8"/>
    <w:rsid w:val="00A26317"/>
    <w:rsid w:val="00A269F8"/>
    <w:rsid w:val="00A26B3D"/>
    <w:rsid w:val="00A26C35"/>
    <w:rsid w:val="00A26DE8"/>
    <w:rsid w:val="00A27FAD"/>
    <w:rsid w:val="00A3035E"/>
    <w:rsid w:val="00A30387"/>
    <w:rsid w:val="00A30868"/>
    <w:rsid w:val="00A308E9"/>
    <w:rsid w:val="00A30BBA"/>
    <w:rsid w:val="00A30C8F"/>
    <w:rsid w:val="00A30D3C"/>
    <w:rsid w:val="00A30DAD"/>
    <w:rsid w:val="00A31089"/>
    <w:rsid w:val="00A311B6"/>
    <w:rsid w:val="00A31E82"/>
    <w:rsid w:val="00A3204A"/>
    <w:rsid w:val="00A32525"/>
    <w:rsid w:val="00A3306B"/>
    <w:rsid w:val="00A33F9C"/>
    <w:rsid w:val="00A34AC4"/>
    <w:rsid w:val="00A34C3E"/>
    <w:rsid w:val="00A351B1"/>
    <w:rsid w:val="00A35249"/>
    <w:rsid w:val="00A359AE"/>
    <w:rsid w:val="00A35C22"/>
    <w:rsid w:val="00A35CA6"/>
    <w:rsid w:val="00A35F44"/>
    <w:rsid w:val="00A35F65"/>
    <w:rsid w:val="00A36219"/>
    <w:rsid w:val="00A362D6"/>
    <w:rsid w:val="00A369DF"/>
    <w:rsid w:val="00A372DD"/>
    <w:rsid w:val="00A3741B"/>
    <w:rsid w:val="00A37767"/>
    <w:rsid w:val="00A37B9A"/>
    <w:rsid w:val="00A402F6"/>
    <w:rsid w:val="00A4036F"/>
    <w:rsid w:val="00A405D8"/>
    <w:rsid w:val="00A40CCC"/>
    <w:rsid w:val="00A42A24"/>
    <w:rsid w:val="00A43382"/>
    <w:rsid w:val="00A437E2"/>
    <w:rsid w:val="00A43DC3"/>
    <w:rsid w:val="00A44A92"/>
    <w:rsid w:val="00A44F62"/>
    <w:rsid w:val="00A459C8"/>
    <w:rsid w:val="00A464BF"/>
    <w:rsid w:val="00A469B0"/>
    <w:rsid w:val="00A46F4C"/>
    <w:rsid w:val="00A477B8"/>
    <w:rsid w:val="00A500E5"/>
    <w:rsid w:val="00A5010B"/>
    <w:rsid w:val="00A501B5"/>
    <w:rsid w:val="00A502E0"/>
    <w:rsid w:val="00A50523"/>
    <w:rsid w:val="00A508FC"/>
    <w:rsid w:val="00A5095C"/>
    <w:rsid w:val="00A511B4"/>
    <w:rsid w:val="00A5197A"/>
    <w:rsid w:val="00A51C0C"/>
    <w:rsid w:val="00A52739"/>
    <w:rsid w:val="00A52F84"/>
    <w:rsid w:val="00A531C5"/>
    <w:rsid w:val="00A53219"/>
    <w:rsid w:val="00A5325B"/>
    <w:rsid w:val="00A534F9"/>
    <w:rsid w:val="00A5375A"/>
    <w:rsid w:val="00A54624"/>
    <w:rsid w:val="00A54AB7"/>
    <w:rsid w:val="00A54D2F"/>
    <w:rsid w:val="00A54F00"/>
    <w:rsid w:val="00A55189"/>
    <w:rsid w:val="00A559CA"/>
    <w:rsid w:val="00A55FB5"/>
    <w:rsid w:val="00A56B5C"/>
    <w:rsid w:val="00A56B77"/>
    <w:rsid w:val="00A56E93"/>
    <w:rsid w:val="00A57035"/>
    <w:rsid w:val="00A57046"/>
    <w:rsid w:val="00A5709F"/>
    <w:rsid w:val="00A57142"/>
    <w:rsid w:val="00A57411"/>
    <w:rsid w:val="00A602B0"/>
    <w:rsid w:val="00A60A49"/>
    <w:rsid w:val="00A61E17"/>
    <w:rsid w:val="00A61F31"/>
    <w:rsid w:val="00A62360"/>
    <w:rsid w:val="00A62B63"/>
    <w:rsid w:val="00A62DA9"/>
    <w:rsid w:val="00A64CFE"/>
    <w:rsid w:val="00A65BF1"/>
    <w:rsid w:val="00A671AB"/>
    <w:rsid w:val="00A672DB"/>
    <w:rsid w:val="00A67720"/>
    <w:rsid w:val="00A67CAE"/>
    <w:rsid w:val="00A67E3B"/>
    <w:rsid w:val="00A714D1"/>
    <w:rsid w:val="00A7168E"/>
    <w:rsid w:val="00A72047"/>
    <w:rsid w:val="00A72DEE"/>
    <w:rsid w:val="00A73D71"/>
    <w:rsid w:val="00A74826"/>
    <w:rsid w:val="00A74A98"/>
    <w:rsid w:val="00A769FB"/>
    <w:rsid w:val="00A76F47"/>
    <w:rsid w:val="00A77E37"/>
    <w:rsid w:val="00A8023D"/>
    <w:rsid w:val="00A8073C"/>
    <w:rsid w:val="00A80FC3"/>
    <w:rsid w:val="00A81283"/>
    <w:rsid w:val="00A81BC4"/>
    <w:rsid w:val="00A8253B"/>
    <w:rsid w:val="00A8271D"/>
    <w:rsid w:val="00A83693"/>
    <w:rsid w:val="00A83920"/>
    <w:rsid w:val="00A83AD0"/>
    <w:rsid w:val="00A84904"/>
    <w:rsid w:val="00A85ED6"/>
    <w:rsid w:val="00A86382"/>
    <w:rsid w:val="00A873A1"/>
    <w:rsid w:val="00A8740E"/>
    <w:rsid w:val="00A87C08"/>
    <w:rsid w:val="00A900B6"/>
    <w:rsid w:val="00A90279"/>
    <w:rsid w:val="00A905BA"/>
    <w:rsid w:val="00A90A96"/>
    <w:rsid w:val="00A91150"/>
    <w:rsid w:val="00A91211"/>
    <w:rsid w:val="00A91C65"/>
    <w:rsid w:val="00A92868"/>
    <w:rsid w:val="00A92CE9"/>
    <w:rsid w:val="00A93D26"/>
    <w:rsid w:val="00A9442D"/>
    <w:rsid w:val="00A94DAF"/>
    <w:rsid w:val="00A951E5"/>
    <w:rsid w:val="00A9535E"/>
    <w:rsid w:val="00A954CE"/>
    <w:rsid w:val="00A957C5"/>
    <w:rsid w:val="00A95BFB"/>
    <w:rsid w:val="00A962EF"/>
    <w:rsid w:val="00A97441"/>
    <w:rsid w:val="00A974BE"/>
    <w:rsid w:val="00A977A6"/>
    <w:rsid w:val="00A97F20"/>
    <w:rsid w:val="00AA04FF"/>
    <w:rsid w:val="00AA098F"/>
    <w:rsid w:val="00AA0A64"/>
    <w:rsid w:val="00AA0BA9"/>
    <w:rsid w:val="00AA1088"/>
    <w:rsid w:val="00AA1D56"/>
    <w:rsid w:val="00AA2921"/>
    <w:rsid w:val="00AA3FFF"/>
    <w:rsid w:val="00AA44F9"/>
    <w:rsid w:val="00AA4B23"/>
    <w:rsid w:val="00AA4DEC"/>
    <w:rsid w:val="00AA5C5E"/>
    <w:rsid w:val="00AA6DB7"/>
    <w:rsid w:val="00AA73F1"/>
    <w:rsid w:val="00AB0301"/>
    <w:rsid w:val="00AB0E28"/>
    <w:rsid w:val="00AB0F4D"/>
    <w:rsid w:val="00AB108A"/>
    <w:rsid w:val="00AB37D4"/>
    <w:rsid w:val="00AB4E13"/>
    <w:rsid w:val="00AB532B"/>
    <w:rsid w:val="00AB60E7"/>
    <w:rsid w:val="00AB6617"/>
    <w:rsid w:val="00AB6749"/>
    <w:rsid w:val="00AB6D1F"/>
    <w:rsid w:val="00AB74A2"/>
    <w:rsid w:val="00AB7985"/>
    <w:rsid w:val="00AB7C51"/>
    <w:rsid w:val="00AB7D76"/>
    <w:rsid w:val="00AC1990"/>
    <w:rsid w:val="00AC19DB"/>
    <w:rsid w:val="00AC3D8A"/>
    <w:rsid w:val="00AC4A0D"/>
    <w:rsid w:val="00AC5462"/>
    <w:rsid w:val="00AC571F"/>
    <w:rsid w:val="00AC612B"/>
    <w:rsid w:val="00AC615A"/>
    <w:rsid w:val="00AC668D"/>
    <w:rsid w:val="00AD0459"/>
    <w:rsid w:val="00AD07C9"/>
    <w:rsid w:val="00AD0A02"/>
    <w:rsid w:val="00AD2040"/>
    <w:rsid w:val="00AD2BA9"/>
    <w:rsid w:val="00AD2F2D"/>
    <w:rsid w:val="00AD31C4"/>
    <w:rsid w:val="00AD4C1B"/>
    <w:rsid w:val="00AD4FD1"/>
    <w:rsid w:val="00AD52FF"/>
    <w:rsid w:val="00AD531E"/>
    <w:rsid w:val="00AD57B4"/>
    <w:rsid w:val="00AD57B7"/>
    <w:rsid w:val="00AD672A"/>
    <w:rsid w:val="00AD7114"/>
    <w:rsid w:val="00AD72E6"/>
    <w:rsid w:val="00AE18F9"/>
    <w:rsid w:val="00AE1DB6"/>
    <w:rsid w:val="00AE2119"/>
    <w:rsid w:val="00AE3F05"/>
    <w:rsid w:val="00AE3F17"/>
    <w:rsid w:val="00AE461B"/>
    <w:rsid w:val="00AE4EE6"/>
    <w:rsid w:val="00AE54BC"/>
    <w:rsid w:val="00AE5A3F"/>
    <w:rsid w:val="00AE5DF6"/>
    <w:rsid w:val="00AE64CF"/>
    <w:rsid w:val="00AE7059"/>
    <w:rsid w:val="00AE7EA4"/>
    <w:rsid w:val="00AF06A5"/>
    <w:rsid w:val="00AF0AA0"/>
    <w:rsid w:val="00AF0DD8"/>
    <w:rsid w:val="00AF11AC"/>
    <w:rsid w:val="00AF16B1"/>
    <w:rsid w:val="00AF1ACF"/>
    <w:rsid w:val="00AF1FD7"/>
    <w:rsid w:val="00AF21A2"/>
    <w:rsid w:val="00AF22F4"/>
    <w:rsid w:val="00AF2315"/>
    <w:rsid w:val="00AF24C9"/>
    <w:rsid w:val="00AF2579"/>
    <w:rsid w:val="00AF2C0D"/>
    <w:rsid w:val="00AF312D"/>
    <w:rsid w:val="00AF31AB"/>
    <w:rsid w:val="00AF35FF"/>
    <w:rsid w:val="00AF3E6E"/>
    <w:rsid w:val="00AF3EAA"/>
    <w:rsid w:val="00AF41F3"/>
    <w:rsid w:val="00AF44C4"/>
    <w:rsid w:val="00AF4DE4"/>
    <w:rsid w:val="00AF5195"/>
    <w:rsid w:val="00AF64EE"/>
    <w:rsid w:val="00AF6AA8"/>
    <w:rsid w:val="00AF702E"/>
    <w:rsid w:val="00B01520"/>
    <w:rsid w:val="00B0339F"/>
    <w:rsid w:val="00B03F76"/>
    <w:rsid w:val="00B0414D"/>
    <w:rsid w:val="00B04765"/>
    <w:rsid w:val="00B04893"/>
    <w:rsid w:val="00B05079"/>
    <w:rsid w:val="00B057D1"/>
    <w:rsid w:val="00B05B00"/>
    <w:rsid w:val="00B06153"/>
    <w:rsid w:val="00B07506"/>
    <w:rsid w:val="00B078DF"/>
    <w:rsid w:val="00B10226"/>
    <w:rsid w:val="00B10942"/>
    <w:rsid w:val="00B10F8F"/>
    <w:rsid w:val="00B11075"/>
    <w:rsid w:val="00B113A3"/>
    <w:rsid w:val="00B1196A"/>
    <w:rsid w:val="00B11981"/>
    <w:rsid w:val="00B12CEA"/>
    <w:rsid w:val="00B12D22"/>
    <w:rsid w:val="00B1360F"/>
    <w:rsid w:val="00B1408A"/>
    <w:rsid w:val="00B14BC0"/>
    <w:rsid w:val="00B14F4D"/>
    <w:rsid w:val="00B152E7"/>
    <w:rsid w:val="00B15640"/>
    <w:rsid w:val="00B15D11"/>
    <w:rsid w:val="00B160F8"/>
    <w:rsid w:val="00B16919"/>
    <w:rsid w:val="00B16CE3"/>
    <w:rsid w:val="00B174B8"/>
    <w:rsid w:val="00B20115"/>
    <w:rsid w:val="00B20886"/>
    <w:rsid w:val="00B20969"/>
    <w:rsid w:val="00B20AD6"/>
    <w:rsid w:val="00B20B3A"/>
    <w:rsid w:val="00B20B9E"/>
    <w:rsid w:val="00B20FEA"/>
    <w:rsid w:val="00B214E1"/>
    <w:rsid w:val="00B2157F"/>
    <w:rsid w:val="00B21881"/>
    <w:rsid w:val="00B22C68"/>
    <w:rsid w:val="00B233E7"/>
    <w:rsid w:val="00B23DAB"/>
    <w:rsid w:val="00B250E1"/>
    <w:rsid w:val="00B25AA5"/>
    <w:rsid w:val="00B25C50"/>
    <w:rsid w:val="00B25DA9"/>
    <w:rsid w:val="00B25DCD"/>
    <w:rsid w:val="00B27280"/>
    <w:rsid w:val="00B27825"/>
    <w:rsid w:val="00B27ADE"/>
    <w:rsid w:val="00B30499"/>
    <w:rsid w:val="00B31240"/>
    <w:rsid w:val="00B316A1"/>
    <w:rsid w:val="00B32D87"/>
    <w:rsid w:val="00B33239"/>
    <w:rsid w:val="00B334EB"/>
    <w:rsid w:val="00B34762"/>
    <w:rsid w:val="00B35218"/>
    <w:rsid w:val="00B35AB3"/>
    <w:rsid w:val="00B35D11"/>
    <w:rsid w:val="00B36BF4"/>
    <w:rsid w:val="00B36D3B"/>
    <w:rsid w:val="00B36F52"/>
    <w:rsid w:val="00B378F9"/>
    <w:rsid w:val="00B40B37"/>
    <w:rsid w:val="00B40F28"/>
    <w:rsid w:val="00B4103B"/>
    <w:rsid w:val="00B41127"/>
    <w:rsid w:val="00B429AC"/>
    <w:rsid w:val="00B42F78"/>
    <w:rsid w:val="00B43644"/>
    <w:rsid w:val="00B44A39"/>
    <w:rsid w:val="00B44E21"/>
    <w:rsid w:val="00B45273"/>
    <w:rsid w:val="00B455DD"/>
    <w:rsid w:val="00B45ABB"/>
    <w:rsid w:val="00B45DCE"/>
    <w:rsid w:val="00B46C1E"/>
    <w:rsid w:val="00B5216E"/>
    <w:rsid w:val="00B524F1"/>
    <w:rsid w:val="00B52FE2"/>
    <w:rsid w:val="00B531C8"/>
    <w:rsid w:val="00B536B4"/>
    <w:rsid w:val="00B53791"/>
    <w:rsid w:val="00B53C44"/>
    <w:rsid w:val="00B54C0A"/>
    <w:rsid w:val="00B54EDA"/>
    <w:rsid w:val="00B55478"/>
    <w:rsid w:val="00B5548A"/>
    <w:rsid w:val="00B55D31"/>
    <w:rsid w:val="00B564BC"/>
    <w:rsid w:val="00B574B6"/>
    <w:rsid w:val="00B57610"/>
    <w:rsid w:val="00B57764"/>
    <w:rsid w:val="00B57A53"/>
    <w:rsid w:val="00B57ED2"/>
    <w:rsid w:val="00B57F82"/>
    <w:rsid w:val="00B60097"/>
    <w:rsid w:val="00B606B8"/>
    <w:rsid w:val="00B60872"/>
    <w:rsid w:val="00B6089F"/>
    <w:rsid w:val="00B60EEB"/>
    <w:rsid w:val="00B61586"/>
    <w:rsid w:val="00B61B5F"/>
    <w:rsid w:val="00B61ED2"/>
    <w:rsid w:val="00B6263C"/>
    <w:rsid w:val="00B62BBD"/>
    <w:rsid w:val="00B6304A"/>
    <w:rsid w:val="00B6358D"/>
    <w:rsid w:val="00B6414D"/>
    <w:rsid w:val="00B6449D"/>
    <w:rsid w:val="00B64C11"/>
    <w:rsid w:val="00B64D12"/>
    <w:rsid w:val="00B65565"/>
    <w:rsid w:val="00B6619A"/>
    <w:rsid w:val="00B7043D"/>
    <w:rsid w:val="00B708AA"/>
    <w:rsid w:val="00B70D87"/>
    <w:rsid w:val="00B71DFE"/>
    <w:rsid w:val="00B71F4F"/>
    <w:rsid w:val="00B71FCB"/>
    <w:rsid w:val="00B726B1"/>
    <w:rsid w:val="00B72BF8"/>
    <w:rsid w:val="00B72C61"/>
    <w:rsid w:val="00B732FD"/>
    <w:rsid w:val="00B7393D"/>
    <w:rsid w:val="00B740A0"/>
    <w:rsid w:val="00B74420"/>
    <w:rsid w:val="00B747DB"/>
    <w:rsid w:val="00B74D39"/>
    <w:rsid w:val="00B74F65"/>
    <w:rsid w:val="00B75003"/>
    <w:rsid w:val="00B75148"/>
    <w:rsid w:val="00B754E9"/>
    <w:rsid w:val="00B75BB0"/>
    <w:rsid w:val="00B75C8D"/>
    <w:rsid w:val="00B75D00"/>
    <w:rsid w:val="00B760A0"/>
    <w:rsid w:val="00B76F21"/>
    <w:rsid w:val="00B771A7"/>
    <w:rsid w:val="00B80E42"/>
    <w:rsid w:val="00B81763"/>
    <w:rsid w:val="00B82530"/>
    <w:rsid w:val="00B82E73"/>
    <w:rsid w:val="00B83A76"/>
    <w:rsid w:val="00B83B49"/>
    <w:rsid w:val="00B83FC8"/>
    <w:rsid w:val="00B841EF"/>
    <w:rsid w:val="00B844BB"/>
    <w:rsid w:val="00B84519"/>
    <w:rsid w:val="00B85111"/>
    <w:rsid w:val="00B85516"/>
    <w:rsid w:val="00B86799"/>
    <w:rsid w:val="00B8690D"/>
    <w:rsid w:val="00B87611"/>
    <w:rsid w:val="00B8763C"/>
    <w:rsid w:val="00B877CF"/>
    <w:rsid w:val="00B87864"/>
    <w:rsid w:val="00B909DF"/>
    <w:rsid w:val="00B90D33"/>
    <w:rsid w:val="00B90DD9"/>
    <w:rsid w:val="00B91199"/>
    <w:rsid w:val="00B914ED"/>
    <w:rsid w:val="00B91966"/>
    <w:rsid w:val="00B91A10"/>
    <w:rsid w:val="00B9257B"/>
    <w:rsid w:val="00B92DDE"/>
    <w:rsid w:val="00B92EBD"/>
    <w:rsid w:val="00B93028"/>
    <w:rsid w:val="00B936CD"/>
    <w:rsid w:val="00B93890"/>
    <w:rsid w:val="00B93C56"/>
    <w:rsid w:val="00B943F5"/>
    <w:rsid w:val="00B94CFE"/>
    <w:rsid w:val="00B94D1D"/>
    <w:rsid w:val="00B94D32"/>
    <w:rsid w:val="00B95897"/>
    <w:rsid w:val="00B9643E"/>
    <w:rsid w:val="00B96568"/>
    <w:rsid w:val="00B96619"/>
    <w:rsid w:val="00B96828"/>
    <w:rsid w:val="00B96963"/>
    <w:rsid w:val="00B96D4A"/>
    <w:rsid w:val="00B972CE"/>
    <w:rsid w:val="00B9740F"/>
    <w:rsid w:val="00B9762C"/>
    <w:rsid w:val="00BA00EE"/>
    <w:rsid w:val="00BA0C66"/>
    <w:rsid w:val="00BA0E57"/>
    <w:rsid w:val="00BA11D5"/>
    <w:rsid w:val="00BA180D"/>
    <w:rsid w:val="00BA2013"/>
    <w:rsid w:val="00BA2846"/>
    <w:rsid w:val="00BA29C1"/>
    <w:rsid w:val="00BA2AFE"/>
    <w:rsid w:val="00BA3B58"/>
    <w:rsid w:val="00BA4770"/>
    <w:rsid w:val="00BA4E45"/>
    <w:rsid w:val="00BA5151"/>
    <w:rsid w:val="00BA5518"/>
    <w:rsid w:val="00BA5C14"/>
    <w:rsid w:val="00BA6E1B"/>
    <w:rsid w:val="00BA72C8"/>
    <w:rsid w:val="00BA7301"/>
    <w:rsid w:val="00BA73AE"/>
    <w:rsid w:val="00BA7965"/>
    <w:rsid w:val="00BA7B1B"/>
    <w:rsid w:val="00BA7C7A"/>
    <w:rsid w:val="00BB16A4"/>
    <w:rsid w:val="00BB172C"/>
    <w:rsid w:val="00BB1D4F"/>
    <w:rsid w:val="00BB2BB6"/>
    <w:rsid w:val="00BB3BE1"/>
    <w:rsid w:val="00BB4778"/>
    <w:rsid w:val="00BB5198"/>
    <w:rsid w:val="00BB5BE4"/>
    <w:rsid w:val="00BB5E90"/>
    <w:rsid w:val="00BB620B"/>
    <w:rsid w:val="00BB662A"/>
    <w:rsid w:val="00BB6FB9"/>
    <w:rsid w:val="00BB77D0"/>
    <w:rsid w:val="00BB7DC7"/>
    <w:rsid w:val="00BB7F7D"/>
    <w:rsid w:val="00BC058D"/>
    <w:rsid w:val="00BC0CB6"/>
    <w:rsid w:val="00BC0E67"/>
    <w:rsid w:val="00BC12BA"/>
    <w:rsid w:val="00BC2C99"/>
    <w:rsid w:val="00BC2F2C"/>
    <w:rsid w:val="00BC33FF"/>
    <w:rsid w:val="00BC34AE"/>
    <w:rsid w:val="00BC4013"/>
    <w:rsid w:val="00BC4110"/>
    <w:rsid w:val="00BC4447"/>
    <w:rsid w:val="00BC4E78"/>
    <w:rsid w:val="00BC4EC2"/>
    <w:rsid w:val="00BC56F1"/>
    <w:rsid w:val="00BC575B"/>
    <w:rsid w:val="00BC57A9"/>
    <w:rsid w:val="00BC5A74"/>
    <w:rsid w:val="00BC6B23"/>
    <w:rsid w:val="00BC6DF5"/>
    <w:rsid w:val="00BC6E31"/>
    <w:rsid w:val="00BD01AF"/>
    <w:rsid w:val="00BD0B86"/>
    <w:rsid w:val="00BD0BF3"/>
    <w:rsid w:val="00BD0E60"/>
    <w:rsid w:val="00BD1EFC"/>
    <w:rsid w:val="00BD1FB6"/>
    <w:rsid w:val="00BD2434"/>
    <w:rsid w:val="00BD24EE"/>
    <w:rsid w:val="00BD2832"/>
    <w:rsid w:val="00BD2EAA"/>
    <w:rsid w:val="00BD3F0B"/>
    <w:rsid w:val="00BD4801"/>
    <w:rsid w:val="00BD4B11"/>
    <w:rsid w:val="00BD4CF7"/>
    <w:rsid w:val="00BD6D9A"/>
    <w:rsid w:val="00BD6F0F"/>
    <w:rsid w:val="00BD6F89"/>
    <w:rsid w:val="00BD743C"/>
    <w:rsid w:val="00BD7E3A"/>
    <w:rsid w:val="00BE0553"/>
    <w:rsid w:val="00BE0A1F"/>
    <w:rsid w:val="00BE0B1C"/>
    <w:rsid w:val="00BE27F9"/>
    <w:rsid w:val="00BE28D2"/>
    <w:rsid w:val="00BE2F9E"/>
    <w:rsid w:val="00BE30B1"/>
    <w:rsid w:val="00BE438F"/>
    <w:rsid w:val="00BE439A"/>
    <w:rsid w:val="00BE49D1"/>
    <w:rsid w:val="00BE4B86"/>
    <w:rsid w:val="00BE57C2"/>
    <w:rsid w:val="00BE74B9"/>
    <w:rsid w:val="00BE752D"/>
    <w:rsid w:val="00BE7F9E"/>
    <w:rsid w:val="00BF0111"/>
    <w:rsid w:val="00BF2521"/>
    <w:rsid w:val="00BF2C94"/>
    <w:rsid w:val="00BF2E2B"/>
    <w:rsid w:val="00BF2EE0"/>
    <w:rsid w:val="00BF2F29"/>
    <w:rsid w:val="00BF4AE2"/>
    <w:rsid w:val="00BF5102"/>
    <w:rsid w:val="00BF598D"/>
    <w:rsid w:val="00BF64FF"/>
    <w:rsid w:val="00BF65D8"/>
    <w:rsid w:val="00BF6B60"/>
    <w:rsid w:val="00BF6F94"/>
    <w:rsid w:val="00BF717A"/>
    <w:rsid w:val="00BF728B"/>
    <w:rsid w:val="00C0051B"/>
    <w:rsid w:val="00C018A0"/>
    <w:rsid w:val="00C0368D"/>
    <w:rsid w:val="00C037D1"/>
    <w:rsid w:val="00C03A9B"/>
    <w:rsid w:val="00C04706"/>
    <w:rsid w:val="00C0515D"/>
    <w:rsid w:val="00C056B3"/>
    <w:rsid w:val="00C05859"/>
    <w:rsid w:val="00C059D4"/>
    <w:rsid w:val="00C05C86"/>
    <w:rsid w:val="00C05EF1"/>
    <w:rsid w:val="00C06D07"/>
    <w:rsid w:val="00C07CAE"/>
    <w:rsid w:val="00C07F7B"/>
    <w:rsid w:val="00C102C9"/>
    <w:rsid w:val="00C10434"/>
    <w:rsid w:val="00C105A7"/>
    <w:rsid w:val="00C10668"/>
    <w:rsid w:val="00C1090D"/>
    <w:rsid w:val="00C10A6D"/>
    <w:rsid w:val="00C10D29"/>
    <w:rsid w:val="00C10E95"/>
    <w:rsid w:val="00C11EE0"/>
    <w:rsid w:val="00C1237D"/>
    <w:rsid w:val="00C127AA"/>
    <w:rsid w:val="00C13433"/>
    <w:rsid w:val="00C13E43"/>
    <w:rsid w:val="00C14E04"/>
    <w:rsid w:val="00C151F3"/>
    <w:rsid w:val="00C154B4"/>
    <w:rsid w:val="00C158AA"/>
    <w:rsid w:val="00C15C8A"/>
    <w:rsid w:val="00C15F84"/>
    <w:rsid w:val="00C16B26"/>
    <w:rsid w:val="00C175A8"/>
    <w:rsid w:val="00C20536"/>
    <w:rsid w:val="00C20DA1"/>
    <w:rsid w:val="00C21060"/>
    <w:rsid w:val="00C217FB"/>
    <w:rsid w:val="00C219EA"/>
    <w:rsid w:val="00C21DE7"/>
    <w:rsid w:val="00C22056"/>
    <w:rsid w:val="00C22183"/>
    <w:rsid w:val="00C227A8"/>
    <w:rsid w:val="00C23A3F"/>
    <w:rsid w:val="00C23A9F"/>
    <w:rsid w:val="00C245CC"/>
    <w:rsid w:val="00C2492F"/>
    <w:rsid w:val="00C24A27"/>
    <w:rsid w:val="00C257A0"/>
    <w:rsid w:val="00C27C5B"/>
    <w:rsid w:val="00C30007"/>
    <w:rsid w:val="00C308BF"/>
    <w:rsid w:val="00C31879"/>
    <w:rsid w:val="00C31AD5"/>
    <w:rsid w:val="00C31EAD"/>
    <w:rsid w:val="00C332CF"/>
    <w:rsid w:val="00C33944"/>
    <w:rsid w:val="00C346CC"/>
    <w:rsid w:val="00C34707"/>
    <w:rsid w:val="00C369F7"/>
    <w:rsid w:val="00C37C6B"/>
    <w:rsid w:val="00C40A0A"/>
    <w:rsid w:val="00C40AEA"/>
    <w:rsid w:val="00C4194B"/>
    <w:rsid w:val="00C431C3"/>
    <w:rsid w:val="00C44BCC"/>
    <w:rsid w:val="00C44C77"/>
    <w:rsid w:val="00C45249"/>
    <w:rsid w:val="00C45722"/>
    <w:rsid w:val="00C459F6"/>
    <w:rsid w:val="00C45EAB"/>
    <w:rsid w:val="00C45ECC"/>
    <w:rsid w:val="00C4637A"/>
    <w:rsid w:val="00C46C57"/>
    <w:rsid w:val="00C46FA7"/>
    <w:rsid w:val="00C4736B"/>
    <w:rsid w:val="00C47447"/>
    <w:rsid w:val="00C474F7"/>
    <w:rsid w:val="00C4783A"/>
    <w:rsid w:val="00C47A55"/>
    <w:rsid w:val="00C47EAF"/>
    <w:rsid w:val="00C50B7C"/>
    <w:rsid w:val="00C511DE"/>
    <w:rsid w:val="00C51277"/>
    <w:rsid w:val="00C51341"/>
    <w:rsid w:val="00C51936"/>
    <w:rsid w:val="00C524AE"/>
    <w:rsid w:val="00C52666"/>
    <w:rsid w:val="00C52BEC"/>
    <w:rsid w:val="00C53748"/>
    <w:rsid w:val="00C5374C"/>
    <w:rsid w:val="00C54835"/>
    <w:rsid w:val="00C54F13"/>
    <w:rsid w:val="00C550E6"/>
    <w:rsid w:val="00C5556B"/>
    <w:rsid w:val="00C5611E"/>
    <w:rsid w:val="00C5647E"/>
    <w:rsid w:val="00C575E5"/>
    <w:rsid w:val="00C612BC"/>
    <w:rsid w:val="00C61EFC"/>
    <w:rsid w:val="00C62366"/>
    <w:rsid w:val="00C628F2"/>
    <w:rsid w:val="00C6333B"/>
    <w:rsid w:val="00C6380E"/>
    <w:rsid w:val="00C63C7E"/>
    <w:rsid w:val="00C63DA2"/>
    <w:rsid w:val="00C6555D"/>
    <w:rsid w:val="00C65F1A"/>
    <w:rsid w:val="00C663FD"/>
    <w:rsid w:val="00C671DB"/>
    <w:rsid w:val="00C67FFB"/>
    <w:rsid w:val="00C701D0"/>
    <w:rsid w:val="00C704A6"/>
    <w:rsid w:val="00C704BD"/>
    <w:rsid w:val="00C71470"/>
    <w:rsid w:val="00C715A9"/>
    <w:rsid w:val="00C7222E"/>
    <w:rsid w:val="00C72627"/>
    <w:rsid w:val="00C72E5E"/>
    <w:rsid w:val="00C73188"/>
    <w:rsid w:val="00C736EA"/>
    <w:rsid w:val="00C73720"/>
    <w:rsid w:val="00C7372D"/>
    <w:rsid w:val="00C737AF"/>
    <w:rsid w:val="00C738AF"/>
    <w:rsid w:val="00C740D8"/>
    <w:rsid w:val="00C74121"/>
    <w:rsid w:val="00C751D5"/>
    <w:rsid w:val="00C7524A"/>
    <w:rsid w:val="00C760F2"/>
    <w:rsid w:val="00C762D0"/>
    <w:rsid w:val="00C76468"/>
    <w:rsid w:val="00C767B8"/>
    <w:rsid w:val="00C769B0"/>
    <w:rsid w:val="00C76F56"/>
    <w:rsid w:val="00C770EA"/>
    <w:rsid w:val="00C771F4"/>
    <w:rsid w:val="00C7774A"/>
    <w:rsid w:val="00C77A3D"/>
    <w:rsid w:val="00C80210"/>
    <w:rsid w:val="00C8051D"/>
    <w:rsid w:val="00C80B57"/>
    <w:rsid w:val="00C8110C"/>
    <w:rsid w:val="00C812BF"/>
    <w:rsid w:val="00C81364"/>
    <w:rsid w:val="00C8139D"/>
    <w:rsid w:val="00C8267F"/>
    <w:rsid w:val="00C829B8"/>
    <w:rsid w:val="00C8311F"/>
    <w:rsid w:val="00C83D06"/>
    <w:rsid w:val="00C84084"/>
    <w:rsid w:val="00C846DF"/>
    <w:rsid w:val="00C856CB"/>
    <w:rsid w:val="00C866CF"/>
    <w:rsid w:val="00C868C7"/>
    <w:rsid w:val="00C86ED5"/>
    <w:rsid w:val="00C875CF"/>
    <w:rsid w:val="00C87EA2"/>
    <w:rsid w:val="00C90088"/>
    <w:rsid w:val="00C906D7"/>
    <w:rsid w:val="00C908B4"/>
    <w:rsid w:val="00C90D90"/>
    <w:rsid w:val="00C916EE"/>
    <w:rsid w:val="00C91BC7"/>
    <w:rsid w:val="00C91C5D"/>
    <w:rsid w:val="00C92140"/>
    <w:rsid w:val="00C92158"/>
    <w:rsid w:val="00C922FE"/>
    <w:rsid w:val="00C92666"/>
    <w:rsid w:val="00C926D4"/>
    <w:rsid w:val="00C9295D"/>
    <w:rsid w:val="00C929B0"/>
    <w:rsid w:val="00C93194"/>
    <w:rsid w:val="00C932A3"/>
    <w:rsid w:val="00C95992"/>
    <w:rsid w:val="00C95B12"/>
    <w:rsid w:val="00C95E58"/>
    <w:rsid w:val="00C960C2"/>
    <w:rsid w:val="00C96989"/>
    <w:rsid w:val="00C96A6E"/>
    <w:rsid w:val="00C97193"/>
    <w:rsid w:val="00C971A5"/>
    <w:rsid w:val="00C97538"/>
    <w:rsid w:val="00C976CD"/>
    <w:rsid w:val="00CA0662"/>
    <w:rsid w:val="00CA09BB"/>
    <w:rsid w:val="00CA183C"/>
    <w:rsid w:val="00CA1A47"/>
    <w:rsid w:val="00CA1B64"/>
    <w:rsid w:val="00CA2018"/>
    <w:rsid w:val="00CA28F8"/>
    <w:rsid w:val="00CA2E76"/>
    <w:rsid w:val="00CA4FE5"/>
    <w:rsid w:val="00CA5E18"/>
    <w:rsid w:val="00CA6773"/>
    <w:rsid w:val="00CA6F0D"/>
    <w:rsid w:val="00CA70FC"/>
    <w:rsid w:val="00CA73FA"/>
    <w:rsid w:val="00CA76D5"/>
    <w:rsid w:val="00CA7827"/>
    <w:rsid w:val="00CA7A4E"/>
    <w:rsid w:val="00CA7B20"/>
    <w:rsid w:val="00CA7E38"/>
    <w:rsid w:val="00CB0336"/>
    <w:rsid w:val="00CB069D"/>
    <w:rsid w:val="00CB080C"/>
    <w:rsid w:val="00CB0902"/>
    <w:rsid w:val="00CB2CC5"/>
    <w:rsid w:val="00CB336D"/>
    <w:rsid w:val="00CB45E8"/>
    <w:rsid w:val="00CB47B4"/>
    <w:rsid w:val="00CB49C8"/>
    <w:rsid w:val="00CB4BCC"/>
    <w:rsid w:val="00CB4C1D"/>
    <w:rsid w:val="00CB50FA"/>
    <w:rsid w:val="00CB5BE7"/>
    <w:rsid w:val="00CB5C6B"/>
    <w:rsid w:val="00CB6244"/>
    <w:rsid w:val="00CB7DCC"/>
    <w:rsid w:val="00CB7FE3"/>
    <w:rsid w:val="00CC04CF"/>
    <w:rsid w:val="00CC0A2E"/>
    <w:rsid w:val="00CC0B2D"/>
    <w:rsid w:val="00CC0DEA"/>
    <w:rsid w:val="00CC1367"/>
    <w:rsid w:val="00CC3385"/>
    <w:rsid w:val="00CC3913"/>
    <w:rsid w:val="00CC4197"/>
    <w:rsid w:val="00CC42BE"/>
    <w:rsid w:val="00CC4446"/>
    <w:rsid w:val="00CC4553"/>
    <w:rsid w:val="00CC4734"/>
    <w:rsid w:val="00CC4A2F"/>
    <w:rsid w:val="00CC5C62"/>
    <w:rsid w:val="00CC5F76"/>
    <w:rsid w:val="00CC61BD"/>
    <w:rsid w:val="00CC6EAB"/>
    <w:rsid w:val="00CC7849"/>
    <w:rsid w:val="00CC7D9D"/>
    <w:rsid w:val="00CD070B"/>
    <w:rsid w:val="00CD0F33"/>
    <w:rsid w:val="00CD1685"/>
    <w:rsid w:val="00CD204E"/>
    <w:rsid w:val="00CD2111"/>
    <w:rsid w:val="00CD2147"/>
    <w:rsid w:val="00CD3641"/>
    <w:rsid w:val="00CD3ECE"/>
    <w:rsid w:val="00CD3F63"/>
    <w:rsid w:val="00CD42ED"/>
    <w:rsid w:val="00CD4489"/>
    <w:rsid w:val="00CD4718"/>
    <w:rsid w:val="00CD4759"/>
    <w:rsid w:val="00CD4CAE"/>
    <w:rsid w:val="00CD4D56"/>
    <w:rsid w:val="00CD5454"/>
    <w:rsid w:val="00CD5463"/>
    <w:rsid w:val="00CD5935"/>
    <w:rsid w:val="00CD5A3E"/>
    <w:rsid w:val="00CD789E"/>
    <w:rsid w:val="00CD7D6E"/>
    <w:rsid w:val="00CE01F4"/>
    <w:rsid w:val="00CE03C4"/>
    <w:rsid w:val="00CE03D2"/>
    <w:rsid w:val="00CE0673"/>
    <w:rsid w:val="00CE0728"/>
    <w:rsid w:val="00CE0C8E"/>
    <w:rsid w:val="00CE0CA9"/>
    <w:rsid w:val="00CE1481"/>
    <w:rsid w:val="00CE1B43"/>
    <w:rsid w:val="00CE214D"/>
    <w:rsid w:val="00CE359A"/>
    <w:rsid w:val="00CE422A"/>
    <w:rsid w:val="00CE42C8"/>
    <w:rsid w:val="00CE4517"/>
    <w:rsid w:val="00CE49A2"/>
    <w:rsid w:val="00CE57DF"/>
    <w:rsid w:val="00CE6C36"/>
    <w:rsid w:val="00CF0498"/>
    <w:rsid w:val="00CF0729"/>
    <w:rsid w:val="00CF212D"/>
    <w:rsid w:val="00CF2419"/>
    <w:rsid w:val="00CF24FA"/>
    <w:rsid w:val="00CF253B"/>
    <w:rsid w:val="00CF28F7"/>
    <w:rsid w:val="00CF3695"/>
    <w:rsid w:val="00CF3A0B"/>
    <w:rsid w:val="00CF4218"/>
    <w:rsid w:val="00CF5006"/>
    <w:rsid w:val="00CF521A"/>
    <w:rsid w:val="00CF537F"/>
    <w:rsid w:val="00CF53D5"/>
    <w:rsid w:val="00CF565F"/>
    <w:rsid w:val="00CF59B7"/>
    <w:rsid w:val="00D00076"/>
    <w:rsid w:val="00D00592"/>
    <w:rsid w:val="00D00B1F"/>
    <w:rsid w:val="00D01138"/>
    <w:rsid w:val="00D0133A"/>
    <w:rsid w:val="00D0139D"/>
    <w:rsid w:val="00D019C7"/>
    <w:rsid w:val="00D01BFE"/>
    <w:rsid w:val="00D01E80"/>
    <w:rsid w:val="00D02053"/>
    <w:rsid w:val="00D027B1"/>
    <w:rsid w:val="00D02D7F"/>
    <w:rsid w:val="00D03C1D"/>
    <w:rsid w:val="00D04435"/>
    <w:rsid w:val="00D04AE1"/>
    <w:rsid w:val="00D04EA1"/>
    <w:rsid w:val="00D055AA"/>
    <w:rsid w:val="00D05605"/>
    <w:rsid w:val="00D0595D"/>
    <w:rsid w:val="00D05A77"/>
    <w:rsid w:val="00D0785E"/>
    <w:rsid w:val="00D108FD"/>
    <w:rsid w:val="00D10F04"/>
    <w:rsid w:val="00D117BB"/>
    <w:rsid w:val="00D11DBF"/>
    <w:rsid w:val="00D12D30"/>
    <w:rsid w:val="00D140B8"/>
    <w:rsid w:val="00D1425B"/>
    <w:rsid w:val="00D1428E"/>
    <w:rsid w:val="00D14B14"/>
    <w:rsid w:val="00D1587B"/>
    <w:rsid w:val="00D158A3"/>
    <w:rsid w:val="00D15956"/>
    <w:rsid w:val="00D16884"/>
    <w:rsid w:val="00D17259"/>
    <w:rsid w:val="00D1751B"/>
    <w:rsid w:val="00D1755F"/>
    <w:rsid w:val="00D202D2"/>
    <w:rsid w:val="00D20731"/>
    <w:rsid w:val="00D20861"/>
    <w:rsid w:val="00D20C89"/>
    <w:rsid w:val="00D2100E"/>
    <w:rsid w:val="00D21120"/>
    <w:rsid w:val="00D21122"/>
    <w:rsid w:val="00D21155"/>
    <w:rsid w:val="00D214D9"/>
    <w:rsid w:val="00D215BC"/>
    <w:rsid w:val="00D217FE"/>
    <w:rsid w:val="00D22156"/>
    <w:rsid w:val="00D22B10"/>
    <w:rsid w:val="00D22BF4"/>
    <w:rsid w:val="00D22D00"/>
    <w:rsid w:val="00D230BB"/>
    <w:rsid w:val="00D2333C"/>
    <w:rsid w:val="00D233E4"/>
    <w:rsid w:val="00D23763"/>
    <w:rsid w:val="00D23CBB"/>
    <w:rsid w:val="00D248CD"/>
    <w:rsid w:val="00D24D20"/>
    <w:rsid w:val="00D24EF9"/>
    <w:rsid w:val="00D25032"/>
    <w:rsid w:val="00D257CA"/>
    <w:rsid w:val="00D25D7F"/>
    <w:rsid w:val="00D26F25"/>
    <w:rsid w:val="00D2766D"/>
    <w:rsid w:val="00D27CED"/>
    <w:rsid w:val="00D3039C"/>
    <w:rsid w:val="00D31125"/>
    <w:rsid w:val="00D311BE"/>
    <w:rsid w:val="00D313A1"/>
    <w:rsid w:val="00D31A55"/>
    <w:rsid w:val="00D322AC"/>
    <w:rsid w:val="00D324FC"/>
    <w:rsid w:val="00D32C60"/>
    <w:rsid w:val="00D33180"/>
    <w:rsid w:val="00D344CA"/>
    <w:rsid w:val="00D345B3"/>
    <w:rsid w:val="00D353E3"/>
    <w:rsid w:val="00D363C4"/>
    <w:rsid w:val="00D36654"/>
    <w:rsid w:val="00D36F12"/>
    <w:rsid w:val="00D370DE"/>
    <w:rsid w:val="00D373BD"/>
    <w:rsid w:val="00D40180"/>
    <w:rsid w:val="00D409C0"/>
    <w:rsid w:val="00D40E2B"/>
    <w:rsid w:val="00D42844"/>
    <w:rsid w:val="00D42F6D"/>
    <w:rsid w:val="00D43A94"/>
    <w:rsid w:val="00D43D0A"/>
    <w:rsid w:val="00D450D0"/>
    <w:rsid w:val="00D456CA"/>
    <w:rsid w:val="00D45954"/>
    <w:rsid w:val="00D46AA5"/>
    <w:rsid w:val="00D47743"/>
    <w:rsid w:val="00D47931"/>
    <w:rsid w:val="00D47F18"/>
    <w:rsid w:val="00D47F9E"/>
    <w:rsid w:val="00D5075E"/>
    <w:rsid w:val="00D51127"/>
    <w:rsid w:val="00D5166A"/>
    <w:rsid w:val="00D52037"/>
    <w:rsid w:val="00D52A17"/>
    <w:rsid w:val="00D52AA3"/>
    <w:rsid w:val="00D52BD0"/>
    <w:rsid w:val="00D530B6"/>
    <w:rsid w:val="00D532C4"/>
    <w:rsid w:val="00D53741"/>
    <w:rsid w:val="00D53982"/>
    <w:rsid w:val="00D53C0F"/>
    <w:rsid w:val="00D55451"/>
    <w:rsid w:val="00D55AAF"/>
    <w:rsid w:val="00D55C93"/>
    <w:rsid w:val="00D56643"/>
    <w:rsid w:val="00D56C18"/>
    <w:rsid w:val="00D56E58"/>
    <w:rsid w:val="00D57919"/>
    <w:rsid w:val="00D60477"/>
    <w:rsid w:val="00D61E4A"/>
    <w:rsid w:val="00D62338"/>
    <w:rsid w:val="00D628D7"/>
    <w:rsid w:val="00D62944"/>
    <w:rsid w:val="00D62DB0"/>
    <w:rsid w:val="00D630F7"/>
    <w:rsid w:val="00D6345B"/>
    <w:rsid w:val="00D63B33"/>
    <w:rsid w:val="00D640AE"/>
    <w:rsid w:val="00D641E4"/>
    <w:rsid w:val="00D663B1"/>
    <w:rsid w:val="00D6649E"/>
    <w:rsid w:val="00D667BF"/>
    <w:rsid w:val="00D66F19"/>
    <w:rsid w:val="00D672C9"/>
    <w:rsid w:val="00D67591"/>
    <w:rsid w:val="00D67CC2"/>
    <w:rsid w:val="00D67CE7"/>
    <w:rsid w:val="00D67D54"/>
    <w:rsid w:val="00D67D58"/>
    <w:rsid w:val="00D712A2"/>
    <w:rsid w:val="00D71F7D"/>
    <w:rsid w:val="00D72D48"/>
    <w:rsid w:val="00D72FC1"/>
    <w:rsid w:val="00D7382A"/>
    <w:rsid w:val="00D7385A"/>
    <w:rsid w:val="00D7396B"/>
    <w:rsid w:val="00D73D74"/>
    <w:rsid w:val="00D7411C"/>
    <w:rsid w:val="00D748A9"/>
    <w:rsid w:val="00D762DD"/>
    <w:rsid w:val="00D8012E"/>
    <w:rsid w:val="00D8084C"/>
    <w:rsid w:val="00D80AB1"/>
    <w:rsid w:val="00D80DC8"/>
    <w:rsid w:val="00D80FB7"/>
    <w:rsid w:val="00D81530"/>
    <w:rsid w:val="00D81BD7"/>
    <w:rsid w:val="00D81CC4"/>
    <w:rsid w:val="00D81E5C"/>
    <w:rsid w:val="00D82063"/>
    <w:rsid w:val="00D82227"/>
    <w:rsid w:val="00D82B49"/>
    <w:rsid w:val="00D82EEB"/>
    <w:rsid w:val="00D836AA"/>
    <w:rsid w:val="00D8399E"/>
    <w:rsid w:val="00D83F97"/>
    <w:rsid w:val="00D84009"/>
    <w:rsid w:val="00D84316"/>
    <w:rsid w:val="00D8466C"/>
    <w:rsid w:val="00D85306"/>
    <w:rsid w:val="00D85965"/>
    <w:rsid w:val="00D85AB0"/>
    <w:rsid w:val="00D8621D"/>
    <w:rsid w:val="00D865D4"/>
    <w:rsid w:val="00D8738D"/>
    <w:rsid w:val="00D875D9"/>
    <w:rsid w:val="00D90003"/>
    <w:rsid w:val="00D909AF"/>
    <w:rsid w:val="00D90AE9"/>
    <w:rsid w:val="00D911D5"/>
    <w:rsid w:val="00D92183"/>
    <w:rsid w:val="00D924B1"/>
    <w:rsid w:val="00D925B0"/>
    <w:rsid w:val="00D9283E"/>
    <w:rsid w:val="00D929C0"/>
    <w:rsid w:val="00D92D6F"/>
    <w:rsid w:val="00D92F4F"/>
    <w:rsid w:val="00D9324A"/>
    <w:rsid w:val="00D939F8"/>
    <w:rsid w:val="00D94896"/>
    <w:rsid w:val="00D94CF2"/>
    <w:rsid w:val="00D94E8D"/>
    <w:rsid w:val="00D95128"/>
    <w:rsid w:val="00D955AF"/>
    <w:rsid w:val="00D969E9"/>
    <w:rsid w:val="00D96A83"/>
    <w:rsid w:val="00D96C1D"/>
    <w:rsid w:val="00D9754E"/>
    <w:rsid w:val="00DA011F"/>
    <w:rsid w:val="00DA0C86"/>
    <w:rsid w:val="00DA0EE0"/>
    <w:rsid w:val="00DA16FA"/>
    <w:rsid w:val="00DA1E07"/>
    <w:rsid w:val="00DA1E98"/>
    <w:rsid w:val="00DA492C"/>
    <w:rsid w:val="00DA5381"/>
    <w:rsid w:val="00DA6721"/>
    <w:rsid w:val="00DA693C"/>
    <w:rsid w:val="00DA6A36"/>
    <w:rsid w:val="00DA7AA6"/>
    <w:rsid w:val="00DB0228"/>
    <w:rsid w:val="00DB033C"/>
    <w:rsid w:val="00DB0EE6"/>
    <w:rsid w:val="00DB1036"/>
    <w:rsid w:val="00DB194E"/>
    <w:rsid w:val="00DB231D"/>
    <w:rsid w:val="00DB24E6"/>
    <w:rsid w:val="00DB2989"/>
    <w:rsid w:val="00DB3067"/>
    <w:rsid w:val="00DB4AF2"/>
    <w:rsid w:val="00DB4D95"/>
    <w:rsid w:val="00DB56B1"/>
    <w:rsid w:val="00DB5876"/>
    <w:rsid w:val="00DB5B33"/>
    <w:rsid w:val="00DB5DA4"/>
    <w:rsid w:val="00DB65AA"/>
    <w:rsid w:val="00DB68EC"/>
    <w:rsid w:val="00DB6F0C"/>
    <w:rsid w:val="00DB7728"/>
    <w:rsid w:val="00DB7DA9"/>
    <w:rsid w:val="00DC0406"/>
    <w:rsid w:val="00DC08CC"/>
    <w:rsid w:val="00DC15AF"/>
    <w:rsid w:val="00DC1B6B"/>
    <w:rsid w:val="00DC25FF"/>
    <w:rsid w:val="00DC312B"/>
    <w:rsid w:val="00DC34BF"/>
    <w:rsid w:val="00DC3B32"/>
    <w:rsid w:val="00DC4356"/>
    <w:rsid w:val="00DC489F"/>
    <w:rsid w:val="00DC5418"/>
    <w:rsid w:val="00DC5633"/>
    <w:rsid w:val="00DC5996"/>
    <w:rsid w:val="00DC5C34"/>
    <w:rsid w:val="00DC68B4"/>
    <w:rsid w:val="00DC757F"/>
    <w:rsid w:val="00DC7AA7"/>
    <w:rsid w:val="00DD04E0"/>
    <w:rsid w:val="00DD0558"/>
    <w:rsid w:val="00DD0958"/>
    <w:rsid w:val="00DD0B1B"/>
    <w:rsid w:val="00DD1439"/>
    <w:rsid w:val="00DD14F8"/>
    <w:rsid w:val="00DD1648"/>
    <w:rsid w:val="00DD1A29"/>
    <w:rsid w:val="00DD1DB9"/>
    <w:rsid w:val="00DD2243"/>
    <w:rsid w:val="00DD24B2"/>
    <w:rsid w:val="00DD2972"/>
    <w:rsid w:val="00DD359B"/>
    <w:rsid w:val="00DD3FD0"/>
    <w:rsid w:val="00DD4B53"/>
    <w:rsid w:val="00DD4BA0"/>
    <w:rsid w:val="00DD5578"/>
    <w:rsid w:val="00DD6019"/>
    <w:rsid w:val="00DD6AB1"/>
    <w:rsid w:val="00DD6AEC"/>
    <w:rsid w:val="00DD7570"/>
    <w:rsid w:val="00DD790C"/>
    <w:rsid w:val="00DD7919"/>
    <w:rsid w:val="00DD7B1D"/>
    <w:rsid w:val="00DD7B54"/>
    <w:rsid w:val="00DE0324"/>
    <w:rsid w:val="00DE0862"/>
    <w:rsid w:val="00DE1072"/>
    <w:rsid w:val="00DE1F8C"/>
    <w:rsid w:val="00DE2874"/>
    <w:rsid w:val="00DE3132"/>
    <w:rsid w:val="00DE31C0"/>
    <w:rsid w:val="00DE359C"/>
    <w:rsid w:val="00DE3BD8"/>
    <w:rsid w:val="00DE54CB"/>
    <w:rsid w:val="00DE593B"/>
    <w:rsid w:val="00DF0130"/>
    <w:rsid w:val="00DF0135"/>
    <w:rsid w:val="00DF022A"/>
    <w:rsid w:val="00DF02FC"/>
    <w:rsid w:val="00DF03AC"/>
    <w:rsid w:val="00DF0879"/>
    <w:rsid w:val="00DF0A9E"/>
    <w:rsid w:val="00DF13F0"/>
    <w:rsid w:val="00DF192E"/>
    <w:rsid w:val="00DF222B"/>
    <w:rsid w:val="00DF2240"/>
    <w:rsid w:val="00DF2808"/>
    <w:rsid w:val="00DF2ABD"/>
    <w:rsid w:val="00DF4758"/>
    <w:rsid w:val="00DF5340"/>
    <w:rsid w:val="00DF5409"/>
    <w:rsid w:val="00DF5414"/>
    <w:rsid w:val="00DF544C"/>
    <w:rsid w:val="00DF5947"/>
    <w:rsid w:val="00DF59B3"/>
    <w:rsid w:val="00DF5F3F"/>
    <w:rsid w:val="00DF61D9"/>
    <w:rsid w:val="00DF6F09"/>
    <w:rsid w:val="00DF7DF2"/>
    <w:rsid w:val="00E0028F"/>
    <w:rsid w:val="00E00C32"/>
    <w:rsid w:val="00E00FB1"/>
    <w:rsid w:val="00E01119"/>
    <w:rsid w:val="00E011C7"/>
    <w:rsid w:val="00E013F7"/>
    <w:rsid w:val="00E01516"/>
    <w:rsid w:val="00E01E7B"/>
    <w:rsid w:val="00E02005"/>
    <w:rsid w:val="00E022F8"/>
    <w:rsid w:val="00E02943"/>
    <w:rsid w:val="00E0317E"/>
    <w:rsid w:val="00E03194"/>
    <w:rsid w:val="00E038B7"/>
    <w:rsid w:val="00E03C37"/>
    <w:rsid w:val="00E03C9B"/>
    <w:rsid w:val="00E03FC1"/>
    <w:rsid w:val="00E04B26"/>
    <w:rsid w:val="00E05001"/>
    <w:rsid w:val="00E06651"/>
    <w:rsid w:val="00E06A08"/>
    <w:rsid w:val="00E0758F"/>
    <w:rsid w:val="00E0761B"/>
    <w:rsid w:val="00E1077B"/>
    <w:rsid w:val="00E109C4"/>
    <w:rsid w:val="00E10F41"/>
    <w:rsid w:val="00E11670"/>
    <w:rsid w:val="00E117B4"/>
    <w:rsid w:val="00E11EC8"/>
    <w:rsid w:val="00E12168"/>
    <w:rsid w:val="00E1284C"/>
    <w:rsid w:val="00E129FF"/>
    <w:rsid w:val="00E13088"/>
    <w:rsid w:val="00E13E2C"/>
    <w:rsid w:val="00E14CDE"/>
    <w:rsid w:val="00E14D77"/>
    <w:rsid w:val="00E151FA"/>
    <w:rsid w:val="00E1544A"/>
    <w:rsid w:val="00E15484"/>
    <w:rsid w:val="00E158E0"/>
    <w:rsid w:val="00E16F74"/>
    <w:rsid w:val="00E17534"/>
    <w:rsid w:val="00E17B44"/>
    <w:rsid w:val="00E21513"/>
    <w:rsid w:val="00E21523"/>
    <w:rsid w:val="00E21682"/>
    <w:rsid w:val="00E22A72"/>
    <w:rsid w:val="00E22F8C"/>
    <w:rsid w:val="00E2411E"/>
    <w:rsid w:val="00E24AF1"/>
    <w:rsid w:val="00E253F2"/>
    <w:rsid w:val="00E25644"/>
    <w:rsid w:val="00E2573A"/>
    <w:rsid w:val="00E25E73"/>
    <w:rsid w:val="00E260C9"/>
    <w:rsid w:val="00E2620A"/>
    <w:rsid w:val="00E27ABE"/>
    <w:rsid w:val="00E27B36"/>
    <w:rsid w:val="00E30489"/>
    <w:rsid w:val="00E31884"/>
    <w:rsid w:val="00E31A1C"/>
    <w:rsid w:val="00E32B4E"/>
    <w:rsid w:val="00E33023"/>
    <w:rsid w:val="00E330A7"/>
    <w:rsid w:val="00E338A8"/>
    <w:rsid w:val="00E3533C"/>
    <w:rsid w:val="00E358AD"/>
    <w:rsid w:val="00E35F51"/>
    <w:rsid w:val="00E375D8"/>
    <w:rsid w:val="00E377FF"/>
    <w:rsid w:val="00E4038F"/>
    <w:rsid w:val="00E40E9C"/>
    <w:rsid w:val="00E41A70"/>
    <w:rsid w:val="00E41D77"/>
    <w:rsid w:val="00E423D6"/>
    <w:rsid w:val="00E42A00"/>
    <w:rsid w:val="00E42A13"/>
    <w:rsid w:val="00E4328C"/>
    <w:rsid w:val="00E43F30"/>
    <w:rsid w:val="00E4454B"/>
    <w:rsid w:val="00E44882"/>
    <w:rsid w:val="00E44C47"/>
    <w:rsid w:val="00E44CFB"/>
    <w:rsid w:val="00E4523A"/>
    <w:rsid w:val="00E457A3"/>
    <w:rsid w:val="00E46052"/>
    <w:rsid w:val="00E46327"/>
    <w:rsid w:val="00E4646E"/>
    <w:rsid w:val="00E46C99"/>
    <w:rsid w:val="00E46F25"/>
    <w:rsid w:val="00E473B7"/>
    <w:rsid w:val="00E474AB"/>
    <w:rsid w:val="00E475D5"/>
    <w:rsid w:val="00E50433"/>
    <w:rsid w:val="00E50A89"/>
    <w:rsid w:val="00E52BD6"/>
    <w:rsid w:val="00E53865"/>
    <w:rsid w:val="00E53C6A"/>
    <w:rsid w:val="00E54BB5"/>
    <w:rsid w:val="00E550A2"/>
    <w:rsid w:val="00E55748"/>
    <w:rsid w:val="00E55CAC"/>
    <w:rsid w:val="00E5681B"/>
    <w:rsid w:val="00E56BDD"/>
    <w:rsid w:val="00E57501"/>
    <w:rsid w:val="00E57A78"/>
    <w:rsid w:val="00E57F7D"/>
    <w:rsid w:val="00E60996"/>
    <w:rsid w:val="00E60EBA"/>
    <w:rsid w:val="00E6118B"/>
    <w:rsid w:val="00E62661"/>
    <w:rsid w:val="00E62A65"/>
    <w:rsid w:val="00E62D79"/>
    <w:rsid w:val="00E62E55"/>
    <w:rsid w:val="00E6396D"/>
    <w:rsid w:val="00E63DC6"/>
    <w:rsid w:val="00E65A45"/>
    <w:rsid w:val="00E65C67"/>
    <w:rsid w:val="00E6640C"/>
    <w:rsid w:val="00E66C54"/>
    <w:rsid w:val="00E66D58"/>
    <w:rsid w:val="00E6779D"/>
    <w:rsid w:val="00E700A8"/>
    <w:rsid w:val="00E70464"/>
    <w:rsid w:val="00E705EC"/>
    <w:rsid w:val="00E70654"/>
    <w:rsid w:val="00E707ED"/>
    <w:rsid w:val="00E70852"/>
    <w:rsid w:val="00E70FD8"/>
    <w:rsid w:val="00E717FB"/>
    <w:rsid w:val="00E71A6B"/>
    <w:rsid w:val="00E71BF2"/>
    <w:rsid w:val="00E71DF9"/>
    <w:rsid w:val="00E724A0"/>
    <w:rsid w:val="00E72E98"/>
    <w:rsid w:val="00E73277"/>
    <w:rsid w:val="00E73402"/>
    <w:rsid w:val="00E74AE1"/>
    <w:rsid w:val="00E7532D"/>
    <w:rsid w:val="00E75764"/>
    <w:rsid w:val="00E766DB"/>
    <w:rsid w:val="00E77015"/>
    <w:rsid w:val="00E7756D"/>
    <w:rsid w:val="00E7767F"/>
    <w:rsid w:val="00E8070A"/>
    <w:rsid w:val="00E807C7"/>
    <w:rsid w:val="00E80C72"/>
    <w:rsid w:val="00E80D31"/>
    <w:rsid w:val="00E80DC1"/>
    <w:rsid w:val="00E81114"/>
    <w:rsid w:val="00E8213C"/>
    <w:rsid w:val="00E821AC"/>
    <w:rsid w:val="00E8276D"/>
    <w:rsid w:val="00E84B61"/>
    <w:rsid w:val="00E852CC"/>
    <w:rsid w:val="00E85800"/>
    <w:rsid w:val="00E8692B"/>
    <w:rsid w:val="00E86E89"/>
    <w:rsid w:val="00E86EFB"/>
    <w:rsid w:val="00E90685"/>
    <w:rsid w:val="00E91853"/>
    <w:rsid w:val="00E91D71"/>
    <w:rsid w:val="00E92149"/>
    <w:rsid w:val="00E92DD3"/>
    <w:rsid w:val="00E932A3"/>
    <w:rsid w:val="00E9399C"/>
    <w:rsid w:val="00E93A62"/>
    <w:rsid w:val="00E93FA0"/>
    <w:rsid w:val="00E940BC"/>
    <w:rsid w:val="00E94CB8"/>
    <w:rsid w:val="00E950B5"/>
    <w:rsid w:val="00E9592E"/>
    <w:rsid w:val="00E95EA4"/>
    <w:rsid w:val="00E97160"/>
    <w:rsid w:val="00EA06B1"/>
    <w:rsid w:val="00EA073A"/>
    <w:rsid w:val="00EA095C"/>
    <w:rsid w:val="00EA0E58"/>
    <w:rsid w:val="00EA25AB"/>
    <w:rsid w:val="00EA2CCD"/>
    <w:rsid w:val="00EA2DF5"/>
    <w:rsid w:val="00EA319C"/>
    <w:rsid w:val="00EA32EC"/>
    <w:rsid w:val="00EA4178"/>
    <w:rsid w:val="00EA4E67"/>
    <w:rsid w:val="00EA4E92"/>
    <w:rsid w:val="00EA53EC"/>
    <w:rsid w:val="00EA5CF5"/>
    <w:rsid w:val="00EA651E"/>
    <w:rsid w:val="00EA6571"/>
    <w:rsid w:val="00EA65FB"/>
    <w:rsid w:val="00EA799F"/>
    <w:rsid w:val="00EB0CF8"/>
    <w:rsid w:val="00EB1102"/>
    <w:rsid w:val="00EB214F"/>
    <w:rsid w:val="00EB2346"/>
    <w:rsid w:val="00EB28E3"/>
    <w:rsid w:val="00EB2CCE"/>
    <w:rsid w:val="00EB3036"/>
    <w:rsid w:val="00EB382D"/>
    <w:rsid w:val="00EB4960"/>
    <w:rsid w:val="00EB54D4"/>
    <w:rsid w:val="00EB5638"/>
    <w:rsid w:val="00EB5DF6"/>
    <w:rsid w:val="00EB678A"/>
    <w:rsid w:val="00EB6DFA"/>
    <w:rsid w:val="00EB7292"/>
    <w:rsid w:val="00EC00C2"/>
    <w:rsid w:val="00EC0A6A"/>
    <w:rsid w:val="00EC0B00"/>
    <w:rsid w:val="00EC0F79"/>
    <w:rsid w:val="00EC1492"/>
    <w:rsid w:val="00EC1C92"/>
    <w:rsid w:val="00EC20F9"/>
    <w:rsid w:val="00EC210A"/>
    <w:rsid w:val="00EC2A53"/>
    <w:rsid w:val="00EC2B08"/>
    <w:rsid w:val="00EC361B"/>
    <w:rsid w:val="00EC377B"/>
    <w:rsid w:val="00EC38E7"/>
    <w:rsid w:val="00EC4518"/>
    <w:rsid w:val="00EC4BC9"/>
    <w:rsid w:val="00EC4CC2"/>
    <w:rsid w:val="00EC4CD0"/>
    <w:rsid w:val="00EC545E"/>
    <w:rsid w:val="00EC5520"/>
    <w:rsid w:val="00EC5528"/>
    <w:rsid w:val="00EC5B2B"/>
    <w:rsid w:val="00EC5CED"/>
    <w:rsid w:val="00EC5DCF"/>
    <w:rsid w:val="00EC6468"/>
    <w:rsid w:val="00EC765E"/>
    <w:rsid w:val="00EC78BA"/>
    <w:rsid w:val="00EC7AA6"/>
    <w:rsid w:val="00ED0AD6"/>
    <w:rsid w:val="00ED146B"/>
    <w:rsid w:val="00ED1747"/>
    <w:rsid w:val="00ED1E2B"/>
    <w:rsid w:val="00ED2FCB"/>
    <w:rsid w:val="00ED32C8"/>
    <w:rsid w:val="00ED3533"/>
    <w:rsid w:val="00ED38E7"/>
    <w:rsid w:val="00ED3D2C"/>
    <w:rsid w:val="00ED3EA6"/>
    <w:rsid w:val="00ED42DF"/>
    <w:rsid w:val="00ED53DF"/>
    <w:rsid w:val="00ED5977"/>
    <w:rsid w:val="00ED6037"/>
    <w:rsid w:val="00ED69B5"/>
    <w:rsid w:val="00ED6D75"/>
    <w:rsid w:val="00ED7439"/>
    <w:rsid w:val="00EE087D"/>
    <w:rsid w:val="00EE0F13"/>
    <w:rsid w:val="00EE203D"/>
    <w:rsid w:val="00EE236F"/>
    <w:rsid w:val="00EE247E"/>
    <w:rsid w:val="00EE25C4"/>
    <w:rsid w:val="00EE2810"/>
    <w:rsid w:val="00EE2ED1"/>
    <w:rsid w:val="00EE30DD"/>
    <w:rsid w:val="00EE3458"/>
    <w:rsid w:val="00EE348A"/>
    <w:rsid w:val="00EE3515"/>
    <w:rsid w:val="00EE44BE"/>
    <w:rsid w:val="00EE47D1"/>
    <w:rsid w:val="00EE4CA6"/>
    <w:rsid w:val="00EE567D"/>
    <w:rsid w:val="00EE60B6"/>
    <w:rsid w:val="00EE62C3"/>
    <w:rsid w:val="00EE6C76"/>
    <w:rsid w:val="00EE7B19"/>
    <w:rsid w:val="00EE7DC9"/>
    <w:rsid w:val="00EE7EAA"/>
    <w:rsid w:val="00EE7F4A"/>
    <w:rsid w:val="00EF043D"/>
    <w:rsid w:val="00EF0486"/>
    <w:rsid w:val="00EF0DE6"/>
    <w:rsid w:val="00EF1CFE"/>
    <w:rsid w:val="00EF1D11"/>
    <w:rsid w:val="00EF3394"/>
    <w:rsid w:val="00EF34A6"/>
    <w:rsid w:val="00EF37AD"/>
    <w:rsid w:val="00EF3BE8"/>
    <w:rsid w:val="00EF4550"/>
    <w:rsid w:val="00EF4A61"/>
    <w:rsid w:val="00EF4D82"/>
    <w:rsid w:val="00EF50A0"/>
    <w:rsid w:val="00EF5653"/>
    <w:rsid w:val="00EF6365"/>
    <w:rsid w:val="00EF63B5"/>
    <w:rsid w:val="00EF6A01"/>
    <w:rsid w:val="00EF6A34"/>
    <w:rsid w:val="00EF6D29"/>
    <w:rsid w:val="00EF7CAB"/>
    <w:rsid w:val="00F00124"/>
    <w:rsid w:val="00F00508"/>
    <w:rsid w:val="00F0125F"/>
    <w:rsid w:val="00F01A73"/>
    <w:rsid w:val="00F01EBC"/>
    <w:rsid w:val="00F02481"/>
    <w:rsid w:val="00F02D55"/>
    <w:rsid w:val="00F02E62"/>
    <w:rsid w:val="00F02F3C"/>
    <w:rsid w:val="00F03403"/>
    <w:rsid w:val="00F03515"/>
    <w:rsid w:val="00F0373E"/>
    <w:rsid w:val="00F03FBF"/>
    <w:rsid w:val="00F04774"/>
    <w:rsid w:val="00F04F85"/>
    <w:rsid w:val="00F05705"/>
    <w:rsid w:val="00F05D9E"/>
    <w:rsid w:val="00F06267"/>
    <w:rsid w:val="00F06BC7"/>
    <w:rsid w:val="00F06E7F"/>
    <w:rsid w:val="00F07245"/>
    <w:rsid w:val="00F073B8"/>
    <w:rsid w:val="00F075FA"/>
    <w:rsid w:val="00F078D4"/>
    <w:rsid w:val="00F07922"/>
    <w:rsid w:val="00F07B17"/>
    <w:rsid w:val="00F1081E"/>
    <w:rsid w:val="00F10E86"/>
    <w:rsid w:val="00F11CC8"/>
    <w:rsid w:val="00F122E7"/>
    <w:rsid w:val="00F1268B"/>
    <w:rsid w:val="00F13591"/>
    <w:rsid w:val="00F13636"/>
    <w:rsid w:val="00F13DC2"/>
    <w:rsid w:val="00F14FFC"/>
    <w:rsid w:val="00F1551D"/>
    <w:rsid w:val="00F156F7"/>
    <w:rsid w:val="00F15BF6"/>
    <w:rsid w:val="00F162A2"/>
    <w:rsid w:val="00F16593"/>
    <w:rsid w:val="00F16A49"/>
    <w:rsid w:val="00F176F1"/>
    <w:rsid w:val="00F17867"/>
    <w:rsid w:val="00F200DC"/>
    <w:rsid w:val="00F20263"/>
    <w:rsid w:val="00F2047C"/>
    <w:rsid w:val="00F2047E"/>
    <w:rsid w:val="00F20B49"/>
    <w:rsid w:val="00F21A86"/>
    <w:rsid w:val="00F22080"/>
    <w:rsid w:val="00F22D50"/>
    <w:rsid w:val="00F23054"/>
    <w:rsid w:val="00F23351"/>
    <w:rsid w:val="00F233FF"/>
    <w:rsid w:val="00F23C8A"/>
    <w:rsid w:val="00F24279"/>
    <w:rsid w:val="00F24341"/>
    <w:rsid w:val="00F2462B"/>
    <w:rsid w:val="00F24E5E"/>
    <w:rsid w:val="00F24FE6"/>
    <w:rsid w:val="00F253DF"/>
    <w:rsid w:val="00F25917"/>
    <w:rsid w:val="00F25C99"/>
    <w:rsid w:val="00F262BD"/>
    <w:rsid w:val="00F2661A"/>
    <w:rsid w:val="00F276B8"/>
    <w:rsid w:val="00F278B1"/>
    <w:rsid w:val="00F27995"/>
    <w:rsid w:val="00F27B61"/>
    <w:rsid w:val="00F27C36"/>
    <w:rsid w:val="00F302B5"/>
    <w:rsid w:val="00F307BF"/>
    <w:rsid w:val="00F323C2"/>
    <w:rsid w:val="00F325F2"/>
    <w:rsid w:val="00F34DA3"/>
    <w:rsid w:val="00F35B51"/>
    <w:rsid w:val="00F360AC"/>
    <w:rsid w:val="00F364FB"/>
    <w:rsid w:val="00F36B01"/>
    <w:rsid w:val="00F370D0"/>
    <w:rsid w:val="00F37687"/>
    <w:rsid w:val="00F37FBA"/>
    <w:rsid w:val="00F4014F"/>
    <w:rsid w:val="00F401AE"/>
    <w:rsid w:val="00F412AE"/>
    <w:rsid w:val="00F412ED"/>
    <w:rsid w:val="00F4179F"/>
    <w:rsid w:val="00F418DD"/>
    <w:rsid w:val="00F41CE1"/>
    <w:rsid w:val="00F42197"/>
    <w:rsid w:val="00F4221D"/>
    <w:rsid w:val="00F426FC"/>
    <w:rsid w:val="00F42995"/>
    <w:rsid w:val="00F44348"/>
    <w:rsid w:val="00F44835"/>
    <w:rsid w:val="00F45946"/>
    <w:rsid w:val="00F45AF0"/>
    <w:rsid w:val="00F4617F"/>
    <w:rsid w:val="00F46E7A"/>
    <w:rsid w:val="00F47422"/>
    <w:rsid w:val="00F4773F"/>
    <w:rsid w:val="00F47AE1"/>
    <w:rsid w:val="00F5007C"/>
    <w:rsid w:val="00F50DD7"/>
    <w:rsid w:val="00F510AF"/>
    <w:rsid w:val="00F51465"/>
    <w:rsid w:val="00F52274"/>
    <w:rsid w:val="00F52354"/>
    <w:rsid w:val="00F5271C"/>
    <w:rsid w:val="00F53AAF"/>
    <w:rsid w:val="00F5494B"/>
    <w:rsid w:val="00F54B7E"/>
    <w:rsid w:val="00F55C97"/>
    <w:rsid w:val="00F560C2"/>
    <w:rsid w:val="00F5619D"/>
    <w:rsid w:val="00F5625E"/>
    <w:rsid w:val="00F563B9"/>
    <w:rsid w:val="00F564F2"/>
    <w:rsid w:val="00F56ECE"/>
    <w:rsid w:val="00F5710B"/>
    <w:rsid w:val="00F571D0"/>
    <w:rsid w:val="00F576F5"/>
    <w:rsid w:val="00F57DC7"/>
    <w:rsid w:val="00F604D5"/>
    <w:rsid w:val="00F6065F"/>
    <w:rsid w:val="00F614CA"/>
    <w:rsid w:val="00F61D88"/>
    <w:rsid w:val="00F6265D"/>
    <w:rsid w:val="00F62C63"/>
    <w:rsid w:val="00F62E09"/>
    <w:rsid w:val="00F62F49"/>
    <w:rsid w:val="00F64C1C"/>
    <w:rsid w:val="00F6539E"/>
    <w:rsid w:val="00F6577A"/>
    <w:rsid w:val="00F65DC7"/>
    <w:rsid w:val="00F66F77"/>
    <w:rsid w:val="00F66FEB"/>
    <w:rsid w:val="00F678DE"/>
    <w:rsid w:val="00F67A8D"/>
    <w:rsid w:val="00F67EB5"/>
    <w:rsid w:val="00F700A8"/>
    <w:rsid w:val="00F70CAA"/>
    <w:rsid w:val="00F710F4"/>
    <w:rsid w:val="00F7137A"/>
    <w:rsid w:val="00F719FB"/>
    <w:rsid w:val="00F71D3F"/>
    <w:rsid w:val="00F7271F"/>
    <w:rsid w:val="00F72CC9"/>
    <w:rsid w:val="00F72EE6"/>
    <w:rsid w:val="00F73182"/>
    <w:rsid w:val="00F732A6"/>
    <w:rsid w:val="00F73E90"/>
    <w:rsid w:val="00F75762"/>
    <w:rsid w:val="00F758CD"/>
    <w:rsid w:val="00F75913"/>
    <w:rsid w:val="00F7626A"/>
    <w:rsid w:val="00F773F9"/>
    <w:rsid w:val="00F77C52"/>
    <w:rsid w:val="00F806DC"/>
    <w:rsid w:val="00F83944"/>
    <w:rsid w:val="00F83CA0"/>
    <w:rsid w:val="00F83E95"/>
    <w:rsid w:val="00F84006"/>
    <w:rsid w:val="00F841AD"/>
    <w:rsid w:val="00F84432"/>
    <w:rsid w:val="00F84745"/>
    <w:rsid w:val="00F84A1E"/>
    <w:rsid w:val="00F8679B"/>
    <w:rsid w:val="00F86938"/>
    <w:rsid w:val="00F86C1E"/>
    <w:rsid w:val="00F87CE5"/>
    <w:rsid w:val="00F914BF"/>
    <w:rsid w:val="00F91713"/>
    <w:rsid w:val="00F91D5F"/>
    <w:rsid w:val="00F931EB"/>
    <w:rsid w:val="00F93A14"/>
    <w:rsid w:val="00F93F5B"/>
    <w:rsid w:val="00F945DB"/>
    <w:rsid w:val="00F94799"/>
    <w:rsid w:val="00F965F0"/>
    <w:rsid w:val="00F96730"/>
    <w:rsid w:val="00F96CD3"/>
    <w:rsid w:val="00F97F2A"/>
    <w:rsid w:val="00F97FE8"/>
    <w:rsid w:val="00FA0180"/>
    <w:rsid w:val="00FA025E"/>
    <w:rsid w:val="00FA0E66"/>
    <w:rsid w:val="00FA0FD1"/>
    <w:rsid w:val="00FA144B"/>
    <w:rsid w:val="00FA1708"/>
    <w:rsid w:val="00FA1E01"/>
    <w:rsid w:val="00FA2417"/>
    <w:rsid w:val="00FA2427"/>
    <w:rsid w:val="00FA27E3"/>
    <w:rsid w:val="00FA304E"/>
    <w:rsid w:val="00FA31E7"/>
    <w:rsid w:val="00FA3211"/>
    <w:rsid w:val="00FA32FF"/>
    <w:rsid w:val="00FA35D5"/>
    <w:rsid w:val="00FA5A58"/>
    <w:rsid w:val="00FA6366"/>
    <w:rsid w:val="00FA6753"/>
    <w:rsid w:val="00FA6F05"/>
    <w:rsid w:val="00FA792F"/>
    <w:rsid w:val="00FA7ADD"/>
    <w:rsid w:val="00FB00CF"/>
    <w:rsid w:val="00FB0360"/>
    <w:rsid w:val="00FB0582"/>
    <w:rsid w:val="00FB0607"/>
    <w:rsid w:val="00FB256A"/>
    <w:rsid w:val="00FB2809"/>
    <w:rsid w:val="00FB4068"/>
    <w:rsid w:val="00FB4FCC"/>
    <w:rsid w:val="00FB5332"/>
    <w:rsid w:val="00FB59EA"/>
    <w:rsid w:val="00FB5BD1"/>
    <w:rsid w:val="00FB617F"/>
    <w:rsid w:val="00FB6985"/>
    <w:rsid w:val="00FC0124"/>
    <w:rsid w:val="00FC076D"/>
    <w:rsid w:val="00FC0AF8"/>
    <w:rsid w:val="00FC103A"/>
    <w:rsid w:val="00FC11C0"/>
    <w:rsid w:val="00FC16D8"/>
    <w:rsid w:val="00FC1D44"/>
    <w:rsid w:val="00FC204C"/>
    <w:rsid w:val="00FC2FB6"/>
    <w:rsid w:val="00FC3D79"/>
    <w:rsid w:val="00FC4508"/>
    <w:rsid w:val="00FC4B46"/>
    <w:rsid w:val="00FC5038"/>
    <w:rsid w:val="00FC5854"/>
    <w:rsid w:val="00FC5A76"/>
    <w:rsid w:val="00FC60C8"/>
    <w:rsid w:val="00FC7128"/>
    <w:rsid w:val="00FC76EF"/>
    <w:rsid w:val="00FC7E78"/>
    <w:rsid w:val="00FC7FFB"/>
    <w:rsid w:val="00FD07DC"/>
    <w:rsid w:val="00FD0DDC"/>
    <w:rsid w:val="00FD1E9F"/>
    <w:rsid w:val="00FD1EF4"/>
    <w:rsid w:val="00FD1FAE"/>
    <w:rsid w:val="00FD224A"/>
    <w:rsid w:val="00FD25CE"/>
    <w:rsid w:val="00FD30B0"/>
    <w:rsid w:val="00FD3FC7"/>
    <w:rsid w:val="00FD43C3"/>
    <w:rsid w:val="00FD499B"/>
    <w:rsid w:val="00FD51CD"/>
    <w:rsid w:val="00FD5DD1"/>
    <w:rsid w:val="00FD5E25"/>
    <w:rsid w:val="00FD6502"/>
    <w:rsid w:val="00FD6AE1"/>
    <w:rsid w:val="00FD6B0A"/>
    <w:rsid w:val="00FD7187"/>
    <w:rsid w:val="00FD7B31"/>
    <w:rsid w:val="00FE08EB"/>
    <w:rsid w:val="00FE0BC0"/>
    <w:rsid w:val="00FE18C0"/>
    <w:rsid w:val="00FE1947"/>
    <w:rsid w:val="00FE1E42"/>
    <w:rsid w:val="00FE1FC4"/>
    <w:rsid w:val="00FE2995"/>
    <w:rsid w:val="00FE2CC5"/>
    <w:rsid w:val="00FE30B8"/>
    <w:rsid w:val="00FE3C22"/>
    <w:rsid w:val="00FE3FE2"/>
    <w:rsid w:val="00FE4514"/>
    <w:rsid w:val="00FE495F"/>
    <w:rsid w:val="00FE50E9"/>
    <w:rsid w:val="00FE5BF9"/>
    <w:rsid w:val="00FE5CD0"/>
    <w:rsid w:val="00FE5D2A"/>
    <w:rsid w:val="00FE5E23"/>
    <w:rsid w:val="00FE63E8"/>
    <w:rsid w:val="00FE6406"/>
    <w:rsid w:val="00FE67F9"/>
    <w:rsid w:val="00FE6921"/>
    <w:rsid w:val="00FE6A6E"/>
    <w:rsid w:val="00FE6F9F"/>
    <w:rsid w:val="00FF026F"/>
    <w:rsid w:val="00FF0AB3"/>
    <w:rsid w:val="00FF1199"/>
    <w:rsid w:val="00FF13CC"/>
    <w:rsid w:val="00FF1BC3"/>
    <w:rsid w:val="00FF282E"/>
    <w:rsid w:val="00FF2B7A"/>
    <w:rsid w:val="00FF2BB1"/>
    <w:rsid w:val="00FF37A9"/>
    <w:rsid w:val="00FF3895"/>
    <w:rsid w:val="00FF4654"/>
    <w:rsid w:val="00FF517E"/>
    <w:rsid w:val="00FF6096"/>
    <w:rsid w:val="00FF6EBA"/>
    <w:rsid w:val="00FF7B7A"/>
    <w:rsid w:val="00FF7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3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33" w:unhideWhenUsed="1" w:qFormat="1"/>
    <w:lsdException w:name="heading 3" w:semiHidden="1" w:uiPriority="33" w:unhideWhenUsed="1" w:qFormat="1"/>
    <w:lsdException w:name="heading 4" w:semiHidden="1" w:uiPriority="33" w:unhideWhenUsed="1" w:qFormat="1"/>
    <w:lsdException w:name="heading 5" w:semiHidden="1" w:uiPriority="33" w:unhideWhenUsed="1" w:qFormat="1"/>
    <w:lsdException w:name="heading 6" w:semiHidden="1" w:uiPriority="33"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qFormat/>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qFormat/>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qFormat/>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qFormat/>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qFormat/>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link w:val="ListParagraphChar"/>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qFormat/>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ED32C8"/>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0D2F4B"/>
    <w:pPr>
      <w:keepNext/>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har"/>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99"/>
    <w:qFormat/>
    <w:rsid w:val="00EE47D1"/>
    <w:rPr>
      <w:sz w:val="18"/>
      <w:szCs w:val="20"/>
    </w:rPr>
  </w:style>
  <w:style w:type="character" w:styleId="FootnoteReference">
    <w:name w:val="footnote reference"/>
    <w:aliases w:val="A4 Footnote Reference,Ref,de nota al pie,註腳內容,de nota al pie + (Asian) MS Mincho,11 pt,Footnote Reference1,Ref1,de nota al pie1,????,註?腳Ò®é»,11 p,註?腳內—e,-E Fußnotenzeichen,16 Point,Superscript 6 Point,Ref... + Auto,Not ...,註??腳內—e,11"/>
    <w:basedOn w:val="DefaultParagraphFont"/>
    <w:link w:val="CharChar6CharCharCharCharCharChar"/>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166E61"/>
    <w:rPr>
      <w:sz w:val="16"/>
      <w:szCs w:val="16"/>
    </w:rPr>
  </w:style>
  <w:style w:type="paragraph" w:styleId="CommentText">
    <w:name w:val="annotation text"/>
    <w:basedOn w:val="Normal"/>
    <w:link w:val="CommentTextChar"/>
    <w:uiPriority w:val="99"/>
    <w:unhideWhenUsed/>
    <w:rsid w:val="00166E61"/>
    <w:pPr>
      <w:spacing w:line="240" w:lineRule="auto"/>
    </w:pPr>
    <w:rPr>
      <w:sz w:val="20"/>
      <w:szCs w:val="20"/>
    </w:rPr>
  </w:style>
  <w:style w:type="character" w:customStyle="1" w:styleId="CommentTextChar">
    <w:name w:val="Comment Text Char"/>
    <w:basedOn w:val="DefaultParagraphFont"/>
    <w:link w:val="CommentText"/>
    <w:uiPriority w:val="99"/>
    <w:rsid w:val="00166E61"/>
    <w:rPr>
      <w:sz w:val="20"/>
      <w:szCs w:val="20"/>
    </w:rPr>
  </w:style>
  <w:style w:type="paragraph" w:styleId="CommentSubject">
    <w:name w:val="annotation subject"/>
    <w:basedOn w:val="CommentText"/>
    <w:next w:val="CommentText"/>
    <w:link w:val="CommentSubjectChar"/>
    <w:uiPriority w:val="99"/>
    <w:semiHidden/>
    <w:unhideWhenUsed/>
    <w:rsid w:val="00166E61"/>
    <w:rPr>
      <w:b/>
      <w:bCs/>
    </w:rPr>
  </w:style>
  <w:style w:type="character" w:customStyle="1" w:styleId="CommentSubjectChar">
    <w:name w:val="Comment Subject Char"/>
    <w:basedOn w:val="CommentTextChar"/>
    <w:link w:val="CommentSubject"/>
    <w:uiPriority w:val="99"/>
    <w:semiHidden/>
    <w:rsid w:val="00166E61"/>
    <w:rPr>
      <w:b/>
      <w:bCs/>
      <w:sz w:val="20"/>
      <w:szCs w:val="20"/>
    </w:rPr>
  </w:style>
  <w:style w:type="paragraph" w:customStyle="1" w:styleId="CharChar6CharCharCharCharCharChar">
    <w:name w:val="Char Char6 Char Char Char Char Char Char"/>
    <w:aliases w:val="Char6 Char Char Char Char Char Char Char"/>
    <w:basedOn w:val="Normal"/>
    <w:link w:val="FootnoteReference"/>
    <w:uiPriority w:val="99"/>
    <w:qFormat/>
    <w:rsid w:val="00166E61"/>
    <w:pPr>
      <w:spacing w:after="0"/>
      <w:jc w:val="center"/>
    </w:pPr>
    <w:rPr>
      <w:vertAlign w:val="superscript"/>
    </w:rPr>
  </w:style>
  <w:style w:type="paragraph" w:customStyle="1" w:styleId="A4Footnote">
    <w:name w:val="A4 Footnote"/>
    <w:basedOn w:val="Normal"/>
    <w:link w:val="A4FootnoteChar"/>
    <w:autoRedefine/>
    <w:qFormat/>
    <w:rsid w:val="00166E61"/>
    <w:pPr>
      <w:spacing w:after="0" w:line="240" w:lineRule="auto"/>
      <w:jc w:val="left"/>
    </w:pPr>
    <w:rPr>
      <w:rFonts w:ascii="Times New Roman" w:eastAsia="Times New Roman" w:hAnsi="Times New Roman" w:cs="Times New Roman"/>
      <w:sz w:val="20"/>
      <w:szCs w:val="20"/>
      <w:lang w:eastAsia="en-AU"/>
    </w:rPr>
  </w:style>
  <w:style w:type="character" w:customStyle="1" w:styleId="A4FootnoteChar">
    <w:name w:val="A4 Footnote Char"/>
    <w:link w:val="A4Footnote"/>
    <w:rsid w:val="00166E61"/>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66E61"/>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ListParagraphChar">
    <w:name w:val="List Paragraph Char"/>
    <w:basedOn w:val="DefaultParagraphFont"/>
    <w:link w:val="ListParagraph"/>
    <w:uiPriority w:val="34"/>
    <w:qFormat/>
    <w:locked/>
    <w:rsid w:val="00BE439A"/>
  </w:style>
  <w:style w:type="character" w:customStyle="1" w:styleId="DefaultFontHxMailStyle">
    <w:name w:val="Default Font HxMail Style"/>
    <w:basedOn w:val="DefaultParagraphFont"/>
    <w:rsid w:val="0001786D"/>
    <w:rPr>
      <w:rFonts w:ascii="Arial" w:hAnsi="Arial" w:cs="Arial" w:hint="default"/>
      <w:b w:val="0"/>
      <w:bCs w:val="0"/>
      <w:i w:val="0"/>
      <w:iCs w:val="0"/>
      <w:strike w:val="0"/>
      <w:dstrike w:val="0"/>
      <w:color w:val="auto"/>
      <w:u w:val="none"/>
      <w:effect w:val="none"/>
    </w:rPr>
  </w:style>
  <w:style w:type="character" w:customStyle="1" w:styleId="hw">
    <w:name w:val="hw"/>
    <w:basedOn w:val="DefaultParagraphFont"/>
    <w:rsid w:val="00FE30B8"/>
  </w:style>
  <w:style w:type="character" w:customStyle="1" w:styleId="pos">
    <w:name w:val="pos"/>
    <w:basedOn w:val="DefaultParagraphFont"/>
    <w:rsid w:val="00FE30B8"/>
  </w:style>
  <w:style w:type="character" w:customStyle="1" w:styleId="guideword">
    <w:name w:val="guideword"/>
    <w:basedOn w:val="DefaultParagraphFont"/>
    <w:rsid w:val="00FE30B8"/>
  </w:style>
  <w:style w:type="character" w:customStyle="1" w:styleId="eg">
    <w:name w:val="eg"/>
    <w:basedOn w:val="DefaultParagraphFont"/>
    <w:rsid w:val="00FE30B8"/>
  </w:style>
  <w:style w:type="character" w:customStyle="1" w:styleId="dttext">
    <w:name w:val="dttext"/>
    <w:basedOn w:val="DefaultParagraphFont"/>
    <w:rsid w:val="00FE30B8"/>
  </w:style>
  <w:style w:type="character" w:styleId="Strong">
    <w:name w:val="Strong"/>
    <w:basedOn w:val="DefaultParagraphFont"/>
    <w:uiPriority w:val="22"/>
    <w:qFormat/>
    <w:rsid w:val="00FE30B8"/>
    <w:rPr>
      <w:b/>
      <w:bCs/>
    </w:rPr>
  </w:style>
  <w:style w:type="character" w:customStyle="1" w:styleId="ex-sent">
    <w:name w:val="ex-sent"/>
    <w:basedOn w:val="DefaultParagraphFont"/>
    <w:rsid w:val="00FE30B8"/>
  </w:style>
  <w:style w:type="character" w:customStyle="1" w:styleId="mwtwi">
    <w:name w:val="mw_t_wi"/>
    <w:basedOn w:val="DefaultParagraphFont"/>
    <w:rsid w:val="00FE30B8"/>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uiPriority w:val="1"/>
    <w:qFormat/>
    <w:rsid w:val="00FE30B8"/>
    <w:pPr>
      <w:spacing w:after="240" w:line="240" w:lineRule="auto"/>
    </w:pPr>
    <w:rPr>
      <w:rFonts w:ascii="Verdana" w:eastAsiaTheme="minorEastAsia" w:hAnsi="Verdana"/>
      <w:sz w:val="18"/>
      <w:szCs w:val="22"/>
      <w:lang w:val="en-GB"/>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basedOn w:val="DefaultParagraphFont"/>
    <w:link w:val="BodyText"/>
    <w:uiPriority w:val="1"/>
    <w:rsid w:val="00FE30B8"/>
    <w:rPr>
      <w:rFonts w:ascii="Verdana" w:eastAsiaTheme="minorEastAsia" w:hAnsi="Verdana"/>
      <w:sz w:val="18"/>
      <w:szCs w:val="22"/>
      <w:lang w:val="en-GB"/>
    </w:rPr>
  </w:style>
  <w:style w:type="paragraph" w:styleId="BodyText2">
    <w:name w:val="Body Text 2"/>
    <w:aliases w:val="b2"/>
    <w:basedOn w:val="Normal"/>
    <w:link w:val="BodyText2Char"/>
    <w:uiPriority w:val="1"/>
    <w:qFormat/>
    <w:rsid w:val="00FE30B8"/>
    <w:pPr>
      <w:tabs>
        <w:tab w:val="left" w:pos="1134"/>
      </w:tabs>
      <w:spacing w:after="240" w:line="240" w:lineRule="auto"/>
      <w:ind w:left="1134" w:hanging="567"/>
    </w:pPr>
    <w:rPr>
      <w:rFonts w:ascii="Verdana" w:eastAsiaTheme="minorEastAsia" w:hAnsi="Verdana"/>
      <w:sz w:val="18"/>
      <w:szCs w:val="22"/>
      <w:lang w:val="en-GB"/>
    </w:rPr>
  </w:style>
  <w:style w:type="character" w:customStyle="1" w:styleId="BodyText2Char">
    <w:name w:val="Body Text 2 Char"/>
    <w:aliases w:val="b2 Char"/>
    <w:basedOn w:val="DefaultParagraphFont"/>
    <w:link w:val="BodyText2"/>
    <w:uiPriority w:val="1"/>
    <w:rsid w:val="00FE30B8"/>
    <w:rPr>
      <w:rFonts w:ascii="Verdana" w:eastAsiaTheme="minorEastAsia" w:hAnsi="Verdana"/>
      <w:sz w:val="18"/>
      <w:szCs w:val="22"/>
      <w:lang w:val="en-GB"/>
    </w:rPr>
  </w:style>
  <w:style w:type="paragraph" w:styleId="BodyText3">
    <w:name w:val="Body Text 3"/>
    <w:aliases w:val="b3"/>
    <w:basedOn w:val="Normal"/>
    <w:link w:val="BodyText3Char"/>
    <w:uiPriority w:val="1"/>
    <w:qFormat/>
    <w:rsid w:val="00FE30B8"/>
    <w:pPr>
      <w:tabs>
        <w:tab w:val="num" w:pos="1701"/>
      </w:tabs>
      <w:spacing w:after="240" w:line="240" w:lineRule="auto"/>
      <w:ind w:left="1701" w:hanging="567"/>
    </w:pPr>
    <w:rPr>
      <w:rFonts w:ascii="Verdana" w:eastAsiaTheme="minorEastAsia" w:hAnsi="Verdana"/>
      <w:sz w:val="18"/>
      <w:szCs w:val="16"/>
      <w:lang w:val="en-GB"/>
    </w:rPr>
  </w:style>
  <w:style w:type="character" w:customStyle="1" w:styleId="BodyText3Char">
    <w:name w:val="Body Text 3 Char"/>
    <w:aliases w:val="b3 Char"/>
    <w:basedOn w:val="DefaultParagraphFont"/>
    <w:link w:val="BodyText3"/>
    <w:uiPriority w:val="1"/>
    <w:rsid w:val="00FE30B8"/>
    <w:rPr>
      <w:rFonts w:ascii="Verdana" w:eastAsiaTheme="minorEastAsia" w:hAnsi="Verdana"/>
      <w:sz w:val="18"/>
      <w:szCs w:val="16"/>
      <w:lang w:val="en-GB"/>
    </w:rPr>
  </w:style>
  <w:style w:type="numbering" w:customStyle="1" w:styleId="LegalHeadings">
    <w:name w:val="LegalHeadings"/>
    <w:uiPriority w:val="99"/>
    <w:rsid w:val="00FE30B8"/>
    <w:pPr>
      <w:numPr>
        <w:numId w:val="28"/>
      </w:numPr>
    </w:pPr>
  </w:style>
  <w:style w:type="paragraph" w:customStyle="1" w:styleId="WTONumbered">
    <w:name w:val="WTO (Numbered)"/>
    <w:basedOn w:val="Normal"/>
    <w:link w:val="WTONumbered0"/>
    <w:qFormat/>
    <w:rsid w:val="00FE30B8"/>
    <w:pPr>
      <w:spacing w:after="240" w:line="240" w:lineRule="auto"/>
      <w:jc w:val="left"/>
    </w:pPr>
    <w:rPr>
      <w:rFonts w:ascii="Times New Roman" w:eastAsiaTheme="minorEastAsia" w:hAnsi="Times New Roman"/>
      <w:lang w:val="en-GB"/>
    </w:rPr>
  </w:style>
  <w:style w:type="character" w:customStyle="1" w:styleId="WTONumbered0">
    <w:name w:val="WTO (Numbered) 字符"/>
    <w:basedOn w:val="DefaultParagraphFont"/>
    <w:link w:val="WTONumbered"/>
    <w:rsid w:val="00FE30B8"/>
    <w:rPr>
      <w:rFonts w:ascii="Times New Roman" w:eastAsiaTheme="minorEastAsia" w:hAnsi="Times New Roman"/>
      <w:lang w:val="en-GB"/>
    </w:rPr>
  </w:style>
  <w:style w:type="table" w:styleId="ListTable7Colorful">
    <w:name w:val="List Table 7 Colorful"/>
    <w:basedOn w:val="TableNormal"/>
    <w:uiPriority w:val="52"/>
    <w:rsid w:val="005471B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5471B7"/>
    <w:pPr>
      <w:spacing w:after="200" w:line="240" w:lineRule="auto"/>
    </w:pPr>
    <w:rPr>
      <w:i/>
      <w:iCs/>
      <w:color w:val="44546A" w:themeColor="text2"/>
      <w:sz w:val="18"/>
      <w:szCs w:val="18"/>
    </w:rPr>
  </w:style>
  <w:style w:type="paragraph" w:customStyle="1" w:styleId="Default">
    <w:name w:val="Default"/>
    <w:rsid w:val="005471B7"/>
    <w:pPr>
      <w:autoSpaceDE w:val="0"/>
      <w:autoSpaceDN w:val="0"/>
      <w:adjustRightInd w:val="0"/>
      <w:spacing w:after="0" w:line="240" w:lineRule="auto"/>
      <w:jc w:val="left"/>
    </w:pPr>
    <w:rPr>
      <w:rFonts w:ascii="Times New Roman" w:hAnsi="Times New Roman" w:cs="Times New Roman"/>
      <w:color w:val="000000"/>
    </w:rPr>
  </w:style>
  <w:style w:type="paragraph" w:customStyle="1" w:styleId="Barley-HeadingLevel6">
    <w:name w:val="Barley - Heading Level 6"/>
    <w:basedOn w:val="HL5HeadingLevel5"/>
    <w:link w:val="Barley-HeadingLevel6Char"/>
    <w:qFormat/>
    <w:rsid w:val="002F73D1"/>
    <w:pPr>
      <w:numPr>
        <w:ilvl w:val="0"/>
        <w:numId w:val="36"/>
      </w:numPr>
    </w:pPr>
    <w:rPr>
      <w:i w:val="0"/>
      <w:iCs/>
    </w:rPr>
  </w:style>
  <w:style w:type="character" w:customStyle="1" w:styleId="Barley-HeadingLevel6Char">
    <w:name w:val="Barley - Heading Level 6 Char"/>
    <w:basedOn w:val="HL5HeadingLevel5Char"/>
    <w:link w:val="Barley-HeadingLevel6"/>
    <w:rsid w:val="002F73D1"/>
    <w:rPr>
      <w:rFonts w:eastAsiaTheme="majorEastAsia" w:cstheme="majorBidi"/>
      <w:i w:val="0"/>
      <w:iCs/>
    </w:rPr>
  </w:style>
  <w:style w:type="character" w:customStyle="1" w:styleId="cf01">
    <w:name w:val="cf01"/>
    <w:basedOn w:val="DefaultParagraphFont"/>
    <w:rsid w:val="008A0DFF"/>
    <w:rPr>
      <w:rFonts w:ascii="Segoe UI" w:hAnsi="Segoe UI" w:cs="Segoe UI" w:hint="default"/>
      <w:color w:val="2F5597"/>
      <w:sz w:val="18"/>
      <w:szCs w:val="18"/>
    </w:rPr>
  </w:style>
  <w:style w:type="character" w:styleId="FollowedHyperlink">
    <w:name w:val="FollowedHyperlink"/>
    <w:basedOn w:val="DefaultParagraphFont"/>
    <w:uiPriority w:val="99"/>
    <w:semiHidden/>
    <w:unhideWhenUsed/>
    <w:rsid w:val="005D0701"/>
    <w:rPr>
      <w:color w:val="954F72" w:themeColor="followedHyperlink"/>
      <w:u w:val="single"/>
    </w:rPr>
  </w:style>
  <w:style w:type="paragraph" w:styleId="Revision">
    <w:name w:val="Revision"/>
    <w:hidden/>
    <w:uiPriority w:val="99"/>
    <w:semiHidden/>
    <w:rsid w:val="005812B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2767">
      <w:bodyDiv w:val="1"/>
      <w:marLeft w:val="0"/>
      <w:marRight w:val="0"/>
      <w:marTop w:val="0"/>
      <w:marBottom w:val="0"/>
      <w:divBdr>
        <w:top w:val="none" w:sz="0" w:space="0" w:color="auto"/>
        <w:left w:val="none" w:sz="0" w:space="0" w:color="auto"/>
        <w:bottom w:val="none" w:sz="0" w:space="0" w:color="auto"/>
        <w:right w:val="none" w:sz="0" w:space="0" w:color="auto"/>
      </w:divBdr>
    </w:div>
    <w:div w:id="547227749">
      <w:bodyDiv w:val="1"/>
      <w:marLeft w:val="0"/>
      <w:marRight w:val="0"/>
      <w:marTop w:val="0"/>
      <w:marBottom w:val="0"/>
      <w:divBdr>
        <w:top w:val="none" w:sz="0" w:space="0" w:color="auto"/>
        <w:left w:val="none" w:sz="0" w:space="0" w:color="auto"/>
        <w:bottom w:val="none" w:sz="0" w:space="0" w:color="auto"/>
        <w:right w:val="none" w:sz="0" w:space="0" w:color="auto"/>
      </w:divBdr>
    </w:div>
    <w:div w:id="673072450">
      <w:bodyDiv w:val="1"/>
      <w:marLeft w:val="0"/>
      <w:marRight w:val="0"/>
      <w:marTop w:val="0"/>
      <w:marBottom w:val="0"/>
      <w:divBdr>
        <w:top w:val="none" w:sz="0" w:space="0" w:color="auto"/>
        <w:left w:val="none" w:sz="0" w:space="0" w:color="auto"/>
        <w:bottom w:val="none" w:sz="0" w:space="0" w:color="auto"/>
        <w:right w:val="none" w:sz="0" w:space="0" w:color="auto"/>
      </w:divBdr>
    </w:div>
    <w:div w:id="823855634">
      <w:bodyDiv w:val="1"/>
      <w:marLeft w:val="0"/>
      <w:marRight w:val="0"/>
      <w:marTop w:val="0"/>
      <w:marBottom w:val="0"/>
      <w:divBdr>
        <w:top w:val="none" w:sz="0" w:space="0" w:color="auto"/>
        <w:left w:val="none" w:sz="0" w:space="0" w:color="auto"/>
        <w:bottom w:val="none" w:sz="0" w:space="0" w:color="auto"/>
        <w:right w:val="none" w:sz="0" w:space="0" w:color="auto"/>
      </w:divBdr>
    </w:div>
    <w:div w:id="859126848">
      <w:bodyDiv w:val="1"/>
      <w:marLeft w:val="0"/>
      <w:marRight w:val="0"/>
      <w:marTop w:val="0"/>
      <w:marBottom w:val="0"/>
      <w:divBdr>
        <w:top w:val="none" w:sz="0" w:space="0" w:color="auto"/>
        <w:left w:val="none" w:sz="0" w:space="0" w:color="auto"/>
        <w:bottom w:val="none" w:sz="0" w:space="0" w:color="auto"/>
        <w:right w:val="none" w:sz="0" w:space="0" w:color="auto"/>
      </w:divBdr>
    </w:div>
    <w:div w:id="896353265">
      <w:bodyDiv w:val="1"/>
      <w:marLeft w:val="0"/>
      <w:marRight w:val="0"/>
      <w:marTop w:val="0"/>
      <w:marBottom w:val="0"/>
      <w:divBdr>
        <w:top w:val="none" w:sz="0" w:space="0" w:color="auto"/>
        <w:left w:val="none" w:sz="0" w:space="0" w:color="auto"/>
        <w:bottom w:val="none" w:sz="0" w:space="0" w:color="auto"/>
        <w:right w:val="none" w:sz="0" w:space="0" w:color="auto"/>
      </w:divBdr>
    </w:div>
    <w:div w:id="986740527">
      <w:bodyDiv w:val="1"/>
      <w:marLeft w:val="0"/>
      <w:marRight w:val="0"/>
      <w:marTop w:val="0"/>
      <w:marBottom w:val="0"/>
      <w:divBdr>
        <w:top w:val="none" w:sz="0" w:space="0" w:color="auto"/>
        <w:left w:val="none" w:sz="0" w:space="0" w:color="auto"/>
        <w:bottom w:val="none" w:sz="0" w:space="0" w:color="auto"/>
        <w:right w:val="none" w:sz="0" w:space="0" w:color="auto"/>
      </w:divBdr>
    </w:div>
    <w:div w:id="1006203015">
      <w:bodyDiv w:val="1"/>
      <w:marLeft w:val="0"/>
      <w:marRight w:val="0"/>
      <w:marTop w:val="0"/>
      <w:marBottom w:val="0"/>
      <w:divBdr>
        <w:top w:val="none" w:sz="0" w:space="0" w:color="auto"/>
        <w:left w:val="none" w:sz="0" w:space="0" w:color="auto"/>
        <w:bottom w:val="none" w:sz="0" w:space="0" w:color="auto"/>
        <w:right w:val="none" w:sz="0" w:space="0" w:color="auto"/>
      </w:divBdr>
    </w:div>
    <w:div w:id="1196308522">
      <w:bodyDiv w:val="1"/>
      <w:marLeft w:val="0"/>
      <w:marRight w:val="0"/>
      <w:marTop w:val="0"/>
      <w:marBottom w:val="0"/>
      <w:divBdr>
        <w:top w:val="none" w:sz="0" w:space="0" w:color="auto"/>
        <w:left w:val="none" w:sz="0" w:space="0" w:color="auto"/>
        <w:bottom w:val="none" w:sz="0" w:space="0" w:color="auto"/>
        <w:right w:val="none" w:sz="0" w:space="0" w:color="auto"/>
      </w:divBdr>
    </w:div>
    <w:div w:id="1224608530">
      <w:bodyDiv w:val="1"/>
      <w:marLeft w:val="0"/>
      <w:marRight w:val="0"/>
      <w:marTop w:val="0"/>
      <w:marBottom w:val="0"/>
      <w:divBdr>
        <w:top w:val="none" w:sz="0" w:space="0" w:color="auto"/>
        <w:left w:val="none" w:sz="0" w:space="0" w:color="auto"/>
        <w:bottom w:val="none" w:sz="0" w:space="0" w:color="auto"/>
        <w:right w:val="none" w:sz="0" w:space="0" w:color="auto"/>
      </w:divBdr>
    </w:div>
    <w:div w:id="1225989585">
      <w:bodyDiv w:val="1"/>
      <w:marLeft w:val="0"/>
      <w:marRight w:val="0"/>
      <w:marTop w:val="0"/>
      <w:marBottom w:val="0"/>
      <w:divBdr>
        <w:top w:val="none" w:sz="0" w:space="0" w:color="auto"/>
        <w:left w:val="none" w:sz="0" w:space="0" w:color="auto"/>
        <w:bottom w:val="none" w:sz="0" w:space="0" w:color="auto"/>
        <w:right w:val="none" w:sz="0" w:space="0" w:color="auto"/>
      </w:divBdr>
    </w:div>
    <w:div w:id="1315719548">
      <w:bodyDiv w:val="1"/>
      <w:marLeft w:val="0"/>
      <w:marRight w:val="0"/>
      <w:marTop w:val="0"/>
      <w:marBottom w:val="0"/>
      <w:divBdr>
        <w:top w:val="none" w:sz="0" w:space="0" w:color="auto"/>
        <w:left w:val="none" w:sz="0" w:space="0" w:color="auto"/>
        <w:bottom w:val="none" w:sz="0" w:space="0" w:color="auto"/>
        <w:right w:val="none" w:sz="0" w:space="0" w:color="auto"/>
      </w:divBdr>
    </w:div>
    <w:div w:id="1392466334">
      <w:bodyDiv w:val="1"/>
      <w:marLeft w:val="0"/>
      <w:marRight w:val="0"/>
      <w:marTop w:val="0"/>
      <w:marBottom w:val="0"/>
      <w:divBdr>
        <w:top w:val="none" w:sz="0" w:space="0" w:color="auto"/>
        <w:left w:val="none" w:sz="0" w:space="0" w:color="auto"/>
        <w:bottom w:val="none" w:sz="0" w:space="0" w:color="auto"/>
        <w:right w:val="none" w:sz="0" w:space="0" w:color="auto"/>
      </w:divBdr>
    </w:div>
    <w:div w:id="1473524277">
      <w:bodyDiv w:val="1"/>
      <w:marLeft w:val="0"/>
      <w:marRight w:val="0"/>
      <w:marTop w:val="0"/>
      <w:marBottom w:val="0"/>
      <w:divBdr>
        <w:top w:val="none" w:sz="0" w:space="0" w:color="auto"/>
        <w:left w:val="none" w:sz="0" w:space="0" w:color="auto"/>
        <w:bottom w:val="none" w:sz="0" w:space="0" w:color="auto"/>
        <w:right w:val="none" w:sz="0" w:space="0" w:color="auto"/>
      </w:divBdr>
    </w:div>
    <w:div w:id="1476414858">
      <w:bodyDiv w:val="1"/>
      <w:marLeft w:val="0"/>
      <w:marRight w:val="0"/>
      <w:marTop w:val="0"/>
      <w:marBottom w:val="0"/>
      <w:divBdr>
        <w:top w:val="none" w:sz="0" w:space="0" w:color="auto"/>
        <w:left w:val="none" w:sz="0" w:space="0" w:color="auto"/>
        <w:bottom w:val="none" w:sz="0" w:space="0" w:color="auto"/>
        <w:right w:val="none" w:sz="0" w:space="0" w:color="auto"/>
      </w:divBdr>
    </w:div>
    <w:div w:id="1497964941">
      <w:bodyDiv w:val="1"/>
      <w:marLeft w:val="0"/>
      <w:marRight w:val="0"/>
      <w:marTop w:val="0"/>
      <w:marBottom w:val="0"/>
      <w:divBdr>
        <w:top w:val="none" w:sz="0" w:space="0" w:color="auto"/>
        <w:left w:val="none" w:sz="0" w:space="0" w:color="auto"/>
        <w:bottom w:val="none" w:sz="0" w:space="0" w:color="auto"/>
        <w:right w:val="none" w:sz="0" w:space="0" w:color="auto"/>
      </w:divBdr>
    </w:div>
    <w:div w:id="1532304556">
      <w:bodyDiv w:val="1"/>
      <w:marLeft w:val="0"/>
      <w:marRight w:val="0"/>
      <w:marTop w:val="0"/>
      <w:marBottom w:val="0"/>
      <w:divBdr>
        <w:top w:val="none" w:sz="0" w:space="0" w:color="auto"/>
        <w:left w:val="none" w:sz="0" w:space="0" w:color="auto"/>
        <w:bottom w:val="none" w:sz="0" w:space="0" w:color="auto"/>
        <w:right w:val="none" w:sz="0" w:space="0" w:color="auto"/>
      </w:divBdr>
    </w:div>
    <w:div w:id="1673558226">
      <w:bodyDiv w:val="1"/>
      <w:marLeft w:val="0"/>
      <w:marRight w:val="0"/>
      <w:marTop w:val="0"/>
      <w:marBottom w:val="0"/>
      <w:divBdr>
        <w:top w:val="none" w:sz="0" w:space="0" w:color="auto"/>
        <w:left w:val="none" w:sz="0" w:space="0" w:color="auto"/>
        <w:bottom w:val="none" w:sz="0" w:space="0" w:color="auto"/>
        <w:right w:val="none" w:sz="0" w:space="0" w:color="auto"/>
      </w:divBdr>
    </w:div>
    <w:div w:id="1765488907">
      <w:bodyDiv w:val="1"/>
      <w:marLeft w:val="0"/>
      <w:marRight w:val="0"/>
      <w:marTop w:val="0"/>
      <w:marBottom w:val="0"/>
      <w:divBdr>
        <w:top w:val="none" w:sz="0" w:space="0" w:color="auto"/>
        <w:left w:val="none" w:sz="0" w:space="0" w:color="auto"/>
        <w:bottom w:val="none" w:sz="0" w:space="0" w:color="auto"/>
        <w:right w:val="none" w:sz="0" w:space="0" w:color="auto"/>
      </w:divBdr>
    </w:div>
    <w:div w:id="1839536858">
      <w:bodyDiv w:val="1"/>
      <w:marLeft w:val="0"/>
      <w:marRight w:val="0"/>
      <w:marTop w:val="0"/>
      <w:marBottom w:val="0"/>
      <w:divBdr>
        <w:top w:val="none" w:sz="0" w:space="0" w:color="auto"/>
        <w:left w:val="none" w:sz="0" w:space="0" w:color="auto"/>
        <w:bottom w:val="none" w:sz="0" w:space="0" w:color="auto"/>
        <w:right w:val="none" w:sz="0" w:space="0" w:color="auto"/>
      </w:divBdr>
    </w:div>
    <w:div w:id="1847792518">
      <w:bodyDiv w:val="1"/>
      <w:marLeft w:val="0"/>
      <w:marRight w:val="0"/>
      <w:marTop w:val="0"/>
      <w:marBottom w:val="0"/>
      <w:divBdr>
        <w:top w:val="none" w:sz="0" w:space="0" w:color="auto"/>
        <w:left w:val="none" w:sz="0" w:space="0" w:color="auto"/>
        <w:bottom w:val="none" w:sz="0" w:space="0" w:color="auto"/>
        <w:right w:val="none" w:sz="0" w:space="0" w:color="auto"/>
      </w:divBdr>
    </w:div>
    <w:div w:id="18704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427/R*&amp;Language=English&amp;Context=ScriptedSearches&amp;languageUIChanged=true" TargetMode="External"/><Relationship Id="rId13" Type="http://schemas.openxmlformats.org/officeDocument/2006/relationships/hyperlink" Target="https://docs.wto.org/dol2fe/Pages/FE_Search/FE_S_S006.aspx?DataSource=Cat&amp;query=@Symbol=WT/DS397/AB/R&amp;Language=English&amp;Context=ScriptedSearches&amp;languageUIChanged=true" TargetMode="External"/><Relationship Id="rId18" Type="http://schemas.openxmlformats.org/officeDocument/2006/relationships/hyperlink" Target="https://docs.wto.org/dol2fe/Pages/FE_Search/FE_S_S006.aspx?DataSource=Cat&amp;query=@Symbol=WT/DS405/R&amp;Language=English&amp;Context=ScriptedSearches&amp;languageUIChanged=true" TargetMode="External"/><Relationship Id="rId26" Type="http://schemas.openxmlformats.org/officeDocument/2006/relationships/hyperlink" Target="https://docs.wto.org/dol2fe/Pages/FE_Search/FE_S_S006.aspx?DataSource=Cat&amp;query=@Symbol=WT/DS249/AB/R&amp;Language=English&amp;Context=ScriptedSearches&amp;languageUIChanged=tru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wto.org/dol2fe/Pages/FE_Search/FE_S_S006.aspx?DataSource=Cat&amp;query=@Symbol=WT/DS122/R&amp;Language=English&amp;Context=ScriptedSearches&amp;languageUIChanged=tru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wto.org/dol2fe/Pages/FE_Search/FE_S_S006.aspx?DataSource=Cat&amp;query=@Symbol=WT/DS141/AB/RW&amp;Language=English&amp;Context=ScriptedSearches&amp;languageUIChanged=true" TargetMode="External"/><Relationship Id="rId17" Type="http://schemas.openxmlformats.org/officeDocument/2006/relationships/hyperlink" Target="https://docs.wto.org/dol2fe/Pages/FE_Search/FE_S_S006.aspx?DataSource=Cat&amp;query=@Symbol=WT/DS211/R&amp;Language=English&amp;Context=ScriptedSearches&amp;languageUIChanged=true" TargetMode="External"/><Relationship Id="rId25" Type="http://schemas.openxmlformats.org/officeDocument/2006/relationships/hyperlink" Target="https://docs.wto.org/dol2fe/Pages/FE_Search/FE_S_S006.aspx?DataSource=Cat&amp;query=@Symbol=WT/DS248/AB/R&amp;Language=English&amp;Context=ScriptedSearches&amp;languageUIChanged=true" TargetMode="External"/><Relationship Id="rId33" Type="http://schemas.openxmlformats.org/officeDocument/2006/relationships/hyperlink" Target="https://docs.wto.org/dol2fe/Pages/FE_Search/FE_S_S006.aspx?DataSource=Cat&amp;query=@Symbol=WT/DS166/AB/R&amp;Language=English&amp;Context=ScriptedSearches&amp;languageUIChanged=tru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219/R&amp;Language=English&amp;Context=ScriptedSearches&amp;languageUIChanged=true" TargetMode="External"/><Relationship Id="rId20" Type="http://schemas.openxmlformats.org/officeDocument/2006/relationships/hyperlink" Target="https://docs.wto.org/dol2fe/Pages/FE_Search/FE_S_S006.aspx?DataSource=Cat&amp;query=@Symbol=WT/DS538/R*&amp;Language=English&amp;Context=ScriptedSearches&amp;languageUIChanged=true" TargetMode="External"/><Relationship Id="rId29" Type="http://schemas.openxmlformats.org/officeDocument/2006/relationships/hyperlink" Target="https://docs.wto.org/dol2fe/Pages/FE_Search/FE_S_S006.aspx?DataSource=Cat&amp;query=@Symbol=WT/DS253/AB/R&amp;Language=English&amp;Context=ScriptedSearches&amp;languageUIChange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WT/DS425/R*&amp;Language=English&amp;Context=ScriptedSearches&amp;languageUIChanged=true" TargetMode="External"/><Relationship Id="rId24" Type="http://schemas.openxmlformats.org/officeDocument/2006/relationships/hyperlink" Target="https://docs.wto.org/dol2fe/Pages/FE_Search/FE_S_S006.aspx?DataSource=Cat&amp;query=@Symbol=WT/DS277/R&amp;Language=English&amp;Context=ScriptedSearches&amp;languageUIChanged=true" TargetMode="External"/><Relationship Id="rId32" Type="http://schemas.openxmlformats.org/officeDocument/2006/relationships/hyperlink" Target="https://docs.wto.org/dol2fe/Pages/FE_Search/FE_S_S006.aspx?DataSource=Cat&amp;query=@Symbol=WT/DS259/AB/R&amp;Language=English&amp;Context=ScriptedSearches&amp;languageUIChanged=true"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WT/DS337/R*&amp;Language=English&amp;Context=ScriptedSearches&amp;languageUIChanged=true" TargetMode="External"/><Relationship Id="rId23" Type="http://schemas.openxmlformats.org/officeDocument/2006/relationships/hyperlink" Target="https://docs.wto.org/dol2fe/Pages/FE_Search/FE_S_S006.aspx?DataSource=Cat&amp;query=@Symbol=WT/DS184/R&amp;Language=English&amp;Context=ScriptedSearches&amp;languageUIChanged=true" TargetMode="External"/><Relationship Id="rId28" Type="http://schemas.openxmlformats.org/officeDocument/2006/relationships/hyperlink" Target="https://docs.wto.org/dol2fe/Pages/FE_Search/FE_S_S006.aspx?DataSource=Cat&amp;query=@Symbol=WT/DS252/AB/R&amp;Language=English&amp;Context=ScriptedSearches&amp;languageUIChanged=true" TargetMode="External"/><Relationship Id="rId36" Type="http://schemas.openxmlformats.org/officeDocument/2006/relationships/footer" Target="footer2.xml"/><Relationship Id="rId10" Type="http://schemas.openxmlformats.org/officeDocument/2006/relationships/hyperlink" Target="https://docs.wto.org/dol2fe/Pages/FE_Search/FE_S_S006.aspx?DataSource=Cat&amp;query=@Symbol=WT/DS414/AB/R&amp;Language=English&amp;Context=ScriptedSearches&amp;languageUIChanged=true" TargetMode="External"/><Relationship Id="rId19" Type="http://schemas.openxmlformats.org/officeDocument/2006/relationships/hyperlink" Target="https://docs.wto.org/dol2fe/Pages/FE_Search/FE_S_S006.aspx?DataSource=Cat&amp;query=@Symbol=WT/DS295/AB/R&amp;Language=English&amp;Context=ScriptedSearches&amp;languageUIChanged=true" TargetMode="External"/><Relationship Id="rId31" Type="http://schemas.openxmlformats.org/officeDocument/2006/relationships/hyperlink" Target="https://docs.wto.org/dol2fe/Pages/FE_Search/FE_S_S006.aspx?DataSource=Cat&amp;query=@Symbol=WT/DS258/AB/R&amp;Language=English&amp;Context=ScriptedSearches&amp;languageUIChanged=true" TargetMode="Externa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427/RW*&amp;Language=English&amp;Context=ScriptedSearches&amp;languageUIChanged=true" TargetMode="External"/><Relationship Id="rId14" Type="http://schemas.openxmlformats.org/officeDocument/2006/relationships/hyperlink" Target="https://docs.wto.org/dol2fe/Pages/FE_Search/FE_S_S006.aspx?DataSource=Cat&amp;query=@Symbol=WT/DS397/AB/RW*&amp;Language=English&amp;Context=ScriptedSearches&amp;languageUIChanged=true" TargetMode="External"/><Relationship Id="rId22" Type="http://schemas.openxmlformats.org/officeDocument/2006/relationships/hyperlink" Target="https://docs.wto.org/dol2fe/Pages/FE_Search/FE_S_S006.aspx?DataSource=Cat&amp;query=@Symbol=WT/DS184/AB/R&amp;Language=English&amp;Context=ScriptedSearches&amp;languageUIChanged=true" TargetMode="External"/><Relationship Id="rId27" Type="http://schemas.openxmlformats.org/officeDocument/2006/relationships/hyperlink" Target="https://docs.wto.org/dol2fe/Pages/FE_Search/FE_S_S006.aspx?DataSource=Cat&amp;query=@Symbol=WT/DS251/AB/R&amp;Language=English&amp;Context=ScriptedSearches&amp;languageUIChanged=true" TargetMode="External"/><Relationship Id="rId30" Type="http://schemas.openxmlformats.org/officeDocument/2006/relationships/hyperlink" Target="https://docs.wto.org/dol2fe/Pages/FE_Search/FE_S_S006.aspx?DataSource=Cat&amp;query=@Symbol=WT/DS254/AB/R&amp;Language=English&amp;Context=ScriptedSearches&amp;languageUIChanged=true"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d.com/view/Entry/58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69CD-395A-4F8D-809E-294B81EC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12652</Words>
  <Characters>72248</Characters>
  <Application>Microsoft Office Word</Application>
  <DocSecurity>0</DocSecurity>
  <Lines>1224</Lines>
  <Paragraphs>374</Paragraphs>
  <ScaleCrop>false</ScaleCrop>
  <HeadingPairs>
    <vt:vector size="2" baseType="variant">
      <vt:variant>
        <vt:lpstr>Title</vt:lpstr>
      </vt:variant>
      <vt:variant>
        <vt:i4>1</vt:i4>
      </vt:variant>
    </vt:vector>
  </HeadingPairs>
  <TitlesOfParts>
    <vt:vector size="1" baseType="lpstr">
      <vt:lpstr>•	DS598 Australia's Executive Summary</vt:lpstr>
    </vt:vector>
  </TitlesOfParts>
  <Company/>
  <LinksUpToDate>false</LinksUpToDate>
  <CharactersWithSpaces>84526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DS598 Australia's Executive Summary</dc:title>
  <dc:subject/>
  <dc:creator/>
  <cp:keywords>[SEC=OFFICIAL]</cp:keywords>
  <dc:description/>
  <cp:lastModifiedBy/>
  <cp:revision>1</cp:revision>
  <dcterms:created xsi:type="dcterms:W3CDTF">2023-03-15T21:30:00Z</dcterms:created>
  <dcterms:modified xsi:type="dcterms:W3CDTF">2023-03-22T04:19:00Z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AD960A062853420C82EEFC83A4FFEE4F</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2023-03-22T04:19:02Z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2A85FD0A068F204BDAB642F801A2F5CA</vt:lpwstr>
  </property>
  <property fmtid="{D5CDD505-2E9C-101B-9397-08002B2CF9AE}" pid="20" name="PM_Hash_Salt">
    <vt:lpwstr>7E4854D64F774541056658A1E0BAF59E</vt:lpwstr>
  </property>
  <property fmtid="{D5CDD505-2E9C-101B-9397-08002B2CF9AE}" pid="21" name="PM_Hash_SHA1">
    <vt:lpwstr>1F749A0A554B6575685466462636E1B43B144E46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3F6D732A650B4EC715B623E0D837FB2B96AB69551124ACFE30889A7938FDE719</vt:lpwstr>
  </property>
  <property fmtid="{D5CDD505-2E9C-101B-9397-08002B2CF9AE}" pid="28" name="PM_OriginatorDomainName_SHA256">
    <vt:lpwstr>6F3591835F3B2A8A025B00B5BA6418010DA3A17C9C26EA9C049FFD28039489A2</vt:lpwstr>
  </property>
</Properties>
</file>