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94C4" w14:textId="77777777" w:rsidR="00354A06" w:rsidRPr="005073FA" w:rsidRDefault="00354A06" w:rsidP="005714C3">
      <w:pPr>
        <w:pStyle w:val="BTNSSBodyTextNoSpacingSmall"/>
        <w:rPr>
          <w:rFonts w:asciiTheme="minorHAnsi" w:hAnsiTheme="minorHAnsi" w:cstheme="minorHAnsi"/>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2443CA" w14:paraId="0D815BDB" w14:textId="77777777" w:rsidTr="008A4C51">
        <w:trPr>
          <w:trHeight w:val="4365"/>
        </w:trPr>
        <w:tc>
          <w:tcPr>
            <w:tcW w:w="9060" w:type="dxa"/>
          </w:tcPr>
          <w:p w14:paraId="2134F8B3" w14:textId="77777777" w:rsidR="005714C3" w:rsidRPr="005073FA" w:rsidRDefault="005714C3" w:rsidP="005714C3">
            <w:pPr>
              <w:pStyle w:val="BTBodyText"/>
              <w:spacing w:after="240"/>
              <w:jc w:val="center"/>
              <w:rPr>
                <w:rFonts w:asciiTheme="minorHAnsi" w:hAnsiTheme="minorHAnsi" w:cstheme="minorHAnsi"/>
                <w:b/>
                <w:bCs/>
                <w:sz w:val="32"/>
                <w:szCs w:val="32"/>
              </w:rPr>
            </w:pPr>
            <w:r w:rsidRPr="005073FA">
              <w:rPr>
                <w:rFonts w:asciiTheme="minorHAnsi" w:hAnsiTheme="minorHAnsi" w:cstheme="minorHAnsi"/>
                <w:b/>
                <w:bCs/>
                <w:sz w:val="32"/>
                <w:szCs w:val="32"/>
              </w:rPr>
              <w:t>Before the World Trade Organization</w:t>
            </w:r>
          </w:p>
          <w:p w14:paraId="0835A82C" w14:textId="77777777" w:rsidR="005714C3" w:rsidRPr="005073FA" w:rsidRDefault="005714C3" w:rsidP="005714C3">
            <w:pPr>
              <w:pStyle w:val="BTBodyText"/>
              <w:spacing w:after="240"/>
              <w:jc w:val="center"/>
              <w:rPr>
                <w:rFonts w:asciiTheme="minorHAnsi" w:hAnsiTheme="minorHAnsi" w:cstheme="minorHAnsi"/>
                <w:b/>
                <w:bCs/>
                <w:sz w:val="32"/>
                <w:szCs w:val="32"/>
              </w:rPr>
            </w:pPr>
            <w:r w:rsidRPr="005073FA">
              <w:rPr>
                <w:rFonts w:asciiTheme="minorHAnsi" w:hAnsiTheme="minorHAnsi" w:cstheme="minorHAnsi"/>
                <w:b/>
                <w:bCs/>
                <w:sz w:val="32"/>
                <w:szCs w:val="32"/>
              </w:rPr>
              <w:t>Panel Proceedings</w:t>
            </w:r>
          </w:p>
        </w:tc>
      </w:tr>
      <w:tr w:rsidR="005714C3" w:rsidRPr="002443CA" w14:paraId="3CD58647" w14:textId="77777777" w:rsidTr="00BE0B1C">
        <w:trPr>
          <w:trHeight w:val="737"/>
        </w:trPr>
        <w:tc>
          <w:tcPr>
            <w:tcW w:w="9060" w:type="dxa"/>
          </w:tcPr>
          <w:p w14:paraId="36AD990E" w14:textId="6475B654" w:rsidR="005714C3" w:rsidRPr="005073FA" w:rsidRDefault="006F3FAB" w:rsidP="00DA5381">
            <w:pPr>
              <w:pStyle w:val="WTODTWTODisputeTitle"/>
              <w:rPr>
                <w:rFonts w:asciiTheme="minorHAnsi" w:hAnsiTheme="minorHAnsi" w:cstheme="minorHAnsi"/>
              </w:rPr>
            </w:pPr>
            <w:r w:rsidRPr="005073FA">
              <w:rPr>
                <w:rFonts w:asciiTheme="minorHAnsi" w:hAnsiTheme="minorHAnsi" w:cstheme="minorHAnsi"/>
              </w:rPr>
              <w:t>China – Anti-Dumping and Countervailing Duty Measures on Wine from Australia</w:t>
            </w:r>
          </w:p>
        </w:tc>
      </w:tr>
      <w:tr w:rsidR="005714C3" w:rsidRPr="002443CA" w14:paraId="4F9C255C" w14:textId="77777777" w:rsidTr="008A4C51">
        <w:trPr>
          <w:trHeight w:val="3175"/>
        </w:trPr>
        <w:tc>
          <w:tcPr>
            <w:tcW w:w="9060" w:type="dxa"/>
          </w:tcPr>
          <w:p w14:paraId="668D239D" w14:textId="5232A3E8" w:rsidR="005714C3" w:rsidRPr="005073FA" w:rsidRDefault="005714C3" w:rsidP="00DA5381">
            <w:pPr>
              <w:pStyle w:val="DSNDSNumber"/>
              <w:rPr>
                <w:rFonts w:asciiTheme="minorHAnsi" w:hAnsiTheme="minorHAnsi" w:cstheme="minorHAnsi"/>
              </w:rPr>
            </w:pPr>
            <w:r w:rsidRPr="005073FA">
              <w:rPr>
                <w:rFonts w:asciiTheme="minorHAnsi" w:hAnsiTheme="minorHAnsi" w:cstheme="minorHAnsi"/>
              </w:rPr>
              <w:t>(DS</w:t>
            </w:r>
            <w:r w:rsidR="006F3FAB" w:rsidRPr="005073FA">
              <w:rPr>
                <w:rFonts w:asciiTheme="minorHAnsi" w:hAnsiTheme="minorHAnsi" w:cstheme="minorHAnsi"/>
              </w:rPr>
              <w:t>602</w:t>
            </w:r>
            <w:r w:rsidRPr="005073FA">
              <w:rPr>
                <w:rFonts w:asciiTheme="minorHAnsi" w:hAnsiTheme="minorHAnsi" w:cstheme="minorHAnsi"/>
              </w:rPr>
              <w:t>)</w:t>
            </w:r>
          </w:p>
        </w:tc>
      </w:tr>
      <w:tr w:rsidR="005714C3" w:rsidRPr="002443CA" w14:paraId="4EA62011" w14:textId="77777777" w:rsidTr="00DD4BA0">
        <w:trPr>
          <w:trHeight w:val="3798"/>
        </w:trPr>
        <w:tc>
          <w:tcPr>
            <w:tcW w:w="9060" w:type="dxa"/>
          </w:tcPr>
          <w:p w14:paraId="58DA274C" w14:textId="77777777" w:rsidR="005714C3" w:rsidRPr="005073FA" w:rsidRDefault="006F3FAB" w:rsidP="00DA5381">
            <w:pPr>
              <w:pStyle w:val="DTDocumentTitle"/>
              <w:rPr>
                <w:rFonts w:asciiTheme="minorHAnsi" w:hAnsiTheme="minorHAnsi" w:cstheme="minorHAnsi"/>
              </w:rPr>
            </w:pPr>
            <w:r w:rsidRPr="005073FA">
              <w:rPr>
                <w:rFonts w:asciiTheme="minorHAnsi" w:hAnsiTheme="minorHAnsi" w:cstheme="minorHAnsi"/>
              </w:rPr>
              <w:t xml:space="preserve">Australia's Opening Statement at the First Substantive Meeting of the Panel and the Parties </w:t>
            </w:r>
          </w:p>
          <w:p w14:paraId="345226C5" w14:textId="35B77D58" w:rsidR="006F3FAB" w:rsidRPr="005073FA" w:rsidRDefault="006F3FAB" w:rsidP="00DA5381">
            <w:pPr>
              <w:pStyle w:val="DTDocumentTitle"/>
              <w:rPr>
                <w:rFonts w:asciiTheme="minorHAnsi" w:hAnsiTheme="minorHAnsi" w:cstheme="minorHAnsi"/>
              </w:rPr>
            </w:pPr>
            <w:r w:rsidRPr="005073FA">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5B50635F" wp14:editId="36011B83">
                      <wp:simplePos x="0" y="0"/>
                      <wp:positionH relativeFrom="column">
                        <wp:posOffset>0</wp:posOffset>
                      </wp:positionH>
                      <wp:positionV relativeFrom="paragraph">
                        <wp:posOffset>330200</wp:posOffset>
                      </wp:positionV>
                      <wp:extent cx="5644967" cy="81926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967" cy="819260"/>
                              </a:xfrm>
                              <a:prstGeom prst="rect">
                                <a:avLst/>
                              </a:prstGeom>
                              <a:solidFill>
                                <a:srgbClr val="FFFFFF"/>
                              </a:solidFill>
                              <a:ln w="9525">
                                <a:solidFill>
                                  <a:srgbClr val="000000"/>
                                </a:solidFill>
                                <a:miter lim="800000"/>
                                <a:headEnd/>
                                <a:tailEnd/>
                              </a:ln>
                            </wps:spPr>
                            <wps:txbx>
                              <w:txbxContent>
                                <w:p w14:paraId="604D1A29" w14:textId="3F7EF2EC" w:rsidR="00AF1208" w:rsidRDefault="00AF1208" w:rsidP="005F13EC">
                                  <w:pPr>
                                    <w:jc w:val="center"/>
                                  </w:pPr>
                                  <w:r w:rsidRPr="00B52AFD">
                                    <w:rPr>
                                      <w:rFonts w:cs="Calibri"/>
                                      <w:b/>
                                      <w:bCs/>
                                      <w:sz w:val="36"/>
                                      <w:szCs w:val="36"/>
                                    </w:rPr>
                                    <w:t>Business Confidential Information</w:t>
                                  </w:r>
                                  <w:r w:rsidR="005F13EC">
                                    <w:rPr>
                                      <w:rFonts w:cs="Calibri"/>
                                      <w:b/>
                                      <w:bCs/>
                                      <w:sz w:val="36"/>
                                      <w:szCs w:val="36"/>
                                    </w:rPr>
                                    <w:t xml:space="preserv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0635F" id="_x0000_t202" coordsize="21600,21600" o:spt="202" path="m,l,21600r21600,l21600,xe">
                      <v:stroke joinstyle="miter"/>
                      <v:path gradientshapeok="t" o:connecttype="rect"/>
                    </v:shapetype>
                    <v:shape id="Text Box 2" o:spid="_x0000_s1026" type="#_x0000_t202" style="position:absolute;left:0;text-align:left;margin-left:0;margin-top:26pt;width:444.5pt;height: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">
                      <v:textbox>
                        <w:txbxContent>
                          <w:p w14:paraId="604D1A29" w14:textId="3F7EF2EC" w:rsidR="00AF1208" w:rsidRDefault="00AF1208" w:rsidP="005F13EC">
                            <w:pPr>
                              <w:jc w:val="center"/>
                            </w:pPr>
                            <w:r w:rsidRPr="00B52AFD">
                              <w:rPr>
                                <w:rFonts w:cs="Calibri"/>
                                <w:b/>
                                <w:bCs/>
                                <w:sz w:val="36"/>
                                <w:szCs w:val="36"/>
                              </w:rPr>
                              <w:t>Business Confidential Information</w:t>
                            </w:r>
                            <w:r w:rsidR="005F13EC">
                              <w:rPr>
                                <w:rFonts w:cs="Calibri"/>
                                <w:b/>
                                <w:bCs/>
                                <w:sz w:val="36"/>
                                <w:szCs w:val="36"/>
                              </w:rPr>
                              <w:t xml:space="preserve"> Redacted</w:t>
                            </w:r>
                          </w:p>
                        </w:txbxContent>
                      </v:textbox>
                      <w10:wrap type="square"/>
                    </v:shape>
                  </w:pict>
                </mc:Fallback>
              </mc:AlternateContent>
            </w:r>
          </w:p>
        </w:tc>
      </w:tr>
      <w:tr w:rsidR="005714C3" w:rsidRPr="002443CA" w14:paraId="01765AFF" w14:textId="77777777" w:rsidTr="00BE0B1C">
        <w:trPr>
          <w:trHeight w:val="624"/>
        </w:trPr>
        <w:tc>
          <w:tcPr>
            <w:tcW w:w="9060" w:type="dxa"/>
          </w:tcPr>
          <w:p w14:paraId="6FB8E4BB" w14:textId="77777777" w:rsidR="005714C3" w:rsidRDefault="006F3FAB" w:rsidP="00DA5381">
            <w:pPr>
              <w:pStyle w:val="DDDocumentDate"/>
              <w:rPr>
                <w:rFonts w:asciiTheme="minorHAnsi" w:hAnsiTheme="minorHAnsi" w:cstheme="minorHAnsi"/>
              </w:rPr>
            </w:pPr>
            <w:r w:rsidRPr="005073FA">
              <w:rPr>
                <w:rFonts w:asciiTheme="minorHAnsi" w:hAnsiTheme="minorHAnsi" w:cstheme="minorHAnsi"/>
              </w:rPr>
              <w:t>6 September 2022</w:t>
            </w:r>
          </w:p>
          <w:p w14:paraId="56291779" w14:textId="338C4EAC" w:rsidR="00520FF1" w:rsidRPr="005073FA" w:rsidRDefault="008051C2" w:rsidP="008051C2">
            <w:pPr>
              <w:pStyle w:val="DDDocumentDate"/>
              <w:tabs>
                <w:tab w:val="left" w:pos="7530"/>
              </w:tabs>
              <w:jc w:val="left"/>
              <w:rPr>
                <w:rFonts w:asciiTheme="minorHAnsi" w:hAnsiTheme="minorHAnsi" w:cstheme="minorHAnsi"/>
              </w:rPr>
            </w:pPr>
            <w:r>
              <w:rPr>
                <w:rFonts w:asciiTheme="minorHAnsi" w:hAnsiTheme="minorHAnsi" w:cstheme="minorHAnsi"/>
              </w:rPr>
              <w:tab/>
            </w:r>
          </w:p>
        </w:tc>
      </w:tr>
    </w:tbl>
    <w:p w14:paraId="348D9A8A" w14:textId="77777777" w:rsidR="005714C3" w:rsidRPr="005073FA" w:rsidRDefault="005714C3" w:rsidP="00BE0B1C">
      <w:pPr>
        <w:pStyle w:val="BTNSSBodyTextNoSpacingSmall"/>
        <w:rPr>
          <w:rFonts w:asciiTheme="minorHAnsi" w:hAnsiTheme="minorHAnsi" w:cstheme="minorHAnsi"/>
        </w:rPr>
      </w:pPr>
    </w:p>
    <w:p w14:paraId="376E78ED" w14:textId="77777777" w:rsidR="00006269" w:rsidRPr="005073FA" w:rsidRDefault="00006269" w:rsidP="00BE0B1C">
      <w:pPr>
        <w:pStyle w:val="BTNSSBodyTextNoSpacingSmall"/>
        <w:rPr>
          <w:rFonts w:asciiTheme="minorHAnsi" w:hAnsiTheme="minorHAnsi" w:cstheme="minorHAnsi"/>
        </w:rPr>
      </w:pPr>
      <w:r w:rsidRPr="005073FA">
        <w:rPr>
          <w:rFonts w:asciiTheme="minorHAnsi" w:hAnsiTheme="minorHAnsi" w:cstheme="minorHAnsi"/>
        </w:rPr>
        <w:br w:type="page"/>
      </w:r>
    </w:p>
    <w:p w14:paraId="2421E471" w14:textId="77777777" w:rsidR="00F01A73" w:rsidRPr="005073FA" w:rsidRDefault="00F01A73" w:rsidP="00F01A73">
      <w:pPr>
        <w:pStyle w:val="BTNSSBodyTextNoSpacingSmall"/>
        <w:rPr>
          <w:rFonts w:asciiTheme="minorHAnsi" w:hAnsiTheme="minorHAnsi" w:cstheme="minorHAnsi"/>
          <w:sz w:val="2"/>
          <w:szCs w:val="2"/>
        </w:rPr>
      </w:pPr>
    </w:p>
    <w:sdt>
      <w:sdtPr>
        <w:rPr>
          <w:rFonts w:asciiTheme="minorHAnsi" w:hAnsiTheme="minorHAnsi" w:cstheme="minorHAnsi"/>
          <w:b w:val="0"/>
          <w:caps w:val="0"/>
          <w:sz w:val="8"/>
          <w:szCs w:val="8"/>
          <w:lang w:val="en-AU"/>
        </w:rPr>
        <w:id w:val="-1730524273"/>
        <w:docPartObj>
          <w:docPartGallery w:val="Table of Contents"/>
          <w:docPartUnique/>
        </w:docPartObj>
      </w:sdtPr>
      <w:sdtEndPr>
        <w:rPr>
          <w:bCs/>
        </w:rPr>
      </w:sdtEndPr>
      <w:sdtContent>
        <w:p w14:paraId="43459805" w14:textId="77777777" w:rsidR="00D47F18" w:rsidRPr="005073FA" w:rsidRDefault="00D47F18">
          <w:pPr>
            <w:pStyle w:val="TOCHeading"/>
            <w:rPr>
              <w:rFonts w:asciiTheme="minorHAnsi" w:hAnsiTheme="minorHAnsi" w:cstheme="minorHAnsi"/>
              <w:lang w:val="en-AU"/>
            </w:rPr>
          </w:pPr>
          <w:r w:rsidRPr="005073FA">
            <w:rPr>
              <w:rFonts w:asciiTheme="minorHAnsi" w:hAnsiTheme="minorHAnsi" w:cstheme="minorHAnsi"/>
              <w:lang w:val="en-AU"/>
            </w:rPr>
            <w:t>Table of Contents</w:t>
          </w:r>
        </w:p>
        <w:p w14:paraId="69C8AB82" w14:textId="0A44D1B9" w:rsidR="006E4653" w:rsidRDefault="00F945DB">
          <w:pPr>
            <w:pStyle w:val="TOC1"/>
            <w:rPr>
              <w:rFonts w:asciiTheme="minorHAnsi" w:eastAsiaTheme="minorEastAsia" w:hAnsiTheme="minorHAnsi"/>
              <w:b w:val="0"/>
              <w:caps w:val="0"/>
              <w:noProof/>
              <w:sz w:val="22"/>
              <w:szCs w:val="22"/>
              <w:lang w:eastAsia="en-AU"/>
            </w:rPr>
          </w:pPr>
          <w:r w:rsidRPr="005073FA">
            <w:rPr>
              <w:rFonts w:asciiTheme="minorHAnsi" w:hAnsiTheme="minorHAnsi" w:cstheme="minorHAnsi"/>
            </w:rPr>
            <w:fldChar w:fldCharType="begin"/>
          </w:r>
          <w:r w:rsidRPr="005073FA">
            <w:rPr>
              <w:rFonts w:asciiTheme="minorHAnsi" w:hAnsiTheme="minorHAnsi" w:cstheme="minorHAnsi"/>
            </w:rPr>
            <w:instrText xml:space="preserve"> TOC \o "1-5" \h \z \u </w:instrText>
          </w:r>
          <w:r w:rsidRPr="005073FA">
            <w:rPr>
              <w:rFonts w:asciiTheme="minorHAnsi" w:hAnsiTheme="minorHAnsi" w:cstheme="minorHAnsi"/>
            </w:rPr>
            <w:fldChar w:fldCharType="separate"/>
          </w:r>
          <w:hyperlink w:anchor="_Toc113344007" w:history="1">
            <w:r w:rsidR="006E4653" w:rsidRPr="00AA20C8">
              <w:rPr>
                <w:rStyle w:val="Hyperlink"/>
                <w:rFonts w:cstheme="minorHAnsi"/>
                <w:noProof/>
              </w:rPr>
              <w:t>Table of Cases</w:t>
            </w:r>
            <w:r w:rsidR="006E4653">
              <w:rPr>
                <w:noProof/>
                <w:webHidden/>
              </w:rPr>
              <w:tab/>
            </w:r>
            <w:r w:rsidR="006E4653">
              <w:rPr>
                <w:noProof/>
                <w:webHidden/>
              </w:rPr>
              <w:fldChar w:fldCharType="begin"/>
            </w:r>
            <w:r w:rsidR="006E4653">
              <w:rPr>
                <w:noProof/>
                <w:webHidden/>
              </w:rPr>
              <w:instrText xml:space="preserve"> PAGEREF _Toc113344007 \h </w:instrText>
            </w:r>
            <w:r w:rsidR="006E4653">
              <w:rPr>
                <w:noProof/>
                <w:webHidden/>
              </w:rPr>
            </w:r>
            <w:r w:rsidR="006E4653">
              <w:rPr>
                <w:noProof/>
                <w:webHidden/>
              </w:rPr>
              <w:fldChar w:fldCharType="separate"/>
            </w:r>
            <w:r w:rsidR="00CD68AF">
              <w:rPr>
                <w:noProof/>
                <w:webHidden/>
              </w:rPr>
              <w:t>iii</w:t>
            </w:r>
            <w:r w:rsidR="006E4653">
              <w:rPr>
                <w:noProof/>
                <w:webHidden/>
              </w:rPr>
              <w:fldChar w:fldCharType="end"/>
            </w:r>
          </w:hyperlink>
        </w:p>
        <w:p w14:paraId="526878A3" w14:textId="497ABA7C" w:rsidR="006E4653" w:rsidRDefault="00000000">
          <w:pPr>
            <w:pStyle w:val="TOC1"/>
            <w:rPr>
              <w:rFonts w:asciiTheme="minorHAnsi" w:eastAsiaTheme="minorEastAsia" w:hAnsiTheme="minorHAnsi"/>
              <w:b w:val="0"/>
              <w:caps w:val="0"/>
              <w:noProof/>
              <w:sz w:val="22"/>
              <w:szCs w:val="22"/>
              <w:lang w:eastAsia="en-AU"/>
            </w:rPr>
          </w:pPr>
          <w:hyperlink w:anchor="_Toc113344008" w:history="1">
            <w:r w:rsidR="006E4653" w:rsidRPr="00AA20C8">
              <w:rPr>
                <w:rStyle w:val="Hyperlink"/>
                <w:rFonts w:cstheme="minorHAnsi"/>
                <w:noProof/>
              </w:rPr>
              <w:t>List of Acronyms, Abbreviations and Short Forms</w:t>
            </w:r>
            <w:r w:rsidR="006E4653">
              <w:rPr>
                <w:noProof/>
                <w:webHidden/>
              </w:rPr>
              <w:tab/>
            </w:r>
            <w:r w:rsidR="006E4653">
              <w:rPr>
                <w:noProof/>
                <w:webHidden/>
              </w:rPr>
              <w:fldChar w:fldCharType="begin"/>
            </w:r>
            <w:r w:rsidR="006E4653">
              <w:rPr>
                <w:noProof/>
                <w:webHidden/>
              </w:rPr>
              <w:instrText xml:space="preserve"> PAGEREF _Toc113344008 \h </w:instrText>
            </w:r>
            <w:r w:rsidR="006E4653">
              <w:rPr>
                <w:noProof/>
                <w:webHidden/>
              </w:rPr>
            </w:r>
            <w:r w:rsidR="006E4653">
              <w:rPr>
                <w:noProof/>
                <w:webHidden/>
              </w:rPr>
              <w:fldChar w:fldCharType="separate"/>
            </w:r>
            <w:r w:rsidR="00CD68AF">
              <w:rPr>
                <w:noProof/>
                <w:webHidden/>
              </w:rPr>
              <w:t>iii</w:t>
            </w:r>
            <w:r w:rsidR="006E4653">
              <w:rPr>
                <w:noProof/>
                <w:webHidden/>
              </w:rPr>
              <w:fldChar w:fldCharType="end"/>
            </w:r>
          </w:hyperlink>
        </w:p>
        <w:p w14:paraId="0CE8D9F6" w14:textId="306E2F3A" w:rsidR="006E4653" w:rsidRDefault="00000000">
          <w:pPr>
            <w:pStyle w:val="TOC1"/>
            <w:rPr>
              <w:rFonts w:asciiTheme="minorHAnsi" w:eastAsiaTheme="minorEastAsia" w:hAnsiTheme="minorHAnsi"/>
              <w:b w:val="0"/>
              <w:caps w:val="0"/>
              <w:noProof/>
              <w:sz w:val="22"/>
              <w:szCs w:val="22"/>
              <w:lang w:eastAsia="en-AU"/>
            </w:rPr>
          </w:pPr>
          <w:hyperlink w:anchor="_Toc113344009" w:history="1">
            <w:r w:rsidR="006E4653" w:rsidRPr="00AA20C8">
              <w:rPr>
                <w:rStyle w:val="Hyperlink"/>
                <w:rFonts w:cstheme="minorHAnsi"/>
                <w:noProof/>
              </w:rPr>
              <w:t>I.</w:t>
            </w:r>
            <w:r w:rsidR="006E4653">
              <w:rPr>
                <w:rFonts w:asciiTheme="minorHAnsi" w:eastAsiaTheme="minorEastAsia" w:hAnsiTheme="minorHAnsi"/>
                <w:b w:val="0"/>
                <w:caps w:val="0"/>
                <w:noProof/>
                <w:sz w:val="22"/>
                <w:szCs w:val="22"/>
                <w:lang w:eastAsia="en-AU"/>
              </w:rPr>
              <w:tab/>
            </w:r>
            <w:r w:rsidR="006E4653" w:rsidRPr="00AA20C8">
              <w:rPr>
                <w:rStyle w:val="Hyperlink"/>
                <w:rFonts w:cstheme="minorHAnsi"/>
                <w:noProof/>
              </w:rPr>
              <w:t>Introduction</w:t>
            </w:r>
            <w:r w:rsidR="006E4653">
              <w:rPr>
                <w:noProof/>
                <w:webHidden/>
              </w:rPr>
              <w:tab/>
            </w:r>
            <w:r w:rsidR="006E4653">
              <w:rPr>
                <w:noProof/>
                <w:webHidden/>
              </w:rPr>
              <w:fldChar w:fldCharType="begin"/>
            </w:r>
            <w:r w:rsidR="006E4653">
              <w:rPr>
                <w:noProof/>
                <w:webHidden/>
              </w:rPr>
              <w:instrText xml:space="preserve"> PAGEREF _Toc113344009 \h </w:instrText>
            </w:r>
            <w:r w:rsidR="006E4653">
              <w:rPr>
                <w:noProof/>
                <w:webHidden/>
              </w:rPr>
            </w:r>
            <w:r w:rsidR="006E4653">
              <w:rPr>
                <w:noProof/>
                <w:webHidden/>
              </w:rPr>
              <w:fldChar w:fldCharType="separate"/>
            </w:r>
            <w:r w:rsidR="00CD68AF">
              <w:rPr>
                <w:noProof/>
                <w:webHidden/>
              </w:rPr>
              <w:t>1</w:t>
            </w:r>
            <w:r w:rsidR="006E4653">
              <w:rPr>
                <w:noProof/>
                <w:webHidden/>
              </w:rPr>
              <w:fldChar w:fldCharType="end"/>
            </w:r>
          </w:hyperlink>
        </w:p>
        <w:p w14:paraId="5BFE768D" w14:textId="13B7D0B3" w:rsidR="006E4653" w:rsidRDefault="00000000">
          <w:pPr>
            <w:pStyle w:val="TOC1"/>
            <w:rPr>
              <w:rFonts w:asciiTheme="minorHAnsi" w:eastAsiaTheme="minorEastAsia" w:hAnsiTheme="minorHAnsi"/>
              <w:b w:val="0"/>
              <w:caps w:val="0"/>
              <w:noProof/>
              <w:sz w:val="22"/>
              <w:szCs w:val="22"/>
              <w:lang w:eastAsia="en-AU"/>
            </w:rPr>
          </w:pPr>
          <w:hyperlink w:anchor="_Toc113344010" w:history="1">
            <w:r w:rsidR="006E4653" w:rsidRPr="00AA20C8">
              <w:rPr>
                <w:rStyle w:val="Hyperlink"/>
                <w:rFonts w:cstheme="minorHAnsi"/>
                <w:noProof/>
              </w:rPr>
              <w:t>II.</w:t>
            </w:r>
            <w:r w:rsidR="006E4653">
              <w:rPr>
                <w:rFonts w:asciiTheme="minorHAnsi" w:eastAsiaTheme="minorEastAsia" w:hAnsiTheme="minorHAnsi"/>
                <w:b w:val="0"/>
                <w:caps w:val="0"/>
                <w:noProof/>
                <w:sz w:val="22"/>
                <w:szCs w:val="22"/>
                <w:lang w:eastAsia="en-AU"/>
              </w:rPr>
              <w:tab/>
            </w:r>
            <w:r w:rsidR="006E4653" w:rsidRPr="00AA20C8">
              <w:rPr>
                <w:rStyle w:val="Hyperlink"/>
                <w:rFonts w:cstheme="minorHAnsi"/>
                <w:noProof/>
              </w:rPr>
              <w:t>Initiation of investigation</w:t>
            </w:r>
            <w:r w:rsidR="006E4653">
              <w:rPr>
                <w:noProof/>
                <w:webHidden/>
              </w:rPr>
              <w:tab/>
            </w:r>
            <w:r w:rsidR="006E4653">
              <w:rPr>
                <w:noProof/>
                <w:webHidden/>
              </w:rPr>
              <w:fldChar w:fldCharType="begin"/>
            </w:r>
            <w:r w:rsidR="006E4653">
              <w:rPr>
                <w:noProof/>
                <w:webHidden/>
              </w:rPr>
              <w:instrText xml:space="preserve"> PAGEREF _Toc113344010 \h </w:instrText>
            </w:r>
            <w:r w:rsidR="006E4653">
              <w:rPr>
                <w:noProof/>
                <w:webHidden/>
              </w:rPr>
            </w:r>
            <w:r w:rsidR="006E4653">
              <w:rPr>
                <w:noProof/>
                <w:webHidden/>
              </w:rPr>
              <w:fldChar w:fldCharType="separate"/>
            </w:r>
            <w:r w:rsidR="00CD68AF">
              <w:rPr>
                <w:noProof/>
                <w:webHidden/>
              </w:rPr>
              <w:t>4</w:t>
            </w:r>
            <w:r w:rsidR="006E4653">
              <w:rPr>
                <w:noProof/>
                <w:webHidden/>
              </w:rPr>
              <w:fldChar w:fldCharType="end"/>
            </w:r>
          </w:hyperlink>
        </w:p>
        <w:p w14:paraId="4C16E44D" w14:textId="38CBC74F" w:rsidR="006E4653" w:rsidRDefault="00000000">
          <w:pPr>
            <w:pStyle w:val="TOC1"/>
            <w:rPr>
              <w:rFonts w:asciiTheme="minorHAnsi" w:eastAsiaTheme="minorEastAsia" w:hAnsiTheme="minorHAnsi"/>
              <w:b w:val="0"/>
              <w:caps w:val="0"/>
              <w:noProof/>
              <w:sz w:val="22"/>
              <w:szCs w:val="22"/>
              <w:lang w:eastAsia="en-AU"/>
            </w:rPr>
          </w:pPr>
          <w:hyperlink w:anchor="_Toc113344011" w:history="1">
            <w:r w:rsidR="006E4653" w:rsidRPr="00AA20C8">
              <w:rPr>
                <w:rStyle w:val="Hyperlink"/>
                <w:rFonts w:cstheme="minorHAnsi"/>
                <w:noProof/>
              </w:rPr>
              <w:t>III.</w:t>
            </w:r>
            <w:r w:rsidR="006E4653">
              <w:rPr>
                <w:rFonts w:asciiTheme="minorHAnsi" w:eastAsiaTheme="minorEastAsia" w:hAnsiTheme="minorHAnsi"/>
                <w:b w:val="0"/>
                <w:caps w:val="0"/>
                <w:noProof/>
                <w:sz w:val="22"/>
                <w:szCs w:val="22"/>
                <w:lang w:eastAsia="en-AU"/>
              </w:rPr>
              <w:tab/>
            </w:r>
            <w:r w:rsidR="006E4653" w:rsidRPr="00AA20C8">
              <w:rPr>
                <w:rStyle w:val="Hyperlink"/>
                <w:rFonts w:cstheme="minorHAnsi"/>
                <w:noProof/>
              </w:rPr>
              <w:t>Definition of domestic industry</w:t>
            </w:r>
            <w:r w:rsidR="006E4653">
              <w:rPr>
                <w:noProof/>
                <w:webHidden/>
              </w:rPr>
              <w:tab/>
            </w:r>
            <w:r w:rsidR="006E4653">
              <w:rPr>
                <w:noProof/>
                <w:webHidden/>
              </w:rPr>
              <w:fldChar w:fldCharType="begin"/>
            </w:r>
            <w:r w:rsidR="006E4653">
              <w:rPr>
                <w:noProof/>
                <w:webHidden/>
              </w:rPr>
              <w:instrText xml:space="preserve"> PAGEREF _Toc113344011 \h </w:instrText>
            </w:r>
            <w:r w:rsidR="006E4653">
              <w:rPr>
                <w:noProof/>
                <w:webHidden/>
              </w:rPr>
            </w:r>
            <w:r w:rsidR="006E4653">
              <w:rPr>
                <w:noProof/>
                <w:webHidden/>
              </w:rPr>
              <w:fldChar w:fldCharType="separate"/>
            </w:r>
            <w:r w:rsidR="00CD68AF">
              <w:rPr>
                <w:noProof/>
                <w:webHidden/>
              </w:rPr>
              <w:t>5</w:t>
            </w:r>
            <w:r w:rsidR="006E4653">
              <w:rPr>
                <w:noProof/>
                <w:webHidden/>
              </w:rPr>
              <w:fldChar w:fldCharType="end"/>
            </w:r>
          </w:hyperlink>
        </w:p>
        <w:p w14:paraId="25413916" w14:textId="1E7A41F3" w:rsidR="006E4653" w:rsidRDefault="00000000">
          <w:pPr>
            <w:pStyle w:val="TOC1"/>
            <w:rPr>
              <w:rFonts w:asciiTheme="minorHAnsi" w:eastAsiaTheme="minorEastAsia" w:hAnsiTheme="minorHAnsi"/>
              <w:b w:val="0"/>
              <w:caps w:val="0"/>
              <w:noProof/>
              <w:sz w:val="22"/>
              <w:szCs w:val="22"/>
              <w:lang w:eastAsia="en-AU"/>
            </w:rPr>
          </w:pPr>
          <w:hyperlink w:anchor="_Toc113344012" w:history="1">
            <w:r w:rsidR="006E4653" w:rsidRPr="00AA20C8">
              <w:rPr>
                <w:rStyle w:val="Hyperlink"/>
                <w:rFonts w:cstheme="minorHAnsi"/>
                <w:noProof/>
              </w:rPr>
              <w:t>IV.</w:t>
            </w:r>
            <w:r w:rsidR="006E4653">
              <w:rPr>
                <w:rFonts w:asciiTheme="minorHAnsi" w:eastAsiaTheme="minorEastAsia" w:hAnsiTheme="minorHAnsi"/>
                <w:b w:val="0"/>
                <w:caps w:val="0"/>
                <w:noProof/>
                <w:sz w:val="22"/>
                <w:szCs w:val="22"/>
                <w:lang w:eastAsia="en-AU"/>
              </w:rPr>
              <w:tab/>
            </w:r>
            <w:r w:rsidR="006E4653" w:rsidRPr="00AA20C8">
              <w:rPr>
                <w:rStyle w:val="Hyperlink"/>
                <w:rFonts w:cstheme="minorHAnsi"/>
                <w:noProof/>
              </w:rPr>
              <w:t>Dumping determination</w:t>
            </w:r>
            <w:r w:rsidR="006E4653">
              <w:rPr>
                <w:noProof/>
                <w:webHidden/>
              </w:rPr>
              <w:tab/>
            </w:r>
            <w:r w:rsidR="006E4653">
              <w:rPr>
                <w:noProof/>
                <w:webHidden/>
              </w:rPr>
              <w:fldChar w:fldCharType="begin"/>
            </w:r>
            <w:r w:rsidR="006E4653">
              <w:rPr>
                <w:noProof/>
                <w:webHidden/>
              </w:rPr>
              <w:instrText xml:space="preserve"> PAGEREF _Toc113344012 \h </w:instrText>
            </w:r>
            <w:r w:rsidR="006E4653">
              <w:rPr>
                <w:noProof/>
                <w:webHidden/>
              </w:rPr>
            </w:r>
            <w:r w:rsidR="006E4653">
              <w:rPr>
                <w:noProof/>
                <w:webHidden/>
              </w:rPr>
              <w:fldChar w:fldCharType="separate"/>
            </w:r>
            <w:r w:rsidR="00CD68AF">
              <w:rPr>
                <w:noProof/>
                <w:webHidden/>
              </w:rPr>
              <w:t>6</w:t>
            </w:r>
            <w:r w:rsidR="006E4653">
              <w:rPr>
                <w:noProof/>
                <w:webHidden/>
              </w:rPr>
              <w:fldChar w:fldCharType="end"/>
            </w:r>
          </w:hyperlink>
        </w:p>
        <w:p w14:paraId="5237D609" w14:textId="74A85706" w:rsidR="006E4653" w:rsidRDefault="00000000">
          <w:pPr>
            <w:pStyle w:val="TOC2"/>
            <w:rPr>
              <w:rFonts w:asciiTheme="minorHAnsi" w:eastAsiaTheme="minorEastAsia" w:hAnsiTheme="minorHAnsi"/>
              <w:b w:val="0"/>
              <w:smallCaps w:val="0"/>
              <w:noProof/>
              <w:sz w:val="22"/>
              <w:szCs w:val="22"/>
              <w:lang w:eastAsia="en-AU"/>
            </w:rPr>
          </w:pPr>
          <w:hyperlink w:anchor="_Toc113344013" w:history="1">
            <w:r w:rsidR="006E4653" w:rsidRPr="00AA20C8">
              <w:rPr>
                <w:rStyle w:val="Hyperlink"/>
                <w:rFonts w:cstheme="minorHAnsi"/>
                <w:noProof/>
              </w:rPr>
              <w:t>A.</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The anti-dumping duties are absurd on their face</w:t>
            </w:r>
            <w:r w:rsidR="006E4653">
              <w:rPr>
                <w:noProof/>
                <w:webHidden/>
              </w:rPr>
              <w:tab/>
            </w:r>
            <w:r w:rsidR="006E4653">
              <w:rPr>
                <w:noProof/>
                <w:webHidden/>
              </w:rPr>
              <w:fldChar w:fldCharType="begin"/>
            </w:r>
            <w:r w:rsidR="006E4653">
              <w:rPr>
                <w:noProof/>
                <w:webHidden/>
              </w:rPr>
              <w:instrText xml:space="preserve"> PAGEREF _Toc113344013 \h </w:instrText>
            </w:r>
            <w:r w:rsidR="006E4653">
              <w:rPr>
                <w:noProof/>
                <w:webHidden/>
              </w:rPr>
            </w:r>
            <w:r w:rsidR="006E4653">
              <w:rPr>
                <w:noProof/>
                <w:webHidden/>
              </w:rPr>
              <w:fldChar w:fldCharType="separate"/>
            </w:r>
            <w:r w:rsidR="00CD68AF">
              <w:rPr>
                <w:noProof/>
                <w:webHidden/>
              </w:rPr>
              <w:t>6</w:t>
            </w:r>
            <w:r w:rsidR="006E4653">
              <w:rPr>
                <w:noProof/>
                <w:webHidden/>
              </w:rPr>
              <w:fldChar w:fldCharType="end"/>
            </w:r>
          </w:hyperlink>
        </w:p>
        <w:p w14:paraId="431AF754" w14:textId="48B91E17" w:rsidR="006E4653" w:rsidRDefault="00000000">
          <w:pPr>
            <w:pStyle w:val="TOC2"/>
            <w:rPr>
              <w:rFonts w:asciiTheme="minorHAnsi" w:eastAsiaTheme="minorEastAsia" w:hAnsiTheme="minorHAnsi"/>
              <w:b w:val="0"/>
              <w:smallCaps w:val="0"/>
              <w:noProof/>
              <w:sz w:val="22"/>
              <w:szCs w:val="22"/>
              <w:lang w:eastAsia="en-AU"/>
            </w:rPr>
          </w:pPr>
          <w:hyperlink w:anchor="_Toc113344014" w:history="1">
            <w:r w:rsidR="006E4653" w:rsidRPr="00AA20C8">
              <w:rPr>
                <w:rStyle w:val="Hyperlink"/>
                <w:rFonts w:cstheme="minorHAnsi"/>
                <w:noProof/>
              </w:rPr>
              <w:t>B.</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MOFCOM denied interested parties a full opportunity for defence of interests</w:t>
            </w:r>
            <w:r w:rsidR="006E4653">
              <w:rPr>
                <w:noProof/>
                <w:webHidden/>
              </w:rPr>
              <w:tab/>
            </w:r>
            <w:r w:rsidR="006E4653">
              <w:rPr>
                <w:noProof/>
                <w:webHidden/>
              </w:rPr>
              <w:fldChar w:fldCharType="begin"/>
            </w:r>
            <w:r w:rsidR="006E4653">
              <w:rPr>
                <w:noProof/>
                <w:webHidden/>
              </w:rPr>
              <w:instrText xml:space="preserve"> PAGEREF _Toc113344014 \h </w:instrText>
            </w:r>
            <w:r w:rsidR="006E4653">
              <w:rPr>
                <w:noProof/>
                <w:webHidden/>
              </w:rPr>
            </w:r>
            <w:r w:rsidR="006E4653">
              <w:rPr>
                <w:noProof/>
                <w:webHidden/>
              </w:rPr>
              <w:fldChar w:fldCharType="separate"/>
            </w:r>
            <w:r w:rsidR="00CD68AF">
              <w:rPr>
                <w:noProof/>
                <w:webHidden/>
              </w:rPr>
              <w:t>7</w:t>
            </w:r>
            <w:r w:rsidR="006E4653">
              <w:rPr>
                <w:noProof/>
                <w:webHidden/>
              </w:rPr>
              <w:fldChar w:fldCharType="end"/>
            </w:r>
          </w:hyperlink>
        </w:p>
        <w:p w14:paraId="7C8F261B" w14:textId="01873CAF" w:rsidR="006E4653" w:rsidRDefault="00000000">
          <w:pPr>
            <w:pStyle w:val="TOC2"/>
            <w:rPr>
              <w:rFonts w:asciiTheme="minorHAnsi" w:eastAsiaTheme="minorEastAsia" w:hAnsiTheme="minorHAnsi"/>
              <w:b w:val="0"/>
              <w:smallCaps w:val="0"/>
              <w:noProof/>
              <w:sz w:val="22"/>
              <w:szCs w:val="22"/>
              <w:lang w:eastAsia="en-AU"/>
            </w:rPr>
          </w:pPr>
          <w:hyperlink w:anchor="_Toc113344015" w:history="1">
            <w:r w:rsidR="006E4653" w:rsidRPr="00AA20C8">
              <w:rPr>
                <w:rStyle w:val="Hyperlink"/>
                <w:rFonts w:cstheme="minorHAnsi"/>
                <w:noProof/>
              </w:rPr>
              <w:t>C.</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Sampled company cooperation</w:t>
            </w:r>
            <w:r w:rsidR="006E4653">
              <w:rPr>
                <w:noProof/>
                <w:webHidden/>
              </w:rPr>
              <w:tab/>
            </w:r>
            <w:r w:rsidR="006E4653">
              <w:rPr>
                <w:noProof/>
                <w:webHidden/>
              </w:rPr>
              <w:fldChar w:fldCharType="begin"/>
            </w:r>
            <w:r w:rsidR="006E4653">
              <w:rPr>
                <w:noProof/>
                <w:webHidden/>
              </w:rPr>
              <w:instrText xml:space="preserve"> PAGEREF _Toc113344015 \h </w:instrText>
            </w:r>
            <w:r w:rsidR="006E4653">
              <w:rPr>
                <w:noProof/>
                <w:webHidden/>
              </w:rPr>
            </w:r>
            <w:r w:rsidR="006E4653">
              <w:rPr>
                <w:noProof/>
                <w:webHidden/>
              </w:rPr>
              <w:fldChar w:fldCharType="separate"/>
            </w:r>
            <w:r w:rsidR="00CD68AF">
              <w:rPr>
                <w:noProof/>
                <w:webHidden/>
              </w:rPr>
              <w:t>8</w:t>
            </w:r>
            <w:r w:rsidR="006E4653">
              <w:rPr>
                <w:noProof/>
                <w:webHidden/>
              </w:rPr>
              <w:fldChar w:fldCharType="end"/>
            </w:r>
          </w:hyperlink>
        </w:p>
        <w:p w14:paraId="1AB5DCC9" w14:textId="0FE06D9E" w:rsidR="006E4653" w:rsidRDefault="00000000">
          <w:pPr>
            <w:pStyle w:val="TOC2"/>
            <w:rPr>
              <w:rFonts w:asciiTheme="minorHAnsi" w:eastAsiaTheme="minorEastAsia" w:hAnsiTheme="minorHAnsi"/>
              <w:b w:val="0"/>
              <w:smallCaps w:val="0"/>
              <w:noProof/>
              <w:sz w:val="22"/>
              <w:szCs w:val="22"/>
              <w:lang w:eastAsia="en-AU"/>
            </w:rPr>
          </w:pPr>
          <w:hyperlink w:anchor="_Toc113344016" w:history="1">
            <w:r w:rsidR="006E4653" w:rsidRPr="00AA20C8">
              <w:rPr>
                <w:rStyle w:val="Hyperlink"/>
                <w:rFonts w:cstheme="minorHAnsi"/>
                <w:noProof/>
              </w:rPr>
              <w:t>D.</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Verification of information</w:t>
            </w:r>
            <w:r w:rsidR="006E4653">
              <w:rPr>
                <w:noProof/>
                <w:webHidden/>
              </w:rPr>
              <w:tab/>
            </w:r>
            <w:r w:rsidR="006E4653">
              <w:rPr>
                <w:noProof/>
                <w:webHidden/>
              </w:rPr>
              <w:fldChar w:fldCharType="begin"/>
            </w:r>
            <w:r w:rsidR="006E4653">
              <w:rPr>
                <w:noProof/>
                <w:webHidden/>
              </w:rPr>
              <w:instrText xml:space="preserve"> PAGEREF _Toc113344016 \h </w:instrText>
            </w:r>
            <w:r w:rsidR="006E4653">
              <w:rPr>
                <w:noProof/>
                <w:webHidden/>
              </w:rPr>
            </w:r>
            <w:r w:rsidR="006E4653">
              <w:rPr>
                <w:noProof/>
                <w:webHidden/>
              </w:rPr>
              <w:fldChar w:fldCharType="separate"/>
            </w:r>
            <w:r w:rsidR="00CD68AF">
              <w:rPr>
                <w:noProof/>
                <w:webHidden/>
              </w:rPr>
              <w:t>8</w:t>
            </w:r>
            <w:r w:rsidR="006E4653">
              <w:rPr>
                <w:noProof/>
                <w:webHidden/>
              </w:rPr>
              <w:fldChar w:fldCharType="end"/>
            </w:r>
          </w:hyperlink>
        </w:p>
        <w:p w14:paraId="4DE3D1FA" w14:textId="5AD4DB35" w:rsidR="006E4653" w:rsidRDefault="00000000">
          <w:pPr>
            <w:pStyle w:val="TOC2"/>
            <w:rPr>
              <w:rFonts w:asciiTheme="minorHAnsi" w:eastAsiaTheme="minorEastAsia" w:hAnsiTheme="minorHAnsi"/>
              <w:b w:val="0"/>
              <w:smallCaps w:val="0"/>
              <w:noProof/>
              <w:sz w:val="22"/>
              <w:szCs w:val="22"/>
              <w:lang w:eastAsia="en-AU"/>
            </w:rPr>
          </w:pPr>
          <w:hyperlink w:anchor="_Toc113344017" w:history="1">
            <w:r w:rsidR="006E4653" w:rsidRPr="00AA20C8">
              <w:rPr>
                <w:rStyle w:val="Hyperlink"/>
                <w:rFonts w:cstheme="minorHAnsi"/>
                <w:noProof/>
              </w:rPr>
              <w:t>E.</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Best information available</w:t>
            </w:r>
            <w:r w:rsidR="006E4653">
              <w:rPr>
                <w:noProof/>
                <w:webHidden/>
              </w:rPr>
              <w:tab/>
            </w:r>
            <w:r w:rsidR="006E4653">
              <w:rPr>
                <w:noProof/>
                <w:webHidden/>
              </w:rPr>
              <w:fldChar w:fldCharType="begin"/>
            </w:r>
            <w:r w:rsidR="006E4653">
              <w:rPr>
                <w:noProof/>
                <w:webHidden/>
              </w:rPr>
              <w:instrText xml:space="preserve"> PAGEREF _Toc113344017 \h </w:instrText>
            </w:r>
            <w:r w:rsidR="006E4653">
              <w:rPr>
                <w:noProof/>
                <w:webHidden/>
              </w:rPr>
            </w:r>
            <w:r w:rsidR="006E4653">
              <w:rPr>
                <w:noProof/>
                <w:webHidden/>
              </w:rPr>
              <w:fldChar w:fldCharType="separate"/>
            </w:r>
            <w:r w:rsidR="00CD68AF">
              <w:rPr>
                <w:noProof/>
                <w:webHidden/>
              </w:rPr>
              <w:t>9</w:t>
            </w:r>
            <w:r w:rsidR="006E4653">
              <w:rPr>
                <w:noProof/>
                <w:webHidden/>
              </w:rPr>
              <w:fldChar w:fldCharType="end"/>
            </w:r>
          </w:hyperlink>
        </w:p>
        <w:p w14:paraId="37FB3E2F" w14:textId="63BFFA31" w:rsidR="006E4653" w:rsidRDefault="00000000">
          <w:pPr>
            <w:pStyle w:val="TOC2"/>
            <w:rPr>
              <w:rFonts w:asciiTheme="minorHAnsi" w:eastAsiaTheme="minorEastAsia" w:hAnsiTheme="minorHAnsi"/>
              <w:b w:val="0"/>
              <w:smallCaps w:val="0"/>
              <w:noProof/>
              <w:sz w:val="22"/>
              <w:szCs w:val="22"/>
              <w:lang w:eastAsia="en-AU"/>
            </w:rPr>
          </w:pPr>
          <w:hyperlink w:anchor="_Toc113344018" w:history="1">
            <w:r w:rsidR="006E4653" w:rsidRPr="00AA20C8">
              <w:rPr>
                <w:rStyle w:val="Hyperlink"/>
                <w:rFonts w:cstheme="minorHAnsi"/>
                <w:noProof/>
              </w:rPr>
              <w:t>F.</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Treasury provided all necessary information</w:t>
            </w:r>
            <w:r w:rsidR="006E4653">
              <w:rPr>
                <w:noProof/>
                <w:webHidden/>
              </w:rPr>
              <w:tab/>
            </w:r>
            <w:r w:rsidR="006E4653">
              <w:rPr>
                <w:noProof/>
                <w:webHidden/>
              </w:rPr>
              <w:fldChar w:fldCharType="begin"/>
            </w:r>
            <w:r w:rsidR="006E4653">
              <w:rPr>
                <w:noProof/>
                <w:webHidden/>
              </w:rPr>
              <w:instrText xml:space="preserve"> PAGEREF _Toc113344018 \h </w:instrText>
            </w:r>
            <w:r w:rsidR="006E4653">
              <w:rPr>
                <w:noProof/>
                <w:webHidden/>
              </w:rPr>
            </w:r>
            <w:r w:rsidR="006E4653">
              <w:rPr>
                <w:noProof/>
                <w:webHidden/>
              </w:rPr>
              <w:fldChar w:fldCharType="separate"/>
            </w:r>
            <w:r w:rsidR="00CD68AF">
              <w:rPr>
                <w:noProof/>
                <w:webHidden/>
              </w:rPr>
              <w:t>10</w:t>
            </w:r>
            <w:r w:rsidR="006E4653">
              <w:rPr>
                <w:noProof/>
                <w:webHidden/>
              </w:rPr>
              <w:fldChar w:fldCharType="end"/>
            </w:r>
          </w:hyperlink>
        </w:p>
        <w:p w14:paraId="3C8D6D29" w14:textId="04FD1185" w:rsidR="006E4653" w:rsidRDefault="00000000">
          <w:pPr>
            <w:pStyle w:val="TOC2"/>
            <w:rPr>
              <w:rFonts w:asciiTheme="minorHAnsi" w:eastAsiaTheme="minorEastAsia" w:hAnsiTheme="minorHAnsi"/>
              <w:b w:val="0"/>
              <w:smallCaps w:val="0"/>
              <w:noProof/>
              <w:sz w:val="22"/>
              <w:szCs w:val="22"/>
              <w:lang w:eastAsia="en-AU"/>
            </w:rPr>
          </w:pPr>
          <w:hyperlink w:anchor="_Toc113344019" w:history="1">
            <w:r w:rsidR="006E4653" w:rsidRPr="00AA20C8">
              <w:rPr>
                <w:rStyle w:val="Hyperlink"/>
                <w:rFonts w:cstheme="minorHAnsi"/>
                <w:noProof/>
              </w:rPr>
              <w:t>G.</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MOFCOM's selection of replacement data for Treasury</w:t>
            </w:r>
            <w:r w:rsidR="006E4653">
              <w:rPr>
                <w:noProof/>
                <w:webHidden/>
              </w:rPr>
              <w:tab/>
            </w:r>
            <w:r w:rsidR="006E4653">
              <w:rPr>
                <w:noProof/>
                <w:webHidden/>
              </w:rPr>
              <w:fldChar w:fldCharType="begin"/>
            </w:r>
            <w:r w:rsidR="006E4653">
              <w:rPr>
                <w:noProof/>
                <w:webHidden/>
              </w:rPr>
              <w:instrText xml:space="preserve"> PAGEREF _Toc113344019 \h </w:instrText>
            </w:r>
            <w:r w:rsidR="006E4653">
              <w:rPr>
                <w:noProof/>
                <w:webHidden/>
              </w:rPr>
            </w:r>
            <w:r w:rsidR="006E4653">
              <w:rPr>
                <w:noProof/>
                <w:webHidden/>
              </w:rPr>
              <w:fldChar w:fldCharType="separate"/>
            </w:r>
            <w:r w:rsidR="00CD68AF">
              <w:rPr>
                <w:noProof/>
                <w:webHidden/>
              </w:rPr>
              <w:t>11</w:t>
            </w:r>
            <w:r w:rsidR="006E4653">
              <w:rPr>
                <w:noProof/>
                <w:webHidden/>
              </w:rPr>
              <w:fldChar w:fldCharType="end"/>
            </w:r>
          </w:hyperlink>
        </w:p>
        <w:p w14:paraId="18A1A0CD" w14:textId="3D956EA2" w:rsidR="006E4653" w:rsidRDefault="00000000">
          <w:pPr>
            <w:pStyle w:val="TOC2"/>
            <w:rPr>
              <w:rFonts w:asciiTheme="minorHAnsi" w:eastAsiaTheme="minorEastAsia" w:hAnsiTheme="minorHAnsi"/>
              <w:b w:val="0"/>
              <w:smallCaps w:val="0"/>
              <w:noProof/>
              <w:sz w:val="22"/>
              <w:szCs w:val="22"/>
              <w:lang w:eastAsia="en-AU"/>
            </w:rPr>
          </w:pPr>
          <w:hyperlink w:anchor="_Toc113344020" w:history="1">
            <w:r w:rsidR="006E4653" w:rsidRPr="00AA20C8">
              <w:rPr>
                <w:rStyle w:val="Hyperlink"/>
                <w:rFonts w:cstheme="minorHAnsi"/>
                <w:noProof/>
              </w:rPr>
              <w:t>H.</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Casella provided all necessary information</w:t>
            </w:r>
            <w:r w:rsidR="006E4653">
              <w:rPr>
                <w:noProof/>
                <w:webHidden/>
              </w:rPr>
              <w:tab/>
            </w:r>
            <w:r w:rsidR="006E4653">
              <w:rPr>
                <w:noProof/>
                <w:webHidden/>
              </w:rPr>
              <w:fldChar w:fldCharType="begin"/>
            </w:r>
            <w:r w:rsidR="006E4653">
              <w:rPr>
                <w:noProof/>
                <w:webHidden/>
              </w:rPr>
              <w:instrText xml:space="preserve"> PAGEREF _Toc113344020 \h </w:instrText>
            </w:r>
            <w:r w:rsidR="006E4653">
              <w:rPr>
                <w:noProof/>
                <w:webHidden/>
              </w:rPr>
            </w:r>
            <w:r w:rsidR="006E4653">
              <w:rPr>
                <w:noProof/>
                <w:webHidden/>
              </w:rPr>
              <w:fldChar w:fldCharType="separate"/>
            </w:r>
            <w:r w:rsidR="00CD68AF">
              <w:rPr>
                <w:noProof/>
                <w:webHidden/>
              </w:rPr>
              <w:t>12</w:t>
            </w:r>
            <w:r w:rsidR="006E4653">
              <w:rPr>
                <w:noProof/>
                <w:webHidden/>
              </w:rPr>
              <w:fldChar w:fldCharType="end"/>
            </w:r>
          </w:hyperlink>
        </w:p>
        <w:p w14:paraId="0BA2A953" w14:textId="390454F0" w:rsidR="006E4653" w:rsidRDefault="00000000">
          <w:pPr>
            <w:pStyle w:val="TOC2"/>
            <w:rPr>
              <w:rFonts w:asciiTheme="minorHAnsi" w:eastAsiaTheme="minorEastAsia" w:hAnsiTheme="minorHAnsi"/>
              <w:b w:val="0"/>
              <w:smallCaps w:val="0"/>
              <w:noProof/>
              <w:sz w:val="22"/>
              <w:szCs w:val="22"/>
              <w:lang w:eastAsia="en-AU"/>
            </w:rPr>
          </w:pPr>
          <w:hyperlink w:anchor="_Toc113344021" w:history="1">
            <w:r w:rsidR="006E4653" w:rsidRPr="00AA20C8">
              <w:rPr>
                <w:rStyle w:val="Hyperlink"/>
                <w:rFonts w:cstheme="minorHAnsi"/>
                <w:noProof/>
              </w:rPr>
              <w:t>I.</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Swan provided all necessary information</w:t>
            </w:r>
            <w:r w:rsidR="006E4653">
              <w:rPr>
                <w:noProof/>
                <w:webHidden/>
              </w:rPr>
              <w:tab/>
            </w:r>
            <w:r w:rsidR="006E4653">
              <w:rPr>
                <w:noProof/>
                <w:webHidden/>
              </w:rPr>
              <w:fldChar w:fldCharType="begin"/>
            </w:r>
            <w:r w:rsidR="006E4653">
              <w:rPr>
                <w:noProof/>
                <w:webHidden/>
              </w:rPr>
              <w:instrText xml:space="preserve"> PAGEREF _Toc113344021 \h </w:instrText>
            </w:r>
            <w:r w:rsidR="006E4653">
              <w:rPr>
                <w:noProof/>
                <w:webHidden/>
              </w:rPr>
            </w:r>
            <w:r w:rsidR="006E4653">
              <w:rPr>
                <w:noProof/>
                <w:webHidden/>
              </w:rPr>
              <w:fldChar w:fldCharType="separate"/>
            </w:r>
            <w:r w:rsidR="00CD68AF">
              <w:rPr>
                <w:noProof/>
                <w:webHidden/>
              </w:rPr>
              <w:t>13</w:t>
            </w:r>
            <w:r w:rsidR="006E4653">
              <w:rPr>
                <w:noProof/>
                <w:webHidden/>
              </w:rPr>
              <w:fldChar w:fldCharType="end"/>
            </w:r>
          </w:hyperlink>
        </w:p>
        <w:p w14:paraId="7A468840" w14:textId="5DF776AE" w:rsidR="006E4653" w:rsidRDefault="00000000">
          <w:pPr>
            <w:pStyle w:val="TOC2"/>
            <w:rPr>
              <w:rFonts w:asciiTheme="minorHAnsi" w:eastAsiaTheme="minorEastAsia" w:hAnsiTheme="minorHAnsi"/>
              <w:b w:val="0"/>
              <w:smallCaps w:val="0"/>
              <w:noProof/>
              <w:sz w:val="22"/>
              <w:szCs w:val="22"/>
              <w:lang w:eastAsia="en-AU"/>
            </w:rPr>
          </w:pPr>
          <w:hyperlink w:anchor="_Toc113344022" w:history="1">
            <w:r w:rsidR="006E4653" w:rsidRPr="00AA20C8">
              <w:rPr>
                <w:rStyle w:val="Hyperlink"/>
                <w:rFonts w:cstheme="minorHAnsi"/>
                <w:noProof/>
              </w:rPr>
              <w:t>J.</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MOFCOM's selection of replacement data for Casella and Swan</w:t>
            </w:r>
            <w:r w:rsidR="006E4653">
              <w:rPr>
                <w:noProof/>
                <w:webHidden/>
              </w:rPr>
              <w:tab/>
            </w:r>
            <w:r w:rsidR="006E4653">
              <w:rPr>
                <w:noProof/>
                <w:webHidden/>
              </w:rPr>
              <w:fldChar w:fldCharType="begin"/>
            </w:r>
            <w:r w:rsidR="006E4653">
              <w:rPr>
                <w:noProof/>
                <w:webHidden/>
              </w:rPr>
              <w:instrText xml:space="preserve"> PAGEREF _Toc113344022 \h </w:instrText>
            </w:r>
            <w:r w:rsidR="006E4653">
              <w:rPr>
                <w:noProof/>
                <w:webHidden/>
              </w:rPr>
            </w:r>
            <w:r w:rsidR="006E4653">
              <w:rPr>
                <w:noProof/>
                <w:webHidden/>
              </w:rPr>
              <w:fldChar w:fldCharType="separate"/>
            </w:r>
            <w:r w:rsidR="00CD68AF">
              <w:rPr>
                <w:noProof/>
                <w:webHidden/>
              </w:rPr>
              <w:t>13</w:t>
            </w:r>
            <w:r w:rsidR="006E4653">
              <w:rPr>
                <w:noProof/>
                <w:webHidden/>
              </w:rPr>
              <w:fldChar w:fldCharType="end"/>
            </w:r>
          </w:hyperlink>
        </w:p>
        <w:p w14:paraId="7EE5FACE" w14:textId="42350A1F" w:rsidR="006E4653" w:rsidRDefault="00000000">
          <w:pPr>
            <w:pStyle w:val="TOC2"/>
            <w:rPr>
              <w:rFonts w:asciiTheme="minorHAnsi" w:eastAsiaTheme="minorEastAsia" w:hAnsiTheme="minorHAnsi"/>
              <w:b w:val="0"/>
              <w:smallCaps w:val="0"/>
              <w:noProof/>
              <w:sz w:val="22"/>
              <w:szCs w:val="22"/>
              <w:lang w:eastAsia="en-AU"/>
            </w:rPr>
          </w:pPr>
          <w:hyperlink w:anchor="_Toc113344023" w:history="1">
            <w:r w:rsidR="006E4653" w:rsidRPr="00AA20C8">
              <w:rPr>
                <w:rStyle w:val="Hyperlink"/>
                <w:rFonts w:cstheme="minorHAnsi"/>
                <w:noProof/>
              </w:rPr>
              <w:t>K.</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Fair comparison for the sampled companies</w:t>
            </w:r>
            <w:r w:rsidR="006E4653">
              <w:rPr>
                <w:noProof/>
                <w:webHidden/>
              </w:rPr>
              <w:tab/>
            </w:r>
            <w:r w:rsidR="006E4653">
              <w:rPr>
                <w:noProof/>
                <w:webHidden/>
              </w:rPr>
              <w:fldChar w:fldCharType="begin"/>
            </w:r>
            <w:r w:rsidR="006E4653">
              <w:rPr>
                <w:noProof/>
                <w:webHidden/>
              </w:rPr>
              <w:instrText xml:space="preserve"> PAGEREF _Toc113344023 \h </w:instrText>
            </w:r>
            <w:r w:rsidR="006E4653">
              <w:rPr>
                <w:noProof/>
                <w:webHidden/>
              </w:rPr>
            </w:r>
            <w:r w:rsidR="006E4653">
              <w:rPr>
                <w:noProof/>
                <w:webHidden/>
              </w:rPr>
              <w:fldChar w:fldCharType="separate"/>
            </w:r>
            <w:r w:rsidR="00CD68AF">
              <w:rPr>
                <w:noProof/>
                <w:webHidden/>
              </w:rPr>
              <w:t>14</w:t>
            </w:r>
            <w:r w:rsidR="006E4653">
              <w:rPr>
                <w:noProof/>
                <w:webHidden/>
              </w:rPr>
              <w:fldChar w:fldCharType="end"/>
            </w:r>
          </w:hyperlink>
        </w:p>
        <w:p w14:paraId="57D39EE8" w14:textId="20DFD00E" w:rsidR="006E4653" w:rsidRDefault="00000000">
          <w:pPr>
            <w:pStyle w:val="TOC2"/>
            <w:rPr>
              <w:rFonts w:asciiTheme="minorHAnsi" w:eastAsiaTheme="minorEastAsia" w:hAnsiTheme="minorHAnsi"/>
              <w:b w:val="0"/>
              <w:smallCaps w:val="0"/>
              <w:noProof/>
              <w:sz w:val="22"/>
              <w:szCs w:val="22"/>
              <w:lang w:eastAsia="en-AU"/>
            </w:rPr>
          </w:pPr>
          <w:hyperlink w:anchor="_Toc113344024" w:history="1">
            <w:r w:rsidR="006E4653" w:rsidRPr="00AA20C8">
              <w:rPr>
                <w:rStyle w:val="Hyperlink"/>
                <w:rFonts w:cstheme="minorHAnsi"/>
                <w:noProof/>
              </w:rPr>
              <w:t>L.</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The "all others" rate</w:t>
            </w:r>
            <w:r w:rsidR="006E4653">
              <w:rPr>
                <w:noProof/>
                <w:webHidden/>
              </w:rPr>
              <w:tab/>
            </w:r>
            <w:r w:rsidR="006E4653">
              <w:rPr>
                <w:noProof/>
                <w:webHidden/>
              </w:rPr>
              <w:fldChar w:fldCharType="begin"/>
            </w:r>
            <w:r w:rsidR="006E4653">
              <w:rPr>
                <w:noProof/>
                <w:webHidden/>
              </w:rPr>
              <w:instrText xml:space="preserve"> PAGEREF _Toc113344024 \h </w:instrText>
            </w:r>
            <w:r w:rsidR="006E4653">
              <w:rPr>
                <w:noProof/>
                <w:webHidden/>
              </w:rPr>
            </w:r>
            <w:r w:rsidR="006E4653">
              <w:rPr>
                <w:noProof/>
                <w:webHidden/>
              </w:rPr>
              <w:fldChar w:fldCharType="separate"/>
            </w:r>
            <w:r w:rsidR="00CD68AF">
              <w:rPr>
                <w:noProof/>
                <w:webHidden/>
              </w:rPr>
              <w:t>15</w:t>
            </w:r>
            <w:r w:rsidR="006E4653">
              <w:rPr>
                <w:noProof/>
                <w:webHidden/>
              </w:rPr>
              <w:fldChar w:fldCharType="end"/>
            </w:r>
          </w:hyperlink>
        </w:p>
        <w:p w14:paraId="6C83FDAD" w14:textId="5F2E854F" w:rsidR="006E4653" w:rsidRDefault="00000000">
          <w:pPr>
            <w:pStyle w:val="TOC1"/>
            <w:rPr>
              <w:rFonts w:asciiTheme="minorHAnsi" w:eastAsiaTheme="minorEastAsia" w:hAnsiTheme="minorHAnsi"/>
              <w:b w:val="0"/>
              <w:caps w:val="0"/>
              <w:noProof/>
              <w:sz w:val="22"/>
              <w:szCs w:val="22"/>
              <w:lang w:eastAsia="en-AU"/>
            </w:rPr>
          </w:pPr>
          <w:hyperlink w:anchor="_Toc113344025" w:history="1">
            <w:r w:rsidR="006E4653" w:rsidRPr="00AA20C8">
              <w:rPr>
                <w:rStyle w:val="Hyperlink"/>
                <w:rFonts w:cstheme="minorHAnsi"/>
                <w:noProof/>
              </w:rPr>
              <w:t>V.</w:t>
            </w:r>
            <w:r w:rsidR="006E4653">
              <w:rPr>
                <w:rFonts w:asciiTheme="minorHAnsi" w:eastAsiaTheme="minorEastAsia" w:hAnsiTheme="minorHAnsi"/>
                <w:b w:val="0"/>
                <w:caps w:val="0"/>
                <w:noProof/>
                <w:sz w:val="22"/>
                <w:szCs w:val="22"/>
                <w:lang w:eastAsia="en-AU"/>
              </w:rPr>
              <w:tab/>
            </w:r>
            <w:r w:rsidR="006E4653" w:rsidRPr="00AA20C8">
              <w:rPr>
                <w:rStyle w:val="Hyperlink"/>
                <w:rFonts w:cstheme="minorHAnsi"/>
                <w:noProof/>
              </w:rPr>
              <w:t>Injury and causation determination</w:t>
            </w:r>
            <w:r w:rsidR="006E4653">
              <w:rPr>
                <w:noProof/>
                <w:webHidden/>
              </w:rPr>
              <w:tab/>
            </w:r>
            <w:r w:rsidR="006E4653">
              <w:rPr>
                <w:noProof/>
                <w:webHidden/>
              </w:rPr>
              <w:fldChar w:fldCharType="begin"/>
            </w:r>
            <w:r w:rsidR="006E4653">
              <w:rPr>
                <w:noProof/>
                <w:webHidden/>
              </w:rPr>
              <w:instrText xml:space="preserve"> PAGEREF _Toc113344025 \h </w:instrText>
            </w:r>
            <w:r w:rsidR="006E4653">
              <w:rPr>
                <w:noProof/>
                <w:webHidden/>
              </w:rPr>
            </w:r>
            <w:r w:rsidR="006E4653">
              <w:rPr>
                <w:noProof/>
                <w:webHidden/>
              </w:rPr>
              <w:fldChar w:fldCharType="separate"/>
            </w:r>
            <w:r w:rsidR="00CD68AF">
              <w:rPr>
                <w:noProof/>
                <w:webHidden/>
              </w:rPr>
              <w:t>16</w:t>
            </w:r>
            <w:r w:rsidR="006E4653">
              <w:rPr>
                <w:noProof/>
                <w:webHidden/>
              </w:rPr>
              <w:fldChar w:fldCharType="end"/>
            </w:r>
          </w:hyperlink>
        </w:p>
        <w:p w14:paraId="1EA7B60F" w14:textId="6E973E48" w:rsidR="006E4653" w:rsidRDefault="00000000">
          <w:pPr>
            <w:pStyle w:val="TOC2"/>
            <w:rPr>
              <w:rFonts w:asciiTheme="minorHAnsi" w:eastAsiaTheme="minorEastAsia" w:hAnsiTheme="minorHAnsi"/>
              <w:b w:val="0"/>
              <w:smallCaps w:val="0"/>
              <w:noProof/>
              <w:sz w:val="22"/>
              <w:szCs w:val="22"/>
              <w:lang w:eastAsia="en-AU"/>
            </w:rPr>
          </w:pPr>
          <w:hyperlink w:anchor="_Toc113344026" w:history="1">
            <w:r w:rsidR="006E4653" w:rsidRPr="00AA20C8">
              <w:rPr>
                <w:rStyle w:val="Hyperlink"/>
                <w:rFonts w:cstheme="minorHAnsi"/>
                <w:noProof/>
              </w:rPr>
              <w:t>A.</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The magnitude of the suppression</w:t>
            </w:r>
            <w:r w:rsidR="006E4653">
              <w:rPr>
                <w:noProof/>
                <w:webHidden/>
              </w:rPr>
              <w:tab/>
            </w:r>
            <w:r w:rsidR="006E4653">
              <w:rPr>
                <w:noProof/>
                <w:webHidden/>
              </w:rPr>
              <w:fldChar w:fldCharType="begin"/>
            </w:r>
            <w:r w:rsidR="006E4653">
              <w:rPr>
                <w:noProof/>
                <w:webHidden/>
              </w:rPr>
              <w:instrText xml:space="preserve"> PAGEREF _Toc113344026 \h </w:instrText>
            </w:r>
            <w:r w:rsidR="006E4653">
              <w:rPr>
                <w:noProof/>
                <w:webHidden/>
              </w:rPr>
            </w:r>
            <w:r w:rsidR="006E4653">
              <w:rPr>
                <w:noProof/>
                <w:webHidden/>
              </w:rPr>
              <w:fldChar w:fldCharType="separate"/>
            </w:r>
            <w:r w:rsidR="00CD68AF">
              <w:rPr>
                <w:noProof/>
                <w:webHidden/>
              </w:rPr>
              <w:t>16</w:t>
            </w:r>
            <w:r w:rsidR="006E4653">
              <w:rPr>
                <w:noProof/>
                <w:webHidden/>
              </w:rPr>
              <w:fldChar w:fldCharType="end"/>
            </w:r>
          </w:hyperlink>
        </w:p>
        <w:p w14:paraId="2300199E" w14:textId="382A0339" w:rsidR="006E4653" w:rsidRDefault="00000000">
          <w:pPr>
            <w:pStyle w:val="TOC2"/>
            <w:rPr>
              <w:rFonts w:asciiTheme="minorHAnsi" w:eastAsiaTheme="minorEastAsia" w:hAnsiTheme="minorHAnsi"/>
              <w:b w:val="0"/>
              <w:smallCaps w:val="0"/>
              <w:noProof/>
              <w:sz w:val="22"/>
              <w:szCs w:val="22"/>
              <w:lang w:eastAsia="en-AU"/>
            </w:rPr>
          </w:pPr>
          <w:hyperlink w:anchor="_Toc113344027" w:history="1">
            <w:r w:rsidR="006E4653" w:rsidRPr="00AA20C8">
              <w:rPr>
                <w:rStyle w:val="Hyperlink"/>
                <w:rFonts w:cstheme="minorHAnsi"/>
                <w:noProof/>
              </w:rPr>
              <w:t>B.</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The price element of MOFCOM's price suppression determination</w:t>
            </w:r>
            <w:r w:rsidR="006E4653">
              <w:rPr>
                <w:noProof/>
                <w:webHidden/>
              </w:rPr>
              <w:tab/>
            </w:r>
            <w:r w:rsidR="006E4653">
              <w:rPr>
                <w:noProof/>
                <w:webHidden/>
              </w:rPr>
              <w:fldChar w:fldCharType="begin"/>
            </w:r>
            <w:r w:rsidR="006E4653">
              <w:rPr>
                <w:noProof/>
                <w:webHidden/>
              </w:rPr>
              <w:instrText xml:space="preserve"> PAGEREF _Toc113344027 \h </w:instrText>
            </w:r>
            <w:r w:rsidR="006E4653">
              <w:rPr>
                <w:noProof/>
                <w:webHidden/>
              </w:rPr>
            </w:r>
            <w:r w:rsidR="006E4653">
              <w:rPr>
                <w:noProof/>
                <w:webHidden/>
              </w:rPr>
              <w:fldChar w:fldCharType="separate"/>
            </w:r>
            <w:r w:rsidR="00CD68AF">
              <w:rPr>
                <w:noProof/>
                <w:webHidden/>
              </w:rPr>
              <w:t>17</w:t>
            </w:r>
            <w:r w:rsidR="006E4653">
              <w:rPr>
                <w:noProof/>
                <w:webHidden/>
              </w:rPr>
              <w:fldChar w:fldCharType="end"/>
            </w:r>
          </w:hyperlink>
        </w:p>
        <w:p w14:paraId="55E396C4" w14:textId="79CFD192" w:rsidR="006E4653" w:rsidRDefault="00000000">
          <w:pPr>
            <w:pStyle w:val="TOC3"/>
            <w:rPr>
              <w:rFonts w:asciiTheme="minorHAnsi" w:eastAsiaTheme="minorEastAsia" w:hAnsiTheme="minorHAnsi"/>
              <w:b w:val="0"/>
              <w:noProof/>
              <w:sz w:val="22"/>
              <w:szCs w:val="22"/>
              <w:lang w:eastAsia="en-AU"/>
            </w:rPr>
          </w:pPr>
          <w:hyperlink w:anchor="_Toc113344028" w:history="1">
            <w:r w:rsidR="006E4653" w:rsidRPr="00AA20C8">
              <w:rPr>
                <w:rStyle w:val="Hyperlink"/>
                <w:rFonts w:cstheme="minorHAnsi"/>
                <w:noProof/>
              </w:rPr>
              <w:t>1.</w:t>
            </w:r>
            <w:r w:rsidR="006E4653">
              <w:rPr>
                <w:rFonts w:asciiTheme="minorHAnsi" w:eastAsiaTheme="minorEastAsia" w:hAnsiTheme="minorHAnsi"/>
                <w:b w:val="0"/>
                <w:noProof/>
                <w:sz w:val="22"/>
                <w:szCs w:val="22"/>
                <w:lang w:eastAsia="en-AU"/>
              </w:rPr>
              <w:tab/>
            </w:r>
            <w:r w:rsidR="006E4653" w:rsidRPr="00AA20C8">
              <w:rPr>
                <w:rStyle w:val="Hyperlink"/>
                <w:rFonts w:cstheme="minorHAnsi"/>
                <w:noProof/>
              </w:rPr>
              <w:t>Relevance of the China Australia Free Trade Agreement</w:t>
            </w:r>
            <w:r w:rsidR="006E4653">
              <w:rPr>
                <w:noProof/>
                <w:webHidden/>
              </w:rPr>
              <w:tab/>
            </w:r>
            <w:r w:rsidR="006E4653">
              <w:rPr>
                <w:noProof/>
                <w:webHidden/>
              </w:rPr>
              <w:fldChar w:fldCharType="begin"/>
            </w:r>
            <w:r w:rsidR="006E4653">
              <w:rPr>
                <w:noProof/>
                <w:webHidden/>
              </w:rPr>
              <w:instrText xml:space="preserve"> PAGEREF _Toc113344028 \h </w:instrText>
            </w:r>
            <w:r w:rsidR="006E4653">
              <w:rPr>
                <w:noProof/>
                <w:webHidden/>
              </w:rPr>
            </w:r>
            <w:r w:rsidR="006E4653">
              <w:rPr>
                <w:noProof/>
                <w:webHidden/>
              </w:rPr>
              <w:fldChar w:fldCharType="separate"/>
            </w:r>
            <w:r w:rsidR="00CD68AF">
              <w:rPr>
                <w:noProof/>
                <w:webHidden/>
              </w:rPr>
              <w:t>17</w:t>
            </w:r>
            <w:r w:rsidR="006E4653">
              <w:rPr>
                <w:noProof/>
                <w:webHidden/>
              </w:rPr>
              <w:fldChar w:fldCharType="end"/>
            </w:r>
          </w:hyperlink>
        </w:p>
        <w:p w14:paraId="171BCB47" w14:textId="22FF2519" w:rsidR="006E4653" w:rsidRDefault="00000000">
          <w:pPr>
            <w:pStyle w:val="TOC3"/>
            <w:rPr>
              <w:rFonts w:asciiTheme="minorHAnsi" w:eastAsiaTheme="minorEastAsia" w:hAnsiTheme="minorHAnsi"/>
              <w:b w:val="0"/>
              <w:noProof/>
              <w:sz w:val="22"/>
              <w:szCs w:val="22"/>
              <w:lang w:eastAsia="en-AU"/>
            </w:rPr>
          </w:pPr>
          <w:hyperlink w:anchor="_Toc113344029" w:history="1">
            <w:r w:rsidR="006E4653" w:rsidRPr="00AA20C8">
              <w:rPr>
                <w:rStyle w:val="Hyperlink"/>
                <w:rFonts w:cstheme="minorHAnsi"/>
                <w:noProof/>
              </w:rPr>
              <w:t>2.</w:t>
            </w:r>
            <w:r w:rsidR="006E4653">
              <w:rPr>
                <w:rFonts w:asciiTheme="minorHAnsi" w:eastAsiaTheme="minorEastAsia" w:hAnsiTheme="minorHAnsi"/>
                <w:b w:val="0"/>
                <w:noProof/>
                <w:sz w:val="22"/>
                <w:szCs w:val="22"/>
                <w:lang w:eastAsia="en-AU"/>
              </w:rPr>
              <w:tab/>
            </w:r>
            <w:r w:rsidR="006E4653" w:rsidRPr="00AA20C8">
              <w:rPr>
                <w:rStyle w:val="Hyperlink"/>
                <w:rFonts w:cstheme="minorHAnsi"/>
                <w:noProof/>
              </w:rPr>
              <w:t>Relevance of imports from third countries</w:t>
            </w:r>
            <w:r w:rsidR="006E4653">
              <w:rPr>
                <w:noProof/>
                <w:webHidden/>
              </w:rPr>
              <w:tab/>
            </w:r>
            <w:r w:rsidR="006E4653">
              <w:rPr>
                <w:noProof/>
                <w:webHidden/>
              </w:rPr>
              <w:fldChar w:fldCharType="begin"/>
            </w:r>
            <w:r w:rsidR="006E4653">
              <w:rPr>
                <w:noProof/>
                <w:webHidden/>
              </w:rPr>
              <w:instrText xml:space="preserve"> PAGEREF _Toc113344029 \h </w:instrText>
            </w:r>
            <w:r w:rsidR="006E4653">
              <w:rPr>
                <w:noProof/>
                <w:webHidden/>
              </w:rPr>
            </w:r>
            <w:r w:rsidR="006E4653">
              <w:rPr>
                <w:noProof/>
                <w:webHidden/>
              </w:rPr>
              <w:fldChar w:fldCharType="separate"/>
            </w:r>
            <w:r w:rsidR="00CD68AF">
              <w:rPr>
                <w:noProof/>
                <w:webHidden/>
              </w:rPr>
              <w:t>18</w:t>
            </w:r>
            <w:r w:rsidR="006E4653">
              <w:rPr>
                <w:noProof/>
                <w:webHidden/>
              </w:rPr>
              <w:fldChar w:fldCharType="end"/>
            </w:r>
          </w:hyperlink>
        </w:p>
        <w:p w14:paraId="20520FC1" w14:textId="5A021931" w:rsidR="006E4653" w:rsidRDefault="00000000">
          <w:pPr>
            <w:pStyle w:val="TOC2"/>
            <w:rPr>
              <w:rFonts w:asciiTheme="minorHAnsi" w:eastAsiaTheme="minorEastAsia" w:hAnsiTheme="minorHAnsi"/>
              <w:b w:val="0"/>
              <w:smallCaps w:val="0"/>
              <w:noProof/>
              <w:sz w:val="22"/>
              <w:szCs w:val="22"/>
              <w:lang w:eastAsia="en-AU"/>
            </w:rPr>
          </w:pPr>
          <w:hyperlink w:anchor="_Toc113344030" w:history="1">
            <w:r w:rsidR="006E4653" w:rsidRPr="00AA20C8">
              <w:rPr>
                <w:rStyle w:val="Hyperlink"/>
                <w:rFonts w:cstheme="minorHAnsi"/>
                <w:noProof/>
              </w:rPr>
              <w:t>C.</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The volume element of MOFCOM's price suppression determination</w:t>
            </w:r>
            <w:r w:rsidR="006E4653">
              <w:rPr>
                <w:noProof/>
                <w:webHidden/>
              </w:rPr>
              <w:tab/>
            </w:r>
            <w:r w:rsidR="006E4653">
              <w:rPr>
                <w:noProof/>
                <w:webHidden/>
              </w:rPr>
              <w:fldChar w:fldCharType="begin"/>
            </w:r>
            <w:r w:rsidR="006E4653">
              <w:rPr>
                <w:noProof/>
                <w:webHidden/>
              </w:rPr>
              <w:instrText xml:space="preserve"> PAGEREF _Toc113344030 \h </w:instrText>
            </w:r>
            <w:r w:rsidR="006E4653">
              <w:rPr>
                <w:noProof/>
                <w:webHidden/>
              </w:rPr>
            </w:r>
            <w:r w:rsidR="006E4653">
              <w:rPr>
                <w:noProof/>
                <w:webHidden/>
              </w:rPr>
              <w:fldChar w:fldCharType="separate"/>
            </w:r>
            <w:r w:rsidR="00CD68AF">
              <w:rPr>
                <w:noProof/>
                <w:webHidden/>
              </w:rPr>
              <w:t>20</w:t>
            </w:r>
            <w:r w:rsidR="006E4653">
              <w:rPr>
                <w:noProof/>
                <w:webHidden/>
              </w:rPr>
              <w:fldChar w:fldCharType="end"/>
            </w:r>
          </w:hyperlink>
        </w:p>
        <w:p w14:paraId="073311FE" w14:textId="4FA535B5" w:rsidR="006E4653" w:rsidRDefault="00000000">
          <w:pPr>
            <w:pStyle w:val="TOC1"/>
            <w:rPr>
              <w:rFonts w:asciiTheme="minorHAnsi" w:eastAsiaTheme="minorEastAsia" w:hAnsiTheme="minorHAnsi"/>
              <w:b w:val="0"/>
              <w:caps w:val="0"/>
              <w:noProof/>
              <w:sz w:val="22"/>
              <w:szCs w:val="22"/>
              <w:lang w:eastAsia="en-AU"/>
            </w:rPr>
          </w:pPr>
          <w:hyperlink w:anchor="_Toc113344031" w:history="1">
            <w:r w:rsidR="006E4653" w:rsidRPr="00AA20C8">
              <w:rPr>
                <w:rStyle w:val="Hyperlink"/>
                <w:rFonts w:cstheme="minorHAnsi"/>
                <w:noProof/>
              </w:rPr>
              <w:t>VI.</w:t>
            </w:r>
            <w:r w:rsidR="006E4653">
              <w:rPr>
                <w:rFonts w:asciiTheme="minorHAnsi" w:eastAsiaTheme="minorEastAsia" w:hAnsiTheme="minorHAnsi"/>
                <w:b w:val="0"/>
                <w:caps w:val="0"/>
                <w:noProof/>
                <w:sz w:val="22"/>
                <w:szCs w:val="22"/>
                <w:lang w:eastAsia="en-AU"/>
              </w:rPr>
              <w:tab/>
            </w:r>
            <w:r w:rsidR="006E4653" w:rsidRPr="00AA20C8">
              <w:rPr>
                <w:rStyle w:val="Hyperlink"/>
                <w:rFonts w:cstheme="minorHAnsi"/>
                <w:noProof/>
              </w:rPr>
              <w:t>Procedural claims</w:t>
            </w:r>
            <w:r w:rsidR="006E4653">
              <w:rPr>
                <w:noProof/>
                <w:webHidden/>
              </w:rPr>
              <w:tab/>
            </w:r>
            <w:r w:rsidR="006E4653">
              <w:rPr>
                <w:noProof/>
                <w:webHidden/>
              </w:rPr>
              <w:fldChar w:fldCharType="begin"/>
            </w:r>
            <w:r w:rsidR="006E4653">
              <w:rPr>
                <w:noProof/>
                <w:webHidden/>
              </w:rPr>
              <w:instrText xml:space="preserve"> PAGEREF _Toc113344031 \h </w:instrText>
            </w:r>
            <w:r w:rsidR="006E4653">
              <w:rPr>
                <w:noProof/>
                <w:webHidden/>
              </w:rPr>
            </w:r>
            <w:r w:rsidR="006E4653">
              <w:rPr>
                <w:noProof/>
                <w:webHidden/>
              </w:rPr>
              <w:fldChar w:fldCharType="separate"/>
            </w:r>
            <w:r w:rsidR="00CD68AF">
              <w:rPr>
                <w:noProof/>
                <w:webHidden/>
              </w:rPr>
              <w:t>21</w:t>
            </w:r>
            <w:r w:rsidR="006E4653">
              <w:rPr>
                <w:noProof/>
                <w:webHidden/>
              </w:rPr>
              <w:fldChar w:fldCharType="end"/>
            </w:r>
          </w:hyperlink>
        </w:p>
        <w:p w14:paraId="4D45FD90" w14:textId="73A1C8F3" w:rsidR="006E4653" w:rsidRDefault="00000000">
          <w:pPr>
            <w:pStyle w:val="TOC2"/>
            <w:rPr>
              <w:rFonts w:asciiTheme="minorHAnsi" w:eastAsiaTheme="minorEastAsia" w:hAnsiTheme="minorHAnsi"/>
              <w:b w:val="0"/>
              <w:smallCaps w:val="0"/>
              <w:noProof/>
              <w:sz w:val="22"/>
              <w:szCs w:val="22"/>
              <w:lang w:eastAsia="en-AU"/>
            </w:rPr>
          </w:pPr>
          <w:hyperlink w:anchor="_Toc113344032" w:history="1">
            <w:r w:rsidR="006E4653" w:rsidRPr="00AA20C8">
              <w:rPr>
                <w:rStyle w:val="Hyperlink"/>
                <w:rFonts w:cstheme="minorHAnsi"/>
                <w:noProof/>
              </w:rPr>
              <w:t>A.</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MOFCOM's selection of sampled companies</w:t>
            </w:r>
            <w:r w:rsidR="006E4653">
              <w:rPr>
                <w:noProof/>
                <w:webHidden/>
              </w:rPr>
              <w:tab/>
            </w:r>
            <w:r w:rsidR="006E4653">
              <w:rPr>
                <w:noProof/>
                <w:webHidden/>
              </w:rPr>
              <w:fldChar w:fldCharType="begin"/>
            </w:r>
            <w:r w:rsidR="006E4653">
              <w:rPr>
                <w:noProof/>
                <w:webHidden/>
              </w:rPr>
              <w:instrText xml:space="preserve"> PAGEREF _Toc113344032 \h </w:instrText>
            </w:r>
            <w:r w:rsidR="006E4653">
              <w:rPr>
                <w:noProof/>
                <w:webHidden/>
              </w:rPr>
            </w:r>
            <w:r w:rsidR="006E4653">
              <w:rPr>
                <w:noProof/>
                <w:webHidden/>
              </w:rPr>
              <w:fldChar w:fldCharType="separate"/>
            </w:r>
            <w:r w:rsidR="00CD68AF">
              <w:rPr>
                <w:noProof/>
                <w:webHidden/>
              </w:rPr>
              <w:t>21</w:t>
            </w:r>
            <w:r w:rsidR="006E4653">
              <w:rPr>
                <w:noProof/>
                <w:webHidden/>
              </w:rPr>
              <w:fldChar w:fldCharType="end"/>
            </w:r>
          </w:hyperlink>
        </w:p>
        <w:p w14:paraId="111D514F" w14:textId="40E7D39C" w:rsidR="006E4653" w:rsidRDefault="00000000">
          <w:pPr>
            <w:pStyle w:val="TOC2"/>
            <w:rPr>
              <w:rFonts w:asciiTheme="minorHAnsi" w:eastAsiaTheme="minorEastAsia" w:hAnsiTheme="minorHAnsi"/>
              <w:b w:val="0"/>
              <w:smallCaps w:val="0"/>
              <w:noProof/>
              <w:sz w:val="22"/>
              <w:szCs w:val="22"/>
              <w:lang w:eastAsia="en-AU"/>
            </w:rPr>
          </w:pPr>
          <w:hyperlink w:anchor="_Toc113344033" w:history="1">
            <w:r w:rsidR="006E4653" w:rsidRPr="00AA20C8">
              <w:rPr>
                <w:rStyle w:val="Hyperlink"/>
                <w:rFonts w:cstheme="minorHAnsi"/>
                <w:noProof/>
              </w:rPr>
              <w:t>B.</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MOFCOM's unjustified rigid application of deadlines</w:t>
            </w:r>
            <w:r w:rsidR="006E4653">
              <w:rPr>
                <w:noProof/>
                <w:webHidden/>
              </w:rPr>
              <w:tab/>
            </w:r>
            <w:r w:rsidR="006E4653">
              <w:rPr>
                <w:noProof/>
                <w:webHidden/>
              </w:rPr>
              <w:fldChar w:fldCharType="begin"/>
            </w:r>
            <w:r w:rsidR="006E4653">
              <w:rPr>
                <w:noProof/>
                <w:webHidden/>
              </w:rPr>
              <w:instrText xml:space="preserve"> PAGEREF _Toc113344033 \h </w:instrText>
            </w:r>
            <w:r w:rsidR="006E4653">
              <w:rPr>
                <w:noProof/>
                <w:webHidden/>
              </w:rPr>
            </w:r>
            <w:r w:rsidR="006E4653">
              <w:rPr>
                <w:noProof/>
                <w:webHidden/>
              </w:rPr>
              <w:fldChar w:fldCharType="separate"/>
            </w:r>
            <w:r w:rsidR="00CD68AF">
              <w:rPr>
                <w:noProof/>
                <w:webHidden/>
              </w:rPr>
              <w:t>22</w:t>
            </w:r>
            <w:r w:rsidR="006E4653">
              <w:rPr>
                <w:noProof/>
                <w:webHidden/>
              </w:rPr>
              <w:fldChar w:fldCharType="end"/>
            </w:r>
          </w:hyperlink>
        </w:p>
        <w:p w14:paraId="2CC50EEE" w14:textId="6329BF51" w:rsidR="006E4653" w:rsidRDefault="00000000">
          <w:pPr>
            <w:pStyle w:val="TOC2"/>
            <w:rPr>
              <w:rFonts w:asciiTheme="minorHAnsi" w:eastAsiaTheme="minorEastAsia" w:hAnsiTheme="minorHAnsi"/>
              <w:b w:val="0"/>
              <w:smallCaps w:val="0"/>
              <w:noProof/>
              <w:sz w:val="22"/>
              <w:szCs w:val="22"/>
              <w:lang w:eastAsia="en-AU"/>
            </w:rPr>
          </w:pPr>
          <w:hyperlink w:anchor="_Toc113344034" w:history="1">
            <w:r w:rsidR="006E4653" w:rsidRPr="00AA20C8">
              <w:rPr>
                <w:rStyle w:val="Hyperlink"/>
                <w:rFonts w:cstheme="minorHAnsi"/>
                <w:noProof/>
              </w:rPr>
              <w:t>C.</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MOFCOM improperly granted confidential treatment and failed to require adequate non-confidential summaries</w:t>
            </w:r>
            <w:r w:rsidR="006E4653">
              <w:rPr>
                <w:noProof/>
                <w:webHidden/>
              </w:rPr>
              <w:tab/>
            </w:r>
            <w:r w:rsidR="006E4653">
              <w:rPr>
                <w:noProof/>
                <w:webHidden/>
              </w:rPr>
              <w:fldChar w:fldCharType="begin"/>
            </w:r>
            <w:r w:rsidR="006E4653">
              <w:rPr>
                <w:noProof/>
                <w:webHidden/>
              </w:rPr>
              <w:instrText xml:space="preserve"> PAGEREF _Toc113344034 \h </w:instrText>
            </w:r>
            <w:r w:rsidR="006E4653">
              <w:rPr>
                <w:noProof/>
                <w:webHidden/>
              </w:rPr>
            </w:r>
            <w:r w:rsidR="006E4653">
              <w:rPr>
                <w:noProof/>
                <w:webHidden/>
              </w:rPr>
              <w:fldChar w:fldCharType="separate"/>
            </w:r>
            <w:r w:rsidR="00CD68AF">
              <w:rPr>
                <w:noProof/>
                <w:webHidden/>
              </w:rPr>
              <w:t>22</w:t>
            </w:r>
            <w:r w:rsidR="006E4653">
              <w:rPr>
                <w:noProof/>
                <w:webHidden/>
              </w:rPr>
              <w:fldChar w:fldCharType="end"/>
            </w:r>
          </w:hyperlink>
        </w:p>
        <w:p w14:paraId="1EDA8207" w14:textId="5CC705B8" w:rsidR="006E4653" w:rsidRDefault="00000000">
          <w:pPr>
            <w:pStyle w:val="TOC2"/>
            <w:rPr>
              <w:rFonts w:asciiTheme="minorHAnsi" w:eastAsiaTheme="minorEastAsia" w:hAnsiTheme="minorHAnsi"/>
              <w:b w:val="0"/>
              <w:smallCaps w:val="0"/>
              <w:noProof/>
              <w:sz w:val="22"/>
              <w:szCs w:val="22"/>
              <w:lang w:eastAsia="en-AU"/>
            </w:rPr>
          </w:pPr>
          <w:hyperlink w:anchor="_Toc113344035" w:history="1">
            <w:r w:rsidR="006E4653" w:rsidRPr="00AA20C8">
              <w:rPr>
                <w:rStyle w:val="Hyperlink"/>
                <w:rFonts w:cstheme="minorHAnsi"/>
                <w:noProof/>
              </w:rPr>
              <w:t>D.</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MOFCOM failed to satisfy itself as to the accuracy of information</w:t>
            </w:r>
            <w:r w:rsidR="006E4653">
              <w:rPr>
                <w:noProof/>
                <w:webHidden/>
              </w:rPr>
              <w:tab/>
            </w:r>
            <w:r w:rsidR="006E4653">
              <w:rPr>
                <w:noProof/>
                <w:webHidden/>
              </w:rPr>
              <w:fldChar w:fldCharType="begin"/>
            </w:r>
            <w:r w:rsidR="006E4653">
              <w:rPr>
                <w:noProof/>
                <w:webHidden/>
              </w:rPr>
              <w:instrText xml:space="preserve"> PAGEREF _Toc113344035 \h </w:instrText>
            </w:r>
            <w:r w:rsidR="006E4653">
              <w:rPr>
                <w:noProof/>
                <w:webHidden/>
              </w:rPr>
            </w:r>
            <w:r w:rsidR="006E4653">
              <w:rPr>
                <w:noProof/>
                <w:webHidden/>
              </w:rPr>
              <w:fldChar w:fldCharType="separate"/>
            </w:r>
            <w:r w:rsidR="00CD68AF">
              <w:rPr>
                <w:noProof/>
                <w:webHidden/>
              </w:rPr>
              <w:t>23</w:t>
            </w:r>
            <w:r w:rsidR="006E4653">
              <w:rPr>
                <w:noProof/>
                <w:webHidden/>
              </w:rPr>
              <w:fldChar w:fldCharType="end"/>
            </w:r>
          </w:hyperlink>
        </w:p>
        <w:p w14:paraId="3FBAF78C" w14:textId="7E502C06" w:rsidR="006E4653" w:rsidRDefault="00000000">
          <w:pPr>
            <w:pStyle w:val="TOC2"/>
            <w:rPr>
              <w:rFonts w:asciiTheme="minorHAnsi" w:eastAsiaTheme="minorEastAsia" w:hAnsiTheme="minorHAnsi"/>
              <w:b w:val="0"/>
              <w:smallCaps w:val="0"/>
              <w:noProof/>
              <w:sz w:val="22"/>
              <w:szCs w:val="22"/>
              <w:lang w:eastAsia="en-AU"/>
            </w:rPr>
          </w:pPr>
          <w:hyperlink w:anchor="_Toc113344036" w:history="1">
            <w:r w:rsidR="006E4653" w:rsidRPr="00AA20C8">
              <w:rPr>
                <w:rStyle w:val="Hyperlink"/>
                <w:rFonts w:cstheme="minorHAnsi"/>
                <w:noProof/>
              </w:rPr>
              <w:t>E.</w:t>
            </w:r>
            <w:r w:rsidR="006E4653">
              <w:rPr>
                <w:rFonts w:asciiTheme="minorHAnsi" w:eastAsiaTheme="minorEastAsia" w:hAnsiTheme="minorHAnsi"/>
                <w:b w:val="0"/>
                <w:smallCaps w:val="0"/>
                <w:noProof/>
                <w:sz w:val="22"/>
                <w:szCs w:val="22"/>
                <w:lang w:eastAsia="en-AU"/>
              </w:rPr>
              <w:tab/>
            </w:r>
            <w:r w:rsidR="006E4653" w:rsidRPr="00AA20C8">
              <w:rPr>
                <w:rStyle w:val="Hyperlink"/>
                <w:rFonts w:cstheme="minorHAnsi"/>
                <w:noProof/>
              </w:rPr>
              <w:t>MOFCOM's failure to disclose essential facts</w:t>
            </w:r>
            <w:r w:rsidR="006E4653">
              <w:rPr>
                <w:noProof/>
                <w:webHidden/>
              </w:rPr>
              <w:tab/>
            </w:r>
            <w:r w:rsidR="006E4653">
              <w:rPr>
                <w:noProof/>
                <w:webHidden/>
              </w:rPr>
              <w:fldChar w:fldCharType="begin"/>
            </w:r>
            <w:r w:rsidR="006E4653">
              <w:rPr>
                <w:noProof/>
                <w:webHidden/>
              </w:rPr>
              <w:instrText xml:space="preserve"> PAGEREF _Toc113344036 \h </w:instrText>
            </w:r>
            <w:r w:rsidR="006E4653">
              <w:rPr>
                <w:noProof/>
                <w:webHidden/>
              </w:rPr>
            </w:r>
            <w:r w:rsidR="006E4653">
              <w:rPr>
                <w:noProof/>
                <w:webHidden/>
              </w:rPr>
              <w:fldChar w:fldCharType="separate"/>
            </w:r>
            <w:r w:rsidR="00CD68AF">
              <w:rPr>
                <w:noProof/>
                <w:webHidden/>
              </w:rPr>
              <w:t>24</w:t>
            </w:r>
            <w:r w:rsidR="006E4653">
              <w:rPr>
                <w:noProof/>
                <w:webHidden/>
              </w:rPr>
              <w:fldChar w:fldCharType="end"/>
            </w:r>
          </w:hyperlink>
        </w:p>
        <w:p w14:paraId="02B787C3" w14:textId="2E509714" w:rsidR="006E4653" w:rsidRDefault="00000000">
          <w:pPr>
            <w:pStyle w:val="TOC1"/>
            <w:rPr>
              <w:rFonts w:asciiTheme="minorHAnsi" w:eastAsiaTheme="minorEastAsia" w:hAnsiTheme="minorHAnsi"/>
              <w:b w:val="0"/>
              <w:caps w:val="0"/>
              <w:noProof/>
              <w:sz w:val="22"/>
              <w:szCs w:val="22"/>
              <w:lang w:eastAsia="en-AU"/>
            </w:rPr>
          </w:pPr>
          <w:hyperlink w:anchor="_Toc113344037" w:history="1">
            <w:r w:rsidR="006E4653" w:rsidRPr="00AA20C8">
              <w:rPr>
                <w:rStyle w:val="Hyperlink"/>
                <w:rFonts w:cstheme="minorHAnsi"/>
                <w:noProof/>
              </w:rPr>
              <w:t>VII.</w:t>
            </w:r>
            <w:r w:rsidR="006E4653">
              <w:rPr>
                <w:rFonts w:asciiTheme="minorHAnsi" w:eastAsiaTheme="minorEastAsia" w:hAnsiTheme="minorHAnsi"/>
                <w:b w:val="0"/>
                <w:caps w:val="0"/>
                <w:noProof/>
                <w:sz w:val="22"/>
                <w:szCs w:val="22"/>
                <w:lang w:eastAsia="en-AU"/>
              </w:rPr>
              <w:tab/>
            </w:r>
            <w:r w:rsidR="006E4653" w:rsidRPr="00AA20C8">
              <w:rPr>
                <w:rStyle w:val="Hyperlink"/>
                <w:rFonts w:cstheme="minorHAnsi"/>
                <w:noProof/>
              </w:rPr>
              <w:t>Conclusion</w:t>
            </w:r>
            <w:r w:rsidR="006E4653">
              <w:rPr>
                <w:noProof/>
                <w:webHidden/>
              </w:rPr>
              <w:tab/>
            </w:r>
            <w:r w:rsidR="006E4653">
              <w:rPr>
                <w:noProof/>
                <w:webHidden/>
              </w:rPr>
              <w:fldChar w:fldCharType="begin"/>
            </w:r>
            <w:r w:rsidR="006E4653">
              <w:rPr>
                <w:noProof/>
                <w:webHidden/>
              </w:rPr>
              <w:instrText xml:space="preserve"> PAGEREF _Toc113344037 \h </w:instrText>
            </w:r>
            <w:r w:rsidR="006E4653">
              <w:rPr>
                <w:noProof/>
                <w:webHidden/>
              </w:rPr>
            </w:r>
            <w:r w:rsidR="006E4653">
              <w:rPr>
                <w:noProof/>
                <w:webHidden/>
              </w:rPr>
              <w:fldChar w:fldCharType="separate"/>
            </w:r>
            <w:r w:rsidR="00CD68AF">
              <w:rPr>
                <w:noProof/>
                <w:webHidden/>
              </w:rPr>
              <w:t>24</w:t>
            </w:r>
            <w:r w:rsidR="006E4653">
              <w:rPr>
                <w:noProof/>
                <w:webHidden/>
              </w:rPr>
              <w:fldChar w:fldCharType="end"/>
            </w:r>
          </w:hyperlink>
        </w:p>
        <w:p w14:paraId="70E076F4" w14:textId="55DFE568" w:rsidR="00D47F18" w:rsidRPr="00045E6C" w:rsidRDefault="00F945DB" w:rsidP="00F01A73">
          <w:pPr>
            <w:pStyle w:val="BTNSSBodyTextNoSpacingSmall"/>
            <w:rPr>
              <w:rFonts w:asciiTheme="minorHAnsi" w:hAnsiTheme="minorHAnsi" w:cstheme="minorHAnsi"/>
            </w:rPr>
          </w:pPr>
          <w:r w:rsidRPr="005073FA">
            <w:rPr>
              <w:rFonts w:asciiTheme="minorHAnsi" w:eastAsiaTheme="majorEastAsia" w:hAnsiTheme="minorHAnsi" w:cstheme="minorHAnsi"/>
              <w:sz w:val="24"/>
              <w:szCs w:val="32"/>
            </w:rPr>
            <w:fldChar w:fldCharType="end"/>
          </w:r>
        </w:p>
      </w:sdtContent>
    </w:sdt>
    <w:p w14:paraId="6E40651A" w14:textId="77777777" w:rsidR="004D7079" w:rsidRPr="00045E6C" w:rsidRDefault="004D7079" w:rsidP="004D7079">
      <w:pPr>
        <w:pStyle w:val="BTNSSBodyTextNoSpacingSmall"/>
        <w:rPr>
          <w:rFonts w:asciiTheme="minorHAnsi" w:hAnsiTheme="minorHAnsi" w:cstheme="minorHAnsi"/>
        </w:rPr>
      </w:pPr>
    </w:p>
    <w:p w14:paraId="353860B5" w14:textId="77777777" w:rsidR="00F945DB" w:rsidRPr="00045E6C" w:rsidRDefault="00F945DB" w:rsidP="00C73188">
      <w:pPr>
        <w:pStyle w:val="SHSectionHeading"/>
        <w:rPr>
          <w:rFonts w:asciiTheme="minorHAnsi" w:hAnsiTheme="minorHAnsi" w:cstheme="minorHAnsi"/>
        </w:rPr>
      </w:pPr>
      <w:bookmarkStart w:id="0" w:name="_Toc113344007"/>
      <w:r w:rsidRPr="00045E6C">
        <w:rPr>
          <w:rFonts w:asciiTheme="minorHAnsi" w:hAnsiTheme="minorHAnsi" w:cstheme="minorHAnsi"/>
        </w:rPr>
        <w:t>Table of Cases</w:t>
      </w:r>
      <w:bookmarkEnd w:id="0"/>
    </w:p>
    <w:tbl>
      <w:tblPr>
        <w:tblStyle w:val="TableGrid"/>
        <w:tblW w:w="4976" w:type="pct"/>
        <w:tblLook w:val="04A0" w:firstRow="1" w:lastRow="0" w:firstColumn="1" w:lastColumn="0" w:noHBand="0" w:noVBand="1"/>
      </w:tblPr>
      <w:tblGrid>
        <w:gridCol w:w="2257"/>
        <w:gridCol w:w="6760"/>
      </w:tblGrid>
      <w:tr w:rsidR="00642BAB" w:rsidRPr="002443CA" w14:paraId="3A678912" w14:textId="77777777" w:rsidTr="00045E6C">
        <w:trPr>
          <w:cantSplit/>
          <w:trHeight w:val="397"/>
          <w:tblHeader/>
        </w:trPr>
        <w:tc>
          <w:tcPr>
            <w:tcW w:w="2257" w:type="dxa"/>
            <w:shd w:val="clear" w:color="auto" w:fill="D9D9D9" w:themeFill="background1" w:themeFillShade="D9"/>
          </w:tcPr>
          <w:p w14:paraId="58FD97CE" w14:textId="77777777" w:rsidR="00642BAB" w:rsidRPr="00045E6C" w:rsidRDefault="00642BAB" w:rsidP="00E469F7">
            <w:pPr>
              <w:pStyle w:val="THTableHeading"/>
              <w:jc w:val="center"/>
              <w:rPr>
                <w:rFonts w:asciiTheme="minorHAnsi" w:hAnsiTheme="minorHAnsi" w:cstheme="minorHAnsi"/>
              </w:rPr>
            </w:pPr>
            <w:r w:rsidRPr="00045E6C">
              <w:rPr>
                <w:rFonts w:asciiTheme="minorHAnsi" w:hAnsiTheme="minorHAnsi" w:cstheme="minorHAnsi"/>
              </w:rPr>
              <w:t>Short Title</w:t>
            </w:r>
          </w:p>
        </w:tc>
        <w:tc>
          <w:tcPr>
            <w:tcW w:w="6759" w:type="dxa"/>
            <w:shd w:val="clear" w:color="auto" w:fill="D9D9D9" w:themeFill="background1" w:themeFillShade="D9"/>
          </w:tcPr>
          <w:p w14:paraId="13B5A42A" w14:textId="77777777" w:rsidR="00642BAB" w:rsidRPr="00045E6C" w:rsidRDefault="00642BAB" w:rsidP="00E469F7">
            <w:pPr>
              <w:pStyle w:val="THTableHeading"/>
              <w:jc w:val="center"/>
              <w:rPr>
                <w:rFonts w:asciiTheme="minorHAnsi" w:hAnsiTheme="minorHAnsi" w:cstheme="minorHAnsi"/>
              </w:rPr>
            </w:pPr>
            <w:r w:rsidRPr="00045E6C">
              <w:rPr>
                <w:rFonts w:asciiTheme="minorHAnsi" w:hAnsiTheme="minorHAnsi" w:cstheme="minorHAnsi"/>
              </w:rPr>
              <w:t>Full Case Title and Citation</w:t>
            </w:r>
          </w:p>
        </w:tc>
      </w:tr>
      <w:tr w:rsidR="00642BAB" w:rsidRPr="002443CA" w14:paraId="7C558F1D" w14:textId="77777777" w:rsidTr="00045E6C">
        <w:trPr>
          <w:cantSplit/>
          <w:trHeight w:val="397"/>
          <w:tblHeader/>
        </w:trPr>
        <w:tc>
          <w:tcPr>
            <w:tcW w:w="2257" w:type="dxa"/>
          </w:tcPr>
          <w:p w14:paraId="310238A7" w14:textId="77777777" w:rsidR="00642BAB" w:rsidRPr="00045E6C" w:rsidRDefault="00642BAB" w:rsidP="00045E6C">
            <w:pPr>
              <w:jc w:val="left"/>
              <w:rPr>
                <w:rFonts w:asciiTheme="minorHAnsi" w:eastAsia="Calibri" w:hAnsiTheme="minorHAnsi" w:cstheme="minorHAnsi"/>
                <w:i/>
                <w:iCs/>
                <w:noProof/>
              </w:rPr>
            </w:pPr>
            <w:r w:rsidRPr="00045E6C">
              <w:rPr>
                <w:rFonts w:asciiTheme="minorHAnsi" w:eastAsia="Calibri" w:hAnsiTheme="minorHAnsi" w:cstheme="minorHAnsi"/>
                <w:i/>
                <w:iCs/>
                <w:noProof/>
              </w:rPr>
              <w:t>China – GOES</w:t>
            </w:r>
          </w:p>
        </w:tc>
        <w:tc>
          <w:tcPr>
            <w:tcW w:w="6759" w:type="dxa"/>
          </w:tcPr>
          <w:p w14:paraId="3D443297" w14:textId="77777777" w:rsidR="00642BAB" w:rsidRPr="00045E6C" w:rsidRDefault="00642BAB" w:rsidP="00045E6C">
            <w:pPr>
              <w:pStyle w:val="TTTableText"/>
              <w:rPr>
                <w:rFonts w:asciiTheme="minorHAnsi" w:hAnsiTheme="minorHAnsi" w:cstheme="minorHAnsi"/>
                <w:noProof/>
              </w:rPr>
            </w:pPr>
            <w:r w:rsidRPr="00045E6C">
              <w:rPr>
                <w:rFonts w:asciiTheme="minorHAnsi" w:hAnsiTheme="minorHAnsi" w:cstheme="minorHAnsi"/>
                <w:noProof/>
              </w:rPr>
              <w:t xml:space="preserve">Panel Report, </w:t>
            </w:r>
            <w:r w:rsidRPr="00045E6C">
              <w:rPr>
                <w:rFonts w:asciiTheme="minorHAnsi" w:hAnsiTheme="minorHAnsi" w:cstheme="minorHAnsi"/>
                <w:i/>
                <w:iCs/>
                <w:noProof/>
              </w:rPr>
              <w:t>China – Countervailing and AntiDumping Duties on Grain Oriented Flat-Rolled Electrical Steel from the United States</w:t>
            </w:r>
            <w:r w:rsidRPr="00045E6C">
              <w:rPr>
                <w:rFonts w:asciiTheme="minorHAnsi" w:hAnsiTheme="minorHAnsi" w:cstheme="minorHAnsi"/>
                <w:noProof/>
              </w:rPr>
              <w:t>, WT/DS414/R and Add.1, adopted 16 November 2012, upheld by Appellate Body Report WT/DS414/AB/R, DSR 2012:XII, p. 6369</w:t>
            </w:r>
          </w:p>
        </w:tc>
      </w:tr>
      <w:tr w:rsidR="00642BAB" w:rsidRPr="002443CA" w14:paraId="1E60CB7A" w14:textId="77777777" w:rsidTr="00045E6C">
        <w:trPr>
          <w:cantSplit/>
          <w:trHeight w:val="397"/>
          <w:tblHeader/>
        </w:trPr>
        <w:tc>
          <w:tcPr>
            <w:tcW w:w="2257" w:type="dxa"/>
          </w:tcPr>
          <w:p w14:paraId="79603794" w14:textId="77777777" w:rsidR="00642BAB" w:rsidRPr="00045E6C" w:rsidRDefault="00642BAB" w:rsidP="00045E6C">
            <w:pPr>
              <w:jc w:val="left"/>
              <w:rPr>
                <w:rFonts w:asciiTheme="minorHAnsi" w:eastAsia="Calibri" w:hAnsiTheme="minorHAnsi" w:cstheme="minorHAnsi"/>
                <w:noProof/>
              </w:rPr>
            </w:pPr>
            <w:r w:rsidRPr="00045E6C">
              <w:rPr>
                <w:rFonts w:asciiTheme="minorHAnsi" w:eastAsia="Calibri" w:hAnsiTheme="minorHAnsi" w:cstheme="minorHAnsi"/>
                <w:i/>
                <w:iCs/>
                <w:noProof/>
              </w:rPr>
              <w:t>EC – Fasteners (China) (Article 21.5 China)</w:t>
            </w:r>
          </w:p>
          <w:p w14:paraId="7B412644" w14:textId="77777777" w:rsidR="00642BAB" w:rsidRPr="00045E6C" w:rsidRDefault="00642BAB" w:rsidP="00045E6C">
            <w:pPr>
              <w:pStyle w:val="TTTableText"/>
              <w:rPr>
                <w:rFonts w:asciiTheme="minorHAnsi" w:hAnsiTheme="minorHAnsi" w:cstheme="minorHAnsi"/>
                <w:noProof/>
              </w:rPr>
            </w:pPr>
          </w:p>
        </w:tc>
        <w:tc>
          <w:tcPr>
            <w:tcW w:w="6759" w:type="dxa"/>
          </w:tcPr>
          <w:p w14:paraId="0D660880" w14:textId="77777777" w:rsidR="00642BAB" w:rsidRPr="00045E6C" w:rsidRDefault="00642BAB" w:rsidP="00045E6C">
            <w:pPr>
              <w:pStyle w:val="TTTableText"/>
              <w:rPr>
                <w:rFonts w:asciiTheme="minorHAnsi" w:hAnsiTheme="minorHAnsi" w:cstheme="minorHAnsi"/>
                <w:noProof/>
              </w:rPr>
            </w:pPr>
            <w:r w:rsidRPr="00045E6C">
              <w:rPr>
                <w:rFonts w:asciiTheme="minorHAnsi" w:hAnsiTheme="minorHAnsi" w:cstheme="minorHAnsi"/>
                <w:noProof/>
              </w:rPr>
              <w:t xml:space="preserve">Appellate Body Report, </w:t>
            </w:r>
            <w:r w:rsidRPr="00045E6C">
              <w:rPr>
                <w:rFonts w:asciiTheme="minorHAnsi" w:hAnsiTheme="minorHAnsi" w:cstheme="minorHAnsi"/>
                <w:i/>
                <w:iCs/>
                <w:noProof/>
              </w:rPr>
              <w:t>European Communities – Definitive Anti-Dumping Measures on Certain Iron or Steel Fasteners from China – Recourse to Article 21.5 of the DSU by China</w:t>
            </w:r>
            <w:r w:rsidRPr="00045E6C">
              <w:rPr>
                <w:rFonts w:asciiTheme="minorHAnsi" w:hAnsiTheme="minorHAnsi" w:cstheme="minorHAnsi"/>
                <w:noProof/>
              </w:rPr>
              <w:t>, WT/DS397/AB/RW and Add.1, adopted 12 February 2016, DSR 2016:I, p. 7</w:t>
            </w:r>
          </w:p>
        </w:tc>
      </w:tr>
      <w:tr w:rsidR="00642BAB" w:rsidRPr="002443CA" w14:paraId="0F6DB430" w14:textId="77777777" w:rsidTr="00045E6C">
        <w:trPr>
          <w:cantSplit/>
          <w:trHeight w:val="397"/>
          <w:tblHeader/>
        </w:trPr>
        <w:tc>
          <w:tcPr>
            <w:tcW w:w="2257" w:type="dxa"/>
          </w:tcPr>
          <w:p w14:paraId="026ACAE9" w14:textId="77777777" w:rsidR="00642BAB" w:rsidRPr="00045E6C" w:rsidRDefault="00642BAB" w:rsidP="00045E6C">
            <w:pPr>
              <w:jc w:val="left"/>
              <w:rPr>
                <w:rFonts w:asciiTheme="minorHAnsi" w:eastAsia="Calibri" w:hAnsiTheme="minorHAnsi" w:cstheme="minorHAnsi"/>
                <w:i/>
                <w:iCs/>
                <w:noProof/>
              </w:rPr>
            </w:pPr>
            <w:r w:rsidRPr="00045E6C">
              <w:rPr>
                <w:rFonts w:asciiTheme="minorHAnsi" w:eastAsia="Calibri" w:hAnsiTheme="minorHAnsi" w:cstheme="minorHAnsi"/>
                <w:i/>
                <w:iCs/>
                <w:noProof/>
              </w:rPr>
              <w:t>EC – Fasteners (China)</w:t>
            </w:r>
          </w:p>
        </w:tc>
        <w:tc>
          <w:tcPr>
            <w:tcW w:w="6759" w:type="dxa"/>
          </w:tcPr>
          <w:p w14:paraId="55F6F9FA" w14:textId="77777777" w:rsidR="00642BAB" w:rsidRPr="00045E6C" w:rsidRDefault="00642BAB" w:rsidP="00E469F7">
            <w:pPr>
              <w:pStyle w:val="Default"/>
              <w:rPr>
                <w:rFonts w:asciiTheme="minorHAnsi" w:hAnsiTheme="minorHAnsi" w:cstheme="minorHAnsi"/>
                <w:color w:val="auto"/>
                <w:sz w:val="23"/>
                <w:szCs w:val="23"/>
              </w:rPr>
            </w:pPr>
            <w:r w:rsidRPr="00045E6C">
              <w:rPr>
                <w:rFonts w:asciiTheme="minorHAnsi" w:hAnsiTheme="minorHAnsi" w:cstheme="minorHAnsi"/>
                <w:sz w:val="23"/>
                <w:szCs w:val="23"/>
              </w:rPr>
              <w:t xml:space="preserve">Appellate Body Report, </w:t>
            </w:r>
            <w:r w:rsidRPr="00045E6C">
              <w:rPr>
                <w:rFonts w:asciiTheme="minorHAnsi" w:hAnsiTheme="minorHAnsi" w:cstheme="minorHAnsi"/>
                <w:i/>
                <w:iCs/>
                <w:sz w:val="23"/>
                <w:szCs w:val="23"/>
              </w:rPr>
              <w:t xml:space="preserve">European Communities – </w:t>
            </w:r>
            <w:r w:rsidRPr="00045E6C">
              <w:rPr>
                <w:rFonts w:asciiTheme="minorHAnsi" w:hAnsiTheme="minorHAnsi" w:cstheme="minorHAnsi"/>
                <w:i/>
                <w:iCs/>
                <w:color w:val="auto"/>
                <w:sz w:val="23"/>
                <w:szCs w:val="23"/>
              </w:rPr>
              <w:t>Definitive Anti- Dumping Measures on Certain Iron or Steel Fasteners from China</w:t>
            </w:r>
            <w:r w:rsidRPr="00045E6C">
              <w:rPr>
                <w:rFonts w:asciiTheme="minorHAnsi" w:hAnsiTheme="minorHAnsi" w:cstheme="minorHAnsi"/>
                <w:color w:val="auto"/>
                <w:sz w:val="23"/>
                <w:szCs w:val="23"/>
              </w:rPr>
              <w:t xml:space="preserve">, </w:t>
            </w:r>
          </w:p>
          <w:p w14:paraId="7EE0C189" w14:textId="77777777" w:rsidR="00642BAB" w:rsidRPr="00045E6C" w:rsidRDefault="00642BAB" w:rsidP="00045E6C">
            <w:pPr>
              <w:pStyle w:val="TTTableText"/>
              <w:rPr>
                <w:rFonts w:asciiTheme="minorHAnsi" w:hAnsiTheme="minorHAnsi" w:cstheme="minorHAnsi"/>
                <w:noProof/>
              </w:rPr>
            </w:pPr>
            <w:r w:rsidRPr="00045E6C">
              <w:rPr>
                <w:rFonts w:asciiTheme="minorHAnsi" w:hAnsiTheme="minorHAnsi" w:cstheme="minorHAnsi"/>
                <w:sz w:val="23"/>
                <w:szCs w:val="23"/>
              </w:rPr>
              <w:t>WT/DS397/AB/R, adopted 28 July 2011, DSR 2011:VII, p. 3995</w:t>
            </w:r>
          </w:p>
        </w:tc>
      </w:tr>
      <w:tr w:rsidR="00642BAB" w:rsidRPr="002443CA" w14:paraId="6B7F698E" w14:textId="77777777" w:rsidTr="00045E6C">
        <w:trPr>
          <w:cantSplit/>
          <w:trHeight w:val="397"/>
          <w:tblHeader/>
        </w:trPr>
        <w:tc>
          <w:tcPr>
            <w:tcW w:w="2257" w:type="dxa"/>
          </w:tcPr>
          <w:p w14:paraId="7EA63C06" w14:textId="77777777" w:rsidR="00642BAB" w:rsidRPr="00045E6C" w:rsidRDefault="00642BAB" w:rsidP="00045E6C">
            <w:pPr>
              <w:jc w:val="left"/>
              <w:rPr>
                <w:rFonts w:asciiTheme="minorHAnsi" w:eastAsia="Calibri" w:hAnsiTheme="minorHAnsi" w:cstheme="minorHAnsi"/>
                <w:i/>
                <w:iCs/>
                <w:noProof/>
              </w:rPr>
            </w:pPr>
            <w:r w:rsidRPr="00045E6C">
              <w:rPr>
                <w:rFonts w:asciiTheme="minorHAnsi" w:eastAsia="Calibri" w:hAnsiTheme="minorHAnsi" w:cstheme="minorHAnsi"/>
                <w:i/>
                <w:iCs/>
                <w:noProof/>
              </w:rPr>
              <w:t>EC – Salmon (Norway)</w:t>
            </w:r>
          </w:p>
        </w:tc>
        <w:tc>
          <w:tcPr>
            <w:tcW w:w="6759" w:type="dxa"/>
          </w:tcPr>
          <w:p w14:paraId="4A59A0EC" w14:textId="77777777" w:rsidR="00642BAB" w:rsidRPr="00045E6C" w:rsidRDefault="00642BAB" w:rsidP="00E469F7">
            <w:pPr>
              <w:pStyle w:val="Default"/>
              <w:rPr>
                <w:rFonts w:asciiTheme="minorHAnsi" w:hAnsiTheme="minorHAnsi" w:cstheme="minorHAnsi"/>
                <w:sz w:val="23"/>
                <w:szCs w:val="23"/>
              </w:rPr>
            </w:pPr>
            <w:r w:rsidRPr="00045E6C">
              <w:rPr>
                <w:rFonts w:asciiTheme="minorHAnsi" w:hAnsiTheme="minorHAnsi" w:cstheme="minorHAnsi"/>
                <w:noProof/>
              </w:rPr>
              <w:t xml:space="preserve">Panel Report, </w:t>
            </w:r>
            <w:r w:rsidRPr="00045E6C">
              <w:rPr>
                <w:rFonts w:asciiTheme="minorHAnsi" w:hAnsiTheme="minorHAnsi" w:cstheme="minorHAnsi"/>
                <w:i/>
                <w:iCs/>
                <w:noProof/>
              </w:rPr>
              <w:t>European Communities – Anti-Dumping Measure on Farmed Salmon from Norway</w:t>
            </w:r>
            <w:r w:rsidRPr="00045E6C">
              <w:rPr>
                <w:rFonts w:asciiTheme="minorHAnsi" w:hAnsiTheme="minorHAnsi" w:cstheme="minorHAnsi"/>
                <w:noProof/>
              </w:rPr>
              <w:t>, WT/DS337/R, adopted 15 January 2008, and Corr.1, DSR 2008:I, p. 3</w:t>
            </w:r>
          </w:p>
        </w:tc>
      </w:tr>
      <w:tr w:rsidR="00642BAB" w:rsidRPr="002443CA" w14:paraId="15CEB9E1" w14:textId="77777777" w:rsidTr="00045E6C">
        <w:trPr>
          <w:cantSplit/>
          <w:trHeight w:val="397"/>
          <w:tblHeader/>
        </w:trPr>
        <w:tc>
          <w:tcPr>
            <w:tcW w:w="2257" w:type="dxa"/>
          </w:tcPr>
          <w:p w14:paraId="1201550A" w14:textId="77777777" w:rsidR="00642BAB" w:rsidRPr="00045E6C" w:rsidRDefault="00642BAB" w:rsidP="00045E6C">
            <w:pPr>
              <w:jc w:val="left"/>
              <w:rPr>
                <w:rFonts w:asciiTheme="minorHAnsi" w:eastAsia="Calibri" w:hAnsiTheme="minorHAnsi" w:cstheme="minorHAnsi"/>
                <w:i/>
                <w:iCs/>
                <w:noProof/>
              </w:rPr>
            </w:pPr>
            <w:r w:rsidRPr="00045E6C">
              <w:rPr>
                <w:rFonts w:asciiTheme="minorHAnsi" w:eastAsia="Calibri" w:hAnsiTheme="minorHAnsi" w:cstheme="minorHAnsi"/>
                <w:i/>
                <w:iCs/>
                <w:noProof/>
              </w:rPr>
              <w:t>Korea – Certain Paper</w:t>
            </w:r>
          </w:p>
        </w:tc>
        <w:tc>
          <w:tcPr>
            <w:tcW w:w="6759" w:type="dxa"/>
          </w:tcPr>
          <w:p w14:paraId="58281C33" w14:textId="77777777" w:rsidR="00642BAB" w:rsidRPr="00045E6C" w:rsidRDefault="00642BAB" w:rsidP="00045E6C">
            <w:pPr>
              <w:pStyle w:val="TTTableText"/>
              <w:rPr>
                <w:rFonts w:asciiTheme="minorHAnsi" w:hAnsiTheme="minorHAnsi" w:cstheme="minorHAnsi"/>
                <w:noProof/>
              </w:rPr>
            </w:pPr>
            <w:r w:rsidRPr="00045E6C">
              <w:rPr>
                <w:rFonts w:asciiTheme="minorHAnsi" w:hAnsiTheme="minorHAnsi" w:cstheme="minorHAnsi"/>
                <w:sz w:val="23"/>
                <w:szCs w:val="23"/>
              </w:rPr>
              <w:t xml:space="preserve">Panel Report, </w:t>
            </w:r>
            <w:r w:rsidRPr="00045E6C">
              <w:rPr>
                <w:rFonts w:asciiTheme="minorHAnsi" w:hAnsiTheme="minorHAnsi" w:cstheme="minorHAnsi"/>
                <w:i/>
                <w:iCs/>
                <w:sz w:val="23"/>
                <w:szCs w:val="23"/>
              </w:rPr>
              <w:t>Korea – Anti-Dumping Duties on Imports of Certain Paper from Indonesia</w:t>
            </w:r>
            <w:r w:rsidRPr="00045E6C">
              <w:rPr>
                <w:rFonts w:asciiTheme="minorHAnsi" w:hAnsiTheme="minorHAnsi" w:cstheme="minorHAnsi"/>
                <w:sz w:val="23"/>
                <w:szCs w:val="23"/>
              </w:rPr>
              <w:t>, WT/DS312/R, adopted 28 November 2005, DSR 2005:XXII, p. 10637</w:t>
            </w:r>
          </w:p>
        </w:tc>
      </w:tr>
      <w:tr w:rsidR="00642BAB" w:rsidRPr="002443CA" w14:paraId="3B675CD3" w14:textId="77777777" w:rsidTr="00045E6C">
        <w:trPr>
          <w:cantSplit/>
          <w:trHeight w:val="397"/>
          <w:tblHeader/>
        </w:trPr>
        <w:tc>
          <w:tcPr>
            <w:tcW w:w="2257" w:type="dxa"/>
          </w:tcPr>
          <w:p w14:paraId="36BDAF0D" w14:textId="77777777" w:rsidR="00642BAB" w:rsidRPr="00045E6C" w:rsidRDefault="00642BAB" w:rsidP="00E469F7">
            <w:pPr>
              <w:jc w:val="left"/>
              <w:rPr>
                <w:rFonts w:asciiTheme="minorHAnsi" w:eastAsia="Calibri" w:hAnsiTheme="minorHAnsi" w:cstheme="minorHAnsi"/>
                <w:noProof/>
              </w:rPr>
            </w:pPr>
            <w:r w:rsidRPr="00045E6C">
              <w:rPr>
                <w:rFonts w:asciiTheme="minorHAnsi" w:eastAsia="Calibri" w:hAnsiTheme="minorHAnsi" w:cstheme="minorHAnsi"/>
                <w:i/>
                <w:iCs/>
                <w:noProof/>
              </w:rPr>
              <w:t>Mexico – Steel Pipes and Tubes</w:t>
            </w:r>
          </w:p>
          <w:p w14:paraId="25F1560C" w14:textId="77777777" w:rsidR="00642BAB" w:rsidRPr="00045E6C" w:rsidRDefault="00642BAB" w:rsidP="00045E6C">
            <w:pPr>
              <w:jc w:val="left"/>
              <w:rPr>
                <w:rFonts w:asciiTheme="minorHAnsi" w:eastAsia="Calibri" w:hAnsiTheme="minorHAnsi" w:cstheme="minorHAnsi"/>
                <w:i/>
                <w:iCs/>
                <w:noProof/>
              </w:rPr>
            </w:pPr>
          </w:p>
        </w:tc>
        <w:tc>
          <w:tcPr>
            <w:tcW w:w="6759" w:type="dxa"/>
          </w:tcPr>
          <w:p w14:paraId="367ED969" w14:textId="77777777" w:rsidR="00642BAB" w:rsidRPr="00045E6C" w:rsidRDefault="00642BAB" w:rsidP="00045E6C">
            <w:pPr>
              <w:pStyle w:val="TTTableText"/>
              <w:rPr>
                <w:rFonts w:asciiTheme="minorHAnsi" w:hAnsiTheme="minorHAnsi" w:cstheme="minorHAnsi"/>
                <w:noProof/>
              </w:rPr>
            </w:pPr>
            <w:r w:rsidRPr="00045E6C">
              <w:rPr>
                <w:rFonts w:asciiTheme="minorHAnsi" w:hAnsiTheme="minorHAnsi" w:cstheme="minorHAnsi"/>
                <w:noProof/>
              </w:rPr>
              <w:t xml:space="preserve">Panel Report, </w:t>
            </w:r>
            <w:r w:rsidRPr="00045E6C">
              <w:rPr>
                <w:rFonts w:asciiTheme="minorHAnsi" w:hAnsiTheme="minorHAnsi" w:cstheme="minorHAnsi"/>
                <w:i/>
                <w:iCs/>
                <w:noProof/>
              </w:rPr>
              <w:t>Mexico – Anti-Dumping Duties on Steel Pipes and Tubes from Guatemala</w:t>
            </w:r>
            <w:r w:rsidRPr="00045E6C">
              <w:rPr>
                <w:rFonts w:asciiTheme="minorHAnsi" w:hAnsiTheme="minorHAnsi" w:cstheme="minorHAnsi"/>
                <w:noProof/>
              </w:rPr>
              <w:t>, WT/DS331/R, adopted 24 July 2007, DSR 2007:IV, p. 1207</w:t>
            </w:r>
          </w:p>
        </w:tc>
      </w:tr>
      <w:tr w:rsidR="00642BAB" w:rsidRPr="002443CA" w14:paraId="0E73AAFD" w14:textId="77777777" w:rsidTr="00045E6C">
        <w:trPr>
          <w:cantSplit/>
          <w:trHeight w:val="397"/>
          <w:tblHeader/>
        </w:trPr>
        <w:tc>
          <w:tcPr>
            <w:tcW w:w="2257" w:type="dxa"/>
          </w:tcPr>
          <w:p w14:paraId="0760CFAA" w14:textId="77777777" w:rsidR="00642BAB" w:rsidRPr="00045E6C" w:rsidRDefault="00642BAB" w:rsidP="00E469F7">
            <w:pPr>
              <w:jc w:val="left"/>
              <w:rPr>
                <w:rFonts w:asciiTheme="minorHAnsi" w:eastAsia="Calibri" w:hAnsiTheme="minorHAnsi" w:cstheme="minorHAnsi"/>
                <w:noProof/>
              </w:rPr>
            </w:pPr>
            <w:r w:rsidRPr="00045E6C">
              <w:rPr>
                <w:rFonts w:asciiTheme="minorHAnsi" w:eastAsia="Calibri" w:hAnsiTheme="minorHAnsi" w:cstheme="minorHAnsi"/>
                <w:i/>
                <w:iCs/>
                <w:noProof/>
              </w:rPr>
              <w:t>US – Anti-Dumping and Countervailing Duties (Korea)</w:t>
            </w:r>
          </w:p>
          <w:p w14:paraId="280B6B66" w14:textId="77777777" w:rsidR="00642BAB" w:rsidRPr="00045E6C" w:rsidRDefault="00642BAB" w:rsidP="00E469F7">
            <w:pPr>
              <w:jc w:val="left"/>
              <w:rPr>
                <w:rFonts w:asciiTheme="minorHAnsi" w:eastAsia="Calibri" w:hAnsiTheme="minorHAnsi" w:cstheme="minorHAnsi"/>
                <w:i/>
                <w:iCs/>
                <w:noProof/>
              </w:rPr>
            </w:pPr>
          </w:p>
        </w:tc>
        <w:tc>
          <w:tcPr>
            <w:tcW w:w="6759" w:type="dxa"/>
          </w:tcPr>
          <w:p w14:paraId="5923FC33" w14:textId="77777777" w:rsidR="00642BAB" w:rsidRPr="00045E6C" w:rsidRDefault="00642BAB" w:rsidP="00045E6C">
            <w:pPr>
              <w:autoSpaceDE w:val="0"/>
              <w:autoSpaceDN w:val="0"/>
              <w:spacing w:before="40" w:after="40"/>
              <w:jc w:val="left"/>
              <w:rPr>
                <w:rFonts w:asciiTheme="minorHAnsi" w:hAnsiTheme="minorHAnsi" w:cstheme="minorHAnsi"/>
                <w:color w:val="000000"/>
                <w:sz w:val="23"/>
                <w:szCs w:val="23"/>
              </w:rPr>
            </w:pPr>
            <w:r w:rsidRPr="00045E6C">
              <w:rPr>
                <w:rFonts w:asciiTheme="minorHAnsi" w:hAnsiTheme="minorHAnsi" w:cstheme="minorHAnsi"/>
                <w:noProof/>
              </w:rPr>
              <w:t xml:space="preserve">Panel Report, </w:t>
            </w:r>
            <w:r w:rsidRPr="00045E6C">
              <w:rPr>
                <w:rFonts w:asciiTheme="minorHAnsi" w:hAnsiTheme="minorHAnsi" w:cstheme="minorHAnsi"/>
                <w:i/>
                <w:iCs/>
                <w:noProof/>
              </w:rPr>
              <w:t>United States – Anti-Dumping and Countervailing Measures on Certain Products and the Use of Facts Available</w:t>
            </w:r>
            <w:r w:rsidRPr="00045E6C">
              <w:rPr>
                <w:rFonts w:asciiTheme="minorHAnsi" w:hAnsiTheme="minorHAnsi" w:cstheme="minorHAnsi"/>
                <w:noProof/>
              </w:rPr>
              <w:t xml:space="preserve">, WT/DS539/R and Add.1, </w:t>
            </w:r>
            <w:r w:rsidRPr="00045E6C">
              <w:rPr>
                <w:rFonts w:asciiTheme="minorHAnsi" w:hAnsiTheme="minorHAnsi" w:cstheme="minorHAnsi"/>
                <w:color w:val="000000"/>
                <w:sz w:val="23"/>
                <w:szCs w:val="23"/>
              </w:rPr>
              <w:t xml:space="preserve">circulated to WTO Members 21 January </w:t>
            </w:r>
          </w:p>
          <w:p w14:paraId="548F09B1" w14:textId="77777777" w:rsidR="00642BAB" w:rsidRPr="00045E6C" w:rsidRDefault="00642BAB" w:rsidP="00045E6C">
            <w:pPr>
              <w:pStyle w:val="TTTableText"/>
              <w:rPr>
                <w:rFonts w:asciiTheme="minorHAnsi" w:hAnsiTheme="minorHAnsi" w:cstheme="minorHAnsi"/>
                <w:noProof/>
              </w:rPr>
            </w:pPr>
            <w:r w:rsidRPr="00045E6C">
              <w:rPr>
                <w:rFonts w:asciiTheme="minorHAnsi" w:hAnsiTheme="minorHAnsi" w:cstheme="minorHAnsi"/>
                <w:color w:val="000000"/>
                <w:sz w:val="23"/>
                <w:szCs w:val="23"/>
              </w:rPr>
              <w:t>2021, appealed by the United States 19 March 2021</w:t>
            </w:r>
          </w:p>
        </w:tc>
      </w:tr>
      <w:tr w:rsidR="00642BAB" w:rsidRPr="002443CA" w14:paraId="1D52AA0A" w14:textId="77777777" w:rsidTr="00045E6C">
        <w:trPr>
          <w:cantSplit/>
          <w:trHeight w:val="397"/>
          <w:tblHeader/>
        </w:trPr>
        <w:tc>
          <w:tcPr>
            <w:tcW w:w="2257" w:type="dxa"/>
          </w:tcPr>
          <w:p w14:paraId="06735DAB" w14:textId="77777777" w:rsidR="00642BAB" w:rsidRPr="00045E6C" w:rsidRDefault="00642BAB" w:rsidP="00E469F7">
            <w:pPr>
              <w:pStyle w:val="Default"/>
              <w:rPr>
                <w:rFonts w:asciiTheme="minorHAnsi" w:hAnsiTheme="minorHAnsi" w:cstheme="minorHAnsi"/>
                <w:sz w:val="23"/>
                <w:szCs w:val="23"/>
              </w:rPr>
            </w:pPr>
            <w:r w:rsidRPr="00045E6C">
              <w:rPr>
                <w:rFonts w:asciiTheme="minorHAnsi" w:hAnsiTheme="minorHAnsi" w:cstheme="minorHAnsi"/>
                <w:i/>
                <w:iCs/>
                <w:sz w:val="23"/>
                <w:szCs w:val="23"/>
              </w:rPr>
              <w:t xml:space="preserve">US – Carbon Steel </w:t>
            </w:r>
          </w:p>
          <w:p w14:paraId="12DD0D9D" w14:textId="77777777" w:rsidR="00642BAB" w:rsidRPr="00045E6C" w:rsidRDefault="00642BAB" w:rsidP="00E469F7">
            <w:pPr>
              <w:jc w:val="left"/>
              <w:rPr>
                <w:rFonts w:asciiTheme="minorHAnsi" w:eastAsia="Calibri" w:hAnsiTheme="minorHAnsi" w:cstheme="minorHAnsi"/>
                <w:i/>
                <w:iCs/>
                <w:noProof/>
              </w:rPr>
            </w:pPr>
            <w:r w:rsidRPr="00045E6C">
              <w:rPr>
                <w:rFonts w:asciiTheme="minorHAnsi" w:hAnsiTheme="minorHAnsi" w:cstheme="minorHAnsi"/>
                <w:i/>
                <w:iCs/>
                <w:sz w:val="23"/>
                <w:szCs w:val="23"/>
              </w:rPr>
              <w:t>(India)</w:t>
            </w:r>
          </w:p>
        </w:tc>
        <w:tc>
          <w:tcPr>
            <w:tcW w:w="6759" w:type="dxa"/>
          </w:tcPr>
          <w:p w14:paraId="4560051E" w14:textId="77777777" w:rsidR="00642BAB" w:rsidRPr="00045E6C" w:rsidRDefault="00642BAB" w:rsidP="00E469F7">
            <w:pPr>
              <w:pStyle w:val="Default"/>
              <w:rPr>
                <w:rFonts w:asciiTheme="minorHAnsi" w:hAnsiTheme="minorHAnsi" w:cstheme="minorHAnsi"/>
                <w:color w:val="auto"/>
                <w:sz w:val="23"/>
                <w:szCs w:val="23"/>
              </w:rPr>
            </w:pPr>
            <w:r w:rsidRPr="00045E6C">
              <w:rPr>
                <w:rFonts w:asciiTheme="minorHAnsi" w:hAnsiTheme="minorHAnsi" w:cstheme="minorHAnsi"/>
                <w:sz w:val="23"/>
                <w:szCs w:val="23"/>
              </w:rPr>
              <w:t>Appellate Body Rep</w:t>
            </w:r>
            <w:r w:rsidRPr="00045E6C">
              <w:rPr>
                <w:rFonts w:asciiTheme="minorHAnsi" w:hAnsiTheme="minorHAnsi" w:cstheme="minorHAnsi"/>
                <w:color w:val="auto"/>
                <w:sz w:val="23"/>
                <w:szCs w:val="23"/>
              </w:rPr>
              <w:t xml:space="preserve">ort, </w:t>
            </w:r>
            <w:r w:rsidRPr="00045E6C">
              <w:rPr>
                <w:rFonts w:asciiTheme="minorHAnsi" w:hAnsiTheme="minorHAnsi" w:cstheme="minorHAnsi"/>
                <w:i/>
                <w:iCs/>
                <w:color w:val="auto"/>
                <w:sz w:val="23"/>
                <w:szCs w:val="23"/>
              </w:rPr>
              <w:t>United States – Countervailing Measures on Certain Hot-Rolled Carbon Steel Flat Products from India</w:t>
            </w:r>
            <w:r w:rsidRPr="00045E6C">
              <w:rPr>
                <w:rFonts w:asciiTheme="minorHAnsi" w:hAnsiTheme="minorHAnsi" w:cstheme="minorHAnsi"/>
                <w:color w:val="auto"/>
                <w:sz w:val="23"/>
                <w:szCs w:val="23"/>
              </w:rPr>
              <w:t xml:space="preserve">, </w:t>
            </w:r>
          </w:p>
          <w:p w14:paraId="0FB13BE0" w14:textId="77777777" w:rsidR="00642BAB" w:rsidRPr="00045E6C" w:rsidRDefault="00642BAB" w:rsidP="00045E6C">
            <w:pPr>
              <w:autoSpaceDE w:val="0"/>
              <w:autoSpaceDN w:val="0"/>
              <w:spacing w:before="40" w:after="40"/>
              <w:jc w:val="left"/>
              <w:rPr>
                <w:rFonts w:asciiTheme="minorHAnsi" w:hAnsiTheme="minorHAnsi" w:cstheme="minorHAnsi"/>
                <w:noProof/>
              </w:rPr>
            </w:pPr>
            <w:r w:rsidRPr="00045E6C">
              <w:rPr>
                <w:rFonts w:asciiTheme="minorHAnsi" w:hAnsiTheme="minorHAnsi" w:cstheme="minorHAnsi"/>
                <w:sz w:val="23"/>
                <w:szCs w:val="23"/>
              </w:rPr>
              <w:t>WT/DS436/AB/R, adopted 19 December 2014, DSR 2014:V, p. 1727</w:t>
            </w:r>
          </w:p>
        </w:tc>
      </w:tr>
      <w:tr w:rsidR="00642BAB" w:rsidRPr="002443CA" w14:paraId="4B27A469" w14:textId="77777777" w:rsidTr="00045E6C">
        <w:trPr>
          <w:cantSplit/>
          <w:trHeight w:val="397"/>
          <w:tblHeader/>
        </w:trPr>
        <w:tc>
          <w:tcPr>
            <w:tcW w:w="2257" w:type="dxa"/>
          </w:tcPr>
          <w:p w14:paraId="0751F4D0" w14:textId="77777777" w:rsidR="00642BAB" w:rsidRPr="00045E6C" w:rsidRDefault="00642BAB" w:rsidP="00E469F7">
            <w:pPr>
              <w:jc w:val="left"/>
              <w:rPr>
                <w:rFonts w:asciiTheme="minorHAnsi" w:eastAsia="Calibri" w:hAnsiTheme="minorHAnsi" w:cstheme="minorHAnsi"/>
                <w:noProof/>
              </w:rPr>
            </w:pPr>
            <w:r w:rsidRPr="00045E6C">
              <w:rPr>
                <w:rFonts w:asciiTheme="minorHAnsi" w:eastAsia="Calibri" w:hAnsiTheme="minorHAnsi" w:cstheme="minorHAnsi"/>
                <w:i/>
                <w:iCs/>
                <w:noProof/>
              </w:rPr>
              <w:t>US – Steel Plate</w:t>
            </w:r>
          </w:p>
          <w:p w14:paraId="6E29855C" w14:textId="77777777" w:rsidR="00642BAB" w:rsidRPr="00045E6C" w:rsidRDefault="00642BAB" w:rsidP="00E469F7">
            <w:pPr>
              <w:pStyle w:val="Default"/>
              <w:rPr>
                <w:rFonts w:asciiTheme="minorHAnsi" w:hAnsiTheme="minorHAnsi" w:cstheme="minorHAnsi"/>
                <w:i/>
                <w:iCs/>
                <w:sz w:val="23"/>
                <w:szCs w:val="23"/>
              </w:rPr>
            </w:pPr>
          </w:p>
        </w:tc>
        <w:tc>
          <w:tcPr>
            <w:tcW w:w="6759" w:type="dxa"/>
          </w:tcPr>
          <w:p w14:paraId="49EE044C" w14:textId="77777777" w:rsidR="00642BAB" w:rsidRPr="00045E6C" w:rsidRDefault="00642BAB" w:rsidP="00E469F7">
            <w:pPr>
              <w:pStyle w:val="Default"/>
              <w:rPr>
                <w:rFonts w:asciiTheme="minorHAnsi" w:hAnsiTheme="minorHAnsi" w:cstheme="minorHAnsi"/>
                <w:sz w:val="23"/>
                <w:szCs w:val="23"/>
              </w:rPr>
            </w:pPr>
            <w:r w:rsidRPr="00045E6C">
              <w:rPr>
                <w:rFonts w:asciiTheme="minorHAnsi" w:hAnsiTheme="minorHAnsi" w:cstheme="minorHAnsi"/>
                <w:noProof/>
              </w:rPr>
              <w:t xml:space="preserve">Panel Report, </w:t>
            </w:r>
            <w:r w:rsidRPr="00045E6C">
              <w:rPr>
                <w:rFonts w:asciiTheme="minorHAnsi" w:hAnsiTheme="minorHAnsi" w:cstheme="minorHAnsi"/>
                <w:i/>
                <w:iCs/>
                <w:noProof/>
              </w:rPr>
              <w:t>United States – Anti-Dumping and Countervailing Measures on Steel Plate from India</w:t>
            </w:r>
            <w:r w:rsidRPr="00045E6C">
              <w:rPr>
                <w:rFonts w:asciiTheme="minorHAnsi" w:hAnsiTheme="minorHAnsi" w:cstheme="minorHAnsi"/>
                <w:noProof/>
              </w:rPr>
              <w:t>, WT/DS206/R and Corr.1, adopted 29 July 2002, DSR 2002:VI, p. 2073</w:t>
            </w:r>
          </w:p>
        </w:tc>
      </w:tr>
    </w:tbl>
    <w:p w14:paraId="56A76868" w14:textId="77777777" w:rsidR="004D7079" w:rsidRPr="00045E6C" w:rsidRDefault="004D7079" w:rsidP="004D7079">
      <w:pPr>
        <w:pStyle w:val="BTNSSBodyTextNoSpacingSmall"/>
        <w:rPr>
          <w:rFonts w:asciiTheme="minorHAnsi" w:hAnsiTheme="minorHAnsi" w:cstheme="minorHAnsi"/>
        </w:rPr>
      </w:pPr>
    </w:p>
    <w:p w14:paraId="6F5D33DF" w14:textId="77777777" w:rsidR="008A1191" w:rsidRPr="00045E6C" w:rsidRDefault="004524CE" w:rsidP="004524CE">
      <w:pPr>
        <w:pStyle w:val="SHSectionHeading"/>
        <w:rPr>
          <w:rFonts w:asciiTheme="minorHAnsi" w:hAnsiTheme="minorHAnsi" w:cstheme="minorHAnsi"/>
        </w:rPr>
      </w:pPr>
      <w:bookmarkStart w:id="1" w:name="_Toc113344008"/>
      <w:r w:rsidRPr="00045E6C">
        <w:rPr>
          <w:rFonts w:asciiTheme="minorHAnsi" w:hAnsiTheme="minorHAnsi" w:cstheme="minorHAnsi"/>
        </w:rPr>
        <w:t>List of Acronyms, Abbreviations and Short Forms</w:t>
      </w:r>
      <w:bookmarkEnd w:id="1"/>
    </w:p>
    <w:tbl>
      <w:tblPr>
        <w:tblStyle w:val="TableGrid"/>
        <w:tblW w:w="4952" w:type="pct"/>
        <w:tblLook w:val="04A0" w:firstRow="1" w:lastRow="0" w:firstColumn="1" w:lastColumn="0" w:noHBand="0" w:noVBand="1"/>
      </w:tblPr>
      <w:tblGrid>
        <w:gridCol w:w="2399"/>
        <w:gridCol w:w="6574"/>
      </w:tblGrid>
      <w:tr w:rsidR="00E469F7" w:rsidRPr="002443CA" w14:paraId="06295BC0" w14:textId="77777777" w:rsidTr="00045E6C">
        <w:trPr>
          <w:cantSplit/>
          <w:trHeight w:val="397"/>
          <w:tblHeader/>
        </w:trPr>
        <w:tc>
          <w:tcPr>
            <w:tcW w:w="2399" w:type="dxa"/>
            <w:shd w:val="clear" w:color="auto" w:fill="D9D9D9" w:themeFill="background1" w:themeFillShade="D9"/>
          </w:tcPr>
          <w:p w14:paraId="5BE34E9D" w14:textId="77777777" w:rsidR="00E469F7" w:rsidRPr="00045E6C" w:rsidRDefault="00E469F7" w:rsidP="00E469F7">
            <w:pPr>
              <w:pStyle w:val="THTableHeading"/>
              <w:jc w:val="center"/>
              <w:rPr>
                <w:rFonts w:asciiTheme="minorHAnsi" w:hAnsiTheme="minorHAnsi" w:cstheme="minorHAnsi"/>
              </w:rPr>
            </w:pPr>
            <w:r w:rsidRPr="00045E6C">
              <w:rPr>
                <w:rFonts w:asciiTheme="minorHAnsi" w:hAnsiTheme="minorHAnsi" w:cstheme="minorHAnsi"/>
              </w:rPr>
              <w:t>Abbreviation</w:t>
            </w:r>
          </w:p>
        </w:tc>
        <w:tc>
          <w:tcPr>
            <w:tcW w:w="6574" w:type="dxa"/>
            <w:shd w:val="clear" w:color="auto" w:fill="D9D9D9" w:themeFill="background1" w:themeFillShade="D9"/>
          </w:tcPr>
          <w:p w14:paraId="3A4BB9F2" w14:textId="77777777" w:rsidR="00E469F7" w:rsidRPr="00045E6C" w:rsidRDefault="00E469F7" w:rsidP="00E469F7">
            <w:pPr>
              <w:pStyle w:val="THTableHeading"/>
              <w:jc w:val="center"/>
              <w:rPr>
                <w:rFonts w:asciiTheme="minorHAnsi" w:hAnsiTheme="minorHAnsi" w:cstheme="minorHAnsi"/>
              </w:rPr>
            </w:pPr>
            <w:r w:rsidRPr="00045E6C">
              <w:rPr>
                <w:rFonts w:asciiTheme="minorHAnsi" w:hAnsiTheme="minorHAnsi" w:cstheme="minorHAnsi"/>
              </w:rPr>
              <w:t>Full Form or Description</w:t>
            </w:r>
          </w:p>
        </w:tc>
      </w:tr>
      <w:tr w:rsidR="00E469F7" w:rsidRPr="002443CA" w14:paraId="0A7B39C8" w14:textId="77777777" w:rsidTr="00045E6C">
        <w:trPr>
          <w:cantSplit/>
          <w:trHeight w:val="397"/>
        </w:trPr>
        <w:tc>
          <w:tcPr>
            <w:tcW w:w="2399" w:type="dxa"/>
          </w:tcPr>
          <w:p w14:paraId="7BB17843" w14:textId="4C87A312" w:rsidR="00E469F7" w:rsidRPr="00045E6C" w:rsidRDefault="00E469F7" w:rsidP="00E469F7">
            <w:pPr>
              <w:pStyle w:val="TTTableText"/>
              <w:rPr>
                <w:rFonts w:asciiTheme="minorHAnsi" w:hAnsiTheme="minorHAnsi" w:cstheme="minorHAnsi"/>
              </w:rPr>
            </w:pPr>
            <w:r w:rsidRPr="00045E6C">
              <w:rPr>
                <w:rFonts w:asciiTheme="minorHAnsi" w:eastAsia="Calibri" w:hAnsiTheme="minorHAnsi" w:cstheme="minorHAnsi"/>
              </w:rPr>
              <w:t xml:space="preserve">"All </w:t>
            </w:r>
            <w:r w:rsidR="0000715E">
              <w:rPr>
                <w:rFonts w:asciiTheme="minorHAnsi" w:eastAsia="Calibri" w:hAnsiTheme="minorHAnsi" w:cstheme="minorHAnsi"/>
              </w:rPr>
              <w:t>o</w:t>
            </w:r>
            <w:r w:rsidRPr="00045E6C">
              <w:rPr>
                <w:rFonts w:asciiTheme="minorHAnsi" w:eastAsia="Calibri" w:hAnsiTheme="minorHAnsi" w:cstheme="minorHAnsi"/>
              </w:rPr>
              <w:t>thers" category of Australian companies</w:t>
            </w:r>
          </w:p>
        </w:tc>
        <w:tc>
          <w:tcPr>
            <w:tcW w:w="6574" w:type="dxa"/>
          </w:tcPr>
          <w:p w14:paraId="625FA649" w14:textId="00F3B978"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All other Australian companies that were not named in Annex 1 of the Final Determination, which MOFCOM collectively referred to as "</w:t>
            </w:r>
            <w:r w:rsidR="0000715E">
              <w:rPr>
                <w:rFonts w:asciiTheme="minorHAnsi" w:eastAsia="Calibri" w:hAnsiTheme="minorHAnsi" w:cstheme="minorHAnsi"/>
              </w:rPr>
              <w:t>a</w:t>
            </w:r>
            <w:r w:rsidRPr="00045E6C">
              <w:rPr>
                <w:rFonts w:asciiTheme="minorHAnsi" w:eastAsia="Calibri" w:hAnsiTheme="minorHAnsi" w:cstheme="minorHAnsi"/>
              </w:rPr>
              <w:t xml:space="preserve">ll </w:t>
            </w:r>
            <w:r w:rsidR="0000715E">
              <w:rPr>
                <w:rFonts w:asciiTheme="minorHAnsi" w:eastAsia="Calibri" w:hAnsiTheme="minorHAnsi" w:cstheme="minorHAnsi"/>
              </w:rPr>
              <w:t>o</w:t>
            </w:r>
            <w:r w:rsidRPr="00045E6C">
              <w:rPr>
                <w:rFonts w:asciiTheme="minorHAnsi" w:eastAsia="Calibri" w:hAnsiTheme="minorHAnsi" w:cstheme="minorHAnsi"/>
              </w:rPr>
              <w:t>thers"</w:t>
            </w:r>
          </w:p>
        </w:tc>
      </w:tr>
      <w:tr w:rsidR="00E469F7" w:rsidRPr="002443CA" w14:paraId="58644FD4" w14:textId="77777777" w:rsidTr="00045E6C">
        <w:trPr>
          <w:cantSplit/>
          <w:trHeight w:val="397"/>
        </w:trPr>
        <w:tc>
          <w:tcPr>
            <w:tcW w:w="2399" w:type="dxa"/>
          </w:tcPr>
          <w:p w14:paraId="3464596A" w14:textId="77777777" w:rsidR="00E469F7" w:rsidRPr="00045E6C" w:rsidRDefault="00E469F7" w:rsidP="00E469F7">
            <w:pPr>
              <w:pStyle w:val="TTTableText"/>
              <w:rPr>
                <w:rFonts w:asciiTheme="minorHAnsi" w:hAnsiTheme="minorHAnsi" w:cstheme="minorHAnsi"/>
              </w:rPr>
            </w:pPr>
            <w:r w:rsidRPr="00045E6C">
              <w:rPr>
                <w:rFonts w:asciiTheme="minorHAnsi" w:hAnsiTheme="minorHAnsi" w:cstheme="minorHAnsi"/>
              </w:rPr>
              <w:lastRenderedPageBreak/>
              <w:t xml:space="preserve">Anti-Dumping Agreement </w:t>
            </w:r>
          </w:p>
        </w:tc>
        <w:tc>
          <w:tcPr>
            <w:tcW w:w="6574" w:type="dxa"/>
          </w:tcPr>
          <w:p w14:paraId="08C71459"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Agreement on the Implementation of Article VI of GATT 1994</w:t>
            </w:r>
          </w:p>
        </w:tc>
      </w:tr>
      <w:tr w:rsidR="00E469F7" w:rsidRPr="002443CA" w14:paraId="1B95EE1F" w14:textId="77777777" w:rsidTr="00045E6C">
        <w:trPr>
          <w:cantSplit/>
          <w:trHeight w:val="397"/>
        </w:trPr>
        <w:tc>
          <w:tcPr>
            <w:tcW w:w="2399" w:type="dxa"/>
          </w:tcPr>
          <w:p w14:paraId="1B576C62" w14:textId="77777777" w:rsidR="00E469F7" w:rsidRPr="00045E6C" w:rsidRDefault="00E469F7" w:rsidP="00E469F7">
            <w:pPr>
              <w:pStyle w:val="TTTableText"/>
              <w:rPr>
                <w:rFonts w:asciiTheme="minorHAnsi" w:hAnsiTheme="minorHAnsi" w:cstheme="minorHAnsi"/>
              </w:rPr>
            </w:pPr>
            <w:r w:rsidRPr="00045E6C">
              <w:rPr>
                <w:rFonts w:asciiTheme="minorHAnsi" w:eastAsia="Calibri" w:hAnsiTheme="minorHAnsi" w:cstheme="minorHAnsi"/>
              </w:rPr>
              <w:t>Anti-Dumping Questionnaire</w:t>
            </w:r>
          </w:p>
        </w:tc>
        <w:tc>
          <w:tcPr>
            <w:tcW w:w="6574" w:type="dxa"/>
          </w:tcPr>
          <w:p w14:paraId="03E5A274"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Exporter Questionnaire issued by MOFCOM to Australian exporters on 10 October 2020</w:t>
            </w:r>
          </w:p>
        </w:tc>
      </w:tr>
      <w:tr w:rsidR="00E469F7" w:rsidRPr="002443CA" w14:paraId="289215A2" w14:textId="77777777" w:rsidTr="00045E6C">
        <w:trPr>
          <w:cantSplit/>
          <w:trHeight w:val="397"/>
        </w:trPr>
        <w:tc>
          <w:tcPr>
            <w:tcW w:w="2399" w:type="dxa"/>
          </w:tcPr>
          <w:p w14:paraId="61DCD4A8" w14:textId="77777777" w:rsidR="00E469F7" w:rsidRPr="00045E6C" w:rsidRDefault="00E469F7" w:rsidP="00E469F7">
            <w:pPr>
              <w:pStyle w:val="TTTableText"/>
              <w:rPr>
                <w:rFonts w:asciiTheme="minorHAnsi" w:hAnsiTheme="minorHAnsi" w:cstheme="minorHAnsi"/>
              </w:rPr>
            </w:pPr>
            <w:r w:rsidRPr="00045E6C">
              <w:rPr>
                <w:rFonts w:asciiTheme="minorHAnsi" w:hAnsiTheme="minorHAnsi" w:cstheme="minorHAnsi"/>
              </w:rPr>
              <w:t>Application</w:t>
            </w:r>
          </w:p>
        </w:tc>
        <w:tc>
          <w:tcPr>
            <w:tcW w:w="6574" w:type="dxa"/>
          </w:tcPr>
          <w:p w14:paraId="6FD7101D"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CADA, "Application of the Wine Industry of the People's Republic of China for Anti-dumping Investigation on Imported Wines Originating in Australia", 6 July 2020</w:t>
            </w:r>
          </w:p>
        </w:tc>
      </w:tr>
      <w:tr w:rsidR="00E469F7" w:rsidRPr="002443CA" w14:paraId="779ECB95" w14:textId="77777777" w:rsidTr="00045E6C">
        <w:trPr>
          <w:cantSplit/>
          <w:trHeight w:val="397"/>
        </w:trPr>
        <w:tc>
          <w:tcPr>
            <w:tcW w:w="2399" w:type="dxa"/>
          </w:tcPr>
          <w:p w14:paraId="0754AD50" w14:textId="77777777" w:rsidR="00E469F7" w:rsidRPr="00045E6C" w:rsidRDefault="00E469F7" w:rsidP="00E469F7">
            <w:pPr>
              <w:pStyle w:val="TTTableText"/>
              <w:rPr>
                <w:rFonts w:asciiTheme="minorHAnsi" w:hAnsiTheme="minorHAnsi" w:cstheme="minorHAnsi"/>
              </w:rPr>
            </w:pPr>
            <w:r w:rsidRPr="00045E6C">
              <w:rPr>
                <w:rFonts w:asciiTheme="minorHAnsi" w:eastAsia="Calibri" w:hAnsiTheme="minorHAnsi" w:cstheme="minorHAnsi"/>
              </w:rPr>
              <w:t>BCI</w:t>
            </w:r>
          </w:p>
        </w:tc>
        <w:tc>
          <w:tcPr>
            <w:tcW w:w="6574" w:type="dxa"/>
          </w:tcPr>
          <w:p w14:paraId="56899826"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Business Confidential Information</w:t>
            </w:r>
          </w:p>
        </w:tc>
      </w:tr>
      <w:tr w:rsidR="00E469F7" w:rsidRPr="002443CA" w14:paraId="709AC3BB" w14:textId="77777777" w:rsidTr="00045E6C">
        <w:trPr>
          <w:cantSplit/>
          <w:trHeight w:val="397"/>
        </w:trPr>
        <w:tc>
          <w:tcPr>
            <w:tcW w:w="2399" w:type="dxa"/>
          </w:tcPr>
          <w:p w14:paraId="27629885"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CADA</w:t>
            </w:r>
          </w:p>
        </w:tc>
        <w:tc>
          <w:tcPr>
            <w:tcW w:w="6574" w:type="dxa"/>
          </w:tcPr>
          <w:p w14:paraId="0C81F4D8"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China Alcoholic Drinks Association</w:t>
            </w:r>
          </w:p>
        </w:tc>
      </w:tr>
      <w:tr w:rsidR="00E469F7" w:rsidRPr="002443CA" w14:paraId="14AD3E74" w14:textId="77777777" w:rsidTr="00045E6C">
        <w:trPr>
          <w:cantSplit/>
          <w:trHeight w:val="397"/>
        </w:trPr>
        <w:tc>
          <w:tcPr>
            <w:tcW w:w="2399" w:type="dxa"/>
          </w:tcPr>
          <w:p w14:paraId="7C53BEC9" w14:textId="031006FF"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 xml:space="preserve">Casella </w:t>
            </w:r>
          </w:p>
        </w:tc>
        <w:tc>
          <w:tcPr>
            <w:tcW w:w="6574" w:type="dxa"/>
          </w:tcPr>
          <w:p w14:paraId="33CB2DEA"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Casella Wines Pty Ltd</w:t>
            </w:r>
          </w:p>
        </w:tc>
      </w:tr>
      <w:tr w:rsidR="00E469F7" w:rsidRPr="002443CA" w14:paraId="44F5883D" w14:textId="77777777" w:rsidTr="00045E6C">
        <w:trPr>
          <w:cantSplit/>
          <w:trHeight w:val="397"/>
        </w:trPr>
        <w:tc>
          <w:tcPr>
            <w:tcW w:w="2399" w:type="dxa"/>
          </w:tcPr>
          <w:p w14:paraId="5541B6D0"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ChAFTA</w:t>
            </w:r>
          </w:p>
        </w:tc>
        <w:tc>
          <w:tcPr>
            <w:tcW w:w="6574" w:type="dxa"/>
          </w:tcPr>
          <w:p w14:paraId="550F3F20"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China-Australia Free Trade Agreement</w:t>
            </w:r>
          </w:p>
        </w:tc>
      </w:tr>
      <w:tr w:rsidR="00E469F7" w:rsidRPr="002443CA" w14:paraId="05C5ED52" w14:textId="77777777" w:rsidTr="00045E6C">
        <w:trPr>
          <w:cantSplit/>
          <w:trHeight w:val="397"/>
        </w:trPr>
        <w:tc>
          <w:tcPr>
            <w:tcW w:w="2399" w:type="dxa"/>
          </w:tcPr>
          <w:p w14:paraId="1A786F4B"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CIF</w:t>
            </w:r>
          </w:p>
        </w:tc>
        <w:tc>
          <w:tcPr>
            <w:tcW w:w="6574" w:type="dxa"/>
          </w:tcPr>
          <w:p w14:paraId="19524FA3"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Cost, insurance, freight</w:t>
            </w:r>
          </w:p>
        </w:tc>
      </w:tr>
      <w:tr w:rsidR="00E469F7" w:rsidRPr="002443CA" w14:paraId="2F42CB68" w14:textId="77777777" w:rsidTr="00045E6C">
        <w:trPr>
          <w:cantSplit/>
          <w:trHeight w:val="397"/>
        </w:trPr>
        <w:tc>
          <w:tcPr>
            <w:tcW w:w="2399" w:type="dxa"/>
          </w:tcPr>
          <w:p w14:paraId="152E12BF"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Domestic Producer Questionnaire</w:t>
            </w:r>
          </w:p>
        </w:tc>
        <w:tc>
          <w:tcPr>
            <w:tcW w:w="6574" w:type="dxa"/>
          </w:tcPr>
          <w:p w14:paraId="2391E675" w14:textId="77777777" w:rsidR="00E469F7" w:rsidRPr="00045E6C" w:rsidRDefault="00E469F7" w:rsidP="00E469F7">
            <w:pPr>
              <w:pStyle w:val="TTTableText"/>
              <w:rPr>
                <w:rFonts w:asciiTheme="minorHAnsi" w:eastAsia="Calibri" w:hAnsiTheme="minorHAnsi" w:cstheme="minorHAnsi"/>
              </w:rPr>
            </w:pPr>
            <w:r w:rsidRPr="00045E6C">
              <w:rPr>
                <w:rFonts w:asciiTheme="minorHAnsi" w:hAnsiTheme="minorHAnsi" w:cstheme="minorHAnsi"/>
              </w:rPr>
              <w:t>Unless otherwise specified, means the Domestic Producer Questionnaire issued by MOFCOM on 10 October 2020</w:t>
            </w:r>
          </w:p>
        </w:tc>
      </w:tr>
      <w:tr w:rsidR="00E469F7" w:rsidRPr="002443CA" w14:paraId="6CD2395A" w14:textId="77777777" w:rsidTr="00045E6C">
        <w:trPr>
          <w:cantSplit/>
          <w:trHeight w:val="397"/>
        </w:trPr>
        <w:tc>
          <w:tcPr>
            <w:tcW w:w="2399" w:type="dxa"/>
          </w:tcPr>
          <w:p w14:paraId="30821166"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Final Determination</w:t>
            </w:r>
          </w:p>
        </w:tc>
        <w:tc>
          <w:tcPr>
            <w:tcW w:w="6574" w:type="dxa"/>
          </w:tcPr>
          <w:p w14:paraId="08E24DE0" w14:textId="77777777" w:rsidR="00E469F7" w:rsidRPr="00045E6C" w:rsidRDefault="00E469F7" w:rsidP="00E469F7">
            <w:pPr>
              <w:pStyle w:val="TTTableText"/>
              <w:rPr>
                <w:rFonts w:asciiTheme="minorHAnsi" w:hAnsiTheme="minorHAnsi" w:cstheme="minorHAnsi"/>
              </w:rPr>
            </w:pPr>
            <w:r w:rsidRPr="00045E6C">
              <w:rPr>
                <w:rFonts w:asciiTheme="minorHAnsi" w:eastAsia="Calibri" w:hAnsiTheme="minorHAnsi" w:cstheme="minorHAnsi"/>
              </w:rPr>
              <w:t>MOFCOM, "Final Ruling of the Ministry of Commerce of the People's Republic of China on Anti-Dumping Investigation into Imported Wine Originating in Australia", 26 March 2021</w:t>
            </w:r>
          </w:p>
        </w:tc>
      </w:tr>
      <w:tr w:rsidR="00E469F7" w:rsidRPr="002443CA" w14:paraId="236BB46F" w14:textId="77777777" w:rsidTr="00045E6C">
        <w:trPr>
          <w:cantSplit/>
          <w:trHeight w:val="397"/>
        </w:trPr>
        <w:tc>
          <w:tcPr>
            <w:tcW w:w="2399" w:type="dxa"/>
          </w:tcPr>
          <w:p w14:paraId="57EF2DA0"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Final Disclosure</w:t>
            </w:r>
          </w:p>
        </w:tc>
        <w:tc>
          <w:tcPr>
            <w:tcW w:w="6574" w:type="dxa"/>
          </w:tcPr>
          <w:p w14:paraId="0DB63DC0" w14:textId="77777777" w:rsidR="00E469F7" w:rsidRPr="00045E6C" w:rsidRDefault="00E469F7" w:rsidP="00E469F7">
            <w:pPr>
              <w:pStyle w:val="TTTableText"/>
              <w:rPr>
                <w:rFonts w:asciiTheme="minorHAnsi" w:hAnsiTheme="minorHAnsi" w:cstheme="minorHAnsi"/>
              </w:rPr>
            </w:pPr>
            <w:r w:rsidRPr="00045E6C">
              <w:rPr>
                <w:rFonts w:asciiTheme="minorHAnsi" w:eastAsia="Calibri" w:hAnsiTheme="minorHAnsi" w:cstheme="minorHAnsi"/>
              </w:rPr>
              <w:t>MOFCOM, "Disclosure of Basic Facts Relied on by Final Ruling of Anti-Dumping Investigation into Relevant Imported Wines Originating in Australia", 12 March 2021</w:t>
            </w:r>
          </w:p>
        </w:tc>
      </w:tr>
      <w:tr w:rsidR="00E469F7" w:rsidRPr="002443CA" w14:paraId="2D42D802" w14:textId="77777777" w:rsidTr="00045E6C">
        <w:trPr>
          <w:cantSplit/>
          <w:trHeight w:val="397"/>
        </w:trPr>
        <w:tc>
          <w:tcPr>
            <w:tcW w:w="2399" w:type="dxa"/>
          </w:tcPr>
          <w:p w14:paraId="75F5DD50"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Injury POI</w:t>
            </w:r>
          </w:p>
        </w:tc>
        <w:tc>
          <w:tcPr>
            <w:tcW w:w="6574" w:type="dxa"/>
          </w:tcPr>
          <w:p w14:paraId="743841D7"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The injury investigation period adopted by MOFCOM, being 1 January 2015 to 31 December 2019.</w:t>
            </w:r>
          </w:p>
        </w:tc>
      </w:tr>
      <w:tr w:rsidR="00E469F7" w:rsidRPr="002443CA" w14:paraId="583FCF7B" w14:textId="77777777" w:rsidTr="00045E6C">
        <w:trPr>
          <w:cantSplit/>
          <w:trHeight w:val="397"/>
        </w:trPr>
        <w:tc>
          <w:tcPr>
            <w:tcW w:w="2399" w:type="dxa"/>
          </w:tcPr>
          <w:p w14:paraId="786584CA"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MOFCOM</w:t>
            </w:r>
          </w:p>
        </w:tc>
        <w:tc>
          <w:tcPr>
            <w:tcW w:w="6574" w:type="dxa"/>
          </w:tcPr>
          <w:p w14:paraId="69A41ED5"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Ministry of Commerce of the People's Republic of China</w:t>
            </w:r>
          </w:p>
        </w:tc>
      </w:tr>
      <w:tr w:rsidR="00E469F7" w:rsidRPr="002443CA" w14:paraId="489EF5D5" w14:textId="77777777" w:rsidTr="00045E6C">
        <w:trPr>
          <w:cantSplit/>
          <w:trHeight w:val="397"/>
        </w:trPr>
        <w:tc>
          <w:tcPr>
            <w:tcW w:w="2399" w:type="dxa"/>
          </w:tcPr>
          <w:p w14:paraId="2307966D"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PCN</w:t>
            </w:r>
          </w:p>
        </w:tc>
        <w:tc>
          <w:tcPr>
            <w:tcW w:w="6574" w:type="dxa"/>
          </w:tcPr>
          <w:p w14:paraId="752286EC"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Product Control Number</w:t>
            </w:r>
          </w:p>
        </w:tc>
      </w:tr>
      <w:tr w:rsidR="00E469F7" w:rsidRPr="002443CA" w14:paraId="4C7B8B79" w14:textId="77777777" w:rsidTr="00045E6C">
        <w:trPr>
          <w:cantSplit/>
          <w:trHeight w:val="397"/>
        </w:trPr>
        <w:tc>
          <w:tcPr>
            <w:tcW w:w="2399" w:type="dxa"/>
          </w:tcPr>
          <w:p w14:paraId="1549CE03"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Pernod Ricard</w:t>
            </w:r>
          </w:p>
        </w:tc>
        <w:tc>
          <w:tcPr>
            <w:tcW w:w="6574" w:type="dxa"/>
          </w:tcPr>
          <w:p w14:paraId="4B711691"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Pernod Ricard Winemakers Pty Ltd</w:t>
            </w:r>
          </w:p>
        </w:tc>
      </w:tr>
      <w:tr w:rsidR="00E469F7" w:rsidRPr="002443CA" w14:paraId="1BD4C51F" w14:textId="77777777" w:rsidTr="00045E6C">
        <w:trPr>
          <w:cantSplit/>
          <w:trHeight w:val="397"/>
        </w:trPr>
        <w:tc>
          <w:tcPr>
            <w:tcW w:w="2399" w:type="dxa"/>
          </w:tcPr>
          <w:p w14:paraId="3AA26FC8"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POI</w:t>
            </w:r>
          </w:p>
        </w:tc>
        <w:tc>
          <w:tcPr>
            <w:tcW w:w="6574" w:type="dxa"/>
          </w:tcPr>
          <w:p w14:paraId="04A728CC"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The dumping investigation period adopted by MOFCOM, being 1 January to 31 December 2019.</w:t>
            </w:r>
          </w:p>
        </w:tc>
      </w:tr>
      <w:tr w:rsidR="00E469F7" w:rsidRPr="002443CA" w14:paraId="27E5089E" w14:textId="77777777" w:rsidTr="00045E6C">
        <w:trPr>
          <w:cantSplit/>
          <w:trHeight w:val="397"/>
        </w:trPr>
        <w:tc>
          <w:tcPr>
            <w:tcW w:w="2399" w:type="dxa"/>
          </w:tcPr>
          <w:p w14:paraId="4C9AF3C7"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Preliminary Determination</w:t>
            </w:r>
          </w:p>
        </w:tc>
        <w:tc>
          <w:tcPr>
            <w:tcW w:w="6574" w:type="dxa"/>
          </w:tcPr>
          <w:p w14:paraId="6F86F800"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MOFCOM, "Preliminary Ruling of the Ministry of Commerce of the People's Republic of China on Anti-Dumping Investigation into Relevant Imported Wines Originating in Australia", 30 August 2021</w:t>
            </w:r>
          </w:p>
        </w:tc>
      </w:tr>
      <w:tr w:rsidR="00E469F7" w:rsidRPr="002443CA" w14:paraId="3BB09455" w14:textId="77777777" w:rsidTr="00045E6C">
        <w:trPr>
          <w:cantSplit/>
          <w:trHeight w:val="397"/>
        </w:trPr>
        <w:tc>
          <w:tcPr>
            <w:tcW w:w="2399" w:type="dxa"/>
          </w:tcPr>
          <w:p w14:paraId="18886F8A"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RMB</w:t>
            </w:r>
          </w:p>
        </w:tc>
        <w:tc>
          <w:tcPr>
            <w:tcW w:w="6574" w:type="dxa"/>
          </w:tcPr>
          <w:p w14:paraId="452BC851"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Chinese Renminbi</w:t>
            </w:r>
          </w:p>
        </w:tc>
      </w:tr>
      <w:tr w:rsidR="00E469F7" w:rsidRPr="002443CA" w14:paraId="7F6AC81A" w14:textId="77777777" w:rsidTr="00045E6C">
        <w:trPr>
          <w:cantSplit/>
          <w:trHeight w:val="397"/>
        </w:trPr>
        <w:tc>
          <w:tcPr>
            <w:tcW w:w="2399" w:type="dxa"/>
          </w:tcPr>
          <w:p w14:paraId="0037509B"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Sampled companies</w:t>
            </w:r>
          </w:p>
        </w:tc>
        <w:tc>
          <w:tcPr>
            <w:tcW w:w="6574" w:type="dxa"/>
          </w:tcPr>
          <w:p w14:paraId="651C07F9" w14:textId="6995FCAC"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Treasury, Casella and Swan, the three Australian companies selected by MOFCOM as sampled companies and named in Annex 1 of the Final Determination in the category, "Sampled Companies"</w:t>
            </w:r>
          </w:p>
        </w:tc>
      </w:tr>
      <w:tr w:rsidR="007B5EAA" w:rsidRPr="002443CA" w14:paraId="0B9CE4CD" w14:textId="77777777" w:rsidTr="00045E6C">
        <w:trPr>
          <w:cantSplit/>
          <w:trHeight w:val="397"/>
        </w:trPr>
        <w:tc>
          <w:tcPr>
            <w:tcW w:w="2399" w:type="dxa"/>
          </w:tcPr>
          <w:p w14:paraId="5AB6E7CC" w14:textId="33B61A61" w:rsidR="007B5EAA" w:rsidRPr="00045E6C" w:rsidRDefault="00AE6081" w:rsidP="00E469F7">
            <w:pPr>
              <w:pStyle w:val="TTTableText"/>
              <w:rPr>
                <w:rFonts w:asciiTheme="minorHAnsi" w:eastAsia="Calibri" w:hAnsiTheme="minorHAnsi" w:cstheme="minorHAnsi"/>
              </w:rPr>
            </w:pPr>
            <w:r>
              <w:rPr>
                <w:rFonts w:asciiTheme="minorHAnsi" w:eastAsia="Calibri" w:hAnsiTheme="minorHAnsi" w:cstheme="minorHAnsi"/>
              </w:rPr>
              <w:t>Swan</w:t>
            </w:r>
          </w:p>
        </w:tc>
        <w:tc>
          <w:tcPr>
            <w:tcW w:w="6574" w:type="dxa"/>
          </w:tcPr>
          <w:p w14:paraId="35E775BF" w14:textId="1E25D4CF" w:rsidR="007B5EAA" w:rsidRPr="00045E6C" w:rsidRDefault="00AE6081" w:rsidP="00E469F7">
            <w:pPr>
              <w:pStyle w:val="TTTableText"/>
              <w:rPr>
                <w:rFonts w:asciiTheme="minorHAnsi" w:eastAsia="Calibri" w:hAnsiTheme="minorHAnsi" w:cstheme="minorHAnsi"/>
              </w:rPr>
            </w:pPr>
            <w:r>
              <w:rPr>
                <w:rFonts w:asciiTheme="minorHAnsi" w:eastAsia="Calibri" w:hAnsiTheme="minorHAnsi" w:cstheme="minorHAnsi"/>
              </w:rPr>
              <w:t>Swan Vintage</w:t>
            </w:r>
          </w:p>
        </w:tc>
      </w:tr>
      <w:tr w:rsidR="00E469F7" w:rsidRPr="002443CA" w14:paraId="1F2F13DC" w14:textId="77777777" w:rsidTr="00045E6C">
        <w:trPr>
          <w:cantSplit/>
          <w:trHeight w:val="397"/>
        </w:trPr>
        <w:tc>
          <w:tcPr>
            <w:tcW w:w="2399" w:type="dxa"/>
          </w:tcPr>
          <w:p w14:paraId="3E8B8435" w14:textId="33C24C9D"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 xml:space="preserve">Treasury </w:t>
            </w:r>
          </w:p>
        </w:tc>
        <w:tc>
          <w:tcPr>
            <w:tcW w:w="6574" w:type="dxa"/>
          </w:tcPr>
          <w:p w14:paraId="095BBB5A" w14:textId="77777777" w:rsidR="00E469F7" w:rsidRPr="00045E6C" w:rsidRDefault="00E469F7" w:rsidP="00E469F7">
            <w:pPr>
              <w:pStyle w:val="TTTableText"/>
              <w:rPr>
                <w:rFonts w:asciiTheme="minorHAnsi" w:eastAsia="Calibri" w:hAnsiTheme="minorHAnsi" w:cstheme="minorHAnsi"/>
              </w:rPr>
            </w:pPr>
            <w:r w:rsidRPr="00045E6C">
              <w:rPr>
                <w:rFonts w:asciiTheme="minorHAnsi" w:eastAsia="Calibri" w:hAnsiTheme="minorHAnsi" w:cstheme="minorHAnsi"/>
              </w:rPr>
              <w:t>Treasury Wine Estate Vintners Limited</w:t>
            </w:r>
          </w:p>
        </w:tc>
      </w:tr>
    </w:tbl>
    <w:p w14:paraId="1DBDA462" w14:textId="77777777" w:rsidR="00285FA6" w:rsidRDefault="00285FA6" w:rsidP="00D52A17">
      <w:pPr>
        <w:pStyle w:val="HL1HeadingLevel1"/>
        <w:rPr>
          <w:rFonts w:asciiTheme="minorHAnsi" w:hAnsiTheme="minorHAnsi" w:cstheme="minorHAnsi"/>
        </w:rPr>
        <w:sectPr w:rsidR="00285FA6" w:rsidSect="00CD68AF">
          <w:headerReference w:type="default" r:id="rId8"/>
          <w:footerReference w:type="default" r:id="rId9"/>
          <w:headerReference w:type="first" r:id="rId10"/>
          <w:footerReference w:type="first" r:id="rId11"/>
          <w:pgSz w:w="11906" w:h="16838" w:code="9"/>
          <w:pgMar w:top="1418" w:right="1418" w:bottom="1418" w:left="1418" w:header="567" w:footer="567" w:gutter="0"/>
          <w:pgNumType w:fmt="lowerRoman" w:start="1"/>
          <w:cols w:space="708"/>
          <w:titlePg/>
          <w:docGrid w:linePitch="360"/>
        </w:sectPr>
      </w:pPr>
    </w:p>
    <w:p w14:paraId="7EE2A3F8" w14:textId="0568BA3F" w:rsidR="00D52A17" w:rsidRPr="00045E6C" w:rsidRDefault="001A3EF2" w:rsidP="00D52A17">
      <w:pPr>
        <w:pStyle w:val="HL1HeadingLevel1"/>
        <w:rPr>
          <w:rFonts w:asciiTheme="minorHAnsi" w:hAnsiTheme="minorHAnsi" w:cstheme="minorHAnsi"/>
        </w:rPr>
      </w:pPr>
      <w:bookmarkStart w:id="2" w:name="_Toc113344009"/>
      <w:r w:rsidRPr="00045E6C">
        <w:rPr>
          <w:rFonts w:asciiTheme="minorHAnsi" w:hAnsiTheme="minorHAnsi" w:cstheme="minorHAnsi"/>
        </w:rPr>
        <w:lastRenderedPageBreak/>
        <w:t>Introduction</w:t>
      </w:r>
      <w:bookmarkEnd w:id="2"/>
    </w:p>
    <w:p w14:paraId="0F96641F" w14:textId="570273CE" w:rsidR="006E440A" w:rsidRPr="00045E6C" w:rsidRDefault="006E440A" w:rsidP="006E440A">
      <w:pPr>
        <w:pStyle w:val="P1-N1Paragraph1-Number1"/>
        <w:rPr>
          <w:rFonts w:asciiTheme="minorHAnsi" w:hAnsiTheme="minorHAnsi" w:cstheme="minorHAnsi"/>
        </w:rPr>
      </w:pPr>
      <w:r w:rsidRPr="00045E6C">
        <w:rPr>
          <w:rFonts w:asciiTheme="minorHAnsi" w:hAnsiTheme="minorHAnsi" w:cstheme="minorHAnsi"/>
        </w:rPr>
        <w:t xml:space="preserve">Chair, members of the Panel, thank you for your time today. </w:t>
      </w:r>
    </w:p>
    <w:p w14:paraId="178BB296" w14:textId="29E9C203" w:rsidR="006E440A" w:rsidRPr="00045E6C" w:rsidRDefault="006E440A" w:rsidP="006E440A">
      <w:pPr>
        <w:pStyle w:val="P1-N1Paragraph1-Number1"/>
        <w:rPr>
          <w:rFonts w:asciiTheme="minorHAnsi" w:hAnsiTheme="minorHAnsi" w:cstheme="minorHAnsi"/>
        </w:rPr>
      </w:pPr>
      <w:r w:rsidRPr="00045E6C">
        <w:rPr>
          <w:rFonts w:asciiTheme="minorHAnsi" w:hAnsiTheme="minorHAnsi" w:cstheme="minorHAnsi"/>
        </w:rPr>
        <w:t xml:space="preserve">Before I continue, I </w:t>
      </w:r>
      <w:r w:rsidR="004011C1">
        <w:rPr>
          <w:rFonts w:asciiTheme="minorHAnsi" w:hAnsiTheme="minorHAnsi" w:cstheme="minorHAnsi"/>
        </w:rPr>
        <w:t xml:space="preserve">wish to </w:t>
      </w:r>
      <w:r w:rsidRPr="00045E6C">
        <w:rPr>
          <w:rFonts w:asciiTheme="minorHAnsi" w:hAnsiTheme="minorHAnsi" w:cstheme="minorHAnsi"/>
        </w:rPr>
        <w:t>advise the Panel that Australia's opening statement will include business confidential information.</w:t>
      </w:r>
    </w:p>
    <w:p w14:paraId="654EE1BE" w14:textId="2BD6C070" w:rsidR="006E440A" w:rsidRPr="00045E6C" w:rsidRDefault="003C3CAB" w:rsidP="006E440A">
      <w:pPr>
        <w:pStyle w:val="P1-N1Paragraph1-Number1"/>
        <w:rPr>
          <w:rFonts w:asciiTheme="minorHAnsi" w:hAnsiTheme="minorHAnsi" w:cstheme="minorHAnsi"/>
        </w:rPr>
      </w:pPr>
      <w:r>
        <w:rPr>
          <w:rFonts w:asciiTheme="minorHAnsi" w:hAnsiTheme="minorHAnsi" w:cstheme="minorHAnsi"/>
        </w:rPr>
        <w:t xml:space="preserve">First to say that </w:t>
      </w:r>
      <w:r w:rsidR="006E440A" w:rsidRPr="00045E6C">
        <w:rPr>
          <w:rFonts w:asciiTheme="minorHAnsi" w:hAnsiTheme="minorHAnsi" w:cstheme="minorHAnsi"/>
        </w:rPr>
        <w:t xml:space="preserve">Australia greatly values its </w:t>
      </w:r>
      <w:r w:rsidR="00D55AC9">
        <w:rPr>
          <w:rFonts w:asciiTheme="minorHAnsi" w:hAnsiTheme="minorHAnsi" w:cstheme="minorHAnsi"/>
        </w:rPr>
        <w:t xml:space="preserve">bilateral and trade </w:t>
      </w:r>
      <w:r w:rsidR="006E440A" w:rsidRPr="00045E6C">
        <w:rPr>
          <w:rFonts w:asciiTheme="minorHAnsi" w:hAnsiTheme="minorHAnsi" w:cstheme="minorHAnsi"/>
        </w:rPr>
        <w:t>relationship with China</w:t>
      </w:r>
      <w:r w:rsidR="008A7358" w:rsidRPr="00045E6C">
        <w:rPr>
          <w:rFonts w:asciiTheme="minorHAnsi" w:hAnsiTheme="minorHAnsi" w:cstheme="minorHAnsi"/>
        </w:rPr>
        <w:t>.</w:t>
      </w:r>
      <w:r w:rsidR="006E440A" w:rsidRPr="00045E6C">
        <w:rPr>
          <w:rFonts w:asciiTheme="minorHAnsi" w:hAnsiTheme="minorHAnsi" w:cstheme="minorHAnsi"/>
        </w:rPr>
        <w:t xml:space="preserve"> </w:t>
      </w:r>
      <w:r w:rsidR="008A7358" w:rsidRPr="00045E6C">
        <w:rPr>
          <w:rFonts w:asciiTheme="minorHAnsi" w:hAnsiTheme="minorHAnsi" w:cstheme="minorHAnsi"/>
        </w:rPr>
        <w:t xml:space="preserve">It </w:t>
      </w:r>
      <w:r w:rsidR="006E440A" w:rsidRPr="00045E6C">
        <w:rPr>
          <w:rFonts w:asciiTheme="minorHAnsi" w:hAnsiTheme="minorHAnsi" w:cstheme="minorHAnsi"/>
        </w:rPr>
        <w:t xml:space="preserve">does not bring this dispute lightly. </w:t>
      </w:r>
      <w:r w:rsidR="00D370DD">
        <w:rPr>
          <w:rFonts w:asciiTheme="minorHAnsi" w:hAnsiTheme="minorHAnsi" w:cstheme="minorHAnsi"/>
        </w:rPr>
        <w:t>Australia and China</w:t>
      </w:r>
      <w:r w:rsidR="00D370DD" w:rsidRPr="00045E6C">
        <w:rPr>
          <w:rFonts w:asciiTheme="minorHAnsi" w:hAnsiTheme="minorHAnsi" w:cstheme="minorHAnsi"/>
        </w:rPr>
        <w:t xml:space="preserve"> </w:t>
      </w:r>
      <w:r w:rsidR="006E440A" w:rsidRPr="00045E6C">
        <w:rPr>
          <w:rFonts w:asciiTheme="minorHAnsi" w:hAnsiTheme="minorHAnsi" w:cstheme="minorHAnsi"/>
        </w:rPr>
        <w:t xml:space="preserve">have </w:t>
      </w:r>
      <w:r w:rsidR="00D55AC9">
        <w:rPr>
          <w:rFonts w:asciiTheme="minorHAnsi" w:hAnsiTheme="minorHAnsi" w:cstheme="minorHAnsi"/>
        </w:rPr>
        <w:t xml:space="preserve">long </w:t>
      </w:r>
      <w:r w:rsidR="006E440A" w:rsidRPr="00045E6C">
        <w:rPr>
          <w:rFonts w:asciiTheme="minorHAnsi" w:hAnsiTheme="minorHAnsi" w:cstheme="minorHAnsi"/>
        </w:rPr>
        <w:t>worked closely together on a range of bilateral and multilateral trade issues, including in the WTO, and we will continue to do so.</w:t>
      </w:r>
      <w:r w:rsidR="000C021F" w:rsidRPr="00045E6C">
        <w:rPr>
          <w:rFonts w:asciiTheme="minorHAnsi" w:hAnsiTheme="minorHAnsi" w:cstheme="minorHAnsi"/>
        </w:rPr>
        <w:t xml:space="preserve"> </w:t>
      </w:r>
    </w:p>
    <w:p w14:paraId="57B95C20" w14:textId="07794339" w:rsidR="00D52A17" w:rsidRPr="00045E6C" w:rsidRDefault="006E440A" w:rsidP="006E440A">
      <w:pPr>
        <w:pStyle w:val="P1-N1Paragraph1-Number1"/>
        <w:rPr>
          <w:rFonts w:asciiTheme="minorHAnsi" w:hAnsiTheme="minorHAnsi" w:cstheme="minorHAnsi"/>
        </w:rPr>
      </w:pPr>
      <w:r w:rsidRPr="00045E6C">
        <w:rPr>
          <w:rFonts w:asciiTheme="minorHAnsi" w:hAnsiTheme="minorHAnsi" w:cstheme="minorHAnsi"/>
        </w:rPr>
        <w:t xml:space="preserve">We are here today to address MOFCOM's decision to impose </w:t>
      </w:r>
      <w:r w:rsidR="0074304F" w:rsidRPr="00045E6C">
        <w:rPr>
          <w:rFonts w:asciiTheme="minorHAnsi" w:hAnsiTheme="minorHAnsi" w:cstheme="minorHAnsi"/>
        </w:rPr>
        <w:t>absurdly</w:t>
      </w:r>
      <w:r w:rsidRPr="00045E6C">
        <w:rPr>
          <w:rFonts w:asciiTheme="minorHAnsi" w:hAnsiTheme="minorHAnsi" w:cstheme="minorHAnsi"/>
        </w:rPr>
        <w:t xml:space="preserve"> inflated anti</w:t>
      </w:r>
      <w:r w:rsidR="00203EEC" w:rsidRPr="00045E6C">
        <w:rPr>
          <w:rFonts w:asciiTheme="minorHAnsi" w:hAnsiTheme="minorHAnsi" w:cstheme="minorHAnsi"/>
        </w:rPr>
        <w:noBreakHyphen/>
      </w:r>
      <w:r w:rsidRPr="00045E6C">
        <w:rPr>
          <w:rFonts w:asciiTheme="minorHAnsi" w:hAnsiTheme="minorHAnsi" w:cstheme="minorHAnsi"/>
        </w:rPr>
        <w:t xml:space="preserve">dumping duties on imports of Australian </w:t>
      </w:r>
      <w:r w:rsidR="008A7358" w:rsidRPr="00045E6C">
        <w:rPr>
          <w:rFonts w:asciiTheme="minorHAnsi" w:hAnsiTheme="minorHAnsi" w:cstheme="minorHAnsi"/>
        </w:rPr>
        <w:t xml:space="preserve">bottled </w:t>
      </w:r>
      <w:r w:rsidRPr="00045E6C">
        <w:rPr>
          <w:rFonts w:asciiTheme="minorHAnsi" w:hAnsiTheme="minorHAnsi" w:cstheme="minorHAnsi"/>
        </w:rPr>
        <w:t>wine. Australia</w:t>
      </w:r>
      <w:r w:rsidR="00042762" w:rsidRPr="00045E6C">
        <w:rPr>
          <w:rFonts w:asciiTheme="minorHAnsi" w:hAnsiTheme="minorHAnsi" w:cstheme="minorHAnsi"/>
        </w:rPr>
        <w:t>'</w:t>
      </w:r>
      <w:r w:rsidRPr="00045E6C">
        <w:rPr>
          <w:rFonts w:asciiTheme="minorHAnsi" w:hAnsiTheme="minorHAnsi" w:cstheme="minorHAnsi"/>
        </w:rPr>
        <w:t xml:space="preserve">s ultimate submission is that an </w:t>
      </w:r>
      <w:r w:rsidR="00B7677A">
        <w:rPr>
          <w:rFonts w:asciiTheme="minorHAnsi" w:hAnsiTheme="minorHAnsi" w:cstheme="minorHAnsi"/>
        </w:rPr>
        <w:t xml:space="preserve">unbiased and </w:t>
      </w:r>
      <w:r w:rsidRPr="00045E6C">
        <w:rPr>
          <w:rFonts w:asciiTheme="minorHAnsi" w:hAnsiTheme="minorHAnsi" w:cstheme="minorHAnsi"/>
        </w:rPr>
        <w:t xml:space="preserve">objective investigating authority could not have found the existence of dumping, let alone </w:t>
      </w:r>
      <w:r w:rsidR="008A7358" w:rsidRPr="00045E6C">
        <w:rPr>
          <w:rFonts w:asciiTheme="minorHAnsi" w:hAnsiTheme="minorHAnsi" w:cstheme="minorHAnsi"/>
        </w:rPr>
        <w:t>this extraordinary</w:t>
      </w:r>
      <w:r w:rsidRPr="00045E6C">
        <w:rPr>
          <w:rFonts w:asciiTheme="minorHAnsi" w:hAnsiTheme="minorHAnsi" w:cstheme="minorHAnsi"/>
        </w:rPr>
        <w:t xml:space="preserve"> margin.</w:t>
      </w:r>
    </w:p>
    <w:p w14:paraId="10E9B378" w14:textId="06E1D023" w:rsidR="00993141" w:rsidRPr="00045E6C" w:rsidRDefault="00993141" w:rsidP="00993141">
      <w:pPr>
        <w:pStyle w:val="P1-N1Paragraph1-Number1"/>
        <w:rPr>
          <w:rFonts w:asciiTheme="minorHAnsi" w:hAnsiTheme="minorHAnsi" w:cstheme="minorHAnsi"/>
        </w:rPr>
      </w:pPr>
      <w:r w:rsidRPr="00045E6C">
        <w:rPr>
          <w:rFonts w:asciiTheme="minorHAnsi" w:hAnsiTheme="minorHAnsi" w:cstheme="minorHAnsi"/>
        </w:rPr>
        <w:t>China's anti</w:t>
      </w:r>
      <w:r w:rsidR="001C11A4" w:rsidRPr="00045E6C">
        <w:rPr>
          <w:rFonts w:asciiTheme="minorHAnsi" w:hAnsiTheme="minorHAnsi" w:cstheme="minorHAnsi"/>
        </w:rPr>
        <w:noBreakHyphen/>
      </w:r>
      <w:r w:rsidRPr="00045E6C">
        <w:rPr>
          <w:rFonts w:asciiTheme="minorHAnsi" w:hAnsiTheme="minorHAnsi" w:cstheme="minorHAnsi"/>
        </w:rPr>
        <w:t xml:space="preserve">dumping duties have significantly curtailed what was once a strong </w:t>
      </w:r>
      <w:r w:rsidR="008A7358" w:rsidRPr="00045E6C">
        <w:rPr>
          <w:rFonts w:asciiTheme="minorHAnsi" w:hAnsiTheme="minorHAnsi" w:cstheme="minorHAnsi"/>
        </w:rPr>
        <w:t xml:space="preserve">Australian </w:t>
      </w:r>
      <w:r w:rsidRPr="00045E6C">
        <w:rPr>
          <w:rFonts w:asciiTheme="minorHAnsi" w:hAnsiTheme="minorHAnsi" w:cstheme="minorHAnsi"/>
        </w:rPr>
        <w:t xml:space="preserve">wine export trade. </w:t>
      </w:r>
      <w:r w:rsidR="008A7358" w:rsidRPr="00045E6C">
        <w:rPr>
          <w:rFonts w:asciiTheme="minorHAnsi" w:hAnsiTheme="minorHAnsi" w:cstheme="minorHAnsi"/>
        </w:rPr>
        <w:t>This was a</w:t>
      </w:r>
      <w:r w:rsidR="001C11A4" w:rsidRPr="00045E6C">
        <w:rPr>
          <w:rFonts w:asciiTheme="minorHAnsi" w:hAnsiTheme="minorHAnsi" w:cstheme="minorHAnsi"/>
        </w:rPr>
        <w:t> </w:t>
      </w:r>
      <w:r w:rsidRPr="00045E6C">
        <w:rPr>
          <w:rFonts w:asciiTheme="minorHAnsi" w:hAnsiTheme="minorHAnsi" w:cstheme="minorHAnsi"/>
        </w:rPr>
        <w:t>trade that thrived after progressive liberalisation following the entry into force of the China</w:t>
      </w:r>
      <w:r w:rsidR="009E2D35" w:rsidRPr="00045E6C">
        <w:rPr>
          <w:rFonts w:asciiTheme="minorHAnsi" w:hAnsiTheme="minorHAnsi" w:cstheme="minorHAnsi"/>
        </w:rPr>
        <w:t>-</w:t>
      </w:r>
      <w:r w:rsidRPr="00045E6C">
        <w:rPr>
          <w:rFonts w:asciiTheme="minorHAnsi" w:hAnsiTheme="minorHAnsi" w:cstheme="minorHAnsi"/>
        </w:rPr>
        <w:t xml:space="preserve">Australia Free Trade Agreement. Chinese tariffs on Australian wine went from 14% in December 2015 to 0% in January 2019. This benefitted Australian industry and Chinese consumers alike. Despite this liberalisation, trade is now unjustifiably disrupted. </w:t>
      </w:r>
    </w:p>
    <w:p w14:paraId="12EAEC08" w14:textId="0595D54A" w:rsidR="00993141" w:rsidRPr="00045E6C" w:rsidRDefault="00993141" w:rsidP="00993141">
      <w:pPr>
        <w:pStyle w:val="P1-N1Paragraph1-Number1"/>
        <w:rPr>
          <w:rFonts w:asciiTheme="minorHAnsi" w:hAnsiTheme="minorHAnsi" w:cstheme="minorHAnsi"/>
        </w:rPr>
      </w:pPr>
      <w:r w:rsidRPr="00045E6C">
        <w:rPr>
          <w:rFonts w:asciiTheme="minorHAnsi" w:hAnsiTheme="minorHAnsi" w:cstheme="minorHAnsi"/>
        </w:rPr>
        <w:t xml:space="preserve">Australia takes its obligations </w:t>
      </w:r>
      <w:r w:rsidR="00846CCC">
        <w:rPr>
          <w:rFonts w:asciiTheme="minorHAnsi" w:hAnsiTheme="minorHAnsi" w:cstheme="minorHAnsi"/>
        </w:rPr>
        <w:t xml:space="preserve">at the WTO </w:t>
      </w:r>
      <w:r w:rsidRPr="00045E6C">
        <w:rPr>
          <w:rFonts w:asciiTheme="minorHAnsi" w:hAnsiTheme="minorHAnsi" w:cstheme="minorHAnsi"/>
        </w:rPr>
        <w:t>seriously, and expects other WTO</w:t>
      </w:r>
      <w:r w:rsidR="00407BF7" w:rsidRPr="00045E6C">
        <w:rPr>
          <w:rFonts w:asciiTheme="minorHAnsi" w:hAnsiTheme="minorHAnsi" w:cstheme="minorHAnsi"/>
        </w:rPr>
        <w:t xml:space="preserve"> </w:t>
      </w:r>
      <w:r w:rsidRPr="00045E6C">
        <w:rPr>
          <w:rFonts w:asciiTheme="minorHAnsi" w:hAnsiTheme="minorHAnsi" w:cstheme="minorHAnsi"/>
        </w:rPr>
        <w:t xml:space="preserve">Members to do the same. The WTO dispute settlement system </w:t>
      </w:r>
      <w:r w:rsidR="008C3BEE" w:rsidRPr="00045E6C">
        <w:rPr>
          <w:rFonts w:asciiTheme="minorHAnsi" w:hAnsiTheme="minorHAnsi" w:cstheme="minorHAnsi"/>
        </w:rPr>
        <w:t>plays a</w:t>
      </w:r>
      <w:r w:rsidRPr="00045E6C">
        <w:rPr>
          <w:rFonts w:asciiTheme="minorHAnsi" w:hAnsiTheme="minorHAnsi" w:cstheme="minorHAnsi"/>
        </w:rPr>
        <w:t xml:space="preserve"> critically important </w:t>
      </w:r>
      <w:r w:rsidR="008C3BEE" w:rsidRPr="00045E6C">
        <w:rPr>
          <w:rFonts w:asciiTheme="minorHAnsi" w:hAnsiTheme="minorHAnsi" w:cstheme="minorHAnsi"/>
        </w:rPr>
        <w:t xml:space="preserve">role, </w:t>
      </w:r>
      <w:r w:rsidRPr="00045E6C">
        <w:rPr>
          <w:rFonts w:asciiTheme="minorHAnsi" w:hAnsiTheme="minorHAnsi" w:cstheme="minorHAnsi"/>
        </w:rPr>
        <w:t>hold</w:t>
      </w:r>
      <w:r w:rsidR="008C3BEE" w:rsidRPr="00045E6C">
        <w:rPr>
          <w:rFonts w:asciiTheme="minorHAnsi" w:hAnsiTheme="minorHAnsi" w:cstheme="minorHAnsi"/>
        </w:rPr>
        <w:t>ing</w:t>
      </w:r>
      <w:r w:rsidRPr="00045E6C">
        <w:rPr>
          <w:rFonts w:asciiTheme="minorHAnsi" w:hAnsiTheme="minorHAnsi" w:cstheme="minorHAnsi"/>
        </w:rPr>
        <w:t xml:space="preserve"> Members to account in fulfilling the</w:t>
      </w:r>
      <w:r w:rsidR="008C3BEE" w:rsidRPr="00045E6C">
        <w:rPr>
          <w:rFonts w:asciiTheme="minorHAnsi" w:hAnsiTheme="minorHAnsi" w:cstheme="minorHAnsi"/>
        </w:rPr>
        <w:t>ir</w:t>
      </w:r>
      <w:r w:rsidRPr="00045E6C">
        <w:rPr>
          <w:rFonts w:asciiTheme="minorHAnsi" w:hAnsiTheme="minorHAnsi" w:cstheme="minorHAnsi"/>
        </w:rPr>
        <w:t xml:space="preserve"> obligations. Moreover, WTO dispute settlement provides the certainty and stability that underpin the global trading system. </w:t>
      </w:r>
      <w:r w:rsidR="00C15691" w:rsidRPr="00045E6C">
        <w:rPr>
          <w:rFonts w:asciiTheme="minorHAnsi" w:hAnsiTheme="minorHAnsi" w:cstheme="minorHAnsi"/>
        </w:rPr>
        <w:t>In this statement</w:t>
      </w:r>
      <w:r w:rsidR="008C3BEE" w:rsidRPr="00045E6C">
        <w:rPr>
          <w:rFonts w:asciiTheme="minorHAnsi" w:hAnsiTheme="minorHAnsi" w:cstheme="minorHAnsi"/>
        </w:rPr>
        <w:t>,</w:t>
      </w:r>
      <w:r w:rsidR="00C15691" w:rsidRPr="00045E6C">
        <w:rPr>
          <w:rFonts w:asciiTheme="minorHAnsi" w:hAnsiTheme="minorHAnsi" w:cstheme="minorHAnsi"/>
        </w:rPr>
        <w:t xml:space="preserve"> </w:t>
      </w:r>
      <w:r w:rsidRPr="00045E6C">
        <w:rPr>
          <w:rFonts w:asciiTheme="minorHAnsi" w:hAnsiTheme="minorHAnsi" w:cstheme="minorHAnsi"/>
        </w:rPr>
        <w:t xml:space="preserve">Australia will demonstrate how China's conduct of the </w:t>
      </w:r>
      <w:r w:rsidR="009E2D35" w:rsidRPr="00045E6C">
        <w:rPr>
          <w:rFonts w:asciiTheme="minorHAnsi" w:hAnsiTheme="minorHAnsi" w:cstheme="minorHAnsi"/>
        </w:rPr>
        <w:t xml:space="preserve">underlying dumping </w:t>
      </w:r>
      <w:r w:rsidRPr="00045E6C">
        <w:rPr>
          <w:rFonts w:asciiTheme="minorHAnsi" w:hAnsiTheme="minorHAnsi" w:cstheme="minorHAnsi"/>
        </w:rPr>
        <w:t>investigation</w:t>
      </w:r>
      <w:r w:rsidR="009E2D35" w:rsidRPr="00045E6C">
        <w:rPr>
          <w:rFonts w:asciiTheme="minorHAnsi" w:hAnsiTheme="minorHAnsi" w:cstheme="minorHAnsi"/>
        </w:rPr>
        <w:t>,</w:t>
      </w:r>
      <w:r w:rsidRPr="00045E6C">
        <w:rPr>
          <w:rFonts w:asciiTheme="minorHAnsi" w:hAnsiTheme="minorHAnsi" w:cstheme="minorHAnsi"/>
        </w:rPr>
        <w:t xml:space="preserve"> </w:t>
      </w:r>
      <w:r w:rsidR="009E2D35" w:rsidRPr="00045E6C">
        <w:rPr>
          <w:rFonts w:asciiTheme="minorHAnsi" w:hAnsiTheme="minorHAnsi" w:cstheme="minorHAnsi"/>
        </w:rPr>
        <w:t xml:space="preserve">from initiation </w:t>
      </w:r>
      <w:r w:rsidR="002F3767">
        <w:rPr>
          <w:rFonts w:asciiTheme="minorHAnsi" w:hAnsiTheme="minorHAnsi" w:cstheme="minorHAnsi"/>
        </w:rPr>
        <w:t xml:space="preserve">through </w:t>
      </w:r>
      <w:r w:rsidR="009E2D35" w:rsidRPr="00045E6C">
        <w:rPr>
          <w:rFonts w:asciiTheme="minorHAnsi" w:hAnsiTheme="minorHAnsi" w:cstheme="minorHAnsi"/>
        </w:rPr>
        <w:t xml:space="preserve">to Final Determination, </w:t>
      </w:r>
      <w:r w:rsidRPr="00045E6C">
        <w:rPr>
          <w:rFonts w:asciiTheme="minorHAnsi" w:hAnsiTheme="minorHAnsi" w:cstheme="minorHAnsi"/>
        </w:rPr>
        <w:t>failed</w:t>
      </w:r>
      <w:r w:rsidR="009E2D35" w:rsidRPr="00045E6C">
        <w:rPr>
          <w:rFonts w:asciiTheme="minorHAnsi" w:hAnsiTheme="minorHAnsi" w:cstheme="minorHAnsi"/>
        </w:rPr>
        <w:t xml:space="preserve"> </w:t>
      </w:r>
      <w:r w:rsidRPr="00045E6C">
        <w:rPr>
          <w:rFonts w:asciiTheme="minorHAnsi" w:hAnsiTheme="minorHAnsi" w:cstheme="minorHAnsi"/>
        </w:rPr>
        <w:t xml:space="preserve">to comply with the requirements of the </w:t>
      </w:r>
      <w:r w:rsidR="002F3767">
        <w:rPr>
          <w:rFonts w:asciiTheme="minorHAnsi" w:hAnsiTheme="minorHAnsi" w:cstheme="minorHAnsi"/>
        </w:rPr>
        <w:t xml:space="preserve">WTO </w:t>
      </w:r>
      <w:r w:rsidRPr="00045E6C">
        <w:rPr>
          <w:rFonts w:asciiTheme="minorHAnsi" w:hAnsiTheme="minorHAnsi" w:cstheme="minorHAnsi"/>
        </w:rPr>
        <w:t>Anti-Dumping Agreement</w:t>
      </w:r>
      <w:r w:rsidR="008A7358" w:rsidRPr="00045E6C">
        <w:rPr>
          <w:rFonts w:asciiTheme="minorHAnsi" w:hAnsiTheme="minorHAnsi" w:cstheme="minorHAnsi"/>
        </w:rPr>
        <w:t>. U</w:t>
      </w:r>
      <w:r w:rsidRPr="00045E6C">
        <w:rPr>
          <w:rFonts w:asciiTheme="minorHAnsi" w:hAnsiTheme="minorHAnsi" w:cstheme="minorHAnsi"/>
        </w:rPr>
        <w:t xml:space="preserve">ltimately, </w:t>
      </w:r>
      <w:r w:rsidR="008A7358" w:rsidRPr="00045E6C">
        <w:rPr>
          <w:rFonts w:asciiTheme="minorHAnsi" w:hAnsiTheme="minorHAnsi" w:cstheme="minorHAnsi"/>
        </w:rPr>
        <w:t xml:space="preserve">it </w:t>
      </w:r>
      <w:r w:rsidRPr="00045E6C">
        <w:rPr>
          <w:rFonts w:asciiTheme="minorHAnsi" w:hAnsiTheme="minorHAnsi" w:cstheme="minorHAnsi"/>
        </w:rPr>
        <w:t xml:space="preserve">showed disregard for </w:t>
      </w:r>
      <w:r w:rsidR="008C3BEE" w:rsidRPr="00045E6C">
        <w:rPr>
          <w:rFonts w:asciiTheme="minorHAnsi" w:hAnsiTheme="minorHAnsi" w:cstheme="minorHAnsi"/>
        </w:rPr>
        <w:t>the</w:t>
      </w:r>
      <w:r w:rsidRPr="00045E6C">
        <w:rPr>
          <w:rFonts w:asciiTheme="minorHAnsi" w:hAnsiTheme="minorHAnsi" w:cstheme="minorHAnsi"/>
        </w:rPr>
        <w:t xml:space="preserve"> rules</w:t>
      </w:r>
      <w:r w:rsidR="009E2D35" w:rsidRPr="00045E6C">
        <w:rPr>
          <w:rFonts w:asciiTheme="minorHAnsi" w:hAnsiTheme="minorHAnsi" w:cstheme="minorHAnsi"/>
        </w:rPr>
        <w:t>-</w:t>
      </w:r>
      <w:r w:rsidRPr="00045E6C">
        <w:rPr>
          <w:rFonts w:asciiTheme="minorHAnsi" w:hAnsiTheme="minorHAnsi" w:cstheme="minorHAnsi"/>
        </w:rPr>
        <w:t xml:space="preserve">based trading system. Ensuring </w:t>
      </w:r>
      <w:r w:rsidR="00315DBE" w:rsidRPr="00045E6C">
        <w:rPr>
          <w:rFonts w:asciiTheme="minorHAnsi" w:hAnsiTheme="minorHAnsi" w:cstheme="minorHAnsi"/>
        </w:rPr>
        <w:t xml:space="preserve">unbiased and </w:t>
      </w:r>
      <w:r w:rsidRPr="00045E6C">
        <w:rPr>
          <w:rFonts w:asciiTheme="minorHAnsi" w:hAnsiTheme="minorHAnsi" w:cstheme="minorHAnsi"/>
        </w:rPr>
        <w:t>objective</w:t>
      </w:r>
      <w:r w:rsidR="00315DBE" w:rsidRPr="00045E6C">
        <w:rPr>
          <w:rFonts w:asciiTheme="minorHAnsi" w:hAnsiTheme="minorHAnsi" w:cstheme="minorHAnsi"/>
        </w:rPr>
        <w:t xml:space="preserve"> </w:t>
      </w:r>
      <w:r w:rsidRPr="00045E6C">
        <w:rPr>
          <w:rFonts w:asciiTheme="minorHAnsi" w:hAnsiTheme="minorHAnsi" w:cstheme="minorHAnsi"/>
        </w:rPr>
        <w:t>decision</w:t>
      </w:r>
      <w:r w:rsidR="008C3BEE" w:rsidRPr="00045E6C">
        <w:rPr>
          <w:rFonts w:asciiTheme="minorHAnsi" w:hAnsiTheme="minorHAnsi" w:cstheme="minorHAnsi"/>
        </w:rPr>
        <w:t>-</w:t>
      </w:r>
      <w:r w:rsidRPr="00045E6C">
        <w:rPr>
          <w:rFonts w:asciiTheme="minorHAnsi" w:hAnsiTheme="minorHAnsi" w:cstheme="minorHAnsi"/>
        </w:rPr>
        <w:t xml:space="preserve">making based on facts is a key tenet of </w:t>
      </w:r>
      <w:r w:rsidR="00377C99" w:rsidRPr="00045E6C">
        <w:rPr>
          <w:rFonts w:asciiTheme="minorHAnsi" w:hAnsiTheme="minorHAnsi" w:cstheme="minorHAnsi"/>
        </w:rPr>
        <w:t>that system</w:t>
      </w:r>
      <w:r w:rsidRPr="00045E6C">
        <w:rPr>
          <w:rFonts w:asciiTheme="minorHAnsi" w:hAnsiTheme="minorHAnsi" w:cstheme="minorHAnsi"/>
        </w:rPr>
        <w:t>. MOFCOM's actions were neither objective, nor based on facts.</w:t>
      </w:r>
    </w:p>
    <w:p w14:paraId="288B7FF7" w14:textId="154451E1" w:rsidR="007769ED" w:rsidRPr="00045E6C" w:rsidRDefault="007769ED" w:rsidP="007769ED">
      <w:pPr>
        <w:pStyle w:val="P1-N1Paragraph1-Number1"/>
        <w:rPr>
          <w:rFonts w:asciiTheme="minorHAnsi" w:hAnsiTheme="minorHAnsi" w:cstheme="minorHAnsi"/>
        </w:rPr>
      </w:pPr>
      <w:r w:rsidRPr="00045E6C">
        <w:rPr>
          <w:rFonts w:asciiTheme="minorHAnsi" w:hAnsiTheme="minorHAnsi" w:cstheme="minorHAnsi"/>
        </w:rPr>
        <w:t xml:space="preserve">Australia </w:t>
      </w:r>
      <w:r w:rsidR="00135215" w:rsidRPr="00045E6C">
        <w:rPr>
          <w:rFonts w:asciiTheme="minorHAnsi" w:hAnsiTheme="minorHAnsi" w:cstheme="minorHAnsi"/>
        </w:rPr>
        <w:t>has</w:t>
      </w:r>
      <w:r w:rsidRPr="00045E6C">
        <w:rPr>
          <w:rFonts w:asciiTheme="minorHAnsi" w:hAnsiTheme="minorHAnsi" w:cstheme="minorHAnsi"/>
        </w:rPr>
        <w:t xml:space="preserve"> set out </w:t>
      </w:r>
      <w:r w:rsidR="00135215" w:rsidRPr="00045E6C">
        <w:rPr>
          <w:rFonts w:asciiTheme="minorHAnsi" w:hAnsiTheme="minorHAnsi" w:cstheme="minorHAnsi"/>
        </w:rPr>
        <w:t>its</w:t>
      </w:r>
      <w:r w:rsidRPr="00045E6C">
        <w:rPr>
          <w:rFonts w:asciiTheme="minorHAnsi" w:hAnsiTheme="minorHAnsi" w:cstheme="minorHAnsi"/>
        </w:rPr>
        <w:t xml:space="preserve"> claims in detail in </w:t>
      </w:r>
      <w:r w:rsidR="00C75D14">
        <w:rPr>
          <w:rFonts w:asciiTheme="minorHAnsi" w:hAnsiTheme="minorHAnsi" w:cstheme="minorHAnsi"/>
        </w:rPr>
        <w:t>our</w:t>
      </w:r>
      <w:r w:rsidR="00C75D14" w:rsidRPr="00045E6C">
        <w:rPr>
          <w:rFonts w:asciiTheme="minorHAnsi" w:hAnsiTheme="minorHAnsi" w:cstheme="minorHAnsi"/>
        </w:rPr>
        <w:t xml:space="preserve"> </w:t>
      </w:r>
      <w:r w:rsidRPr="00045E6C">
        <w:rPr>
          <w:rFonts w:asciiTheme="minorHAnsi" w:hAnsiTheme="minorHAnsi" w:cstheme="minorHAnsi"/>
        </w:rPr>
        <w:t>first written submission</w:t>
      </w:r>
      <w:r w:rsidR="009B643B" w:rsidRPr="00045E6C">
        <w:rPr>
          <w:rFonts w:asciiTheme="minorHAnsi" w:hAnsiTheme="minorHAnsi" w:cstheme="minorHAnsi"/>
        </w:rPr>
        <w:t>,</w:t>
      </w:r>
      <w:r w:rsidRPr="00045E6C">
        <w:rPr>
          <w:rFonts w:asciiTheme="minorHAnsi" w:hAnsiTheme="minorHAnsi" w:cstheme="minorHAnsi"/>
        </w:rPr>
        <w:t xml:space="preserve"> and will not repeat all of them here today</w:t>
      </w:r>
      <w:r w:rsidR="00C75D14">
        <w:rPr>
          <w:rFonts w:asciiTheme="minorHAnsi" w:hAnsiTheme="minorHAnsi" w:cstheme="minorHAnsi"/>
        </w:rPr>
        <w:t>, Chair</w:t>
      </w:r>
      <w:r w:rsidRPr="00045E6C">
        <w:rPr>
          <w:rFonts w:asciiTheme="minorHAnsi" w:hAnsiTheme="minorHAnsi" w:cstheme="minorHAnsi"/>
        </w:rPr>
        <w:t xml:space="preserve">. </w:t>
      </w:r>
      <w:r w:rsidR="008A7358" w:rsidRPr="00045E6C">
        <w:rPr>
          <w:rFonts w:asciiTheme="minorHAnsi" w:hAnsiTheme="minorHAnsi" w:cstheme="minorHAnsi"/>
        </w:rPr>
        <w:t xml:space="preserve">Nor will </w:t>
      </w:r>
      <w:r w:rsidR="00D433CA">
        <w:rPr>
          <w:rFonts w:asciiTheme="minorHAnsi" w:hAnsiTheme="minorHAnsi" w:cstheme="minorHAnsi"/>
        </w:rPr>
        <w:t>I</w:t>
      </w:r>
      <w:r w:rsidR="00FA1E9D" w:rsidRPr="00045E6C">
        <w:rPr>
          <w:rFonts w:asciiTheme="minorHAnsi" w:hAnsiTheme="minorHAnsi" w:cstheme="minorHAnsi"/>
        </w:rPr>
        <w:t xml:space="preserve"> present</w:t>
      </w:r>
      <w:r w:rsidRPr="00045E6C">
        <w:rPr>
          <w:rFonts w:asciiTheme="minorHAnsi" w:hAnsiTheme="minorHAnsi" w:cstheme="minorHAnsi"/>
        </w:rPr>
        <w:t xml:space="preserve"> an issue-by-issue rebuttal of China's</w:t>
      </w:r>
      <w:r w:rsidR="00803218" w:rsidRPr="00045E6C">
        <w:rPr>
          <w:rFonts w:asciiTheme="minorHAnsi" w:hAnsiTheme="minorHAnsi" w:cstheme="minorHAnsi"/>
        </w:rPr>
        <w:t xml:space="preserve"> </w:t>
      </w:r>
      <w:r w:rsidR="00803218" w:rsidRPr="00045E6C">
        <w:rPr>
          <w:rFonts w:asciiTheme="minorHAnsi" w:hAnsiTheme="minorHAnsi" w:cstheme="minorHAnsi"/>
        </w:rPr>
        <w:lastRenderedPageBreak/>
        <w:t>lengthy</w:t>
      </w:r>
      <w:r w:rsidRPr="00045E6C">
        <w:rPr>
          <w:rFonts w:asciiTheme="minorHAnsi" w:hAnsiTheme="minorHAnsi" w:cstheme="minorHAnsi"/>
        </w:rPr>
        <w:t xml:space="preserve"> first written submission</w:t>
      </w:r>
      <w:r w:rsidR="00FA1E9D" w:rsidRPr="00045E6C">
        <w:rPr>
          <w:rFonts w:asciiTheme="minorHAnsi" w:hAnsiTheme="minorHAnsi" w:cstheme="minorHAnsi"/>
        </w:rPr>
        <w:t xml:space="preserve"> in this oral statement</w:t>
      </w:r>
      <w:r w:rsidRPr="00045E6C">
        <w:rPr>
          <w:rFonts w:asciiTheme="minorHAnsi" w:hAnsiTheme="minorHAnsi" w:cstheme="minorHAnsi"/>
        </w:rPr>
        <w:t>. Rather,</w:t>
      </w:r>
      <w:r w:rsidR="00FA1E9D" w:rsidRPr="00045E6C">
        <w:rPr>
          <w:rFonts w:asciiTheme="minorHAnsi" w:hAnsiTheme="minorHAnsi" w:cstheme="minorHAnsi"/>
        </w:rPr>
        <w:t xml:space="preserve"> we will</w:t>
      </w:r>
      <w:r w:rsidRPr="00045E6C">
        <w:rPr>
          <w:rFonts w:asciiTheme="minorHAnsi" w:hAnsiTheme="minorHAnsi" w:cstheme="minorHAnsi"/>
        </w:rPr>
        <w:t xml:space="preserve"> use this opportunity to explain the key issues in </w:t>
      </w:r>
      <w:r w:rsidR="007756F4">
        <w:rPr>
          <w:rFonts w:asciiTheme="minorHAnsi" w:hAnsiTheme="minorHAnsi" w:cstheme="minorHAnsi"/>
        </w:rPr>
        <w:t>the</w:t>
      </w:r>
      <w:r w:rsidR="007756F4" w:rsidRPr="00045E6C">
        <w:rPr>
          <w:rFonts w:asciiTheme="minorHAnsi" w:hAnsiTheme="minorHAnsi" w:cstheme="minorHAnsi"/>
        </w:rPr>
        <w:t xml:space="preserve"> </w:t>
      </w:r>
      <w:r w:rsidRPr="00045E6C">
        <w:rPr>
          <w:rFonts w:asciiTheme="minorHAnsi" w:hAnsiTheme="minorHAnsi" w:cstheme="minorHAnsi"/>
        </w:rPr>
        <w:t>dispute</w:t>
      </w:r>
      <w:r w:rsidR="00FA1E9D" w:rsidRPr="00045E6C">
        <w:rPr>
          <w:rFonts w:asciiTheme="minorHAnsi" w:hAnsiTheme="minorHAnsi" w:cstheme="minorHAnsi"/>
        </w:rPr>
        <w:t>.</w:t>
      </w:r>
      <w:r w:rsidRPr="00045E6C">
        <w:rPr>
          <w:rFonts w:asciiTheme="minorHAnsi" w:hAnsiTheme="minorHAnsi" w:cstheme="minorHAnsi"/>
        </w:rPr>
        <w:t xml:space="preserve"> </w:t>
      </w:r>
    </w:p>
    <w:p w14:paraId="4CF75B05" w14:textId="5AADBF36" w:rsidR="00DF4FF8" w:rsidRPr="00045E6C" w:rsidRDefault="007769ED" w:rsidP="00A8208D">
      <w:pPr>
        <w:pStyle w:val="P1-N1Paragraph1-Number1"/>
        <w:rPr>
          <w:rFonts w:asciiTheme="minorHAnsi" w:hAnsiTheme="minorHAnsi" w:cstheme="minorHAnsi"/>
        </w:rPr>
      </w:pPr>
      <w:r w:rsidRPr="00045E6C">
        <w:rPr>
          <w:rFonts w:asciiTheme="minorHAnsi" w:hAnsiTheme="minorHAnsi" w:cstheme="minorHAnsi"/>
        </w:rPr>
        <w:t xml:space="preserve">I will begin by </w:t>
      </w:r>
      <w:r w:rsidR="00FA1E9D" w:rsidRPr="00045E6C">
        <w:rPr>
          <w:rFonts w:asciiTheme="minorHAnsi" w:hAnsiTheme="minorHAnsi" w:cstheme="minorHAnsi"/>
        </w:rPr>
        <w:t xml:space="preserve">making some brief observations about </w:t>
      </w:r>
      <w:r w:rsidRPr="00045E6C">
        <w:rPr>
          <w:rFonts w:asciiTheme="minorHAnsi" w:hAnsiTheme="minorHAnsi" w:cstheme="minorHAnsi"/>
        </w:rPr>
        <w:t xml:space="preserve">the </w:t>
      </w:r>
      <w:r w:rsidR="00FA1E9D" w:rsidRPr="00045E6C">
        <w:rPr>
          <w:rFonts w:asciiTheme="minorHAnsi" w:hAnsiTheme="minorHAnsi" w:cstheme="minorHAnsi"/>
        </w:rPr>
        <w:t xml:space="preserve">nature of the </w:t>
      </w:r>
      <w:r w:rsidRPr="00045E6C">
        <w:rPr>
          <w:rFonts w:asciiTheme="minorHAnsi" w:hAnsiTheme="minorHAnsi" w:cstheme="minorHAnsi"/>
        </w:rPr>
        <w:t>Australian wine industry</w:t>
      </w:r>
      <w:r w:rsidR="009B643B" w:rsidRPr="00045E6C">
        <w:rPr>
          <w:rFonts w:asciiTheme="minorHAnsi" w:hAnsiTheme="minorHAnsi" w:cstheme="minorHAnsi"/>
        </w:rPr>
        <w:t>.</w:t>
      </w:r>
      <w:r w:rsidRPr="00045E6C">
        <w:rPr>
          <w:rFonts w:asciiTheme="minorHAnsi" w:hAnsiTheme="minorHAnsi" w:cstheme="minorHAnsi"/>
        </w:rPr>
        <w:t xml:space="preserve"> </w:t>
      </w:r>
      <w:r w:rsidR="009B643B" w:rsidRPr="00045E6C">
        <w:rPr>
          <w:rFonts w:asciiTheme="minorHAnsi" w:hAnsiTheme="minorHAnsi" w:cstheme="minorHAnsi"/>
        </w:rPr>
        <w:t>These observations</w:t>
      </w:r>
      <w:r w:rsidR="00FA1E9D" w:rsidRPr="00045E6C">
        <w:rPr>
          <w:rFonts w:asciiTheme="minorHAnsi" w:hAnsiTheme="minorHAnsi" w:cstheme="minorHAnsi"/>
        </w:rPr>
        <w:t xml:space="preserve"> </w:t>
      </w:r>
      <w:r w:rsidR="00EA315E" w:rsidRPr="00045E6C">
        <w:rPr>
          <w:rFonts w:asciiTheme="minorHAnsi" w:hAnsiTheme="minorHAnsi" w:cstheme="minorHAnsi"/>
        </w:rPr>
        <w:t>provide</w:t>
      </w:r>
      <w:r w:rsidRPr="00045E6C">
        <w:rPr>
          <w:rFonts w:asciiTheme="minorHAnsi" w:hAnsiTheme="minorHAnsi" w:cstheme="minorHAnsi"/>
        </w:rPr>
        <w:t xml:space="preserve"> </w:t>
      </w:r>
      <w:r w:rsidR="009B643B" w:rsidRPr="00045E6C">
        <w:rPr>
          <w:rFonts w:asciiTheme="minorHAnsi" w:hAnsiTheme="minorHAnsi" w:cstheme="minorHAnsi"/>
        </w:rPr>
        <w:t>essential</w:t>
      </w:r>
      <w:r w:rsidRPr="00045E6C">
        <w:rPr>
          <w:rFonts w:asciiTheme="minorHAnsi" w:hAnsiTheme="minorHAnsi" w:cstheme="minorHAnsi"/>
        </w:rPr>
        <w:t xml:space="preserve"> context for the Panel's consideration of the </w:t>
      </w:r>
      <w:r w:rsidR="00C21277" w:rsidRPr="00045E6C">
        <w:rPr>
          <w:rFonts w:asciiTheme="minorHAnsi" w:hAnsiTheme="minorHAnsi" w:cstheme="minorHAnsi"/>
        </w:rPr>
        <w:t xml:space="preserve">matters </w:t>
      </w:r>
      <w:r w:rsidRPr="00045E6C">
        <w:rPr>
          <w:rFonts w:asciiTheme="minorHAnsi" w:hAnsiTheme="minorHAnsi" w:cstheme="minorHAnsi"/>
        </w:rPr>
        <w:t>in dispute</w:t>
      </w:r>
      <w:r w:rsidR="00FA1E9D" w:rsidRPr="00045E6C">
        <w:rPr>
          <w:rFonts w:asciiTheme="minorHAnsi" w:hAnsiTheme="minorHAnsi" w:cstheme="minorHAnsi"/>
        </w:rPr>
        <w:t xml:space="preserve">. </w:t>
      </w:r>
      <w:r w:rsidR="009B643B" w:rsidRPr="00045E6C">
        <w:rPr>
          <w:rFonts w:asciiTheme="minorHAnsi" w:hAnsiTheme="minorHAnsi" w:cstheme="minorHAnsi"/>
        </w:rPr>
        <w:t xml:space="preserve">They </w:t>
      </w:r>
      <w:r w:rsidR="00FA1E9D" w:rsidRPr="00045E6C">
        <w:rPr>
          <w:rFonts w:asciiTheme="minorHAnsi" w:hAnsiTheme="minorHAnsi" w:cstheme="minorHAnsi"/>
        </w:rPr>
        <w:t xml:space="preserve">were before MOFCOM and </w:t>
      </w:r>
      <w:r w:rsidR="007756F4">
        <w:rPr>
          <w:rFonts w:asciiTheme="minorHAnsi" w:hAnsiTheme="minorHAnsi" w:cstheme="minorHAnsi"/>
        </w:rPr>
        <w:t xml:space="preserve">they </w:t>
      </w:r>
      <w:r w:rsidR="00FA1E9D" w:rsidRPr="00045E6C">
        <w:rPr>
          <w:rFonts w:asciiTheme="minorHAnsi" w:hAnsiTheme="minorHAnsi" w:cstheme="minorHAnsi"/>
        </w:rPr>
        <w:t>should have informed its investigation</w:t>
      </w:r>
      <w:r w:rsidRPr="00045E6C">
        <w:rPr>
          <w:rFonts w:asciiTheme="minorHAnsi" w:hAnsiTheme="minorHAnsi" w:cstheme="minorHAnsi"/>
        </w:rPr>
        <w:t>. Wine is</w:t>
      </w:r>
      <w:r w:rsidR="007756F4">
        <w:rPr>
          <w:rFonts w:asciiTheme="minorHAnsi" w:hAnsiTheme="minorHAnsi" w:cstheme="minorHAnsi"/>
        </w:rPr>
        <w:t xml:space="preserve"> of course</w:t>
      </w:r>
      <w:r w:rsidRPr="00045E6C">
        <w:rPr>
          <w:rFonts w:asciiTheme="minorHAnsi" w:hAnsiTheme="minorHAnsi" w:cstheme="minorHAnsi"/>
        </w:rPr>
        <w:t xml:space="preserve"> a highly differentiated consumer product that varies by, among other things, grape type and blend, viticulture, terroir, method of winemaking, and consumer perceptions and preferences. Price is linked to these characteristics, and</w:t>
      </w:r>
      <w:r w:rsidR="00FA1E9D" w:rsidRPr="00045E6C">
        <w:rPr>
          <w:rFonts w:asciiTheme="minorHAnsi" w:hAnsiTheme="minorHAnsi" w:cstheme="minorHAnsi"/>
        </w:rPr>
        <w:t xml:space="preserve"> accordingly price can be used </w:t>
      </w:r>
      <w:r w:rsidRPr="00045E6C">
        <w:rPr>
          <w:rFonts w:asciiTheme="minorHAnsi" w:hAnsiTheme="minorHAnsi" w:cstheme="minorHAnsi"/>
        </w:rPr>
        <w:t xml:space="preserve">as an indicator of product quality. In the Chinese market, Australian exporters focused on the higher end of the market. This was reflected in the </w:t>
      </w:r>
      <w:r w:rsidR="009B643B" w:rsidRPr="00045E6C">
        <w:rPr>
          <w:rFonts w:asciiTheme="minorHAnsi" w:hAnsiTheme="minorHAnsi" w:cstheme="minorHAnsi"/>
        </w:rPr>
        <w:t xml:space="preserve">fact that the </w:t>
      </w:r>
      <w:r w:rsidRPr="00045E6C">
        <w:rPr>
          <w:rFonts w:asciiTheme="minorHAnsi" w:hAnsiTheme="minorHAnsi" w:cstheme="minorHAnsi"/>
        </w:rPr>
        <w:t>average price of Australian</w:t>
      </w:r>
      <w:r w:rsidR="00046A6F" w:rsidRPr="00045E6C">
        <w:rPr>
          <w:rFonts w:asciiTheme="minorHAnsi" w:hAnsiTheme="minorHAnsi" w:cstheme="minorHAnsi"/>
        </w:rPr>
        <w:t xml:space="preserve"> </w:t>
      </w:r>
      <w:r w:rsidRPr="00045E6C">
        <w:rPr>
          <w:rFonts w:asciiTheme="minorHAnsi" w:hAnsiTheme="minorHAnsi" w:cstheme="minorHAnsi"/>
        </w:rPr>
        <w:t xml:space="preserve">wine in </w:t>
      </w:r>
      <w:r w:rsidR="00A4020D" w:rsidRPr="00045E6C">
        <w:rPr>
          <w:rFonts w:asciiTheme="minorHAnsi" w:hAnsiTheme="minorHAnsi" w:cstheme="minorHAnsi"/>
        </w:rPr>
        <w:t xml:space="preserve">the </w:t>
      </w:r>
      <w:r w:rsidRPr="00045E6C">
        <w:rPr>
          <w:rFonts w:asciiTheme="minorHAnsi" w:hAnsiTheme="minorHAnsi" w:cstheme="minorHAnsi"/>
        </w:rPr>
        <w:t>Chin</w:t>
      </w:r>
      <w:r w:rsidR="00A4020D" w:rsidRPr="00045E6C">
        <w:rPr>
          <w:rFonts w:asciiTheme="minorHAnsi" w:hAnsiTheme="minorHAnsi" w:cstheme="minorHAnsi"/>
        </w:rPr>
        <w:t>ese</w:t>
      </w:r>
      <w:r w:rsidRPr="00045E6C">
        <w:rPr>
          <w:rFonts w:asciiTheme="minorHAnsi" w:hAnsiTheme="minorHAnsi" w:cstheme="minorHAnsi"/>
        </w:rPr>
        <w:t xml:space="preserve"> </w:t>
      </w:r>
      <w:r w:rsidR="00A4020D" w:rsidRPr="00045E6C">
        <w:rPr>
          <w:rFonts w:asciiTheme="minorHAnsi" w:hAnsiTheme="minorHAnsi" w:cstheme="minorHAnsi"/>
        </w:rPr>
        <w:t xml:space="preserve">market </w:t>
      </w:r>
      <w:r w:rsidRPr="00045E6C">
        <w:rPr>
          <w:rFonts w:asciiTheme="minorHAnsi" w:hAnsiTheme="minorHAnsi" w:cstheme="minorHAnsi"/>
        </w:rPr>
        <w:t>exceed</w:t>
      </w:r>
      <w:r w:rsidR="00462AD1">
        <w:rPr>
          <w:rFonts w:asciiTheme="minorHAnsi" w:hAnsiTheme="minorHAnsi" w:cstheme="minorHAnsi"/>
        </w:rPr>
        <w:t>ed</w:t>
      </w:r>
      <w:r w:rsidRPr="00045E6C">
        <w:rPr>
          <w:rFonts w:asciiTheme="minorHAnsi" w:hAnsiTheme="minorHAnsi" w:cstheme="minorHAnsi"/>
        </w:rPr>
        <w:t xml:space="preserve"> both the average price of </w:t>
      </w:r>
      <w:r w:rsidR="00A4020D" w:rsidRPr="00045E6C">
        <w:rPr>
          <w:rFonts w:asciiTheme="minorHAnsi" w:hAnsiTheme="minorHAnsi" w:cstheme="minorHAnsi"/>
        </w:rPr>
        <w:t xml:space="preserve">like </w:t>
      </w:r>
      <w:r w:rsidRPr="00045E6C">
        <w:rPr>
          <w:rFonts w:asciiTheme="minorHAnsi" w:hAnsiTheme="minorHAnsi" w:cstheme="minorHAnsi"/>
        </w:rPr>
        <w:t xml:space="preserve">Chinese </w:t>
      </w:r>
      <w:r w:rsidR="00FA1E9D" w:rsidRPr="00045E6C">
        <w:rPr>
          <w:rFonts w:asciiTheme="minorHAnsi" w:hAnsiTheme="minorHAnsi" w:cstheme="minorHAnsi"/>
        </w:rPr>
        <w:t xml:space="preserve">domestically produced </w:t>
      </w:r>
      <w:r w:rsidRPr="00045E6C">
        <w:rPr>
          <w:rFonts w:asciiTheme="minorHAnsi" w:hAnsiTheme="minorHAnsi" w:cstheme="minorHAnsi"/>
        </w:rPr>
        <w:t xml:space="preserve">wines </w:t>
      </w:r>
      <w:r w:rsidRPr="00045E6C">
        <w:rPr>
          <w:rFonts w:asciiTheme="minorHAnsi" w:hAnsiTheme="minorHAnsi" w:cstheme="minorHAnsi"/>
          <w:i/>
        </w:rPr>
        <w:t>and</w:t>
      </w:r>
      <w:r w:rsidRPr="00045E6C">
        <w:rPr>
          <w:rFonts w:asciiTheme="minorHAnsi" w:hAnsiTheme="minorHAnsi" w:cstheme="minorHAnsi"/>
        </w:rPr>
        <w:t xml:space="preserve"> the average price of all other imported wines over the injury analysis period.</w:t>
      </w:r>
      <w:r w:rsidR="00A8208D" w:rsidRPr="00045E6C">
        <w:rPr>
          <w:rFonts w:asciiTheme="minorHAnsi" w:hAnsiTheme="minorHAnsi" w:cstheme="minorHAnsi"/>
        </w:rPr>
        <w:t xml:space="preserve"> </w:t>
      </w:r>
    </w:p>
    <w:p w14:paraId="1F73338F" w14:textId="571C1C20" w:rsidR="00A8208D" w:rsidRPr="00045E6C" w:rsidRDefault="007769ED" w:rsidP="00A8208D">
      <w:pPr>
        <w:pStyle w:val="P1-N1Paragraph1-Number1"/>
        <w:rPr>
          <w:rFonts w:asciiTheme="minorHAnsi" w:hAnsiTheme="minorHAnsi" w:cstheme="minorHAnsi"/>
        </w:rPr>
      </w:pPr>
      <w:r w:rsidRPr="00045E6C">
        <w:rPr>
          <w:rFonts w:asciiTheme="minorHAnsi" w:hAnsiTheme="minorHAnsi" w:cstheme="minorHAnsi"/>
        </w:rPr>
        <w:t>By contrast, the Chinese wine industry is</w:t>
      </w:r>
      <w:r w:rsidR="00FA1E9D" w:rsidRPr="00045E6C">
        <w:rPr>
          <w:rFonts w:asciiTheme="minorHAnsi" w:hAnsiTheme="minorHAnsi" w:cstheme="minorHAnsi"/>
        </w:rPr>
        <w:t xml:space="preserve"> </w:t>
      </w:r>
      <w:r w:rsidR="00C35887" w:rsidRPr="00045E6C">
        <w:rPr>
          <w:rFonts w:asciiTheme="minorHAnsi" w:hAnsiTheme="minorHAnsi" w:cstheme="minorHAnsi"/>
        </w:rPr>
        <w:t>generally</w:t>
      </w:r>
      <w:r w:rsidRPr="00045E6C">
        <w:rPr>
          <w:rFonts w:asciiTheme="minorHAnsi" w:hAnsiTheme="minorHAnsi" w:cstheme="minorHAnsi"/>
        </w:rPr>
        <w:t xml:space="preserve"> focused on the lower end of the market. Chinese producers do not produce meaningful quantities of high-quality wines that compete with </w:t>
      </w:r>
      <w:r w:rsidR="00A4020D" w:rsidRPr="00045E6C">
        <w:rPr>
          <w:rFonts w:asciiTheme="minorHAnsi" w:hAnsiTheme="minorHAnsi" w:cstheme="minorHAnsi"/>
        </w:rPr>
        <w:t xml:space="preserve">the </w:t>
      </w:r>
      <w:r w:rsidRPr="00045E6C">
        <w:rPr>
          <w:rFonts w:asciiTheme="minorHAnsi" w:hAnsiTheme="minorHAnsi" w:cstheme="minorHAnsi"/>
        </w:rPr>
        <w:t xml:space="preserve">high-quality wines </w:t>
      </w:r>
      <w:r w:rsidR="00A4020D" w:rsidRPr="00045E6C">
        <w:rPr>
          <w:rFonts w:asciiTheme="minorHAnsi" w:hAnsiTheme="minorHAnsi" w:cstheme="minorHAnsi"/>
        </w:rPr>
        <w:t xml:space="preserve">imported </w:t>
      </w:r>
      <w:r w:rsidRPr="00045E6C">
        <w:rPr>
          <w:rFonts w:asciiTheme="minorHAnsi" w:hAnsiTheme="minorHAnsi" w:cstheme="minorHAnsi"/>
        </w:rPr>
        <w:t>from</w:t>
      </w:r>
      <w:r w:rsidR="00FA1E9D" w:rsidRPr="00045E6C">
        <w:rPr>
          <w:rFonts w:asciiTheme="minorHAnsi" w:hAnsiTheme="minorHAnsi" w:cstheme="minorHAnsi"/>
        </w:rPr>
        <w:t xml:space="preserve"> Australia or</w:t>
      </w:r>
      <w:r w:rsidRPr="00045E6C">
        <w:rPr>
          <w:rFonts w:asciiTheme="minorHAnsi" w:hAnsiTheme="minorHAnsi" w:cstheme="minorHAnsi"/>
        </w:rPr>
        <w:t xml:space="preserve"> other countries. </w:t>
      </w:r>
    </w:p>
    <w:p w14:paraId="71CE66F5" w14:textId="1776361C" w:rsidR="007769ED" w:rsidRPr="00045E6C" w:rsidRDefault="008753A0" w:rsidP="00A8208D">
      <w:pPr>
        <w:pStyle w:val="P1-N1Paragraph1-Number1"/>
        <w:rPr>
          <w:rFonts w:asciiTheme="minorHAnsi" w:hAnsiTheme="minorHAnsi" w:cstheme="minorHAnsi"/>
        </w:rPr>
      </w:pPr>
      <w:r w:rsidRPr="00045E6C">
        <w:rPr>
          <w:rFonts w:asciiTheme="minorHAnsi" w:hAnsiTheme="minorHAnsi" w:cstheme="minorHAnsi"/>
        </w:rPr>
        <w:t>These differences in product mix</w:t>
      </w:r>
      <w:r w:rsidR="00DA3B90">
        <w:rPr>
          <w:rFonts w:asciiTheme="minorHAnsi" w:hAnsiTheme="minorHAnsi" w:cstheme="minorHAnsi"/>
        </w:rPr>
        <w:t xml:space="preserve"> ought to have been</w:t>
      </w:r>
      <w:r w:rsidRPr="00045E6C">
        <w:rPr>
          <w:rFonts w:asciiTheme="minorHAnsi" w:hAnsiTheme="minorHAnsi" w:cstheme="minorHAnsi"/>
        </w:rPr>
        <w:t xml:space="preserve"> taken into account by </w:t>
      </w:r>
      <w:r w:rsidR="007769ED" w:rsidRPr="00045E6C">
        <w:rPr>
          <w:rFonts w:asciiTheme="minorHAnsi" w:hAnsiTheme="minorHAnsi" w:cstheme="minorHAnsi"/>
        </w:rPr>
        <w:t>MOFCOM</w:t>
      </w:r>
      <w:r w:rsidRPr="00045E6C">
        <w:rPr>
          <w:rFonts w:asciiTheme="minorHAnsi" w:hAnsiTheme="minorHAnsi" w:cstheme="minorHAnsi"/>
        </w:rPr>
        <w:t>.</w:t>
      </w:r>
      <w:r w:rsidR="007769ED" w:rsidRPr="00045E6C">
        <w:rPr>
          <w:rFonts w:asciiTheme="minorHAnsi" w:hAnsiTheme="minorHAnsi" w:cstheme="minorHAnsi"/>
        </w:rPr>
        <w:t xml:space="preserve"> </w:t>
      </w:r>
    </w:p>
    <w:p w14:paraId="720A966F" w14:textId="4C377FB0" w:rsidR="003D2A09" w:rsidRPr="00045E6C" w:rsidRDefault="00DA3B90" w:rsidP="007769ED">
      <w:pPr>
        <w:pStyle w:val="P1-N1Paragraph1-Number1"/>
        <w:rPr>
          <w:rFonts w:asciiTheme="minorHAnsi" w:hAnsiTheme="minorHAnsi" w:cstheme="minorHAnsi"/>
        </w:rPr>
      </w:pPr>
      <w:r>
        <w:rPr>
          <w:rFonts w:asciiTheme="minorHAnsi" w:hAnsiTheme="minorHAnsi" w:cstheme="minorHAnsi"/>
        </w:rPr>
        <w:t>Now, t</w:t>
      </w:r>
      <w:r w:rsidR="00B562F9" w:rsidRPr="00045E6C">
        <w:rPr>
          <w:rFonts w:asciiTheme="minorHAnsi" w:hAnsiTheme="minorHAnsi" w:cstheme="minorHAnsi"/>
        </w:rPr>
        <w:t xml:space="preserve">he balance of </w:t>
      </w:r>
      <w:r w:rsidR="009123FF" w:rsidRPr="00045E6C">
        <w:rPr>
          <w:rFonts w:asciiTheme="minorHAnsi" w:hAnsiTheme="minorHAnsi" w:cstheme="minorHAnsi"/>
        </w:rPr>
        <w:t>th</w:t>
      </w:r>
      <w:r w:rsidR="004B29E5" w:rsidRPr="00045E6C">
        <w:rPr>
          <w:rFonts w:asciiTheme="minorHAnsi" w:hAnsiTheme="minorHAnsi" w:cstheme="minorHAnsi"/>
        </w:rPr>
        <w:t xml:space="preserve">is meeting </w:t>
      </w:r>
      <w:r w:rsidR="00F1604A" w:rsidRPr="00045E6C">
        <w:rPr>
          <w:rFonts w:asciiTheme="minorHAnsi" w:hAnsiTheme="minorHAnsi" w:cstheme="minorHAnsi"/>
        </w:rPr>
        <w:t xml:space="preserve">will be on </w:t>
      </w:r>
      <w:r w:rsidR="004468EB" w:rsidRPr="00045E6C">
        <w:rPr>
          <w:rFonts w:asciiTheme="minorHAnsi" w:hAnsiTheme="minorHAnsi" w:cstheme="minorHAnsi"/>
        </w:rPr>
        <w:t>some of the key</w:t>
      </w:r>
      <w:r w:rsidR="00F1604A" w:rsidRPr="00045E6C">
        <w:rPr>
          <w:rFonts w:asciiTheme="minorHAnsi" w:hAnsiTheme="minorHAnsi" w:cstheme="minorHAnsi"/>
        </w:rPr>
        <w:t xml:space="preserve"> issues in dispute between the Parties. </w:t>
      </w:r>
      <w:r w:rsidR="009123FF" w:rsidRPr="00045E6C">
        <w:rPr>
          <w:rFonts w:asciiTheme="minorHAnsi" w:hAnsiTheme="minorHAnsi" w:cstheme="minorHAnsi"/>
        </w:rPr>
        <w:t xml:space="preserve">However, </w:t>
      </w:r>
      <w:r w:rsidR="0044246E" w:rsidRPr="00045E6C">
        <w:rPr>
          <w:rFonts w:asciiTheme="minorHAnsi" w:hAnsiTheme="minorHAnsi" w:cstheme="minorHAnsi"/>
        </w:rPr>
        <w:t>Australia</w:t>
      </w:r>
      <w:r w:rsidR="00AF5422" w:rsidRPr="00045E6C">
        <w:rPr>
          <w:rFonts w:asciiTheme="minorHAnsi" w:hAnsiTheme="minorHAnsi" w:cstheme="minorHAnsi"/>
        </w:rPr>
        <w:t xml:space="preserve">, as always, </w:t>
      </w:r>
      <w:r w:rsidR="0044246E" w:rsidRPr="00045E6C">
        <w:rPr>
          <w:rFonts w:asciiTheme="minorHAnsi" w:hAnsiTheme="minorHAnsi" w:cstheme="minorHAnsi"/>
        </w:rPr>
        <w:t>remains open to reaching a mutually agreed solution</w:t>
      </w:r>
      <w:r w:rsidR="003D2A09" w:rsidRPr="00045E6C">
        <w:rPr>
          <w:rFonts w:asciiTheme="minorHAnsi" w:hAnsiTheme="minorHAnsi" w:cstheme="minorHAnsi"/>
        </w:rPr>
        <w:t>.</w:t>
      </w:r>
    </w:p>
    <w:p w14:paraId="1CE63D61" w14:textId="3DFA1463" w:rsidR="00D5594B" w:rsidRPr="00045E6C" w:rsidRDefault="00D5594B" w:rsidP="007769ED">
      <w:pPr>
        <w:pStyle w:val="P1-N1Paragraph1-Number1"/>
        <w:rPr>
          <w:rFonts w:asciiTheme="minorHAnsi" w:hAnsiTheme="minorHAnsi" w:cstheme="minorHAnsi"/>
        </w:rPr>
      </w:pPr>
      <w:r w:rsidRPr="00045E6C">
        <w:rPr>
          <w:rFonts w:asciiTheme="minorHAnsi" w:hAnsiTheme="minorHAnsi" w:cstheme="minorHAnsi"/>
        </w:rPr>
        <w:t xml:space="preserve">Chair, Members of the Panel – </w:t>
      </w:r>
      <w:r w:rsidR="00DA3B90">
        <w:rPr>
          <w:rFonts w:asciiTheme="minorHAnsi" w:hAnsiTheme="minorHAnsi" w:cstheme="minorHAnsi"/>
        </w:rPr>
        <w:t xml:space="preserve">can I </w:t>
      </w:r>
      <w:r w:rsidRPr="00045E6C">
        <w:rPr>
          <w:rFonts w:asciiTheme="minorHAnsi" w:hAnsiTheme="minorHAnsi" w:cstheme="minorHAnsi"/>
        </w:rPr>
        <w:t xml:space="preserve">thank you for your attention. I </w:t>
      </w:r>
      <w:r w:rsidR="00DA3B90">
        <w:rPr>
          <w:rFonts w:asciiTheme="minorHAnsi" w:hAnsiTheme="minorHAnsi" w:cstheme="minorHAnsi"/>
        </w:rPr>
        <w:t>wish</w:t>
      </w:r>
      <w:r w:rsidR="00DA3B90" w:rsidRPr="00045E6C">
        <w:rPr>
          <w:rFonts w:asciiTheme="minorHAnsi" w:hAnsiTheme="minorHAnsi" w:cstheme="minorHAnsi"/>
        </w:rPr>
        <w:t xml:space="preserve"> </w:t>
      </w:r>
      <w:r w:rsidRPr="00045E6C">
        <w:rPr>
          <w:rFonts w:asciiTheme="minorHAnsi" w:hAnsiTheme="minorHAnsi" w:cstheme="minorHAnsi"/>
        </w:rPr>
        <w:t xml:space="preserve">now </w:t>
      </w:r>
      <w:r w:rsidR="00DA3B90">
        <w:rPr>
          <w:rFonts w:asciiTheme="minorHAnsi" w:hAnsiTheme="minorHAnsi" w:cstheme="minorHAnsi"/>
        </w:rPr>
        <w:t xml:space="preserve">to </w:t>
      </w:r>
      <w:r w:rsidRPr="00045E6C">
        <w:rPr>
          <w:rFonts w:asciiTheme="minorHAnsi" w:hAnsiTheme="minorHAnsi" w:cstheme="minorHAnsi"/>
        </w:rPr>
        <w:t xml:space="preserve">pass to Jonathan Kenna, Chief Trade Law Officer, </w:t>
      </w:r>
      <w:r w:rsidR="00DA3B90">
        <w:rPr>
          <w:rFonts w:asciiTheme="minorHAnsi" w:hAnsiTheme="minorHAnsi" w:cstheme="minorHAnsi"/>
        </w:rPr>
        <w:t xml:space="preserve">who will </w:t>
      </w:r>
      <w:r w:rsidRPr="00045E6C">
        <w:rPr>
          <w:rFonts w:asciiTheme="minorHAnsi" w:hAnsiTheme="minorHAnsi" w:cstheme="minorHAnsi"/>
        </w:rPr>
        <w:t xml:space="preserve">take you through some detailed observations </w:t>
      </w:r>
      <w:r w:rsidR="00A43211">
        <w:rPr>
          <w:rFonts w:asciiTheme="minorHAnsi" w:hAnsiTheme="minorHAnsi" w:cstheme="minorHAnsi"/>
        </w:rPr>
        <w:t>on</w:t>
      </w:r>
      <w:r w:rsidRPr="00045E6C">
        <w:rPr>
          <w:rFonts w:asciiTheme="minorHAnsi" w:hAnsiTheme="minorHAnsi" w:cstheme="minorHAnsi"/>
        </w:rPr>
        <w:t xml:space="preserve"> Australia's claims.</w:t>
      </w:r>
    </w:p>
    <w:p w14:paraId="1650ADAE" w14:textId="319BBDC1" w:rsidR="007769ED" w:rsidRPr="00042088" w:rsidRDefault="0066200E" w:rsidP="007769ED">
      <w:pPr>
        <w:pStyle w:val="P1-N1Paragraph1-Number1"/>
        <w:rPr>
          <w:rFonts w:asciiTheme="minorHAnsi" w:hAnsiTheme="minorHAnsi" w:cstheme="minorHAnsi"/>
        </w:rPr>
      </w:pPr>
      <w:r w:rsidRPr="00045E6C">
        <w:rPr>
          <w:rFonts w:asciiTheme="minorHAnsi" w:hAnsiTheme="minorHAnsi" w:cstheme="minorHAnsi"/>
        </w:rPr>
        <w:t>Thank you</w:t>
      </w:r>
      <w:r w:rsidR="00E469F7">
        <w:rPr>
          <w:rFonts w:asciiTheme="minorHAnsi" w:hAnsiTheme="minorHAnsi" w:cstheme="minorHAnsi"/>
        </w:rPr>
        <w:t>,</w:t>
      </w:r>
      <w:r w:rsidRPr="00042088">
        <w:rPr>
          <w:rFonts w:asciiTheme="minorHAnsi" w:hAnsiTheme="minorHAnsi" w:cstheme="minorHAnsi"/>
        </w:rPr>
        <w:t xml:space="preserve"> Ambassador Mina</w:t>
      </w:r>
      <w:r w:rsidR="00F96AB0">
        <w:rPr>
          <w:rFonts w:asciiTheme="minorHAnsi" w:hAnsiTheme="minorHAnsi" w:cstheme="minorHAnsi"/>
        </w:rPr>
        <w:t xml:space="preserve"> and </w:t>
      </w:r>
      <w:r w:rsidR="00A43211">
        <w:rPr>
          <w:rFonts w:asciiTheme="minorHAnsi" w:hAnsiTheme="minorHAnsi" w:cstheme="minorHAnsi"/>
        </w:rPr>
        <w:t>g</w:t>
      </w:r>
      <w:r w:rsidR="00F96AB0">
        <w:rPr>
          <w:rFonts w:asciiTheme="minorHAnsi" w:hAnsiTheme="minorHAnsi" w:cstheme="minorHAnsi"/>
        </w:rPr>
        <w:t>ood morning Chair and Panelists</w:t>
      </w:r>
      <w:r w:rsidRPr="00042088">
        <w:rPr>
          <w:rFonts w:asciiTheme="minorHAnsi" w:hAnsiTheme="minorHAnsi" w:cstheme="minorHAnsi"/>
        </w:rPr>
        <w:t xml:space="preserve">. </w:t>
      </w:r>
      <w:r w:rsidR="00747FED" w:rsidRPr="00042088">
        <w:rPr>
          <w:rFonts w:asciiTheme="minorHAnsi" w:hAnsiTheme="minorHAnsi" w:cstheme="minorHAnsi"/>
        </w:rPr>
        <w:t>I</w:t>
      </w:r>
      <w:r w:rsidR="007769ED" w:rsidRPr="00042088">
        <w:rPr>
          <w:rFonts w:asciiTheme="minorHAnsi" w:hAnsiTheme="minorHAnsi" w:cstheme="minorHAnsi"/>
        </w:rPr>
        <w:t xml:space="preserve"> </w:t>
      </w:r>
      <w:r w:rsidR="00AE41EF" w:rsidRPr="00042088">
        <w:rPr>
          <w:rFonts w:asciiTheme="minorHAnsi" w:hAnsiTheme="minorHAnsi" w:cstheme="minorHAnsi"/>
        </w:rPr>
        <w:t>will</w:t>
      </w:r>
      <w:r w:rsidRPr="00042088">
        <w:rPr>
          <w:rFonts w:asciiTheme="minorHAnsi" w:hAnsiTheme="minorHAnsi" w:cstheme="minorHAnsi"/>
        </w:rPr>
        <w:t xml:space="preserve"> start by</w:t>
      </w:r>
      <w:r w:rsidR="00AE41EF" w:rsidRPr="00042088">
        <w:rPr>
          <w:rFonts w:asciiTheme="minorHAnsi" w:hAnsiTheme="minorHAnsi" w:cstheme="minorHAnsi"/>
        </w:rPr>
        <w:t xml:space="preserve"> </w:t>
      </w:r>
      <w:r w:rsidR="008808B8" w:rsidRPr="00042088">
        <w:rPr>
          <w:rFonts w:asciiTheme="minorHAnsi" w:hAnsiTheme="minorHAnsi" w:cstheme="minorHAnsi"/>
        </w:rPr>
        <w:t>mak</w:t>
      </w:r>
      <w:r w:rsidRPr="00042088">
        <w:rPr>
          <w:rFonts w:asciiTheme="minorHAnsi" w:hAnsiTheme="minorHAnsi" w:cstheme="minorHAnsi"/>
        </w:rPr>
        <w:t>ing</w:t>
      </w:r>
      <w:r w:rsidR="00713F48" w:rsidRPr="00042088">
        <w:rPr>
          <w:rFonts w:asciiTheme="minorHAnsi" w:hAnsiTheme="minorHAnsi" w:cstheme="minorHAnsi"/>
        </w:rPr>
        <w:t xml:space="preserve"> </w:t>
      </w:r>
      <w:r w:rsidRPr="00042088">
        <w:rPr>
          <w:rFonts w:asciiTheme="minorHAnsi" w:hAnsiTheme="minorHAnsi" w:cstheme="minorHAnsi"/>
        </w:rPr>
        <w:t xml:space="preserve">some </w:t>
      </w:r>
      <w:r w:rsidR="007769ED" w:rsidRPr="00042088">
        <w:rPr>
          <w:rFonts w:asciiTheme="minorHAnsi" w:hAnsiTheme="minorHAnsi" w:cstheme="minorHAnsi"/>
        </w:rPr>
        <w:t xml:space="preserve">observations </w:t>
      </w:r>
      <w:r w:rsidR="005E1F8D" w:rsidRPr="00042088">
        <w:rPr>
          <w:rFonts w:asciiTheme="minorHAnsi" w:hAnsiTheme="minorHAnsi" w:cstheme="minorHAnsi"/>
        </w:rPr>
        <w:t xml:space="preserve">about the approach taken by </w:t>
      </w:r>
      <w:r w:rsidR="007769ED" w:rsidRPr="00042088">
        <w:rPr>
          <w:rFonts w:asciiTheme="minorHAnsi" w:hAnsiTheme="minorHAnsi" w:cstheme="minorHAnsi"/>
        </w:rPr>
        <w:t>China</w:t>
      </w:r>
      <w:r w:rsidR="005E1F8D" w:rsidRPr="00042088">
        <w:rPr>
          <w:rFonts w:asciiTheme="minorHAnsi" w:hAnsiTheme="minorHAnsi" w:cstheme="minorHAnsi"/>
        </w:rPr>
        <w:t xml:space="preserve"> in its</w:t>
      </w:r>
      <w:r w:rsidR="007769ED" w:rsidRPr="00042088">
        <w:rPr>
          <w:rFonts w:asciiTheme="minorHAnsi" w:hAnsiTheme="minorHAnsi" w:cstheme="minorHAnsi"/>
        </w:rPr>
        <w:t xml:space="preserve"> </w:t>
      </w:r>
      <w:r w:rsidR="00357186" w:rsidRPr="00042088">
        <w:rPr>
          <w:rFonts w:asciiTheme="minorHAnsi" w:hAnsiTheme="minorHAnsi" w:cstheme="minorHAnsi"/>
        </w:rPr>
        <w:t>first written s</w:t>
      </w:r>
      <w:r w:rsidR="007769ED" w:rsidRPr="00042088">
        <w:rPr>
          <w:rFonts w:asciiTheme="minorHAnsi" w:hAnsiTheme="minorHAnsi" w:cstheme="minorHAnsi"/>
        </w:rPr>
        <w:t>ubmission.</w:t>
      </w:r>
    </w:p>
    <w:p w14:paraId="266D2FBE" w14:textId="454D9441" w:rsidR="00D94BC2" w:rsidRDefault="007769ED" w:rsidP="00752932">
      <w:pPr>
        <w:pStyle w:val="P1-N1Paragraph1-Number1"/>
        <w:keepNext/>
        <w:rPr>
          <w:rFonts w:asciiTheme="minorHAnsi" w:hAnsiTheme="minorHAnsi" w:cstheme="minorHAnsi"/>
        </w:rPr>
      </w:pPr>
      <w:r w:rsidRPr="00042088">
        <w:rPr>
          <w:rFonts w:asciiTheme="minorHAnsi" w:hAnsiTheme="minorHAnsi" w:cstheme="minorHAnsi"/>
        </w:rPr>
        <w:t xml:space="preserve">First, China </w:t>
      </w:r>
      <w:r w:rsidR="002804A8" w:rsidRPr="00042088">
        <w:rPr>
          <w:rFonts w:asciiTheme="minorHAnsi" w:hAnsiTheme="minorHAnsi" w:cstheme="minorHAnsi"/>
        </w:rPr>
        <w:t>makes</w:t>
      </w:r>
      <w:r w:rsidRPr="00042088">
        <w:rPr>
          <w:rFonts w:asciiTheme="minorHAnsi" w:hAnsiTheme="minorHAnsi" w:cstheme="minorHAnsi"/>
        </w:rPr>
        <w:t xml:space="preserve"> </w:t>
      </w:r>
      <w:r w:rsidR="00CF6819" w:rsidRPr="00042088">
        <w:rPr>
          <w:rFonts w:asciiTheme="minorHAnsi" w:hAnsiTheme="minorHAnsi" w:cstheme="minorHAnsi"/>
        </w:rPr>
        <w:t>many</w:t>
      </w:r>
      <w:r w:rsidRPr="00042088">
        <w:rPr>
          <w:rFonts w:asciiTheme="minorHAnsi" w:hAnsiTheme="minorHAnsi" w:cstheme="minorHAnsi"/>
        </w:rPr>
        <w:t xml:space="preserve"> </w:t>
      </w:r>
      <w:r w:rsidR="004F3A0B" w:rsidRPr="00042088">
        <w:rPr>
          <w:rFonts w:asciiTheme="minorHAnsi" w:hAnsiTheme="minorHAnsi" w:cstheme="minorHAnsi"/>
        </w:rPr>
        <w:t>objections</w:t>
      </w:r>
      <w:r w:rsidRPr="00042088">
        <w:rPr>
          <w:rFonts w:asciiTheme="minorHAnsi" w:hAnsiTheme="minorHAnsi" w:cstheme="minorHAnsi"/>
        </w:rPr>
        <w:t xml:space="preserve"> </w:t>
      </w:r>
      <w:r w:rsidR="00D13F32" w:rsidRPr="00042088">
        <w:rPr>
          <w:rFonts w:asciiTheme="minorHAnsi" w:hAnsiTheme="minorHAnsi" w:cstheme="minorHAnsi"/>
        </w:rPr>
        <w:t xml:space="preserve">asserting </w:t>
      </w:r>
      <w:r w:rsidR="005E1F8D" w:rsidRPr="00042088">
        <w:rPr>
          <w:rFonts w:asciiTheme="minorHAnsi" w:hAnsiTheme="minorHAnsi" w:cstheme="minorHAnsi"/>
        </w:rPr>
        <w:t xml:space="preserve">jurisdictional limits </w:t>
      </w:r>
      <w:r w:rsidR="00D13F32" w:rsidRPr="00042088">
        <w:rPr>
          <w:rFonts w:asciiTheme="minorHAnsi" w:hAnsiTheme="minorHAnsi" w:cstheme="minorHAnsi"/>
        </w:rPr>
        <w:t xml:space="preserve">on </w:t>
      </w:r>
      <w:r w:rsidRPr="00042088">
        <w:rPr>
          <w:rFonts w:asciiTheme="minorHAnsi" w:hAnsiTheme="minorHAnsi" w:cstheme="minorHAnsi"/>
        </w:rPr>
        <w:t>the Panel</w:t>
      </w:r>
      <w:r w:rsidR="00042762" w:rsidRPr="00042088">
        <w:rPr>
          <w:rFonts w:asciiTheme="minorHAnsi" w:hAnsiTheme="minorHAnsi" w:cstheme="minorHAnsi"/>
        </w:rPr>
        <w:t>'</w:t>
      </w:r>
      <w:r w:rsidRPr="00042088">
        <w:rPr>
          <w:rFonts w:asciiTheme="minorHAnsi" w:hAnsiTheme="minorHAnsi" w:cstheme="minorHAnsi"/>
        </w:rPr>
        <w:t>s Terms of Reference</w:t>
      </w:r>
      <w:r w:rsidR="005E1F8D" w:rsidRPr="00042088">
        <w:rPr>
          <w:rFonts w:asciiTheme="minorHAnsi" w:hAnsiTheme="minorHAnsi" w:cstheme="minorHAnsi"/>
        </w:rPr>
        <w:t xml:space="preserve">. </w:t>
      </w:r>
      <w:r w:rsidR="004F3A0B" w:rsidRPr="00042088">
        <w:rPr>
          <w:rFonts w:asciiTheme="minorHAnsi" w:hAnsiTheme="minorHAnsi" w:cstheme="minorHAnsi"/>
        </w:rPr>
        <w:t>Each of these objections is</w:t>
      </w:r>
      <w:r w:rsidRPr="00042088">
        <w:rPr>
          <w:rFonts w:asciiTheme="minorHAnsi" w:hAnsiTheme="minorHAnsi" w:cstheme="minorHAnsi"/>
        </w:rPr>
        <w:t xml:space="preserve"> entirely </w:t>
      </w:r>
      <w:r w:rsidR="000517D2" w:rsidRPr="00042088">
        <w:rPr>
          <w:rFonts w:asciiTheme="minorHAnsi" w:hAnsiTheme="minorHAnsi" w:cstheme="minorHAnsi"/>
        </w:rPr>
        <w:t xml:space="preserve">without </w:t>
      </w:r>
      <w:r w:rsidRPr="00042088">
        <w:rPr>
          <w:rFonts w:asciiTheme="minorHAnsi" w:hAnsiTheme="minorHAnsi" w:cstheme="minorHAnsi"/>
        </w:rPr>
        <w:t>merit</w:t>
      </w:r>
      <w:r w:rsidR="00055DB0" w:rsidRPr="00042088">
        <w:rPr>
          <w:rFonts w:asciiTheme="minorHAnsi" w:hAnsiTheme="minorHAnsi" w:cstheme="minorHAnsi"/>
        </w:rPr>
        <w:t xml:space="preserve">. </w:t>
      </w:r>
      <w:r w:rsidR="005E1F8D" w:rsidRPr="00042088">
        <w:rPr>
          <w:rFonts w:asciiTheme="minorHAnsi" w:hAnsiTheme="minorHAnsi" w:cstheme="minorHAnsi"/>
        </w:rPr>
        <w:t xml:space="preserve">They appear to have been </w:t>
      </w:r>
      <w:r w:rsidR="005E1F8D" w:rsidRPr="00042088">
        <w:rPr>
          <w:rFonts w:asciiTheme="minorHAnsi" w:hAnsiTheme="minorHAnsi" w:cstheme="minorHAnsi"/>
        </w:rPr>
        <w:lastRenderedPageBreak/>
        <w:t xml:space="preserve">raised in an attempt by China </w:t>
      </w:r>
      <w:r w:rsidRPr="00042088">
        <w:rPr>
          <w:rFonts w:asciiTheme="minorHAnsi" w:hAnsiTheme="minorHAnsi" w:cstheme="minorHAnsi"/>
        </w:rPr>
        <w:t xml:space="preserve">to avoid responding to the substance of Australia's case. </w:t>
      </w:r>
      <w:r w:rsidR="004F2A3D">
        <w:rPr>
          <w:rFonts w:asciiTheme="minorHAnsi" w:hAnsiTheme="minorHAnsi" w:cstheme="minorHAnsi"/>
        </w:rPr>
        <w:t xml:space="preserve">Similar </w:t>
      </w:r>
      <w:r w:rsidR="005E1F8D" w:rsidRPr="00042088">
        <w:rPr>
          <w:rFonts w:asciiTheme="minorHAnsi" w:hAnsiTheme="minorHAnsi" w:cstheme="minorHAnsi"/>
        </w:rPr>
        <w:t>attempt</w:t>
      </w:r>
      <w:r w:rsidR="004F2A3D">
        <w:rPr>
          <w:rFonts w:asciiTheme="minorHAnsi" w:hAnsiTheme="minorHAnsi" w:cstheme="minorHAnsi"/>
        </w:rPr>
        <w:t>s</w:t>
      </w:r>
      <w:r w:rsidR="005E1F8D" w:rsidRPr="00042088">
        <w:rPr>
          <w:rFonts w:asciiTheme="minorHAnsi" w:hAnsiTheme="minorHAnsi" w:cstheme="minorHAnsi"/>
        </w:rPr>
        <w:t xml:space="preserve"> to avoid engaging with the merits of Australia</w:t>
      </w:r>
      <w:r w:rsidR="00203EEC" w:rsidRPr="00042088">
        <w:rPr>
          <w:rFonts w:asciiTheme="minorHAnsi" w:hAnsiTheme="minorHAnsi" w:cstheme="minorHAnsi"/>
        </w:rPr>
        <w:t>'</w:t>
      </w:r>
      <w:r w:rsidR="005E1F8D" w:rsidRPr="00042088">
        <w:rPr>
          <w:rFonts w:asciiTheme="minorHAnsi" w:hAnsiTheme="minorHAnsi" w:cstheme="minorHAnsi"/>
        </w:rPr>
        <w:t>s claims can be seen in</w:t>
      </w:r>
      <w:r w:rsidR="004F3A0B" w:rsidRPr="00042088">
        <w:rPr>
          <w:rFonts w:asciiTheme="minorHAnsi" w:hAnsiTheme="minorHAnsi" w:cstheme="minorHAnsi"/>
        </w:rPr>
        <w:t xml:space="preserve">: </w:t>
      </w:r>
    </w:p>
    <w:p w14:paraId="26132D99" w14:textId="6B9042AD" w:rsidR="00D94BC2" w:rsidRDefault="005E1F8D" w:rsidP="00D94BC2">
      <w:pPr>
        <w:pStyle w:val="P2-B1Paragraph2-Bullet1"/>
      </w:pPr>
      <w:r w:rsidRPr="00042088">
        <w:t>China</w:t>
      </w:r>
      <w:r w:rsidR="00203EEC" w:rsidRPr="00042088">
        <w:t>'</w:t>
      </w:r>
      <w:r w:rsidRPr="00042088">
        <w:t xml:space="preserve">s </w:t>
      </w:r>
      <w:r w:rsidR="007769ED" w:rsidRPr="00042088">
        <w:t xml:space="preserve">repeated </w:t>
      </w:r>
      <w:r w:rsidR="00D13F32" w:rsidRPr="00042088">
        <w:t>and</w:t>
      </w:r>
      <w:r w:rsidR="007769ED" w:rsidRPr="00042088">
        <w:t xml:space="preserve"> baseless assertions that Australia has not made out a </w:t>
      </w:r>
      <w:r w:rsidR="007769ED" w:rsidRPr="00042088">
        <w:rPr>
          <w:i/>
          <w:iCs/>
        </w:rPr>
        <w:t>prima facie</w:t>
      </w:r>
      <w:r w:rsidR="007769ED" w:rsidRPr="00042088">
        <w:t xml:space="preserve"> case on its individual claims</w:t>
      </w:r>
      <w:r w:rsidRPr="00042088">
        <w:t>;</w:t>
      </w:r>
    </w:p>
    <w:p w14:paraId="3A08BA20" w14:textId="7A7F66FC" w:rsidR="00D94BC2" w:rsidRDefault="007769ED" w:rsidP="00D94BC2">
      <w:pPr>
        <w:pStyle w:val="P2-B1Paragraph2-Bullet1"/>
      </w:pPr>
      <w:r w:rsidRPr="00042088">
        <w:t>its requests that the Panel examine MOFCOM</w:t>
      </w:r>
      <w:r w:rsidR="00203EEC" w:rsidRPr="00042088">
        <w:t>'</w:t>
      </w:r>
      <w:r w:rsidRPr="00042088">
        <w:t xml:space="preserve">s decisions </w:t>
      </w:r>
      <w:r w:rsidR="00671EFA" w:rsidRPr="00042088">
        <w:t>"</w:t>
      </w:r>
      <w:r w:rsidRPr="00042088">
        <w:t>holistically</w:t>
      </w:r>
      <w:r w:rsidR="00671EFA" w:rsidRPr="00042088">
        <w:t>"</w:t>
      </w:r>
      <w:r w:rsidRPr="00042088">
        <w:t xml:space="preserve"> rather than through scrutiny of the individual findings</w:t>
      </w:r>
      <w:r w:rsidR="00803218" w:rsidRPr="00042088">
        <w:t>;</w:t>
      </w:r>
      <w:r w:rsidRPr="00042088">
        <w:t xml:space="preserve"> </w:t>
      </w:r>
      <w:r w:rsidR="00D13F32" w:rsidRPr="00042088">
        <w:t>and</w:t>
      </w:r>
    </w:p>
    <w:p w14:paraId="0482DD8F" w14:textId="4B07EFFE" w:rsidR="007769ED" w:rsidRPr="00042088" w:rsidRDefault="00D13F32" w:rsidP="001405AC">
      <w:pPr>
        <w:pStyle w:val="P2-B1Paragraph2-Bullet1"/>
      </w:pPr>
      <w:r w:rsidRPr="00042088">
        <w:t>its</w:t>
      </w:r>
      <w:r w:rsidR="007769ED" w:rsidRPr="00042088">
        <w:t xml:space="preserve"> </w:t>
      </w:r>
      <w:r w:rsidR="005E1F8D" w:rsidRPr="00042088">
        <w:t xml:space="preserve">baseless </w:t>
      </w:r>
      <w:r w:rsidR="004F3A0B" w:rsidRPr="00042088">
        <w:t xml:space="preserve">and premature </w:t>
      </w:r>
      <w:r w:rsidR="007769ED" w:rsidRPr="00042088">
        <w:t>assertions that Australia has "abandoned" claims.</w:t>
      </w:r>
    </w:p>
    <w:p w14:paraId="571F9297" w14:textId="649563AE" w:rsidR="00D50EDF" w:rsidRPr="00042088" w:rsidRDefault="00D50EDF" w:rsidP="007521F7">
      <w:pPr>
        <w:pStyle w:val="P1-N1Paragraph1-Number1"/>
        <w:rPr>
          <w:rFonts w:asciiTheme="minorHAnsi" w:hAnsiTheme="minorHAnsi" w:cstheme="minorHAnsi"/>
        </w:rPr>
      </w:pPr>
      <w:r w:rsidRPr="00042088">
        <w:rPr>
          <w:rFonts w:asciiTheme="minorHAnsi" w:hAnsiTheme="minorHAnsi" w:cstheme="minorHAnsi"/>
        </w:rPr>
        <w:t xml:space="preserve">Second, there is a deep disconnect between </w:t>
      </w:r>
      <w:r w:rsidR="004F3A0B" w:rsidRPr="00042088">
        <w:rPr>
          <w:rFonts w:asciiTheme="minorHAnsi" w:hAnsiTheme="minorHAnsi" w:cstheme="minorHAnsi"/>
        </w:rPr>
        <w:t>the</w:t>
      </w:r>
      <w:r w:rsidR="00D13F32" w:rsidRPr="00042088">
        <w:rPr>
          <w:rFonts w:asciiTheme="minorHAnsi" w:hAnsiTheme="minorHAnsi" w:cstheme="minorHAnsi"/>
        </w:rPr>
        <w:t xml:space="preserve"> reasoning set out</w:t>
      </w:r>
      <w:r w:rsidRPr="00042088">
        <w:rPr>
          <w:rFonts w:asciiTheme="minorHAnsi" w:hAnsiTheme="minorHAnsi" w:cstheme="minorHAnsi"/>
        </w:rPr>
        <w:t xml:space="preserve"> in </w:t>
      </w:r>
      <w:r w:rsidR="004F3A0B" w:rsidRPr="00042088">
        <w:rPr>
          <w:rFonts w:asciiTheme="minorHAnsi" w:hAnsiTheme="minorHAnsi" w:cstheme="minorHAnsi"/>
        </w:rPr>
        <w:t>MOFCOM's</w:t>
      </w:r>
      <w:r w:rsidRPr="00042088">
        <w:rPr>
          <w:rFonts w:asciiTheme="minorHAnsi" w:hAnsiTheme="minorHAnsi" w:cstheme="minorHAnsi"/>
        </w:rPr>
        <w:t xml:space="preserve"> Final Determination and the</w:t>
      </w:r>
      <w:r w:rsidR="00D13F32" w:rsidRPr="00042088">
        <w:rPr>
          <w:rFonts w:asciiTheme="minorHAnsi" w:hAnsiTheme="minorHAnsi" w:cstheme="minorHAnsi"/>
        </w:rPr>
        <w:t xml:space="preserve"> </w:t>
      </w:r>
      <w:r w:rsidR="00D13F32" w:rsidRPr="00042088">
        <w:rPr>
          <w:rFonts w:asciiTheme="minorHAnsi" w:hAnsiTheme="minorHAnsi" w:cstheme="minorHAnsi"/>
          <w:i/>
          <w:iCs/>
        </w:rPr>
        <w:t>ex post facto</w:t>
      </w:r>
      <w:r w:rsidRPr="00042088">
        <w:rPr>
          <w:rFonts w:asciiTheme="minorHAnsi" w:hAnsiTheme="minorHAnsi" w:cstheme="minorHAnsi"/>
        </w:rPr>
        <w:t xml:space="preserve"> justifications</w:t>
      </w:r>
      <w:r w:rsidR="00D13F32" w:rsidRPr="00042088">
        <w:rPr>
          <w:rFonts w:asciiTheme="minorHAnsi" w:hAnsiTheme="minorHAnsi" w:cstheme="minorHAnsi"/>
        </w:rPr>
        <w:t xml:space="preserve"> </w:t>
      </w:r>
      <w:r w:rsidR="005E1F8D" w:rsidRPr="00042088">
        <w:rPr>
          <w:rFonts w:asciiTheme="minorHAnsi" w:hAnsiTheme="minorHAnsi" w:cstheme="minorHAnsi"/>
        </w:rPr>
        <w:t xml:space="preserve">that </w:t>
      </w:r>
      <w:r w:rsidR="00D13F32" w:rsidRPr="00042088">
        <w:rPr>
          <w:rFonts w:asciiTheme="minorHAnsi" w:hAnsiTheme="minorHAnsi" w:cstheme="minorHAnsi"/>
        </w:rPr>
        <w:t>China now offers to the Panel</w:t>
      </w:r>
      <w:r w:rsidRPr="00042088">
        <w:rPr>
          <w:rFonts w:asciiTheme="minorHAnsi" w:hAnsiTheme="minorHAnsi" w:cstheme="minorHAnsi"/>
        </w:rPr>
        <w:t>. China</w:t>
      </w:r>
      <w:r w:rsidR="00203EEC" w:rsidRPr="00042088">
        <w:rPr>
          <w:rFonts w:asciiTheme="minorHAnsi" w:hAnsiTheme="minorHAnsi" w:cstheme="minorHAnsi"/>
        </w:rPr>
        <w:t>'</w:t>
      </w:r>
      <w:r w:rsidRPr="00042088">
        <w:rPr>
          <w:rFonts w:asciiTheme="minorHAnsi" w:hAnsiTheme="minorHAnsi" w:cstheme="minorHAnsi"/>
        </w:rPr>
        <w:t xml:space="preserve">s </w:t>
      </w:r>
      <w:r w:rsidR="00D944DE" w:rsidRPr="00042088">
        <w:rPr>
          <w:rFonts w:asciiTheme="minorHAnsi" w:hAnsiTheme="minorHAnsi" w:cstheme="minorHAnsi"/>
        </w:rPr>
        <w:t xml:space="preserve">first written </w:t>
      </w:r>
      <w:r w:rsidRPr="00042088">
        <w:rPr>
          <w:rFonts w:asciiTheme="minorHAnsi" w:hAnsiTheme="minorHAnsi" w:cstheme="minorHAnsi"/>
        </w:rPr>
        <w:t xml:space="preserve">submission </w:t>
      </w:r>
      <w:r w:rsidR="00D944DE" w:rsidRPr="00042088">
        <w:rPr>
          <w:rFonts w:asciiTheme="minorHAnsi" w:hAnsiTheme="minorHAnsi" w:cstheme="minorHAnsi"/>
        </w:rPr>
        <w:t xml:space="preserve">is </w:t>
      </w:r>
      <w:r w:rsidRPr="00042088">
        <w:rPr>
          <w:rFonts w:asciiTheme="minorHAnsi" w:hAnsiTheme="minorHAnsi" w:cstheme="minorHAnsi"/>
        </w:rPr>
        <w:t>replete with explanations for MOFCOM</w:t>
      </w:r>
      <w:r w:rsidR="00203EEC" w:rsidRPr="00042088">
        <w:rPr>
          <w:rFonts w:asciiTheme="minorHAnsi" w:hAnsiTheme="minorHAnsi" w:cstheme="minorHAnsi"/>
        </w:rPr>
        <w:t>'</w:t>
      </w:r>
      <w:r w:rsidRPr="00042088">
        <w:rPr>
          <w:rFonts w:asciiTheme="minorHAnsi" w:hAnsiTheme="minorHAnsi" w:cstheme="minorHAnsi"/>
        </w:rPr>
        <w:t xml:space="preserve">s decision that have no basis in the record, and in many instances are at odds with it. </w:t>
      </w:r>
      <w:r w:rsidR="00D13F32" w:rsidRPr="00042088">
        <w:rPr>
          <w:rFonts w:asciiTheme="minorHAnsi" w:hAnsiTheme="minorHAnsi" w:cstheme="minorHAnsi"/>
        </w:rPr>
        <w:t>Indeed, in some instances</w:t>
      </w:r>
      <w:r w:rsidR="00380B5F" w:rsidRPr="00042088">
        <w:rPr>
          <w:rFonts w:asciiTheme="minorHAnsi" w:hAnsiTheme="minorHAnsi" w:cstheme="minorHAnsi"/>
        </w:rPr>
        <w:t>,</w:t>
      </w:r>
      <w:r w:rsidR="00D13F32" w:rsidRPr="00042088">
        <w:rPr>
          <w:rFonts w:asciiTheme="minorHAnsi" w:hAnsiTheme="minorHAnsi" w:cstheme="minorHAnsi"/>
        </w:rPr>
        <w:t xml:space="preserve"> </w:t>
      </w:r>
      <w:r w:rsidRPr="00042088">
        <w:rPr>
          <w:rFonts w:asciiTheme="minorHAnsi" w:hAnsiTheme="minorHAnsi" w:cstheme="minorHAnsi"/>
        </w:rPr>
        <w:t xml:space="preserve">China seeks to disavow express findings </w:t>
      </w:r>
      <w:r w:rsidR="00380B5F" w:rsidRPr="00042088">
        <w:rPr>
          <w:rFonts w:asciiTheme="minorHAnsi" w:hAnsiTheme="minorHAnsi" w:cstheme="minorHAnsi"/>
        </w:rPr>
        <w:t xml:space="preserve">that MOFCOM </w:t>
      </w:r>
      <w:r w:rsidRPr="00042088">
        <w:rPr>
          <w:rFonts w:asciiTheme="minorHAnsi" w:hAnsiTheme="minorHAnsi" w:cstheme="minorHAnsi"/>
        </w:rPr>
        <w:t xml:space="preserve">made, asserting that those findings were "moot" or "given little to no weight". </w:t>
      </w:r>
    </w:p>
    <w:p w14:paraId="73088D80" w14:textId="3392A68A" w:rsidR="00D50EDF" w:rsidRPr="00042088" w:rsidRDefault="00D50EDF" w:rsidP="007521F7">
      <w:pPr>
        <w:pStyle w:val="P1-N1Paragraph1-Number1"/>
        <w:rPr>
          <w:rFonts w:asciiTheme="minorHAnsi" w:hAnsiTheme="minorHAnsi" w:cstheme="minorHAnsi"/>
        </w:rPr>
      </w:pPr>
      <w:r w:rsidRPr="00042088">
        <w:rPr>
          <w:rFonts w:asciiTheme="minorHAnsi" w:hAnsiTheme="minorHAnsi" w:cstheme="minorHAnsi"/>
        </w:rPr>
        <w:t>Third, China</w:t>
      </w:r>
      <w:r w:rsidR="00203EEC" w:rsidRPr="00042088">
        <w:rPr>
          <w:rFonts w:asciiTheme="minorHAnsi" w:hAnsiTheme="minorHAnsi" w:cstheme="minorHAnsi"/>
        </w:rPr>
        <w:t>'</w:t>
      </w:r>
      <w:r w:rsidR="005E1F8D" w:rsidRPr="00042088">
        <w:rPr>
          <w:rFonts w:asciiTheme="minorHAnsi" w:hAnsiTheme="minorHAnsi" w:cstheme="minorHAnsi"/>
        </w:rPr>
        <w:t>s submission repeatedly misrepresents Australia</w:t>
      </w:r>
      <w:r w:rsidR="00203EEC" w:rsidRPr="00042088">
        <w:rPr>
          <w:rFonts w:asciiTheme="minorHAnsi" w:hAnsiTheme="minorHAnsi" w:cstheme="minorHAnsi"/>
        </w:rPr>
        <w:t>'</w:t>
      </w:r>
      <w:r w:rsidR="005E1F8D" w:rsidRPr="00042088">
        <w:rPr>
          <w:rFonts w:asciiTheme="minorHAnsi" w:hAnsiTheme="minorHAnsi" w:cstheme="minorHAnsi"/>
        </w:rPr>
        <w:t xml:space="preserve">s submissions: </w:t>
      </w:r>
      <w:r w:rsidR="00380B5F" w:rsidRPr="00042088">
        <w:rPr>
          <w:rFonts w:asciiTheme="minorHAnsi" w:hAnsiTheme="minorHAnsi" w:cstheme="minorHAnsi"/>
        </w:rPr>
        <w:t xml:space="preserve">either </w:t>
      </w:r>
      <w:r w:rsidR="005E1F8D" w:rsidRPr="00042088">
        <w:rPr>
          <w:rFonts w:asciiTheme="minorHAnsi" w:hAnsiTheme="minorHAnsi" w:cstheme="minorHAnsi"/>
        </w:rPr>
        <w:t>selectively quoting Australia</w:t>
      </w:r>
      <w:r w:rsidR="00203EEC" w:rsidRPr="00042088">
        <w:rPr>
          <w:rFonts w:asciiTheme="minorHAnsi" w:hAnsiTheme="minorHAnsi" w:cstheme="minorHAnsi"/>
        </w:rPr>
        <w:t>'</w:t>
      </w:r>
      <w:r w:rsidR="005E1F8D" w:rsidRPr="00042088">
        <w:rPr>
          <w:rFonts w:asciiTheme="minorHAnsi" w:hAnsiTheme="minorHAnsi" w:cstheme="minorHAnsi"/>
        </w:rPr>
        <w:t>s submissions in a misleading fashion, or attributing to Austral</w:t>
      </w:r>
      <w:r w:rsidR="00856448" w:rsidRPr="00042088">
        <w:rPr>
          <w:rFonts w:asciiTheme="minorHAnsi" w:hAnsiTheme="minorHAnsi" w:cstheme="minorHAnsi"/>
        </w:rPr>
        <w:t>i</w:t>
      </w:r>
      <w:r w:rsidR="005E1F8D" w:rsidRPr="00042088">
        <w:rPr>
          <w:rFonts w:asciiTheme="minorHAnsi" w:hAnsiTheme="minorHAnsi" w:cstheme="minorHAnsi"/>
        </w:rPr>
        <w:t xml:space="preserve">a arguments </w:t>
      </w:r>
      <w:r w:rsidR="00380B5F" w:rsidRPr="00042088">
        <w:rPr>
          <w:rFonts w:asciiTheme="minorHAnsi" w:hAnsiTheme="minorHAnsi" w:cstheme="minorHAnsi"/>
        </w:rPr>
        <w:t>that Australia</w:t>
      </w:r>
      <w:r w:rsidR="005E1F8D" w:rsidRPr="00042088">
        <w:rPr>
          <w:rFonts w:asciiTheme="minorHAnsi" w:hAnsiTheme="minorHAnsi" w:cstheme="minorHAnsi"/>
        </w:rPr>
        <w:t xml:space="preserve"> never made and </w:t>
      </w:r>
      <w:r w:rsidR="00380B5F" w:rsidRPr="00042088">
        <w:rPr>
          <w:rFonts w:asciiTheme="minorHAnsi" w:hAnsiTheme="minorHAnsi" w:cstheme="minorHAnsi"/>
        </w:rPr>
        <w:t xml:space="preserve">then vigorously </w:t>
      </w:r>
      <w:r w:rsidR="005E1F8D" w:rsidRPr="00042088">
        <w:rPr>
          <w:rFonts w:asciiTheme="minorHAnsi" w:hAnsiTheme="minorHAnsi" w:cstheme="minorHAnsi"/>
        </w:rPr>
        <w:t>rebutting those</w:t>
      </w:r>
      <w:r w:rsidR="00380B5F" w:rsidRPr="00042088">
        <w:rPr>
          <w:rFonts w:asciiTheme="minorHAnsi" w:hAnsiTheme="minorHAnsi" w:cstheme="minorHAnsi"/>
        </w:rPr>
        <w:t xml:space="preserve"> "straw" arguments</w:t>
      </w:r>
      <w:r w:rsidR="005E1F8D" w:rsidRPr="00042088">
        <w:rPr>
          <w:rFonts w:asciiTheme="minorHAnsi" w:hAnsiTheme="minorHAnsi" w:cstheme="minorHAnsi"/>
        </w:rPr>
        <w:t xml:space="preserve">. </w:t>
      </w:r>
      <w:r w:rsidR="00CD172F" w:rsidRPr="00042088">
        <w:rPr>
          <w:rFonts w:asciiTheme="minorHAnsi" w:hAnsiTheme="minorHAnsi" w:cstheme="minorHAnsi"/>
        </w:rPr>
        <w:t xml:space="preserve">As a </w:t>
      </w:r>
      <w:r w:rsidRPr="00042088">
        <w:rPr>
          <w:rFonts w:asciiTheme="minorHAnsi" w:hAnsiTheme="minorHAnsi" w:cstheme="minorHAnsi"/>
        </w:rPr>
        <w:t>consequence</w:t>
      </w:r>
      <w:r w:rsidR="00CD172F" w:rsidRPr="00042088">
        <w:rPr>
          <w:rFonts w:asciiTheme="minorHAnsi" w:hAnsiTheme="minorHAnsi" w:cstheme="minorHAnsi"/>
        </w:rPr>
        <w:t>,</w:t>
      </w:r>
      <w:r w:rsidRPr="00042088">
        <w:rPr>
          <w:rFonts w:asciiTheme="minorHAnsi" w:hAnsiTheme="minorHAnsi" w:cstheme="minorHAnsi"/>
        </w:rPr>
        <w:t xml:space="preserve"> China has offered </w:t>
      </w:r>
      <w:r w:rsidR="00380B5F" w:rsidRPr="00042088">
        <w:rPr>
          <w:rFonts w:asciiTheme="minorHAnsi" w:hAnsiTheme="minorHAnsi" w:cstheme="minorHAnsi"/>
        </w:rPr>
        <w:t xml:space="preserve">little or </w:t>
      </w:r>
      <w:r w:rsidRPr="00042088">
        <w:rPr>
          <w:rFonts w:asciiTheme="minorHAnsi" w:hAnsiTheme="minorHAnsi" w:cstheme="minorHAnsi"/>
        </w:rPr>
        <w:t xml:space="preserve">no response </w:t>
      </w:r>
      <w:r w:rsidR="00BA5ED9" w:rsidRPr="00042088">
        <w:rPr>
          <w:rFonts w:asciiTheme="minorHAnsi" w:hAnsiTheme="minorHAnsi" w:cstheme="minorHAnsi"/>
        </w:rPr>
        <w:t>to rebut</w:t>
      </w:r>
      <w:r w:rsidRPr="00042088">
        <w:rPr>
          <w:rFonts w:asciiTheme="minorHAnsi" w:hAnsiTheme="minorHAnsi" w:cstheme="minorHAnsi"/>
        </w:rPr>
        <w:t xml:space="preserve"> many of </w:t>
      </w:r>
      <w:r w:rsidR="005E1F8D" w:rsidRPr="00042088">
        <w:rPr>
          <w:rFonts w:asciiTheme="minorHAnsi" w:hAnsiTheme="minorHAnsi" w:cstheme="minorHAnsi"/>
        </w:rPr>
        <w:t xml:space="preserve">the arguments </w:t>
      </w:r>
      <w:r w:rsidR="00380B5F" w:rsidRPr="00042088">
        <w:rPr>
          <w:rFonts w:asciiTheme="minorHAnsi" w:hAnsiTheme="minorHAnsi" w:cstheme="minorHAnsi"/>
        </w:rPr>
        <w:t xml:space="preserve">that </w:t>
      </w:r>
      <w:r w:rsidR="00BA5ED9" w:rsidRPr="00042088">
        <w:rPr>
          <w:rFonts w:asciiTheme="minorHAnsi" w:hAnsiTheme="minorHAnsi" w:cstheme="minorHAnsi"/>
        </w:rPr>
        <w:t>Australia</w:t>
      </w:r>
      <w:r w:rsidR="005E1F8D" w:rsidRPr="00042088">
        <w:rPr>
          <w:rFonts w:asciiTheme="minorHAnsi" w:hAnsiTheme="minorHAnsi" w:cstheme="minorHAnsi"/>
        </w:rPr>
        <w:t xml:space="preserve"> </w:t>
      </w:r>
      <w:r w:rsidR="00380B5F" w:rsidRPr="00042088">
        <w:rPr>
          <w:rFonts w:asciiTheme="minorHAnsi" w:hAnsiTheme="minorHAnsi" w:cstheme="minorHAnsi"/>
        </w:rPr>
        <w:t xml:space="preserve">has </w:t>
      </w:r>
      <w:r w:rsidR="005E1F8D" w:rsidRPr="00042088">
        <w:rPr>
          <w:rFonts w:asciiTheme="minorHAnsi" w:hAnsiTheme="minorHAnsi" w:cstheme="minorHAnsi"/>
        </w:rPr>
        <w:t xml:space="preserve">made. </w:t>
      </w:r>
    </w:p>
    <w:p w14:paraId="4FB468B3" w14:textId="1448FCCF" w:rsidR="00D50EDF" w:rsidRPr="00042088" w:rsidRDefault="005E1F8D" w:rsidP="00D50EDF">
      <w:pPr>
        <w:pStyle w:val="P1-N1Paragraph1-Number1"/>
        <w:rPr>
          <w:rFonts w:asciiTheme="minorHAnsi" w:hAnsiTheme="minorHAnsi" w:cstheme="minorHAnsi"/>
        </w:rPr>
      </w:pPr>
      <w:r w:rsidRPr="00042088">
        <w:rPr>
          <w:rFonts w:asciiTheme="minorHAnsi" w:hAnsiTheme="minorHAnsi" w:cstheme="minorHAnsi"/>
        </w:rPr>
        <w:t xml:space="preserve">Australia encourages the Panel to </w:t>
      </w:r>
      <w:r w:rsidR="00D50EDF" w:rsidRPr="00042088">
        <w:rPr>
          <w:rFonts w:asciiTheme="minorHAnsi" w:hAnsiTheme="minorHAnsi" w:cstheme="minorHAnsi"/>
        </w:rPr>
        <w:t>have close regard</w:t>
      </w:r>
      <w:r w:rsidR="00380B5F" w:rsidRPr="00042088">
        <w:rPr>
          <w:rFonts w:asciiTheme="minorHAnsi" w:hAnsiTheme="minorHAnsi" w:cstheme="minorHAnsi"/>
        </w:rPr>
        <w:t>, as it considers China's submission,</w:t>
      </w:r>
      <w:r w:rsidR="00D50EDF" w:rsidRPr="00042088">
        <w:rPr>
          <w:rFonts w:asciiTheme="minorHAnsi" w:hAnsiTheme="minorHAnsi" w:cstheme="minorHAnsi"/>
        </w:rPr>
        <w:t xml:space="preserve"> to the </w:t>
      </w:r>
      <w:r w:rsidR="00D14DAF" w:rsidRPr="00042088">
        <w:rPr>
          <w:rFonts w:asciiTheme="minorHAnsi" w:hAnsiTheme="minorHAnsi" w:cstheme="minorHAnsi"/>
        </w:rPr>
        <w:t>evidence</w:t>
      </w:r>
      <w:r w:rsidR="00D50EDF" w:rsidRPr="00042088">
        <w:rPr>
          <w:rFonts w:asciiTheme="minorHAnsi" w:hAnsiTheme="minorHAnsi" w:cstheme="minorHAnsi"/>
        </w:rPr>
        <w:t xml:space="preserve"> on the record and the arguments actually advanced by Australia in its first written submission. </w:t>
      </w:r>
    </w:p>
    <w:p w14:paraId="2AA780BD" w14:textId="4189D7AD" w:rsidR="00D50EDF" w:rsidRPr="00042088" w:rsidRDefault="003244BA" w:rsidP="00D06C1A">
      <w:pPr>
        <w:pStyle w:val="P1-N1Paragraph1-Number1"/>
        <w:rPr>
          <w:rFonts w:asciiTheme="minorHAnsi" w:hAnsiTheme="minorHAnsi" w:cstheme="minorHAnsi"/>
        </w:rPr>
      </w:pPr>
      <w:r w:rsidRPr="00042088">
        <w:rPr>
          <w:rFonts w:asciiTheme="minorHAnsi" w:hAnsiTheme="minorHAnsi" w:cstheme="minorHAnsi"/>
        </w:rPr>
        <w:t>Fourth</w:t>
      </w:r>
      <w:r w:rsidR="0060603B" w:rsidRPr="00042088">
        <w:rPr>
          <w:rFonts w:asciiTheme="minorHAnsi" w:hAnsiTheme="minorHAnsi" w:cstheme="minorHAnsi"/>
        </w:rPr>
        <w:t xml:space="preserve">, </w:t>
      </w:r>
      <w:r w:rsidRPr="00042088">
        <w:rPr>
          <w:rFonts w:asciiTheme="minorHAnsi" w:hAnsiTheme="minorHAnsi" w:cstheme="minorHAnsi"/>
        </w:rPr>
        <w:t>there is</w:t>
      </w:r>
      <w:r w:rsidR="00D50EDF" w:rsidRPr="00042088">
        <w:rPr>
          <w:rFonts w:asciiTheme="minorHAnsi" w:hAnsiTheme="minorHAnsi" w:cstheme="minorHAnsi"/>
        </w:rPr>
        <w:t xml:space="preserve"> the issue of the competing translations</w:t>
      </w:r>
      <w:r w:rsidRPr="00042088">
        <w:rPr>
          <w:rFonts w:asciiTheme="minorHAnsi" w:hAnsiTheme="minorHAnsi" w:cstheme="minorHAnsi"/>
        </w:rPr>
        <w:t>.</w:t>
      </w:r>
      <w:r w:rsidR="00FA4F34" w:rsidRPr="00042088">
        <w:rPr>
          <w:rFonts w:asciiTheme="minorHAnsi" w:hAnsiTheme="minorHAnsi" w:cstheme="minorHAnsi"/>
        </w:rPr>
        <w:t xml:space="preserve"> </w:t>
      </w:r>
      <w:r w:rsidR="00D50EDF" w:rsidRPr="00042088">
        <w:rPr>
          <w:rFonts w:asciiTheme="minorHAnsi" w:hAnsiTheme="minorHAnsi" w:cstheme="minorHAnsi"/>
        </w:rPr>
        <w:t xml:space="preserve">China has submitted alternative translations </w:t>
      </w:r>
      <w:r w:rsidR="0070076A" w:rsidRPr="00042088">
        <w:rPr>
          <w:rFonts w:asciiTheme="minorHAnsi" w:hAnsiTheme="minorHAnsi" w:cstheme="minorHAnsi"/>
        </w:rPr>
        <w:t>of</w:t>
      </w:r>
      <w:r w:rsidR="00046EFD" w:rsidRPr="00042088">
        <w:rPr>
          <w:rFonts w:asciiTheme="minorHAnsi" w:hAnsiTheme="minorHAnsi" w:cstheme="minorHAnsi"/>
        </w:rPr>
        <w:t xml:space="preserve"> certain</w:t>
      </w:r>
      <w:r w:rsidR="00D50EDF" w:rsidRPr="00042088">
        <w:rPr>
          <w:rFonts w:asciiTheme="minorHAnsi" w:hAnsiTheme="minorHAnsi" w:cstheme="minorHAnsi"/>
        </w:rPr>
        <w:t xml:space="preserve"> documents </w:t>
      </w:r>
      <w:r w:rsidR="00993E50" w:rsidRPr="00042088">
        <w:rPr>
          <w:rFonts w:asciiTheme="minorHAnsi" w:hAnsiTheme="minorHAnsi" w:cstheme="minorHAnsi"/>
        </w:rPr>
        <w:t>exhibited by Austra</w:t>
      </w:r>
      <w:r w:rsidR="006D1798" w:rsidRPr="00042088">
        <w:rPr>
          <w:rFonts w:asciiTheme="minorHAnsi" w:hAnsiTheme="minorHAnsi" w:cstheme="minorHAnsi"/>
        </w:rPr>
        <w:t>lia. In doing so</w:t>
      </w:r>
      <w:r w:rsidR="00380B5F" w:rsidRPr="00042088">
        <w:rPr>
          <w:rFonts w:asciiTheme="minorHAnsi" w:hAnsiTheme="minorHAnsi" w:cstheme="minorHAnsi"/>
        </w:rPr>
        <w:t>,</w:t>
      </w:r>
      <w:r w:rsidR="006D1798" w:rsidRPr="00042088">
        <w:rPr>
          <w:rFonts w:asciiTheme="minorHAnsi" w:hAnsiTheme="minorHAnsi" w:cstheme="minorHAnsi"/>
        </w:rPr>
        <w:t xml:space="preserve"> </w:t>
      </w:r>
      <w:r w:rsidR="00380B5F" w:rsidRPr="00042088">
        <w:rPr>
          <w:rFonts w:asciiTheme="minorHAnsi" w:hAnsiTheme="minorHAnsi" w:cstheme="minorHAnsi"/>
        </w:rPr>
        <w:t>China has</w:t>
      </w:r>
      <w:r w:rsidR="006D1798" w:rsidRPr="00042088">
        <w:rPr>
          <w:rFonts w:asciiTheme="minorHAnsi" w:hAnsiTheme="minorHAnsi" w:cstheme="minorHAnsi"/>
        </w:rPr>
        <w:t xml:space="preserve"> identified only</w:t>
      </w:r>
      <w:r w:rsidR="00D50EDF" w:rsidRPr="00042088">
        <w:rPr>
          <w:rFonts w:asciiTheme="minorHAnsi" w:hAnsiTheme="minorHAnsi" w:cstheme="minorHAnsi"/>
        </w:rPr>
        <w:t xml:space="preserve"> a handful of differences </w:t>
      </w:r>
      <w:r w:rsidR="00BB39E6" w:rsidRPr="00042088">
        <w:rPr>
          <w:rFonts w:asciiTheme="minorHAnsi" w:hAnsiTheme="minorHAnsi" w:cstheme="minorHAnsi"/>
        </w:rPr>
        <w:t xml:space="preserve">which it asserts are </w:t>
      </w:r>
      <w:r w:rsidR="00DF5A6F" w:rsidRPr="00042088">
        <w:rPr>
          <w:rFonts w:asciiTheme="minorHAnsi" w:hAnsiTheme="minorHAnsi" w:cstheme="minorHAnsi"/>
        </w:rPr>
        <w:t>material to the matter before the Panel</w:t>
      </w:r>
      <w:r w:rsidR="00D50EDF" w:rsidRPr="00042088">
        <w:rPr>
          <w:rFonts w:asciiTheme="minorHAnsi" w:hAnsiTheme="minorHAnsi" w:cstheme="minorHAnsi"/>
        </w:rPr>
        <w:t xml:space="preserve">. </w:t>
      </w:r>
      <w:r w:rsidR="006227BC" w:rsidRPr="00042088">
        <w:rPr>
          <w:rFonts w:asciiTheme="minorHAnsi" w:hAnsiTheme="minorHAnsi" w:cstheme="minorHAnsi"/>
        </w:rPr>
        <w:t xml:space="preserve">Australia </w:t>
      </w:r>
      <w:r w:rsidR="00192FA8" w:rsidRPr="00042088">
        <w:rPr>
          <w:rFonts w:asciiTheme="minorHAnsi" w:hAnsiTheme="minorHAnsi" w:cstheme="minorHAnsi"/>
        </w:rPr>
        <w:t>does not agree with China</w:t>
      </w:r>
      <w:r w:rsidR="00203EEC" w:rsidRPr="00042088">
        <w:rPr>
          <w:rFonts w:asciiTheme="minorHAnsi" w:hAnsiTheme="minorHAnsi" w:cstheme="minorHAnsi"/>
        </w:rPr>
        <w:t>'</w:t>
      </w:r>
      <w:r w:rsidR="00192FA8" w:rsidRPr="00042088">
        <w:rPr>
          <w:rFonts w:asciiTheme="minorHAnsi" w:hAnsiTheme="minorHAnsi" w:cstheme="minorHAnsi"/>
        </w:rPr>
        <w:t xml:space="preserve">s assessment of the materiality of its </w:t>
      </w:r>
      <w:r w:rsidR="007B4CD7" w:rsidRPr="00042088">
        <w:rPr>
          <w:rFonts w:asciiTheme="minorHAnsi" w:hAnsiTheme="minorHAnsi" w:cstheme="minorHAnsi"/>
        </w:rPr>
        <w:t>alternative translations</w:t>
      </w:r>
      <w:r w:rsidR="009E2EA8" w:rsidRPr="00042088">
        <w:rPr>
          <w:rFonts w:asciiTheme="minorHAnsi" w:hAnsiTheme="minorHAnsi" w:cstheme="minorHAnsi"/>
        </w:rPr>
        <w:t xml:space="preserve">. </w:t>
      </w:r>
      <w:r w:rsidR="00B440D0" w:rsidRPr="00042088">
        <w:rPr>
          <w:rFonts w:asciiTheme="minorHAnsi" w:hAnsiTheme="minorHAnsi" w:cstheme="minorHAnsi"/>
        </w:rPr>
        <w:t>T</w:t>
      </w:r>
      <w:r w:rsidR="007B4CD7" w:rsidRPr="00042088">
        <w:rPr>
          <w:rFonts w:asciiTheme="minorHAnsi" w:hAnsiTheme="minorHAnsi" w:cstheme="minorHAnsi"/>
        </w:rPr>
        <w:t xml:space="preserve">o the extent </w:t>
      </w:r>
      <w:r w:rsidR="00B440D0" w:rsidRPr="00042088">
        <w:rPr>
          <w:rFonts w:asciiTheme="minorHAnsi" w:hAnsiTheme="minorHAnsi" w:cstheme="minorHAnsi"/>
        </w:rPr>
        <w:t>that there are other differences between the translations of the same documents submitted by the parties that may be material</w:t>
      </w:r>
      <w:r w:rsidR="00380B5F" w:rsidRPr="00042088">
        <w:rPr>
          <w:rFonts w:asciiTheme="minorHAnsi" w:hAnsiTheme="minorHAnsi" w:cstheme="minorHAnsi"/>
        </w:rPr>
        <w:t>, but</w:t>
      </w:r>
      <w:r w:rsidR="00B440D0" w:rsidRPr="00042088">
        <w:rPr>
          <w:rFonts w:asciiTheme="minorHAnsi" w:hAnsiTheme="minorHAnsi" w:cstheme="minorHAnsi"/>
        </w:rPr>
        <w:t xml:space="preserve"> that have not been identified by China, Australia will address them </w:t>
      </w:r>
      <w:r w:rsidR="006227BC" w:rsidRPr="00042088">
        <w:rPr>
          <w:rFonts w:asciiTheme="minorHAnsi" w:hAnsiTheme="minorHAnsi" w:cstheme="minorHAnsi"/>
        </w:rPr>
        <w:t>in its second written submission</w:t>
      </w:r>
      <w:r w:rsidR="007B4CD7" w:rsidRPr="00042088">
        <w:rPr>
          <w:rFonts w:asciiTheme="minorHAnsi" w:hAnsiTheme="minorHAnsi" w:cstheme="minorHAnsi"/>
        </w:rPr>
        <w:t>.</w:t>
      </w:r>
      <w:r w:rsidR="006227BC" w:rsidRPr="00042088">
        <w:rPr>
          <w:rFonts w:asciiTheme="minorHAnsi" w:hAnsiTheme="minorHAnsi" w:cstheme="minorHAnsi"/>
        </w:rPr>
        <w:t xml:space="preserve"> </w:t>
      </w:r>
      <w:r w:rsidR="00380B5F" w:rsidRPr="00042088">
        <w:rPr>
          <w:rFonts w:asciiTheme="minorHAnsi" w:hAnsiTheme="minorHAnsi" w:cstheme="minorHAnsi"/>
        </w:rPr>
        <w:t>U</w:t>
      </w:r>
      <w:r w:rsidR="00D50EDF" w:rsidRPr="00042088">
        <w:rPr>
          <w:rFonts w:asciiTheme="minorHAnsi" w:hAnsiTheme="minorHAnsi" w:cstheme="minorHAnsi"/>
        </w:rPr>
        <w:t xml:space="preserve">nless </w:t>
      </w:r>
      <w:r w:rsidR="00D50EDF" w:rsidRPr="00042088">
        <w:rPr>
          <w:rFonts w:asciiTheme="minorHAnsi" w:hAnsiTheme="minorHAnsi" w:cstheme="minorHAnsi"/>
        </w:rPr>
        <w:lastRenderedPageBreak/>
        <w:t xml:space="preserve">specifically indicated otherwise, </w:t>
      </w:r>
      <w:r w:rsidR="00B440D0" w:rsidRPr="00042088">
        <w:rPr>
          <w:rFonts w:asciiTheme="minorHAnsi" w:hAnsiTheme="minorHAnsi" w:cstheme="minorHAnsi"/>
        </w:rPr>
        <w:t xml:space="preserve">Australia </w:t>
      </w:r>
      <w:r w:rsidR="00D50EDF" w:rsidRPr="00042088">
        <w:rPr>
          <w:rFonts w:asciiTheme="minorHAnsi" w:hAnsiTheme="minorHAnsi" w:cstheme="minorHAnsi"/>
        </w:rPr>
        <w:t xml:space="preserve">relies upon </w:t>
      </w:r>
      <w:r w:rsidR="000F3940" w:rsidRPr="00042088">
        <w:rPr>
          <w:rFonts w:asciiTheme="minorHAnsi" w:hAnsiTheme="minorHAnsi" w:cstheme="minorHAnsi"/>
        </w:rPr>
        <w:t xml:space="preserve">its own </w:t>
      </w:r>
      <w:r w:rsidR="00D50EDF" w:rsidRPr="00042088">
        <w:rPr>
          <w:rFonts w:asciiTheme="minorHAnsi" w:hAnsiTheme="minorHAnsi" w:cstheme="minorHAnsi"/>
        </w:rPr>
        <w:t xml:space="preserve">translations </w:t>
      </w:r>
      <w:r w:rsidR="00380B5F" w:rsidRPr="00042088">
        <w:rPr>
          <w:rFonts w:asciiTheme="minorHAnsi" w:hAnsiTheme="minorHAnsi" w:cstheme="minorHAnsi"/>
        </w:rPr>
        <w:t xml:space="preserve">for the purposes of this </w:t>
      </w:r>
      <w:r w:rsidR="00215A44" w:rsidRPr="00042088">
        <w:rPr>
          <w:rFonts w:asciiTheme="minorHAnsi" w:hAnsiTheme="minorHAnsi" w:cstheme="minorHAnsi"/>
        </w:rPr>
        <w:t>meeting</w:t>
      </w:r>
      <w:r w:rsidR="00D50EDF" w:rsidRPr="00042088">
        <w:rPr>
          <w:rFonts w:asciiTheme="minorHAnsi" w:hAnsiTheme="minorHAnsi" w:cstheme="minorHAnsi"/>
        </w:rPr>
        <w:t>.</w:t>
      </w:r>
    </w:p>
    <w:p w14:paraId="230A1179" w14:textId="6CE8AC31" w:rsidR="009A20CA" w:rsidRPr="00042088" w:rsidRDefault="009A20CA" w:rsidP="00D06C1A">
      <w:pPr>
        <w:pStyle w:val="P1-N1Paragraph1-Number1"/>
        <w:rPr>
          <w:rFonts w:asciiTheme="minorHAnsi" w:hAnsiTheme="minorHAnsi" w:cstheme="minorHAnsi"/>
        </w:rPr>
      </w:pPr>
      <w:r w:rsidRPr="00042088">
        <w:rPr>
          <w:rFonts w:asciiTheme="minorHAnsi" w:hAnsiTheme="minorHAnsi" w:cstheme="minorHAnsi"/>
        </w:rPr>
        <w:t>I will now take you through some detailed observations regarding Australia's claims.</w:t>
      </w:r>
    </w:p>
    <w:p w14:paraId="5A903B3C" w14:textId="1D2E0AAC" w:rsidR="007769ED" w:rsidRPr="00042088" w:rsidRDefault="00E637A8" w:rsidP="003A5214">
      <w:pPr>
        <w:pStyle w:val="HL1HeadingLevel1"/>
        <w:rPr>
          <w:rFonts w:asciiTheme="minorHAnsi" w:hAnsiTheme="minorHAnsi" w:cstheme="minorHAnsi"/>
        </w:rPr>
      </w:pPr>
      <w:bookmarkStart w:id="3" w:name="_Toc113344010"/>
      <w:r w:rsidRPr="00042088">
        <w:rPr>
          <w:rFonts w:asciiTheme="minorHAnsi" w:hAnsiTheme="minorHAnsi" w:cstheme="minorHAnsi"/>
        </w:rPr>
        <w:t>Initiation of investigation</w:t>
      </w:r>
      <w:bookmarkEnd w:id="3"/>
    </w:p>
    <w:p w14:paraId="4EF688D3" w14:textId="6CF9449D" w:rsidR="00B440D0" w:rsidRPr="00042088" w:rsidRDefault="00875C26" w:rsidP="00875C26">
      <w:pPr>
        <w:pStyle w:val="P1-N1Paragraph1-Number1"/>
        <w:rPr>
          <w:rFonts w:asciiTheme="minorHAnsi" w:hAnsiTheme="minorHAnsi" w:cstheme="minorHAnsi"/>
        </w:rPr>
      </w:pPr>
      <w:r w:rsidRPr="00042088">
        <w:rPr>
          <w:rFonts w:asciiTheme="minorHAnsi" w:hAnsiTheme="minorHAnsi" w:cstheme="minorHAnsi"/>
        </w:rPr>
        <w:t>MOFCOM</w:t>
      </w:r>
      <w:r w:rsidR="00B440D0" w:rsidRPr="00042088">
        <w:rPr>
          <w:rFonts w:asciiTheme="minorHAnsi" w:hAnsiTheme="minorHAnsi" w:cstheme="minorHAnsi"/>
        </w:rPr>
        <w:t xml:space="preserve"> initiated its </w:t>
      </w:r>
      <w:r w:rsidRPr="00042088">
        <w:rPr>
          <w:rFonts w:asciiTheme="minorHAnsi" w:hAnsiTheme="minorHAnsi" w:cstheme="minorHAnsi"/>
        </w:rPr>
        <w:t xml:space="preserve">investigation without conducting an adequate examination of the information submitted by the Applicant. </w:t>
      </w:r>
      <w:r w:rsidR="00B440D0" w:rsidRPr="00042088">
        <w:rPr>
          <w:rFonts w:asciiTheme="minorHAnsi" w:hAnsiTheme="minorHAnsi" w:cstheme="minorHAnsi"/>
        </w:rPr>
        <w:t xml:space="preserve">This constitutes a fatal error that could not be remedied later in the </w:t>
      </w:r>
      <w:r w:rsidR="00083599">
        <w:rPr>
          <w:rFonts w:asciiTheme="minorHAnsi" w:hAnsiTheme="minorHAnsi" w:cstheme="minorHAnsi"/>
        </w:rPr>
        <w:t>investigation</w:t>
      </w:r>
      <w:r w:rsidR="00B440D0" w:rsidRPr="00042088">
        <w:rPr>
          <w:rFonts w:asciiTheme="minorHAnsi" w:hAnsiTheme="minorHAnsi" w:cstheme="minorHAnsi"/>
        </w:rPr>
        <w:t>.</w:t>
      </w:r>
    </w:p>
    <w:p w14:paraId="081D85F4" w14:textId="2DE637E0" w:rsidR="00875C26" w:rsidRPr="00042088" w:rsidRDefault="00B440D0" w:rsidP="00137910">
      <w:pPr>
        <w:pStyle w:val="P1-N1Paragraph1-Number1"/>
        <w:rPr>
          <w:rFonts w:asciiTheme="minorHAnsi" w:hAnsiTheme="minorHAnsi" w:cstheme="minorHAnsi"/>
        </w:rPr>
      </w:pPr>
      <w:r w:rsidRPr="00042088">
        <w:rPr>
          <w:rFonts w:asciiTheme="minorHAnsi" w:hAnsiTheme="minorHAnsi" w:cstheme="minorHAnsi"/>
        </w:rPr>
        <w:t>Among other issues,</w:t>
      </w:r>
      <w:r w:rsidR="00970C1F" w:rsidRPr="00042088">
        <w:rPr>
          <w:rFonts w:asciiTheme="minorHAnsi" w:hAnsiTheme="minorHAnsi" w:cstheme="minorHAnsi"/>
        </w:rPr>
        <w:t xml:space="preserve"> MOFCOM </w:t>
      </w:r>
      <w:r w:rsidRPr="00042088">
        <w:rPr>
          <w:rFonts w:asciiTheme="minorHAnsi" w:hAnsiTheme="minorHAnsi" w:cstheme="minorHAnsi"/>
        </w:rPr>
        <w:t>failed to make an adequate assessment of whether the Applicant had standing to initiate the investigation.</w:t>
      </w:r>
      <w:r w:rsidR="00856448" w:rsidRPr="00042088">
        <w:rPr>
          <w:rFonts w:asciiTheme="minorHAnsi" w:hAnsiTheme="minorHAnsi" w:cstheme="minorHAnsi"/>
        </w:rPr>
        <w:t xml:space="preserve"> </w:t>
      </w:r>
      <w:r w:rsidR="00875C26" w:rsidRPr="00042088">
        <w:rPr>
          <w:rFonts w:asciiTheme="minorHAnsi" w:hAnsiTheme="minorHAnsi" w:cstheme="minorHAnsi"/>
        </w:rPr>
        <w:t xml:space="preserve">In particular, MOFCOM failed to examine the degree of support for and opposition to the </w:t>
      </w:r>
      <w:r w:rsidR="00D2327B">
        <w:rPr>
          <w:rFonts w:asciiTheme="minorHAnsi" w:hAnsiTheme="minorHAnsi" w:cstheme="minorHAnsi"/>
        </w:rPr>
        <w:t>A</w:t>
      </w:r>
      <w:r w:rsidR="00875C26" w:rsidRPr="00042088">
        <w:rPr>
          <w:rFonts w:asciiTheme="minorHAnsi" w:hAnsiTheme="minorHAnsi" w:cstheme="minorHAnsi"/>
        </w:rPr>
        <w:t xml:space="preserve">pplication expressed by domestic producers. The </w:t>
      </w:r>
      <w:r w:rsidR="0033472B" w:rsidRPr="00042088">
        <w:rPr>
          <w:rFonts w:asciiTheme="minorHAnsi" w:hAnsiTheme="minorHAnsi" w:cstheme="minorHAnsi"/>
        </w:rPr>
        <w:t xml:space="preserve">China Alcoholic Drinks Association — which I will refer to by its acronym, CADA — purportedly submitted the </w:t>
      </w:r>
      <w:r w:rsidR="00215A44" w:rsidRPr="00042088">
        <w:rPr>
          <w:rFonts w:asciiTheme="minorHAnsi" w:hAnsiTheme="minorHAnsi" w:cstheme="minorHAnsi"/>
        </w:rPr>
        <w:t>A</w:t>
      </w:r>
      <w:r w:rsidR="00875C26" w:rsidRPr="00042088">
        <w:rPr>
          <w:rFonts w:asciiTheme="minorHAnsi" w:hAnsiTheme="minorHAnsi" w:cstheme="minorHAnsi"/>
        </w:rPr>
        <w:t xml:space="preserve">pplication on behalf of </w:t>
      </w:r>
      <w:r w:rsidR="005B33D8" w:rsidRPr="00042088">
        <w:rPr>
          <w:rFonts w:asciiTheme="minorHAnsi" w:hAnsiTheme="minorHAnsi" w:cstheme="minorHAnsi"/>
        </w:rPr>
        <w:t>the domestic wine industry</w:t>
      </w:r>
      <w:r w:rsidR="00875C26" w:rsidRPr="00042088">
        <w:rPr>
          <w:rFonts w:asciiTheme="minorHAnsi" w:hAnsiTheme="minorHAnsi" w:cstheme="minorHAnsi"/>
        </w:rPr>
        <w:t>. MOFCOM</w:t>
      </w:r>
      <w:r w:rsidR="005B33D8" w:rsidRPr="00042088">
        <w:rPr>
          <w:rFonts w:asciiTheme="minorHAnsi" w:hAnsiTheme="minorHAnsi" w:cstheme="minorHAnsi"/>
        </w:rPr>
        <w:t xml:space="preserve"> appears to have accepted it with</w:t>
      </w:r>
      <w:r w:rsidR="00856448" w:rsidRPr="00042088">
        <w:rPr>
          <w:rFonts w:asciiTheme="minorHAnsi" w:hAnsiTheme="minorHAnsi" w:cstheme="minorHAnsi"/>
        </w:rPr>
        <w:t>out</w:t>
      </w:r>
      <w:r w:rsidR="005B33D8" w:rsidRPr="00042088">
        <w:rPr>
          <w:rFonts w:asciiTheme="minorHAnsi" w:hAnsiTheme="minorHAnsi" w:cstheme="minorHAnsi"/>
        </w:rPr>
        <w:t xml:space="preserve"> scrutiny. It</w:t>
      </w:r>
      <w:r w:rsidR="00875C26" w:rsidRPr="00042088">
        <w:rPr>
          <w:rFonts w:asciiTheme="minorHAnsi" w:hAnsiTheme="minorHAnsi" w:cstheme="minorHAnsi"/>
        </w:rPr>
        <w:t xml:space="preserve"> did not properly examine the level of support for</w:t>
      </w:r>
      <w:r w:rsidR="005B33D8" w:rsidRPr="00042088">
        <w:rPr>
          <w:rFonts w:asciiTheme="minorHAnsi" w:hAnsiTheme="minorHAnsi" w:cstheme="minorHAnsi"/>
        </w:rPr>
        <w:t xml:space="preserve"> or opposition to</w:t>
      </w:r>
      <w:r w:rsidR="00875C26" w:rsidRPr="00042088">
        <w:rPr>
          <w:rFonts w:asciiTheme="minorHAnsi" w:hAnsiTheme="minorHAnsi" w:cstheme="minorHAnsi"/>
        </w:rPr>
        <w:t xml:space="preserve"> the </w:t>
      </w:r>
      <w:r w:rsidR="009B330A">
        <w:rPr>
          <w:rFonts w:asciiTheme="minorHAnsi" w:hAnsiTheme="minorHAnsi" w:cstheme="minorHAnsi"/>
        </w:rPr>
        <w:t>A</w:t>
      </w:r>
      <w:r w:rsidR="00875C26" w:rsidRPr="00042088">
        <w:rPr>
          <w:rFonts w:asciiTheme="minorHAnsi" w:hAnsiTheme="minorHAnsi" w:cstheme="minorHAnsi"/>
        </w:rPr>
        <w:t>pplication amongst CADA</w:t>
      </w:r>
      <w:r w:rsidR="00203EEC" w:rsidRPr="00042088">
        <w:rPr>
          <w:rFonts w:asciiTheme="minorHAnsi" w:hAnsiTheme="minorHAnsi" w:cstheme="minorHAnsi"/>
        </w:rPr>
        <w:t>'</w:t>
      </w:r>
      <w:r w:rsidR="005B33D8" w:rsidRPr="00042088">
        <w:rPr>
          <w:rFonts w:asciiTheme="minorHAnsi" w:hAnsiTheme="minorHAnsi" w:cstheme="minorHAnsi"/>
        </w:rPr>
        <w:t>s 122</w:t>
      </w:r>
      <w:r w:rsidR="00875C26" w:rsidRPr="00042088">
        <w:rPr>
          <w:rFonts w:asciiTheme="minorHAnsi" w:hAnsiTheme="minorHAnsi" w:cstheme="minorHAnsi"/>
        </w:rPr>
        <w:t xml:space="preserve"> members. Nor did it take any steps to gauge the level of support</w:t>
      </w:r>
      <w:r w:rsidR="005B33D8" w:rsidRPr="00042088">
        <w:rPr>
          <w:rFonts w:asciiTheme="minorHAnsi" w:hAnsiTheme="minorHAnsi" w:cstheme="minorHAnsi"/>
        </w:rPr>
        <w:t xml:space="preserve"> or opposition</w:t>
      </w:r>
      <w:r w:rsidR="00875C26" w:rsidRPr="00042088">
        <w:rPr>
          <w:rFonts w:asciiTheme="minorHAnsi" w:hAnsiTheme="minorHAnsi" w:cstheme="minorHAnsi"/>
        </w:rPr>
        <w:t xml:space="preserve"> amongst non-CADA producers, despite being told there were "hundreds" of such producers. </w:t>
      </w:r>
    </w:p>
    <w:p w14:paraId="4A75E298" w14:textId="144821E1" w:rsidR="00D065B0" w:rsidRPr="00042088" w:rsidRDefault="00AA62FA" w:rsidP="00875C26">
      <w:pPr>
        <w:pStyle w:val="P1-N1Paragraph1-Number1"/>
        <w:rPr>
          <w:rFonts w:asciiTheme="minorHAnsi" w:hAnsiTheme="minorHAnsi" w:cstheme="minorHAnsi"/>
        </w:rPr>
      </w:pPr>
      <w:r w:rsidRPr="00042088">
        <w:rPr>
          <w:rFonts w:asciiTheme="minorHAnsi" w:hAnsiTheme="minorHAnsi" w:cstheme="minorHAnsi"/>
        </w:rPr>
        <w:t>China's</w:t>
      </w:r>
      <w:r w:rsidR="00875C26" w:rsidRPr="00042088">
        <w:rPr>
          <w:rFonts w:asciiTheme="minorHAnsi" w:hAnsiTheme="minorHAnsi" w:cstheme="minorHAnsi"/>
        </w:rPr>
        <w:t xml:space="preserve"> </w:t>
      </w:r>
      <w:r w:rsidR="00875C26" w:rsidRPr="00042088">
        <w:rPr>
          <w:rFonts w:asciiTheme="minorHAnsi" w:hAnsiTheme="minorHAnsi" w:cstheme="minorHAnsi"/>
          <w:i/>
          <w:iCs/>
        </w:rPr>
        <w:t>ex post facto</w:t>
      </w:r>
      <w:r w:rsidR="00875C26" w:rsidRPr="00042088">
        <w:rPr>
          <w:rFonts w:asciiTheme="minorHAnsi" w:hAnsiTheme="minorHAnsi" w:cstheme="minorHAnsi"/>
        </w:rPr>
        <w:t xml:space="preserve"> justification fo</w:t>
      </w:r>
      <w:r w:rsidR="00856448" w:rsidRPr="00042088">
        <w:rPr>
          <w:rFonts w:asciiTheme="minorHAnsi" w:hAnsiTheme="minorHAnsi" w:cstheme="minorHAnsi"/>
        </w:rPr>
        <w:t>r</w:t>
      </w:r>
      <w:r w:rsidR="00875C26" w:rsidRPr="00042088">
        <w:rPr>
          <w:rFonts w:asciiTheme="minorHAnsi" w:hAnsiTheme="minorHAnsi" w:cstheme="minorHAnsi"/>
        </w:rPr>
        <w:t xml:space="preserve"> </w:t>
      </w:r>
      <w:r w:rsidR="00596072" w:rsidRPr="00042088">
        <w:rPr>
          <w:rFonts w:asciiTheme="minorHAnsi" w:hAnsiTheme="minorHAnsi" w:cstheme="minorHAnsi"/>
        </w:rPr>
        <w:t xml:space="preserve">MOFCOM's failure to </w:t>
      </w:r>
      <w:r w:rsidR="002834AB" w:rsidRPr="00042088">
        <w:rPr>
          <w:rFonts w:asciiTheme="minorHAnsi" w:hAnsiTheme="minorHAnsi" w:cstheme="minorHAnsi"/>
        </w:rPr>
        <w:t xml:space="preserve">examine the degree of support for the </w:t>
      </w:r>
      <w:r w:rsidR="00D2327B">
        <w:rPr>
          <w:rFonts w:asciiTheme="minorHAnsi" w:hAnsiTheme="minorHAnsi" w:cstheme="minorHAnsi"/>
        </w:rPr>
        <w:t>A</w:t>
      </w:r>
      <w:r w:rsidR="002834AB" w:rsidRPr="00042088">
        <w:rPr>
          <w:rFonts w:asciiTheme="minorHAnsi" w:hAnsiTheme="minorHAnsi" w:cstheme="minorHAnsi"/>
        </w:rPr>
        <w:t xml:space="preserve">pplication </w:t>
      </w:r>
      <w:r w:rsidR="00194334" w:rsidRPr="00042088">
        <w:rPr>
          <w:rFonts w:asciiTheme="minorHAnsi" w:hAnsiTheme="minorHAnsi" w:cstheme="minorHAnsi"/>
        </w:rPr>
        <w:t xml:space="preserve">is without merit. It argues </w:t>
      </w:r>
      <w:r w:rsidR="00295EAD" w:rsidRPr="00042088">
        <w:rPr>
          <w:rFonts w:asciiTheme="minorHAnsi" w:hAnsiTheme="minorHAnsi" w:cstheme="minorHAnsi"/>
        </w:rPr>
        <w:t xml:space="preserve">that the obligation </w:t>
      </w:r>
      <w:r w:rsidR="002620CB" w:rsidRPr="00042088">
        <w:rPr>
          <w:rFonts w:asciiTheme="minorHAnsi" w:hAnsiTheme="minorHAnsi" w:cstheme="minorHAnsi"/>
        </w:rPr>
        <w:t>in Article 5.5</w:t>
      </w:r>
      <w:r w:rsidR="00694DFC" w:rsidRPr="00042088">
        <w:rPr>
          <w:rFonts w:asciiTheme="minorHAnsi" w:hAnsiTheme="minorHAnsi" w:cstheme="minorHAnsi"/>
        </w:rPr>
        <w:t xml:space="preserve"> </w:t>
      </w:r>
      <w:r w:rsidR="00E328EC" w:rsidRPr="00042088">
        <w:rPr>
          <w:rFonts w:asciiTheme="minorHAnsi" w:hAnsiTheme="minorHAnsi" w:cstheme="minorHAnsi"/>
        </w:rPr>
        <w:t>requir</w:t>
      </w:r>
      <w:r w:rsidR="008064D4" w:rsidRPr="00042088">
        <w:rPr>
          <w:rFonts w:asciiTheme="minorHAnsi" w:hAnsiTheme="minorHAnsi" w:cstheme="minorHAnsi"/>
        </w:rPr>
        <w:t>ing</w:t>
      </w:r>
      <w:r w:rsidR="00E328EC" w:rsidRPr="00042088">
        <w:rPr>
          <w:rFonts w:asciiTheme="minorHAnsi" w:hAnsiTheme="minorHAnsi" w:cstheme="minorHAnsi"/>
        </w:rPr>
        <w:t xml:space="preserve"> an investigating authority</w:t>
      </w:r>
      <w:r w:rsidR="002620CB" w:rsidRPr="00042088">
        <w:rPr>
          <w:rFonts w:asciiTheme="minorHAnsi" w:hAnsiTheme="minorHAnsi" w:cstheme="minorHAnsi"/>
        </w:rPr>
        <w:t xml:space="preserve"> </w:t>
      </w:r>
      <w:r w:rsidR="00F05A3B" w:rsidRPr="00042088">
        <w:rPr>
          <w:rFonts w:asciiTheme="minorHAnsi" w:hAnsiTheme="minorHAnsi" w:cstheme="minorHAnsi"/>
        </w:rPr>
        <w:t xml:space="preserve">to </w:t>
      </w:r>
      <w:r w:rsidR="00875C26" w:rsidRPr="00042088">
        <w:rPr>
          <w:rFonts w:asciiTheme="minorHAnsi" w:hAnsiTheme="minorHAnsi" w:cstheme="minorHAnsi"/>
        </w:rPr>
        <w:t xml:space="preserve">avoid publicising </w:t>
      </w:r>
      <w:r w:rsidR="00E328EC" w:rsidRPr="00042088">
        <w:rPr>
          <w:rFonts w:asciiTheme="minorHAnsi" w:hAnsiTheme="minorHAnsi" w:cstheme="minorHAnsi"/>
        </w:rPr>
        <w:t>an</w:t>
      </w:r>
      <w:r w:rsidR="00875C26" w:rsidRPr="00042088">
        <w:rPr>
          <w:rFonts w:asciiTheme="minorHAnsi" w:hAnsiTheme="minorHAnsi" w:cstheme="minorHAnsi"/>
        </w:rPr>
        <w:t xml:space="preserve"> application</w:t>
      </w:r>
      <w:r w:rsidR="00F05A3B" w:rsidRPr="00042088">
        <w:rPr>
          <w:rFonts w:asciiTheme="minorHAnsi" w:hAnsiTheme="minorHAnsi" w:cstheme="minorHAnsi"/>
        </w:rPr>
        <w:t xml:space="preserve"> </w:t>
      </w:r>
      <w:r w:rsidR="007A47DC">
        <w:rPr>
          <w:rFonts w:asciiTheme="minorHAnsi" w:hAnsiTheme="minorHAnsi" w:cstheme="minorHAnsi"/>
        </w:rPr>
        <w:t xml:space="preserve">prior to the initiation of an investigation </w:t>
      </w:r>
      <w:r w:rsidR="00F05A3B" w:rsidRPr="00042088">
        <w:rPr>
          <w:rFonts w:asciiTheme="minorHAnsi" w:hAnsiTheme="minorHAnsi" w:cstheme="minorHAnsi"/>
        </w:rPr>
        <w:t>prevented MOFCOM from approaching other producers to determine whether</w:t>
      </w:r>
      <w:r w:rsidR="002620CB" w:rsidRPr="00042088">
        <w:rPr>
          <w:rFonts w:asciiTheme="minorHAnsi" w:hAnsiTheme="minorHAnsi" w:cstheme="minorHAnsi"/>
        </w:rPr>
        <w:t xml:space="preserve"> </w:t>
      </w:r>
      <w:r w:rsidR="00F05A3B" w:rsidRPr="00042088">
        <w:rPr>
          <w:rFonts w:asciiTheme="minorHAnsi" w:hAnsiTheme="minorHAnsi" w:cstheme="minorHAnsi"/>
        </w:rPr>
        <w:t xml:space="preserve">they supported the </w:t>
      </w:r>
      <w:r w:rsidR="009B330A">
        <w:rPr>
          <w:rFonts w:asciiTheme="minorHAnsi" w:hAnsiTheme="minorHAnsi" w:cstheme="minorHAnsi"/>
        </w:rPr>
        <w:t>A</w:t>
      </w:r>
      <w:r w:rsidR="00F05A3B" w:rsidRPr="00042088">
        <w:rPr>
          <w:rFonts w:asciiTheme="minorHAnsi" w:hAnsiTheme="minorHAnsi" w:cstheme="minorHAnsi"/>
        </w:rPr>
        <w:t>pplication, were neutral or opposed it</w:t>
      </w:r>
      <w:r w:rsidR="00875C26" w:rsidRPr="00042088">
        <w:rPr>
          <w:rFonts w:asciiTheme="minorHAnsi" w:hAnsiTheme="minorHAnsi" w:cstheme="minorHAnsi"/>
        </w:rPr>
        <w:t xml:space="preserve">. </w:t>
      </w:r>
      <w:r w:rsidR="00C30DAD" w:rsidRPr="00042088">
        <w:rPr>
          <w:rFonts w:asciiTheme="minorHAnsi" w:hAnsiTheme="minorHAnsi" w:cstheme="minorHAnsi"/>
        </w:rPr>
        <w:t xml:space="preserve">There is no basis for this interpretation. </w:t>
      </w:r>
      <w:r w:rsidR="00D23562" w:rsidRPr="00042088">
        <w:rPr>
          <w:rFonts w:asciiTheme="minorHAnsi" w:hAnsiTheme="minorHAnsi" w:cstheme="minorHAnsi"/>
        </w:rPr>
        <w:t xml:space="preserve">The </w:t>
      </w:r>
      <w:r w:rsidR="00E1436B" w:rsidRPr="00042088">
        <w:rPr>
          <w:rFonts w:asciiTheme="minorHAnsi" w:hAnsiTheme="minorHAnsi" w:cstheme="minorHAnsi"/>
        </w:rPr>
        <w:t xml:space="preserve">Article 5.4 </w:t>
      </w:r>
      <w:r w:rsidR="00D23562" w:rsidRPr="00042088">
        <w:rPr>
          <w:rFonts w:asciiTheme="minorHAnsi" w:hAnsiTheme="minorHAnsi" w:cstheme="minorHAnsi"/>
        </w:rPr>
        <w:t>requirement to examine the degree of support for the application</w:t>
      </w:r>
      <w:r w:rsidR="00D065B0" w:rsidRPr="00042088">
        <w:rPr>
          <w:rFonts w:asciiTheme="minorHAnsi" w:hAnsiTheme="minorHAnsi" w:cstheme="minorHAnsi"/>
        </w:rPr>
        <w:t xml:space="preserve"> </w:t>
      </w:r>
      <w:r w:rsidR="00D23562" w:rsidRPr="00042088">
        <w:rPr>
          <w:rFonts w:asciiTheme="minorHAnsi" w:hAnsiTheme="minorHAnsi" w:cstheme="minorHAnsi"/>
        </w:rPr>
        <w:t>is</w:t>
      </w:r>
      <w:r w:rsidR="00D065B0" w:rsidRPr="00042088">
        <w:rPr>
          <w:rFonts w:asciiTheme="minorHAnsi" w:hAnsiTheme="minorHAnsi" w:cstheme="minorHAnsi"/>
        </w:rPr>
        <w:t xml:space="preserve"> </w:t>
      </w:r>
      <w:r w:rsidR="00E1436B" w:rsidRPr="00042088">
        <w:rPr>
          <w:rFonts w:asciiTheme="minorHAnsi" w:hAnsiTheme="minorHAnsi" w:cstheme="minorHAnsi"/>
        </w:rPr>
        <w:t xml:space="preserve">a </w:t>
      </w:r>
      <w:r w:rsidR="00D065B0" w:rsidRPr="00042088">
        <w:rPr>
          <w:rFonts w:asciiTheme="minorHAnsi" w:hAnsiTheme="minorHAnsi" w:cstheme="minorHAnsi"/>
        </w:rPr>
        <w:t>mandatory</w:t>
      </w:r>
      <w:r w:rsidR="00E1436B" w:rsidRPr="00042088">
        <w:rPr>
          <w:rFonts w:asciiTheme="minorHAnsi" w:hAnsiTheme="minorHAnsi" w:cstheme="minorHAnsi"/>
        </w:rPr>
        <w:t xml:space="preserve"> obligation</w:t>
      </w:r>
      <w:r w:rsidR="00D065B0" w:rsidRPr="00042088">
        <w:rPr>
          <w:rFonts w:asciiTheme="minorHAnsi" w:hAnsiTheme="minorHAnsi" w:cstheme="minorHAnsi"/>
        </w:rPr>
        <w:t>.</w:t>
      </w:r>
    </w:p>
    <w:p w14:paraId="0A5C21A9" w14:textId="4BFC6FD6" w:rsidR="00E637A8" w:rsidRPr="00042088" w:rsidRDefault="009943CB" w:rsidP="00875C26">
      <w:pPr>
        <w:pStyle w:val="P1-N1Paragraph1-Number1"/>
        <w:rPr>
          <w:rFonts w:asciiTheme="minorHAnsi" w:hAnsiTheme="minorHAnsi" w:cstheme="minorHAnsi"/>
        </w:rPr>
      </w:pPr>
      <w:r w:rsidRPr="00042088">
        <w:rPr>
          <w:rFonts w:asciiTheme="minorHAnsi" w:hAnsiTheme="minorHAnsi" w:cstheme="minorHAnsi"/>
        </w:rPr>
        <w:t>F</w:t>
      </w:r>
      <w:r w:rsidR="00E841C0" w:rsidRPr="00042088">
        <w:rPr>
          <w:rFonts w:asciiTheme="minorHAnsi" w:hAnsiTheme="minorHAnsi" w:cstheme="minorHAnsi"/>
        </w:rPr>
        <w:t>urther,</w:t>
      </w:r>
      <w:r w:rsidR="00617AD5" w:rsidRPr="00042088">
        <w:rPr>
          <w:rFonts w:asciiTheme="minorHAnsi" w:hAnsiTheme="minorHAnsi" w:cstheme="minorHAnsi"/>
        </w:rPr>
        <w:t xml:space="preserve"> </w:t>
      </w:r>
      <w:r w:rsidR="00875C26" w:rsidRPr="00042088">
        <w:rPr>
          <w:rFonts w:asciiTheme="minorHAnsi" w:hAnsiTheme="minorHAnsi" w:cstheme="minorHAnsi"/>
        </w:rPr>
        <w:t xml:space="preserve">the data provided by CADA in the </w:t>
      </w:r>
      <w:r w:rsidR="00360511" w:rsidRPr="00042088">
        <w:rPr>
          <w:rFonts w:asciiTheme="minorHAnsi" w:hAnsiTheme="minorHAnsi" w:cstheme="minorHAnsi"/>
        </w:rPr>
        <w:t>A</w:t>
      </w:r>
      <w:r w:rsidR="00875C26" w:rsidRPr="00042088">
        <w:rPr>
          <w:rFonts w:asciiTheme="minorHAnsi" w:hAnsiTheme="minorHAnsi" w:cstheme="minorHAnsi"/>
        </w:rPr>
        <w:t xml:space="preserve">pplication </w:t>
      </w:r>
      <w:r w:rsidR="004514AC" w:rsidRPr="00042088">
        <w:rPr>
          <w:rFonts w:asciiTheme="minorHAnsi" w:hAnsiTheme="minorHAnsi" w:cstheme="minorHAnsi"/>
        </w:rPr>
        <w:t>included non-subject products</w:t>
      </w:r>
      <w:r w:rsidR="005B33D8" w:rsidRPr="00042088">
        <w:rPr>
          <w:rFonts w:asciiTheme="minorHAnsi" w:hAnsiTheme="minorHAnsi" w:cstheme="minorHAnsi"/>
        </w:rPr>
        <w:t>, such as bulk wine and liqueur</w:t>
      </w:r>
      <w:r w:rsidR="00E328EC" w:rsidRPr="00042088">
        <w:rPr>
          <w:rFonts w:asciiTheme="minorHAnsi" w:hAnsiTheme="minorHAnsi" w:cstheme="minorHAnsi"/>
        </w:rPr>
        <w:t xml:space="preserve"> wine</w:t>
      </w:r>
      <w:r w:rsidR="005B33D8" w:rsidRPr="00042088">
        <w:rPr>
          <w:rFonts w:asciiTheme="minorHAnsi" w:hAnsiTheme="minorHAnsi" w:cstheme="minorHAnsi"/>
        </w:rPr>
        <w:t xml:space="preserve">. MOFCOM failed to recognise that this meant </w:t>
      </w:r>
      <w:r w:rsidR="00775E50" w:rsidRPr="00042088">
        <w:rPr>
          <w:rFonts w:asciiTheme="minorHAnsi" w:hAnsiTheme="minorHAnsi" w:cstheme="minorHAnsi"/>
        </w:rPr>
        <w:t xml:space="preserve">that </w:t>
      </w:r>
      <w:r w:rsidR="005B33D8" w:rsidRPr="00042088">
        <w:rPr>
          <w:rFonts w:asciiTheme="minorHAnsi" w:hAnsiTheme="minorHAnsi" w:cstheme="minorHAnsi"/>
        </w:rPr>
        <w:t xml:space="preserve">the data was incapable of </w:t>
      </w:r>
      <w:r w:rsidR="00775E50" w:rsidRPr="00042088">
        <w:rPr>
          <w:rFonts w:asciiTheme="minorHAnsi" w:hAnsiTheme="minorHAnsi" w:cstheme="minorHAnsi"/>
        </w:rPr>
        <w:t xml:space="preserve">accurately </w:t>
      </w:r>
      <w:r w:rsidR="005B33D8" w:rsidRPr="00042088">
        <w:rPr>
          <w:rFonts w:asciiTheme="minorHAnsi" w:hAnsiTheme="minorHAnsi" w:cstheme="minorHAnsi"/>
        </w:rPr>
        <w:t xml:space="preserve">establishing either the amount of </w:t>
      </w:r>
      <w:r w:rsidR="00775E50" w:rsidRPr="00042088">
        <w:rPr>
          <w:rFonts w:asciiTheme="minorHAnsi" w:hAnsiTheme="minorHAnsi" w:cstheme="minorHAnsi"/>
        </w:rPr>
        <w:t xml:space="preserve">the </w:t>
      </w:r>
      <w:r w:rsidR="005B33D8" w:rsidRPr="00042088">
        <w:rPr>
          <w:rFonts w:asciiTheme="minorHAnsi" w:hAnsiTheme="minorHAnsi" w:cstheme="minorHAnsi"/>
        </w:rPr>
        <w:t xml:space="preserve">like product produced by the domestic industry or the level of production represented by those </w:t>
      </w:r>
      <w:r w:rsidR="00775E50" w:rsidRPr="00042088">
        <w:rPr>
          <w:rFonts w:asciiTheme="minorHAnsi" w:hAnsiTheme="minorHAnsi" w:cstheme="minorHAnsi"/>
        </w:rPr>
        <w:t xml:space="preserve">domestic producers </w:t>
      </w:r>
      <w:r w:rsidR="005B33D8" w:rsidRPr="00042088">
        <w:rPr>
          <w:rFonts w:asciiTheme="minorHAnsi" w:hAnsiTheme="minorHAnsi" w:cstheme="minorHAnsi"/>
        </w:rPr>
        <w:t xml:space="preserve">supporting the </w:t>
      </w:r>
      <w:r w:rsidR="00360511" w:rsidRPr="00042088">
        <w:rPr>
          <w:rFonts w:asciiTheme="minorHAnsi" w:hAnsiTheme="minorHAnsi" w:cstheme="minorHAnsi"/>
        </w:rPr>
        <w:t>A</w:t>
      </w:r>
      <w:r w:rsidR="005B33D8" w:rsidRPr="00042088">
        <w:rPr>
          <w:rFonts w:asciiTheme="minorHAnsi" w:hAnsiTheme="minorHAnsi" w:cstheme="minorHAnsi"/>
        </w:rPr>
        <w:t>pplication</w:t>
      </w:r>
      <w:r w:rsidR="00C35887" w:rsidRPr="00042088">
        <w:rPr>
          <w:rFonts w:asciiTheme="minorHAnsi" w:hAnsiTheme="minorHAnsi" w:cstheme="minorHAnsi"/>
        </w:rPr>
        <w:t>.</w:t>
      </w:r>
    </w:p>
    <w:p w14:paraId="5E385B1B" w14:textId="31635EDC" w:rsidR="00E637A8" w:rsidRPr="00042088" w:rsidRDefault="00E637A8" w:rsidP="003A5214">
      <w:pPr>
        <w:pStyle w:val="HL1HeadingLevel1"/>
        <w:rPr>
          <w:rFonts w:asciiTheme="minorHAnsi" w:hAnsiTheme="minorHAnsi" w:cstheme="minorHAnsi"/>
        </w:rPr>
      </w:pPr>
      <w:bookmarkStart w:id="4" w:name="_Toc113344011"/>
      <w:r w:rsidRPr="00042088">
        <w:rPr>
          <w:rFonts w:asciiTheme="minorHAnsi" w:hAnsiTheme="minorHAnsi" w:cstheme="minorHAnsi"/>
        </w:rPr>
        <w:lastRenderedPageBreak/>
        <w:t>Definition of domestic industry</w:t>
      </w:r>
      <w:bookmarkEnd w:id="4"/>
    </w:p>
    <w:p w14:paraId="09DC5ABD" w14:textId="5274A09B" w:rsidR="00123AFE" w:rsidRPr="00C37623" w:rsidRDefault="001C49B8" w:rsidP="00123AFE">
      <w:pPr>
        <w:pStyle w:val="P1-N1Paragraph1-Number1"/>
        <w:rPr>
          <w:rFonts w:asciiTheme="minorHAnsi" w:hAnsiTheme="minorHAnsi" w:cstheme="minorHAnsi"/>
        </w:rPr>
      </w:pPr>
      <w:r w:rsidRPr="00042088">
        <w:rPr>
          <w:rFonts w:asciiTheme="minorHAnsi" w:hAnsiTheme="minorHAnsi" w:cstheme="minorHAnsi"/>
        </w:rPr>
        <w:t>For the purpose</w:t>
      </w:r>
      <w:r w:rsidR="00775E50" w:rsidRPr="00042088">
        <w:rPr>
          <w:rFonts w:asciiTheme="minorHAnsi" w:hAnsiTheme="minorHAnsi" w:cstheme="minorHAnsi"/>
        </w:rPr>
        <w:t>s</w:t>
      </w:r>
      <w:r w:rsidRPr="00042088">
        <w:rPr>
          <w:rFonts w:asciiTheme="minorHAnsi" w:hAnsiTheme="minorHAnsi" w:cstheme="minorHAnsi"/>
        </w:rPr>
        <w:t xml:space="preserve"> of</w:t>
      </w:r>
      <w:r w:rsidR="00123AFE" w:rsidRPr="00042088">
        <w:rPr>
          <w:rFonts w:asciiTheme="minorHAnsi" w:hAnsiTheme="minorHAnsi" w:cstheme="minorHAnsi"/>
        </w:rPr>
        <w:t xml:space="preserve"> </w:t>
      </w:r>
      <w:r w:rsidR="002C2E01" w:rsidRPr="00042088">
        <w:rPr>
          <w:rFonts w:asciiTheme="minorHAnsi" w:hAnsiTheme="minorHAnsi" w:cstheme="minorHAnsi"/>
        </w:rPr>
        <w:t xml:space="preserve">its </w:t>
      </w:r>
      <w:r w:rsidR="00123AFE" w:rsidRPr="00042088">
        <w:rPr>
          <w:rFonts w:asciiTheme="minorHAnsi" w:hAnsiTheme="minorHAnsi" w:cstheme="minorHAnsi"/>
        </w:rPr>
        <w:t>Final Determination, MOFCOM defined the "domestic industry" as those domestic producers whose collective output of the products constituted a major proportion of the total domestic production. The Appellate Body has explained that there are quantitative and qualitative elements of the requirement for a "major proportion of total domestic production".</w:t>
      </w:r>
      <w:r w:rsidR="00A459D8" w:rsidRPr="00042088">
        <w:rPr>
          <w:rStyle w:val="FootnoteReference"/>
          <w:rFonts w:asciiTheme="minorHAnsi" w:hAnsiTheme="minorHAnsi" w:cstheme="minorHAnsi"/>
        </w:rPr>
        <w:footnoteReference w:id="2"/>
      </w:r>
      <w:r w:rsidR="00123AFE" w:rsidRPr="00C37623">
        <w:rPr>
          <w:rFonts w:asciiTheme="minorHAnsi" w:hAnsiTheme="minorHAnsi" w:cstheme="minorHAnsi"/>
        </w:rPr>
        <w:t xml:space="preserve"> MOFCOM's approach failed to satisfy either of these elements.</w:t>
      </w:r>
    </w:p>
    <w:p w14:paraId="581B762C" w14:textId="66E4C8E8" w:rsidR="00563924" w:rsidRPr="00C37623" w:rsidRDefault="00123AFE" w:rsidP="00137910">
      <w:pPr>
        <w:pStyle w:val="P1-N1Paragraph1-Number1"/>
        <w:rPr>
          <w:rFonts w:asciiTheme="minorHAnsi" w:hAnsiTheme="minorHAnsi" w:cstheme="minorHAnsi"/>
        </w:rPr>
      </w:pPr>
      <w:r w:rsidRPr="00C37623">
        <w:rPr>
          <w:rFonts w:asciiTheme="minorHAnsi" w:hAnsiTheme="minorHAnsi" w:cstheme="minorHAnsi"/>
        </w:rPr>
        <w:t xml:space="preserve">In respect of the quantitative element, MOFCOM's finding that the collective output of 21 questionnaire respondents constituted a major proportion of the total domestic production was undermined by its failure to properly establish the volume of total domestic production. </w:t>
      </w:r>
      <w:r w:rsidR="001C49B8" w:rsidRPr="00C37623">
        <w:rPr>
          <w:rFonts w:asciiTheme="minorHAnsi" w:hAnsiTheme="minorHAnsi" w:cstheme="minorHAnsi"/>
        </w:rPr>
        <w:t>Lacking any direct evidence</w:t>
      </w:r>
      <w:r w:rsidR="00102D1D" w:rsidRPr="00C37623">
        <w:rPr>
          <w:rFonts w:asciiTheme="minorHAnsi" w:hAnsiTheme="minorHAnsi" w:cstheme="minorHAnsi"/>
        </w:rPr>
        <w:t>,</w:t>
      </w:r>
      <w:r w:rsidR="001C49B8" w:rsidRPr="00C37623">
        <w:rPr>
          <w:rFonts w:asciiTheme="minorHAnsi" w:hAnsiTheme="minorHAnsi" w:cstheme="minorHAnsi"/>
        </w:rPr>
        <w:t xml:space="preserve"> </w:t>
      </w:r>
      <w:r w:rsidR="008A2D55" w:rsidRPr="00C37623">
        <w:rPr>
          <w:rFonts w:asciiTheme="minorHAnsi" w:hAnsiTheme="minorHAnsi" w:cstheme="minorHAnsi"/>
        </w:rPr>
        <w:t>MOFCOM</w:t>
      </w:r>
      <w:r w:rsidRPr="00C37623">
        <w:rPr>
          <w:rFonts w:asciiTheme="minorHAnsi" w:hAnsiTheme="minorHAnsi" w:cstheme="minorHAnsi"/>
        </w:rPr>
        <w:t xml:space="preserve"> purported to </w:t>
      </w:r>
      <w:r w:rsidR="001C49B8" w:rsidRPr="00C37623">
        <w:rPr>
          <w:rFonts w:asciiTheme="minorHAnsi" w:hAnsiTheme="minorHAnsi" w:cstheme="minorHAnsi"/>
        </w:rPr>
        <w:t>estimate domestic production.</w:t>
      </w:r>
      <w:r w:rsidRPr="00C37623">
        <w:rPr>
          <w:rFonts w:asciiTheme="minorHAnsi" w:hAnsiTheme="minorHAnsi" w:cstheme="minorHAnsi"/>
        </w:rPr>
        <w:t xml:space="preserve"> </w:t>
      </w:r>
      <w:r w:rsidR="001C49B8" w:rsidRPr="00C37623">
        <w:rPr>
          <w:rFonts w:asciiTheme="minorHAnsi" w:hAnsiTheme="minorHAnsi" w:cstheme="minorHAnsi"/>
        </w:rPr>
        <w:t>I</w:t>
      </w:r>
      <w:r w:rsidR="004E6555" w:rsidRPr="00C37623">
        <w:rPr>
          <w:rFonts w:asciiTheme="minorHAnsi" w:hAnsiTheme="minorHAnsi" w:cstheme="minorHAnsi"/>
        </w:rPr>
        <w:t xml:space="preserve">t </w:t>
      </w:r>
      <w:r w:rsidRPr="00C37623">
        <w:rPr>
          <w:rFonts w:asciiTheme="minorHAnsi" w:hAnsiTheme="minorHAnsi" w:cstheme="minorHAnsi"/>
        </w:rPr>
        <w:t>provide</w:t>
      </w:r>
      <w:r w:rsidR="001C49B8" w:rsidRPr="00C37623">
        <w:rPr>
          <w:rFonts w:asciiTheme="minorHAnsi" w:hAnsiTheme="minorHAnsi" w:cstheme="minorHAnsi"/>
        </w:rPr>
        <w:t>d</w:t>
      </w:r>
      <w:r w:rsidRPr="00C37623">
        <w:rPr>
          <w:rFonts w:asciiTheme="minorHAnsi" w:hAnsiTheme="minorHAnsi" w:cstheme="minorHAnsi"/>
        </w:rPr>
        <w:t xml:space="preserve"> only a vague </w:t>
      </w:r>
      <w:r w:rsidR="001C49B8" w:rsidRPr="00C37623">
        <w:rPr>
          <w:rFonts w:asciiTheme="minorHAnsi" w:hAnsiTheme="minorHAnsi" w:cstheme="minorHAnsi"/>
        </w:rPr>
        <w:t xml:space="preserve">explanation of its method, </w:t>
      </w:r>
      <w:r w:rsidRPr="00C37623">
        <w:rPr>
          <w:rFonts w:asciiTheme="minorHAnsi" w:hAnsiTheme="minorHAnsi" w:cstheme="minorHAnsi"/>
        </w:rPr>
        <w:t>stating that it "surveyed the actual domestic output through different means" and "relied on data provided by" one or more "authoritative domestic organization(s)" to calculate an estimate that it "believed … was reasonable"</w:t>
      </w:r>
      <w:r w:rsidR="00761531" w:rsidRPr="00C37623">
        <w:rPr>
          <w:rFonts w:asciiTheme="minorHAnsi" w:hAnsiTheme="minorHAnsi" w:cstheme="minorHAnsi"/>
        </w:rPr>
        <w:t>.</w:t>
      </w:r>
      <w:r w:rsidR="00761531" w:rsidRPr="00C37623">
        <w:rPr>
          <w:rStyle w:val="FootnoteReference"/>
          <w:rFonts w:asciiTheme="minorHAnsi" w:hAnsiTheme="minorHAnsi" w:cstheme="minorHAnsi"/>
        </w:rPr>
        <w:footnoteReference w:id="3"/>
      </w:r>
      <w:r w:rsidRPr="00C37623">
        <w:rPr>
          <w:rFonts w:asciiTheme="minorHAnsi" w:hAnsiTheme="minorHAnsi" w:cstheme="minorHAnsi"/>
        </w:rPr>
        <w:t xml:space="preserve"> </w:t>
      </w:r>
      <w:r w:rsidR="001C49B8" w:rsidRPr="00C37623">
        <w:rPr>
          <w:rFonts w:asciiTheme="minorHAnsi" w:hAnsiTheme="minorHAnsi" w:cstheme="minorHAnsi"/>
        </w:rPr>
        <w:t>No further explanation was provided. There is no evidence on</w:t>
      </w:r>
      <w:r w:rsidRPr="00C37623">
        <w:rPr>
          <w:rFonts w:asciiTheme="minorHAnsi" w:hAnsiTheme="minorHAnsi" w:cstheme="minorHAnsi"/>
        </w:rPr>
        <w:t xml:space="preserve"> </w:t>
      </w:r>
      <w:r w:rsidR="001C49B8" w:rsidRPr="00C37623">
        <w:rPr>
          <w:rFonts w:asciiTheme="minorHAnsi" w:hAnsiTheme="minorHAnsi" w:cstheme="minorHAnsi"/>
        </w:rPr>
        <w:t xml:space="preserve">the </w:t>
      </w:r>
      <w:r w:rsidRPr="00C37623">
        <w:rPr>
          <w:rFonts w:asciiTheme="minorHAnsi" w:hAnsiTheme="minorHAnsi" w:cstheme="minorHAnsi"/>
        </w:rPr>
        <w:t>record</w:t>
      </w:r>
      <w:r w:rsidR="00660AE0" w:rsidRPr="00C37623">
        <w:rPr>
          <w:rFonts w:asciiTheme="minorHAnsi" w:hAnsiTheme="minorHAnsi" w:cstheme="minorHAnsi"/>
        </w:rPr>
        <w:t xml:space="preserve"> </w:t>
      </w:r>
      <w:r w:rsidR="00EB3DD4" w:rsidRPr="00C37623">
        <w:rPr>
          <w:rFonts w:asciiTheme="minorHAnsi" w:hAnsiTheme="minorHAnsi" w:cstheme="minorHAnsi"/>
        </w:rPr>
        <w:t xml:space="preserve">concerning </w:t>
      </w:r>
      <w:r w:rsidR="00660AE0" w:rsidRPr="00C37623">
        <w:rPr>
          <w:rFonts w:asciiTheme="minorHAnsi" w:hAnsiTheme="minorHAnsi" w:cstheme="minorHAnsi"/>
        </w:rPr>
        <w:t xml:space="preserve">the </w:t>
      </w:r>
      <w:r w:rsidR="00775E50" w:rsidRPr="00C37623">
        <w:rPr>
          <w:rFonts w:asciiTheme="minorHAnsi" w:hAnsiTheme="minorHAnsi" w:cstheme="minorHAnsi"/>
        </w:rPr>
        <w:t xml:space="preserve">calculation methodology, </w:t>
      </w:r>
      <w:r w:rsidR="00660AE0" w:rsidRPr="00C37623">
        <w:rPr>
          <w:rFonts w:asciiTheme="minorHAnsi" w:hAnsiTheme="minorHAnsi" w:cstheme="minorHAnsi"/>
        </w:rPr>
        <w:t>the underlying data</w:t>
      </w:r>
      <w:r w:rsidR="00EB3DD4" w:rsidRPr="00C37623">
        <w:rPr>
          <w:rFonts w:asciiTheme="minorHAnsi" w:hAnsiTheme="minorHAnsi" w:cstheme="minorHAnsi"/>
        </w:rPr>
        <w:t xml:space="preserve"> used</w:t>
      </w:r>
      <w:r w:rsidR="00775E50" w:rsidRPr="00C37623">
        <w:rPr>
          <w:rFonts w:asciiTheme="minorHAnsi" w:hAnsiTheme="minorHAnsi" w:cstheme="minorHAnsi"/>
        </w:rPr>
        <w:t xml:space="preserve"> in the calculation, or the calculation itself</w:t>
      </w:r>
      <w:r w:rsidRPr="00C37623">
        <w:rPr>
          <w:rFonts w:asciiTheme="minorHAnsi" w:hAnsiTheme="minorHAnsi" w:cstheme="minorHAnsi"/>
        </w:rPr>
        <w:t xml:space="preserve">. </w:t>
      </w:r>
    </w:p>
    <w:p w14:paraId="74050FB1" w14:textId="0E2F3237" w:rsidR="00D6277C" w:rsidRPr="00C37623" w:rsidRDefault="00123AFE" w:rsidP="00137910">
      <w:pPr>
        <w:pStyle w:val="P1-N1Paragraph1-Number1"/>
        <w:rPr>
          <w:rFonts w:asciiTheme="minorHAnsi" w:hAnsiTheme="minorHAnsi" w:cstheme="minorHAnsi"/>
        </w:rPr>
      </w:pPr>
      <w:r w:rsidRPr="00C37623">
        <w:rPr>
          <w:rFonts w:asciiTheme="minorHAnsi" w:hAnsiTheme="minorHAnsi" w:cstheme="minorHAnsi"/>
        </w:rPr>
        <w:t xml:space="preserve">The qualitative component requires </w:t>
      </w:r>
      <w:r w:rsidR="00B41AB3" w:rsidRPr="00C37623">
        <w:rPr>
          <w:rFonts w:asciiTheme="minorHAnsi" w:hAnsiTheme="minorHAnsi" w:cstheme="minorHAnsi"/>
        </w:rPr>
        <w:t xml:space="preserve">that </w:t>
      </w:r>
      <w:r w:rsidR="00C72C5B">
        <w:rPr>
          <w:rFonts w:asciiTheme="minorHAnsi" w:hAnsiTheme="minorHAnsi" w:cstheme="minorHAnsi"/>
        </w:rPr>
        <w:t xml:space="preserve">it be established that </w:t>
      </w:r>
      <w:r w:rsidRPr="00C37623">
        <w:rPr>
          <w:rFonts w:asciiTheme="minorHAnsi" w:hAnsiTheme="minorHAnsi" w:cstheme="minorHAnsi"/>
        </w:rPr>
        <w:t xml:space="preserve">the producers forming the domestic industry </w:t>
      </w:r>
      <w:r w:rsidR="00B41AB3" w:rsidRPr="00C37623">
        <w:rPr>
          <w:rFonts w:asciiTheme="minorHAnsi" w:hAnsiTheme="minorHAnsi" w:cstheme="minorHAnsi"/>
        </w:rPr>
        <w:t>are</w:t>
      </w:r>
      <w:r w:rsidRPr="00C37623">
        <w:rPr>
          <w:rFonts w:asciiTheme="minorHAnsi" w:hAnsiTheme="minorHAnsi" w:cstheme="minorHAnsi"/>
        </w:rPr>
        <w:t xml:space="preserve"> representative of total domestic production. MOFCOM's definition of domestic industry included only the 21 domestic producers, all members of CADA, that chose to respond to the domestic questionnaire. MOFCOM undertook no steps to ensure the representativeness of this group. </w:t>
      </w:r>
    </w:p>
    <w:p w14:paraId="3927D914" w14:textId="4F43B860" w:rsidR="00123AFE" w:rsidRPr="00C37623" w:rsidRDefault="00B41AB3" w:rsidP="00137910">
      <w:pPr>
        <w:pStyle w:val="P1-N1Paragraph1-Number1"/>
        <w:rPr>
          <w:rFonts w:asciiTheme="minorHAnsi" w:hAnsiTheme="minorHAnsi" w:cstheme="minorHAnsi"/>
        </w:rPr>
      </w:pPr>
      <w:r w:rsidRPr="00C37623">
        <w:rPr>
          <w:rFonts w:asciiTheme="minorHAnsi" w:hAnsiTheme="minorHAnsi" w:cstheme="minorHAnsi"/>
        </w:rPr>
        <w:t>This definition of</w:t>
      </w:r>
      <w:r w:rsidR="00123AFE" w:rsidRPr="00C37623">
        <w:rPr>
          <w:rFonts w:asciiTheme="minorHAnsi" w:hAnsiTheme="minorHAnsi" w:cstheme="minorHAnsi"/>
        </w:rPr>
        <w:t xml:space="preserve"> </w:t>
      </w:r>
      <w:r w:rsidR="00775E50" w:rsidRPr="00C37623">
        <w:rPr>
          <w:rFonts w:asciiTheme="minorHAnsi" w:hAnsiTheme="minorHAnsi" w:cstheme="minorHAnsi"/>
        </w:rPr>
        <w:t xml:space="preserve">the </w:t>
      </w:r>
      <w:r w:rsidR="00123AFE" w:rsidRPr="00C37623">
        <w:rPr>
          <w:rFonts w:asciiTheme="minorHAnsi" w:hAnsiTheme="minorHAnsi" w:cstheme="minorHAnsi"/>
        </w:rPr>
        <w:t xml:space="preserve">domestic </w:t>
      </w:r>
      <w:r w:rsidR="00775E50" w:rsidRPr="00C37623">
        <w:rPr>
          <w:rFonts w:asciiTheme="minorHAnsi" w:hAnsiTheme="minorHAnsi" w:cstheme="minorHAnsi"/>
        </w:rPr>
        <w:t xml:space="preserve">industry </w:t>
      </w:r>
      <w:r w:rsidR="00123AFE" w:rsidRPr="00C37623">
        <w:rPr>
          <w:rFonts w:asciiTheme="minorHAnsi" w:hAnsiTheme="minorHAnsi" w:cstheme="minorHAnsi"/>
        </w:rPr>
        <w:t>exclude</w:t>
      </w:r>
      <w:r w:rsidRPr="00C37623">
        <w:rPr>
          <w:rFonts w:asciiTheme="minorHAnsi" w:hAnsiTheme="minorHAnsi" w:cstheme="minorHAnsi"/>
        </w:rPr>
        <w:t>d</w:t>
      </w:r>
      <w:r w:rsidR="00123AFE" w:rsidRPr="00C37623">
        <w:rPr>
          <w:rFonts w:asciiTheme="minorHAnsi" w:hAnsiTheme="minorHAnsi" w:cstheme="minorHAnsi"/>
        </w:rPr>
        <w:t xml:space="preserve"> not only the majority of CADA members, but also the hundreds of domestic producers that were not CADA members.</w:t>
      </w:r>
    </w:p>
    <w:p w14:paraId="4C3AEE18" w14:textId="336C9731" w:rsidR="00E637A8" w:rsidRPr="00C37623" w:rsidRDefault="00D83BAF" w:rsidP="00123AFE">
      <w:pPr>
        <w:pStyle w:val="P1-N1Paragraph1-Number1"/>
        <w:rPr>
          <w:rFonts w:asciiTheme="minorHAnsi" w:hAnsiTheme="minorHAnsi" w:cstheme="minorHAnsi"/>
        </w:rPr>
      </w:pPr>
      <w:r w:rsidRPr="00C37623">
        <w:rPr>
          <w:rFonts w:asciiTheme="minorHAnsi" w:hAnsiTheme="minorHAnsi" w:cstheme="minorHAnsi"/>
        </w:rPr>
        <w:t xml:space="preserve">MOFCOM's </w:t>
      </w:r>
      <w:r w:rsidR="002A6281" w:rsidRPr="00C37623">
        <w:rPr>
          <w:rFonts w:asciiTheme="minorHAnsi" w:hAnsiTheme="minorHAnsi" w:cstheme="minorHAnsi"/>
        </w:rPr>
        <w:t xml:space="preserve">failure to </w:t>
      </w:r>
      <w:r w:rsidR="0043134E" w:rsidRPr="00C37623">
        <w:rPr>
          <w:rFonts w:asciiTheme="minorHAnsi" w:hAnsiTheme="minorHAnsi" w:cstheme="minorHAnsi"/>
        </w:rPr>
        <w:t xml:space="preserve">properly determine </w:t>
      </w:r>
      <w:r w:rsidR="008B27E1" w:rsidRPr="00C37623">
        <w:rPr>
          <w:rFonts w:asciiTheme="minorHAnsi" w:hAnsiTheme="minorHAnsi" w:cstheme="minorHAnsi"/>
        </w:rPr>
        <w:t xml:space="preserve">both the quantitative and qualitative components </w:t>
      </w:r>
      <w:r w:rsidR="005825A5" w:rsidRPr="00C37623">
        <w:rPr>
          <w:rFonts w:asciiTheme="minorHAnsi" w:hAnsiTheme="minorHAnsi" w:cstheme="minorHAnsi"/>
        </w:rPr>
        <w:t>in its definition of "</w:t>
      </w:r>
      <w:r w:rsidR="008B27E1" w:rsidRPr="00C37623">
        <w:rPr>
          <w:rFonts w:asciiTheme="minorHAnsi" w:hAnsiTheme="minorHAnsi" w:cstheme="minorHAnsi"/>
        </w:rPr>
        <w:t>domestic industry</w:t>
      </w:r>
      <w:r w:rsidR="005825A5" w:rsidRPr="00C37623">
        <w:rPr>
          <w:rFonts w:asciiTheme="minorHAnsi" w:hAnsiTheme="minorHAnsi" w:cstheme="minorHAnsi"/>
        </w:rPr>
        <w:t>"</w:t>
      </w:r>
      <w:r w:rsidR="008B27E1" w:rsidRPr="00C37623">
        <w:rPr>
          <w:rFonts w:asciiTheme="minorHAnsi" w:hAnsiTheme="minorHAnsi" w:cstheme="minorHAnsi"/>
        </w:rPr>
        <w:t xml:space="preserve"> </w:t>
      </w:r>
      <w:r w:rsidR="00123AFE" w:rsidRPr="00C37623">
        <w:rPr>
          <w:rFonts w:asciiTheme="minorHAnsi" w:hAnsiTheme="minorHAnsi" w:cstheme="minorHAnsi"/>
        </w:rPr>
        <w:t>introduced a material risk of distortion, undermining the foundation of the injury and causation analysis.</w:t>
      </w:r>
    </w:p>
    <w:p w14:paraId="29AF9558" w14:textId="40922302" w:rsidR="00E637A8" w:rsidRPr="00C37623" w:rsidRDefault="00796C6F" w:rsidP="003A5214">
      <w:pPr>
        <w:pStyle w:val="HL1HeadingLevel1"/>
        <w:rPr>
          <w:rFonts w:asciiTheme="minorHAnsi" w:hAnsiTheme="minorHAnsi" w:cstheme="minorHAnsi"/>
        </w:rPr>
      </w:pPr>
      <w:bookmarkStart w:id="5" w:name="_Toc113344012"/>
      <w:r w:rsidRPr="00C37623">
        <w:rPr>
          <w:rFonts w:asciiTheme="minorHAnsi" w:hAnsiTheme="minorHAnsi" w:cstheme="minorHAnsi"/>
        </w:rPr>
        <w:lastRenderedPageBreak/>
        <w:t>Dumping determination</w:t>
      </w:r>
      <w:bookmarkEnd w:id="5"/>
    </w:p>
    <w:p w14:paraId="39D5179A" w14:textId="5C17C665" w:rsidR="000D2755" w:rsidRPr="00C37623" w:rsidRDefault="00941006" w:rsidP="00941006">
      <w:pPr>
        <w:pStyle w:val="HL2HeadingLevel2"/>
        <w:rPr>
          <w:rFonts w:asciiTheme="minorHAnsi" w:hAnsiTheme="minorHAnsi" w:cstheme="minorHAnsi"/>
        </w:rPr>
      </w:pPr>
      <w:bookmarkStart w:id="6" w:name="_Toc113344013"/>
      <w:r w:rsidRPr="00C37623">
        <w:rPr>
          <w:rFonts w:asciiTheme="minorHAnsi" w:hAnsiTheme="minorHAnsi" w:cstheme="minorHAnsi"/>
        </w:rPr>
        <w:t>The anti-dumping duties are absurd on their face</w:t>
      </w:r>
      <w:bookmarkEnd w:id="6"/>
    </w:p>
    <w:p w14:paraId="245D35EA" w14:textId="49684C54" w:rsidR="00816894" w:rsidRPr="00C37623" w:rsidRDefault="00816894" w:rsidP="0099644A">
      <w:pPr>
        <w:pStyle w:val="P1-N1Paragraph1-Number1"/>
        <w:rPr>
          <w:rFonts w:asciiTheme="minorHAnsi" w:hAnsiTheme="minorHAnsi" w:cstheme="minorHAnsi"/>
        </w:rPr>
      </w:pPr>
      <w:r w:rsidRPr="00C37623">
        <w:rPr>
          <w:rFonts w:asciiTheme="minorHAnsi" w:hAnsiTheme="minorHAnsi" w:cstheme="minorHAnsi"/>
        </w:rPr>
        <w:t xml:space="preserve">MOFCOM imposed anti-dumping duties ranging from 116.2% to 218.4%. </w:t>
      </w:r>
      <w:r w:rsidR="00B41AB3" w:rsidRPr="00C37623">
        <w:rPr>
          <w:rFonts w:asciiTheme="minorHAnsi" w:hAnsiTheme="minorHAnsi" w:cstheme="minorHAnsi"/>
        </w:rPr>
        <w:t>Duties at this level are absurd</w:t>
      </w:r>
      <w:r w:rsidR="00870352" w:rsidRPr="00C37623">
        <w:rPr>
          <w:rFonts w:asciiTheme="minorHAnsi" w:hAnsiTheme="minorHAnsi" w:cstheme="minorHAnsi"/>
        </w:rPr>
        <w:t xml:space="preserve"> in the light of </w:t>
      </w:r>
      <w:r w:rsidRPr="00C37623">
        <w:rPr>
          <w:rFonts w:asciiTheme="minorHAnsi" w:hAnsiTheme="minorHAnsi" w:cstheme="minorHAnsi"/>
        </w:rPr>
        <w:t>the</w:t>
      </w:r>
      <w:r w:rsidR="00131CFF">
        <w:rPr>
          <w:rFonts w:asciiTheme="minorHAnsi" w:hAnsiTheme="minorHAnsi" w:cstheme="minorHAnsi"/>
        </w:rPr>
        <w:t xml:space="preserve"> three</w:t>
      </w:r>
      <w:r w:rsidRPr="00C37623">
        <w:rPr>
          <w:rFonts w:asciiTheme="minorHAnsi" w:hAnsiTheme="minorHAnsi" w:cstheme="minorHAnsi"/>
        </w:rPr>
        <w:t xml:space="preserve"> sampled companies</w:t>
      </w:r>
      <w:r w:rsidR="00C96438" w:rsidRPr="00C37623">
        <w:rPr>
          <w:rFonts w:asciiTheme="minorHAnsi" w:hAnsiTheme="minorHAnsi" w:cstheme="minorHAnsi"/>
        </w:rPr>
        <w:t>'</w:t>
      </w:r>
      <w:r w:rsidRPr="00C37623">
        <w:rPr>
          <w:rFonts w:asciiTheme="minorHAnsi" w:hAnsiTheme="minorHAnsi" w:cstheme="minorHAnsi"/>
        </w:rPr>
        <w:t xml:space="preserve"> profitability, the actual domestic and export prices of Australian wine, and </w:t>
      </w:r>
      <w:r w:rsidR="00870352" w:rsidRPr="00C37623">
        <w:rPr>
          <w:rFonts w:asciiTheme="minorHAnsi" w:hAnsiTheme="minorHAnsi" w:cstheme="minorHAnsi"/>
        </w:rPr>
        <w:t xml:space="preserve">the </w:t>
      </w:r>
      <w:r w:rsidRPr="00C37623">
        <w:rPr>
          <w:rFonts w:asciiTheme="minorHAnsi" w:hAnsiTheme="minorHAnsi" w:cstheme="minorHAnsi"/>
        </w:rPr>
        <w:t>highly developed nature of the Australian wine industry.</w:t>
      </w:r>
    </w:p>
    <w:p w14:paraId="26EA064F" w14:textId="60566D6D" w:rsidR="00816894" w:rsidRPr="00C37623" w:rsidRDefault="00D310A4" w:rsidP="00816894">
      <w:pPr>
        <w:pStyle w:val="P1-N1Paragraph1-Number1"/>
        <w:rPr>
          <w:rFonts w:asciiTheme="minorHAnsi" w:hAnsiTheme="minorHAnsi" w:cstheme="minorHAnsi"/>
        </w:rPr>
      </w:pPr>
      <w:r w:rsidRPr="00C37623">
        <w:rPr>
          <w:rFonts w:asciiTheme="minorHAnsi" w:hAnsiTheme="minorHAnsi" w:cstheme="minorHAnsi"/>
        </w:rPr>
        <w:t xml:space="preserve">Turning first to </w:t>
      </w:r>
      <w:r w:rsidR="00816894" w:rsidRPr="00C37623">
        <w:rPr>
          <w:rFonts w:asciiTheme="minorHAnsi" w:hAnsiTheme="minorHAnsi" w:cstheme="minorHAnsi"/>
        </w:rPr>
        <w:t>Treasury</w:t>
      </w:r>
      <w:r w:rsidR="00360511" w:rsidRPr="00C37623">
        <w:rPr>
          <w:rFonts w:asciiTheme="minorHAnsi" w:hAnsiTheme="minorHAnsi" w:cstheme="minorHAnsi"/>
        </w:rPr>
        <w:t>.</w:t>
      </w:r>
      <w:r w:rsidR="00816894" w:rsidRPr="00C37623">
        <w:rPr>
          <w:rFonts w:asciiTheme="minorHAnsi" w:hAnsiTheme="minorHAnsi" w:cstheme="minorHAnsi"/>
        </w:rPr>
        <w:t xml:space="preserve"> </w:t>
      </w:r>
      <w:r w:rsidR="00360511" w:rsidRPr="00C37623">
        <w:rPr>
          <w:rFonts w:asciiTheme="minorHAnsi" w:hAnsiTheme="minorHAnsi" w:cstheme="minorHAnsi"/>
        </w:rPr>
        <w:t>T</w:t>
      </w:r>
      <w:r w:rsidR="00816894" w:rsidRPr="00C37623">
        <w:rPr>
          <w:rFonts w:asciiTheme="minorHAnsi" w:hAnsiTheme="minorHAnsi" w:cstheme="minorHAnsi"/>
        </w:rPr>
        <w:t xml:space="preserve">he dumping margin of 175.6% was the result of MOFCOM rejecting </w:t>
      </w:r>
      <w:r w:rsidR="00E16B1A" w:rsidRPr="00F71AD0">
        <w:rPr>
          <w:rFonts w:asciiTheme="minorHAnsi" w:hAnsiTheme="minorHAnsi" w:cstheme="minorHAnsi"/>
          <w:highlight w:val="black"/>
        </w:rPr>
        <w:t>[[</w:t>
      </w:r>
      <w:r w:rsidR="00220629" w:rsidRPr="00F71AD0">
        <w:rPr>
          <w:rFonts w:asciiTheme="minorHAnsi" w:hAnsiTheme="minorHAnsi" w:cstheme="minorHAnsi"/>
          <w:highlight w:val="black"/>
        </w:rPr>
        <w:t>XX</w:t>
      </w:r>
      <w:r w:rsidR="00220629" w:rsidRPr="00E26C65">
        <w:rPr>
          <w:rFonts w:asciiTheme="minorHAnsi" w:hAnsiTheme="minorHAnsi" w:cstheme="minorHAnsi"/>
          <w:highlight w:val="black"/>
        </w:rPr>
        <w:t xml:space="preserve">XXXXXXXXXXXXXXXXXXXXXXXXXXXXXXXXXXXXXXXXXXXXXXXXXXXXXXXXXXX </w:t>
      </w:r>
      <w:r w:rsidR="00E26C65" w:rsidRPr="00E26C65">
        <w:rPr>
          <w:rFonts w:asciiTheme="minorHAnsi" w:hAnsiTheme="minorHAnsi" w:cstheme="minorHAnsi"/>
          <w:highlight w:val="black"/>
        </w:rPr>
        <w:t>XXXX</w:t>
      </w:r>
      <w:r w:rsidR="00E16B1A" w:rsidRPr="00E26C65">
        <w:rPr>
          <w:rFonts w:asciiTheme="minorHAnsi" w:hAnsiTheme="minorHAnsi" w:cstheme="minorHAnsi"/>
          <w:highlight w:val="black"/>
        </w:rPr>
        <w:t>]]</w:t>
      </w:r>
      <w:r w:rsidR="00816894" w:rsidRPr="00C37623">
        <w:rPr>
          <w:rFonts w:asciiTheme="minorHAnsi" w:hAnsiTheme="minorHAnsi" w:cstheme="minorHAnsi"/>
        </w:rPr>
        <w:t xml:space="preserve"> </w:t>
      </w:r>
      <w:r w:rsidR="00B41AB3" w:rsidRPr="00C37623">
        <w:rPr>
          <w:rFonts w:asciiTheme="minorHAnsi" w:hAnsiTheme="minorHAnsi" w:cstheme="minorHAnsi"/>
        </w:rPr>
        <w:t xml:space="preserve">This </w:t>
      </w:r>
      <w:r w:rsidR="004F44DB" w:rsidRPr="00C37623">
        <w:rPr>
          <w:rFonts w:asciiTheme="minorHAnsi" w:hAnsiTheme="minorHAnsi" w:cstheme="minorHAnsi"/>
        </w:rPr>
        <w:t>finding stands at odds</w:t>
      </w:r>
      <w:r w:rsidR="00816894" w:rsidRPr="00C37623">
        <w:rPr>
          <w:rFonts w:asciiTheme="minorHAnsi" w:hAnsiTheme="minorHAnsi" w:cstheme="minorHAnsi"/>
        </w:rPr>
        <w:t xml:space="preserve"> with Treasury</w:t>
      </w:r>
      <w:r w:rsidR="005F6A82">
        <w:rPr>
          <w:rFonts w:asciiTheme="minorHAnsi" w:hAnsiTheme="minorHAnsi" w:cstheme="minorHAnsi"/>
        </w:rPr>
        <w:t>'s</w:t>
      </w:r>
      <w:r w:rsidR="00816894" w:rsidRPr="00C37623">
        <w:rPr>
          <w:rFonts w:asciiTheme="minorHAnsi" w:hAnsiTheme="minorHAnsi" w:cstheme="minorHAnsi"/>
        </w:rPr>
        <w:t xml:space="preserve"> reputation as a highly successful company listed on the Australian Stock Exchange</w:t>
      </w:r>
      <w:r w:rsidR="00B41AB3" w:rsidRPr="00C37623">
        <w:rPr>
          <w:rFonts w:asciiTheme="minorHAnsi" w:hAnsiTheme="minorHAnsi" w:cstheme="minorHAnsi"/>
        </w:rPr>
        <w:t xml:space="preserve">, and the clear evidence before MOFCOM that Treasury made a net profit of </w:t>
      </w:r>
      <w:r w:rsidR="00B41AB3"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w:t>
      </w:r>
      <w:r w:rsidR="00870352" w:rsidRPr="00E26C65">
        <w:rPr>
          <w:rFonts w:asciiTheme="minorHAnsi" w:hAnsiTheme="minorHAnsi" w:cstheme="minorHAnsi"/>
          <w:highlight w:val="black"/>
        </w:rPr>
        <w:t>]]</w:t>
      </w:r>
      <w:r w:rsidR="00B41AB3" w:rsidRPr="00C37623">
        <w:rPr>
          <w:rFonts w:asciiTheme="minorHAnsi" w:hAnsiTheme="minorHAnsi" w:cstheme="minorHAnsi"/>
        </w:rPr>
        <w:t xml:space="preserve"> during the period of investigation</w:t>
      </w:r>
      <w:r w:rsidR="00816894" w:rsidRPr="00C37623">
        <w:rPr>
          <w:rFonts w:asciiTheme="minorHAnsi" w:hAnsiTheme="minorHAnsi" w:cstheme="minorHAnsi"/>
        </w:rPr>
        <w:t xml:space="preserve">. It is </w:t>
      </w:r>
      <w:r w:rsidR="00B41AB3" w:rsidRPr="00C37623">
        <w:rPr>
          <w:rFonts w:asciiTheme="minorHAnsi" w:hAnsiTheme="minorHAnsi" w:cstheme="minorHAnsi"/>
        </w:rPr>
        <w:t xml:space="preserve">absurd to suggest that </w:t>
      </w:r>
      <w:r w:rsidR="00816894" w:rsidRPr="00C37623">
        <w:rPr>
          <w:rFonts w:asciiTheme="minorHAnsi" w:hAnsiTheme="minorHAnsi" w:cstheme="minorHAnsi"/>
        </w:rPr>
        <w:t xml:space="preserve">Treasury could have recorded profits if </w:t>
      </w:r>
      <w:r w:rsidR="00E16B1A"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w:t>
      </w:r>
      <w:r w:rsidR="00C72C5B"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w:t>
      </w:r>
      <w:r w:rsidR="00E16B1A" w:rsidRPr="00E26C65">
        <w:rPr>
          <w:rFonts w:asciiTheme="minorHAnsi" w:hAnsiTheme="minorHAnsi" w:cstheme="minorHAnsi"/>
          <w:highlight w:val="black"/>
        </w:rPr>
        <w:t>]]</w:t>
      </w:r>
    </w:p>
    <w:p w14:paraId="7B00D64B" w14:textId="571606C8" w:rsidR="00816894" w:rsidRPr="00E26C65" w:rsidRDefault="00310546" w:rsidP="00816894">
      <w:pPr>
        <w:pStyle w:val="P1-N1Paragraph1-Number1"/>
        <w:rPr>
          <w:rFonts w:asciiTheme="minorHAnsi" w:hAnsiTheme="minorHAnsi" w:cstheme="minorHAnsi"/>
          <w:highlight w:val="black"/>
        </w:rPr>
      </w:pPr>
      <w:r w:rsidRPr="00C37623">
        <w:rPr>
          <w:rFonts w:asciiTheme="minorHAnsi" w:hAnsiTheme="minorHAnsi" w:cstheme="minorHAnsi"/>
        </w:rPr>
        <w:t xml:space="preserve">The implausibility of the </w:t>
      </w:r>
      <w:r w:rsidR="00992C4B" w:rsidRPr="00C37623">
        <w:rPr>
          <w:rFonts w:asciiTheme="minorHAnsi" w:hAnsiTheme="minorHAnsi" w:cstheme="minorHAnsi"/>
        </w:rPr>
        <w:t>175.6% dumping margin is confirmed by</w:t>
      </w:r>
      <w:r w:rsidRPr="00C37623">
        <w:rPr>
          <w:rFonts w:asciiTheme="minorHAnsi" w:hAnsiTheme="minorHAnsi" w:cstheme="minorHAnsi"/>
        </w:rPr>
        <w:t xml:space="preserve"> </w:t>
      </w:r>
      <w:r w:rsidR="00816894" w:rsidRPr="00C37623">
        <w:rPr>
          <w:rFonts w:asciiTheme="minorHAnsi" w:hAnsiTheme="minorHAnsi" w:cstheme="minorHAnsi"/>
        </w:rPr>
        <w:t>China</w:t>
      </w:r>
      <w:r w:rsidR="00C96438" w:rsidRPr="00C37623">
        <w:rPr>
          <w:rFonts w:asciiTheme="minorHAnsi" w:hAnsiTheme="minorHAnsi" w:cstheme="minorHAnsi"/>
        </w:rPr>
        <w:t>'</w:t>
      </w:r>
      <w:r w:rsidR="00816894" w:rsidRPr="00C37623">
        <w:rPr>
          <w:rFonts w:asciiTheme="minorHAnsi" w:hAnsiTheme="minorHAnsi" w:cstheme="minorHAnsi"/>
        </w:rPr>
        <w:t>s Exhibit</w:t>
      </w:r>
      <w:r w:rsidR="00FC68BB">
        <w:rPr>
          <w:rFonts w:asciiTheme="minorHAnsi" w:hAnsiTheme="minorHAnsi" w:cstheme="minorHAnsi"/>
        </w:rPr>
        <w:t> </w:t>
      </w:r>
      <w:r w:rsidR="00816894" w:rsidRPr="00C37623">
        <w:rPr>
          <w:rFonts w:asciiTheme="minorHAnsi" w:hAnsiTheme="minorHAnsi" w:cstheme="minorHAnsi"/>
        </w:rPr>
        <w:t>CHN</w:t>
      </w:r>
      <w:r w:rsidR="005F6A82">
        <w:rPr>
          <w:rFonts w:asciiTheme="minorHAnsi" w:hAnsiTheme="minorHAnsi" w:cstheme="minorHAnsi"/>
        </w:rPr>
        <w:noBreakHyphen/>
      </w:r>
      <w:r w:rsidR="00816894" w:rsidRPr="00C37623">
        <w:rPr>
          <w:rFonts w:asciiTheme="minorHAnsi" w:hAnsiTheme="minorHAnsi" w:cstheme="minorHAnsi"/>
        </w:rPr>
        <w:t>11 (BCI)</w:t>
      </w:r>
      <w:r w:rsidR="00992C4B" w:rsidRPr="00C37623">
        <w:rPr>
          <w:rFonts w:asciiTheme="minorHAnsi" w:hAnsiTheme="minorHAnsi" w:cstheme="minorHAnsi"/>
        </w:rPr>
        <w:t>.</w:t>
      </w:r>
      <w:r w:rsidR="00816894" w:rsidRPr="00C37623">
        <w:rPr>
          <w:rFonts w:asciiTheme="minorHAnsi" w:hAnsiTheme="minorHAnsi" w:cstheme="minorHAnsi"/>
        </w:rPr>
        <w:t xml:space="preserve"> </w:t>
      </w:r>
      <w:r w:rsidR="00992C4B" w:rsidRPr="00C37623">
        <w:rPr>
          <w:rFonts w:asciiTheme="minorHAnsi" w:hAnsiTheme="minorHAnsi" w:cstheme="minorHAnsi"/>
        </w:rPr>
        <w:t>In this exhibit</w:t>
      </w:r>
      <w:r w:rsidR="00002A44" w:rsidRPr="00C37623">
        <w:rPr>
          <w:rFonts w:asciiTheme="minorHAnsi" w:hAnsiTheme="minorHAnsi" w:cstheme="minorHAnsi"/>
        </w:rPr>
        <w:t xml:space="preserve"> </w:t>
      </w:r>
      <w:r w:rsidR="00992C4B" w:rsidRPr="00C37623">
        <w:rPr>
          <w:rFonts w:asciiTheme="minorHAnsi" w:hAnsiTheme="minorHAnsi" w:cstheme="minorHAnsi"/>
        </w:rPr>
        <w:t xml:space="preserve">China </w:t>
      </w:r>
      <w:r w:rsidR="00816894" w:rsidRPr="00C37623">
        <w:rPr>
          <w:rFonts w:asciiTheme="minorHAnsi" w:hAnsiTheme="minorHAnsi" w:cstheme="minorHAnsi"/>
        </w:rPr>
        <w:t xml:space="preserve">identifies </w:t>
      </w:r>
      <w:r w:rsidR="00E16B1A"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w:t>
      </w:r>
      <w:r w:rsidR="00816894"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816894"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816894"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5F6253"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w:t>
      </w:r>
      <w:r w:rsidR="001F163B" w:rsidRPr="00E26C65">
        <w:rPr>
          <w:rFonts w:asciiTheme="minorHAnsi" w:hAnsiTheme="minorHAnsi" w:cstheme="minorHAnsi"/>
          <w:highlight w:val="black"/>
        </w:rPr>
        <w:t>]]</w:t>
      </w:r>
    </w:p>
    <w:p w14:paraId="6A29F407" w14:textId="6E18D447" w:rsidR="00816894" w:rsidRPr="00C37623" w:rsidRDefault="00002A44" w:rsidP="00404B2F">
      <w:pPr>
        <w:pStyle w:val="P1-N1Paragraph1-Number1"/>
        <w:rPr>
          <w:rFonts w:asciiTheme="minorHAnsi" w:hAnsiTheme="minorHAnsi" w:cstheme="minorHAnsi"/>
        </w:rPr>
      </w:pPr>
      <w:r w:rsidRPr="00C37623">
        <w:rPr>
          <w:rFonts w:asciiTheme="minorHAnsi" w:hAnsiTheme="minorHAnsi" w:cstheme="minorHAnsi"/>
        </w:rPr>
        <w:t>For</w:t>
      </w:r>
      <w:r w:rsidR="00816894" w:rsidRPr="00C37623">
        <w:rPr>
          <w:rFonts w:asciiTheme="minorHAnsi" w:hAnsiTheme="minorHAnsi" w:cstheme="minorHAnsi"/>
        </w:rPr>
        <w:t xml:space="preserve"> Casella, MOFCOM calculated a dumping margin of 170.9%</w:t>
      </w:r>
      <w:r w:rsidR="00D319A0" w:rsidRPr="00C37623">
        <w:rPr>
          <w:rFonts w:asciiTheme="minorHAnsi" w:hAnsiTheme="minorHAnsi" w:cstheme="minorHAnsi"/>
        </w:rPr>
        <w:t>. It did so</w:t>
      </w:r>
      <w:r w:rsidR="00816894" w:rsidRPr="00C37623">
        <w:rPr>
          <w:rFonts w:asciiTheme="minorHAnsi" w:hAnsiTheme="minorHAnsi" w:cstheme="minorHAnsi"/>
        </w:rPr>
        <w:t xml:space="preserve"> by arbitrarily discarding Casella</w:t>
      </w:r>
      <w:r w:rsidR="003C66B1">
        <w:rPr>
          <w:rFonts w:asciiTheme="minorHAnsi" w:hAnsiTheme="minorHAnsi" w:cstheme="minorHAnsi"/>
        </w:rPr>
        <w:t>'s</w:t>
      </w:r>
      <w:r w:rsidR="00816894" w:rsidRPr="00C37623">
        <w:rPr>
          <w:rFonts w:asciiTheme="minorHAnsi" w:hAnsiTheme="minorHAnsi" w:cstheme="minorHAnsi"/>
        </w:rPr>
        <w:t xml:space="preserve"> data, and</w:t>
      </w:r>
      <w:r w:rsidRPr="00C37623">
        <w:rPr>
          <w:rFonts w:asciiTheme="minorHAnsi" w:hAnsiTheme="minorHAnsi" w:cstheme="minorHAnsi"/>
        </w:rPr>
        <w:t xml:space="preserve"> instead us</w:t>
      </w:r>
      <w:r w:rsidR="00870352" w:rsidRPr="00C37623">
        <w:rPr>
          <w:rFonts w:asciiTheme="minorHAnsi" w:hAnsiTheme="minorHAnsi" w:cstheme="minorHAnsi"/>
        </w:rPr>
        <w:t>ed</w:t>
      </w:r>
      <w:r w:rsidR="00816894" w:rsidRPr="00C37623">
        <w:rPr>
          <w:rFonts w:asciiTheme="minorHAnsi" w:hAnsiTheme="minorHAnsi" w:cstheme="minorHAnsi"/>
        </w:rPr>
        <w:t xml:space="preserve"> </w:t>
      </w:r>
      <w:r w:rsidR="001F163B"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XXXXXXXXXXXXXXXXXXXXXXXXXXXXXXXXXXXX</w:t>
      </w:r>
      <w:r w:rsidR="003424AD"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816894"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816894"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816894"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816894"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816894"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w:t>
      </w:r>
      <w:r w:rsidR="001A0119" w:rsidRPr="00E26C65">
        <w:rPr>
          <w:rFonts w:asciiTheme="minorHAnsi" w:hAnsiTheme="minorHAnsi" w:cstheme="minorHAnsi"/>
          <w:highlight w:val="black"/>
        </w:rPr>
        <w:t>]]</w:t>
      </w:r>
      <w:r w:rsidR="00816894" w:rsidRPr="00C37623">
        <w:rPr>
          <w:rFonts w:asciiTheme="minorHAnsi" w:hAnsiTheme="minorHAnsi" w:cstheme="minorHAnsi"/>
        </w:rPr>
        <w:t xml:space="preserve"> </w:t>
      </w:r>
      <w:r w:rsidR="00DE3BB7" w:rsidRPr="00C37623">
        <w:rPr>
          <w:rFonts w:asciiTheme="minorHAnsi" w:hAnsiTheme="minorHAnsi" w:cstheme="minorHAnsi"/>
        </w:rPr>
        <w:t xml:space="preserve">Moreover, </w:t>
      </w:r>
      <w:r w:rsidR="00404B2F" w:rsidRPr="00C37623">
        <w:rPr>
          <w:rFonts w:asciiTheme="minorHAnsi" w:hAnsiTheme="minorHAnsi" w:cstheme="minorHAnsi"/>
        </w:rPr>
        <w:t xml:space="preserve">MOFCOM made it impossible for Casella to make any requests for necessary </w:t>
      </w:r>
      <w:r w:rsidR="00404B2F" w:rsidRPr="00C37623">
        <w:rPr>
          <w:rFonts w:asciiTheme="minorHAnsi" w:hAnsiTheme="minorHAnsi" w:cstheme="minorHAnsi"/>
        </w:rPr>
        <w:lastRenderedPageBreak/>
        <w:t>adjustments by failing to</w:t>
      </w:r>
      <w:r w:rsidR="00816894" w:rsidRPr="00C37623">
        <w:rPr>
          <w:rFonts w:asciiTheme="minorHAnsi" w:hAnsiTheme="minorHAnsi" w:cstheme="minorHAnsi"/>
        </w:rPr>
        <w:t xml:space="preserve"> disclose the relevant data or its methodology</w:t>
      </w:r>
      <w:r w:rsidRPr="00C37623">
        <w:rPr>
          <w:rFonts w:asciiTheme="minorHAnsi" w:hAnsiTheme="minorHAnsi" w:cstheme="minorHAnsi"/>
        </w:rPr>
        <w:t>, which was only disclosed for the first time in China</w:t>
      </w:r>
      <w:r w:rsidR="00203EEC" w:rsidRPr="00C37623">
        <w:rPr>
          <w:rFonts w:asciiTheme="minorHAnsi" w:hAnsiTheme="minorHAnsi" w:cstheme="minorHAnsi"/>
        </w:rPr>
        <w:t>'</w:t>
      </w:r>
      <w:r w:rsidRPr="00C37623">
        <w:rPr>
          <w:rFonts w:asciiTheme="minorHAnsi" w:hAnsiTheme="minorHAnsi" w:cstheme="minorHAnsi"/>
        </w:rPr>
        <w:t>s first written submission</w:t>
      </w:r>
      <w:r w:rsidR="00816894" w:rsidRPr="00C37623">
        <w:rPr>
          <w:rFonts w:asciiTheme="minorHAnsi" w:hAnsiTheme="minorHAnsi" w:cstheme="minorHAnsi"/>
        </w:rPr>
        <w:t>.</w:t>
      </w:r>
    </w:p>
    <w:p w14:paraId="6683A940" w14:textId="1F74A37F" w:rsidR="00816894" w:rsidRPr="00C37623" w:rsidRDefault="00401AD3" w:rsidP="00816894">
      <w:pPr>
        <w:pStyle w:val="P1-N1Paragraph1-Number1"/>
        <w:rPr>
          <w:rFonts w:asciiTheme="minorHAnsi" w:hAnsiTheme="minorHAnsi" w:cstheme="minorHAnsi"/>
        </w:rPr>
      </w:pPr>
      <w:r w:rsidRPr="00C37623">
        <w:rPr>
          <w:rFonts w:asciiTheme="minorHAnsi" w:hAnsiTheme="minorHAnsi" w:cstheme="minorHAnsi"/>
        </w:rPr>
        <w:t>In</w:t>
      </w:r>
      <w:r w:rsidR="00DE3BB7" w:rsidRPr="00C37623">
        <w:rPr>
          <w:rFonts w:asciiTheme="minorHAnsi" w:hAnsiTheme="minorHAnsi" w:cstheme="minorHAnsi"/>
        </w:rPr>
        <w:t xml:space="preserve"> </w:t>
      </w:r>
      <w:r w:rsidR="00096AE2" w:rsidRPr="00C37623">
        <w:rPr>
          <w:rFonts w:asciiTheme="minorHAnsi" w:hAnsiTheme="minorHAnsi" w:cstheme="minorHAnsi"/>
        </w:rPr>
        <w:t xml:space="preserve">respect of the final sampled company, </w:t>
      </w:r>
      <w:r w:rsidR="00816894" w:rsidRPr="00C37623">
        <w:rPr>
          <w:rFonts w:asciiTheme="minorHAnsi" w:hAnsiTheme="minorHAnsi" w:cstheme="minorHAnsi"/>
        </w:rPr>
        <w:t>Swan</w:t>
      </w:r>
      <w:r w:rsidR="00870352" w:rsidRPr="00C37623">
        <w:rPr>
          <w:rFonts w:asciiTheme="minorHAnsi" w:hAnsiTheme="minorHAnsi" w:cstheme="minorHAnsi"/>
        </w:rPr>
        <w:t>,</w:t>
      </w:r>
      <w:r w:rsidR="00816894" w:rsidRPr="00C37623">
        <w:rPr>
          <w:rFonts w:asciiTheme="minorHAnsi" w:hAnsiTheme="minorHAnsi" w:cstheme="minorHAnsi"/>
        </w:rPr>
        <w:t xml:space="preserve"> MOFCOM calculated a dumping margin of 116.2%</w:t>
      </w:r>
      <w:r w:rsidRPr="00C37623">
        <w:rPr>
          <w:rFonts w:asciiTheme="minorHAnsi" w:hAnsiTheme="minorHAnsi" w:cstheme="minorHAnsi"/>
        </w:rPr>
        <w:t xml:space="preserve">. </w:t>
      </w:r>
      <w:r w:rsidR="001A0119"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XXXXXXXXXXXXXXXXXXXXXXXXXXXXXXXXXXXXXXXXXXXXXXXXXXXX</w:t>
      </w:r>
      <w:r w:rsidR="00870352"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w:t>
      </w:r>
      <w:r w:rsidR="001A0119" w:rsidRPr="00E26C65">
        <w:rPr>
          <w:rFonts w:asciiTheme="minorHAnsi" w:hAnsiTheme="minorHAnsi" w:cstheme="minorHAnsi"/>
          <w:highlight w:val="black"/>
        </w:rPr>
        <w:t>]]</w:t>
      </w:r>
      <w:r w:rsidR="00816894" w:rsidRPr="00C37623">
        <w:rPr>
          <w:rFonts w:asciiTheme="minorHAnsi" w:hAnsiTheme="minorHAnsi" w:cstheme="minorHAnsi"/>
        </w:rPr>
        <w:t xml:space="preserve"> </w:t>
      </w:r>
    </w:p>
    <w:p w14:paraId="1072930F" w14:textId="22CBDDBA" w:rsidR="00816894" w:rsidRPr="00C37623" w:rsidRDefault="00002A44" w:rsidP="00816894">
      <w:pPr>
        <w:pStyle w:val="P1-N1Paragraph1-Number1"/>
        <w:rPr>
          <w:rFonts w:asciiTheme="minorHAnsi" w:hAnsiTheme="minorHAnsi" w:cstheme="minorHAnsi"/>
        </w:rPr>
      </w:pPr>
      <w:r w:rsidRPr="00C37623">
        <w:rPr>
          <w:rFonts w:asciiTheme="minorHAnsi" w:hAnsiTheme="minorHAnsi" w:cstheme="minorHAnsi"/>
        </w:rPr>
        <w:t>The</w:t>
      </w:r>
      <w:r w:rsidR="00D07CE6" w:rsidRPr="00C37623">
        <w:rPr>
          <w:rFonts w:asciiTheme="minorHAnsi" w:hAnsiTheme="minorHAnsi" w:cstheme="minorHAnsi"/>
        </w:rPr>
        <w:t xml:space="preserve"> </w:t>
      </w:r>
      <w:r w:rsidR="00203EEC" w:rsidRPr="00C37623">
        <w:rPr>
          <w:rFonts w:asciiTheme="minorHAnsi" w:hAnsiTheme="minorHAnsi" w:cstheme="minorHAnsi"/>
        </w:rPr>
        <w:t>167.1</w:t>
      </w:r>
      <w:r w:rsidR="00D07CE6" w:rsidRPr="00C37623">
        <w:rPr>
          <w:rFonts w:asciiTheme="minorHAnsi" w:hAnsiTheme="minorHAnsi" w:cstheme="minorHAnsi"/>
        </w:rPr>
        <w:t>% duty</w:t>
      </w:r>
      <w:r w:rsidRPr="00C37623">
        <w:rPr>
          <w:rFonts w:asciiTheme="minorHAnsi" w:hAnsiTheme="minorHAnsi" w:cstheme="minorHAnsi"/>
        </w:rPr>
        <w:t xml:space="preserve"> rate for </w:t>
      </w:r>
      <w:r w:rsidR="00203EEC" w:rsidRPr="00C37623">
        <w:rPr>
          <w:rFonts w:asciiTheme="minorHAnsi" w:hAnsiTheme="minorHAnsi" w:cstheme="minorHAnsi"/>
        </w:rPr>
        <w:t>"</w:t>
      </w:r>
      <w:r w:rsidRPr="00C37623">
        <w:rPr>
          <w:rFonts w:asciiTheme="minorHAnsi" w:hAnsiTheme="minorHAnsi" w:cstheme="minorHAnsi"/>
        </w:rPr>
        <w:t>other named Australian exporters</w:t>
      </w:r>
      <w:r w:rsidR="00203EEC" w:rsidRPr="00C37623">
        <w:rPr>
          <w:rFonts w:asciiTheme="minorHAnsi" w:hAnsiTheme="minorHAnsi" w:cstheme="minorHAnsi"/>
        </w:rPr>
        <w:t>"</w:t>
      </w:r>
      <w:r w:rsidRPr="00C37623">
        <w:rPr>
          <w:rFonts w:asciiTheme="minorHAnsi" w:hAnsiTheme="minorHAnsi" w:cstheme="minorHAnsi"/>
        </w:rPr>
        <w:t xml:space="preserve"> was based on an average of the sampled companies</w:t>
      </w:r>
      <w:r w:rsidR="00203EEC" w:rsidRPr="00C37623">
        <w:rPr>
          <w:rFonts w:asciiTheme="minorHAnsi" w:hAnsiTheme="minorHAnsi" w:cstheme="minorHAnsi"/>
        </w:rPr>
        <w:t>'</w:t>
      </w:r>
      <w:r w:rsidRPr="00C37623">
        <w:rPr>
          <w:rFonts w:asciiTheme="minorHAnsi" w:hAnsiTheme="minorHAnsi" w:cstheme="minorHAnsi"/>
        </w:rPr>
        <w:t xml:space="preserve"> duties and was infected by the errors in those calculations. For the </w:t>
      </w:r>
      <w:r w:rsidR="00203EEC" w:rsidRPr="00C37623">
        <w:rPr>
          <w:rFonts w:asciiTheme="minorHAnsi" w:hAnsiTheme="minorHAnsi" w:cstheme="minorHAnsi"/>
        </w:rPr>
        <w:t>"</w:t>
      </w:r>
      <w:r w:rsidR="0000715E">
        <w:rPr>
          <w:rFonts w:asciiTheme="minorHAnsi" w:hAnsiTheme="minorHAnsi" w:cstheme="minorHAnsi"/>
        </w:rPr>
        <w:t>a</w:t>
      </w:r>
      <w:r w:rsidRPr="00C37623">
        <w:rPr>
          <w:rFonts w:asciiTheme="minorHAnsi" w:hAnsiTheme="minorHAnsi" w:cstheme="minorHAnsi"/>
        </w:rPr>
        <w:t xml:space="preserve">ll </w:t>
      </w:r>
      <w:r w:rsidR="0000715E">
        <w:rPr>
          <w:rFonts w:asciiTheme="minorHAnsi" w:hAnsiTheme="minorHAnsi" w:cstheme="minorHAnsi"/>
        </w:rPr>
        <w:t>o</w:t>
      </w:r>
      <w:r w:rsidRPr="00C37623">
        <w:rPr>
          <w:rFonts w:asciiTheme="minorHAnsi" w:hAnsiTheme="minorHAnsi" w:cstheme="minorHAnsi"/>
        </w:rPr>
        <w:t>thers</w:t>
      </w:r>
      <w:r w:rsidR="00203EEC" w:rsidRPr="00C37623">
        <w:rPr>
          <w:rFonts w:asciiTheme="minorHAnsi" w:hAnsiTheme="minorHAnsi" w:cstheme="minorHAnsi"/>
        </w:rPr>
        <w:t>"</w:t>
      </w:r>
      <w:r w:rsidRPr="00C37623">
        <w:rPr>
          <w:rFonts w:asciiTheme="minorHAnsi" w:hAnsiTheme="minorHAnsi" w:cstheme="minorHAnsi"/>
        </w:rPr>
        <w:t xml:space="preserve"> rate</w:t>
      </w:r>
      <w:r w:rsidR="00D07CE6" w:rsidRPr="00C37623">
        <w:rPr>
          <w:rFonts w:asciiTheme="minorHAnsi" w:hAnsiTheme="minorHAnsi" w:cstheme="minorHAnsi"/>
        </w:rPr>
        <w:t>,</w:t>
      </w:r>
      <w:r w:rsidRPr="00C37623">
        <w:rPr>
          <w:rFonts w:asciiTheme="minorHAnsi" w:hAnsiTheme="minorHAnsi" w:cstheme="minorHAnsi"/>
        </w:rPr>
        <w:t xml:space="preserve"> MOFCOM appears to have deliberately selected adverse facts to produce an even higher duty of 218.4%.  </w:t>
      </w:r>
    </w:p>
    <w:p w14:paraId="1722F27A" w14:textId="0B964D86" w:rsidR="00941006" w:rsidRPr="00C37623" w:rsidRDefault="00816894" w:rsidP="00816894">
      <w:pPr>
        <w:pStyle w:val="P1-N1Paragraph1-Number1"/>
        <w:rPr>
          <w:rFonts w:asciiTheme="minorHAnsi" w:hAnsiTheme="minorHAnsi" w:cstheme="minorHAnsi"/>
        </w:rPr>
      </w:pPr>
      <w:r w:rsidRPr="00C37623">
        <w:rPr>
          <w:rFonts w:asciiTheme="minorHAnsi" w:hAnsiTheme="minorHAnsi" w:cstheme="minorHAnsi"/>
        </w:rPr>
        <w:t>MOFCOM</w:t>
      </w:r>
      <w:r w:rsidR="00C96438" w:rsidRPr="00C37623">
        <w:rPr>
          <w:rFonts w:asciiTheme="minorHAnsi" w:hAnsiTheme="minorHAnsi" w:cstheme="minorHAnsi"/>
        </w:rPr>
        <w:t>'</w:t>
      </w:r>
      <w:r w:rsidRPr="00C37623">
        <w:rPr>
          <w:rFonts w:asciiTheme="minorHAnsi" w:hAnsiTheme="minorHAnsi" w:cstheme="minorHAnsi"/>
        </w:rPr>
        <w:t xml:space="preserve">s methodology and calculations </w:t>
      </w:r>
      <w:r w:rsidR="005C5E58" w:rsidRPr="00C37623">
        <w:rPr>
          <w:rFonts w:asciiTheme="minorHAnsi" w:hAnsiTheme="minorHAnsi" w:cstheme="minorHAnsi"/>
        </w:rPr>
        <w:t xml:space="preserve">in its determination of dumping margins </w:t>
      </w:r>
      <w:r w:rsidRPr="00C37623">
        <w:rPr>
          <w:rFonts w:asciiTheme="minorHAnsi" w:hAnsiTheme="minorHAnsi" w:cstheme="minorHAnsi"/>
        </w:rPr>
        <w:t>fall far short of an unbiased and objective investigating authority.</w:t>
      </w:r>
    </w:p>
    <w:p w14:paraId="63369F01" w14:textId="1360AE51" w:rsidR="00052AC8" w:rsidRPr="00C37623" w:rsidRDefault="00D21CDE" w:rsidP="00052AC8">
      <w:pPr>
        <w:pStyle w:val="HL2HeadingLevel2"/>
        <w:rPr>
          <w:rFonts w:asciiTheme="minorHAnsi" w:hAnsiTheme="minorHAnsi" w:cstheme="minorHAnsi"/>
        </w:rPr>
      </w:pPr>
      <w:bookmarkStart w:id="7" w:name="_Toc113344014"/>
      <w:r w:rsidRPr="00C37623">
        <w:rPr>
          <w:rFonts w:asciiTheme="minorHAnsi" w:hAnsiTheme="minorHAnsi" w:cstheme="minorHAnsi"/>
        </w:rPr>
        <w:t>MOFCOM d</w:t>
      </w:r>
      <w:r w:rsidR="002A48F0" w:rsidRPr="00C37623">
        <w:rPr>
          <w:rFonts w:asciiTheme="minorHAnsi" w:hAnsiTheme="minorHAnsi" w:cstheme="minorHAnsi"/>
        </w:rPr>
        <w:t>eni</w:t>
      </w:r>
      <w:r w:rsidRPr="00C37623">
        <w:rPr>
          <w:rFonts w:asciiTheme="minorHAnsi" w:hAnsiTheme="minorHAnsi" w:cstheme="minorHAnsi"/>
        </w:rPr>
        <w:t>ed</w:t>
      </w:r>
      <w:r w:rsidR="002A48F0" w:rsidRPr="00C37623">
        <w:rPr>
          <w:rFonts w:asciiTheme="minorHAnsi" w:hAnsiTheme="minorHAnsi" w:cstheme="minorHAnsi"/>
        </w:rPr>
        <w:t xml:space="preserve"> </w:t>
      </w:r>
      <w:r w:rsidRPr="00C37623">
        <w:rPr>
          <w:rFonts w:asciiTheme="minorHAnsi" w:hAnsiTheme="minorHAnsi" w:cstheme="minorHAnsi"/>
        </w:rPr>
        <w:t>interested parties</w:t>
      </w:r>
      <w:r w:rsidR="002A48F0" w:rsidRPr="00C37623">
        <w:rPr>
          <w:rFonts w:asciiTheme="minorHAnsi" w:hAnsiTheme="minorHAnsi" w:cstheme="minorHAnsi"/>
        </w:rPr>
        <w:t xml:space="preserve"> a full opportunity for defence of interests</w:t>
      </w:r>
      <w:bookmarkEnd w:id="7"/>
    </w:p>
    <w:p w14:paraId="5BD4A178" w14:textId="3881D3CD" w:rsidR="00242304" w:rsidRPr="00C37623" w:rsidRDefault="00242304" w:rsidP="00242304">
      <w:pPr>
        <w:pStyle w:val="P1-N1Paragraph1-Number1"/>
        <w:rPr>
          <w:rFonts w:asciiTheme="minorHAnsi" w:hAnsiTheme="minorHAnsi" w:cstheme="minorHAnsi"/>
        </w:rPr>
      </w:pPr>
      <w:r w:rsidRPr="00C37623">
        <w:rPr>
          <w:rFonts w:asciiTheme="minorHAnsi" w:hAnsiTheme="minorHAnsi" w:cstheme="minorHAnsi"/>
        </w:rPr>
        <w:t xml:space="preserve">I will </w:t>
      </w:r>
      <w:r w:rsidR="00EB1D47" w:rsidRPr="00C37623">
        <w:rPr>
          <w:rFonts w:asciiTheme="minorHAnsi" w:hAnsiTheme="minorHAnsi" w:cstheme="minorHAnsi"/>
        </w:rPr>
        <w:t xml:space="preserve">address aspects of </w:t>
      </w:r>
      <w:r w:rsidRPr="00C37623">
        <w:rPr>
          <w:rFonts w:asciiTheme="minorHAnsi" w:hAnsiTheme="minorHAnsi" w:cstheme="minorHAnsi"/>
        </w:rPr>
        <w:t>the procedural deficiencies in MOFCOM</w:t>
      </w:r>
      <w:r w:rsidR="00C96438" w:rsidRPr="00C37623">
        <w:rPr>
          <w:rFonts w:asciiTheme="minorHAnsi" w:hAnsiTheme="minorHAnsi" w:cstheme="minorHAnsi"/>
        </w:rPr>
        <w:t>'</w:t>
      </w:r>
      <w:r w:rsidRPr="00C37623">
        <w:rPr>
          <w:rFonts w:asciiTheme="minorHAnsi" w:hAnsiTheme="minorHAnsi" w:cstheme="minorHAnsi"/>
        </w:rPr>
        <w:t xml:space="preserve">s investigative process later in this oral statement. </w:t>
      </w:r>
      <w:r w:rsidR="00EB1D47" w:rsidRPr="00C37623">
        <w:rPr>
          <w:rFonts w:asciiTheme="minorHAnsi" w:hAnsiTheme="minorHAnsi" w:cstheme="minorHAnsi"/>
        </w:rPr>
        <w:t>A</w:t>
      </w:r>
      <w:r w:rsidRPr="00C37623">
        <w:rPr>
          <w:rFonts w:asciiTheme="minorHAnsi" w:hAnsiTheme="minorHAnsi" w:cstheme="minorHAnsi"/>
        </w:rPr>
        <w:t xml:space="preserve">t this point, </w:t>
      </w:r>
      <w:r w:rsidR="00265179" w:rsidRPr="00C37623">
        <w:rPr>
          <w:rFonts w:asciiTheme="minorHAnsi" w:hAnsiTheme="minorHAnsi" w:cstheme="minorHAnsi"/>
        </w:rPr>
        <w:t xml:space="preserve">I </w:t>
      </w:r>
      <w:r w:rsidR="00382680" w:rsidRPr="00C37623">
        <w:rPr>
          <w:rFonts w:asciiTheme="minorHAnsi" w:hAnsiTheme="minorHAnsi" w:cstheme="minorHAnsi"/>
        </w:rPr>
        <w:t>will</w:t>
      </w:r>
      <w:r w:rsidRPr="00C37623">
        <w:rPr>
          <w:rFonts w:asciiTheme="minorHAnsi" w:hAnsiTheme="minorHAnsi" w:cstheme="minorHAnsi"/>
        </w:rPr>
        <w:t xml:space="preserve"> </w:t>
      </w:r>
      <w:r w:rsidR="00EB1D47" w:rsidRPr="00C37623">
        <w:rPr>
          <w:rFonts w:asciiTheme="minorHAnsi" w:hAnsiTheme="minorHAnsi" w:cstheme="minorHAnsi"/>
        </w:rPr>
        <w:t xml:space="preserve">just </w:t>
      </w:r>
      <w:r w:rsidRPr="00C37623">
        <w:rPr>
          <w:rFonts w:asciiTheme="minorHAnsi" w:hAnsiTheme="minorHAnsi" w:cstheme="minorHAnsi"/>
        </w:rPr>
        <w:t>underscore two ways in which MOFCOM</w:t>
      </w:r>
      <w:r w:rsidR="00C96438" w:rsidRPr="00C37623">
        <w:rPr>
          <w:rFonts w:asciiTheme="minorHAnsi" w:hAnsiTheme="minorHAnsi" w:cstheme="minorHAnsi"/>
        </w:rPr>
        <w:t>'</w:t>
      </w:r>
      <w:r w:rsidRPr="00C37623">
        <w:rPr>
          <w:rFonts w:asciiTheme="minorHAnsi" w:hAnsiTheme="minorHAnsi" w:cstheme="minorHAnsi"/>
        </w:rPr>
        <w:t>s deficient procedures undermined the sampled companies</w:t>
      </w:r>
      <w:r w:rsidR="00C96438" w:rsidRPr="00C37623">
        <w:rPr>
          <w:rFonts w:asciiTheme="minorHAnsi" w:hAnsiTheme="minorHAnsi" w:cstheme="minorHAnsi"/>
        </w:rPr>
        <w:t>'</w:t>
      </w:r>
      <w:r w:rsidRPr="00C37623">
        <w:rPr>
          <w:rFonts w:asciiTheme="minorHAnsi" w:hAnsiTheme="minorHAnsi" w:cstheme="minorHAnsi"/>
        </w:rPr>
        <w:t xml:space="preserve"> capacity to properly defend their interests in the investigation.</w:t>
      </w:r>
    </w:p>
    <w:p w14:paraId="074366AB" w14:textId="7C5B0B85" w:rsidR="00242304" w:rsidRPr="00C37623" w:rsidRDefault="00242304" w:rsidP="00242304">
      <w:pPr>
        <w:pStyle w:val="P1-N1Paragraph1-Number1"/>
        <w:rPr>
          <w:rFonts w:asciiTheme="minorHAnsi" w:hAnsiTheme="minorHAnsi" w:cstheme="minorHAnsi"/>
        </w:rPr>
      </w:pPr>
      <w:r w:rsidRPr="00C37623">
        <w:rPr>
          <w:rFonts w:asciiTheme="minorHAnsi" w:hAnsiTheme="minorHAnsi" w:cstheme="minorHAnsi"/>
        </w:rPr>
        <w:t>First, MOFCOM</w:t>
      </w:r>
      <w:r w:rsidR="00C96438" w:rsidRPr="00C37623">
        <w:rPr>
          <w:rFonts w:asciiTheme="minorHAnsi" w:hAnsiTheme="minorHAnsi" w:cstheme="minorHAnsi"/>
        </w:rPr>
        <w:t>'</w:t>
      </w:r>
      <w:r w:rsidRPr="00C37623">
        <w:rPr>
          <w:rFonts w:asciiTheme="minorHAnsi" w:hAnsiTheme="minorHAnsi" w:cstheme="minorHAnsi"/>
        </w:rPr>
        <w:t xml:space="preserve">s refusal to grant extensions to parties to respond to questionnaires, even where good cause was shown and time permitted, forced responses to be provided without adequate time to prepare. MOFCOM then entrenched this unfairness </w:t>
      </w:r>
      <w:r w:rsidR="001B4927" w:rsidRPr="00C37623">
        <w:rPr>
          <w:rFonts w:asciiTheme="minorHAnsi" w:hAnsiTheme="minorHAnsi" w:cstheme="minorHAnsi"/>
        </w:rPr>
        <w:t>by</w:t>
      </w:r>
      <w:r w:rsidR="00EB1D47" w:rsidRPr="00C37623">
        <w:rPr>
          <w:rFonts w:asciiTheme="minorHAnsi" w:hAnsiTheme="minorHAnsi" w:cstheme="minorHAnsi"/>
        </w:rPr>
        <w:t xml:space="preserve"> refusing</w:t>
      </w:r>
      <w:r w:rsidRPr="00C37623">
        <w:rPr>
          <w:rFonts w:asciiTheme="minorHAnsi" w:hAnsiTheme="minorHAnsi" w:cstheme="minorHAnsi"/>
        </w:rPr>
        <w:t xml:space="preserve"> to take into account any supplementary data provided, even when </w:t>
      </w:r>
      <w:r w:rsidR="00EB1D47" w:rsidRPr="00C37623">
        <w:rPr>
          <w:rFonts w:asciiTheme="minorHAnsi" w:hAnsiTheme="minorHAnsi" w:cstheme="minorHAnsi"/>
        </w:rPr>
        <w:t xml:space="preserve">received </w:t>
      </w:r>
      <w:r w:rsidRPr="00C37623">
        <w:rPr>
          <w:rFonts w:asciiTheme="minorHAnsi" w:hAnsiTheme="minorHAnsi" w:cstheme="minorHAnsi"/>
        </w:rPr>
        <w:t>many months before the Final Determination.</w:t>
      </w:r>
    </w:p>
    <w:p w14:paraId="647AEC3A" w14:textId="30757AE4" w:rsidR="00052AC8" w:rsidRPr="00C37623" w:rsidRDefault="00242304" w:rsidP="00242304">
      <w:pPr>
        <w:pStyle w:val="P1-N1Paragraph1-Number1"/>
        <w:rPr>
          <w:rFonts w:asciiTheme="minorHAnsi" w:hAnsiTheme="minorHAnsi" w:cstheme="minorHAnsi"/>
        </w:rPr>
      </w:pPr>
      <w:r w:rsidRPr="00C37623">
        <w:rPr>
          <w:rFonts w:asciiTheme="minorHAnsi" w:hAnsiTheme="minorHAnsi" w:cstheme="minorHAnsi"/>
        </w:rPr>
        <w:t xml:space="preserve">Second, MOFCOM failed to give interested parties timely notice of material decisions affecting their interests. Critically, it did not give the parties adequate notice of the basis on which it had calculated their dumping margins or the data used in those calculations. </w:t>
      </w:r>
      <w:r w:rsidR="00EB1D47" w:rsidRPr="00C37623">
        <w:rPr>
          <w:rFonts w:asciiTheme="minorHAnsi" w:hAnsiTheme="minorHAnsi" w:cstheme="minorHAnsi"/>
        </w:rPr>
        <w:t>T</w:t>
      </w:r>
      <w:r w:rsidRPr="00C37623">
        <w:rPr>
          <w:rFonts w:asciiTheme="minorHAnsi" w:hAnsiTheme="minorHAnsi" w:cstheme="minorHAnsi"/>
        </w:rPr>
        <w:t>his deprived the companies of any meaningful opportunity to comment on these proposed calculations or to request relevant adjustment</w:t>
      </w:r>
      <w:r w:rsidR="00D07CE6" w:rsidRPr="00C37623">
        <w:rPr>
          <w:rFonts w:asciiTheme="minorHAnsi" w:hAnsiTheme="minorHAnsi" w:cstheme="minorHAnsi"/>
        </w:rPr>
        <w:t>s</w:t>
      </w:r>
      <w:r w:rsidRPr="00C37623">
        <w:rPr>
          <w:rFonts w:asciiTheme="minorHAnsi" w:hAnsiTheme="minorHAnsi" w:cstheme="minorHAnsi"/>
        </w:rPr>
        <w:t xml:space="preserve"> to these calculations.</w:t>
      </w:r>
    </w:p>
    <w:p w14:paraId="6DCCC4E2" w14:textId="3B129C65" w:rsidR="002D0B1A" w:rsidRPr="00C37623" w:rsidRDefault="007A46CA" w:rsidP="007A46CA">
      <w:pPr>
        <w:pStyle w:val="HL2HeadingLevel2"/>
        <w:rPr>
          <w:rFonts w:asciiTheme="minorHAnsi" w:hAnsiTheme="minorHAnsi" w:cstheme="minorHAnsi"/>
        </w:rPr>
      </w:pPr>
      <w:bookmarkStart w:id="8" w:name="_Toc113344015"/>
      <w:r w:rsidRPr="00C37623">
        <w:rPr>
          <w:rFonts w:asciiTheme="minorHAnsi" w:hAnsiTheme="minorHAnsi" w:cstheme="minorHAnsi"/>
        </w:rPr>
        <w:lastRenderedPageBreak/>
        <w:t>Sampled company cooperation</w:t>
      </w:r>
      <w:bookmarkEnd w:id="8"/>
    </w:p>
    <w:p w14:paraId="56190B1C" w14:textId="5CAFDCBE" w:rsidR="00353036" w:rsidRPr="00C37623" w:rsidRDefault="00080C39" w:rsidP="00353036">
      <w:pPr>
        <w:pStyle w:val="P1-N1Paragraph1-Number1"/>
        <w:rPr>
          <w:rFonts w:asciiTheme="minorHAnsi" w:hAnsiTheme="minorHAnsi" w:cstheme="minorHAnsi"/>
        </w:rPr>
      </w:pPr>
      <w:r w:rsidRPr="00C37623">
        <w:rPr>
          <w:rFonts w:asciiTheme="minorHAnsi" w:hAnsiTheme="minorHAnsi" w:cstheme="minorHAnsi"/>
        </w:rPr>
        <w:t>In the context of Australia's claims concerning MOFCOM</w:t>
      </w:r>
      <w:r w:rsidR="00203EEC" w:rsidRPr="00C37623">
        <w:rPr>
          <w:rFonts w:asciiTheme="minorHAnsi" w:hAnsiTheme="minorHAnsi" w:cstheme="minorHAnsi"/>
        </w:rPr>
        <w:t>'</w:t>
      </w:r>
      <w:r w:rsidR="00EB1D47" w:rsidRPr="00C37623">
        <w:rPr>
          <w:rFonts w:asciiTheme="minorHAnsi" w:hAnsiTheme="minorHAnsi" w:cstheme="minorHAnsi"/>
        </w:rPr>
        <w:t>s</w:t>
      </w:r>
      <w:r w:rsidR="00156BC5" w:rsidRPr="00C37623">
        <w:rPr>
          <w:rFonts w:asciiTheme="minorHAnsi" w:hAnsiTheme="minorHAnsi" w:cstheme="minorHAnsi"/>
        </w:rPr>
        <w:t xml:space="preserve"> improper recourse to facts available, Australia highlights that t</w:t>
      </w:r>
      <w:r w:rsidR="00353036" w:rsidRPr="00C37623">
        <w:rPr>
          <w:rFonts w:asciiTheme="minorHAnsi" w:hAnsiTheme="minorHAnsi" w:cstheme="minorHAnsi"/>
        </w:rPr>
        <w:t xml:space="preserve">his </w:t>
      </w:r>
      <w:r w:rsidR="006F0B71">
        <w:rPr>
          <w:rFonts w:asciiTheme="minorHAnsi" w:hAnsiTheme="minorHAnsi" w:cstheme="minorHAnsi"/>
        </w:rPr>
        <w:t xml:space="preserve">is </w:t>
      </w:r>
      <w:r w:rsidR="00353036" w:rsidRPr="00C37623">
        <w:rPr>
          <w:rFonts w:asciiTheme="minorHAnsi" w:hAnsiTheme="minorHAnsi" w:cstheme="minorHAnsi"/>
        </w:rPr>
        <w:t xml:space="preserve">not an investigation where the sampled </w:t>
      </w:r>
      <w:r w:rsidR="001F1EDB">
        <w:rPr>
          <w:rFonts w:asciiTheme="minorHAnsi" w:hAnsiTheme="minorHAnsi" w:cstheme="minorHAnsi"/>
        </w:rPr>
        <w:t>companies</w:t>
      </w:r>
      <w:r w:rsidR="001F1EDB" w:rsidRPr="00C37623">
        <w:rPr>
          <w:rFonts w:asciiTheme="minorHAnsi" w:hAnsiTheme="minorHAnsi" w:cstheme="minorHAnsi"/>
        </w:rPr>
        <w:t xml:space="preserve"> </w:t>
      </w:r>
      <w:r w:rsidR="00353036" w:rsidRPr="00C37623">
        <w:rPr>
          <w:rFonts w:asciiTheme="minorHAnsi" w:hAnsiTheme="minorHAnsi" w:cstheme="minorHAnsi"/>
        </w:rPr>
        <w:t xml:space="preserve">failed to cooperate with the investigating authority. </w:t>
      </w:r>
    </w:p>
    <w:p w14:paraId="19CC180D" w14:textId="17EC8F33" w:rsidR="00353036" w:rsidRPr="00C37623" w:rsidRDefault="00353036" w:rsidP="00353036">
      <w:pPr>
        <w:pStyle w:val="P1-N1Paragraph1-Number1"/>
        <w:rPr>
          <w:rFonts w:asciiTheme="minorHAnsi" w:hAnsiTheme="minorHAnsi" w:cstheme="minorHAnsi"/>
        </w:rPr>
      </w:pPr>
      <w:r w:rsidRPr="00C37623">
        <w:rPr>
          <w:rFonts w:asciiTheme="minorHAnsi" w:hAnsiTheme="minorHAnsi" w:cstheme="minorHAnsi"/>
        </w:rPr>
        <w:t xml:space="preserve">The record shows that the sampled companies provided an enormous level of granular technical data. Where they were unable to provide all requested data within the timeframes set by MOFCOM or concerns were raised, they provided supplementary data or cogent explanations for why it was not possible to meet the request. </w:t>
      </w:r>
    </w:p>
    <w:p w14:paraId="5406A5C2" w14:textId="4D84CECE" w:rsidR="007A46CA" w:rsidRPr="00C37623" w:rsidRDefault="00353036" w:rsidP="00353036">
      <w:pPr>
        <w:pStyle w:val="P1-N1Paragraph1-Number1"/>
        <w:rPr>
          <w:rFonts w:asciiTheme="minorHAnsi" w:hAnsiTheme="minorHAnsi" w:cstheme="minorHAnsi"/>
        </w:rPr>
      </w:pPr>
      <w:r w:rsidRPr="00C37623">
        <w:rPr>
          <w:rFonts w:asciiTheme="minorHAnsi" w:hAnsiTheme="minorHAnsi" w:cstheme="minorHAnsi"/>
        </w:rPr>
        <w:t>MOFCOM</w:t>
      </w:r>
      <w:r w:rsidR="00C96438" w:rsidRPr="00C37623">
        <w:rPr>
          <w:rFonts w:asciiTheme="minorHAnsi" w:hAnsiTheme="minorHAnsi" w:cstheme="minorHAnsi"/>
        </w:rPr>
        <w:t>'</w:t>
      </w:r>
      <w:r w:rsidRPr="00C37623">
        <w:rPr>
          <w:rFonts w:asciiTheme="minorHAnsi" w:hAnsiTheme="minorHAnsi" w:cstheme="minorHAnsi"/>
        </w:rPr>
        <w:t>s criticisms of a lack of cooperation from the sampled companies are based, not on a lack of effort from the companies, but MOFCOM</w:t>
      </w:r>
      <w:r w:rsidR="00C96438" w:rsidRPr="00C37623">
        <w:rPr>
          <w:rFonts w:asciiTheme="minorHAnsi" w:hAnsiTheme="minorHAnsi" w:cstheme="minorHAnsi"/>
        </w:rPr>
        <w:t>'</w:t>
      </w:r>
      <w:r w:rsidRPr="00C37623">
        <w:rPr>
          <w:rFonts w:asciiTheme="minorHAnsi" w:hAnsiTheme="minorHAnsi" w:cstheme="minorHAnsi"/>
        </w:rPr>
        <w:t xml:space="preserve">s refusal to accept any evidence submitted after its initial deadline, </w:t>
      </w:r>
      <w:r w:rsidR="003838D5">
        <w:rPr>
          <w:rFonts w:asciiTheme="minorHAnsi" w:hAnsiTheme="minorHAnsi" w:cstheme="minorHAnsi"/>
        </w:rPr>
        <w:t xml:space="preserve">its </w:t>
      </w:r>
      <w:r w:rsidRPr="00C37623">
        <w:rPr>
          <w:rFonts w:asciiTheme="minorHAnsi" w:hAnsiTheme="minorHAnsi" w:cstheme="minorHAnsi"/>
        </w:rPr>
        <w:t>unwillingness to accept cogent explanations</w:t>
      </w:r>
      <w:r w:rsidR="003838D5">
        <w:rPr>
          <w:rFonts w:asciiTheme="minorHAnsi" w:hAnsiTheme="minorHAnsi" w:cstheme="minorHAnsi"/>
        </w:rPr>
        <w:t>,</w:t>
      </w:r>
      <w:r w:rsidRPr="00C37623">
        <w:rPr>
          <w:rFonts w:asciiTheme="minorHAnsi" w:hAnsiTheme="minorHAnsi" w:cstheme="minorHAnsi"/>
        </w:rPr>
        <w:t xml:space="preserve"> and </w:t>
      </w:r>
      <w:r w:rsidR="003838D5">
        <w:rPr>
          <w:rFonts w:asciiTheme="minorHAnsi" w:hAnsiTheme="minorHAnsi" w:cstheme="minorHAnsi"/>
        </w:rPr>
        <w:t xml:space="preserve">its </w:t>
      </w:r>
      <w:r w:rsidRPr="00C37623">
        <w:rPr>
          <w:rFonts w:asciiTheme="minorHAnsi" w:hAnsiTheme="minorHAnsi" w:cstheme="minorHAnsi"/>
        </w:rPr>
        <w:t>insistence that information had to be provided in it</w:t>
      </w:r>
      <w:r w:rsidR="003838D5">
        <w:rPr>
          <w:rFonts w:asciiTheme="minorHAnsi" w:hAnsiTheme="minorHAnsi" w:cstheme="minorHAnsi"/>
        </w:rPr>
        <w:t>s</w:t>
      </w:r>
      <w:r w:rsidRPr="00C37623">
        <w:rPr>
          <w:rFonts w:asciiTheme="minorHAnsi" w:hAnsiTheme="minorHAnsi" w:cstheme="minorHAnsi"/>
        </w:rPr>
        <w:t xml:space="preserve"> preferred format irrespective of whether that was practically achievable.</w:t>
      </w:r>
    </w:p>
    <w:p w14:paraId="657CA13C" w14:textId="77777777" w:rsidR="00123D77" w:rsidRPr="00C37623" w:rsidRDefault="00123D77" w:rsidP="00123D77">
      <w:pPr>
        <w:pStyle w:val="HL2HeadingLevel2"/>
        <w:rPr>
          <w:rFonts w:asciiTheme="minorHAnsi" w:hAnsiTheme="minorHAnsi" w:cstheme="minorHAnsi"/>
        </w:rPr>
      </w:pPr>
      <w:bookmarkStart w:id="9" w:name="_Toc113344016"/>
      <w:r w:rsidRPr="00C37623">
        <w:rPr>
          <w:rFonts w:asciiTheme="minorHAnsi" w:hAnsiTheme="minorHAnsi" w:cstheme="minorHAnsi"/>
        </w:rPr>
        <w:t>Verification of information</w:t>
      </w:r>
      <w:bookmarkEnd w:id="9"/>
    </w:p>
    <w:p w14:paraId="0292F8E3" w14:textId="1D372607" w:rsidR="00123D77" w:rsidRPr="00C37623" w:rsidRDefault="00E74496" w:rsidP="00123D77">
      <w:pPr>
        <w:pStyle w:val="P1-N1Paragraph1-Number1"/>
        <w:rPr>
          <w:rFonts w:asciiTheme="minorHAnsi" w:hAnsiTheme="minorHAnsi" w:cstheme="minorHAnsi"/>
        </w:rPr>
      </w:pPr>
      <w:r w:rsidRPr="00C37623">
        <w:rPr>
          <w:rFonts w:asciiTheme="minorHAnsi" w:hAnsiTheme="minorHAnsi" w:cstheme="minorHAnsi"/>
        </w:rPr>
        <w:t>A repeated</w:t>
      </w:r>
      <w:r w:rsidR="00030AB3" w:rsidRPr="00C37623">
        <w:rPr>
          <w:rFonts w:asciiTheme="minorHAnsi" w:hAnsiTheme="minorHAnsi" w:cstheme="minorHAnsi"/>
        </w:rPr>
        <w:t xml:space="preserve"> justification for MOFCOM</w:t>
      </w:r>
      <w:r w:rsidR="00203EEC" w:rsidRPr="00C37623">
        <w:rPr>
          <w:rFonts w:asciiTheme="minorHAnsi" w:hAnsiTheme="minorHAnsi" w:cstheme="minorHAnsi"/>
        </w:rPr>
        <w:t>'</w:t>
      </w:r>
      <w:r w:rsidR="00030AB3" w:rsidRPr="00C37623">
        <w:rPr>
          <w:rFonts w:asciiTheme="minorHAnsi" w:hAnsiTheme="minorHAnsi" w:cstheme="minorHAnsi"/>
        </w:rPr>
        <w:t xml:space="preserve">s </w:t>
      </w:r>
      <w:r w:rsidR="00EB1D47" w:rsidRPr="00C37623">
        <w:rPr>
          <w:rFonts w:asciiTheme="minorHAnsi" w:hAnsiTheme="minorHAnsi" w:cstheme="minorHAnsi"/>
        </w:rPr>
        <w:t>rejection of the sampled companies</w:t>
      </w:r>
      <w:r w:rsidR="00203EEC" w:rsidRPr="00C37623">
        <w:rPr>
          <w:rFonts w:asciiTheme="minorHAnsi" w:hAnsiTheme="minorHAnsi" w:cstheme="minorHAnsi"/>
        </w:rPr>
        <w:t>'</w:t>
      </w:r>
      <w:r w:rsidR="00EB1D47" w:rsidRPr="00C37623">
        <w:rPr>
          <w:rFonts w:asciiTheme="minorHAnsi" w:hAnsiTheme="minorHAnsi" w:cstheme="minorHAnsi"/>
        </w:rPr>
        <w:t xml:space="preserve"> data </w:t>
      </w:r>
      <w:r w:rsidR="00030AB3" w:rsidRPr="00C37623">
        <w:rPr>
          <w:rFonts w:asciiTheme="minorHAnsi" w:hAnsiTheme="minorHAnsi" w:cstheme="minorHAnsi"/>
        </w:rPr>
        <w:t xml:space="preserve">was a purported inability to verify the data. MOFCOM made various findings to the effect that certain </w:t>
      </w:r>
      <w:r w:rsidR="00123D77" w:rsidRPr="00C37623">
        <w:rPr>
          <w:rFonts w:asciiTheme="minorHAnsi" w:hAnsiTheme="minorHAnsi" w:cstheme="minorHAnsi"/>
        </w:rPr>
        <w:t>information contained alleged deficiencies and could not be verified</w:t>
      </w:r>
      <w:r w:rsidR="00030AB3" w:rsidRPr="00C37623">
        <w:rPr>
          <w:rFonts w:asciiTheme="minorHAnsi" w:hAnsiTheme="minorHAnsi" w:cstheme="minorHAnsi"/>
        </w:rPr>
        <w:t>.</w:t>
      </w:r>
      <w:r w:rsidR="00123D77" w:rsidRPr="00C37623">
        <w:rPr>
          <w:rFonts w:asciiTheme="minorHAnsi" w:hAnsiTheme="minorHAnsi" w:cstheme="minorHAnsi"/>
        </w:rPr>
        <w:t xml:space="preserve"> </w:t>
      </w:r>
    </w:p>
    <w:p w14:paraId="78856596" w14:textId="2BD3DFA2" w:rsidR="00123D77" w:rsidRPr="00C37623" w:rsidRDefault="003F596A" w:rsidP="00123D77">
      <w:pPr>
        <w:pStyle w:val="P1-N1Paragraph1-Number1"/>
        <w:rPr>
          <w:rFonts w:asciiTheme="minorHAnsi" w:hAnsiTheme="minorHAnsi" w:cstheme="minorHAnsi"/>
        </w:rPr>
      </w:pPr>
      <w:r w:rsidRPr="00C37623">
        <w:rPr>
          <w:rFonts w:asciiTheme="minorHAnsi" w:hAnsiTheme="minorHAnsi" w:cstheme="minorHAnsi"/>
        </w:rPr>
        <w:t>MOFCOM's</w:t>
      </w:r>
      <w:r w:rsidR="00EB1D47" w:rsidRPr="00C37623">
        <w:rPr>
          <w:rFonts w:asciiTheme="minorHAnsi" w:hAnsiTheme="minorHAnsi" w:cstheme="minorHAnsi"/>
        </w:rPr>
        <w:t xml:space="preserve"> purported inability to verify information </w:t>
      </w:r>
      <w:r w:rsidR="00030AB3" w:rsidRPr="00C37623">
        <w:rPr>
          <w:rFonts w:asciiTheme="minorHAnsi" w:hAnsiTheme="minorHAnsi" w:cstheme="minorHAnsi"/>
        </w:rPr>
        <w:t>arose</w:t>
      </w:r>
      <w:r w:rsidR="00EB1D47" w:rsidRPr="00C37623">
        <w:rPr>
          <w:rFonts w:asciiTheme="minorHAnsi" w:hAnsiTheme="minorHAnsi" w:cstheme="minorHAnsi"/>
        </w:rPr>
        <w:t xml:space="preserve"> not from </w:t>
      </w:r>
      <w:r w:rsidR="00030AB3" w:rsidRPr="00C37623">
        <w:rPr>
          <w:rFonts w:asciiTheme="minorHAnsi" w:hAnsiTheme="minorHAnsi" w:cstheme="minorHAnsi"/>
        </w:rPr>
        <w:t>any</w:t>
      </w:r>
      <w:r w:rsidR="00EB1D47" w:rsidRPr="00C37623">
        <w:rPr>
          <w:rFonts w:asciiTheme="minorHAnsi" w:hAnsiTheme="minorHAnsi" w:cstheme="minorHAnsi"/>
        </w:rPr>
        <w:t xml:space="preserve"> deficiencies in the data submitted, but rather from two choices made by MOFCOM to disregard the information available to it.  </w:t>
      </w:r>
    </w:p>
    <w:p w14:paraId="309713F2" w14:textId="015636B5" w:rsidR="00123D77" w:rsidRPr="00C37623" w:rsidRDefault="00030AB3" w:rsidP="00123D77">
      <w:pPr>
        <w:pStyle w:val="P1-N1Paragraph1-Number1"/>
        <w:rPr>
          <w:rFonts w:asciiTheme="minorHAnsi" w:hAnsiTheme="minorHAnsi" w:cstheme="minorHAnsi"/>
        </w:rPr>
      </w:pPr>
      <w:r w:rsidRPr="00C37623">
        <w:rPr>
          <w:rFonts w:asciiTheme="minorHAnsi" w:hAnsiTheme="minorHAnsi" w:cstheme="minorHAnsi"/>
          <w:iCs/>
        </w:rPr>
        <w:t xml:space="preserve">The </w:t>
      </w:r>
      <w:r w:rsidRPr="00C37623">
        <w:rPr>
          <w:rFonts w:asciiTheme="minorHAnsi" w:hAnsiTheme="minorHAnsi" w:cstheme="minorHAnsi"/>
        </w:rPr>
        <w:t>f</w:t>
      </w:r>
      <w:r w:rsidR="00123D77" w:rsidRPr="00C37623">
        <w:rPr>
          <w:rFonts w:asciiTheme="minorHAnsi" w:hAnsiTheme="minorHAnsi" w:cstheme="minorHAnsi"/>
        </w:rPr>
        <w:t>irst</w:t>
      </w:r>
      <w:r w:rsidRPr="00C37623">
        <w:rPr>
          <w:rFonts w:asciiTheme="minorHAnsi" w:hAnsiTheme="minorHAnsi" w:cstheme="minorHAnsi"/>
        </w:rPr>
        <w:t xml:space="preserve"> was</w:t>
      </w:r>
      <w:r w:rsidR="00123D77" w:rsidRPr="00C37623">
        <w:rPr>
          <w:rFonts w:asciiTheme="minorHAnsi" w:hAnsiTheme="minorHAnsi" w:cstheme="minorHAnsi"/>
        </w:rPr>
        <w:t xml:space="preserve"> MOFCOM's refus</w:t>
      </w:r>
      <w:r w:rsidR="00E74496" w:rsidRPr="00C37623">
        <w:rPr>
          <w:rFonts w:asciiTheme="minorHAnsi" w:hAnsiTheme="minorHAnsi" w:cstheme="minorHAnsi"/>
        </w:rPr>
        <w:t>al</w:t>
      </w:r>
      <w:r w:rsidR="00123D77" w:rsidRPr="00C37623">
        <w:rPr>
          <w:rFonts w:asciiTheme="minorHAnsi" w:hAnsiTheme="minorHAnsi" w:cstheme="minorHAnsi"/>
        </w:rPr>
        <w:t xml:space="preserve"> to consider any new information </w:t>
      </w:r>
      <w:r w:rsidR="00E74496" w:rsidRPr="00C37623">
        <w:rPr>
          <w:rFonts w:asciiTheme="minorHAnsi" w:hAnsiTheme="minorHAnsi" w:cstheme="minorHAnsi"/>
        </w:rPr>
        <w:t xml:space="preserve">provided by </w:t>
      </w:r>
      <w:r w:rsidR="00123D77" w:rsidRPr="00C37623">
        <w:rPr>
          <w:rFonts w:asciiTheme="minorHAnsi" w:hAnsiTheme="minorHAnsi" w:cstheme="minorHAnsi"/>
        </w:rPr>
        <w:t>the sampled companies after submission of the questionnaire responses</w:t>
      </w:r>
      <w:r w:rsidR="00E74496" w:rsidRPr="00C37623">
        <w:rPr>
          <w:rFonts w:asciiTheme="minorHAnsi" w:hAnsiTheme="minorHAnsi" w:cstheme="minorHAnsi"/>
        </w:rPr>
        <w:t xml:space="preserve"> but months</w:t>
      </w:r>
      <w:r w:rsidR="00774509" w:rsidRPr="00C37623">
        <w:rPr>
          <w:rFonts w:asciiTheme="minorHAnsi" w:hAnsiTheme="minorHAnsi" w:cstheme="minorHAnsi"/>
        </w:rPr>
        <w:t xml:space="preserve"> </w:t>
      </w:r>
      <w:r w:rsidR="00123D77" w:rsidRPr="00C37623">
        <w:rPr>
          <w:rFonts w:asciiTheme="minorHAnsi" w:hAnsiTheme="minorHAnsi" w:cstheme="minorHAnsi"/>
        </w:rPr>
        <w:t xml:space="preserve">before </w:t>
      </w:r>
      <w:r w:rsidR="00E74496" w:rsidRPr="00C37623">
        <w:rPr>
          <w:rFonts w:asciiTheme="minorHAnsi" w:hAnsiTheme="minorHAnsi" w:cstheme="minorHAnsi"/>
        </w:rPr>
        <w:t xml:space="preserve">the issuance of the </w:t>
      </w:r>
      <w:r w:rsidR="00123D77" w:rsidRPr="00C37623">
        <w:rPr>
          <w:rFonts w:asciiTheme="minorHAnsi" w:hAnsiTheme="minorHAnsi" w:cstheme="minorHAnsi"/>
        </w:rPr>
        <w:t xml:space="preserve">Final Determination. </w:t>
      </w:r>
      <w:r w:rsidRPr="00C37623">
        <w:rPr>
          <w:rFonts w:asciiTheme="minorHAnsi" w:hAnsiTheme="minorHAnsi" w:cstheme="minorHAnsi"/>
        </w:rPr>
        <w:t xml:space="preserve">MOFCOM </w:t>
      </w:r>
      <w:r w:rsidR="00E74496" w:rsidRPr="00C37623">
        <w:rPr>
          <w:rFonts w:asciiTheme="minorHAnsi" w:hAnsiTheme="minorHAnsi" w:cstheme="minorHAnsi"/>
        </w:rPr>
        <w:t xml:space="preserve">essentially </w:t>
      </w:r>
      <w:r w:rsidR="00045E6C">
        <w:rPr>
          <w:rFonts w:asciiTheme="minorHAnsi" w:hAnsiTheme="minorHAnsi" w:cstheme="minorHAnsi"/>
        </w:rPr>
        <w:t>"</w:t>
      </w:r>
      <w:r w:rsidR="00EB1D47" w:rsidRPr="00C37623">
        <w:rPr>
          <w:rFonts w:asciiTheme="minorHAnsi" w:hAnsiTheme="minorHAnsi" w:cstheme="minorHAnsi"/>
        </w:rPr>
        <w:t>closed its eyes</w:t>
      </w:r>
      <w:r w:rsidR="00045E6C">
        <w:rPr>
          <w:rFonts w:asciiTheme="minorHAnsi" w:hAnsiTheme="minorHAnsi" w:cstheme="minorHAnsi"/>
        </w:rPr>
        <w:t>"</w:t>
      </w:r>
      <w:r w:rsidR="00EB1D47" w:rsidRPr="00C37623">
        <w:rPr>
          <w:rFonts w:asciiTheme="minorHAnsi" w:hAnsiTheme="minorHAnsi" w:cstheme="minorHAnsi"/>
        </w:rPr>
        <w:t xml:space="preserve"> to directly relevant information</w:t>
      </w:r>
      <w:r w:rsidR="00774509" w:rsidRPr="00C37623">
        <w:rPr>
          <w:rFonts w:asciiTheme="minorHAnsi" w:hAnsiTheme="minorHAnsi" w:cstheme="minorHAnsi"/>
        </w:rPr>
        <w:t xml:space="preserve"> that it had sufficient time to consider</w:t>
      </w:r>
      <w:r w:rsidR="00EB1D47" w:rsidRPr="00C37623">
        <w:rPr>
          <w:rFonts w:asciiTheme="minorHAnsi" w:hAnsiTheme="minorHAnsi" w:cstheme="minorHAnsi"/>
        </w:rPr>
        <w:t xml:space="preserve">. </w:t>
      </w:r>
      <w:r w:rsidR="001A4340" w:rsidRPr="00C37623">
        <w:rPr>
          <w:rFonts w:asciiTheme="minorHAnsi" w:hAnsiTheme="minorHAnsi" w:cstheme="minorHAnsi"/>
        </w:rPr>
        <w:t xml:space="preserve"> </w:t>
      </w:r>
    </w:p>
    <w:p w14:paraId="2EE4E67C" w14:textId="6BA71182" w:rsidR="00123D77" w:rsidRPr="00C37623" w:rsidRDefault="00030AB3" w:rsidP="00123D77">
      <w:pPr>
        <w:pStyle w:val="P1-N1Paragraph1-Number1"/>
        <w:rPr>
          <w:rFonts w:asciiTheme="minorHAnsi" w:hAnsiTheme="minorHAnsi" w:cstheme="minorHAnsi"/>
        </w:rPr>
      </w:pPr>
      <w:r w:rsidRPr="00C37623">
        <w:rPr>
          <w:rFonts w:asciiTheme="minorHAnsi" w:hAnsiTheme="minorHAnsi" w:cstheme="minorHAnsi"/>
          <w:iCs/>
        </w:rPr>
        <w:t xml:space="preserve">The </w:t>
      </w:r>
      <w:r w:rsidRPr="00C37623">
        <w:rPr>
          <w:rFonts w:asciiTheme="minorHAnsi" w:hAnsiTheme="minorHAnsi" w:cstheme="minorHAnsi"/>
        </w:rPr>
        <w:t>s</w:t>
      </w:r>
      <w:r w:rsidR="00123D77" w:rsidRPr="00C37623">
        <w:rPr>
          <w:rFonts w:asciiTheme="minorHAnsi" w:hAnsiTheme="minorHAnsi" w:cstheme="minorHAnsi"/>
        </w:rPr>
        <w:t>econd</w:t>
      </w:r>
      <w:r w:rsidRPr="00C37623">
        <w:rPr>
          <w:rFonts w:asciiTheme="minorHAnsi" w:hAnsiTheme="minorHAnsi" w:cstheme="minorHAnsi"/>
        </w:rPr>
        <w:t xml:space="preserve"> was</w:t>
      </w:r>
      <w:r w:rsidR="00123D77" w:rsidRPr="00C37623">
        <w:rPr>
          <w:rFonts w:asciiTheme="minorHAnsi" w:hAnsiTheme="minorHAnsi" w:cstheme="minorHAnsi"/>
        </w:rPr>
        <w:t xml:space="preserve"> MOFCOM</w:t>
      </w:r>
      <w:r w:rsidR="00203EEC" w:rsidRPr="00C37623">
        <w:rPr>
          <w:rFonts w:asciiTheme="minorHAnsi" w:hAnsiTheme="minorHAnsi" w:cstheme="minorHAnsi"/>
        </w:rPr>
        <w:t>'</w:t>
      </w:r>
      <w:r w:rsidRPr="00C37623">
        <w:rPr>
          <w:rFonts w:asciiTheme="minorHAnsi" w:hAnsiTheme="minorHAnsi" w:cstheme="minorHAnsi"/>
        </w:rPr>
        <w:t>s</w:t>
      </w:r>
      <w:r w:rsidR="00123D77" w:rsidRPr="00C37623">
        <w:rPr>
          <w:rFonts w:asciiTheme="minorHAnsi" w:hAnsiTheme="minorHAnsi" w:cstheme="minorHAnsi"/>
        </w:rPr>
        <w:t xml:space="preserve"> </w:t>
      </w:r>
      <w:r w:rsidRPr="00C37623">
        <w:rPr>
          <w:rFonts w:asciiTheme="minorHAnsi" w:hAnsiTheme="minorHAnsi" w:cstheme="minorHAnsi"/>
        </w:rPr>
        <w:t>choice</w:t>
      </w:r>
      <w:r w:rsidR="00EB1D47" w:rsidRPr="00C37623">
        <w:rPr>
          <w:rFonts w:asciiTheme="minorHAnsi" w:hAnsiTheme="minorHAnsi" w:cstheme="minorHAnsi"/>
        </w:rPr>
        <w:t xml:space="preserve"> </w:t>
      </w:r>
      <w:r w:rsidR="00123D77" w:rsidRPr="00C37623">
        <w:rPr>
          <w:rFonts w:asciiTheme="minorHAnsi" w:hAnsiTheme="minorHAnsi" w:cstheme="minorHAnsi"/>
        </w:rPr>
        <w:t xml:space="preserve">not to verify data and information submitted by the sampled companies </w:t>
      </w:r>
      <w:r w:rsidRPr="00C37623">
        <w:rPr>
          <w:rFonts w:asciiTheme="minorHAnsi" w:hAnsiTheme="minorHAnsi" w:cstheme="minorHAnsi"/>
        </w:rPr>
        <w:t xml:space="preserve">directly from their </w:t>
      </w:r>
      <w:r w:rsidR="00123D77" w:rsidRPr="00C37623">
        <w:rPr>
          <w:rFonts w:asciiTheme="minorHAnsi" w:hAnsiTheme="minorHAnsi" w:cstheme="minorHAnsi"/>
        </w:rPr>
        <w:t>respective financial accounting systems</w:t>
      </w:r>
      <w:r w:rsidRPr="00C37623">
        <w:rPr>
          <w:rFonts w:asciiTheme="minorHAnsi" w:hAnsiTheme="minorHAnsi" w:cstheme="minorHAnsi"/>
        </w:rPr>
        <w:t>. It was open to MOFCOM to conduct a remote or in</w:t>
      </w:r>
      <w:r w:rsidR="003925F3" w:rsidRPr="00C37623">
        <w:rPr>
          <w:rFonts w:asciiTheme="minorHAnsi" w:hAnsiTheme="minorHAnsi" w:cstheme="minorHAnsi"/>
        </w:rPr>
        <w:t>-</w:t>
      </w:r>
      <w:r w:rsidRPr="00C37623">
        <w:rPr>
          <w:rFonts w:asciiTheme="minorHAnsi" w:hAnsiTheme="minorHAnsi" w:cstheme="minorHAnsi"/>
        </w:rPr>
        <w:t>person verification of the data directly from the companies</w:t>
      </w:r>
      <w:r w:rsidR="00203EEC" w:rsidRPr="00C37623">
        <w:rPr>
          <w:rFonts w:asciiTheme="minorHAnsi" w:hAnsiTheme="minorHAnsi" w:cstheme="minorHAnsi"/>
        </w:rPr>
        <w:t>'</w:t>
      </w:r>
      <w:r w:rsidRPr="00C37623">
        <w:rPr>
          <w:rFonts w:asciiTheme="minorHAnsi" w:hAnsiTheme="minorHAnsi" w:cstheme="minorHAnsi"/>
        </w:rPr>
        <w:t xml:space="preserve"> system</w:t>
      </w:r>
      <w:r w:rsidR="003925F3" w:rsidRPr="00C37623">
        <w:rPr>
          <w:rFonts w:asciiTheme="minorHAnsi" w:hAnsiTheme="minorHAnsi" w:cstheme="minorHAnsi"/>
        </w:rPr>
        <w:t>s</w:t>
      </w:r>
      <w:r w:rsidRPr="00C37623">
        <w:rPr>
          <w:rFonts w:asciiTheme="minorHAnsi" w:hAnsiTheme="minorHAnsi" w:cstheme="minorHAnsi"/>
        </w:rPr>
        <w:t xml:space="preserve">, as the companies invited it to do. </w:t>
      </w:r>
      <w:r w:rsidR="00123D77" w:rsidRPr="00C37623">
        <w:rPr>
          <w:rFonts w:asciiTheme="minorHAnsi" w:hAnsiTheme="minorHAnsi" w:cstheme="minorHAnsi"/>
        </w:rPr>
        <w:t>MOFCOM</w:t>
      </w:r>
      <w:r w:rsidRPr="00C37623">
        <w:rPr>
          <w:rFonts w:asciiTheme="minorHAnsi" w:hAnsiTheme="minorHAnsi" w:cstheme="minorHAnsi"/>
        </w:rPr>
        <w:t xml:space="preserve"> chose not to take up this invitation. </w:t>
      </w:r>
    </w:p>
    <w:p w14:paraId="71AB818D" w14:textId="4262DB62" w:rsidR="00123D77" w:rsidRPr="00B21212" w:rsidRDefault="00030AB3" w:rsidP="00123D77">
      <w:pPr>
        <w:pStyle w:val="P1-N1Paragraph1-Number1"/>
        <w:rPr>
          <w:rFonts w:asciiTheme="minorHAnsi" w:hAnsiTheme="minorHAnsi" w:cstheme="minorHAnsi"/>
        </w:rPr>
      </w:pPr>
      <w:r w:rsidRPr="00B21212">
        <w:rPr>
          <w:rFonts w:asciiTheme="minorHAnsi" w:hAnsiTheme="minorHAnsi" w:cstheme="minorHAnsi"/>
        </w:rPr>
        <w:t>A</w:t>
      </w:r>
      <w:r w:rsidR="00123D77" w:rsidRPr="00B21212">
        <w:rPr>
          <w:rFonts w:asciiTheme="minorHAnsi" w:hAnsiTheme="minorHAnsi" w:cstheme="minorHAnsi"/>
        </w:rPr>
        <w:t>n unbiased and objective investigating authority</w:t>
      </w:r>
      <w:r w:rsidR="004236DE" w:rsidRPr="00B21212">
        <w:rPr>
          <w:rFonts w:asciiTheme="minorHAnsi" w:hAnsiTheme="minorHAnsi" w:cstheme="minorHAnsi"/>
        </w:rPr>
        <w:t xml:space="preserve"> that had concerns about the veracity of the data submitted</w:t>
      </w:r>
      <w:r w:rsidR="00123D77" w:rsidRPr="00B21212">
        <w:rPr>
          <w:rFonts w:asciiTheme="minorHAnsi" w:hAnsiTheme="minorHAnsi" w:cstheme="minorHAnsi"/>
        </w:rPr>
        <w:t xml:space="preserve"> would have verified </w:t>
      </w:r>
      <w:r w:rsidR="004236DE" w:rsidRPr="00B21212">
        <w:rPr>
          <w:rFonts w:asciiTheme="minorHAnsi" w:hAnsiTheme="minorHAnsi" w:cstheme="minorHAnsi"/>
        </w:rPr>
        <w:t>it</w:t>
      </w:r>
      <w:r w:rsidR="00123D77" w:rsidRPr="00B21212">
        <w:rPr>
          <w:rFonts w:asciiTheme="minorHAnsi" w:hAnsiTheme="minorHAnsi" w:cstheme="minorHAnsi"/>
        </w:rPr>
        <w:t xml:space="preserve"> by reference to its primary source, being the sampled companies' respective financial accounting systems. MOFCOM did not need to verify the data submitted by </w:t>
      </w:r>
      <w:r w:rsidR="004236DE" w:rsidRPr="00B21212">
        <w:rPr>
          <w:rFonts w:asciiTheme="minorHAnsi" w:hAnsiTheme="minorHAnsi" w:cstheme="minorHAnsi"/>
        </w:rPr>
        <w:t>comparing it to data contained in</w:t>
      </w:r>
      <w:r w:rsidR="00123D77" w:rsidRPr="00B21212">
        <w:rPr>
          <w:rFonts w:asciiTheme="minorHAnsi" w:hAnsiTheme="minorHAnsi" w:cstheme="minorHAnsi"/>
        </w:rPr>
        <w:t xml:space="preserve"> other forms submitted by the sampled companies in response to the questionnaire. </w:t>
      </w:r>
    </w:p>
    <w:p w14:paraId="0A2787C5" w14:textId="275D25D4" w:rsidR="001A6310" w:rsidRPr="00B21212" w:rsidRDefault="001A6310" w:rsidP="001A6310">
      <w:pPr>
        <w:pStyle w:val="HL2HeadingLevel2"/>
        <w:rPr>
          <w:rFonts w:asciiTheme="minorHAnsi" w:hAnsiTheme="minorHAnsi" w:cstheme="minorHAnsi"/>
        </w:rPr>
      </w:pPr>
      <w:bookmarkStart w:id="10" w:name="_Toc113344017"/>
      <w:r w:rsidRPr="00B21212">
        <w:rPr>
          <w:rFonts w:asciiTheme="minorHAnsi" w:hAnsiTheme="minorHAnsi" w:cstheme="minorHAnsi"/>
        </w:rPr>
        <w:t>Best information available</w:t>
      </w:r>
      <w:bookmarkEnd w:id="10"/>
    </w:p>
    <w:p w14:paraId="2F0F28EE" w14:textId="5C94B93D" w:rsidR="00B33BC6" w:rsidRPr="00F140B4" w:rsidRDefault="00B33BC6" w:rsidP="000205CF">
      <w:pPr>
        <w:pStyle w:val="P1-N1Paragraph1-Number1"/>
        <w:rPr>
          <w:rFonts w:asciiTheme="minorHAnsi" w:hAnsiTheme="minorHAnsi" w:cstheme="minorHAnsi"/>
        </w:rPr>
      </w:pPr>
      <w:r w:rsidRPr="00B21212">
        <w:rPr>
          <w:rFonts w:asciiTheme="minorHAnsi" w:hAnsiTheme="minorHAnsi" w:cstheme="minorHAnsi"/>
        </w:rPr>
        <w:t>There appears to be a fundamental disagreement between the parties as to the analytical approach the Panel should adopt in assessing whether MOFCOM's findings on the use of facts available were consistent with the requirements of the Anti-Dumping Agreement.</w:t>
      </w:r>
      <w:r w:rsidR="004236DE" w:rsidRPr="00B21212">
        <w:rPr>
          <w:rFonts w:asciiTheme="minorHAnsi" w:hAnsiTheme="minorHAnsi" w:cstheme="minorHAnsi"/>
        </w:rPr>
        <w:t xml:space="preserve"> </w:t>
      </w:r>
    </w:p>
    <w:p w14:paraId="73A20840" w14:textId="7DDFD128" w:rsidR="00B33BC6" w:rsidRPr="00B21212" w:rsidRDefault="00B33BC6" w:rsidP="00B33BC6">
      <w:pPr>
        <w:pStyle w:val="P1-N1Paragraph1-Number1"/>
        <w:rPr>
          <w:rFonts w:asciiTheme="minorHAnsi" w:hAnsiTheme="minorHAnsi" w:cstheme="minorHAnsi"/>
        </w:rPr>
      </w:pPr>
      <w:r w:rsidRPr="00B21212">
        <w:rPr>
          <w:rFonts w:asciiTheme="minorHAnsi" w:hAnsiTheme="minorHAnsi" w:cstheme="minorHAnsi"/>
        </w:rPr>
        <w:t>China asserts that the Panel should not examine the correctness</w:t>
      </w:r>
      <w:r w:rsidR="00E469F7">
        <w:rPr>
          <w:rFonts w:asciiTheme="minorHAnsi" w:hAnsiTheme="minorHAnsi" w:cstheme="minorHAnsi"/>
        </w:rPr>
        <w:t xml:space="preserve"> of</w:t>
      </w:r>
      <w:r w:rsidRPr="00B21212">
        <w:rPr>
          <w:rFonts w:asciiTheme="minorHAnsi" w:hAnsiTheme="minorHAnsi" w:cstheme="minorHAnsi"/>
        </w:rPr>
        <w:t xml:space="preserve"> the deficiencies identified by MOFCOM in its Final Determination to justify its use of facts available on an individual level. Rather, China argues that the Panel should </w:t>
      </w:r>
      <w:r w:rsidR="004236DE" w:rsidRPr="00B21212">
        <w:rPr>
          <w:rFonts w:asciiTheme="minorHAnsi" w:hAnsiTheme="minorHAnsi" w:cstheme="minorHAnsi"/>
        </w:rPr>
        <w:t xml:space="preserve">only </w:t>
      </w:r>
      <w:r w:rsidRPr="00B21212">
        <w:rPr>
          <w:rFonts w:asciiTheme="minorHAnsi" w:hAnsiTheme="minorHAnsi" w:cstheme="minorHAnsi"/>
        </w:rPr>
        <w:t xml:space="preserve">assess what China describes as </w:t>
      </w:r>
      <w:r w:rsidR="004236DE" w:rsidRPr="00B21212">
        <w:rPr>
          <w:rFonts w:asciiTheme="minorHAnsi" w:hAnsiTheme="minorHAnsi" w:cstheme="minorHAnsi"/>
        </w:rPr>
        <w:t>the</w:t>
      </w:r>
      <w:r w:rsidRPr="00B21212">
        <w:rPr>
          <w:rFonts w:asciiTheme="minorHAnsi" w:hAnsiTheme="minorHAnsi" w:cstheme="minorHAnsi"/>
        </w:rPr>
        <w:t xml:space="preserve"> "holistic" assessment undertaken by MOFCOM.</w:t>
      </w:r>
      <w:r w:rsidRPr="00B21212">
        <w:rPr>
          <w:rStyle w:val="FootnoteReference"/>
          <w:rFonts w:asciiTheme="minorHAnsi" w:hAnsiTheme="minorHAnsi" w:cstheme="minorHAnsi"/>
        </w:rPr>
        <w:footnoteReference w:id="4"/>
      </w:r>
    </w:p>
    <w:p w14:paraId="2EBDB83D" w14:textId="5F72BACF" w:rsidR="00B33BC6" w:rsidRPr="00B21212" w:rsidRDefault="004236DE" w:rsidP="00B33BC6">
      <w:pPr>
        <w:pStyle w:val="P1-N1Paragraph1-Number1"/>
        <w:rPr>
          <w:rFonts w:asciiTheme="minorHAnsi" w:hAnsiTheme="minorHAnsi" w:cstheme="minorHAnsi"/>
        </w:rPr>
      </w:pPr>
      <w:r w:rsidRPr="00B21212">
        <w:rPr>
          <w:rFonts w:asciiTheme="minorHAnsi" w:hAnsiTheme="minorHAnsi" w:cstheme="minorHAnsi"/>
        </w:rPr>
        <w:t>C</w:t>
      </w:r>
      <w:r w:rsidR="00B33BC6" w:rsidRPr="00B21212">
        <w:rPr>
          <w:rFonts w:asciiTheme="minorHAnsi" w:hAnsiTheme="minorHAnsi" w:cstheme="minorHAnsi"/>
        </w:rPr>
        <w:t xml:space="preserve">ontrary to China's assertion, there is no evidence on the record that MOFCOM undertook a "holistic" assessment of the purported defects it had identified in the forms submitted by the sampled companies. The concept of a "holistic" assessment appears for the first time in China's </w:t>
      </w:r>
      <w:r w:rsidR="00351777">
        <w:rPr>
          <w:rFonts w:asciiTheme="minorHAnsi" w:hAnsiTheme="minorHAnsi" w:cstheme="minorHAnsi"/>
        </w:rPr>
        <w:t xml:space="preserve">first written </w:t>
      </w:r>
      <w:r w:rsidR="00B33BC6" w:rsidRPr="00B21212">
        <w:rPr>
          <w:rFonts w:asciiTheme="minorHAnsi" w:hAnsiTheme="minorHAnsi" w:cstheme="minorHAnsi"/>
        </w:rPr>
        <w:t>submission</w:t>
      </w:r>
      <w:r w:rsidRPr="00B21212">
        <w:rPr>
          <w:rFonts w:asciiTheme="minorHAnsi" w:hAnsiTheme="minorHAnsi" w:cstheme="minorHAnsi"/>
        </w:rPr>
        <w:t>.</w:t>
      </w:r>
      <w:r w:rsidR="00B33BC6" w:rsidRPr="00B21212">
        <w:rPr>
          <w:rFonts w:asciiTheme="minorHAnsi" w:hAnsiTheme="minorHAnsi" w:cstheme="minorHAnsi"/>
        </w:rPr>
        <w:t xml:space="preserve"> To the contrary, the Final Determination contains a form-by-form analysis and discussion of specific issues with those forms identified by MOFCOM.</w:t>
      </w:r>
    </w:p>
    <w:p w14:paraId="3F51B628" w14:textId="41C040E3" w:rsidR="00B33BC6" w:rsidRPr="00B21212" w:rsidRDefault="00B33BC6" w:rsidP="00B33BC6">
      <w:pPr>
        <w:pStyle w:val="P1-N1Paragraph1-Number1"/>
        <w:rPr>
          <w:rFonts w:asciiTheme="minorHAnsi" w:hAnsiTheme="minorHAnsi" w:cstheme="minorHAnsi"/>
        </w:rPr>
      </w:pPr>
      <w:r w:rsidRPr="00B21212">
        <w:rPr>
          <w:rFonts w:asciiTheme="minorHAnsi" w:hAnsiTheme="minorHAnsi" w:cstheme="minorHAnsi"/>
        </w:rPr>
        <w:t xml:space="preserve">China relies on the Panel's decision </w:t>
      </w:r>
      <w:bookmarkStart w:id="11" w:name="_Hlk113355797"/>
      <w:r w:rsidRPr="00B21212">
        <w:rPr>
          <w:rFonts w:asciiTheme="minorHAnsi" w:hAnsiTheme="minorHAnsi" w:cstheme="minorHAnsi"/>
        </w:rPr>
        <w:t xml:space="preserve">in </w:t>
      </w:r>
      <w:r w:rsidRPr="00B21212">
        <w:rPr>
          <w:rFonts w:asciiTheme="minorHAnsi" w:hAnsiTheme="minorHAnsi" w:cstheme="minorHAnsi"/>
          <w:i/>
          <w:iCs/>
        </w:rPr>
        <w:t>US – Steel Plate</w:t>
      </w:r>
      <w:r w:rsidRPr="00B21212">
        <w:rPr>
          <w:rFonts w:asciiTheme="minorHAnsi" w:hAnsiTheme="minorHAnsi" w:cstheme="minorHAnsi"/>
        </w:rPr>
        <w:t xml:space="preserve"> as </w:t>
      </w:r>
      <w:bookmarkEnd w:id="11"/>
      <w:r w:rsidRPr="00B21212">
        <w:rPr>
          <w:rFonts w:asciiTheme="minorHAnsi" w:hAnsiTheme="minorHAnsi" w:cstheme="minorHAnsi"/>
        </w:rPr>
        <w:t xml:space="preserve">support for its assertion that the Panel should consider MOFCOM's rejection of sampled companies' data holistically, rather than on an individual basis. Australia accepts, as the Panel in </w:t>
      </w:r>
      <w:r w:rsidRPr="00B21212">
        <w:rPr>
          <w:rFonts w:asciiTheme="minorHAnsi" w:hAnsiTheme="minorHAnsi" w:cstheme="minorHAnsi"/>
          <w:i/>
          <w:iCs/>
        </w:rPr>
        <w:t>US – Steel Plate</w:t>
      </w:r>
      <w:r w:rsidRPr="00B21212">
        <w:rPr>
          <w:rFonts w:asciiTheme="minorHAnsi" w:hAnsiTheme="minorHAnsi" w:cstheme="minorHAnsi"/>
        </w:rPr>
        <w:t xml:space="preserve"> articulated, that conceptually "a failure to provide certain information may have ramifications beyond the category into which it falls" and that the absence of certain information "may affect the relative ease or difficulty of using the information that has been submitted".</w:t>
      </w:r>
      <w:r w:rsidR="00475C65">
        <w:rPr>
          <w:rStyle w:val="FootnoteReference"/>
          <w:rFonts w:cstheme="minorHAnsi"/>
        </w:rPr>
        <w:footnoteReference w:id="5"/>
      </w:r>
      <w:r w:rsidRPr="00B21212">
        <w:rPr>
          <w:rFonts w:asciiTheme="minorHAnsi" w:hAnsiTheme="minorHAnsi" w:cstheme="minorHAnsi"/>
        </w:rPr>
        <w:t xml:space="preserve"> But this proposition does not support </w:t>
      </w:r>
      <w:r w:rsidR="004236DE" w:rsidRPr="00B21212">
        <w:rPr>
          <w:rFonts w:asciiTheme="minorHAnsi" w:hAnsiTheme="minorHAnsi" w:cstheme="minorHAnsi"/>
        </w:rPr>
        <w:t xml:space="preserve">either an investigating authority or a panel </w:t>
      </w:r>
      <w:r w:rsidRPr="00B21212">
        <w:rPr>
          <w:rFonts w:asciiTheme="minorHAnsi" w:hAnsiTheme="minorHAnsi" w:cstheme="minorHAnsi"/>
        </w:rPr>
        <w:t>undertaking a "holistic assessment" or assessing purported defects on a holistic level</w:t>
      </w:r>
      <w:r w:rsidR="002F23A5" w:rsidRPr="00B21212">
        <w:rPr>
          <w:rFonts w:asciiTheme="minorHAnsi" w:hAnsiTheme="minorHAnsi" w:cstheme="minorHAnsi"/>
        </w:rPr>
        <w:t>.</w:t>
      </w:r>
      <w:r w:rsidRPr="00B21212">
        <w:rPr>
          <w:rFonts w:asciiTheme="minorHAnsi" w:hAnsiTheme="minorHAnsi" w:cstheme="minorHAnsi"/>
        </w:rPr>
        <w:t xml:space="preserve"> </w:t>
      </w:r>
    </w:p>
    <w:p w14:paraId="3CC5E6A3" w14:textId="158BD2ED" w:rsidR="00B33BC6" w:rsidRPr="00B21212" w:rsidRDefault="004236DE" w:rsidP="00B33BC6">
      <w:pPr>
        <w:pStyle w:val="P1-N1Paragraph1-Number1"/>
        <w:rPr>
          <w:rFonts w:asciiTheme="minorHAnsi" w:hAnsiTheme="minorHAnsi" w:cstheme="minorHAnsi"/>
        </w:rPr>
      </w:pPr>
      <w:r w:rsidRPr="00B21212">
        <w:rPr>
          <w:rFonts w:asciiTheme="minorHAnsi" w:hAnsiTheme="minorHAnsi" w:cstheme="minorHAnsi"/>
        </w:rPr>
        <w:t>E</w:t>
      </w:r>
      <w:r w:rsidR="00B33BC6" w:rsidRPr="00B21212">
        <w:rPr>
          <w:rFonts w:asciiTheme="minorHAnsi" w:hAnsiTheme="minorHAnsi" w:cstheme="minorHAnsi"/>
        </w:rPr>
        <w:t>ven acknowledging that defects in one piece of data may affect the use that can be made of another piece of data, this is subject to</w:t>
      </w:r>
      <w:r w:rsidR="005D69CB" w:rsidRPr="00B21212">
        <w:rPr>
          <w:rFonts w:asciiTheme="minorHAnsi" w:hAnsiTheme="minorHAnsi" w:cstheme="minorHAnsi"/>
        </w:rPr>
        <w:t xml:space="preserve"> at least</w:t>
      </w:r>
      <w:r w:rsidR="00B33BC6" w:rsidRPr="00B21212">
        <w:rPr>
          <w:rFonts w:asciiTheme="minorHAnsi" w:hAnsiTheme="minorHAnsi" w:cstheme="minorHAnsi"/>
        </w:rPr>
        <w:t xml:space="preserve"> three qualifications: </w:t>
      </w:r>
    </w:p>
    <w:p w14:paraId="0F2DC758" w14:textId="73669808" w:rsidR="00B33BC6" w:rsidRPr="00B21212" w:rsidRDefault="00B33BC6" w:rsidP="00B33BC6">
      <w:pPr>
        <w:pStyle w:val="P2-B1Paragraph2-Bullet1"/>
        <w:rPr>
          <w:rFonts w:asciiTheme="minorHAnsi" w:hAnsiTheme="minorHAnsi" w:cstheme="minorHAnsi"/>
        </w:rPr>
      </w:pPr>
      <w:r w:rsidRPr="00B21212">
        <w:rPr>
          <w:rFonts w:asciiTheme="minorHAnsi" w:hAnsiTheme="minorHAnsi" w:cstheme="minorHAnsi"/>
        </w:rPr>
        <w:t xml:space="preserve">First, it must be demonstrated, and not simply asserted, that the purported defect in the first piece of information in fact exists. This necessarily involves an individual assessment of each piece of information. An investigating authority is not permitted to simply make an impressionistic assessment of the completeness of the evidence. </w:t>
      </w:r>
    </w:p>
    <w:p w14:paraId="6A45436C" w14:textId="33A72B52" w:rsidR="00B33BC6" w:rsidRPr="00B21212" w:rsidRDefault="00B33BC6" w:rsidP="00B33BC6">
      <w:pPr>
        <w:pStyle w:val="P2-B1Paragraph2-Bullet1"/>
        <w:rPr>
          <w:rFonts w:asciiTheme="minorHAnsi" w:hAnsiTheme="minorHAnsi" w:cstheme="minorHAnsi"/>
        </w:rPr>
      </w:pPr>
      <w:r w:rsidRPr="00B21212">
        <w:rPr>
          <w:rFonts w:asciiTheme="minorHAnsi" w:hAnsiTheme="minorHAnsi" w:cstheme="minorHAnsi"/>
        </w:rPr>
        <w:t>Second, it must be demonstrated, and not simply asserted</w:t>
      </w:r>
      <w:r w:rsidR="005D69CB" w:rsidRPr="00B21212">
        <w:rPr>
          <w:rFonts w:asciiTheme="minorHAnsi" w:hAnsiTheme="minorHAnsi" w:cstheme="minorHAnsi"/>
        </w:rPr>
        <w:t>,</w:t>
      </w:r>
      <w:r w:rsidRPr="00B21212">
        <w:rPr>
          <w:rFonts w:asciiTheme="minorHAnsi" w:hAnsiTheme="minorHAnsi" w:cstheme="minorHAnsi"/>
        </w:rPr>
        <w:t xml:space="preserve"> that a deficiency in a piece of information in fact has a relevant impact on the use that can be made of another piece of information. </w:t>
      </w:r>
    </w:p>
    <w:p w14:paraId="7E3878DF" w14:textId="77777777" w:rsidR="00B33BC6" w:rsidRPr="00B21212" w:rsidRDefault="00B33BC6" w:rsidP="00B33BC6">
      <w:pPr>
        <w:pStyle w:val="P2-B1Paragraph2-Bullet1"/>
        <w:rPr>
          <w:rFonts w:asciiTheme="minorHAnsi" w:hAnsiTheme="minorHAnsi" w:cstheme="minorHAnsi"/>
        </w:rPr>
      </w:pPr>
      <w:r w:rsidRPr="00B21212">
        <w:rPr>
          <w:rFonts w:asciiTheme="minorHAnsi" w:hAnsiTheme="minorHAnsi" w:cstheme="minorHAnsi"/>
        </w:rPr>
        <w:t xml:space="preserve">Third, the absence of information can only be relevant to whether a determination can be made on the basis of facts available to the extent that the missing information is "necessary". </w:t>
      </w:r>
    </w:p>
    <w:p w14:paraId="7011CD9D" w14:textId="6645B52F" w:rsidR="00B33BC6" w:rsidRPr="00B21212" w:rsidRDefault="00B33BC6" w:rsidP="00B33BC6">
      <w:pPr>
        <w:pStyle w:val="HL2HeadingLevel2"/>
        <w:rPr>
          <w:rFonts w:asciiTheme="minorHAnsi" w:hAnsiTheme="minorHAnsi" w:cstheme="minorHAnsi"/>
        </w:rPr>
      </w:pPr>
      <w:bookmarkStart w:id="12" w:name="_Toc113344018"/>
      <w:r w:rsidRPr="00B21212">
        <w:rPr>
          <w:rFonts w:asciiTheme="minorHAnsi" w:hAnsiTheme="minorHAnsi" w:cstheme="minorHAnsi"/>
        </w:rPr>
        <w:t>Treasury provided all necessary information</w:t>
      </w:r>
      <w:bookmarkEnd w:id="12"/>
      <w:r w:rsidRPr="00B21212">
        <w:rPr>
          <w:rFonts w:asciiTheme="minorHAnsi" w:hAnsiTheme="minorHAnsi" w:cstheme="minorHAnsi"/>
        </w:rPr>
        <w:t xml:space="preserve"> </w:t>
      </w:r>
    </w:p>
    <w:p w14:paraId="2619DB49" w14:textId="728E2AF1" w:rsidR="00940001" w:rsidRPr="00B21212" w:rsidRDefault="00046F0D" w:rsidP="00046F0D">
      <w:pPr>
        <w:pStyle w:val="P1-N1Paragraph1-Number1"/>
        <w:rPr>
          <w:rFonts w:asciiTheme="minorHAnsi" w:hAnsiTheme="minorHAnsi" w:cstheme="minorHAnsi"/>
        </w:rPr>
      </w:pPr>
      <w:r w:rsidRPr="00B21212">
        <w:rPr>
          <w:rFonts w:asciiTheme="minorHAnsi" w:hAnsiTheme="minorHAnsi" w:cstheme="minorHAnsi"/>
        </w:rPr>
        <w:t xml:space="preserve">Treasury provided all necessary information to enable MOFCOM to calculate normal value under Article 2 of the Anti-Dumping Agreement. </w:t>
      </w:r>
    </w:p>
    <w:p w14:paraId="1489D62F" w14:textId="49DD5A9D" w:rsidR="00046F0D" w:rsidRPr="00E26C65" w:rsidRDefault="00940001" w:rsidP="00046F0D">
      <w:pPr>
        <w:pStyle w:val="P1-N1Paragraph1-Number1"/>
        <w:rPr>
          <w:rFonts w:asciiTheme="minorHAnsi" w:hAnsiTheme="minorHAnsi" w:cstheme="minorHAnsi"/>
          <w:highlight w:val="black"/>
        </w:rPr>
      </w:pPr>
      <w:r w:rsidRPr="00B21212">
        <w:rPr>
          <w:rFonts w:asciiTheme="minorHAnsi" w:hAnsiTheme="minorHAnsi" w:cstheme="minorHAnsi"/>
        </w:rPr>
        <w:t xml:space="preserve">While data </w:t>
      </w:r>
      <w:r w:rsidR="00ED784C">
        <w:rPr>
          <w:rFonts w:asciiTheme="minorHAnsi" w:hAnsiTheme="minorHAnsi" w:cstheme="minorHAnsi"/>
        </w:rPr>
        <w:t>were</w:t>
      </w:r>
      <w:r w:rsidR="00ED784C" w:rsidRPr="00B21212">
        <w:rPr>
          <w:rFonts w:asciiTheme="minorHAnsi" w:hAnsiTheme="minorHAnsi" w:cstheme="minorHAnsi"/>
        </w:rPr>
        <w:t xml:space="preserve"> </w:t>
      </w:r>
      <w:r w:rsidRPr="00B21212">
        <w:rPr>
          <w:rFonts w:asciiTheme="minorHAnsi" w:hAnsiTheme="minorHAnsi" w:cstheme="minorHAnsi"/>
        </w:rPr>
        <w:t xml:space="preserve">missing from </w:t>
      </w:r>
      <w:r w:rsidR="00046F0D"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XXXXXXXXXXXXXXXXXXXXXXXXXXXXXXXXXXXXXXX</w:t>
      </w:r>
      <w:r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5077C1"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046F0D"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046F0D"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w:t>
      </w:r>
      <w:r w:rsidR="00046F0D" w:rsidRPr="00E26C65">
        <w:rPr>
          <w:rFonts w:asciiTheme="minorHAnsi" w:hAnsiTheme="minorHAnsi" w:cstheme="minorHAnsi"/>
          <w:highlight w:val="black"/>
        </w:rPr>
        <w:t>]]</w:t>
      </w:r>
    </w:p>
    <w:p w14:paraId="2F74BEEC" w14:textId="451A8668" w:rsidR="00F30811" w:rsidRPr="00B21212" w:rsidRDefault="00F30811" w:rsidP="00F30811">
      <w:pPr>
        <w:pStyle w:val="P1-N1Paragraph1-Number1"/>
        <w:rPr>
          <w:rFonts w:asciiTheme="minorHAnsi" w:hAnsiTheme="minorHAnsi" w:cstheme="minorHAnsi"/>
        </w:rPr>
      </w:pPr>
      <w:r w:rsidRPr="00B21212">
        <w:rPr>
          <w:rFonts w:asciiTheme="minorHAnsi" w:hAnsiTheme="minorHAnsi" w:cstheme="minorHAnsi"/>
        </w:rPr>
        <w:t>In contrast, Australia and China agree that Form</w:t>
      </w:r>
      <w:r w:rsidR="00864D25">
        <w:rPr>
          <w:rFonts w:asciiTheme="minorHAnsi" w:hAnsiTheme="minorHAnsi" w:cstheme="minorHAnsi"/>
        </w:rPr>
        <w:t>s</w:t>
      </w:r>
      <w:r w:rsidRPr="00B21212">
        <w:rPr>
          <w:rFonts w:asciiTheme="minorHAnsi" w:hAnsiTheme="minorHAnsi" w:cstheme="minorHAnsi"/>
        </w:rPr>
        <w:t xml:space="preserve"> 6-3 and 6-4 contain "necessary information" within the meaning of Article 6.8. </w:t>
      </w:r>
      <w:r w:rsidR="0098202E" w:rsidRPr="00B21212">
        <w:rPr>
          <w:rFonts w:asciiTheme="minorHAnsi" w:hAnsiTheme="minorHAnsi" w:cstheme="minorHAnsi"/>
        </w:rPr>
        <w:t>Following</w:t>
      </w:r>
      <w:r w:rsidRPr="00B21212">
        <w:rPr>
          <w:rFonts w:asciiTheme="minorHAnsi" w:hAnsiTheme="minorHAnsi" w:cstheme="minorHAnsi"/>
        </w:rPr>
        <w:t xml:space="preserve"> the submission of Treasury</w:t>
      </w:r>
      <w:r w:rsidR="00AD6DE2">
        <w:rPr>
          <w:rFonts w:asciiTheme="minorHAnsi" w:hAnsiTheme="minorHAnsi" w:cstheme="minorHAnsi"/>
        </w:rPr>
        <w:t>'s</w:t>
      </w:r>
      <w:r w:rsidRPr="00B21212">
        <w:rPr>
          <w:rFonts w:asciiTheme="minorHAnsi" w:hAnsiTheme="minorHAnsi" w:cstheme="minorHAnsi"/>
        </w:rPr>
        <w:t xml:space="preserve"> response to the Preliminary Determination, MOFCOM </w:t>
      </w:r>
      <w:r w:rsidR="00940001" w:rsidRPr="00B21212">
        <w:rPr>
          <w:rFonts w:asciiTheme="minorHAnsi" w:hAnsiTheme="minorHAnsi" w:cstheme="minorHAnsi"/>
        </w:rPr>
        <w:t>had</w:t>
      </w:r>
      <w:r w:rsidRPr="00B21212">
        <w:rPr>
          <w:rFonts w:asciiTheme="minorHAnsi" w:hAnsiTheme="minorHAnsi" w:cstheme="minorHAnsi"/>
        </w:rPr>
        <w:t xml:space="preserve"> complete cost of production data </w:t>
      </w:r>
      <w:r w:rsidR="0098202E" w:rsidRPr="00B21212">
        <w:rPr>
          <w:rFonts w:asciiTheme="minorHAnsi" w:hAnsiTheme="minorHAnsi" w:cstheme="minorHAnsi"/>
        </w:rPr>
        <w:t xml:space="preserve">in these forms </w:t>
      </w:r>
      <w:r w:rsidR="00325AAD"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XXXXXXXXXXXXXXXXXXXXXXXXXXXXXX</w:t>
      </w:r>
      <w:r w:rsidR="00325AAD" w:rsidRPr="00E26C65">
        <w:rPr>
          <w:rFonts w:asciiTheme="minorHAnsi" w:hAnsiTheme="minorHAnsi" w:cstheme="minorHAnsi"/>
          <w:highlight w:val="black"/>
        </w:rPr>
        <w:t>]]</w:t>
      </w:r>
      <w:r w:rsidRPr="00E26C65">
        <w:rPr>
          <w:rFonts w:asciiTheme="minorHAnsi" w:hAnsiTheme="minorHAnsi" w:cstheme="minorHAnsi"/>
          <w:highlight w:val="black"/>
        </w:rPr>
        <w:t>.</w:t>
      </w:r>
    </w:p>
    <w:p w14:paraId="347AEE28" w14:textId="5C73B3E1" w:rsidR="00940001" w:rsidRPr="00B21212" w:rsidRDefault="00940001" w:rsidP="00F30811">
      <w:pPr>
        <w:pStyle w:val="P1-N1Paragraph1-Number1"/>
        <w:rPr>
          <w:rFonts w:asciiTheme="minorHAnsi" w:hAnsiTheme="minorHAnsi" w:cstheme="minorHAnsi"/>
        </w:rPr>
      </w:pPr>
      <w:r w:rsidRPr="00B21212">
        <w:rPr>
          <w:rFonts w:asciiTheme="minorHAnsi" w:hAnsiTheme="minorHAnsi" w:cstheme="minorHAnsi"/>
        </w:rPr>
        <w:t>MOFCOM complained that it had not been provided with production cost data for all wines sold by Treasury</w:t>
      </w:r>
      <w:r w:rsidR="00F41D2D" w:rsidRPr="00B21212">
        <w:rPr>
          <w:rFonts w:asciiTheme="minorHAnsi" w:hAnsiTheme="minorHAnsi" w:cstheme="minorHAnsi"/>
        </w:rPr>
        <w:t xml:space="preserve"> </w:t>
      </w:r>
      <w:r w:rsidRPr="00B21212">
        <w:rPr>
          <w:rFonts w:asciiTheme="minorHAnsi" w:hAnsiTheme="minorHAnsi" w:cstheme="minorHAnsi"/>
        </w:rPr>
        <w:t xml:space="preserve">in Australia, only those also exported to China. </w:t>
      </w:r>
      <w:r w:rsidR="00872A1E">
        <w:rPr>
          <w:rFonts w:asciiTheme="minorHAnsi" w:hAnsiTheme="minorHAnsi" w:cstheme="minorHAnsi"/>
        </w:rPr>
        <w:t>In the circumstances, t</w:t>
      </w:r>
      <w:r w:rsidRPr="00B21212">
        <w:rPr>
          <w:rFonts w:asciiTheme="minorHAnsi" w:hAnsiTheme="minorHAnsi" w:cstheme="minorHAnsi"/>
        </w:rPr>
        <w:t>his was not necessary information. The purpose of the investigation is to determine margins of dumping for actual exports, requiring that such exports are compared with normal values established in relation to their sale in Australia.</w:t>
      </w:r>
      <w:r w:rsidR="00121DC8">
        <w:rPr>
          <w:rFonts w:asciiTheme="minorHAnsi" w:hAnsiTheme="minorHAnsi" w:cstheme="minorHAnsi"/>
        </w:rPr>
        <w:t xml:space="preserve"> </w:t>
      </w:r>
      <w:r w:rsidR="00121DC8"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XXXXXXXXXXXXXXXXXXXXXXXXXXXXXXX</w:t>
      </w:r>
      <w:r w:rsidR="00121DC8" w:rsidRPr="00E26C65">
        <w:rPr>
          <w:rFonts w:asciiTheme="minorHAnsi" w:hAnsiTheme="minorHAnsi" w:cstheme="minorHAnsi"/>
          <w:highlight w:val="black"/>
        </w:rPr>
        <w:t>]]</w:t>
      </w:r>
      <w:r w:rsidR="00121DC8" w:rsidRPr="00121DC8">
        <w:rPr>
          <w:rFonts w:asciiTheme="minorHAnsi" w:hAnsiTheme="minorHAnsi" w:cstheme="minorHAnsi"/>
        </w:rPr>
        <w:t xml:space="preserve"> that were exported</w:t>
      </w:r>
      <w:r w:rsidR="00A527B5">
        <w:rPr>
          <w:rFonts w:asciiTheme="minorHAnsi" w:hAnsiTheme="minorHAnsi" w:cstheme="minorHAnsi"/>
        </w:rPr>
        <w:t>.</w:t>
      </w:r>
    </w:p>
    <w:p w14:paraId="353CBC59" w14:textId="1774BF53" w:rsidR="00B33BC6" w:rsidRPr="00B21212" w:rsidRDefault="00B33BC6" w:rsidP="00B33BC6">
      <w:pPr>
        <w:pStyle w:val="HL2HeadingLevel2"/>
        <w:rPr>
          <w:rFonts w:asciiTheme="minorHAnsi" w:hAnsiTheme="minorHAnsi" w:cstheme="minorHAnsi"/>
        </w:rPr>
      </w:pPr>
      <w:bookmarkStart w:id="13" w:name="_Toc113344019"/>
      <w:r w:rsidRPr="00B21212">
        <w:rPr>
          <w:rFonts w:asciiTheme="minorHAnsi" w:hAnsiTheme="minorHAnsi" w:cstheme="minorHAnsi"/>
        </w:rPr>
        <w:t>MOFCOM's selection of replacement data for Treasury</w:t>
      </w:r>
      <w:bookmarkEnd w:id="13"/>
      <w:r w:rsidRPr="00B21212">
        <w:rPr>
          <w:rFonts w:asciiTheme="minorHAnsi" w:hAnsiTheme="minorHAnsi" w:cstheme="minorHAnsi"/>
        </w:rPr>
        <w:t xml:space="preserve"> </w:t>
      </w:r>
    </w:p>
    <w:p w14:paraId="761282D6" w14:textId="191B44C0" w:rsidR="00B33BC6" w:rsidRPr="004B2F0D" w:rsidRDefault="00E2362D" w:rsidP="00B33BC6">
      <w:pPr>
        <w:pStyle w:val="P1-N1Paragraph1-Number1"/>
        <w:rPr>
          <w:rFonts w:asciiTheme="minorHAnsi" w:hAnsiTheme="minorHAnsi" w:cstheme="minorHAnsi"/>
        </w:rPr>
      </w:pPr>
      <w:r w:rsidRPr="00B21212">
        <w:rPr>
          <w:rFonts w:asciiTheme="minorHAnsi" w:hAnsiTheme="minorHAnsi" w:cstheme="minorHAnsi"/>
        </w:rPr>
        <w:t>T</w:t>
      </w:r>
      <w:r w:rsidR="00B33BC6" w:rsidRPr="00B21212">
        <w:rPr>
          <w:rFonts w:asciiTheme="minorHAnsi" w:hAnsiTheme="minorHAnsi" w:cstheme="minorHAnsi"/>
        </w:rPr>
        <w:t xml:space="preserve">here must be </w:t>
      </w:r>
      <w:r w:rsidR="002C4724">
        <w:rPr>
          <w:rFonts w:asciiTheme="minorHAnsi" w:hAnsiTheme="minorHAnsi" w:cstheme="minorHAnsi"/>
        </w:rPr>
        <w:t xml:space="preserve">a </w:t>
      </w:r>
      <w:r w:rsidR="00B33BC6" w:rsidRPr="00B21212">
        <w:rPr>
          <w:rFonts w:asciiTheme="minorHAnsi" w:hAnsiTheme="minorHAnsi" w:cstheme="minorHAnsi"/>
        </w:rPr>
        <w:t>connection between the "necessary information" that is missing and the particular "facts available" on which a determination is based.</w:t>
      </w:r>
      <w:r w:rsidR="00B33BC6" w:rsidRPr="004B2F0D">
        <w:rPr>
          <w:rStyle w:val="FootnoteReference"/>
          <w:rFonts w:asciiTheme="minorHAnsi" w:hAnsiTheme="minorHAnsi" w:cstheme="minorHAnsi"/>
        </w:rPr>
        <w:footnoteReference w:id="6"/>
      </w:r>
    </w:p>
    <w:p w14:paraId="0555AB5D" w14:textId="318FADE0" w:rsidR="00B141BE" w:rsidRPr="004B2F0D" w:rsidRDefault="00370C4C" w:rsidP="00793619">
      <w:pPr>
        <w:pStyle w:val="P1-N1Paragraph1-Number1"/>
        <w:rPr>
          <w:rFonts w:asciiTheme="minorHAnsi" w:hAnsiTheme="minorHAnsi" w:cstheme="minorHAnsi"/>
        </w:rPr>
      </w:pPr>
      <w:r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XXXXXXXXXXXXXXXXXXXXXXXXXXXXXXXXXX</w:t>
      </w:r>
      <w:r w:rsidRPr="00E26C65">
        <w:rPr>
          <w:rFonts w:asciiTheme="minorHAnsi" w:hAnsiTheme="minorHAnsi" w:cstheme="minorHAnsi"/>
          <w:highlight w:val="black"/>
        </w:rPr>
        <w:t>]].</w:t>
      </w:r>
      <w:r w:rsidR="00E2362D" w:rsidRPr="004B2F0D">
        <w:rPr>
          <w:rFonts w:asciiTheme="minorHAnsi" w:hAnsiTheme="minorHAnsi" w:cstheme="minorHAnsi"/>
        </w:rPr>
        <w:t xml:space="preserve"> This was the best information available to MOFCOM. Even if MOFCOM had any basis to disregard the data submitted after the Preliminary Determination, </w:t>
      </w:r>
      <w:r w:rsidR="00860756" w:rsidRPr="004B2F0D">
        <w:rPr>
          <w:rFonts w:asciiTheme="minorHAnsi" w:hAnsiTheme="minorHAnsi" w:cstheme="minorHAnsi"/>
        </w:rPr>
        <w:t xml:space="preserve">at the time of that </w:t>
      </w:r>
      <w:r w:rsidR="00ED784C">
        <w:rPr>
          <w:rFonts w:asciiTheme="minorHAnsi" w:hAnsiTheme="minorHAnsi" w:cstheme="minorHAnsi"/>
        </w:rPr>
        <w:t>D</w:t>
      </w:r>
      <w:r w:rsidR="00860756" w:rsidRPr="004B2F0D">
        <w:rPr>
          <w:rFonts w:asciiTheme="minorHAnsi" w:hAnsiTheme="minorHAnsi" w:cstheme="minorHAnsi"/>
        </w:rPr>
        <w:t xml:space="preserve">etermination </w:t>
      </w:r>
      <w:r w:rsidR="00E2362D" w:rsidRPr="004B2F0D">
        <w:rPr>
          <w:rFonts w:asciiTheme="minorHAnsi" w:hAnsiTheme="minorHAnsi" w:cstheme="minorHAnsi"/>
        </w:rPr>
        <w:t xml:space="preserve">it had complete data </w:t>
      </w:r>
      <w:r w:rsidR="00B141BE" w:rsidRPr="004B2F0D">
        <w:rPr>
          <w:rFonts w:asciiTheme="minorHAnsi" w:hAnsiTheme="minorHAnsi" w:cstheme="minorHAnsi"/>
        </w:rPr>
        <w:t>on its record for</w:t>
      </w:r>
      <w:r w:rsidR="00E2362D" w:rsidRPr="004B2F0D">
        <w:rPr>
          <w:rFonts w:asciiTheme="minorHAnsi" w:hAnsiTheme="minorHAnsi" w:cstheme="minorHAnsi"/>
        </w:rPr>
        <w:t xml:space="preserve"> </w:t>
      </w:r>
      <w:r w:rsidR="00E2362D"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XXXXXXXXXXXXXXXXXXXXXXXXXXXXXXXXXXXXXXXXXXXXXXXXXXXXXXX</w:t>
      </w:r>
      <w:r w:rsidR="00F953A8" w:rsidRPr="00E26C65">
        <w:rPr>
          <w:rFonts w:asciiTheme="minorHAnsi" w:hAnsiTheme="minorHAnsi" w:cstheme="minorHAnsi"/>
          <w:highlight w:val="black"/>
        </w:rPr>
        <w:t>]]</w:t>
      </w:r>
      <w:r w:rsidR="00B141BE" w:rsidRPr="00E26C65">
        <w:rPr>
          <w:rFonts w:asciiTheme="minorHAnsi" w:hAnsiTheme="minorHAnsi" w:cstheme="minorHAnsi"/>
          <w:highlight w:val="black"/>
        </w:rPr>
        <w:t>.</w:t>
      </w:r>
      <w:r w:rsidR="00B141BE" w:rsidRPr="004B2F0D">
        <w:rPr>
          <w:rFonts w:asciiTheme="minorHAnsi" w:hAnsiTheme="minorHAnsi" w:cstheme="minorHAnsi"/>
        </w:rPr>
        <w:t xml:space="preserve"> </w:t>
      </w:r>
    </w:p>
    <w:p w14:paraId="235ACA61" w14:textId="7C100DC9" w:rsidR="00B33BC6" w:rsidRPr="004B2F0D" w:rsidRDefault="00B141BE" w:rsidP="00B33BC6">
      <w:pPr>
        <w:pStyle w:val="P1-N1Paragraph1-Number1"/>
        <w:rPr>
          <w:rFonts w:asciiTheme="minorHAnsi" w:hAnsiTheme="minorHAnsi" w:cstheme="minorHAnsi"/>
        </w:rPr>
      </w:pPr>
      <w:r w:rsidRPr="004B2F0D">
        <w:rPr>
          <w:rFonts w:asciiTheme="minorHAnsi" w:hAnsiTheme="minorHAnsi" w:cstheme="minorHAnsi"/>
        </w:rPr>
        <w:t xml:space="preserve">Instead of relying on the data before it, MOFCOM </w:t>
      </w:r>
      <w:r w:rsidR="00E2362D" w:rsidRPr="004B2F0D">
        <w:rPr>
          <w:rFonts w:asciiTheme="minorHAnsi" w:hAnsiTheme="minorHAnsi" w:cstheme="minorHAnsi"/>
        </w:rPr>
        <w:t xml:space="preserve">based its determination of normal value </w:t>
      </w:r>
      <w:r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XXXXXXXXXXXXXXXXXXXXXXXXXXXXXXXXXXXXXXXXXXXXXXXXXXXXXXXXXXXXXXXXXX</w:t>
      </w:r>
      <w:r w:rsidR="00B33BC6"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B33BC6"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B33BC6"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B33BC6"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w:t>
      </w:r>
      <w:r w:rsidR="00AA3439" w:rsidRPr="00E26C65">
        <w:rPr>
          <w:rFonts w:asciiTheme="minorHAnsi" w:hAnsiTheme="minorHAnsi" w:cstheme="minorHAnsi"/>
          <w:highlight w:val="black"/>
        </w:rPr>
        <w:t>]]</w:t>
      </w:r>
    </w:p>
    <w:p w14:paraId="6D12AC59" w14:textId="3B4228B5" w:rsidR="00B33BC6" w:rsidRPr="004B2F0D" w:rsidRDefault="00B33BC6" w:rsidP="00B33BC6">
      <w:pPr>
        <w:pStyle w:val="P1-N1Paragraph1-Number1"/>
        <w:rPr>
          <w:rFonts w:asciiTheme="minorHAnsi" w:hAnsiTheme="minorHAnsi" w:cstheme="minorHAnsi"/>
        </w:rPr>
      </w:pPr>
      <w:r w:rsidRPr="004B2F0D">
        <w:rPr>
          <w:rFonts w:asciiTheme="minorHAnsi" w:hAnsiTheme="minorHAnsi" w:cstheme="minorHAnsi"/>
        </w:rPr>
        <w:t xml:space="preserve">It is unsurprising that this approach gave rise to highly distorted results. </w:t>
      </w:r>
      <w:r w:rsidR="00482819" w:rsidRPr="00E26C65">
        <w:rPr>
          <w:rFonts w:asciiTheme="minorHAnsi" w:hAnsiTheme="minorHAnsi" w:cstheme="minorHAnsi"/>
          <w:highlight w:val="black"/>
        </w:rPr>
        <w:t>[[</w:t>
      </w:r>
      <w:r w:rsidR="00FB1B7B" w:rsidRPr="00E26C65">
        <w:rPr>
          <w:rFonts w:asciiTheme="minorHAnsi" w:hAnsiTheme="minorHAnsi" w:cstheme="minorHAnsi"/>
          <w:highlight w:val="black"/>
        </w:rPr>
        <w:t>XXXXXXX</w:t>
      </w:r>
      <w:r w:rsidR="00E2362D"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w:t>
      </w:r>
      <w:r w:rsidR="00482819" w:rsidRPr="00E26C65">
        <w:rPr>
          <w:rFonts w:asciiTheme="minorHAnsi" w:hAnsiTheme="minorHAnsi" w:cstheme="minorHAnsi"/>
          <w:highlight w:val="black"/>
        </w:rPr>
        <w:t>]]</w:t>
      </w:r>
    </w:p>
    <w:p w14:paraId="006ACC9F" w14:textId="3AFF2595" w:rsidR="00B33BC6" w:rsidRPr="004B2F0D" w:rsidRDefault="00482819" w:rsidP="00B33BC6">
      <w:pPr>
        <w:pStyle w:val="P1-N1Paragraph1-Number1"/>
        <w:rPr>
          <w:rFonts w:asciiTheme="minorHAnsi" w:hAnsiTheme="minorHAnsi" w:cstheme="minorHAnsi"/>
        </w:rPr>
      </w:pPr>
      <w:r w:rsidRPr="00E26C65">
        <w:rPr>
          <w:rFonts w:asciiTheme="minorHAnsi" w:hAnsiTheme="minorHAnsi" w:cstheme="minorHAnsi"/>
          <w:highlight w:val="black"/>
        </w:rPr>
        <w:t>[[</w:t>
      </w:r>
      <w:r w:rsidR="00FB1B7B" w:rsidRPr="00E26C65">
        <w:rPr>
          <w:rFonts w:asciiTheme="minorHAnsi" w:hAnsiTheme="minorHAnsi" w:cstheme="minorHAnsi"/>
          <w:highlight w:val="black"/>
        </w:rPr>
        <w:t>XXXXXXXXXXXXXXXXXXXXXXXXXXXXXXXXXXXXXXXXXXXXXXXXXXXXXXXXXXXXXXXX</w:t>
      </w:r>
      <w:r w:rsidR="00B33BC6"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B33BC6"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XXXXXXXXXXXXXXXXXXXXXXXXXXXXXXXXXXXXXXXXXXXXXXXXXXXXXXXXXXXXXXXXXXXXXXXX</w:t>
      </w:r>
      <w:r w:rsidR="00B33BC6" w:rsidRPr="00E26C65">
        <w:rPr>
          <w:rFonts w:asciiTheme="minorHAnsi" w:hAnsiTheme="minorHAnsi" w:cstheme="minorHAnsi"/>
          <w:highlight w:val="black"/>
        </w:rPr>
        <w:t xml:space="preserve"> </w:t>
      </w:r>
      <w:r w:rsidR="00FB1B7B" w:rsidRPr="00E26C65">
        <w:rPr>
          <w:rFonts w:asciiTheme="minorHAnsi" w:hAnsiTheme="minorHAnsi" w:cstheme="minorHAnsi"/>
          <w:highlight w:val="black"/>
        </w:rPr>
        <w:t>XXXXX</w:t>
      </w:r>
      <w:r w:rsidR="00543ABF" w:rsidRPr="00E26C65">
        <w:rPr>
          <w:rFonts w:asciiTheme="minorHAnsi" w:hAnsiTheme="minorHAnsi" w:cstheme="minorHAnsi"/>
          <w:highlight w:val="black"/>
        </w:rPr>
        <w:t>]]</w:t>
      </w:r>
      <w:r w:rsidR="00B33BC6" w:rsidRPr="004B2F0D">
        <w:rPr>
          <w:rFonts w:asciiTheme="minorHAnsi" w:hAnsiTheme="minorHAnsi" w:cstheme="minorHAnsi"/>
        </w:rPr>
        <w:t xml:space="preserve"> </w:t>
      </w:r>
      <w:r w:rsidR="00E2362D" w:rsidRPr="004B2F0D">
        <w:rPr>
          <w:rFonts w:asciiTheme="minorHAnsi" w:hAnsiTheme="minorHAnsi" w:cstheme="minorHAnsi"/>
        </w:rPr>
        <w:t xml:space="preserve">No unbiased and objective investigating authority would have adopted such an approach. </w:t>
      </w:r>
    </w:p>
    <w:p w14:paraId="1C388DA9" w14:textId="1EFFF060" w:rsidR="00B33BC6" w:rsidRPr="004B2F0D" w:rsidRDefault="00B33BC6" w:rsidP="00B33BC6">
      <w:pPr>
        <w:pStyle w:val="HL2HeadingLevel2"/>
        <w:rPr>
          <w:rFonts w:asciiTheme="minorHAnsi" w:hAnsiTheme="minorHAnsi" w:cstheme="minorHAnsi"/>
        </w:rPr>
      </w:pPr>
      <w:bookmarkStart w:id="14" w:name="_Toc113344020"/>
      <w:r w:rsidRPr="004B2F0D">
        <w:rPr>
          <w:rFonts w:asciiTheme="minorHAnsi" w:hAnsiTheme="minorHAnsi" w:cstheme="minorHAnsi"/>
        </w:rPr>
        <w:t>Casella provided all necessary information</w:t>
      </w:r>
      <w:bookmarkEnd w:id="14"/>
    </w:p>
    <w:p w14:paraId="409F5214" w14:textId="2FCAC552" w:rsidR="00B33BC6" w:rsidRPr="004B2F0D" w:rsidRDefault="00B33BC6" w:rsidP="00B33BC6">
      <w:pPr>
        <w:pStyle w:val="P1-N1Paragraph1-Number1"/>
        <w:rPr>
          <w:rFonts w:asciiTheme="minorHAnsi" w:hAnsiTheme="minorHAnsi" w:cstheme="minorHAnsi"/>
        </w:rPr>
      </w:pPr>
      <w:r w:rsidRPr="004B2F0D">
        <w:rPr>
          <w:rFonts w:asciiTheme="minorHAnsi" w:hAnsiTheme="minorHAnsi" w:cstheme="minorHAnsi"/>
        </w:rPr>
        <w:t>MOFCOM's reject</w:t>
      </w:r>
      <w:r w:rsidR="00E2362D" w:rsidRPr="004B2F0D">
        <w:rPr>
          <w:rFonts w:asciiTheme="minorHAnsi" w:hAnsiTheme="minorHAnsi" w:cstheme="minorHAnsi"/>
        </w:rPr>
        <w:t>ion of</w:t>
      </w:r>
      <w:r w:rsidRPr="004B2F0D">
        <w:rPr>
          <w:rFonts w:asciiTheme="minorHAnsi" w:hAnsiTheme="minorHAnsi" w:cstheme="minorHAnsi"/>
        </w:rPr>
        <w:t xml:space="preserve"> both Casella</w:t>
      </w:r>
      <w:r w:rsidR="00FD150A">
        <w:rPr>
          <w:rFonts w:asciiTheme="minorHAnsi" w:hAnsiTheme="minorHAnsi" w:cstheme="minorHAnsi"/>
        </w:rPr>
        <w:t>'s</w:t>
      </w:r>
      <w:r w:rsidRPr="004B2F0D">
        <w:rPr>
          <w:rFonts w:asciiTheme="minorHAnsi" w:hAnsiTheme="minorHAnsi" w:cstheme="minorHAnsi"/>
        </w:rPr>
        <w:t xml:space="preserve"> domestic sales data and cost of production data and resort to facts </w:t>
      </w:r>
      <w:r w:rsidR="00801E01">
        <w:rPr>
          <w:rFonts w:asciiTheme="minorHAnsi" w:hAnsiTheme="minorHAnsi" w:cstheme="minorHAnsi"/>
        </w:rPr>
        <w:t xml:space="preserve">available </w:t>
      </w:r>
      <w:r w:rsidRPr="004B2F0D">
        <w:rPr>
          <w:rFonts w:asciiTheme="minorHAnsi" w:hAnsiTheme="minorHAnsi" w:cstheme="minorHAnsi"/>
        </w:rPr>
        <w:t xml:space="preserve">was based on its findings of deficiencies in </w:t>
      </w:r>
      <w:r w:rsidR="00E2362D" w:rsidRPr="004B2F0D">
        <w:rPr>
          <w:rFonts w:asciiTheme="minorHAnsi" w:hAnsiTheme="minorHAnsi" w:cstheme="minorHAnsi"/>
        </w:rPr>
        <w:t>certain</w:t>
      </w:r>
      <w:r w:rsidRPr="004B2F0D">
        <w:rPr>
          <w:rFonts w:asciiTheme="minorHAnsi" w:hAnsiTheme="minorHAnsi" w:cstheme="minorHAnsi"/>
        </w:rPr>
        <w:t xml:space="preserve"> forms submitted by Casella. These findings were inconsistent with the requirements of the Anti</w:t>
      </w:r>
      <w:r w:rsidR="00FD150A">
        <w:rPr>
          <w:rFonts w:asciiTheme="minorHAnsi" w:hAnsiTheme="minorHAnsi" w:cstheme="minorHAnsi"/>
        </w:rPr>
        <w:noBreakHyphen/>
      </w:r>
      <w:r w:rsidRPr="004B2F0D">
        <w:rPr>
          <w:rFonts w:asciiTheme="minorHAnsi" w:hAnsiTheme="minorHAnsi" w:cstheme="minorHAnsi"/>
        </w:rPr>
        <w:t>Dumping Agreement</w:t>
      </w:r>
      <w:r w:rsidR="00E2362D" w:rsidRPr="004B2F0D">
        <w:rPr>
          <w:rFonts w:asciiTheme="minorHAnsi" w:hAnsiTheme="minorHAnsi" w:cstheme="minorHAnsi"/>
        </w:rPr>
        <w:t>.</w:t>
      </w:r>
      <w:r w:rsidRPr="004B2F0D">
        <w:rPr>
          <w:rFonts w:asciiTheme="minorHAnsi" w:hAnsiTheme="minorHAnsi" w:cstheme="minorHAnsi"/>
        </w:rPr>
        <w:t xml:space="preserve"> They can be summarised into </w:t>
      </w:r>
      <w:r w:rsidR="00BD6ABA" w:rsidRPr="004B2F0D">
        <w:rPr>
          <w:rFonts w:asciiTheme="minorHAnsi" w:hAnsiTheme="minorHAnsi" w:cstheme="minorHAnsi"/>
        </w:rPr>
        <w:t xml:space="preserve">five </w:t>
      </w:r>
      <w:r w:rsidRPr="004B2F0D">
        <w:rPr>
          <w:rFonts w:asciiTheme="minorHAnsi" w:hAnsiTheme="minorHAnsi" w:cstheme="minorHAnsi"/>
        </w:rPr>
        <w:t xml:space="preserve">categories.  </w:t>
      </w:r>
    </w:p>
    <w:p w14:paraId="3B1CABC2" w14:textId="5FF5312F" w:rsidR="00B33BC6" w:rsidRPr="004B2F0D" w:rsidRDefault="00B33BC6" w:rsidP="00B33BC6">
      <w:pPr>
        <w:pStyle w:val="P1-N1Paragraph1-Number1"/>
        <w:rPr>
          <w:rFonts w:asciiTheme="minorHAnsi" w:hAnsiTheme="minorHAnsi" w:cstheme="minorHAnsi"/>
        </w:rPr>
      </w:pPr>
      <w:r w:rsidRPr="004B2F0D">
        <w:rPr>
          <w:rFonts w:asciiTheme="minorHAnsi" w:hAnsiTheme="minorHAnsi" w:cstheme="minorHAnsi"/>
        </w:rPr>
        <w:t xml:space="preserve">First, a common factor in MOFCOM's rejection of Form 4-2 and Form 6-3 was </w:t>
      </w:r>
      <w:r w:rsidR="00582E25" w:rsidRPr="004B2F0D">
        <w:rPr>
          <w:rFonts w:asciiTheme="minorHAnsi" w:hAnsiTheme="minorHAnsi" w:cstheme="minorHAnsi"/>
        </w:rPr>
        <w:t>its</w:t>
      </w:r>
      <w:r w:rsidRPr="004B2F0D">
        <w:rPr>
          <w:rFonts w:asciiTheme="minorHAnsi" w:hAnsiTheme="minorHAnsi" w:cstheme="minorHAnsi"/>
        </w:rPr>
        <w:t xml:space="preserve"> refusal to accept data that was not provided in WPS format. Casella had attempted to provide the data in this format, but inadvertently submitted incomplete data because the WPS forms could not hold the complete dataset for each Form. When notified of this</w:t>
      </w:r>
      <w:r w:rsidR="00022963" w:rsidRPr="004B2F0D">
        <w:rPr>
          <w:rFonts w:asciiTheme="minorHAnsi" w:hAnsiTheme="minorHAnsi" w:cstheme="minorHAnsi"/>
        </w:rPr>
        <w:t>,</w:t>
      </w:r>
      <w:r w:rsidRPr="004B2F0D">
        <w:rPr>
          <w:rFonts w:asciiTheme="minorHAnsi" w:hAnsiTheme="minorHAnsi" w:cstheme="minorHAnsi"/>
        </w:rPr>
        <w:t xml:space="preserve"> Casella resubmitted the complete datasets in Excel</w:t>
      </w:r>
      <w:r w:rsidR="00E2362D" w:rsidRPr="004B2F0D">
        <w:rPr>
          <w:rFonts w:asciiTheme="minorHAnsi" w:hAnsiTheme="minorHAnsi" w:cstheme="minorHAnsi"/>
        </w:rPr>
        <w:t xml:space="preserve"> format</w:t>
      </w:r>
      <w:r w:rsidRPr="004B2F0D">
        <w:rPr>
          <w:rFonts w:asciiTheme="minorHAnsi" w:hAnsiTheme="minorHAnsi" w:cstheme="minorHAnsi"/>
        </w:rPr>
        <w:t>. MOFCOM refused to have regard to this information, notwithstanding it was provided many months in advance of the Final</w:t>
      </w:r>
      <w:r w:rsidR="002C0944">
        <w:rPr>
          <w:rFonts w:asciiTheme="minorHAnsi" w:hAnsiTheme="minorHAnsi" w:cstheme="minorHAnsi"/>
        </w:rPr>
        <w:t> </w:t>
      </w:r>
      <w:r w:rsidRPr="004B2F0D">
        <w:rPr>
          <w:rFonts w:asciiTheme="minorHAnsi" w:hAnsiTheme="minorHAnsi" w:cstheme="minorHAnsi"/>
        </w:rPr>
        <w:t xml:space="preserve">Determination, in a conventional format </w:t>
      </w:r>
      <w:r w:rsidR="002C0944">
        <w:rPr>
          <w:rFonts w:asciiTheme="minorHAnsi" w:hAnsiTheme="minorHAnsi" w:cstheme="minorHAnsi"/>
        </w:rPr>
        <w:t xml:space="preserve">routinely </w:t>
      </w:r>
      <w:r w:rsidRPr="004B2F0D">
        <w:rPr>
          <w:rFonts w:asciiTheme="minorHAnsi" w:hAnsiTheme="minorHAnsi" w:cstheme="minorHAnsi"/>
        </w:rPr>
        <w:t xml:space="preserve">used by investigating authorities. Moreover, MOFCOM did not notify Casella of </w:t>
      </w:r>
      <w:r w:rsidR="00C16703">
        <w:rPr>
          <w:rFonts w:asciiTheme="minorHAnsi" w:hAnsiTheme="minorHAnsi" w:cstheme="minorHAnsi"/>
        </w:rPr>
        <w:t xml:space="preserve">its </w:t>
      </w:r>
      <w:r w:rsidR="00E2362D" w:rsidRPr="004B2F0D">
        <w:rPr>
          <w:rFonts w:asciiTheme="minorHAnsi" w:hAnsiTheme="minorHAnsi" w:cstheme="minorHAnsi"/>
        </w:rPr>
        <w:t>refusal to use this data</w:t>
      </w:r>
      <w:r w:rsidRPr="004B2F0D">
        <w:rPr>
          <w:rFonts w:asciiTheme="minorHAnsi" w:hAnsiTheme="minorHAnsi" w:cstheme="minorHAnsi"/>
        </w:rPr>
        <w:t xml:space="preserve"> until the Final</w:t>
      </w:r>
      <w:r w:rsidR="00C16703">
        <w:rPr>
          <w:rFonts w:asciiTheme="minorHAnsi" w:hAnsiTheme="minorHAnsi" w:cstheme="minorHAnsi"/>
        </w:rPr>
        <w:t> </w:t>
      </w:r>
      <w:r w:rsidRPr="004B2F0D">
        <w:rPr>
          <w:rFonts w:asciiTheme="minorHAnsi" w:hAnsiTheme="minorHAnsi" w:cstheme="minorHAnsi"/>
        </w:rPr>
        <w:t xml:space="preserve">Disclosure. </w:t>
      </w:r>
    </w:p>
    <w:p w14:paraId="55F61594" w14:textId="1341F08D" w:rsidR="00B33BC6" w:rsidRPr="004B2F0D" w:rsidRDefault="00B33BC6" w:rsidP="00B33BC6">
      <w:pPr>
        <w:pStyle w:val="P1-N1Paragraph1-Number1"/>
        <w:rPr>
          <w:rFonts w:asciiTheme="minorHAnsi" w:hAnsiTheme="minorHAnsi" w:cstheme="minorHAnsi"/>
        </w:rPr>
      </w:pPr>
      <w:r w:rsidRPr="004B2F0D">
        <w:rPr>
          <w:rFonts w:asciiTheme="minorHAnsi" w:hAnsiTheme="minorHAnsi" w:cstheme="minorHAnsi"/>
        </w:rPr>
        <w:t>Second, in relation to Casella</w:t>
      </w:r>
      <w:r w:rsidR="00FD150A">
        <w:rPr>
          <w:rFonts w:asciiTheme="minorHAnsi" w:hAnsiTheme="minorHAnsi" w:cstheme="minorHAnsi"/>
        </w:rPr>
        <w:t>'s</w:t>
      </w:r>
      <w:r w:rsidRPr="004B2F0D">
        <w:rPr>
          <w:rFonts w:asciiTheme="minorHAnsi" w:hAnsiTheme="minorHAnsi" w:cstheme="minorHAnsi"/>
        </w:rPr>
        <w:t xml:space="preserve"> Forms 4-2, 6-3 and 6-4</w:t>
      </w:r>
      <w:r w:rsidR="00D60A25">
        <w:rPr>
          <w:rFonts w:asciiTheme="minorHAnsi" w:hAnsiTheme="minorHAnsi" w:cstheme="minorHAnsi"/>
        </w:rPr>
        <w:t>,</w:t>
      </w:r>
      <w:r w:rsidRPr="004B2F0D">
        <w:rPr>
          <w:rFonts w:asciiTheme="minorHAnsi" w:hAnsiTheme="minorHAnsi" w:cstheme="minorHAnsi"/>
        </w:rPr>
        <w:t xml:space="preserve"> MOFCOM refused to accept cogent explanations </w:t>
      </w:r>
      <w:r w:rsidR="00E2362D" w:rsidRPr="004B2F0D">
        <w:rPr>
          <w:rFonts w:asciiTheme="minorHAnsi" w:hAnsiTheme="minorHAnsi" w:cstheme="minorHAnsi"/>
        </w:rPr>
        <w:t xml:space="preserve">for the </w:t>
      </w:r>
      <w:r w:rsidRPr="004B2F0D">
        <w:rPr>
          <w:rFonts w:asciiTheme="minorHAnsi" w:hAnsiTheme="minorHAnsi" w:cstheme="minorHAnsi"/>
        </w:rPr>
        <w:t xml:space="preserve">purported irregularities </w:t>
      </w:r>
      <w:r w:rsidR="00E2362D" w:rsidRPr="004B2F0D">
        <w:rPr>
          <w:rFonts w:asciiTheme="minorHAnsi" w:hAnsiTheme="minorHAnsi" w:cstheme="minorHAnsi"/>
        </w:rPr>
        <w:t>MOFCOM</w:t>
      </w:r>
      <w:r w:rsidRPr="004B2F0D">
        <w:rPr>
          <w:rFonts w:asciiTheme="minorHAnsi" w:hAnsiTheme="minorHAnsi" w:cstheme="minorHAnsi"/>
        </w:rPr>
        <w:t xml:space="preserve"> had identified in the forms. For example, in relation to special price arrangements in Form 4-2, MOFCOM rejected Casella's explanation that the negligibly small number of transactions marked as "Samples" were free samples of product given by the company. In respect of Form 6-4</w:t>
      </w:r>
      <w:r w:rsidR="00BD6ABA" w:rsidRPr="004B2F0D">
        <w:rPr>
          <w:rFonts w:asciiTheme="minorHAnsi" w:hAnsiTheme="minorHAnsi" w:cstheme="minorHAnsi"/>
        </w:rPr>
        <w:t>,</w:t>
      </w:r>
      <w:r w:rsidRPr="004B2F0D">
        <w:rPr>
          <w:rFonts w:asciiTheme="minorHAnsi" w:hAnsiTheme="minorHAnsi" w:cstheme="minorHAnsi"/>
        </w:rPr>
        <w:t xml:space="preserve"> MOFCOM found error because certain PCNs were labelled </w:t>
      </w:r>
      <w:r w:rsidRPr="00EF0CF8">
        <w:rPr>
          <w:rFonts w:asciiTheme="minorHAnsi" w:hAnsiTheme="minorHAnsi" w:cstheme="minorHAnsi"/>
        </w:rPr>
        <w:t>"#N/A"</w:t>
      </w:r>
      <w:r w:rsidRPr="004B2F0D">
        <w:rPr>
          <w:rFonts w:asciiTheme="minorHAnsi" w:hAnsiTheme="minorHAnsi" w:cstheme="minorHAnsi"/>
        </w:rPr>
        <w:t xml:space="preserve"> and therefore couldn't be verified, notwithstanding </w:t>
      </w:r>
      <w:r w:rsidR="00E90848">
        <w:rPr>
          <w:rFonts w:asciiTheme="minorHAnsi" w:hAnsiTheme="minorHAnsi" w:cstheme="minorHAnsi"/>
        </w:rPr>
        <w:t xml:space="preserve">that </w:t>
      </w:r>
      <w:r w:rsidRPr="004B2F0D">
        <w:rPr>
          <w:rFonts w:asciiTheme="minorHAnsi" w:hAnsiTheme="minorHAnsi" w:cstheme="minorHAnsi"/>
        </w:rPr>
        <w:t xml:space="preserve">Casella explained that this label referred to wines that were not sold in the </w:t>
      </w:r>
      <w:r w:rsidR="00E90848">
        <w:rPr>
          <w:rFonts w:asciiTheme="minorHAnsi" w:hAnsiTheme="minorHAnsi" w:cstheme="minorHAnsi"/>
        </w:rPr>
        <w:t>Period of Investigation</w:t>
      </w:r>
      <w:r w:rsidRPr="004B2F0D">
        <w:rPr>
          <w:rFonts w:asciiTheme="minorHAnsi" w:hAnsiTheme="minorHAnsi" w:cstheme="minorHAnsi"/>
        </w:rPr>
        <w:t>.</w:t>
      </w:r>
    </w:p>
    <w:p w14:paraId="5CA6C261" w14:textId="2BEB1448" w:rsidR="00B33BC6" w:rsidRPr="004B2F0D" w:rsidRDefault="00B33BC6" w:rsidP="00B33BC6">
      <w:pPr>
        <w:pStyle w:val="P1-N1Paragraph1-Number1"/>
        <w:rPr>
          <w:rFonts w:asciiTheme="minorHAnsi" w:hAnsiTheme="minorHAnsi" w:cstheme="minorHAnsi"/>
        </w:rPr>
      </w:pPr>
      <w:r w:rsidRPr="004B2F0D">
        <w:rPr>
          <w:rFonts w:asciiTheme="minorHAnsi" w:hAnsiTheme="minorHAnsi" w:cstheme="minorHAnsi"/>
        </w:rPr>
        <w:t>Third, MOFCOM found error in Form 6-1-2, relating to raw materials. Casella had provided complete explanations for the purported missing information. But in any event, none of the information in this form was "necessary information"</w:t>
      </w:r>
      <w:r w:rsidR="00BD6ABA" w:rsidRPr="004B2F0D">
        <w:rPr>
          <w:rFonts w:asciiTheme="minorHAnsi" w:hAnsiTheme="minorHAnsi" w:cstheme="minorHAnsi"/>
        </w:rPr>
        <w:t>.</w:t>
      </w:r>
      <w:r w:rsidRPr="004B2F0D">
        <w:rPr>
          <w:rFonts w:asciiTheme="minorHAnsi" w:hAnsiTheme="minorHAnsi" w:cstheme="minorHAnsi"/>
        </w:rPr>
        <w:t xml:space="preserve"> </w:t>
      </w:r>
    </w:p>
    <w:p w14:paraId="047BE77F" w14:textId="61327764" w:rsidR="00B33BC6" w:rsidRPr="004B2F0D" w:rsidRDefault="00B33BC6" w:rsidP="00B33BC6">
      <w:pPr>
        <w:pStyle w:val="P1-N1Paragraph1-Number1"/>
        <w:rPr>
          <w:rFonts w:asciiTheme="minorHAnsi" w:hAnsiTheme="minorHAnsi" w:cstheme="minorHAnsi"/>
        </w:rPr>
      </w:pPr>
      <w:r w:rsidRPr="004B2F0D">
        <w:rPr>
          <w:rFonts w:asciiTheme="minorHAnsi" w:hAnsiTheme="minorHAnsi" w:cstheme="minorHAnsi"/>
        </w:rPr>
        <w:t>Fourth, MOFCOM found the data in Form 6-3 could not be verified</w:t>
      </w:r>
      <w:r w:rsidR="00BD6ABA" w:rsidRPr="004B2F0D">
        <w:rPr>
          <w:rFonts w:asciiTheme="minorHAnsi" w:hAnsiTheme="minorHAnsi" w:cstheme="minorHAnsi"/>
        </w:rPr>
        <w:t xml:space="preserve">. But this was only because </w:t>
      </w:r>
      <w:r w:rsidRPr="004B2F0D">
        <w:rPr>
          <w:rFonts w:asciiTheme="minorHAnsi" w:hAnsiTheme="minorHAnsi" w:cstheme="minorHAnsi"/>
        </w:rPr>
        <w:t>MOFCOM chose not to take up Casella</w:t>
      </w:r>
      <w:r w:rsidR="0003688F">
        <w:rPr>
          <w:rFonts w:asciiTheme="minorHAnsi" w:hAnsiTheme="minorHAnsi" w:cstheme="minorHAnsi"/>
        </w:rPr>
        <w:t>'s</w:t>
      </w:r>
      <w:r w:rsidRPr="004B2F0D">
        <w:rPr>
          <w:rFonts w:asciiTheme="minorHAnsi" w:hAnsiTheme="minorHAnsi" w:cstheme="minorHAnsi"/>
        </w:rPr>
        <w:t xml:space="preserve"> invitation </w:t>
      </w:r>
      <w:r w:rsidR="00BD6ABA" w:rsidRPr="004B2F0D">
        <w:rPr>
          <w:rFonts w:asciiTheme="minorHAnsi" w:hAnsiTheme="minorHAnsi" w:cstheme="minorHAnsi"/>
        </w:rPr>
        <w:t>to</w:t>
      </w:r>
      <w:r w:rsidRPr="004B2F0D">
        <w:rPr>
          <w:rFonts w:asciiTheme="minorHAnsi" w:hAnsiTheme="minorHAnsi" w:cstheme="minorHAnsi"/>
        </w:rPr>
        <w:t xml:space="preserve"> verify the costs data directly from Casella</w:t>
      </w:r>
      <w:r w:rsidR="00A7010B">
        <w:rPr>
          <w:rFonts w:asciiTheme="minorHAnsi" w:hAnsiTheme="minorHAnsi" w:cstheme="minorHAnsi"/>
        </w:rPr>
        <w:t>'</w:t>
      </w:r>
      <w:r w:rsidR="00D433CA">
        <w:rPr>
          <w:rFonts w:asciiTheme="minorHAnsi" w:hAnsiTheme="minorHAnsi" w:cstheme="minorHAnsi"/>
        </w:rPr>
        <w:t>s</w:t>
      </w:r>
      <w:r w:rsidR="00277400">
        <w:rPr>
          <w:rFonts w:asciiTheme="minorHAnsi" w:hAnsiTheme="minorHAnsi" w:cstheme="minorHAnsi"/>
        </w:rPr>
        <w:t xml:space="preserve"> </w:t>
      </w:r>
      <w:r w:rsidRPr="004B2F0D">
        <w:rPr>
          <w:rFonts w:asciiTheme="minorHAnsi" w:hAnsiTheme="minorHAnsi" w:cstheme="minorHAnsi"/>
        </w:rPr>
        <w:t xml:space="preserve">production and stock system. </w:t>
      </w:r>
    </w:p>
    <w:p w14:paraId="206CA7F7" w14:textId="107752D6" w:rsidR="00B33BC6" w:rsidRPr="004B2F0D" w:rsidRDefault="00BD6ABA" w:rsidP="00B33BC6">
      <w:pPr>
        <w:pStyle w:val="P1-N1Paragraph1-Number1"/>
        <w:rPr>
          <w:rFonts w:asciiTheme="minorHAnsi" w:hAnsiTheme="minorHAnsi" w:cstheme="minorHAnsi"/>
        </w:rPr>
      </w:pPr>
      <w:r w:rsidRPr="004B2F0D">
        <w:rPr>
          <w:rFonts w:asciiTheme="minorHAnsi" w:hAnsiTheme="minorHAnsi" w:cstheme="minorHAnsi"/>
        </w:rPr>
        <w:t xml:space="preserve">Finally, </w:t>
      </w:r>
      <w:r w:rsidR="00B33BC6" w:rsidRPr="004B2F0D">
        <w:rPr>
          <w:rFonts w:asciiTheme="minorHAnsi" w:hAnsiTheme="minorHAnsi" w:cstheme="minorHAnsi"/>
        </w:rPr>
        <w:t>MOFCOM</w:t>
      </w:r>
      <w:r w:rsidRPr="004B2F0D">
        <w:rPr>
          <w:rFonts w:asciiTheme="minorHAnsi" w:hAnsiTheme="minorHAnsi" w:cstheme="minorHAnsi"/>
        </w:rPr>
        <w:t xml:space="preserve"> refused to accept Casella</w:t>
      </w:r>
      <w:r w:rsidR="0003688F">
        <w:rPr>
          <w:rFonts w:asciiTheme="minorHAnsi" w:hAnsiTheme="minorHAnsi" w:cstheme="minorHAnsi"/>
        </w:rPr>
        <w:t>'s</w:t>
      </w:r>
      <w:r w:rsidRPr="004B2F0D">
        <w:rPr>
          <w:rFonts w:asciiTheme="minorHAnsi" w:hAnsiTheme="minorHAnsi" w:cstheme="minorHAnsi"/>
        </w:rPr>
        <w:t xml:space="preserve"> explanations of the nature of its </w:t>
      </w:r>
      <w:r w:rsidR="00B33BC6" w:rsidRPr="004B2F0D">
        <w:rPr>
          <w:rFonts w:asciiTheme="minorHAnsi" w:hAnsiTheme="minorHAnsi" w:cstheme="minorHAnsi"/>
        </w:rPr>
        <w:t>agency relationship with Austral Wines Pty Ltd.</w:t>
      </w:r>
      <w:r w:rsidRPr="004B2F0D">
        <w:rPr>
          <w:rFonts w:asciiTheme="minorHAnsi" w:hAnsiTheme="minorHAnsi" w:cstheme="minorHAnsi"/>
        </w:rPr>
        <w:t xml:space="preserve"> </w:t>
      </w:r>
      <w:r w:rsidR="002868A9">
        <w:rPr>
          <w:rFonts w:asciiTheme="minorHAnsi" w:hAnsiTheme="minorHAnsi" w:cstheme="minorHAnsi"/>
        </w:rPr>
        <w:t>I</w:t>
      </w:r>
      <w:r w:rsidRPr="004B2F0D">
        <w:rPr>
          <w:rFonts w:asciiTheme="minorHAnsi" w:hAnsiTheme="minorHAnsi" w:cstheme="minorHAnsi"/>
        </w:rPr>
        <w:t xml:space="preserve">n any event, </w:t>
      </w:r>
      <w:r w:rsidR="00B33BC6" w:rsidRPr="004B2F0D">
        <w:rPr>
          <w:rFonts w:asciiTheme="minorHAnsi" w:hAnsiTheme="minorHAnsi" w:cstheme="minorHAnsi"/>
        </w:rPr>
        <w:t xml:space="preserve">Casella explained in its Supplementary Questionnaire that the </w:t>
      </w:r>
      <w:r w:rsidRPr="004B2F0D">
        <w:rPr>
          <w:rFonts w:asciiTheme="minorHAnsi" w:hAnsiTheme="minorHAnsi" w:cstheme="minorHAnsi"/>
        </w:rPr>
        <w:t xml:space="preserve">only </w:t>
      </w:r>
      <w:r w:rsidR="00B33BC6" w:rsidRPr="004B2F0D">
        <w:rPr>
          <w:rFonts w:asciiTheme="minorHAnsi" w:hAnsiTheme="minorHAnsi" w:cstheme="minorHAnsi"/>
        </w:rPr>
        <w:t>customer</w:t>
      </w:r>
      <w:r w:rsidRPr="004B2F0D">
        <w:rPr>
          <w:rFonts w:asciiTheme="minorHAnsi" w:hAnsiTheme="minorHAnsi" w:cstheme="minorHAnsi"/>
        </w:rPr>
        <w:t xml:space="preserve"> that Austral Wines engaged with</w:t>
      </w:r>
      <w:r w:rsidR="00B33BC6" w:rsidRPr="004B2F0D">
        <w:rPr>
          <w:rFonts w:asciiTheme="minorHAnsi" w:hAnsiTheme="minorHAnsi" w:cstheme="minorHAnsi"/>
        </w:rPr>
        <w:t xml:space="preserve"> represented a </w:t>
      </w:r>
      <w:r w:rsidR="00F140B4" w:rsidRPr="00E26C65">
        <w:rPr>
          <w:rFonts w:asciiTheme="minorHAnsi" w:hAnsiTheme="minorHAnsi" w:cstheme="minorHAnsi"/>
          <w:highlight w:val="black"/>
        </w:rPr>
        <w:t>[[</w:t>
      </w:r>
      <w:r w:rsidR="00A5569D" w:rsidRPr="00E26C65">
        <w:rPr>
          <w:rFonts w:asciiTheme="minorHAnsi" w:hAnsiTheme="minorHAnsi" w:cstheme="minorHAnsi"/>
          <w:highlight w:val="black"/>
        </w:rPr>
        <w:t>XXX</w:t>
      </w:r>
      <w:r w:rsidR="00B33BC6" w:rsidRPr="00E26C65">
        <w:rPr>
          <w:rFonts w:asciiTheme="minorHAnsi" w:hAnsiTheme="minorHAnsi" w:cstheme="minorHAnsi"/>
          <w:highlight w:val="black"/>
        </w:rPr>
        <w:t xml:space="preserve"> </w:t>
      </w:r>
      <w:r w:rsidR="00A5569D" w:rsidRPr="00E26C65">
        <w:rPr>
          <w:rFonts w:asciiTheme="minorHAnsi" w:hAnsiTheme="minorHAnsi" w:cstheme="minorHAnsi"/>
          <w:highlight w:val="black"/>
        </w:rPr>
        <w:t>XXXXXXXXXXXXXXXXXXXXXXXXXXXXXXXXXXXXXXXXXXXXXXXXXXXXXXXXXXXXXXXXXXXXXXXX</w:t>
      </w:r>
      <w:r w:rsidRPr="00E26C65">
        <w:rPr>
          <w:rFonts w:asciiTheme="minorHAnsi" w:hAnsiTheme="minorHAnsi" w:cstheme="minorHAnsi"/>
          <w:highlight w:val="black"/>
        </w:rPr>
        <w:t xml:space="preserve"> </w:t>
      </w:r>
      <w:r w:rsidR="00A5569D" w:rsidRPr="00E26C65">
        <w:rPr>
          <w:rFonts w:asciiTheme="minorHAnsi" w:hAnsiTheme="minorHAnsi" w:cstheme="minorHAnsi"/>
          <w:highlight w:val="black"/>
        </w:rPr>
        <w:t>XXXXXXXXXXXXXXXXXXXXXXXXXXXXXXXXXXXXXXXXXXXXXXXXXXXXXXXXXXXXXXXXXXXXXXXX</w:t>
      </w:r>
      <w:r w:rsidRPr="00E26C65">
        <w:rPr>
          <w:rFonts w:asciiTheme="minorHAnsi" w:hAnsiTheme="minorHAnsi" w:cstheme="minorHAnsi"/>
          <w:highlight w:val="black"/>
        </w:rPr>
        <w:t xml:space="preserve"> </w:t>
      </w:r>
      <w:r w:rsidR="00A5569D" w:rsidRPr="00E26C65">
        <w:rPr>
          <w:rFonts w:asciiTheme="minorHAnsi" w:hAnsiTheme="minorHAnsi" w:cstheme="minorHAnsi"/>
          <w:highlight w:val="black"/>
        </w:rPr>
        <w:t>XXXXXXXXXXXXXXXXXXXXXXXXXXXXXXXXXXXXXXXXXXXXXXXXXXXXXXXXXXXXX</w:t>
      </w:r>
      <w:r w:rsidR="007A62AA" w:rsidRPr="00E26C65">
        <w:rPr>
          <w:rFonts w:asciiTheme="minorHAnsi" w:hAnsiTheme="minorHAnsi" w:cstheme="minorHAnsi"/>
          <w:highlight w:val="black"/>
        </w:rPr>
        <w:t>]]</w:t>
      </w:r>
    </w:p>
    <w:p w14:paraId="03746462" w14:textId="2A750155" w:rsidR="00B33BC6" w:rsidRPr="004B2F0D" w:rsidRDefault="00B33BC6" w:rsidP="00B33BC6">
      <w:pPr>
        <w:pStyle w:val="HL2HeadingLevel2"/>
        <w:rPr>
          <w:rFonts w:asciiTheme="minorHAnsi" w:hAnsiTheme="minorHAnsi" w:cstheme="minorHAnsi"/>
        </w:rPr>
      </w:pPr>
      <w:bookmarkStart w:id="15" w:name="_Toc113344021"/>
      <w:r w:rsidRPr="004B2F0D">
        <w:rPr>
          <w:rFonts w:asciiTheme="minorHAnsi" w:hAnsiTheme="minorHAnsi" w:cstheme="minorHAnsi"/>
        </w:rPr>
        <w:t>Swan provided all necessary information</w:t>
      </w:r>
      <w:bookmarkEnd w:id="15"/>
    </w:p>
    <w:p w14:paraId="233BB92D" w14:textId="2AB6C35D" w:rsidR="00B33BC6" w:rsidRPr="004B2F0D" w:rsidRDefault="00B33BC6" w:rsidP="00B33BC6">
      <w:pPr>
        <w:pStyle w:val="P1-N1Paragraph1-Number1"/>
        <w:rPr>
          <w:rFonts w:asciiTheme="minorHAnsi" w:hAnsiTheme="minorHAnsi" w:cstheme="minorHAnsi"/>
        </w:rPr>
      </w:pPr>
      <w:r w:rsidRPr="004B2F0D">
        <w:rPr>
          <w:rFonts w:asciiTheme="minorHAnsi" w:hAnsiTheme="minorHAnsi" w:cstheme="minorHAnsi"/>
        </w:rPr>
        <w:t xml:space="preserve">MOFCOM's decision to resort to facts available to determine normal value for Swan </w:t>
      </w:r>
      <w:r w:rsidR="00BD6ABA" w:rsidRPr="004B2F0D">
        <w:rPr>
          <w:rFonts w:asciiTheme="minorHAnsi" w:hAnsiTheme="minorHAnsi" w:cstheme="minorHAnsi"/>
        </w:rPr>
        <w:t>was</w:t>
      </w:r>
      <w:r w:rsidRPr="004B2F0D">
        <w:rPr>
          <w:rFonts w:asciiTheme="minorHAnsi" w:hAnsiTheme="minorHAnsi" w:cstheme="minorHAnsi"/>
        </w:rPr>
        <w:t xml:space="preserve"> based on its findings of deficiencies in data submitted by Swan. MOFCOM's findings were inconsistent with the Anti-Dumping Agreement. </w:t>
      </w:r>
      <w:r w:rsidR="00D433CA">
        <w:rPr>
          <w:rFonts w:asciiTheme="minorHAnsi" w:hAnsiTheme="minorHAnsi" w:cstheme="minorHAnsi"/>
        </w:rPr>
        <w:t>I</w:t>
      </w:r>
      <w:r w:rsidRPr="004B2F0D">
        <w:rPr>
          <w:rFonts w:asciiTheme="minorHAnsi" w:hAnsiTheme="minorHAnsi" w:cstheme="minorHAnsi"/>
        </w:rPr>
        <w:t xml:space="preserve"> will highlight two of MOFCOM's errors. </w:t>
      </w:r>
    </w:p>
    <w:p w14:paraId="453BC851" w14:textId="60EEB03C" w:rsidR="00B33BC6" w:rsidRPr="004B2F0D" w:rsidRDefault="00B33BC6" w:rsidP="00B33BC6">
      <w:pPr>
        <w:pStyle w:val="P1-N1Paragraph1-Number1"/>
        <w:rPr>
          <w:rFonts w:asciiTheme="minorHAnsi" w:hAnsiTheme="minorHAnsi" w:cstheme="minorHAnsi"/>
        </w:rPr>
      </w:pPr>
      <w:r w:rsidRPr="004B2F0D">
        <w:rPr>
          <w:rFonts w:asciiTheme="minorHAnsi" w:hAnsiTheme="minorHAnsi" w:cstheme="minorHAnsi"/>
          <w:iCs/>
        </w:rPr>
        <w:t>First</w:t>
      </w:r>
      <w:r w:rsidRPr="004B2F0D">
        <w:rPr>
          <w:rFonts w:asciiTheme="minorHAnsi" w:hAnsiTheme="minorHAnsi" w:cstheme="minorHAnsi"/>
        </w:rPr>
        <w:t>, MOFCOM refused to accept verifiable production costs and expenses data submitted by Swan purportedly due to the data not being reported according to valid PCNs.</w:t>
      </w:r>
      <w:r w:rsidRPr="004B2F0D">
        <w:rPr>
          <w:rStyle w:val="FootnoteReference"/>
          <w:rFonts w:asciiTheme="minorHAnsi" w:hAnsiTheme="minorHAnsi" w:cstheme="minorHAnsi"/>
        </w:rPr>
        <w:footnoteReference w:id="7"/>
      </w:r>
      <w:r w:rsidRPr="004B2F0D">
        <w:rPr>
          <w:rFonts w:asciiTheme="minorHAnsi" w:hAnsiTheme="minorHAnsi" w:cstheme="minorHAnsi"/>
        </w:rPr>
        <w:t xml:space="preserve"> MOFCOM failed to consider Swan</w:t>
      </w:r>
      <w:r w:rsidR="00E31980">
        <w:rPr>
          <w:rFonts w:asciiTheme="minorHAnsi" w:hAnsiTheme="minorHAnsi" w:cstheme="minorHAnsi"/>
        </w:rPr>
        <w:t>'s</w:t>
      </w:r>
      <w:r w:rsidRPr="004B2F0D">
        <w:rPr>
          <w:rFonts w:asciiTheme="minorHAnsi" w:hAnsiTheme="minorHAnsi" w:cstheme="minorHAnsi"/>
        </w:rPr>
        <w:t xml:space="preserve"> cogent explanations for why it could not comply with MOFCOM's request given the way its accounts were managed. Swan </w:t>
      </w:r>
      <w:r w:rsidR="00BD6ABA" w:rsidRPr="004B2F0D">
        <w:rPr>
          <w:rFonts w:asciiTheme="minorHAnsi" w:hAnsiTheme="minorHAnsi" w:cstheme="minorHAnsi"/>
        </w:rPr>
        <w:t xml:space="preserve">provided </w:t>
      </w:r>
      <w:r w:rsidRPr="004B2F0D">
        <w:rPr>
          <w:rFonts w:asciiTheme="minorHAnsi" w:hAnsiTheme="minorHAnsi" w:cstheme="minorHAnsi"/>
        </w:rPr>
        <w:t xml:space="preserve">supplementary information </w:t>
      </w:r>
      <w:r w:rsidR="00BD6ABA" w:rsidRPr="004B2F0D">
        <w:rPr>
          <w:rFonts w:asciiTheme="minorHAnsi" w:hAnsiTheme="minorHAnsi" w:cstheme="minorHAnsi"/>
        </w:rPr>
        <w:t xml:space="preserve">that </w:t>
      </w:r>
      <w:r w:rsidRPr="004B2F0D">
        <w:rPr>
          <w:rFonts w:asciiTheme="minorHAnsi" w:hAnsiTheme="minorHAnsi" w:cstheme="minorHAnsi"/>
        </w:rPr>
        <w:t>matched its costs to the PCNs identified by MOFCOM</w:t>
      </w:r>
      <w:r w:rsidR="00BD6ABA" w:rsidRPr="004B2F0D">
        <w:rPr>
          <w:rFonts w:asciiTheme="minorHAnsi" w:hAnsiTheme="minorHAnsi" w:cstheme="minorHAnsi"/>
        </w:rPr>
        <w:t xml:space="preserve"> and </w:t>
      </w:r>
      <w:r w:rsidRPr="004B2F0D">
        <w:rPr>
          <w:rFonts w:asciiTheme="minorHAnsi" w:hAnsiTheme="minorHAnsi" w:cstheme="minorHAnsi"/>
        </w:rPr>
        <w:t xml:space="preserve">submitted a document comparing its </w:t>
      </w:r>
      <w:r w:rsidR="00904855" w:rsidRPr="004B2F0D">
        <w:rPr>
          <w:rFonts w:asciiTheme="minorHAnsi" w:hAnsiTheme="minorHAnsi" w:cstheme="minorHAnsi"/>
        </w:rPr>
        <w:t>E</w:t>
      </w:r>
      <w:r w:rsidR="008341C5">
        <w:rPr>
          <w:rFonts w:asciiTheme="minorHAnsi" w:hAnsiTheme="minorHAnsi" w:cstheme="minorHAnsi"/>
        </w:rPr>
        <w:t xml:space="preserve">nterprise </w:t>
      </w:r>
      <w:r w:rsidR="00904855" w:rsidRPr="004B2F0D">
        <w:rPr>
          <w:rFonts w:asciiTheme="minorHAnsi" w:hAnsiTheme="minorHAnsi" w:cstheme="minorHAnsi"/>
        </w:rPr>
        <w:t>R</w:t>
      </w:r>
      <w:r w:rsidR="008341C5">
        <w:rPr>
          <w:rFonts w:asciiTheme="minorHAnsi" w:hAnsiTheme="minorHAnsi" w:cstheme="minorHAnsi"/>
        </w:rPr>
        <w:t xml:space="preserve">esource </w:t>
      </w:r>
      <w:r w:rsidR="00904855" w:rsidRPr="004B2F0D">
        <w:rPr>
          <w:rFonts w:asciiTheme="minorHAnsi" w:hAnsiTheme="minorHAnsi" w:cstheme="minorHAnsi"/>
        </w:rPr>
        <w:t>P</w:t>
      </w:r>
      <w:r w:rsidR="008341C5">
        <w:rPr>
          <w:rFonts w:asciiTheme="minorHAnsi" w:hAnsiTheme="minorHAnsi" w:cstheme="minorHAnsi"/>
        </w:rPr>
        <w:t>lanning</w:t>
      </w:r>
      <w:r w:rsidR="00904855" w:rsidRPr="004B2F0D">
        <w:rPr>
          <w:rFonts w:asciiTheme="minorHAnsi" w:hAnsiTheme="minorHAnsi" w:cstheme="minorHAnsi"/>
        </w:rPr>
        <w:t xml:space="preserve"> </w:t>
      </w:r>
      <w:r w:rsidRPr="004B2F0D">
        <w:rPr>
          <w:rFonts w:asciiTheme="minorHAnsi" w:hAnsiTheme="minorHAnsi" w:cstheme="minorHAnsi"/>
        </w:rPr>
        <w:t xml:space="preserve">system </w:t>
      </w:r>
      <w:r w:rsidR="00BD6ABA" w:rsidRPr="004B2F0D">
        <w:rPr>
          <w:rFonts w:asciiTheme="minorHAnsi" w:hAnsiTheme="minorHAnsi" w:cstheme="minorHAnsi"/>
        </w:rPr>
        <w:t xml:space="preserve">to the </w:t>
      </w:r>
      <w:r w:rsidRPr="004B2F0D">
        <w:rPr>
          <w:rFonts w:asciiTheme="minorHAnsi" w:hAnsiTheme="minorHAnsi" w:cstheme="minorHAnsi"/>
        </w:rPr>
        <w:t>PCNs.</w:t>
      </w:r>
      <w:r w:rsidRPr="004B2F0D">
        <w:rPr>
          <w:rStyle w:val="FootnoteReference"/>
          <w:rFonts w:asciiTheme="minorHAnsi" w:hAnsiTheme="minorHAnsi" w:cstheme="minorHAnsi"/>
        </w:rPr>
        <w:footnoteReference w:id="8"/>
      </w:r>
      <w:r w:rsidRPr="004B2F0D">
        <w:rPr>
          <w:rFonts w:asciiTheme="minorHAnsi" w:hAnsiTheme="minorHAnsi" w:cstheme="minorHAnsi"/>
        </w:rPr>
        <w:t xml:space="preserve"> MOFCOM refused to accept this information without providing any explanation as to why this rendered Swan</w:t>
      </w:r>
      <w:r w:rsidR="00E31980">
        <w:rPr>
          <w:rFonts w:asciiTheme="minorHAnsi" w:hAnsiTheme="minorHAnsi" w:cstheme="minorHAnsi"/>
        </w:rPr>
        <w:t>'s</w:t>
      </w:r>
      <w:r w:rsidRPr="004B2F0D">
        <w:rPr>
          <w:rFonts w:asciiTheme="minorHAnsi" w:hAnsiTheme="minorHAnsi" w:cstheme="minorHAnsi"/>
        </w:rPr>
        <w:t xml:space="preserve"> data unusable.</w:t>
      </w:r>
    </w:p>
    <w:p w14:paraId="2180A485" w14:textId="686361CA" w:rsidR="00B33BC6" w:rsidRPr="00654DD8" w:rsidRDefault="00B33BC6" w:rsidP="00B33BC6">
      <w:pPr>
        <w:pStyle w:val="P1-N1Paragraph1-Number1"/>
        <w:rPr>
          <w:rFonts w:asciiTheme="minorHAnsi" w:hAnsiTheme="minorHAnsi" w:cstheme="minorHAnsi"/>
        </w:rPr>
      </w:pPr>
      <w:r w:rsidRPr="004B2F0D">
        <w:rPr>
          <w:rFonts w:asciiTheme="minorHAnsi" w:hAnsiTheme="minorHAnsi" w:cstheme="minorHAnsi"/>
        </w:rPr>
        <w:t xml:space="preserve">Second, MOFCOM alleged that Swan had not coordinated with its </w:t>
      </w:r>
      <w:r w:rsidR="00BD6ABA" w:rsidRPr="004B2F0D">
        <w:rPr>
          <w:rFonts w:asciiTheme="minorHAnsi" w:hAnsiTheme="minorHAnsi" w:cstheme="minorHAnsi"/>
        </w:rPr>
        <w:t xml:space="preserve">five </w:t>
      </w:r>
      <w:r w:rsidRPr="004B2F0D">
        <w:rPr>
          <w:rFonts w:asciiTheme="minorHAnsi" w:hAnsiTheme="minorHAnsi" w:cstheme="minorHAnsi"/>
        </w:rPr>
        <w:t>bottling and pressing service providers to submit costs data to corroborate Swan</w:t>
      </w:r>
      <w:r w:rsidR="00E31980">
        <w:rPr>
          <w:rFonts w:asciiTheme="minorHAnsi" w:hAnsiTheme="minorHAnsi" w:cstheme="minorHAnsi"/>
        </w:rPr>
        <w:t>'s</w:t>
      </w:r>
      <w:r w:rsidRPr="004B2F0D">
        <w:rPr>
          <w:rFonts w:asciiTheme="minorHAnsi" w:hAnsiTheme="minorHAnsi" w:cstheme="minorHAnsi"/>
        </w:rPr>
        <w:t xml:space="preserve"> records.</w:t>
      </w:r>
      <w:r w:rsidRPr="00654DD8">
        <w:rPr>
          <w:rStyle w:val="FootnoteReference"/>
          <w:rFonts w:asciiTheme="minorHAnsi" w:hAnsiTheme="minorHAnsi" w:cstheme="minorHAnsi"/>
        </w:rPr>
        <w:footnoteReference w:id="9"/>
      </w:r>
      <w:r w:rsidRPr="00654DD8">
        <w:rPr>
          <w:rFonts w:asciiTheme="minorHAnsi" w:hAnsiTheme="minorHAnsi" w:cstheme="minorHAnsi"/>
        </w:rPr>
        <w:t xml:space="preserve"> </w:t>
      </w:r>
      <w:r w:rsidR="00BD6ABA" w:rsidRPr="00654DD8">
        <w:rPr>
          <w:rFonts w:asciiTheme="minorHAnsi" w:hAnsiTheme="minorHAnsi" w:cstheme="minorHAnsi"/>
        </w:rPr>
        <w:t>As Swan explained,</w:t>
      </w:r>
      <w:r w:rsidRPr="00654DD8">
        <w:rPr>
          <w:rFonts w:asciiTheme="minorHAnsi" w:hAnsiTheme="minorHAnsi" w:cstheme="minorHAnsi"/>
        </w:rPr>
        <w:t xml:space="preserve"> four of the providers were non</w:t>
      </w:r>
      <w:r w:rsidRPr="00654DD8">
        <w:rPr>
          <w:rFonts w:asciiTheme="minorHAnsi" w:hAnsiTheme="minorHAnsi" w:cstheme="minorHAnsi"/>
        </w:rPr>
        <w:noBreakHyphen/>
        <w:t>affiliated companies that Swan had no capacity to control. The sole affiliated company, Growers Wines, provided a complete questionnaire response in respect of its production costs.</w:t>
      </w:r>
      <w:r w:rsidR="008B4A21">
        <w:rPr>
          <w:rStyle w:val="FootnoteReference"/>
          <w:rFonts w:cstheme="minorHAnsi"/>
        </w:rPr>
        <w:footnoteReference w:id="10"/>
      </w:r>
    </w:p>
    <w:p w14:paraId="5F3434AB" w14:textId="1A7A0EAC" w:rsidR="00B33BC6" w:rsidRPr="00654DD8" w:rsidRDefault="00B33BC6" w:rsidP="00B33BC6">
      <w:pPr>
        <w:pStyle w:val="HL2HeadingLevel2"/>
        <w:rPr>
          <w:rFonts w:asciiTheme="minorHAnsi" w:hAnsiTheme="minorHAnsi" w:cstheme="minorHAnsi"/>
        </w:rPr>
      </w:pPr>
      <w:bookmarkStart w:id="16" w:name="_Toc113344022"/>
      <w:r w:rsidRPr="00654DD8">
        <w:rPr>
          <w:rFonts w:asciiTheme="minorHAnsi" w:hAnsiTheme="minorHAnsi" w:cstheme="minorHAnsi"/>
        </w:rPr>
        <w:t>MOFCOM's selection of replacement data for Casella and Swan</w:t>
      </w:r>
      <w:bookmarkEnd w:id="16"/>
      <w:r w:rsidRPr="00654DD8">
        <w:rPr>
          <w:rFonts w:asciiTheme="minorHAnsi" w:hAnsiTheme="minorHAnsi" w:cstheme="minorHAnsi"/>
        </w:rPr>
        <w:t xml:space="preserve"> </w:t>
      </w:r>
    </w:p>
    <w:p w14:paraId="70D5605B" w14:textId="650A64DE" w:rsidR="00B33BC6" w:rsidRPr="00654DD8" w:rsidRDefault="00BD6ABA" w:rsidP="00B33BC6">
      <w:pPr>
        <w:pStyle w:val="P1-N1Paragraph1-Number1"/>
        <w:rPr>
          <w:rFonts w:asciiTheme="minorHAnsi" w:hAnsiTheme="minorHAnsi" w:cstheme="minorHAnsi"/>
        </w:rPr>
      </w:pPr>
      <w:r w:rsidRPr="00654DD8">
        <w:rPr>
          <w:rFonts w:asciiTheme="minorHAnsi" w:hAnsiTheme="minorHAnsi" w:cstheme="minorHAnsi"/>
        </w:rPr>
        <w:t>E</w:t>
      </w:r>
      <w:r w:rsidR="00B33BC6" w:rsidRPr="00654DD8">
        <w:rPr>
          <w:rFonts w:asciiTheme="minorHAnsi" w:hAnsiTheme="minorHAnsi" w:cstheme="minorHAnsi"/>
        </w:rPr>
        <w:t>ven if</w:t>
      </w:r>
      <w:r w:rsidRPr="00654DD8">
        <w:rPr>
          <w:rFonts w:asciiTheme="minorHAnsi" w:hAnsiTheme="minorHAnsi" w:cstheme="minorHAnsi"/>
        </w:rPr>
        <w:t>,</w:t>
      </w:r>
      <w:r w:rsidR="00B33BC6" w:rsidRPr="00654DD8">
        <w:rPr>
          <w:rFonts w:asciiTheme="minorHAnsi" w:hAnsiTheme="minorHAnsi" w:cstheme="minorHAnsi"/>
        </w:rPr>
        <w:t xml:space="preserve"> </w:t>
      </w:r>
      <w:r w:rsidR="00B33BC6" w:rsidRPr="00654DD8">
        <w:rPr>
          <w:rFonts w:asciiTheme="minorHAnsi" w:hAnsiTheme="minorHAnsi" w:cstheme="minorHAnsi"/>
          <w:i/>
          <w:iCs/>
        </w:rPr>
        <w:t>arguendo</w:t>
      </w:r>
      <w:r w:rsidR="00B33BC6" w:rsidRPr="00654DD8">
        <w:rPr>
          <w:rFonts w:asciiTheme="minorHAnsi" w:hAnsiTheme="minorHAnsi" w:cstheme="minorHAnsi"/>
        </w:rPr>
        <w:t xml:space="preserve">, </w:t>
      </w:r>
      <w:r w:rsidRPr="00654DD8">
        <w:rPr>
          <w:rFonts w:asciiTheme="minorHAnsi" w:hAnsiTheme="minorHAnsi" w:cstheme="minorHAnsi"/>
        </w:rPr>
        <w:t xml:space="preserve">necessary information was missing such that </w:t>
      </w:r>
      <w:r w:rsidR="00B33BC6" w:rsidRPr="00654DD8">
        <w:rPr>
          <w:rFonts w:asciiTheme="minorHAnsi" w:hAnsiTheme="minorHAnsi" w:cstheme="minorHAnsi"/>
        </w:rPr>
        <w:t xml:space="preserve">MOFCOM's resort to facts available </w:t>
      </w:r>
      <w:r w:rsidRPr="00654DD8">
        <w:rPr>
          <w:rFonts w:asciiTheme="minorHAnsi" w:hAnsiTheme="minorHAnsi" w:cstheme="minorHAnsi"/>
        </w:rPr>
        <w:t>was</w:t>
      </w:r>
      <w:r w:rsidR="00B33BC6" w:rsidRPr="00654DD8">
        <w:rPr>
          <w:rFonts w:asciiTheme="minorHAnsi" w:hAnsiTheme="minorHAnsi" w:cstheme="minorHAnsi"/>
        </w:rPr>
        <w:t xml:space="preserve"> warranted, it </w:t>
      </w:r>
      <w:r w:rsidR="00A01993" w:rsidRPr="00654DD8">
        <w:rPr>
          <w:rFonts w:asciiTheme="minorHAnsi" w:hAnsiTheme="minorHAnsi" w:cstheme="minorHAnsi"/>
        </w:rPr>
        <w:t xml:space="preserve">did not </w:t>
      </w:r>
      <w:r w:rsidR="00B33BC6" w:rsidRPr="00654DD8">
        <w:rPr>
          <w:rFonts w:asciiTheme="minorHAnsi" w:hAnsiTheme="minorHAnsi" w:cstheme="minorHAnsi"/>
        </w:rPr>
        <w:t>select the best information available as replacement data</w:t>
      </w:r>
      <w:r w:rsidR="00A01993" w:rsidRPr="00654DD8">
        <w:rPr>
          <w:rFonts w:asciiTheme="minorHAnsi" w:hAnsiTheme="minorHAnsi" w:cstheme="minorHAnsi"/>
        </w:rPr>
        <w:t>.</w:t>
      </w:r>
      <w:r w:rsidR="00B33BC6" w:rsidRPr="00654DD8">
        <w:rPr>
          <w:rFonts w:asciiTheme="minorHAnsi" w:hAnsiTheme="minorHAnsi" w:cstheme="minorHAnsi"/>
        </w:rPr>
        <w:t xml:space="preserve"> </w:t>
      </w:r>
      <w:r w:rsidR="00A01993" w:rsidRPr="00654DD8">
        <w:rPr>
          <w:rFonts w:asciiTheme="minorHAnsi" w:hAnsiTheme="minorHAnsi" w:cstheme="minorHAnsi"/>
        </w:rPr>
        <w:t>N</w:t>
      </w:r>
      <w:r w:rsidR="00B33BC6" w:rsidRPr="00654DD8">
        <w:rPr>
          <w:rFonts w:asciiTheme="minorHAnsi" w:hAnsiTheme="minorHAnsi" w:cstheme="minorHAnsi"/>
        </w:rPr>
        <w:t xml:space="preserve">or </w:t>
      </w:r>
      <w:r w:rsidR="00A01993" w:rsidRPr="00654DD8">
        <w:rPr>
          <w:rFonts w:asciiTheme="minorHAnsi" w:hAnsiTheme="minorHAnsi" w:cstheme="minorHAnsi"/>
        </w:rPr>
        <w:t xml:space="preserve">did it </w:t>
      </w:r>
      <w:r w:rsidR="00B33BC6" w:rsidRPr="00654DD8">
        <w:rPr>
          <w:rFonts w:asciiTheme="minorHAnsi" w:hAnsiTheme="minorHAnsi" w:cstheme="minorHAnsi"/>
        </w:rPr>
        <w:t>engage in a process of evaluation or reasoning to support the selection of appropriate replacement data.</w:t>
      </w:r>
    </w:p>
    <w:p w14:paraId="44DE73E7" w14:textId="0D4A0D30" w:rsidR="00B33BC6" w:rsidRPr="00654DD8" w:rsidRDefault="00B33BC6" w:rsidP="00B33BC6">
      <w:pPr>
        <w:pStyle w:val="P1-N1Paragraph1-Number1"/>
        <w:rPr>
          <w:rFonts w:asciiTheme="minorHAnsi" w:hAnsiTheme="minorHAnsi" w:cstheme="minorHAnsi"/>
        </w:rPr>
      </w:pPr>
      <w:r w:rsidRPr="00654DD8">
        <w:rPr>
          <w:rFonts w:asciiTheme="minorHAnsi" w:hAnsiTheme="minorHAnsi" w:cstheme="minorHAnsi"/>
        </w:rPr>
        <w:t xml:space="preserve">The </w:t>
      </w:r>
      <w:r w:rsidR="00A01993" w:rsidRPr="00654DD8">
        <w:rPr>
          <w:rFonts w:asciiTheme="minorHAnsi" w:hAnsiTheme="minorHAnsi" w:cstheme="minorHAnsi"/>
        </w:rPr>
        <w:t xml:space="preserve">replacement </w:t>
      </w:r>
      <w:r w:rsidRPr="00654DD8">
        <w:rPr>
          <w:rFonts w:asciiTheme="minorHAnsi" w:hAnsiTheme="minorHAnsi" w:cstheme="minorHAnsi"/>
        </w:rPr>
        <w:t xml:space="preserve">data used by MOFCOM – apparently </w:t>
      </w:r>
      <w:r w:rsidR="00173CBF" w:rsidRPr="00E26C65">
        <w:rPr>
          <w:rFonts w:asciiTheme="minorHAnsi" w:hAnsiTheme="minorHAnsi" w:cstheme="minorHAnsi"/>
          <w:highlight w:val="black"/>
        </w:rPr>
        <w:t>[[</w:t>
      </w:r>
      <w:r w:rsidR="00A5569D" w:rsidRPr="00E26C65">
        <w:rPr>
          <w:rFonts w:asciiTheme="minorHAnsi" w:hAnsiTheme="minorHAnsi" w:cstheme="minorHAnsi"/>
          <w:highlight w:val="black"/>
        </w:rPr>
        <w:t>XXXXXXXXXXXXXXXXXXXXX</w:t>
      </w:r>
      <w:r w:rsidR="000810D0" w:rsidRPr="00E26C65">
        <w:rPr>
          <w:rFonts w:asciiTheme="minorHAnsi" w:hAnsiTheme="minorHAnsi" w:cstheme="minorHAnsi"/>
          <w:highlight w:val="black"/>
        </w:rPr>
        <w:t xml:space="preserve"> </w:t>
      </w:r>
      <w:r w:rsidR="00A5569D" w:rsidRPr="00E26C65">
        <w:rPr>
          <w:rFonts w:asciiTheme="minorHAnsi" w:hAnsiTheme="minorHAnsi" w:cstheme="minorHAnsi"/>
          <w:highlight w:val="black"/>
        </w:rPr>
        <w:t>XXXXXXXXXXXXXXXXXXXXXXXXXXXXXXXXXXXXXXXXXXX</w:t>
      </w:r>
      <w:r w:rsidR="00173CBF" w:rsidRPr="00E26C65">
        <w:rPr>
          <w:rFonts w:asciiTheme="minorHAnsi" w:hAnsiTheme="minorHAnsi" w:cstheme="minorHAnsi"/>
          <w:highlight w:val="black"/>
        </w:rPr>
        <w:t>]]</w:t>
      </w:r>
      <w:r w:rsidRPr="00654DD8">
        <w:rPr>
          <w:rFonts w:asciiTheme="minorHAnsi" w:hAnsiTheme="minorHAnsi" w:cstheme="minorHAnsi"/>
        </w:rPr>
        <w:t xml:space="preserve"> – was never disclosed </w:t>
      </w:r>
      <w:r w:rsidR="004C13B3" w:rsidRPr="00654DD8">
        <w:rPr>
          <w:rFonts w:asciiTheme="minorHAnsi" w:hAnsiTheme="minorHAnsi" w:cstheme="minorHAnsi"/>
        </w:rPr>
        <w:t>in a non</w:t>
      </w:r>
      <w:r w:rsidR="009A3F52" w:rsidRPr="00654DD8">
        <w:rPr>
          <w:rFonts w:asciiTheme="minorHAnsi" w:hAnsiTheme="minorHAnsi" w:cstheme="minorHAnsi"/>
        </w:rPr>
        <w:noBreakHyphen/>
      </w:r>
      <w:r w:rsidR="004C13B3" w:rsidRPr="00654DD8">
        <w:rPr>
          <w:rFonts w:asciiTheme="minorHAnsi" w:hAnsiTheme="minorHAnsi" w:cstheme="minorHAnsi"/>
        </w:rPr>
        <w:t xml:space="preserve">confidential summary </w:t>
      </w:r>
      <w:r w:rsidRPr="00654DD8">
        <w:rPr>
          <w:rFonts w:asciiTheme="minorHAnsi" w:hAnsiTheme="minorHAnsi" w:cstheme="minorHAnsi"/>
        </w:rPr>
        <w:t>to Casella and Swan</w:t>
      </w:r>
      <w:r w:rsidR="00A01993" w:rsidRPr="00654DD8">
        <w:rPr>
          <w:rFonts w:asciiTheme="minorHAnsi" w:hAnsiTheme="minorHAnsi" w:cstheme="minorHAnsi"/>
        </w:rPr>
        <w:t xml:space="preserve">. It was </w:t>
      </w:r>
      <w:r w:rsidRPr="00654DD8">
        <w:rPr>
          <w:rFonts w:asciiTheme="minorHAnsi" w:hAnsiTheme="minorHAnsi" w:cstheme="minorHAnsi"/>
        </w:rPr>
        <w:t>only disclosed to Australia for the first time in China's first written submission.</w:t>
      </w:r>
    </w:p>
    <w:p w14:paraId="25112DAD" w14:textId="732A637C" w:rsidR="00B33BC6" w:rsidRPr="00654DD8" w:rsidRDefault="00A01993" w:rsidP="00B33BC6">
      <w:pPr>
        <w:pStyle w:val="P1-N1Paragraph1-Number1"/>
        <w:rPr>
          <w:rFonts w:asciiTheme="minorHAnsi" w:hAnsiTheme="minorHAnsi" w:cstheme="minorHAnsi"/>
        </w:rPr>
      </w:pPr>
      <w:r w:rsidRPr="00654DD8">
        <w:rPr>
          <w:rFonts w:asciiTheme="minorHAnsi" w:hAnsiTheme="minorHAnsi" w:cstheme="minorHAnsi"/>
        </w:rPr>
        <w:t>Strikingly,</w:t>
      </w:r>
      <w:r w:rsidR="00B33BC6" w:rsidRPr="00654DD8">
        <w:rPr>
          <w:rFonts w:asciiTheme="minorHAnsi" w:hAnsiTheme="minorHAnsi" w:cstheme="minorHAnsi"/>
        </w:rPr>
        <w:t xml:space="preserve"> </w:t>
      </w:r>
      <w:r w:rsidR="002B651B" w:rsidRPr="00E26C65">
        <w:rPr>
          <w:rFonts w:asciiTheme="minorHAnsi" w:hAnsiTheme="minorHAnsi" w:cstheme="minorHAnsi"/>
          <w:highlight w:val="black"/>
        </w:rPr>
        <w:t>[[</w:t>
      </w:r>
      <w:r w:rsidR="00A5569D" w:rsidRPr="00E26C65">
        <w:rPr>
          <w:rFonts w:asciiTheme="minorHAnsi" w:hAnsiTheme="minorHAnsi" w:cstheme="minorHAnsi"/>
          <w:highlight w:val="black"/>
        </w:rPr>
        <w:t>XXXXXXXXXXXXXXXXXXXXXXXXXXXXXXXXXXXXXXXXXXXXXXXXXXXXXXX</w:t>
      </w:r>
      <w:r w:rsidR="00B33BC6" w:rsidRPr="00E26C65">
        <w:rPr>
          <w:rFonts w:asciiTheme="minorHAnsi" w:hAnsiTheme="minorHAnsi" w:cstheme="minorHAnsi"/>
          <w:highlight w:val="black"/>
        </w:rPr>
        <w:t xml:space="preserve"> </w:t>
      </w:r>
      <w:r w:rsidR="00A5569D" w:rsidRPr="00E26C65">
        <w:rPr>
          <w:rFonts w:asciiTheme="minorHAnsi" w:hAnsiTheme="minorHAnsi" w:cstheme="minorHAnsi"/>
          <w:highlight w:val="black"/>
        </w:rPr>
        <w:t>XXXXXXXXXXXXXXXXXXXXXXXXXXXXXXXXXXXXXXXXXXXXXXXXXXXXXXXXXXXXXXXXXXXXXXXX</w:t>
      </w:r>
      <w:r w:rsidR="00B33BC6" w:rsidRPr="00E26C65">
        <w:rPr>
          <w:rFonts w:asciiTheme="minorHAnsi" w:hAnsiTheme="minorHAnsi" w:cstheme="minorHAnsi"/>
          <w:highlight w:val="black"/>
        </w:rPr>
        <w:t xml:space="preserve"> </w:t>
      </w:r>
      <w:r w:rsidR="00A5569D" w:rsidRPr="00E26C65">
        <w:rPr>
          <w:rFonts w:asciiTheme="minorHAnsi" w:hAnsiTheme="minorHAnsi" w:cstheme="minorHAnsi"/>
          <w:highlight w:val="black"/>
        </w:rPr>
        <w:t>XXXXXXXXXXXXXXXXXXXXXX</w:t>
      </w:r>
      <w:r w:rsidR="002B651B" w:rsidRPr="00E26C65">
        <w:rPr>
          <w:rFonts w:asciiTheme="minorHAnsi" w:hAnsiTheme="minorHAnsi" w:cstheme="minorHAnsi"/>
          <w:highlight w:val="black"/>
        </w:rPr>
        <w:t>]]</w:t>
      </w:r>
      <w:r w:rsidR="00B33BC6" w:rsidRPr="00654DD8">
        <w:rPr>
          <w:rFonts w:asciiTheme="minorHAnsi" w:hAnsiTheme="minorHAnsi" w:cstheme="minorHAnsi"/>
        </w:rPr>
        <w:t xml:space="preserve"> </w:t>
      </w:r>
    </w:p>
    <w:p w14:paraId="1F1207A3" w14:textId="2A71F793" w:rsidR="00B33BC6" w:rsidRPr="00654DD8" w:rsidRDefault="00B33BC6" w:rsidP="00B33BC6">
      <w:pPr>
        <w:pStyle w:val="P1-N1Paragraph1-Number1"/>
        <w:rPr>
          <w:rFonts w:asciiTheme="minorHAnsi" w:hAnsiTheme="minorHAnsi" w:cstheme="minorHAnsi"/>
        </w:rPr>
      </w:pPr>
      <w:r w:rsidRPr="00654DD8">
        <w:rPr>
          <w:rFonts w:asciiTheme="minorHAnsi" w:hAnsiTheme="minorHAnsi" w:cstheme="minorHAnsi"/>
        </w:rPr>
        <w:t>China appears to accept in its first written submission that MOFCOM did not engage in any process of comparative evaluation in selecting the replacement information for Casella and Swan.</w:t>
      </w:r>
      <w:r w:rsidRPr="00654DD8">
        <w:rPr>
          <w:rStyle w:val="FootnoteReference"/>
          <w:rFonts w:asciiTheme="minorHAnsi" w:hAnsiTheme="minorHAnsi" w:cstheme="minorHAnsi"/>
        </w:rPr>
        <w:footnoteReference w:id="11"/>
      </w:r>
      <w:r w:rsidRPr="00654DD8">
        <w:rPr>
          <w:rFonts w:asciiTheme="minorHAnsi" w:hAnsiTheme="minorHAnsi" w:cstheme="minorHAnsi"/>
        </w:rPr>
        <w:t xml:space="preserve"> </w:t>
      </w:r>
      <w:r w:rsidR="00A01993" w:rsidRPr="00654DD8">
        <w:rPr>
          <w:rFonts w:asciiTheme="minorHAnsi" w:hAnsiTheme="minorHAnsi" w:cstheme="minorHAnsi"/>
        </w:rPr>
        <w:t>T</w:t>
      </w:r>
      <w:r w:rsidRPr="00654DD8">
        <w:rPr>
          <w:rFonts w:asciiTheme="minorHAnsi" w:hAnsiTheme="minorHAnsi" w:cstheme="minorHAnsi"/>
        </w:rPr>
        <w:t xml:space="preserve">here was no assessment of whether this data </w:t>
      </w:r>
      <w:r w:rsidR="00F642E3">
        <w:rPr>
          <w:rFonts w:asciiTheme="minorHAnsi" w:hAnsiTheme="minorHAnsi" w:cstheme="minorHAnsi"/>
        </w:rPr>
        <w:t>would</w:t>
      </w:r>
      <w:r w:rsidRPr="00654DD8">
        <w:rPr>
          <w:rFonts w:asciiTheme="minorHAnsi" w:hAnsiTheme="minorHAnsi" w:cstheme="minorHAnsi"/>
        </w:rPr>
        <w:t xml:space="preserve"> enabl</w:t>
      </w:r>
      <w:r w:rsidR="00F642E3">
        <w:rPr>
          <w:rFonts w:asciiTheme="minorHAnsi" w:hAnsiTheme="minorHAnsi" w:cstheme="minorHAnsi"/>
        </w:rPr>
        <w:t>e</w:t>
      </w:r>
      <w:r w:rsidRPr="00654DD8">
        <w:rPr>
          <w:rFonts w:asciiTheme="minorHAnsi" w:hAnsiTheme="minorHAnsi" w:cstheme="minorHAnsi"/>
        </w:rPr>
        <w:t xml:space="preserve"> the most accurate determination of normal value for Casella and Swan</w:t>
      </w:r>
      <w:r w:rsidR="009A3F52" w:rsidRPr="00654DD8">
        <w:rPr>
          <w:rFonts w:asciiTheme="minorHAnsi" w:hAnsiTheme="minorHAnsi" w:cstheme="minorHAnsi"/>
        </w:rPr>
        <w:t xml:space="preserve"> </w:t>
      </w:r>
      <w:r w:rsidRPr="00654DD8">
        <w:rPr>
          <w:rFonts w:asciiTheme="minorHAnsi" w:hAnsiTheme="minorHAnsi" w:cstheme="minorHAnsi"/>
        </w:rPr>
        <w:t xml:space="preserve">on the available information. </w:t>
      </w:r>
    </w:p>
    <w:p w14:paraId="3B80F16F" w14:textId="304F3069" w:rsidR="00B33BC6" w:rsidRPr="00654DD8" w:rsidRDefault="00C01A3A" w:rsidP="00436E59">
      <w:pPr>
        <w:pStyle w:val="P1-N1Paragraph1-Number1"/>
        <w:rPr>
          <w:rFonts w:asciiTheme="minorHAnsi" w:hAnsiTheme="minorHAnsi" w:cstheme="minorHAnsi"/>
        </w:rPr>
      </w:pPr>
      <w:r w:rsidRPr="00654DD8">
        <w:rPr>
          <w:rFonts w:asciiTheme="minorHAnsi" w:hAnsiTheme="minorHAnsi" w:cstheme="minorHAnsi"/>
        </w:rPr>
        <w:t xml:space="preserve">The consequence of </w:t>
      </w:r>
      <w:r w:rsidR="00A92FD9">
        <w:rPr>
          <w:rFonts w:asciiTheme="minorHAnsi" w:hAnsiTheme="minorHAnsi" w:cstheme="minorHAnsi"/>
        </w:rPr>
        <w:t>MOFCOM's</w:t>
      </w:r>
      <w:r w:rsidR="00A92FD9" w:rsidRPr="00654DD8">
        <w:rPr>
          <w:rFonts w:asciiTheme="minorHAnsi" w:hAnsiTheme="minorHAnsi" w:cstheme="minorHAnsi"/>
        </w:rPr>
        <w:t xml:space="preserve"> </w:t>
      </w:r>
      <w:r w:rsidRPr="00654DD8">
        <w:rPr>
          <w:rFonts w:asciiTheme="minorHAnsi" w:hAnsiTheme="minorHAnsi" w:cstheme="minorHAnsi"/>
        </w:rPr>
        <w:t xml:space="preserve">failures was </w:t>
      </w:r>
      <w:r w:rsidR="00B33BC6" w:rsidRPr="00654DD8">
        <w:rPr>
          <w:rFonts w:asciiTheme="minorHAnsi" w:hAnsiTheme="minorHAnsi" w:cstheme="minorHAnsi"/>
        </w:rPr>
        <w:t>the enormous dumping margin ultimately imposed on both companies in a manner inconsistent with Article 6.8 and Annex II of the Anti</w:t>
      </w:r>
      <w:r w:rsidR="001609EF" w:rsidRPr="00654DD8">
        <w:rPr>
          <w:rFonts w:asciiTheme="minorHAnsi" w:hAnsiTheme="minorHAnsi" w:cstheme="minorHAnsi"/>
        </w:rPr>
        <w:noBreakHyphen/>
      </w:r>
      <w:r w:rsidR="00B33BC6" w:rsidRPr="00654DD8">
        <w:rPr>
          <w:rFonts w:asciiTheme="minorHAnsi" w:hAnsiTheme="minorHAnsi" w:cstheme="minorHAnsi"/>
        </w:rPr>
        <w:t>Dumping Agreement.</w:t>
      </w:r>
    </w:p>
    <w:p w14:paraId="006B89A5" w14:textId="4D0D5AAD" w:rsidR="00D16B00" w:rsidRPr="00654DD8" w:rsidRDefault="00D16B00" w:rsidP="00A14460">
      <w:pPr>
        <w:pStyle w:val="HL2HeadingLevel2"/>
        <w:rPr>
          <w:rFonts w:asciiTheme="minorHAnsi" w:hAnsiTheme="minorHAnsi" w:cstheme="minorHAnsi"/>
        </w:rPr>
      </w:pPr>
      <w:bookmarkStart w:id="17" w:name="_Toc113344023"/>
      <w:r w:rsidRPr="00654DD8">
        <w:rPr>
          <w:rFonts w:asciiTheme="minorHAnsi" w:hAnsiTheme="minorHAnsi" w:cstheme="minorHAnsi"/>
        </w:rPr>
        <w:t>Fair comparison for the sampled companies</w:t>
      </w:r>
      <w:bookmarkEnd w:id="17"/>
    </w:p>
    <w:p w14:paraId="49B5567B" w14:textId="493EF8DC" w:rsidR="00645A19" w:rsidRDefault="00152C6C" w:rsidP="00645A19">
      <w:pPr>
        <w:pStyle w:val="P1-N1Paragraph1-Number1"/>
      </w:pPr>
      <w:bookmarkStart w:id="18" w:name="_Hlk113302824"/>
      <w:r>
        <w:t xml:space="preserve">MOFCOM </w:t>
      </w:r>
      <w:bookmarkEnd w:id="18"/>
      <w:r>
        <w:t>compounded its errors by failing to make a fair comparison between the normal values and export prices of the three sampled companies. This flawed comparison formed the basis for MOFCOM's dumping margins with respect to both the sampled and non</w:t>
      </w:r>
      <w:r w:rsidR="003C562D">
        <w:noBreakHyphen/>
      </w:r>
      <w:r>
        <w:t>sampled companies.</w:t>
      </w:r>
    </w:p>
    <w:p w14:paraId="686D2273" w14:textId="2E887238" w:rsidR="00645A19" w:rsidRDefault="00152C6C" w:rsidP="00645A19">
      <w:pPr>
        <w:pStyle w:val="P1-N1Paragraph1-Number1"/>
      </w:pPr>
      <w:r>
        <w:t xml:space="preserve">In relation to Treasury, MOFCOM calculated normal value based on </w:t>
      </w:r>
      <w:r w:rsidRPr="00E26C65">
        <w:rPr>
          <w:highlight w:val="black"/>
        </w:rPr>
        <w:t>[[</w:t>
      </w:r>
      <w:r w:rsidR="00E26C65" w:rsidRPr="00E26C65">
        <w:rPr>
          <w:highlight w:val="black"/>
        </w:rPr>
        <w:t>XXXXXXXXXX</w:t>
      </w:r>
      <w:r w:rsidRPr="00E26C65">
        <w:rPr>
          <w:highlight w:val="black"/>
        </w:rPr>
        <w:t xml:space="preserve"> </w:t>
      </w:r>
      <w:r w:rsidR="00E26C65" w:rsidRPr="00E26C65">
        <w:rPr>
          <w:highlight w:val="black"/>
        </w:rPr>
        <w:t>XXXXXXXXXXXXXXXXXXXXXXXXXXXXXXXXXXXXXXXXXXXXXXXXXXXXXXXXXXXXXXXXXXXXXXXX</w:t>
      </w:r>
      <w:r w:rsidRPr="00E26C65">
        <w:rPr>
          <w:highlight w:val="black"/>
        </w:rPr>
        <w:t xml:space="preserve"> </w:t>
      </w:r>
      <w:r w:rsidR="00E26C65" w:rsidRPr="00E26C65">
        <w:rPr>
          <w:highlight w:val="black"/>
        </w:rPr>
        <w:t>XXXXXXXXXXXXXXXXXXXXXXXXXXXXXXXXXXXXXXXXXXXXXXXXXXXXXXXXXXXXXXXXXXXXXXXX</w:t>
      </w:r>
      <w:r w:rsidRPr="00E26C65">
        <w:rPr>
          <w:highlight w:val="black"/>
        </w:rPr>
        <w:t xml:space="preserve"> </w:t>
      </w:r>
      <w:r w:rsidR="00E26C65" w:rsidRPr="00E26C65">
        <w:rPr>
          <w:highlight w:val="black"/>
        </w:rPr>
        <w:t>XXXXXXXXXXXXXXXXXXXXXXXXXXXXXXXXXXXXXXXXXXXXXXXXXXXXXXXXXXXXXXXXXXXXXXX</w:t>
      </w:r>
      <w:r w:rsidRPr="00E26C65">
        <w:rPr>
          <w:highlight w:val="black"/>
        </w:rPr>
        <w:t xml:space="preserve"> </w:t>
      </w:r>
      <w:r w:rsidR="00E26C65" w:rsidRPr="00E26C65">
        <w:rPr>
          <w:highlight w:val="black"/>
        </w:rPr>
        <w:t>XXXXXXXXXXXXXXXXXXXXXXXXXXXXXXXXXXXXXXXXXXXXXXXXXXXXXXXXXXXXXXXXXXXXXXXX</w:t>
      </w:r>
      <w:r w:rsidRPr="00E26C65">
        <w:rPr>
          <w:highlight w:val="black"/>
        </w:rPr>
        <w:t xml:space="preserve"> </w:t>
      </w:r>
      <w:r w:rsidR="00E26C65" w:rsidRPr="00E26C65">
        <w:rPr>
          <w:highlight w:val="black"/>
        </w:rPr>
        <w:t>XXXXXXXXXXXXXXXXXXXXXXXXXXXXXXXXXXXX</w:t>
      </w:r>
      <w:r>
        <w:rPr>
          <w:rStyle w:val="FootnoteReference"/>
        </w:rPr>
        <w:footnoteReference w:id="12"/>
      </w:r>
      <w:r>
        <w:t>.</w:t>
      </w:r>
      <w:r w:rsidRPr="00E26C65">
        <w:rPr>
          <w:highlight w:val="black"/>
        </w:rPr>
        <w:t>]]</w:t>
      </w:r>
    </w:p>
    <w:p w14:paraId="28EB1A28" w14:textId="1E88B0B2" w:rsidR="00645A19" w:rsidRDefault="00152C6C" w:rsidP="00645A19">
      <w:pPr>
        <w:pStyle w:val="P1-N1Paragraph1-Number1"/>
      </w:pPr>
      <w:r>
        <w:t xml:space="preserve">In determining the dumping margin for Casella and Swan, </w:t>
      </w:r>
      <w:r w:rsidRPr="00F71AD0">
        <w:rPr>
          <w:highlight w:val="black"/>
        </w:rPr>
        <w:t>[[</w:t>
      </w:r>
      <w:r w:rsidR="00E26C65" w:rsidRPr="00F71AD0">
        <w:rPr>
          <w:highlight w:val="black"/>
        </w:rPr>
        <w:t>XXXXXXXXXXXXXXXX</w:t>
      </w:r>
      <w:r w:rsidRPr="00F71AD0">
        <w:rPr>
          <w:highlight w:val="black"/>
        </w:rPr>
        <w:t xml:space="preserve"> </w:t>
      </w:r>
      <w:r w:rsidR="00E26C65" w:rsidRPr="00F71AD0">
        <w:rPr>
          <w:highlight w:val="black"/>
        </w:rPr>
        <w:t>XXXXXXXXXXXXXXXXXXXXXXXXXXXXXXXXXXXXXXXXXXXXXXXXXXXXXXXXXXXXXXXXXXXXXXXX</w:t>
      </w:r>
      <w:r w:rsidRPr="00F71AD0">
        <w:rPr>
          <w:highlight w:val="black"/>
        </w:rPr>
        <w:t xml:space="preserve"> </w:t>
      </w:r>
      <w:r w:rsidR="00E26C65" w:rsidRPr="00F71AD0">
        <w:rPr>
          <w:highlight w:val="black"/>
        </w:rPr>
        <w:t>XXXXXXXXXXXXXXXXXXXXXXXXXXXXXXXXXXXXXXXXXXXXXXXXXXXXXXXXXXXXXXXXXXXXXXXX</w:t>
      </w:r>
      <w:r w:rsidR="00C25177" w:rsidRPr="00F71AD0">
        <w:rPr>
          <w:highlight w:val="black"/>
        </w:rPr>
        <w:t xml:space="preserve"> </w:t>
      </w:r>
      <w:r w:rsidR="00E26C65" w:rsidRPr="00F71AD0">
        <w:rPr>
          <w:highlight w:val="black"/>
        </w:rPr>
        <w:t>XXXXXXXXXXXXXXXXXXXXXXXXXXXXXXXXXXXXXXXXXXXXXXXXXXXXXXXXXXXXXXXXXXXXXXXX</w:t>
      </w:r>
      <w:r w:rsidR="00C11B89" w:rsidRPr="00F71AD0">
        <w:rPr>
          <w:highlight w:val="black"/>
        </w:rPr>
        <w:t xml:space="preserve"> </w:t>
      </w:r>
      <w:r w:rsidR="00E26C65" w:rsidRPr="00F71AD0">
        <w:rPr>
          <w:highlight w:val="black"/>
        </w:rPr>
        <w:t>XXXXXXXXXXXXXXXXXXXXXXXXXXXXXXXXXXXXXXXXXXXXXXXXXXXXXXXXXXXXXXXXXXXXXXXX</w:t>
      </w:r>
      <w:r w:rsidR="00B4067A" w:rsidRPr="00F71AD0">
        <w:rPr>
          <w:highlight w:val="black"/>
        </w:rPr>
        <w:t xml:space="preserve"> </w:t>
      </w:r>
      <w:r w:rsidR="00E26C65" w:rsidRPr="00F71AD0">
        <w:rPr>
          <w:highlight w:val="black"/>
        </w:rPr>
        <w:t>XXXXXXXXXXXX</w:t>
      </w:r>
      <w:r w:rsidRPr="00F71AD0">
        <w:rPr>
          <w:highlight w:val="black"/>
        </w:rPr>
        <w:t>]]</w:t>
      </w:r>
    </w:p>
    <w:p w14:paraId="2A11DC6C" w14:textId="069B2CF5" w:rsidR="00645A19" w:rsidRDefault="00152C6C" w:rsidP="00645A19">
      <w:pPr>
        <w:pStyle w:val="P1-N1Paragraph1-Number1"/>
      </w:pPr>
      <w:r>
        <w:t>China</w:t>
      </w:r>
      <w:r w:rsidR="00D71468">
        <w:t>'</w:t>
      </w:r>
      <w:r>
        <w:t>s explanation for these failures to make appropriate adjustment</w:t>
      </w:r>
      <w:r w:rsidR="000555C0">
        <w:t>s</w:t>
      </w:r>
      <w:r>
        <w:t xml:space="preserve"> appears to be that the sampled companies were obliged to request adjustments and that MOFCOM could not make adjustments without such a request. </w:t>
      </w:r>
    </w:p>
    <w:p w14:paraId="597FD39E" w14:textId="13B204AC" w:rsidR="006E7FC7" w:rsidRDefault="00152C6C" w:rsidP="00C9532F">
      <w:pPr>
        <w:pStyle w:val="P1-N1Paragraph1-Number1"/>
      </w:pPr>
      <w:r>
        <w:t>The Appellate Body has made it clear that the obligation to ensure a fair comparison under Article 2.4 "lies on the investigating authorities, and not the exporters".</w:t>
      </w:r>
      <w:r w:rsidR="00686B62">
        <w:rPr>
          <w:rStyle w:val="FootnoteReference"/>
        </w:rPr>
        <w:footnoteReference w:id="13"/>
      </w:r>
      <w:r>
        <w:t xml:space="preserve"> To facilitate this, the final sentence of Article 2.4 places a procedural onus on the investigating authority to "tell the parties what information the authority will need in order to ensure a fair comparison". </w:t>
      </w:r>
      <w:r w:rsidR="003E0E68">
        <w:t>This</w:t>
      </w:r>
      <w:r>
        <w:t xml:space="preserve"> is usually </w:t>
      </w:r>
      <w:r w:rsidR="003E0E68">
        <w:t xml:space="preserve">achieved </w:t>
      </w:r>
      <w:r>
        <w:t>through a dialogue</w:t>
      </w:r>
      <w:r w:rsidR="008E777D">
        <w:t>.</w:t>
      </w:r>
      <w:r w:rsidR="00B11DAC">
        <w:rPr>
          <w:rStyle w:val="FootnoteReference"/>
        </w:rPr>
        <w:footnoteReference w:id="14"/>
      </w:r>
      <w:r>
        <w:t xml:space="preserve"> MOFCOM </w:t>
      </w:r>
      <w:r w:rsidR="003E0E68">
        <w:t xml:space="preserve">failed </w:t>
      </w:r>
      <w:r>
        <w:t xml:space="preserve">to engage in such dialogue with the </w:t>
      </w:r>
      <w:r w:rsidR="000A5C83">
        <w:t>sampled companies</w:t>
      </w:r>
      <w:r>
        <w:t>.</w:t>
      </w:r>
    </w:p>
    <w:p w14:paraId="0B21C2D9" w14:textId="587D3DA3" w:rsidR="00152C6C" w:rsidRDefault="00152C6C" w:rsidP="006E7FC7">
      <w:pPr>
        <w:pStyle w:val="P1-N1Paragraph1-Number1"/>
      </w:pPr>
      <w:r>
        <w:t>Indeed, MOFCOM failed to disclose the necessary information – including its methodology, data or quantum of adjustments (even as non</w:t>
      </w:r>
      <w:r>
        <w:noBreakHyphen/>
        <w:t>confidential summaries) – with respect to Casella and Swan. This wholly deprived them of the "meaningful opportunity to request adjustments" to facilitate a fair comparison</w:t>
      </w:r>
      <w:r w:rsidR="00B50DE1">
        <w:t>.</w:t>
      </w:r>
      <w:r w:rsidRPr="00B50DE1">
        <w:rPr>
          <w:rStyle w:val="FootnoteReference"/>
          <w:rFonts w:asciiTheme="minorHAnsi" w:eastAsia="Times New Roman" w:hAnsiTheme="minorHAnsi" w:cstheme="minorHAnsi"/>
          <w:lang w:eastAsia="en-AU"/>
        </w:rPr>
        <w:footnoteReference w:id="15"/>
      </w:r>
    </w:p>
    <w:p w14:paraId="1D425233" w14:textId="2CC1D28E" w:rsidR="00EE1EF2" w:rsidRPr="00654DD8" w:rsidRDefault="00E0397A" w:rsidP="00EE1EF2">
      <w:pPr>
        <w:pStyle w:val="HL2HeadingLevel2"/>
        <w:rPr>
          <w:rFonts w:asciiTheme="minorHAnsi" w:hAnsiTheme="minorHAnsi" w:cstheme="minorHAnsi"/>
        </w:rPr>
      </w:pPr>
      <w:bookmarkStart w:id="19" w:name="_Toc113344024"/>
      <w:r w:rsidRPr="00654DD8">
        <w:rPr>
          <w:rFonts w:asciiTheme="minorHAnsi" w:hAnsiTheme="minorHAnsi" w:cstheme="minorHAnsi"/>
        </w:rPr>
        <w:t>T</w:t>
      </w:r>
      <w:r w:rsidR="00EE1EF2" w:rsidRPr="00654DD8">
        <w:rPr>
          <w:rFonts w:asciiTheme="minorHAnsi" w:hAnsiTheme="minorHAnsi" w:cstheme="minorHAnsi"/>
        </w:rPr>
        <w:t>he "all others" rate</w:t>
      </w:r>
      <w:bookmarkEnd w:id="19"/>
    </w:p>
    <w:p w14:paraId="14582C7F" w14:textId="77777777"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China imposed an anti-dumping duty for "all others" that was significantly higher than the duty imposed on any sampled company, or on the "other named exporters". MOFCOM provided no explanation for why this extraordinary rate was applied. However, in its first written submission, China says that the high rate was imposed to "incentivise cooperation" from exporters in future anti-dumping investigations undertaken by MOFCOM.</w:t>
      </w:r>
    </w:p>
    <w:p w14:paraId="2A8C402D" w14:textId="1187B041" w:rsidR="00EE1EF2" w:rsidRPr="0000715E" w:rsidRDefault="00EE1EF2" w:rsidP="000D65BD">
      <w:pPr>
        <w:pStyle w:val="P1-N1Paragraph1-Number1"/>
        <w:rPr>
          <w:rFonts w:asciiTheme="minorHAnsi" w:hAnsiTheme="minorHAnsi" w:cstheme="minorHAnsi"/>
        </w:rPr>
      </w:pPr>
      <w:r w:rsidRPr="0000715E">
        <w:rPr>
          <w:rFonts w:asciiTheme="minorHAnsi" w:hAnsiTheme="minorHAnsi" w:cstheme="minorHAnsi"/>
        </w:rPr>
        <w:t>Accordingly, even on China's own submissions, there was no attempt by MOFCOM to identify the most accurate and appropriate rate of duty to impose on the "</w:t>
      </w:r>
      <w:r w:rsidR="00053D7C" w:rsidRPr="0000715E">
        <w:rPr>
          <w:rFonts w:asciiTheme="minorHAnsi" w:hAnsiTheme="minorHAnsi" w:cstheme="minorHAnsi"/>
        </w:rPr>
        <w:t>a</w:t>
      </w:r>
      <w:r w:rsidRPr="0000715E">
        <w:rPr>
          <w:rFonts w:asciiTheme="minorHAnsi" w:hAnsiTheme="minorHAnsi" w:cstheme="minorHAnsi"/>
        </w:rPr>
        <w:t xml:space="preserve">ll </w:t>
      </w:r>
      <w:r w:rsidR="00053D7C" w:rsidRPr="0000715E">
        <w:rPr>
          <w:rFonts w:asciiTheme="minorHAnsi" w:hAnsiTheme="minorHAnsi" w:cstheme="minorHAnsi"/>
        </w:rPr>
        <w:t>o</w:t>
      </w:r>
      <w:r w:rsidRPr="0000715E">
        <w:rPr>
          <w:rFonts w:asciiTheme="minorHAnsi" w:hAnsiTheme="minorHAnsi" w:cstheme="minorHAnsi"/>
        </w:rPr>
        <w:t xml:space="preserve">thers" category. Rather, it reflected a punitive approach of deliberately selecting adverse facts to artificially produce a higher rate of duty. </w:t>
      </w:r>
      <w:r w:rsidR="004C4B5B" w:rsidRPr="0000715E">
        <w:rPr>
          <w:rFonts w:asciiTheme="minorHAnsi" w:hAnsiTheme="minorHAnsi" w:cstheme="minorHAnsi"/>
        </w:rPr>
        <w:t>S</w:t>
      </w:r>
      <w:r w:rsidRPr="0000715E">
        <w:rPr>
          <w:rFonts w:asciiTheme="minorHAnsi" w:hAnsiTheme="minorHAnsi" w:cstheme="minorHAnsi"/>
        </w:rPr>
        <w:t>uch an approach is impermissible under the Anti-Dumping Agreement.</w:t>
      </w:r>
    </w:p>
    <w:p w14:paraId="5C02419D" w14:textId="77777777" w:rsidR="00EE1EF2" w:rsidRPr="00654DD8" w:rsidRDefault="00EE1EF2" w:rsidP="00EE1EF2">
      <w:pPr>
        <w:pStyle w:val="HL1HeadingLevel1"/>
        <w:rPr>
          <w:rFonts w:asciiTheme="minorHAnsi" w:hAnsiTheme="minorHAnsi" w:cstheme="minorHAnsi"/>
        </w:rPr>
      </w:pPr>
      <w:bookmarkStart w:id="20" w:name="_Toc113344025"/>
      <w:r w:rsidRPr="00654DD8">
        <w:rPr>
          <w:rFonts w:asciiTheme="minorHAnsi" w:hAnsiTheme="minorHAnsi" w:cstheme="minorHAnsi"/>
        </w:rPr>
        <w:t>Injury and causation determination</w:t>
      </w:r>
      <w:bookmarkEnd w:id="20"/>
    </w:p>
    <w:p w14:paraId="5D9BFAF3" w14:textId="24388B19"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 xml:space="preserve">Ultimately, MOFCOM's injury and causation analysis can be summed up in the following single sentence: </w:t>
      </w:r>
    </w:p>
    <w:p w14:paraId="43F73117" w14:textId="171A2B2E" w:rsidR="00EE1EF2" w:rsidRPr="00654DD8" w:rsidRDefault="00EE1EF2" w:rsidP="00EE1EF2">
      <w:pPr>
        <w:pStyle w:val="P2-B1Paragraph2-Bullet1"/>
        <w:rPr>
          <w:rFonts w:asciiTheme="minorHAnsi" w:hAnsiTheme="minorHAnsi" w:cstheme="minorHAnsi"/>
        </w:rPr>
      </w:pPr>
      <w:r w:rsidRPr="00654DD8">
        <w:rPr>
          <w:rFonts w:asciiTheme="minorHAnsi" w:hAnsiTheme="minorHAnsi" w:cstheme="minorHAnsi"/>
        </w:rPr>
        <w:t xml:space="preserve">According to MOFCOM, the decreasing price and increasing volume of Australian </w:t>
      </w:r>
      <w:r w:rsidR="00FB074F" w:rsidRPr="00654DD8">
        <w:rPr>
          <w:rFonts w:asciiTheme="minorHAnsi" w:hAnsiTheme="minorHAnsi" w:cstheme="minorHAnsi"/>
        </w:rPr>
        <w:t xml:space="preserve">wine </w:t>
      </w:r>
      <w:r w:rsidRPr="00654DD8">
        <w:rPr>
          <w:rFonts w:asciiTheme="minorHAnsi" w:hAnsiTheme="minorHAnsi" w:cstheme="minorHAnsi"/>
        </w:rPr>
        <w:t xml:space="preserve">imports over the Injury </w:t>
      </w:r>
      <w:r w:rsidR="003C37B3" w:rsidRPr="00654DD8">
        <w:rPr>
          <w:rFonts w:asciiTheme="minorHAnsi" w:hAnsiTheme="minorHAnsi" w:cstheme="minorHAnsi"/>
        </w:rPr>
        <w:t>P</w:t>
      </w:r>
      <w:r w:rsidRPr="00654DD8">
        <w:rPr>
          <w:rFonts w:asciiTheme="minorHAnsi" w:hAnsiTheme="minorHAnsi" w:cstheme="minorHAnsi"/>
        </w:rPr>
        <w:t xml:space="preserve">eriod of </w:t>
      </w:r>
      <w:r w:rsidR="003C37B3" w:rsidRPr="00654DD8">
        <w:rPr>
          <w:rFonts w:asciiTheme="minorHAnsi" w:hAnsiTheme="minorHAnsi" w:cstheme="minorHAnsi"/>
        </w:rPr>
        <w:t>I</w:t>
      </w:r>
      <w:r w:rsidRPr="00654DD8">
        <w:rPr>
          <w:rFonts w:asciiTheme="minorHAnsi" w:hAnsiTheme="minorHAnsi" w:cstheme="minorHAnsi"/>
        </w:rPr>
        <w:t xml:space="preserve">nvestigation – or </w:t>
      </w:r>
      <w:r w:rsidR="00FB074F" w:rsidRPr="00654DD8">
        <w:rPr>
          <w:rFonts w:asciiTheme="minorHAnsi" w:hAnsiTheme="minorHAnsi" w:cstheme="minorHAnsi"/>
        </w:rPr>
        <w:t>"</w:t>
      </w:r>
      <w:r w:rsidRPr="00654DD8">
        <w:rPr>
          <w:rFonts w:asciiTheme="minorHAnsi" w:hAnsiTheme="minorHAnsi" w:cstheme="minorHAnsi"/>
        </w:rPr>
        <w:t>Injury POI</w:t>
      </w:r>
      <w:r w:rsidR="00FB074F" w:rsidRPr="00654DD8">
        <w:rPr>
          <w:rFonts w:asciiTheme="minorHAnsi" w:hAnsiTheme="minorHAnsi" w:cstheme="minorHAnsi"/>
        </w:rPr>
        <w:t>"</w:t>
      </w:r>
      <w:r w:rsidRPr="00654DD8">
        <w:rPr>
          <w:rFonts w:asciiTheme="minorHAnsi" w:hAnsiTheme="minorHAnsi" w:cstheme="minorHAnsi"/>
        </w:rPr>
        <w:t xml:space="preserve"> – supressed the prices of like </w:t>
      </w:r>
      <w:r w:rsidR="00D35979">
        <w:rPr>
          <w:rFonts w:asciiTheme="minorHAnsi" w:hAnsiTheme="minorHAnsi" w:cstheme="minorHAnsi"/>
        </w:rPr>
        <w:t xml:space="preserve">Chinese </w:t>
      </w:r>
      <w:r w:rsidRPr="00654DD8">
        <w:rPr>
          <w:rFonts w:asciiTheme="minorHAnsi" w:hAnsiTheme="minorHAnsi" w:cstheme="minorHAnsi"/>
        </w:rPr>
        <w:t xml:space="preserve">domestic products, preventing them from increasing enough to cover rising domestic production costs. </w:t>
      </w:r>
    </w:p>
    <w:p w14:paraId="7D232002" w14:textId="77777777" w:rsidR="00EE1EF2" w:rsidRPr="00654DD8" w:rsidRDefault="00EE1EF2" w:rsidP="00EE1EF2">
      <w:pPr>
        <w:pStyle w:val="HL2HeadingLevel2"/>
        <w:rPr>
          <w:rFonts w:asciiTheme="minorHAnsi" w:hAnsiTheme="minorHAnsi" w:cstheme="minorHAnsi"/>
        </w:rPr>
      </w:pPr>
      <w:bookmarkStart w:id="21" w:name="_Toc113344026"/>
      <w:r w:rsidRPr="00654DD8">
        <w:rPr>
          <w:rFonts w:asciiTheme="minorHAnsi" w:hAnsiTheme="minorHAnsi" w:cstheme="minorHAnsi"/>
        </w:rPr>
        <w:t>The magnitude of the suppression</w:t>
      </w:r>
      <w:bookmarkEnd w:id="21"/>
    </w:p>
    <w:p w14:paraId="16C16899" w14:textId="29027425" w:rsidR="002F6D83" w:rsidRPr="00654DD8" w:rsidRDefault="002F6D83" w:rsidP="002F6D83">
      <w:pPr>
        <w:pStyle w:val="P1-N1Paragraph1-Number1"/>
        <w:rPr>
          <w:rFonts w:asciiTheme="minorHAnsi" w:hAnsiTheme="minorHAnsi" w:cstheme="minorHAnsi"/>
        </w:rPr>
      </w:pPr>
      <w:r w:rsidRPr="00654DD8">
        <w:rPr>
          <w:rFonts w:asciiTheme="minorHAnsi" w:hAnsiTheme="minorHAnsi" w:cstheme="minorHAnsi"/>
        </w:rPr>
        <w:t xml:space="preserve">MOFCOM's injury determination is grounded in an affirmative finding of price suppression over the 2015 to 2019 period. According to MOFCOM, prices did not increase sufficiently to cover the cost increase over the same period. However, the facts </w:t>
      </w:r>
      <w:r w:rsidR="003C37B3" w:rsidRPr="00654DD8">
        <w:rPr>
          <w:rFonts w:asciiTheme="minorHAnsi" w:hAnsiTheme="minorHAnsi" w:cstheme="minorHAnsi"/>
        </w:rPr>
        <w:t xml:space="preserve">on which MOFCOM </w:t>
      </w:r>
      <w:r w:rsidRPr="00654DD8">
        <w:rPr>
          <w:rFonts w:asciiTheme="minorHAnsi" w:hAnsiTheme="minorHAnsi" w:cstheme="minorHAnsi"/>
        </w:rPr>
        <w:t xml:space="preserve">relied indicate that, over the relevant period, the amount by which the increasing prices did not fully cover the increased costs was only 658 </w:t>
      </w:r>
      <w:r w:rsidR="00787148">
        <w:rPr>
          <w:rFonts w:asciiTheme="minorHAnsi" w:hAnsiTheme="minorHAnsi" w:cstheme="minorHAnsi"/>
        </w:rPr>
        <w:t>Re</w:t>
      </w:r>
      <w:r w:rsidR="00727A0D">
        <w:rPr>
          <w:rFonts w:asciiTheme="minorHAnsi" w:hAnsiTheme="minorHAnsi" w:cstheme="minorHAnsi"/>
        </w:rPr>
        <w:t>n</w:t>
      </w:r>
      <w:r w:rsidR="00787148">
        <w:rPr>
          <w:rFonts w:asciiTheme="minorHAnsi" w:hAnsiTheme="minorHAnsi" w:cstheme="minorHAnsi"/>
        </w:rPr>
        <w:t>mi</w:t>
      </w:r>
      <w:r w:rsidR="00DA4FDD">
        <w:rPr>
          <w:rFonts w:asciiTheme="minorHAnsi" w:hAnsiTheme="minorHAnsi" w:cstheme="minorHAnsi"/>
        </w:rPr>
        <w:t>n</w:t>
      </w:r>
      <w:r w:rsidR="00787148">
        <w:rPr>
          <w:rFonts w:asciiTheme="minorHAnsi" w:hAnsiTheme="minorHAnsi" w:cstheme="minorHAnsi"/>
        </w:rPr>
        <w:t>bi</w:t>
      </w:r>
      <w:r w:rsidR="006B53BA" w:rsidRPr="00654DD8">
        <w:rPr>
          <w:rFonts w:asciiTheme="minorHAnsi" w:hAnsiTheme="minorHAnsi" w:cstheme="minorHAnsi"/>
        </w:rPr>
        <w:t xml:space="preserve"> per </w:t>
      </w:r>
      <w:r w:rsidRPr="00654DD8">
        <w:rPr>
          <w:rFonts w:asciiTheme="minorHAnsi" w:hAnsiTheme="minorHAnsi" w:cstheme="minorHAnsi"/>
        </w:rPr>
        <w:t>k</w:t>
      </w:r>
      <w:r w:rsidR="006B53BA" w:rsidRPr="00654DD8">
        <w:rPr>
          <w:rFonts w:asciiTheme="minorHAnsi" w:hAnsiTheme="minorHAnsi" w:cstheme="minorHAnsi"/>
        </w:rPr>
        <w:t>i</w:t>
      </w:r>
      <w:r w:rsidRPr="00654DD8">
        <w:rPr>
          <w:rFonts w:asciiTheme="minorHAnsi" w:hAnsiTheme="minorHAnsi" w:cstheme="minorHAnsi"/>
        </w:rPr>
        <w:t>l</w:t>
      </w:r>
      <w:r w:rsidR="006B53BA" w:rsidRPr="00654DD8">
        <w:rPr>
          <w:rFonts w:asciiTheme="minorHAnsi" w:hAnsiTheme="minorHAnsi" w:cstheme="minorHAnsi"/>
        </w:rPr>
        <w:t>olitre</w:t>
      </w:r>
      <w:r w:rsidRPr="00654DD8">
        <w:rPr>
          <w:rFonts w:asciiTheme="minorHAnsi" w:hAnsiTheme="minorHAnsi" w:cstheme="minorHAnsi"/>
        </w:rPr>
        <w:t>. This means that prices only needed to increase by another 2% to completely cover the increased costs.</w:t>
      </w:r>
    </w:p>
    <w:p w14:paraId="14D677BF" w14:textId="0E471690" w:rsidR="002F6D83" w:rsidRPr="00654DD8" w:rsidRDefault="002F6D83" w:rsidP="002F6D83">
      <w:pPr>
        <w:pStyle w:val="P1-N1Paragraph1-Number1"/>
        <w:rPr>
          <w:rFonts w:asciiTheme="minorHAnsi" w:hAnsiTheme="minorHAnsi" w:cstheme="minorHAnsi"/>
        </w:rPr>
      </w:pPr>
      <w:r w:rsidRPr="00654DD8">
        <w:rPr>
          <w:rFonts w:asciiTheme="minorHAnsi" w:hAnsiTheme="minorHAnsi" w:cstheme="minorHAnsi"/>
        </w:rPr>
        <w:t xml:space="preserve">In short, the foundation for MOFCOM's affirmative injury determination is effectively a finding that the 2015 sale price was suppressed by a mere 2% over the course of the </w:t>
      </w:r>
      <w:r w:rsidR="00710464" w:rsidRPr="00654DD8">
        <w:rPr>
          <w:rFonts w:asciiTheme="minorHAnsi" w:hAnsiTheme="minorHAnsi" w:cstheme="minorHAnsi"/>
        </w:rPr>
        <w:t>I</w:t>
      </w:r>
      <w:r w:rsidRPr="00654DD8">
        <w:rPr>
          <w:rFonts w:asciiTheme="minorHAnsi" w:hAnsiTheme="minorHAnsi" w:cstheme="minorHAnsi"/>
        </w:rPr>
        <w:t>njury</w:t>
      </w:r>
      <w:r w:rsidR="00710464" w:rsidRPr="00654DD8">
        <w:rPr>
          <w:rFonts w:asciiTheme="minorHAnsi" w:hAnsiTheme="minorHAnsi" w:cstheme="minorHAnsi"/>
        </w:rPr>
        <w:t> </w:t>
      </w:r>
      <w:r w:rsidRPr="00654DD8">
        <w:rPr>
          <w:rFonts w:asciiTheme="minorHAnsi" w:hAnsiTheme="minorHAnsi" w:cstheme="minorHAnsi"/>
        </w:rPr>
        <w:t xml:space="preserve">POI. </w:t>
      </w:r>
    </w:p>
    <w:p w14:paraId="02BC9CC7" w14:textId="1A511A86" w:rsidR="002F6D83" w:rsidRPr="00654DD8" w:rsidRDefault="002F6D83" w:rsidP="002F6D83">
      <w:pPr>
        <w:pStyle w:val="P1-N1Paragraph1-Number1"/>
        <w:rPr>
          <w:rFonts w:asciiTheme="minorHAnsi" w:hAnsiTheme="minorHAnsi" w:cstheme="minorHAnsi"/>
        </w:rPr>
      </w:pPr>
      <w:r w:rsidRPr="00654DD8">
        <w:rPr>
          <w:rFonts w:asciiTheme="minorHAnsi" w:hAnsiTheme="minorHAnsi" w:cstheme="minorHAnsi"/>
        </w:rPr>
        <w:t xml:space="preserve">This negligible </w:t>
      </w:r>
      <w:r w:rsidR="00CA2600" w:rsidRPr="00654DD8">
        <w:rPr>
          <w:rFonts w:asciiTheme="minorHAnsi" w:hAnsiTheme="minorHAnsi" w:cstheme="minorHAnsi"/>
        </w:rPr>
        <w:t xml:space="preserve">level </w:t>
      </w:r>
      <w:r w:rsidRPr="00654DD8">
        <w:rPr>
          <w:rFonts w:asciiTheme="minorHAnsi" w:hAnsiTheme="minorHAnsi" w:cstheme="minorHAnsi"/>
        </w:rPr>
        <w:t xml:space="preserve">of suppression further demonstrates the absurdity of the </w:t>
      </w:r>
      <w:r w:rsidR="006524FA">
        <w:rPr>
          <w:rFonts w:asciiTheme="minorHAnsi" w:hAnsiTheme="minorHAnsi" w:cstheme="minorHAnsi"/>
        </w:rPr>
        <w:t xml:space="preserve">dumping </w:t>
      </w:r>
      <w:r w:rsidRPr="00654DD8">
        <w:rPr>
          <w:rFonts w:asciiTheme="minorHAnsi" w:hAnsiTheme="minorHAnsi" w:cstheme="minorHAnsi"/>
        </w:rPr>
        <w:t>margins calculated by MOFCOM. The extraordinary implication is that</w:t>
      </w:r>
      <w:r w:rsidR="00FB074F" w:rsidRPr="00654DD8">
        <w:rPr>
          <w:rFonts w:asciiTheme="minorHAnsi" w:hAnsiTheme="minorHAnsi" w:cstheme="minorHAnsi"/>
        </w:rPr>
        <w:t>,</w:t>
      </w:r>
      <w:r w:rsidRPr="00654DD8">
        <w:rPr>
          <w:rFonts w:asciiTheme="minorHAnsi" w:hAnsiTheme="minorHAnsi" w:cstheme="minorHAnsi"/>
        </w:rPr>
        <w:t xml:space="preserve"> </w:t>
      </w:r>
      <w:r w:rsidR="00CA2600" w:rsidRPr="00654DD8">
        <w:rPr>
          <w:rFonts w:asciiTheme="minorHAnsi" w:hAnsiTheme="minorHAnsi" w:cstheme="minorHAnsi"/>
        </w:rPr>
        <w:t>apparently</w:t>
      </w:r>
      <w:r w:rsidR="00FB074F" w:rsidRPr="00654DD8">
        <w:rPr>
          <w:rFonts w:asciiTheme="minorHAnsi" w:hAnsiTheme="minorHAnsi" w:cstheme="minorHAnsi"/>
        </w:rPr>
        <w:t>,</w:t>
      </w:r>
      <w:r w:rsidR="00CA2600" w:rsidRPr="00654DD8">
        <w:rPr>
          <w:rFonts w:asciiTheme="minorHAnsi" w:hAnsiTheme="minorHAnsi" w:cstheme="minorHAnsi"/>
        </w:rPr>
        <w:t xml:space="preserve"> </w:t>
      </w:r>
      <w:r w:rsidRPr="00654DD8">
        <w:rPr>
          <w:rFonts w:asciiTheme="minorHAnsi" w:hAnsiTheme="minorHAnsi" w:cstheme="minorHAnsi"/>
        </w:rPr>
        <w:t xml:space="preserve">Australian </w:t>
      </w:r>
      <w:r w:rsidR="00702186">
        <w:rPr>
          <w:rFonts w:asciiTheme="minorHAnsi" w:hAnsiTheme="minorHAnsi" w:cstheme="minorHAnsi"/>
        </w:rPr>
        <w:t>exports</w:t>
      </w:r>
      <w:r w:rsidR="00702186" w:rsidRPr="00654DD8">
        <w:rPr>
          <w:rFonts w:asciiTheme="minorHAnsi" w:hAnsiTheme="minorHAnsi" w:cstheme="minorHAnsi"/>
        </w:rPr>
        <w:t xml:space="preserve"> </w:t>
      </w:r>
      <w:r w:rsidR="00787148">
        <w:rPr>
          <w:rFonts w:asciiTheme="minorHAnsi" w:hAnsiTheme="minorHAnsi" w:cstheme="minorHAnsi"/>
        </w:rPr>
        <w:t>assigned</w:t>
      </w:r>
      <w:r w:rsidR="00CA2600" w:rsidRPr="00654DD8">
        <w:rPr>
          <w:rFonts w:asciiTheme="minorHAnsi" w:hAnsiTheme="minorHAnsi" w:cstheme="minorHAnsi"/>
        </w:rPr>
        <w:t xml:space="preserve"> </w:t>
      </w:r>
      <w:r w:rsidRPr="00654DD8">
        <w:rPr>
          <w:rFonts w:asciiTheme="minorHAnsi" w:hAnsiTheme="minorHAnsi" w:cstheme="minorHAnsi"/>
        </w:rPr>
        <w:t>dumping margins of over 100% – and in some cases over 200% – resulted in price suppression of a mere 2% over the course of the five-year Injury POI.</w:t>
      </w:r>
    </w:p>
    <w:p w14:paraId="18D72F39" w14:textId="05A52395" w:rsidR="002F6D83" w:rsidRPr="00654DD8" w:rsidRDefault="00CA2600" w:rsidP="002F6D83">
      <w:pPr>
        <w:pStyle w:val="P1-N1Paragraph1-Number1"/>
        <w:rPr>
          <w:rFonts w:asciiTheme="minorHAnsi" w:hAnsiTheme="minorHAnsi" w:cstheme="minorHAnsi"/>
        </w:rPr>
      </w:pPr>
      <w:r w:rsidRPr="00654DD8">
        <w:rPr>
          <w:rFonts w:asciiTheme="minorHAnsi" w:hAnsiTheme="minorHAnsi" w:cstheme="minorHAnsi"/>
        </w:rPr>
        <w:t xml:space="preserve">In any event, </w:t>
      </w:r>
      <w:r w:rsidR="00391D93" w:rsidRPr="00654DD8">
        <w:rPr>
          <w:rFonts w:asciiTheme="minorHAnsi" w:hAnsiTheme="minorHAnsi" w:cstheme="minorHAnsi"/>
        </w:rPr>
        <w:t xml:space="preserve">there is no factual basis for </w:t>
      </w:r>
      <w:r w:rsidR="002F6D83" w:rsidRPr="00654DD8">
        <w:rPr>
          <w:rFonts w:asciiTheme="minorHAnsi" w:hAnsiTheme="minorHAnsi" w:cstheme="minorHAnsi"/>
        </w:rPr>
        <w:t xml:space="preserve">MOFCOM's determination that the declining price and increasing volume of Australian imports prevented the price of domestic like products from increasing by 2% over the Injury POI. </w:t>
      </w:r>
    </w:p>
    <w:p w14:paraId="123B68A4" w14:textId="75EC3050" w:rsidR="002F6D83" w:rsidRPr="00654DD8" w:rsidRDefault="00B22DE4" w:rsidP="002F6D83">
      <w:pPr>
        <w:pStyle w:val="P1-N1Paragraph1-Number1"/>
        <w:rPr>
          <w:rFonts w:asciiTheme="minorHAnsi" w:hAnsiTheme="minorHAnsi" w:cstheme="minorHAnsi"/>
        </w:rPr>
      </w:pPr>
      <w:r w:rsidRPr="00654DD8">
        <w:rPr>
          <w:rFonts w:asciiTheme="minorHAnsi" w:hAnsiTheme="minorHAnsi" w:cstheme="minorHAnsi"/>
        </w:rPr>
        <w:t>On one hand, MOFCOM failed to properly establish that imports of Australian wine had any explanatory force for the alleged price suppression, let alone any causa</w:t>
      </w:r>
      <w:r w:rsidR="0068537B" w:rsidRPr="00654DD8">
        <w:rPr>
          <w:rFonts w:asciiTheme="minorHAnsi" w:hAnsiTheme="minorHAnsi" w:cstheme="minorHAnsi"/>
        </w:rPr>
        <w:t>l relationship</w:t>
      </w:r>
      <w:r w:rsidRPr="00654DD8">
        <w:rPr>
          <w:rFonts w:asciiTheme="minorHAnsi" w:hAnsiTheme="minorHAnsi" w:cstheme="minorHAnsi"/>
        </w:rPr>
        <w:t xml:space="preserve"> with the alleged injury said to </w:t>
      </w:r>
      <w:r w:rsidR="0068537B" w:rsidRPr="00654DD8">
        <w:rPr>
          <w:rFonts w:asciiTheme="minorHAnsi" w:hAnsiTheme="minorHAnsi" w:cstheme="minorHAnsi"/>
        </w:rPr>
        <w:t>result from</w:t>
      </w:r>
      <w:r w:rsidRPr="00654DD8">
        <w:rPr>
          <w:rFonts w:asciiTheme="minorHAnsi" w:hAnsiTheme="minorHAnsi" w:cstheme="minorHAnsi"/>
        </w:rPr>
        <w:t xml:space="preserve"> this price suppression. </w:t>
      </w:r>
      <w:r w:rsidR="0068537B" w:rsidRPr="00654DD8">
        <w:rPr>
          <w:rFonts w:asciiTheme="minorHAnsi" w:hAnsiTheme="minorHAnsi" w:cstheme="minorHAnsi"/>
        </w:rPr>
        <w:t>On the other hand, t</w:t>
      </w:r>
      <w:r w:rsidR="002F6D83" w:rsidRPr="00654DD8">
        <w:rPr>
          <w:rFonts w:asciiTheme="minorHAnsi" w:hAnsiTheme="minorHAnsi" w:cstheme="minorHAnsi"/>
        </w:rPr>
        <w:t xml:space="preserve">here was </w:t>
      </w:r>
      <w:r w:rsidR="0068537B" w:rsidRPr="00654DD8">
        <w:rPr>
          <w:rFonts w:asciiTheme="minorHAnsi" w:hAnsiTheme="minorHAnsi" w:cstheme="minorHAnsi"/>
        </w:rPr>
        <w:t xml:space="preserve">also </w:t>
      </w:r>
      <w:r w:rsidR="002F6D83" w:rsidRPr="00654DD8">
        <w:rPr>
          <w:rFonts w:asciiTheme="minorHAnsi" w:hAnsiTheme="minorHAnsi" w:cstheme="minorHAnsi"/>
        </w:rPr>
        <w:t xml:space="preserve">a plethora of evidence on the record that called into question MOFCOM's </w:t>
      </w:r>
      <w:r w:rsidR="004172EC" w:rsidRPr="00654DD8">
        <w:rPr>
          <w:rFonts w:asciiTheme="minorHAnsi" w:hAnsiTheme="minorHAnsi" w:cstheme="minorHAnsi"/>
        </w:rPr>
        <w:t xml:space="preserve">mere </w:t>
      </w:r>
      <w:r w:rsidR="002F6D83" w:rsidRPr="00654DD8">
        <w:rPr>
          <w:rFonts w:asciiTheme="minorHAnsi" w:hAnsiTheme="minorHAnsi" w:cstheme="minorHAnsi"/>
        </w:rPr>
        <w:t>assertion</w:t>
      </w:r>
      <w:r w:rsidR="00B73AF8" w:rsidRPr="00654DD8">
        <w:rPr>
          <w:rFonts w:asciiTheme="minorHAnsi" w:hAnsiTheme="minorHAnsi" w:cstheme="minorHAnsi"/>
        </w:rPr>
        <w:t>s</w:t>
      </w:r>
      <w:r w:rsidR="002F6D83" w:rsidRPr="00654DD8">
        <w:rPr>
          <w:rFonts w:asciiTheme="minorHAnsi" w:hAnsiTheme="minorHAnsi" w:cstheme="minorHAnsi"/>
        </w:rPr>
        <w:t xml:space="preserve"> that Australian imports </w:t>
      </w:r>
      <w:r w:rsidR="00B73AF8" w:rsidRPr="00654DD8">
        <w:rPr>
          <w:rFonts w:asciiTheme="minorHAnsi" w:hAnsiTheme="minorHAnsi" w:cstheme="minorHAnsi"/>
        </w:rPr>
        <w:t xml:space="preserve">were </w:t>
      </w:r>
      <w:r w:rsidR="002F6D83" w:rsidRPr="00654DD8">
        <w:rPr>
          <w:rFonts w:asciiTheme="minorHAnsi" w:hAnsiTheme="minorHAnsi" w:cstheme="minorHAnsi"/>
        </w:rPr>
        <w:t>ha</w:t>
      </w:r>
      <w:r w:rsidR="00B73AF8" w:rsidRPr="00654DD8">
        <w:rPr>
          <w:rFonts w:asciiTheme="minorHAnsi" w:hAnsiTheme="minorHAnsi" w:cstheme="minorHAnsi"/>
        </w:rPr>
        <w:t>ving</w:t>
      </w:r>
      <w:r w:rsidR="002F6D83" w:rsidRPr="00654DD8">
        <w:rPr>
          <w:rFonts w:asciiTheme="minorHAnsi" w:hAnsiTheme="minorHAnsi" w:cstheme="minorHAnsi"/>
        </w:rPr>
        <w:t xml:space="preserve"> a suppressive effect on the prices of domestic like products</w:t>
      </w:r>
      <w:r w:rsidR="003240AA" w:rsidRPr="00654DD8">
        <w:rPr>
          <w:rFonts w:asciiTheme="minorHAnsi" w:hAnsiTheme="minorHAnsi" w:cstheme="minorHAnsi"/>
        </w:rPr>
        <w:t xml:space="preserve"> </w:t>
      </w:r>
      <w:r w:rsidR="002F6D83" w:rsidRPr="00654DD8">
        <w:rPr>
          <w:rFonts w:asciiTheme="minorHAnsi" w:hAnsiTheme="minorHAnsi" w:cstheme="minorHAnsi"/>
        </w:rPr>
        <w:t xml:space="preserve">and </w:t>
      </w:r>
      <w:r w:rsidR="00B73AF8" w:rsidRPr="00654DD8">
        <w:rPr>
          <w:rFonts w:asciiTheme="minorHAnsi" w:hAnsiTheme="minorHAnsi" w:cstheme="minorHAnsi"/>
        </w:rPr>
        <w:t>causing</w:t>
      </w:r>
      <w:r w:rsidR="008E4A08" w:rsidRPr="00654DD8">
        <w:rPr>
          <w:rFonts w:asciiTheme="minorHAnsi" w:hAnsiTheme="minorHAnsi" w:cstheme="minorHAnsi"/>
        </w:rPr>
        <w:t xml:space="preserve"> </w:t>
      </w:r>
      <w:r w:rsidR="002F6D83" w:rsidRPr="00654DD8">
        <w:rPr>
          <w:rFonts w:asciiTheme="minorHAnsi" w:hAnsiTheme="minorHAnsi" w:cstheme="minorHAnsi"/>
        </w:rPr>
        <w:t xml:space="preserve">material injury to the domestic industry. </w:t>
      </w:r>
    </w:p>
    <w:p w14:paraId="0C2A1846" w14:textId="3F45C40E" w:rsidR="002F6D83" w:rsidRPr="00654DD8" w:rsidRDefault="004172EC" w:rsidP="002F6D83">
      <w:pPr>
        <w:pStyle w:val="P1-N1Paragraph1-Number1"/>
        <w:rPr>
          <w:rFonts w:asciiTheme="minorHAnsi" w:hAnsiTheme="minorHAnsi" w:cstheme="minorHAnsi"/>
        </w:rPr>
      </w:pPr>
      <w:r w:rsidRPr="00654DD8">
        <w:rPr>
          <w:rFonts w:asciiTheme="minorHAnsi" w:hAnsiTheme="minorHAnsi" w:cstheme="minorHAnsi"/>
        </w:rPr>
        <w:t xml:space="preserve">MOFCOM </w:t>
      </w:r>
      <w:r w:rsidR="008E4A08" w:rsidRPr="00654DD8">
        <w:rPr>
          <w:rFonts w:asciiTheme="minorHAnsi" w:hAnsiTheme="minorHAnsi" w:cstheme="minorHAnsi"/>
        </w:rPr>
        <w:t>fail</w:t>
      </w:r>
      <w:r w:rsidRPr="00654DD8">
        <w:rPr>
          <w:rFonts w:asciiTheme="minorHAnsi" w:hAnsiTheme="minorHAnsi" w:cstheme="minorHAnsi"/>
        </w:rPr>
        <w:t>ed</w:t>
      </w:r>
      <w:r w:rsidR="008E4A08" w:rsidRPr="00654DD8">
        <w:rPr>
          <w:rFonts w:asciiTheme="minorHAnsi" w:hAnsiTheme="minorHAnsi" w:cstheme="minorHAnsi"/>
        </w:rPr>
        <w:t xml:space="preserve"> to explain how it took this evidence </w:t>
      </w:r>
      <w:r w:rsidR="002F6D83" w:rsidRPr="00654DD8">
        <w:rPr>
          <w:rFonts w:asciiTheme="minorHAnsi" w:hAnsiTheme="minorHAnsi" w:cstheme="minorHAnsi"/>
        </w:rPr>
        <w:t xml:space="preserve">into account </w:t>
      </w:r>
      <w:r w:rsidR="007B6C9C" w:rsidRPr="00654DD8">
        <w:rPr>
          <w:rFonts w:asciiTheme="minorHAnsi" w:hAnsiTheme="minorHAnsi" w:cstheme="minorHAnsi"/>
        </w:rPr>
        <w:t xml:space="preserve">in arriving at its </w:t>
      </w:r>
      <w:r w:rsidR="002F6D83" w:rsidRPr="00654DD8">
        <w:rPr>
          <w:rFonts w:asciiTheme="minorHAnsi" w:hAnsiTheme="minorHAnsi" w:cstheme="minorHAnsi"/>
        </w:rPr>
        <w:t>findings of price suppression and causation</w:t>
      </w:r>
      <w:r w:rsidR="007B6C9C" w:rsidRPr="00654DD8">
        <w:rPr>
          <w:rFonts w:asciiTheme="minorHAnsi" w:hAnsiTheme="minorHAnsi" w:cstheme="minorHAnsi"/>
        </w:rPr>
        <w:t>.</w:t>
      </w:r>
      <w:r w:rsidR="002F6D83" w:rsidRPr="00654DD8">
        <w:rPr>
          <w:rFonts w:asciiTheme="minorHAnsi" w:hAnsiTheme="minorHAnsi" w:cstheme="minorHAnsi"/>
        </w:rPr>
        <w:t xml:space="preserve"> </w:t>
      </w:r>
      <w:r w:rsidR="007B6C9C" w:rsidRPr="00654DD8">
        <w:rPr>
          <w:rFonts w:asciiTheme="minorHAnsi" w:hAnsiTheme="minorHAnsi" w:cstheme="minorHAnsi"/>
        </w:rPr>
        <w:t xml:space="preserve">As a consequence of these and other deficiencies, </w:t>
      </w:r>
      <w:r w:rsidR="002F6D83" w:rsidRPr="00654DD8">
        <w:rPr>
          <w:rFonts w:asciiTheme="minorHAnsi" w:hAnsiTheme="minorHAnsi" w:cstheme="minorHAnsi"/>
        </w:rPr>
        <w:t xml:space="preserve">MOFCOM's injury determination was inconsistent with China's obligations under Article 3. </w:t>
      </w:r>
    </w:p>
    <w:p w14:paraId="36288CD5" w14:textId="77777777" w:rsidR="00EE1EF2" w:rsidRPr="00654DD8" w:rsidRDefault="00EE1EF2" w:rsidP="00EE1EF2">
      <w:pPr>
        <w:pStyle w:val="HL2HeadingLevel2"/>
        <w:rPr>
          <w:rFonts w:asciiTheme="minorHAnsi" w:hAnsiTheme="minorHAnsi" w:cstheme="minorHAnsi"/>
        </w:rPr>
      </w:pPr>
      <w:bookmarkStart w:id="22" w:name="_Toc113344027"/>
      <w:r w:rsidRPr="00654DD8">
        <w:rPr>
          <w:rFonts w:asciiTheme="minorHAnsi" w:hAnsiTheme="minorHAnsi" w:cstheme="minorHAnsi"/>
        </w:rPr>
        <w:t>The price element of MOFCOM's price suppression determination</w:t>
      </w:r>
      <w:bookmarkEnd w:id="22"/>
    </w:p>
    <w:p w14:paraId="4CAF85A5" w14:textId="25FFF158"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 xml:space="preserve">According to MOFCOM, Australian imports had a suppressive effect on </w:t>
      </w:r>
      <w:r w:rsidR="00042AC5" w:rsidRPr="00654DD8">
        <w:rPr>
          <w:rFonts w:asciiTheme="minorHAnsi" w:hAnsiTheme="minorHAnsi" w:cstheme="minorHAnsi"/>
        </w:rPr>
        <w:t xml:space="preserve">the price of </w:t>
      </w:r>
      <w:r w:rsidRPr="00654DD8">
        <w:rPr>
          <w:rFonts w:asciiTheme="minorHAnsi" w:hAnsiTheme="minorHAnsi" w:cstheme="minorHAnsi"/>
        </w:rPr>
        <w:t xml:space="preserve">domestic </w:t>
      </w:r>
      <w:r w:rsidR="00042AC5" w:rsidRPr="00654DD8">
        <w:rPr>
          <w:rFonts w:asciiTheme="minorHAnsi" w:hAnsiTheme="minorHAnsi" w:cstheme="minorHAnsi"/>
        </w:rPr>
        <w:t xml:space="preserve">like products </w:t>
      </w:r>
      <w:r w:rsidRPr="00654DD8">
        <w:rPr>
          <w:rFonts w:asciiTheme="minorHAnsi" w:hAnsiTheme="minorHAnsi" w:cstheme="minorHAnsi"/>
        </w:rPr>
        <w:t xml:space="preserve">because the price that </w:t>
      </w:r>
      <w:r w:rsidR="00042AC5" w:rsidRPr="00654DD8">
        <w:rPr>
          <w:rFonts w:asciiTheme="minorHAnsi" w:hAnsiTheme="minorHAnsi" w:cstheme="minorHAnsi"/>
        </w:rPr>
        <w:t>MOFCOM</w:t>
      </w:r>
      <w:r w:rsidRPr="00654DD8">
        <w:rPr>
          <w:rFonts w:asciiTheme="minorHAnsi" w:hAnsiTheme="minorHAnsi" w:cstheme="minorHAnsi"/>
        </w:rPr>
        <w:t xml:space="preserve"> calculated for Australian imports declined by 15.9</w:t>
      </w:r>
      <w:r w:rsidR="000965DF" w:rsidRPr="00654DD8">
        <w:rPr>
          <w:rFonts w:asciiTheme="minorHAnsi" w:hAnsiTheme="minorHAnsi" w:cstheme="minorHAnsi"/>
        </w:rPr>
        <w:t>1</w:t>
      </w:r>
      <w:r w:rsidRPr="00654DD8">
        <w:rPr>
          <w:rFonts w:asciiTheme="minorHAnsi" w:hAnsiTheme="minorHAnsi" w:cstheme="minorHAnsi"/>
        </w:rPr>
        <w:t xml:space="preserve">% between 2015 and 2019. </w:t>
      </w:r>
    </w:p>
    <w:p w14:paraId="04A6E29D" w14:textId="615C8C77" w:rsidR="00EE1EF2" w:rsidRPr="00654DD8" w:rsidRDefault="00042AC5" w:rsidP="00EE1EF2">
      <w:pPr>
        <w:pStyle w:val="P1-N1Paragraph1-Number1"/>
        <w:rPr>
          <w:rFonts w:asciiTheme="minorHAnsi" w:hAnsiTheme="minorHAnsi" w:cstheme="minorHAnsi"/>
        </w:rPr>
      </w:pPr>
      <w:r w:rsidRPr="00654DD8">
        <w:rPr>
          <w:rFonts w:asciiTheme="minorHAnsi" w:hAnsiTheme="minorHAnsi" w:cstheme="minorHAnsi"/>
        </w:rPr>
        <w:t>There are</w:t>
      </w:r>
      <w:r w:rsidR="00EE1EF2" w:rsidRPr="00654DD8">
        <w:rPr>
          <w:rFonts w:asciiTheme="minorHAnsi" w:hAnsiTheme="minorHAnsi" w:cstheme="minorHAnsi"/>
        </w:rPr>
        <w:t xml:space="preserve"> two fundamental issues with MOFCOM's observations of th</w:t>
      </w:r>
      <w:r w:rsidRPr="00654DD8">
        <w:rPr>
          <w:rFonts w:asciiTheme="minorHAnsi" w:hAnsiTheme="minorHAnsi" w:cstheme="minorHAnsi"/>
        </w:rPr>
        <w:t>is</w:t>
      </w:r>
      <w:r w:rsidR="00EE1EF2" w:rsidRPr="00654DD8">
        <w:rPr>
          <w:rFonts w:asciiTheme="minorHAnsi" w:hAnsiTheme="minorHAnsi" w:cstheme="minorHAnsi"/>
        </w:rPr>
        <w:t xml:space="preserve"> price decline and its alleged explanatory force for the suppression of domestic prices</w:t>
      </w:r>
      <w:r w:rsidR="00B47E09" w:rsidRPr="00654DD8">
        <w:rPr>
          <w:rFonts w:asciiTheme="minorHAnsi" w:hAnsiTheme="minorHAnsi" w:cstheme="minorHAnsi"/>
        </w:rPr>
        <w:t>.</w:t>
      </w:r>
      <w:r w:rsidR="00EE1EF2" w:rsidRPr="00654DD8">
        <w:rPr>
          <w:rFonts w:asciiTheme="minorHAnsi" w:hAnsiTheme="minorHAnsi" w:cstheme="minorHAnsi"/>
        </w:rPr>
        <w:t xml:space="preserve"> </w:t>
      </w:r>
      <w:r w:rsidR="00B47E09" w:rsidRPr="00654DD8">
        <w:rPr>
          <w:rFonts w:asciiTheme="minorHAnsi" w:hAnsiTheme="minorHAnsi" w:cstheme="minorHAnsi"/>
        </w:rPr>
        <w:t>F</w:t>
      </w:r>
      <w:r w:rsidR="00EE1EF2" w:rsidRPr="00654DD8">
        <w:rPr>
          <w:rFonts w:asciiTheme="minorHAnsi" w:hAnsiTheme="minorHAnsi" w:cstheme="minorHAnsi"/>
        </w:rPr>
        <w:t>irst, MOFCOM fail</w:t>
      </w:r>
      <w:r w:rsidRPr="00654DD8">
        <w:rPr>
          <w:rFonts w:asciiTheme="minorHAnsi" w:hAnsiTheme="minorHAnsi" w:cstheme="minorHAnsi"/>
        </w:rPr>
        <w:t>ed</w:t>
      </w:r>
      <w:r w:rsidR="00EE1EF2" w:rsidRPr="00654DD8">
        <w:rPr>
          <w:rFonts w:asciiTheme="minorHAnsi" w:hAnsiTheme="minorHAnsi" w:cstheme="minorHAnsi"/>
        </w:rPr>
        <w:t xml:space="preserve"> to properly consider the impact of </w:t>
      </w:r>
      <w:r w:rsidRPr="00654DD8">
        <w:rPr>
          <w:rFonts w:asciiTheme="minorHAnsi" w:hAnsiTheme="minorHAnsi" w:cstheme="minorHAnsi"/>
        </w:rPr>
        <w:t xml:space="preserve">the elimination of </w:t>
      </w:r>
      <w:r w:rsidR="00B83DC6" w:rsidRPr="00654DD8">
        <w:rPr>
          <w:rFonts w:asciiTheme="minorHAnsi" w:hAnsiTheme="minorHAnsi" w:cstheme="minorHAnsi"/>
        </w:rPr>
        <w:t>customs</w:t>
      </w:r>
      <w:r w:rsidRPr="00654DD8">
        <w:rPr>
          <w:rFonts w:asciiTheme="minorHAnsi" w:hAnsiTheme="minorHAnsi" w:cstheme="minorHAnsi"/>
        </w:rPr>
        <w:t xml:space="preserve"> </w:t>
      </w:r>
      <w:r w:rsidR="00EE1EF2" w:rsidRPr="00654DD8">
        <w:rPr>
          <w:rFonts w:asciiTheme="minorHAnsi" w:hAnsiTheme="minorHAnsi" w:cstheme="minorHAnsi"/>
        </w:rPr>
        <w:t>tariff</w:t>
      </w:r>
      <w:r w:rsidRPr="00654DD8">
        <w:rPr>
          <w:rFonts w:asciiTheme="minorHAnsi" w:hAnsiTheme="minorHAnsi" w:cstheme="minorHAnsi"/>
        </w:rPr>
        <w:t>s</w:t>
      </w:r>
      <w:r w:rsidR="00EE1EF2" w:rsidRPr="00654DD8">
        <w:rPr>
          <w:rFonts w:asciiTheme="minorHAnsi" w:hAnsiTheme="minorHAnsi" w:cstheme="minorHAnsi"/>
        </w:rPr>
        <w:t xml:space="preserve"> </w:t>
      </w:r>
      <w:r w:rsidRPr="00654DD8">
        <w:rPr>
          <w:rFonts w:asciiTheme="minorHAnsi" w:hAnsiTheme="minorHAnsi" w:cstheme="minorHAnsi"/>
        </w:rPr>
        <w:t xml:space="preserve">on </w:t>
      </w:r>
      <w:r w:rsidR="00B83DC6" w:rsidRPr="00654DD8">
        <w:rPr>
          <w:rFonts w:asciiTheme="minorHAnsi" w:hAnsiTheme="minorHAnsi" w:cstheme="minorHAnsi"/>
        </w:rPr>
        <w:t>imports of Australian wine pursuant to</w:t>
      </w:r>
      <w:r w:rsidR="00EE1EF2" w:rsidRPr="00654DD8">
        <w:rPr>
          <w:rFonts w:asciiTheme="minorHAnsi" w:hAnsiTheme="minorHAnsi" w:cstheme="minorHAnsi"/>
        </w:rPr>
        <w:t xml:space="preserve"> the China Australia Free Trade Agreement (which I will call </w:t>
      </w:r>
      <w:r w:rsidR="000965DF" w:rsidRPr="00654DD8">
        <w:rPr>
          <w:rFonts w:asciiTheme="minorHAnsi" w:hAnsiTheme="minorHAnsi" w:cstheme="minorHAnsi"/>
        </w:rPr>
        <w:t>"</w:t>
      </w:r>
      <w:r w:rsidR="00EE1EF2" w:rsidRPr="00654DD8">
        <w:rPr>
          <w:rFonts w:asciiTheme="minorHAnsi" w:hAnsiTheme="minorHAnsi" w:cstheme="minorHAnsi"/>
        </w:rPr>
        <w:t>ChAFTA</w:t>
      </w:r>
      <w:r w:rsidR="000965DF" w:rsidRPr="00654DD8">
        <w:rPr>
          <w:rFonts w:asciiTheme="minorHAnsi" w:hAnsiTheme="minorHAnsi" w:cstheme="minorHAnsi"/>
        </w:rPr>
        <w:t>"</w:t>
      </w:r>
      <w:r w:rsidR="00EE1EF2" w:rsidRPr="00654DD8">
        <w:rPr>
          <w:rFonts w:asciiTheme="minorHAnsi" w:hAnsiTheme="minorHAnsi" w:cstheme="minorHAnsi"/>
        </w:rPr>
        <w:t>)</w:t>
      </w:r>
      <w:r w:rsidR="00B83DC6" w:rsidRPr="00654DD8">
        <w:rPr>
          <w:rFonts w:asciiTheme="minorHAnsi" w:hAnsiTheme="minorHAnsi" w:cstheme="minorHAnsi"/>
        </w:rPr>
        <w:t>.</w:t>
      </w:r>
      <w:r w:rsidR="00EE1EF2" w:rsidRPr="00654DD8">
        <w:rPr>
          <w:rFonts w:asciiTheme="minorHAnsi" w:hAnsiTheme="minorHAnsi" w:cstheme="minorHAnsi"/>
        </w:rPr>
        <w:t xml:space="preserve"> </w:t>
      </w:r>
      <w:r w:rsidR="00B83DC6" w:rsidRPr="00654DD8">
        <w:rPr>
          <w:rFonts w:asciiTheme="minorHAnsi" w:hAnsiTheme="minorHAnsi" w:cstheme="minorHAnsi"/>
        </w:rPr>
        <w:t>S</w:t>
      </w:r>
      <w:r w:rsidR="00EE1EF2" w:rsidRPr="00654DD8">
        <w:rPr>
          <w:rFonts w:asciiTheme="minorHAnsi" w:hAnsiTheme="minorHAnsi" w:cstheme="minorHAnsi"/>
        </w:rPr>
        <w:t xml:space="preserve">econd, </w:t>
      </w:r>
      <w:r w:rsidR="00B83DC6" w:rsidRPr="00654DD8">
        <w:rPr>
          <w:rFonts w:asciiTheme="minorHAnsi" w:hAnsiTheme="minorHAnsi" w:cstheme="minorHAnsi"/>
        </w:rPr>
        <w:t xml:space="preserve">MOFCOM failed to properly consider </w:t>
      </w:r>
      <w:r w:rsidR="00EE1EF2" w:rsidRPr="00654DD8">
        <w:rPr>
          <w:rFonts w:asciiTheme="minorHAnsi" w:hAnsiTheme="minorHAnsi" w:cstheme="minorHAnsi"/>
        </w:rPr>
        <w:t>the impact of third</w:t>
      </w:r>
      <w:r w:rsidR="00B83DC6" w:rsidRPr="00654DD8">
        <w:rPr>
          <w:rFonts w:asciiTheme="minorHAnsi" w:hAnsiTheme="minorHAnsi" w:cstheme="minorHAnsi"/>
        </w:rPr>
        <w:t>-</w:t>
      </w:r>
      <w:r w:rsidR="00EE1EF2" w:rsidRPr="00654DD8">
        <w:rPr>
          <w:rFonts w:asciiTheme="minorHAnsi" w:hAnsiTheme="minorHAnsi" w:cstheme="minorHAnsi"/>
        </w:rPr>
        <w:t>country imports.</w:t>
      </w:r>
    </w:p>
    <w:p w14:paraId="11504215" w14:textId="77777777" w:rsidR="00EE1EF2" w:rsidRPr="00654DD8" w:rsidRDefault="00EE1EF2" w:rsidP="00EE1EF2">
      <w:pPr>
        <w:pStyle w:val="HL3HeadingLevel3"/>
        <w:rPr>
          <w:rFonts w:asciiTheme="minorHAnsi" w:hAnsiTheme="minorHAnsi" w:cstheme="minorHAnsi"/>
        </w:rPr>
      </w:pPr>
      <w:bookmarkStart w:id="23" w:name="_Toc113344028"/>
      <w:r w:rsidRPr="00654DD8">
        <w:rPr>
          <w:rFonts w:asciiTheme="minorHAnsi" w:hAnsiTheme="minorHAnsi" w:cstheme="minorHAnsi"/>
        </w:rPr>
        <w:t>Relevance of the China Australia Free Trade Agreement</w:t>
      </w:r>
      <w:bookmarkEnd w:id="23"/>
    </w:p>
    <w:p w14:paraId="4F03D713" w14:textId="680E5B34" w:rsidR="00EE1EF2" w:rsidRPr="00654DD8" w:rsidRDefault="00B47E09" w:rsidP="00EE1EF2">
      <w:pPr>
        <w:pStyle w:val="P1-N1Paragraph1-Number1"/>
        <w:rPr>
          <w:rFonts w:asciiTheme="minorHAnsi" w:hAnsiTheme="minorHAnsi" w:cstheme="minorHAnsi"/>
        </w:rPr>
      </w:pPr>
      <w:r w:rsidRPr="00654DD8">
        <w:rPr>
          <w:rFonts w:asciiTheme="minorHAnsi" w:hAnsiTheme="minorHAnsi" w:cstheme="minorHAnsi"/>
        </w:rPr>
        <w:t>T</w:t>
      </w:r>
      <w:r w:rsidR="00EE1EF2" w:rsidRPr="00654DD8">
        <w:rPr>
          <w:rFonts w:asciiTheme="minorHAnsi" w:hAnsiTheme="minorHAnsi" w:cstheme="minorHAnsi"/>
        </w:rPr>
        <w:t>he price decline observed by MOFCOM is attributable to a factor entirely separate from the effects of the alleged dumping of Australian imports – that is</w:t>
      </w:r>
      <w:r w:rsidR="00B83DC6" w:rsidRPr="00654DD8">
        <w:rPr>
          <w:rFonts w:asciiTheme="minorHAnsi" w:hAnsiTheme="minorHAnsi" w:cstheme="minorHAnsi"/>
        </w:rPr>
        <w:t>,</w:t>
      </w:r>
      <w:r w:rsidR="00EE1EF2" w:rsidRPr="00654DD8">
        <w:rPr>
          <w:rFonts w:asciiTheme="minorHAnsi" w:hAnsiTheme="minorHAnsi" w:cstheme="minorHAnsi"/>
        </w:rPr>
        <w:t xml:space="preserve"> the progressive elimination of </w:t>
      </w:r>
      <w:r w:rsidR="00B83DC6" w:rsidRPr="00654DD8">
        <w:rPr>
          <w:rFonts w:asciiTheme="minorHAnsi" w:hAnsiTheme="minorHAnsi" w:cstheme="minorHAnsi"/>
        </w:rPr>
        <w:t>customs</w:t>
      </w:r>
      <w:r w:rsidR="00EE1EF2" w:rsidRPr="00654DD8">
        <w:rPr>
          <w:rFonts w:asciiTheme="minorHAnsi" w:hAnsiTheme="minorHAnsi" w:cstheme="minorHAnsi"/>
        </w:rPr>
        <w:t xml:space="preserve"> tariffs on imports of Australian bottled wines </w:t>
      </w:r>
      <w:r w:rsidR="00B83DC6" w:rsidRPr="00654DD8">
        <w:rPr>
          <w:rFonts w:asciiTheme="minorHAnsi" w:hAnsiTheme="minorHAnsi" w:cstheme="minorHAnsi"/>
        </w:rPr>
        <w:t xml:space="preserve">that </w:t>
      </w:r>
      <w:r w:rsidR="00EE1EF2" w:rsidRPr="00654DD8">
        <w:rPr>
          <w:rFonts w:asciiTheme="minorHAnsi" w:hAnsiTheme="minorHAnsi" w:cstheme="minorHAnsi"/>
        </w:rPr>
        <w:t>occurr</w:t>
      </w:r>
      <w:r w:rsidR="00B83DC6" w:rsidRPr="00654DD8">
        <w:rPr>
          <w:rFonts w:asciiTheme="minorHAnsi" w:hAnsiTheme="minorHAnsi" w:cstheme="minorHAnsi"/>
        </w:rPr>
        <w:t>ed</w:t>
      </w:r>
      <w:r w:rsidR="00EE1EF2" w:rsidRPr="00654DD8">
        <w:rPr>
          <w:rFonts w:asciiTheme="minorHAnsi" w:hAnsiTheme="minorHAnsi" w:cstheme="minorHAnsi"/>
        </w:rPr>
        <w:t xml:space="preserve"> under ChAFTA.</w:t>
      </w:r>
    </w:p>
    <w:p w14:paraId="615EDDA0" w14:textId="6B170BF0"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 xml:space="preserve">Specifically, between 2015 and 2019, </w:t>
      </w:r>
      <w:r w:rsidR="00D044AE" w:rsidRPr="00654DD8">
        <w:rPr>
          <w:rFonts w:asciiTheme="minorHAnsi" w:hAnsiTheme="minorHAnsi" w:cstheme="minorHAnsi"/>
        </w:rPr>
        <w:t xml:space="preserve">the </w:t>
      </w:r>
      <w:r w:rsidRPr="00654DD8">
        <w:rPr>
          <w:rFonts w:asciiTheme="minorHAnsi" w:hAnsiTheme="minorHAnsi" w:cstheme="minorHAnsi"/>
        </w:rPr>
        <w:t xml:space="preserve">tariffs on subject imports were progressively </w:t>
      </w:r>
      <w:r w:rsidR="00B83DC6" w:rsidRPr="00654DD8">
        <w:rPr>
          <w:rFonts w:asciiTheme="minorHAnsi" w:hAnsiTheme="minorHAnsi" w:cstheme="minorHAnsi"/>
        </w:rPr>
        <w:t xml:space="preserve">phased out, </w:t>
      </w:r>
      <w:r w:rsidRPr="00654DD8">
        <w:rPr>
          <w:rFonts w:asciiTheme="minorHAnsi" w:hAnsiTheme="minorHAnsi" w:cstheme="minorHAnsi"/>
        </w:rPr>
        <w:t>decreas</w:t>
      </w:r>
      <w:r w:rsidR="00B83DC6" w:rsidRPr="00654DD8">
        <w:rPr>
          <w:rFonts w:asciiTheme="minorHAnsi" w:hAnsiTheme="minorHAnsi" w:cstheme="minorHAnsi"/>
        </w:rPr>
        <w:t>ing</w:t>
      </w:r>
      <w:r w:rsidRPr="00654DD8">
        <w:rPr>
          <w:rFonts w:asciiTheme="minorHAnsi" w:hAnsiTheme="minorHAnsi" w:cstheme="minorHAnsi"/>
        </w:rPr>
        <w:t xml:space="preserve"> from 14% to </w:t>
      </w:r>
      <w:r w:rsidR="00B83DC6" w:rsidRPr="00654DD8">
        <w:rPr>
          <w:rFonts w:asciiTheme="minorHAnsi" w:hAnsiTheme="minorHAnsi" w:cstheme="minorHAnsi"/>
        </w:rPr>
        <w:t>zero</w:t>
      </w:r>
      <w:r w:rsidRPr="00654DD8">
        <w:rPr>
          <w:rFonts w:asciiTheme="minorHAnsi" w:hAnsiTheme="minorHAnsi" w:cstheme="minorHAnsi"/>
        </w:rPr>
        <w:t xml:space="preserve">. </w:t>
      </w:r>
      <w:r w:rsidR="00D044AE" w:rsidRPr="00654DD8">
        <w:rPr>
          <w:rFonts w:asciiTheme="minorHAnsi" w:hAnsiTheme="minorHAnsi" w:cstheme="minorHAnsi"/>
        </w:rPr>
        <w:t>Over the exact same period,</w:t>
      </w:r>
      <w:r w:rsidR="00D044AE" w:rsidRPr="00654DD8" w:rsidDel="00D044AE">
        <w:rPr>
          <w:rFonts w:asciiTheme="minorHAnsi" w:hAnsiTheme="minorHAnsi" w:cstheme="minorHAnsi"/>
        </w:rPr>
        <w:t xml:space="preserve"> </w:t>
      </w:r>
      <w:r w:rsidR="00D044AE" w:rsidRPr="00654DD8">
        <w:rPr>
          <w:rFonts w:asciiTheme="minorHAnsi" w:hAnsiTheme="minorHAnsi" w:cstheme="minorHAnsi"/>
        </w:rPr>
        <w:t>t</w:t>
      </w:r>
      <w:r w:rsidRPr="00654DD8">
        <w:rPr>
          <w:rFonts w:asciiTheme="minorHAnsi" w:hAnsiTheme="minorHAnsi" w:cstheme="minorHAnsi"/>
        </w:rPr>
        <w:t xml:space="preserve">he import price calculated by MOFCOM, which included an adjustment to reflect </w:t>
      </w:r>
      <w:r w:rsidR="00D044AE" w:rsidRPr="00654DD8">
        <w:rPr>
          <w:rFonts w:asciiTheme="minorHAnsi" w:hAnsiTheme="minorHAnsi" w:cstheme="minorHAnsi"/>
        </w:rPr>
        <w:t>the applicable customs</w:t>
      </w:r>
      <w:r w:rsidRPr="00654DD8">
        <w:rPr>
          <w:rFonts w:asciiTheme="minorHAnsi" w:hAnsiTheme="minorHAnsi" w:cstheme="minorHAnsi"/>
        </w:rPr>
        <w:t xml:space="preserve"> duties, declined by 15.91%. </w:t>
      </w:r>
    </w:p>
    <w:p w14:paraId="0F692848" w14:textId="56FF7725"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 xml:space="preserve">This simple fact provides a persuasive and cogent explanation </w:t>
      </w:r>
      <w:r w:rsidR="00B47E09" w:rsidRPr="00654DD8">
        <w:rPr>
          <w:rFonts w:asciiTheme="minorHAnsi" w:hAnsiTheme="minorHAnsi" w:cstheme="minorHAnsi"/>
        </w:rPr>
        <w:t>f</w:t>
      </w:r>
      <w:r w:rsidRPr="00654DD8">
        <w:rPr>
          <w:rFonts w:asciiTheme="minorHAnsi" w:hAnsiTheme="minorHAnsi" w:cstheme="minorHAnsi"/>
        </w:rPr>
        <w:t>o</w:t>
      </w:r>
      <w:r w:rsidR="00B311F8" w:rsidRPr="00654DD8">
        <w:rPr>
          <w:rFonts w:asciiTheme="minorHAnsi" w:hAnsiTheme="minorHAnsi" w:cstheme="minorHAnsi"/>
        </w:rPr>
        <w:t>r</w:t>
      </w:r>
      <w:r w:rsidRPr="00654DD8">
        <w:rPr>
          <w:rFonts w:asciiTheme="minorHAnsi" w:hAnsiTheme="minorHAnsi" w:cstheme="minorHAnsi"/>
        </w:rPr>
        <w:t xml:space="preserve"> the price decline observed by MOFCOM. </w:t>
      </w:r>
      <w:r w:rsidR="00B311F8" w:rsidRPr="00654DD8">
        <w:rPr>
          <w:rFonts w:asciiTheme="minorHAnsi" w:hAnsiTheme="minorHAnsi" w:cstheme="minorHAnsi"/>
        </w:rPr>
        <w:t xml:space="preserve">Although </w:t>
      </w:r>
      <w:r w:rsidRPr="00654DD8">
        <w:rPr>
          <w:rFonts w:asciiTheme="minorHAnsi" w:hAnsiTheme="minorHAnsi" w:cstheme="minorHAnsi"/>
        </w:rPr>
        <w:t>Australia identified th</w:t>
      </w:r>
      <w:r w:rsidR="00D044AE" w:rsidRPr="00654DD8">
        <w:rPr>
          <w:rFonts w:asciiTheme="minorHAnsi" w:hAnsiTheme="minorHAnsi" w:cstheme="minorHAnsi"/>
        </w:rPr>
        <w:t>is</w:t>
      </w:r>
      <w:r w:rsidRPr="00654DD8">
        <w:rPr>
          <w:rFonts w:asciiTheme="minorHAnsi" w:hAnsiTheme="minorHAnsi" w:cstheme="minorHAnsi"/>
        </w:rPr>
        <w:t xml:space="preserve"> progressive elimination of</w:t>
      </w:r>
      <w:r w:rsidR="00B311F8" w:rsidRPr="00654DD8">
        <w:rPr>
          <w:rFonts w:asciiTheme="minorHAnsi" w:hAnsiTheme="minorHAnsi" w:cstheme="minorHAnsi"/>
        </w:rPr>
        <w:t xml:space="preserve"> the</w:t>
      </w:r>
      <w:r w:rsidRPr="00654DD8">
        <w:rPr>
          <w:rFonts w:asciiTheme="minorHAnsi" w:hAnsiTheme="minorHAnsi" w:cstheme="minorHAnsi"/>
        </w:rPr>
        <w:t xml:space="preserve"> </w:t>
      </w:r>
      <w:r w:rsidR="00D044AE" w:rsidRPr="00654DD8">
        <w:rPr>
          <w:rFonts w:asciiTheme="minorHAnsi" w:hAnsiTheme="minorHAnsi" w:cstheme="minorHAnsi"/>
        </w:rPr>
        <w:t xml:space="preserve">import </w:t>
      </w:r>
      <w:r w:rsidRPr="00654DD8">
        <w:rPr>
          <w:rFonts w:asciiTheme="minorHAnsi" w:hAnsiTheme="minorHAnsi" w:cstheme="minorHAnsi"/>
        </w:rPr>
        <w:t>tariff during MOFCOM's investigation</w:t>
      </w:r>
      <w:r w:rsidR="00463D2B" w:rsidRPr="00654DD8">
        <w:rPr>
          <w:rFonts w:asciiTheme="minorHAnsi" w:hAnsiTheme="minorHAnsi" w:cstheme="minorHAnsi"/>
        </w:rPr>
        <w:t>,</w:t>
      </w:r>
      <w:r w:rsidRPr="00654DD8">
        <w:rPr>
          <w:rFonts w:asciiTheme="minorHAnsi" w:hAnsiTheme="minorHAnsi" w:cstheme="minorHAnsi"/>
        </w:rPr>
        <w:t xml:space="preserve"> </w:t>
      </w:r>
      <w:r w:rsidR="00CF6819" w:rsidRPr="00654DD8">
        <w:rPr>
          <w:rFonts w:asciiTheme="minorHAnsi" w:hAnsiTheme="minorHAnsi" w:cstheme="minorHAnsi"/>
        </w:rPr>
        <w:t>MOFCOM summarily dismissed this factor without assessing and distinguishing its impact</w:t>
      </w:r>
      <w:r w:rsidRPr="00654DD8">
        <w:rPr>
          <w:rFonts w:asciiTheme="minorHAnsi" w:hAnsiTheme="minorHAnsi" w:cstheme="minorHAnsi"/>
        </w:rPr>
        <w:t xml:space="preserve">. </w:t>
      </w:r>
    </w:p>
    <w:p w14:paraId="503B0DE0" w14:textId="0454F0F2"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Given the clear correlation between price declines and tariff reductions, MOFCOM</w:t>
      </w:r>
      <w:r w:rsidR="00463D2B" w:rsidRPr="00654DD8">
        <w:rPr>
          <w:rFonts w:asciiTheme="minorHAnsi" w:hAnsiTheme="minorHAnsi" w:cstheme="minorHAnsi"/>
        </w:rPr>
        <w:t>'s</w:t>
      </w:r>
      <w:r w:rsidRPr="00654DD8">
        <w:rPr>
          <w:rFonts w:asciiTheme="minorHAnsi" w:hAnsiTheme="minorHAnsi" w:cstheme="minorHAnsi"/>
        </w:rPr>
        <w:t xml:space="preserve"> casual dismissal of the impact of this factor was not the action of an</w:t>
      </w:r>
      <w:r w:rsidR="00B7677A">
        <w:rPr>
          <w:rFonts w:asciiTheme="minorHAnsi" w:hAnsiTheme="minorHAnsi" w:cstheme="minorHAnsi"/>
        </w:rPr>
        <w:t xml:space="preserve"> unbiased and</w:t>
      </w:r>
      <w:r w:rsidRPr="00654DD8">
        <w:rPr>
          <w:rFonts w:asciiTheme="minorHAnsi" w:hAnsiTheme="minorHAnsi" w:cstheme="minorHAnsi"/>
        </w:rPr>
        <w:t xml:space="preserve"> objective investigating authority.</w:t>
      </w:r>
    </w:p>
    <w:p w14:paraId="04901B4D" w14:textId="27195134" w:rsidR="00EE1EF2" w:rsidRPr="00654DD8" w:rsidRDefault="00EE1EF2" w:rsidP="00EE1EF2">
      <w:pPr>
        <w:pStyle w:val="HL3HeadingLevel3"/>
        <w:rPr>
          <w:rFonts w:asciiTheme="minorHAnsi" w:hAnsiTheme="minorHAnsi" w:cstheme="minorHAnsi"/>
        </w:rPr>
      </w:pPr>
      <w:bookmarkStart w:id="24" w:name="_Toc113344029"/>
      <w:r w:rsidRPr="00654DD8">
        <w:rPr>
          <w:rFonts w:asciiTheme="minorHAnsi" w:hAnsiTheme="minorHAnsi" w:cstheme="minorHAnsi"/>
        </w:rPr>
        <w:t>Relevan</w:t>
      </w:r>
      <w:r w:rsidR="009F0478">
        <w:rPr>
          <w:rFonts w:asciiTheme="minorHAnsi" w:hAnsiTheme="minorHAnsi" w:cstheme="minorHAnsi"/>
        </w:rPr>
        <w:t>ce</w:t>
      </w:r>
      <w:r w:rsidRPr="00654DD8">
        <w:rPr>
          <w:rFonts w:asciiTheme="minorHAnsi" w:hAnsiTheme="minorHAnsi" w:cstheme="minorHAnsi"/>
        </w:rPr>
        <w:t xml:space="preserve"> of imports from third countries</w:t>
      </w:r>
      <w:bookmarkEnd w:id="24"/>
    </w:p>
    <w:p w14:paraId="2774130B" w14:textId="77C0FA44"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In addition, MOFCOM failed to adequately examine the effect that imports from countries other than Australia</w:t>
      </w:r>
      <w:r w:rsidR="00463D2B" w:rsidRPr="00654DD8">
        <w:rPr>
          <w:rFonts w:asciiTheme="minorHAnsi" w:hAnsiTheme="minorHAnsi" w:cstheme="minorHAnsi"/>
        </w:rPr>
        <w:t xml:space="preserve"> were having</w:t>
      </w:r>
      <w:r w:rsidRPr="00654DD8">
        <w:rPr>
          <w:rFonts w:asciiTheme="minorHAnsi" w:hAnsiTheme="minorHAnsi" w:cstheme="minorHAnsi"/>
        </w:rPr>
        <w:t xml:space="preserve"> on </w:t>
      </w:r>
      <w:r w:rsidR="0087331A" w:rsidRPr="00654DD8">
        <w:rPr>
          <w:rFonts w:asciiTheme="minorHAnsi" w:hAnsiTheme="minorHAnsi" w:cstheme="minorHAnsi"/>
        </w:rPr>
        <w:t xml:space="preserve">the prices of </w:t>
      </w:r>
      <w:r w:rsidRPr="00654DD8">
        <w:rPr>
          <w:rFonts w:asciiTheme="minorHAnsi" w:hAnsiTheme="minorHAnsi" w:cstheme="minorHAnsi"/>
        </w:rPr>
        <w:t xml:space="preserve">domestic </w:t>
      </w:r>
      <w:r w:rsidR="0087331A" w:rsidRPr="00654DD8">
        <w:rPr>
          <w:rFonts w:asciiTheme="minorHAnsi" w:hAnsiTheme="minorHAnsi" w:cstheme="minorHAnsi"/>
        </w:rPr>
        <w:t>like products in the Chinese market</w:t>
      </w:r>
      <w:r w:rsidRPr="00654DD8">
        <w:rPr>
          <w:rFonts w:asciiTheme="minorHAnsi" w:hAnsiTheme="minorHAnsi" w:cstheme="minorHAnsi"/>
        </w:rPr>
        <w:t xml:space="preserve">. </w:t>
      </w:r>
    </w:p>
    <w:p w14:paraId="2B0B5E12" w14:textId="2535451E"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There was detailed evidence on the record before MOFCOM</w:t>
      </w:r>
      <w:r w:rsidR="008E1777" w:rsidRPr="00654DD8">
        <w:rPr>
          <w:rFonts w:asciiTheme="minorHAnsi" w:hAnsiTheme="minorHAnsi" w:cstheme="minorHAnsi"/>
        </w:rPr>
        <w:t xml:space="preserve"> </w:t>
      </w:r>
      <w:r w:rsidR="0087331A" w:rsidRPr="00654DD8">
        <w:rPr>
          <w:rFonts w:asciiTheme="minorHAnsi" w:hAnsiTheme="minorHAnsi" w:cstheme="minorHAnsi"/>
        </w:rPr>
        <w:t xml:space="preserve">of the </w:t>
      </w:r>
      <w:r w:rsidRPr="00654DD8">
        <w:rPr>
          <w:rFonts w:asciiTheme="minorHAnsi" w:hAnsiTheme="minorHAnsi" w:cstheme="minorHAnsi"/>
        </w:rPr>
        <w:t xml:space="preserve">volumes and average prices </w:t>
      </w:r>
      <w:r w:rsidR="0087331A" w:rsidRPr="00654DD8">
        <w:rPr>
          <w:rFonts w:asciiTheme="minorHAnsi" w:hAnsiTheme="minorHAnsi" w:cstheme="minorHAnsi"/>
        </w:rPr>
        <w:t>of</w:t>
      </w:r>
      <w:r w:rsidRPr="00654DD8">
        <w:rPr>
          <w:rFonts w:asciiTheme="minorHAnsi" w:hAnsiTheme="minorHAnsi" w:cstheme="minorHAnsi"/>
        </w:rPr>
        <w:t xml:space="preserve"> imports of like wine products</w:t>
      </w:r>
      <w:r w:rsidR="00A54CA2" w:rsidRPr="00654DD8">
        <w:rPr>
          <w:rFonts w:asciiTheme="minorHAnsi" w:hAnsiTheme="minorHAnsi" w:cstheme="minorHAnsi"/>
        </w:rPr>
        <w:t xml:space="preserve"> from third countries during the </w:t>
      </w:r>
      <w:r w:rsidR="00F21CE8" w:rsidRPr="00654DD8">
        <w:rPr>
          <w:rFonts w:asciiTheme="minorHAnsi" w:hAnsiTheme="minorHAnsi" w:cstheme="minorHAnsi"/>
        </w:rPr>
        <w:t>I</w:t>
      </w:r>
      <w:r w:rsidR="00A54CA2" w:rsidRPr="00654DD8">
        <w:rPr>
          <w:rFonts w:asciiTheme="minorHAnsi" w:hAnsiTheme="minorHAnsi" w:cstheme="minorHAnsi"/>
        </w:rPr>
        <w:t>njury POI</w:t>
      </w:r>
      <w:r w:rsidRPr="00654DD8">
        <w:rPr>
          <w:rFonts w:asciiTheme="minorHAnsi" w:hAnsiTheme="minorHAnsi" w:cstheme="minorHAnsi"/>
        </w:rPr>
        <w:t>.</w:t>
      </w:r>
      <w:r w:rsidR="008E1777" w:rsidRPr="00654DD8">
        <w:rPr>
          <w:rStyle w:val="FootnoteReference"/>
          <w:rFonts w:asciiTheme="minorHAnsi" w:hAnsiTheme="minorHAnsi" w:cstheme="minorHAnsi"/>
        </w:rPr>
        <w:footnoteReference w:id="16"/>
      </w:r>
      <w:r w:rsidR="008E1777" w:rsidRPr="00654DD8">
        <w:rPr>
          <w:rFonts w:asciiTheme="minorHAnsi" w:hAnsiTheme="minorHAnsi" w:cstheme="minorHAnsi"/>
        </w:rPr>
        <w:t xml:space="preserve"> </w:t>
      </w:r>
      <w:r w:rsidRPr="00654DD8">
        <w:rPr>
          <w:rFonts w:asciiTheme="minorHAnsi" w:hAnsiTheme="minorHAnsi" w:cstheme="minorHAnsi"/>
        </w:rPr>
        <w:t>This evidence</w:t>
      </w:r>
      <w:r w:rsidR="00A54CA2" w:rsidRPr="00654DD8">
        <w:rPr>
          <w:rFonts w:asciiTheme="minorHAnsi" w:hAnsiTheme="minorHAnsi" w:cstheme="minorHAnsi"/>
        </w:rPr>
        <w:t>, which was available on a per-country basis,</w:t>
      </w:r>
      <w:r w:rsidRPr="00654DD8">
        <w:rPr>
          <w:rFonts w:asciiTheme="minorHAnsi" w:hAnsiTheme="minorHAnsi" w:cstheme="minorHAnsi"/>
        </w:rPr>
        <w:t xml:space="preserve"> demonstrated clear price trends that should have been assessed by MOFCOM</w:t>
      </w:r>
      <w:r w:rsidR="00A54CA2" w:rsidRPr="00654DD8">
        <w:rPr>
          <w:rFonts w:asciiTheme="minorHAnsi" w:hAnsiTheme="minorHAnsi" w:cstheme="minorHAnsi"/>
        </w:rPr>
        <w:t>,</w:t>
      </w:r>
      <w:r w:rsidRPr="00654DD8">
        <w:rPr>
          <w:rFonts w:asciiTheme="minorHAnsi" w:hAnsiTheme="minorHAnsi" w:cstheme="minorHAnsi"/>
        </w:rPr>
        <w:t xml:space="preserve"> given the</w:t>
      </w:r>
      <w:r w:rsidR="00463D2B" w:rsidRPr="00654DD8">
        <w:rPr>
          <w:rFonts w:asciiTheme="minorHAnsi" w:hAnsiTheme="minorHAnsi" w:cstheme="minorHAnsi"/>
        </w:rPr>
        <w:t>ir</w:t>
      </w:r>
      <w:r w:rsidRPr="00654DD8">
        <w:rPr>
          <w:rFonts w:asciiTheme="minorHAnsi" w:hAnsiTheme="minorHAnsi" w:cstheme="minorHAnsi"/>
        </w:rPr>
        <w:t xml:space="preserve"> obvious potential </w:t>
      </w:r>
      <w:r w:rsidR="00F91D96" w:rsidRPr="00654DD8">
        <w:rPr>
          <w:rFonts w:asciiTheme="minorHAnsi" w:hAnsiTheme="minorHAnsi" w:cstheme="minorHAnsi"/>
        </w:rPr>
        <w:t>to cause</w:t>
      </w:r>
      <w:r w:rsidRPr="00654DD8">
        <w:rPr>
          <w:rFonts w:asciiTheme="minorHAnsi" w:hAnsiTheme="minorHAnsi" w:cstheme="minorHAnsi"/>
        </w:rPr>
        <w:t xml:space="preserve"> the price suppression MOFCOM attributed to Australian imports. </w:t>
      </w:r>
    </w:p>
    <w:p w14:paraId="6E24A08B" w14:textId="53F8BA28" w:rsidR="00EE1EF2" w:rsidRPr="00654DD8" w:rsidRDefault="00D433CA" w:rsidP="00EE1EF2">
      <w:pPr>
        <w:pStyle w:val="P1-N1Paragraph1-Number1"/>
        <w:rPr>
          <w:rFonts w:asciiTheme="minorHAnsi" w:hAnsiTheme="minorHAnsi" w:cstheme="minorHAnsi"/>
        </w:rPr>
      </w:pPr>
      <w:r>
        <w:rPr>
          <w:rFonts w:asciiTheme="minorHAnsi" w:hAnsiTheme="minorHAnsi" w:cstheme="minorHAnsi"/>
        </w:rPr>
        <w:t>I</w:t>
      </w:r>
      <w:r w:rsidR="00EE1EF2" w:rsidRPr="00654DD8">
        <w:rPr>
          <w:rFonts w:asciiTheme="minorHAnsi" w:hAnsiTheme="minorHAnsi" w:cstheme="minorHAnsi"/>
        </w:rPr>
        <w:t xml:space="preserve"> will highlight three pertinent examples that arise from this evidence. </w:t>
      </w:r>
    </w:p>
    <w:p w14:paraId="0E2FE3B1" w14:textId="476CFC70"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First, the data demonstrates that between 2015 and 2019, French imports occupied an average market share of 21.</w:t>
      </w:r>
      <w:r w:rsidR="00EB0F71" w:rsidRPr="00654DD8">
        <w:rPr>
          <w:rFonts w:asciiTheme="minorHAnsi" w:hAnsiTheme="minorHAnsi" w:cstheme="minorHAnsi"/>
        </w:rPr>
        <w:t>8</w:t>
      </w:r>
      <w:r w:rsidRPr="00654DD8">
        <w:rPr>
          <w:rFonts w:asciiTheme="minorHAnsi" w:hAnsiTheme="minorHAnsi" w:cstheme="minorHAnsi"/>
        </w:rPr>
        <w:t>%. In comparison, Australia, on average, occupied 11%. During this period, French wines were sold at prices that were</w:t>
      </w:r>
      <w:r w:rsidR="008E1777" w:rsidRPr="00654DD8">
        <w:rPr>
          <w:rFonts w:asciiTheme="minorHAnsi" w:hAnsiTheme="minorHAnsi" w:cstheme="minorHAnsi"/>
        </w:rPr>
        <w:t>: (i)</w:t>
      </w:r>
      <w:r w:rsidRPr="00654DD8">
        <w:rPr>
          <w:rFonts w:asciiTheme="minorHAnsi" w:hAnsiTheme="minorHAnsi" w:cstheme="minorHAnsi"/>
        </w:rPr>
        <w:t xml:space="preserve"> cheaper than Australian imports</w:t>
      </w:r>
      <w:r w:rsidR="00BC03B4">
        <w:rPr>
          <w:rFonts w:asciiTheme="minorHAnsi" w:hAnsiTheme="minorHAnsi" w:cstheme="minorHAnsi"/>
        </w:rPr>
        <w:t xml:space="preserve"> per kilolitre</w:t>
      </w:r>
      <w:r w:rsidR="008E1777" w:rsidRPr="00654DD8">
        <w:rPr>
          <w:rFonts w:asciiTheme="minorHAnsi" w:hAnsiTheme="minorHAnsi" w:cstheme="minorHAnsi"/>
        </w:rPr>
        <w:t>;</w:t>
      </w:r>
      <w:r w:rsidRPr="00654DD8">
        <w:rPr>
          <w:rFonts w:asciiTheme="minorHAnsi" w:hAnsiTheme="minorHAnsi" w:cstheme="minorHAnsi"/>
        </w:rPr>
        <w:t xml:space="preserve"> and </w:t>
      </w:r>
      <w:r w:rsidR="008E1777" w:rsidRPr="00531405">
        <w:rPr>
          <w:rFonts w:asciiTheme="minorHAnsi" w:hAnsiTheme="minorHAnsi" w:cstheme="minorHAnsi"/>
        </w:rPr>
        <w:t>(ii)</w:t>
      </w:r>
      <w:r w:rsidRPr="00654DD8">
        <w:rPr>
          <w:rFonts w:asciiTheme="minorHAnsi" w:hAnsiTheme="minorHAnsi" w:cstheme="minorHAnsi"/>
        </w:rPr>
        <w:t xml:space="preserve"> much closer to the prices of domestic like products. In fact, during the latter half of the Injury POI</w:t>
      </w:r>
      <w:r w:rsidR="00A54CA2" w:rsidRPr="00654DD8">
        <w:rPr>
          <w:rFonts w:asciiTheme="minorHAnsi" w:hAnsiTheme="minorHAnsi" w:cstheme="minorHAnsi"/>
        </w:rPr>
        <w:t>,</w:t>
      </w:r>
      <w:r w:rsidRPr="00654DD8">
        <w:rPr>
          <w:rFonts w:asciiTheme="minorHAnsi" w:hAnsiTheme="minorHAnsi" w:cstheme="minorHAnsi"/>
        </w:rPr>
        <w:t xml:space="preserve"> French imports were sold a</w:t>
      </w:r>
      <w:r w:rsidR="00A54CA2" w:rsidRPr="00654DD8">
        <w:rPr>
          <w:rFonts w:asciiTheme="minorHAnsi" w:hAnsiTheme="minorHAnsi" w:cstheme="minorHAnsi"/>
        </w:rPr>
        <w:t>t</w:t>
      </w:r>
      <w:r w:rsidRPr="00654DD8">
        <w:rPr>
          <w:rFonts w:asciiTheme="minorHAnsi" w:hAnsiTheme="minorHAnsi" w:cstheme="minorHAnsi"/>
        </w:rPr>
        <w:t xml:space="preserve"> lower prices than domestic like products.  </w:t>
      </w:r>
    </w:p>
    <w:p w14:paraId="5E3EC60E" w14:textId="4F30026A"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Second, the evidence show</w:t>
      </w:r>
      <w:r w:rsidR="00A54CA2" w:rsidRPr="00654DD8">
        <w:rPr>
          <w:rFonts w:asciiTheme="minorHAnsi" w:hAnsiTheme="minorHAnsi" w:cstheme="minorHAnsi"/>
        </w:rPr>
        <w:t>s</w:t>
      </w:r>
      <w:r w:rsidRPr="00654DD8">
        <w:rPr>
          <w:rFonts w:asciiTheme="minorHAnsi" w:hAnsiTheme="minorHAnsi" w:cstheme="minorHAnsi"/>
        </w:rPr>
        <w:t xml:space="preserve"> that, between 2015 </w:t>
      </w:r>
      <w:r w:rsidR="00A54CA2" w:rsidRPr="00654DD8">
        <w:rPr>
          <w:rFonts w:asciiTheme="minorHAnsi" w:hAnsiTheme="minorHAnsi" w:cstheme="minorHAnsi"/>
        </w:rPr>
        <w:t>and</w:t>
      </w:r>
      <w:r w:rsidRPr="00654DD8">
        <w:rPr>
          <w:rFonts w:asciiTheme="minorHAnsi" w:hAnsiTheme="minorHAnsi" w:cstheme="minorHAnsi"/>
        </w:rPr>
        <w:t xml:space="preserve"> 2017, wine imports from </w:t>
      </w:r>
      <w:r w:rsidR="00CB2515" w:rsidRPr="00654DD8">
        <w:rPr>
          <w:rFonts w:asciiTheme="minorHAnsi" w:hAnsiTheme="minorHAnsi" w:cstheme="minorHAnsi"/>
        </w:rPr>
        <w:t xml:space="preserve">France </w:t>
      </w:r>
      <w:r w:rsidRPr="00654DD8">
        <w:rPr>
          <w:rFonts w:asciiTheme="minorHAnsi" w:hAnsiTheme="minorHAnsi" w:cstheme="minorHAnsi"/>
        </w:rPr>
        <w:t>exhibited similar price and volume trends to Australian imports. That is, import volumes of wines increased year</w:t>
      </w:r>
      <w:r w:rsidR="00A54CA2" w:rsidRPr="00654DD8">
        <w:rPr>
          <w:rFonts w:asciiTheme="minorHAnsi" w:hAnsiTheme="minorHAnsi" w:cstheme="minorHAnsi"/>
        </w:rPr>
        <w:t>-</w:t>
      </w:r>
      <w:r w:rsidRPr="00654DD8">
        <w:rPr>
          <w:rFonts w:asciiTheme="minorHAnsi" w:hAnsiTheme="minorHAnsi" w:cstheme="minorHAnsi"/>
        </w:rPr>
        <w:t>to</w:t>
      </w:r>
      <w:r w:rsidR="00A54CA2" w:rsidRPr="00654DD8">
        <w:rPr>
          <w:rFonts w:asciiTheme="minorHAnsi" w:hAnsiTheme="minorHAnsi" w:cstheme="minorHAnsi"/>
        </w:rPr>
        <w:t>-</w:t>
      </w:r>
      <w:r w:rsidRPr="00654DD8">
        <w:rPr>
          <w:rFonts w:asciiTheme="minorHAnsi" w:hAnsiTheme="minorHAnsi" w:cstheme="minorHAnsi"/>
        </w:rPr>
        <w:t xml:space="preserve">year and prices declined. </w:t>
      </w:r>
      <w:r w:rsidR="00D90628" w:rsidRPr="00654DD8">
        <w:rPr>
          <w:rFonts w:asciiTheme="minorHAnsi" w:hAnsiTheme="minorHAnsi" w:cstheme="minorHAnsi"/>
          <w:lang w:val="en-CA"/>
        </w:rPr>
        <w:t xml:space="preserve">Under these circumstances, it is difficult to reconcile MOFCOM's finding that price suppression was solely attributable to Australian imports with its failure to consider the extent to which third-country imports were </w:t>
      </w:r>
      <w:r w:rsidR="00C948E9">
        <w:rPr>
          <w:rFonts w:asciiTheme="minorHAnsi" w:hAnsiTheme="minorHAnsi" w:cstheme="minorHAnsi"/>
          <w:lang w:val="en-CA"/>
        </w:rPr>
        <w:t xml:space="preserve">causing the alleged </w:t>
      </w:r>
      <w:r w:rsidR="00D90628" w:rsidRPr="00654DD8">
        <w:rPr>
          <w:rFonts w:asciiTheme="minorHAnsi" w:hAnsiTheme="minorHAnsi" w:cstheme="minorHAnsi"/>
          <w:lang w:val="en-CA"/>
        </w:rPr>
        <w:t>effect</w:t>
      </w:r>
      <w:r w:rsidR="00C948E9">
        <w:rPr>
          <w:rFonts w:asciiTheme="minorHAnsi" w:hAnsiTheme="minorHAnsi" w:cstheme="minorHAnsi"/>
          <w:lang w:val="en-CA"/>
        </w:rPr>
        <w:t>s</w:t>
      </w:r>
      <w:r w:rsidR="00A40865">
        <w:rPr>
          <w:rFonts w:asciiTheme="minorHAnsi" w:hAnsiTheme="minorHAnsi" w:cstheme="minorHAnsi"/>
          <w:lang w:val="en-CA"/>
        </w:rPr>
        <w:t xml:space="preserve"> </w:t>
      </w:r>
      <w:r w:rsidR="00A40865">
        <w:t>and to distinguish those effects</w:t>
      </w:r>
      <w:r w:rsidR="00D90628" w:rsidRPr="00654DD8">
        <w:rPr>
          <w:rFonts w:asciiTheme="minorHAnsi" w:hAnsiTheme="minorHAnsi" w:cstheme="minorHAnsi"/>
          <w:lang w:val="en-CA"/>
        </w:rPr>
        <w:t>.</w:t>
      </w:r>
      <w:r w:rsidRPr="00654DD8">
        <w:rPr>
          <w:rFonts w:asciiTheme="minorHAnsi" w:hAnsiTheme="minorHAnsi" w:cstheme="minorHAnsi"/>
        </w:rPr>
        <w:t xml:space="preserve"> </w:t>
      </w:r>
    </w:p>
    <w:p w14:paraId="2940EF3D" w14:textId="2553F09E"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 xml:space="preserve">Third, the evidence demonstrated that imports from Chile, Spain and Italy, the next three largest </w:t>
      </w:r>
      <w:r w:rsidR="00EB0F71" w:rsidRPr="00654DD8">
        <w:rPr>
          <w:rFonts w:asciiTheme="minorHAnsi" w:hAnsiTheme="minorHAnsi" w:cstheme="minorHAnsi"/>
        </w:rPr>
        <w:t>export</w:t>
      </w:r>
      <w:r w:rsidR="00DA4FDD">
        <w:rPr>
          <w:rFonts w:asciiTheme="minorHAnsi" w:hAnsiTheme="minorHAnsi" w:cstheme="minorHAnsi"/>
        </w:rPr>
        <w:t>ing countries</w:t>
      </w:r>
      <w:r w:rsidRPr="00654DD8">
        <w:rPr>
          <w:rFonts w:asciiTheme="minorHAnsi" w:hAnsiTheme="minorHAnsi" w:cstheme="minorHAnsi"/>
        </w:rPr>
        <w:t xml:space="preserve">, were sold at lower </w:t>
      </w:r>
      <w:r w:rsidR="003C0A09" w:rsidRPr="00654DD8">
        <w:rPr>
          <w:rFonts w:asciiTheme="minorHAnsi" w:hAnsiTheme="minorHAnsi" w:cstheme="minorHAnsi"/>
        </w:rPr>
        <w:t xml:space="preserve">prices </w:t>
      </w:r>
      <w:r w:rsidRPr="00654DD8">
        <w:rPr>
          <w:rFonts w:asciiTheme="minorHAnsi" w:hAnsiTheme="minorHAnsi" w:cstheme="minorHAnsi"/>
        </w:rPr>
        <w:t>(</w:t>
      </w:r>
      <w:r w:rsidR="003C0A09" w:rsidRPr="00654DD8">
        <w:rPr>
          <w:rFonts w:asciiTheme="minorHAnsi" w:hAnsiTheme="minorHAnsi" w:cstheme="minorHAnsi"/>
        </w:rPr>
        <w:t xml:space="preserve">and, </w:t>
      </w:r>
      <w:r w:rsidRPr="00654DD8">
        <w:rPr>
          <w:rFonts w:asciiTheme="minorHAnsi" w:hAnsiTheme="minorHAnsi" w:cstheme="minorHAnsi"/>
        </w:rPr>
        <w:t>in some cases</w:t>
      </w:r>
      <w:r w:rsidR="003C0A09" w:rsidRPr="00654DD8">
        <w:rPr>
          <w:rFonts w:asciiTheme="minorHAnsi" w:hAnsiTheme="minorHAnsi" w:cstheme="minorHAnsi"/>
        </w:rPr>
        <w:t>,</w:t>
      </w:r>
      <w:r w:rsidRPr="00654DD8">
        <w:rPr>
          <w:rFonts w:asciiTheme="minorHAnsi" w:hAnsiTheme="minorHAnsi" w:cstheme="minorHAnsi"/>
        </w:rPr>
        <w:t xml:space="preserve"> significantly lower prices</w:t>
      </w:r>
      <w:r w:rsidR="003C0A09" w:rsidRPr="00654DD8">
        <w:rPr>
          <w:rFonts w:asciiTheme="minorHAnsi" w:hAnsiTheme="minorHAnsi" w:cstheme="minorHAnsi"/>
        </w:rPr>
        <w:t>)</w:t>
      </w:r>
      <w:r w:rsidRPr="00654DD8">
        <w:rPr>
          <w:rFonts w:asciiTheme="minorHAnsi" w:hAnsiTheme="minorHAnsi" w:cstheme="minorHAnsi"/>
        </w:rPr>
        <w:t xml:space="preserve"> than domestic like products. For example, </w:t>
      </w:r>
      <w:r w:rsidR="0090070D">
        <w:rPr>
          <w:rFonts w:asciiTheme="minorHAnsi" w:hAnsiTheme="minorHAnsi" w:cstheme="minorHAnsi"/>
        </w:rPr>
        <w:t>Chilean</w:t>
      </w:r>
      <w:r w:rsidR="0090070D" w:rsidRPr="00654DD8">
        <w:rPr>
          <w:rFonts w:asciiTheme="minorHAnsi" w:hAnsiTheme="minorHAnsi" w:cstheme="minorHAnsi"/>
        </w:rPr>
        <w:t xml:space="preserve"> </w:t>
      </w:r>
      <w:r w:rsidRPr="00654DD8">
        <w:rPr>
          <w:rFonts w:asciiTheme="minorHAnsi" w:hAnsiTheme="minorHAnsi" w:cstheme="minorHAnsi"/>
        </w:rPr>
        <w:t>wines were on average 31% cheaper than domestic like products</w:t>
      </w:r>
      <w:r w:rsidR="003C0A09" w:rsidRPr="00654DD8">
        <w:rPr>
          <w:rFonts w:asciiTheme="minorHAnsi" w:hAnsiTheme="minorHAnsi" w:cstheme="minorHAnsi"/>
        </w:rPr>
        <w:t xml:space="preserve"> throughout the period</w:t>
      </w:r>
      <w:r w:rsidRPr="00654DD8">
        <w:rPr>
          <w:rFonts w:asciiTheme="minorHAnsi" w:hAnsiTheme="minorHAnsi" w:cstheme="minorHAnsi"/>
        </w:rPr>
        <w:t xml:space="preserve">. Similarly, </w:t>
      </w:r>
      <w:r w:rsidR="0090070D">
        <w:rPr>
          <w:rFonts w:asciiTheme="minorHAnsi" w:hAnsiTheme="minorHAnsi" w:cstheme="minorHAnsi"/>
        </w:rPr>
        <w:t>Spanish</w:t>
      </w:r>
      <w:r w:rsidR="0090070D" w:rsidRPr="00654DD8">
        <w:rPr>
          <w:rFonts w:asciiTheme="minorHAnsi" w:hAnsiTheme="minorHAnsi" w:cstheme="minorHAnsi"/>
        </w:rPr>
        <w:t xml:space="preserve"> </w:t>
      </w:r>
      <w:r w:rsidRPr="00654DD8">
        <w:rPr>
          <w:rFonts w:asciiTheme="minorHAnsi" w:hAnsiTheme="minorHAnsi" w:cstheme="minorHAnsi"/>
        </w:rPr>
        <w:t>wines were on average 58% cheaper.</w:t>
      </w:r>
    </w:p>
    <w:p w14:paraId="3B26BD12" w14:textId="7D94DEA3" w:rsidR="00EE1EF2" w:rsidRPr="00654DD8" w:rsidRDefault="00432979" w:rsidP="00EE1EF2">
      <w:pPr>
        <w:pStyle w:val="P1-N1Paragraph1-Number1"/>
        <w:rPr>
          <w:rFonts w:asciiTheme="minorHAnsi" w:hAnsiTheme="minorHAnsi" w:cstheme="minorHAnsi"/>
        </w:rPr>
      </w:pPr>
      <w:r w:rsidRPr="00654DD8">
        <w:rPr>
          <w:rFonts w:asciiTheme="minorHAnsi" w:hAnsiTheme="minorHAnsi" w:cstheme="minorHAnsi"/>
        </w:rPr>
        <w:t>Even if we were to assume</w:t>
      </w:r>
      <w:r w:rsidR="000D5328" w:rsidRPr="00654DD8">
        <w:rPr>
          <w:rFonts w:asciiTheme="minorHAnsi" w:hAnsiTheme="minorHAnsi" w:cstheme="minorHAnsi"/>
        </w:rPr>
        <w:t xml:space="preserve"> for the sake of argument</w:t>
      </w:r>
      <w:r w:rsidRPr="00654DD8">
        <w:rPr>
          <w:rFonts w:asciiTheme="minorHAnsi" w:hAnsiTheme="minorHAnsi" w:cstheme="minorHAnsi"/>
        </w:rPr>
        <w:t xml:space="preserve"> </w:t>
      </w:r>
      <w:r w:rsidR="00EE1EF2" w:rsidRPr="00654DD8">
        <w:rPr>
          <w:rFonts w:asciiTheme="minorHAnsi" w:hAnsiTheme="minorHAnsi" w:cstheme="minorHAnsi"/>
        </w:rPr>
        <w:t xml:space="preserve">that all wine products are mutually substitutable and compete </w:t>
      </w:r>
      <w:r w:rsidRPr="00654DD8">
        <w:rPr>
          <w:rFonts w:asciiTheme="minorHAnsi" w:hAnsiTheme="minorHAnsi" w:cstheme="minorHAnsi"/>
        </w:rPr>
        <w:t xml:space="preserve">directly </w:t>
      </w:r>
      <w:r w:rsidR="000D5328" w:rsidRPr="00654DD8">
        <w:rPr>
          <w:rFonts w:asciiTheme="minorHAnsi" w:hAnsiTheme="minorHAnsi" w:cstheme="minorHAnsi"/>
        </w:rPr>
        <w:t>in China</w:t>
      </w:r>
      <w:r w:rsidR="00A1091D">
        <w:rPr>
          <w:rFonts w:asciiTheme="minorHAnsi" w:hAnsiTheme="minorHAnsi" w:cstheme="minorHAnsi"/>
        </w:rPr>
        <w:t>,</w:t>
      </w:r>
      <w:r w:rsidR="00EE1EF2" w:rsidRPr="00654DD8">
        <w:rPr>
          <w:rFonts w:asciiTheme="minorHAnsi" w:hAnsiTheme="minorHAnsi" w:cstheme="minorHAnsi"/>
        </w:rPr>
        <w:t xml:space="preserve"> the evidence </w:t>
      </w:r>
      <w:r w:rsidR="000D5328" w:rsidRPr="00654DD8">
        <w:rPr>
          <w:rFonts w:asciiTheme="minorHAnsi" w:hAnsiTheme="minorHAnsi" w:cstheme="minorHAnsi"/>
        </w:rPr>
        <w:t>on the record concerning</w:t>
      </w:r>
      <w:r w:rsidR="00EE1EF2" w:rsidRPr="00654DD8">
        <w:rPr>
          <w:rFonts w:asciiTheme="minorHAnsi" w:hAnsiTheme="minorHAnsi" w:cstheme="minorHAnsi"/>
        </w:rPr>
        <w:t xml:space="preserve"> imports from third countries called into question the explanatory force of Australian imports on the price suppression that MOFCOM observed in domestic like products. </w:t>
      </w:r>
    </w:p>
    <w:p w14:paraId="58302112" w14:textId="69C8B628" w:rsidR="00EE1EF2" w:rsidRPr="00654DD8" w:rsidRDefault="00EE1EF2" w:rsidP="00EE1EF2">
      <w:pPr>
        <w:pStyle w:val="P1-N1Paragraph1-Number1"/>
        <w:rPr>
          <w:rFonts w:asciiTheme="minorHAnsi" w:hAnsiTheme="minorHAnsi" w:cstheme="minorHAnsi"/>
        </w:rPr>
      </w:pPr>
      <w:r w:rsidRPr="00654DD8">
        <w:rPr>
          <w:rFonts w:asciiTheme="minorHAnsi" w:hAnsiTheme="minorHAnsi" w:cstheme="minorHAnsi"/>
        </w:rPr>
        <w:t xml:space="preserve">An </w:t>
      </w:r>
      <w:r w:rsidR="00B7677A">
        <w:rPr>
          <w:rFonts w:asciiTheme="minorHAnsi" w:hAnsiTheme="minorHAnsi" w:cstheme="minorHAnsi"/>
        </w:rPr>
        <w:t xml:space="preserve">unbiased and </w:t>
      </w:r>
      <w:r w:rsidRPr="00654DD8">
        <w:rPr>
          <w:rFonts w:asciiTheme="minorHAnsi" w:hAnsiTheme="minorHAnsi" w:cstheme="minorHAnsi"/>
        </w:rPr>
        <w:t>objective investigating authority would have examined this data to ascertain whether</w:t>
      </w:r>
      <w:r w:rsidR="00A1091D">
        <w:rPr>
          <w:rFonts w:asciiTheme="minorHAnsi" w:hAnsiTheme="minorHAnsi" w:cstheme="minorHAnsi"/>
        </w:rPr>
        <w:t>,</w:t>
      </w:r>
      <w:r w:rsidRPr="00654DD8">
        <w:rPr>
          <w:rFonts w:asciiTheme="minorHAnsi" w:hAnsiTheme="minorHAnsi" w:cstheme="minorHAnsi"/>
        </w:rPr>
        <w:t xml:space="preserve"> and to what extent</w:t>
      </w:r>
      <w:r w:rsidR="00A1091D">
        <w:rPr>
          <w:rFonts w:asciiTheme="minorHAnsi" w:hAnsiTheme="minorHAnsi" w:cstheme="minorHAnsi"/>
        </w:rPr>
        <w:t>,</w:t>
      </w:r>
      <w:r w:rsidRPr="00654DD8">
        <w:rPr>
          <w:rFonts w:asciiTheme="minorHAnsi" w:hAnsiTheme="minorHAnsi" w:cstheme="minorHAnsi"/>
        </w:rPr>
        <w:t xml:space="preserve"> imports from other countries were having an effect on domestic prices and</w:t>
      </w:r>
      <w:r w:rsidR="00EB0F71" w:rsidRPr="00654DD8">
        <w:rPr>
          <w:rFonts w:asciiTheme="minorHAnsi" w:hAnsiTheme="minorHAnsi" w:cstheme="minorHAnsi"/>
        </w:rPr>
        <w:t xml:space="preserve"> an impact on</w:t>
      </w:r>
      <w:r w:rsidRPr="00654DD8">
        <w:rPr>
          <w:rFonts w:asciiTheme="minorHAnsi" w:hAnsiTheme="minorHAnsi" w:cstheme="minorHAnsi"/>
        </w:rPr>
        <w:t xml:space="preserve"> the domestic industry. MOFCOM failed to do so. Rather, MOFCOM chose to dismiss the effects of third</w:t>
      </w:r>
      <w:r w:rsidR="0000715E">
        <w:rPr>
          <w:rFonts w:asciiTheme="minorHAnsi" w:hAnsiTheme="minorHAnsi" w:cstheme="minorHAnsi"/>
        </w:rPr>
        <w:t>-</w:t>
      </w:r>
      <w:r w:rsidRPr="00654DD8">
        <w:rPr>
          <w:rFonts w:asciiTheme="minorHAnsi" w:hAnsiTheme="minorHAnsi" w:cstheme="minorHAnsi"/>
        </w:rPr>
        <w:t>country imports on the basis of certain isolated trends that were observed in the data when third</w:t>
      </w:r>
      <w:r w:rsidR="00A23F6E" w:rsidRPr="00654DD8">
        <w:rPr>
          <w:rFonts w:asciiTheme="minorHAnsi" w:hAnsiTheme="minorHAnsi" w:cstheme="minorHAnsi"/>
        </w:rPr>
        <w:t>-</w:t>
      </w:r>
      <w:r w:rsidRPr="00654DD8">
        <w:rPr>
          <w:rFonts w:asciiTheme="minorHAnsi" w:hAnsiTheme="minorHAnsi" w:cstheme="minorHAnsi"/>
        </w:rPr>
        <w:t xml:space="preserve">country imports were considered as a homogenous block. </w:t>
      </w:r>
    </w:p>
    <w:p w14:paraId="662951DA" w14:textId="77777777" w:rsidR="00DC5687" w:rsidRDefault="00EE1EF2" w:rsidP="00EE1EF2">
      <w:pPr>
        <w:pStyle w:val="P1-N1Paragraph1-Number1"/>
        <w:rPr>
          <w:rFonts w:asciiTheme="minorHAnsi" w:hAnsiTheme="minorHAnsi" w:cstheme="minorHAnsi"/>
        </w:rPr>
      </w:pPr>
      <w:r w:rsidRPr="00654DD8">
        <w:rPr>
          <w:rFonts w:asciiTheme="minorHAnsi" w:hAnsiTheme="minorHAnsi" w:cstheme="minorHAnsi"/>
        </w:rPr>
        <w:t>Australia submits that these errors in MOFCOM's injury examination are further compounded by MOFCOM's failure to:</w:t>
      </w:r>
    </w:p>
    <w:p w14:paraId="340B03C8" w14:textId="59F1D083" w:rsidR="00DC5687" w:rsidRDefault="00EE1EF2" w:rsidP="00DC5687">
      <w:pPr>
        <w:pStyle w:val="P2-B1Paragraph2-Bullet1"/>
      </w:pPr>
      <w:r w:rsidRPr="006D3C7E">
        <w:t xml:space="preserve">conduct any </w:t>
      </w:r>
      <w:r w:rsidR="000D5328" w:rsidRPr="006D3C7E">
        <w:t>examination</w:t>
      </w:r>
      <w:r w:rsidRPr="006D3C7E">
        <w:t xml:space="preserve"> of what domestic prices would have done but for, or in the absence of, the alleged effect of Australian imports on domestic prices; and</w:t>
      </w:r>
    </w:p>
    <w:p w14:paraId="26EBFAAB" w14:textId="33BAF6FB" w:rsidR="00EE1EF2" w:rsidRPr="006D3C7E" w:rsidRDefault="00EE1EF2" w:rsidP="00F140B4">
      <w:pPr>
        <w:pStyle w:val="P2-B1Paragraph2-Bullet1"/>
      </w:pPr>
      <w:r w:rsidRPr="006D3C7E">
        <w:t xml:space="preserve">take any steps to ensure price comparability in the </w:t>
      </w:r>
      <w:r w:rsidR="00A23F6E" w:rsidRPr="006D3C7E">
        <w:t xml:space="preserve">average unit </w:t>
      </w:r>
      <w:r w:rsidRPr="006D3C7E">
        <w:t>prices it calculated for domestic like products and Australian imports.</w:t>
      </w:r>
    </w:p>
    <w:p w14:paraId="7585ECE3" w14:textId="77777777" w:rsidR="00EE1EF2" w:rsidRPr="006D3C7E" w:rsidRDefault="00EE1EF2" w:rsidP="00EE1EF2">
      <w:pPr>
        <w:pStyle w:val="HL2HeadingLevel2"/>
        <w:rPr>
          <w:rFonts w:asciiTheme="minorHAnsi" w:hAnsiTheme="minorHAnsi" w:cstheme="minorHAnsi"/>
        </w:rPr>
      </w:pPr>
      <w:bookmarkStart w:id="25" w:name="_Toc113344030"/>
      <w:r w:rsidRPr="006D3C7E">
        <w:rPr>
          <w:rFonts w:asciiTheme="minorHAnsi" w:hAnsiTheme="minorHAnsi" w:cstheme="minorHAnsi"/>
        </w:rPr>
        <w:t>The volume element of MOFCOM's price suppression determination</w:t>
      </w:r>
      <w:bookmarkEnd w:id="25"/>
    </w:p>
    <w:p w14:paraId="2DDDC829" w14:textId="4EC8D017" w:rsidR="00EE1EF2"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 xml:space="preserve">In its first written submission, China seeks </w:t>
      </w:r>
      <w:r w:rsidR="00C10E42" w:rsidRPr="006D3C7E">
        <w:rPr>
          <w:rFonts w:asciiTheme="minorHAnsi" w:hAnsiTheme="minorHAnsi" w:cstheme="minorHAnsi"/>
        </w:rPr>
        <w:t xml:space="preserve">to </w:t>
      </w:r>
      <w:r w:rsidRPr="006D3C7E">
        <w:rPr>
          <w:rFonts w:asciiTheme="minorHAnsi" w:hAnsiTheme="minorHAnsi" w:cstheme="minorHAnsi"/>
        </w:rPr>
        <w:t xml:space="preserve">maximise the importance of end-to-end growth trends in </w:t>
      </w:r>
      <w:r w:rsidR="000D5328" w:rsidRPr="006D3C7E">
        <w:rPr>
          <w:rFonts w:asciiTheme="minorHAnsi" w:hAnsiTheme="minorHAnsi" w:cstheme="minorHAnsi"/>
        </w:rPr>
        <w:t xml:space="preserve">the </w:t>
      </w:r>
      <w:r w:rsidRPr="006D3C7E">
        <w:rPr>
          <w:rFonts w:asciiTheme="minorHAnsi" w:hAnsiTheme="minorHAnsi" w:cstheme="minorHAnsi"/>
        </w:rPr>
        <w:t xml:space="preserve">volume and market share of Australian imports. In </w:t>
      </w:r>
      <w:r w:rsidR="00FF06A7" w:rsidRPr="006D3C7E">
        <w:rPr>
          <w:rFonts w:asciiTheme="minorHAnsi" w:hAnsiTheme="minorHAnsi" w:cstheme="minorHAnsi"/>
        </w:rPr>
        <w:t>response</w:t>
      </w:r>
      <w:r w:rsidRPr="006D3C7E">
        <w:rPr>
          <w:rFonts w:asciiTheme="minorHAnsi" w:hAnsiTheme="minorHAnsi" w:cstheme="minorHAnsi"/>
        </w:rPr>
        <w:t xml:space="preserve">, </w:t>
      </w:r>
      <w:r w:rsidR="00D433CA">
        <w:rPr>
          <w:rFonts w:asciiTheme="minorHAnsi" w:hAnsiTheme="minorHAnsi" w:cstheme="minorHAnsi"/>
        </w:rPr>
        <w:t xml:space="preserve">I will recall </w:t>
      </w:r>
      <w:r w:rsidRPr="006D3C7E">
        <w:rPr>
          <w:rFonts w:asciiTheme="minorHAnsi" w:hAnsiTheme="minorHAnsi" w:cstheme="minorHAnsi"/>
        </w:rPr>
        <w:t xml:space="preserve">three overarching points in relation to volume. </w:t>
      </w:r>
    </w:p>
    <w:p w14:paraId="3054A4F0" w14:textId="1F53924D" w:rsidR="00EE1EF2"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 xml:space="preserve">First, Australian imports </w:t>
      </w:r>
      <w:r w:rsidR="009949CF" w:rsidRPr="006D3C7E">
        <w:rPr>
          <w:rFonts w:asciiTheme="minorHAnsi" w:hAnsiTheme="minorHAnsi" w:cstheme="minorHAnsi"/>
        </w:rPr>
        <w:t>played</w:t>
      </w:r>
      <w:r w:rsidRPr="006D3C7E">
        <w:rPr>
          <w:rFonts w:asciiTheme="minorHAnsi" w:hAnsiTheme="minorHAnsi" w:cstheme="minorHAnsi"/>
        </w:rPr>
        <w:t xml:space="preserve"> a relatively small </w:t>
      </w:r>
      <w:r w:rsidR="009949CF" w:rsidRPr="006D3C7E">
        <w:rPr>
          <w:rFonts w:asciiTheme="minorHAnsi" w:hAnsiTheme="minorHAnsi" w:cstheme="minorHAnsi"/>
        </w:rPr>
        <w:t xml:space="preserve">role </w:t>
      </w:r>
      <w:r w:rsidRPr="006D3C7E">
        <w:rPr>
          <w:rFonts w:asciiTheme="minorHAnsi" w:hAnsiTheme="minorHAnsi" w:cstheme="minorHAnsi"/>
        </w:rPr>
        <w:t xml:space="preserve">in the overall wine market in China throughout the entire Injury POI. </w:t>
      </w:r>
      <w:r w:rsidR="00FF06A7" w:rsidRPr="006D3C7E">
        <w:rPr>
          <w:rFonts w:asciiTheme="minorHAnsi" w:hAnsiTheme="minorHAnsi" w:cstheme="minorHAnsi"/>
        </w:rPr>
        <w:t>I</w:t>
      </w:r>
      <w:r w:rsidRPr="006D3C7E">
        <w:rPr>
          <w:rFonts w:asciiTheme="minorHAnsi" w:hAnsiTheme="minorHAnsi" w:cstheme="minorHAnsi"/>
        </w:rPr>
        <w:t>n 2019</w:t>
      </w:r>
      <w:r w:rsidR="00ED622F" w:rsidRPr="006D3C7E">
        <w:rPr>
          <w:rFonts w:asciiTheme="minorHAnsi" w:hAnsiTheme="minorHAnsi" w:cstheme="minorHAnsi"/>
        </w:rPr>
        <w:t>,</w:t>
      </w:r>
      <w:r w:rsidRPr="006D3C7E">
        <w:rPr>
          <w:rFonts w:asciiTheme="minorHAnsi" w:hAnsiTheme="minorHAnsi" w:cstheme="minorHAnsi"/>
        </w:rPr>
        <w:t xml:space="preserve"> when Australian wine imports were at their largest, Australian volumes were 120,800</w:t>
      </w:r>
      <w:r w:rsidR="00ED622F" w:rsidRPr="006D3C7E">
        <w:rPr>
          <w:rFonts w:asciiTheme="minorHAnsi" w:hAnsiTheme="minorHAnsi" w:cstheme="minorHAnsi"/>
        </w:rPr>
        <w:t xml:space="preserve"> </w:t>
      </w:r>
      <w:r w:rsidRPr="006D3C7E">
        <w:rPr>
          <w:rFonts w:asciiTheme="minorHAnsi" w:hAnsiTheme="minorHAnsi" w:cstheme="minorHAnsi"/>
        </w:rPr>
        <w:t>k</w:t>
      </w:r>
      <w:r w:rsidR="006B53BA" w:rsidRPr="006D3C7E">
        <w:rPr>
          <w:rFonts w:asciiTheme="minorHAnsi" w:hAnsiTheme="minorHAnsi" w:cstheme="minorHAnsi"/>
        </w:rPr>
        <w:t>i</w:t>
      </w:r>
      <w:r w:rsidRPr="006D3C7E">
        <w:rPr>
          <w:rFonts w:asciiTheme="minorHAnsi" w:hAnsiTheme="minorHAnsi" w:cstheme="minorHAnsi"/>
        </w:rPr>
        <w:t>l</w:t>
      </w:r>
      <w:r w:rsidR="006B53BA" w:rsidRPr="006D3C7E">
        <w:rPr>
          <w:rFonts w:asciiTheme="minorHAnsi" w:hAnsiTheme="minorHAnsi" w:cstheme="minorHAnsi"/>
        </w:rPr>
        <w:t>olitres</w:t>
      </w:r>
      <w:r w:rsidR="00073319">
        <w:rPr>
          <w:rFonts w:asciiTheme="minorHAnsi" w:hAnsiTheme="minorHAnsi" w:cstheme="minorHAnsi"/>
        </w:rPr>
        <w:t xml:space="preserve">. </w:t>
      </w:r>
      <w:r w:rsidRPr="006D3C7E">
        <w:rPr>
          <w:rFonts w:asciiTheme="minorHAnsi" w:hAnsiTheme="minorHAnsi" w:cstheme="minorHAnsi"/>
        </w:rPr>
        <w:t xml:space="preserve">By way of comparison, in the same year: </w:t>
      </w:r>
    </w:p>
    <w:p w14:paraId="3A484F13" w14:textId="0F93830F" w:rsidR="00EE1EF2" w:rsidRPr="006D3C7E" w:rsidRDefault="00EE1EF2" w:rsidP="00EE1EF2">
      <w:pPr>
        <w:pStyle w:val="P2-B1Paragraph2-Bullet1"/>
        <w:rPr>
          <w:rFonts w:asciiTheme="minorHAnsi" w:hAnsiTheme="minorHAnsi" w:cstheme="minorHAnsi"/>
        </w:rPr>
      </w:pPr>
      <w:r w:rsidRPr="006D3C7E">
        <w:rPr>
          <w:rFonts w:asciiTheme="minorHAnsi" w:hAnsiTheme="minorHAnsi" w:cstheme="minorHAnsi"/>
        </w:rPr>
        <w:t xml:space="preserve">sales volumes for the 21 </w:t>
      </w:r>
      <w:r w:rsidR="00347206">
        <w:rPr>
          <w:rFonts w:asciiTheme="minorHAnsi" w:hAnsiTheme="minorHAnsi" w:cstheme="minorHAnsi"/>
        </w:rPr>
        <w:t xml:space="preserve">Chinese </w:t>
      </w:r>
      <w:r w:rsidRPr="006D3C7E">
        <w:rPr>
          <w:rFonts w:asciiTheme="minorHAnsi" w:hAnsiTheme="minorHAnsi" w:cstheme="minorHAnsi"/>
        </w:rPr>
        <w:t>producers that MOFCOM defined as the domestic industry were 182,400</w:t>
      </w:r>
      <w:r w:rsidR="00ED622F" w:rsidRPr="006D3C7E">
        <w:rPr>
          <w:rFonts w:asciiTheme="minorHAnsi" w:hAnsiTheme="minorHAnsi" w:cstheme="minorHAnsi"/>
        </w:rPr>
        <w:t xml:space="preserve"> </w:t>
      </w:r>
      <w:r w:rsidR="00C104EB" w:rsidRPr="006D3C7E">
        <w:rPr>
          <w:rFonts w:asciiTheme="minorHAnsi" w:hAnsiTheme="minorHAnsi" w:cstheme="minorHAnsi"/>
        </w:rPr>
        <w:t>kilolitres</w:t>
      </w:r>
      <w:r w:rsidRPr="006D3C7E">
        <w:rPr>
          <w:rFonts w:asciiTheme="minorHAnsi" w:hAnsiTheme="minorHAnsi" w:cstheme="minorHAnsi"/>
        </w:rPr>
        <w:t>; and</w:t>
      </w:r>
    </w:p>
    <w:p w14:paraId="030E551D" w14:textId="2C3A4AF3" w:rsidR="00EE1EF2" w:rsidRPr="006D3C7E" w:rsidRDefault="00EE1EF2" w:rsidP="00EE1EF2">
      <w:pPr>
        <w:pStyle w:val="P2-B1Paragraph2-Bullet1"/>
        <w:rPr>
          <w:rFonts w:asciiTheme="minorHAnsi" w:hAnsiTheme="minorHAnsi" w:cstheme="minorHAnsi"/>
        </w:rPr>
      </w:pPr>
      <w:r w:rsidRPr="006D3C7E">
        <w:rPr>
          <w:rFonts w:asciiTheme="minorHAnsi" w:hAnsiTheme="minorHAnsi" w:cstheme="minorHAnsi"/>
        </w:rPr>
        <w:t>import volumes from third countries were 335,200</w:t>
      </w:r>
      <w:r w:rsidR="00ED622F" w:rsidRPr="006D3C7E">
        <w:rPr>
          <w:rFonts w:asciiTheme="minorHAnsi" w:hAnsiTheme="minorHAnsi" w:cstheme="minorHAnsi"/>
        </w:rPr>
        <w:t xml:space="preserve"> </w:t>
      </w:r>
      <w:r w:rsidR="00C104EB" w:rsidRPr="006D3C7E">
        <w:rPr>
          <w:rFonts w:asciiTheme="minorHAnsi" w:hAnsiTheme="minorHAnsi" w:cstheme="minorHAnsi"/>
        </w:rPr>
        <w:t>kilolitres</w:t>
      </w:r>
      <w:r w:rsidRPr="006D3C7E">
        <w:rPr>
          <w:rFonts w:asciiTheme="minorHAnsi" w:hAnsiTheme="minorHAnsi" w:cstheme="minorHAnsi"/>
        </w:rPr>
        <w:t xml:space="preserve">. </w:t>
      </w:r>
    </w:p>
    <w:p w14:paraId="57E3D868" w14:textId="3B48938F" w:rsidR="00EE1EF2"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 xml:space="preserve">Second, the </w:t>
      </w:r>
      <w:r w:rsidR="00ED622F" w:rsidRPr="006D3C7E">
        <w:rPr>
          <w:rFonts w:asciiTheme="minorHAnsi" w:hAnsiTheme="minorHAnsi" w:cstheme="minorHAnsi"/>
        </w:rPr>
        <w:t xml:space="preserve">increases in </w:t>
      </w:r>
      <w:r w:rsidRPr="006D3C7E">
        <w:rPr>
          <w:rFonts w:asciiTheme="minorHAnsi" w:hAnsiTheme="minorHAnsi" w:cstheme="minorHAnsi"/>
        </w:rPr>
        <w:t xml:space="preserve">volume and associated market share observed by MOFCOM </w:t>
      </w:r>
      <w:r w:rsidR="005825C1">
        <w:rPr>
          <w:rFonts w:asciiTheme="minorHAnsi" w:hAnsiTheme="minorHAnsi" w:cstheme="minorHAnsi"/>
        </w:rPr>
        <w:t>were</w:t>
      </w:r>
      <w:r w:rsidR="005825C1" w:rsidRPr="006D3C7E">
        <w:rPr>
          <w:rFonts w:asciiTheme="minorHAnsi" w:hAnsiTheme="minorHAnsi" w:cstheme="minorHAnsi"/>
        </w:rPr>
        <w:t xml:space="preserve"> </w:t>
      </w:r>
      <w:r w:rsidRPr="006D3C7E">
        <w:rPr>
          <w:rFonts w:asciiTheme="minorHAnsi" w:hAnsiTheme="minorHAnsi" w:cstheme="minorHAnsi"/>
        </w:rPr>
        <w:t xml:space="preserve">attributable to a factor entirely separate from the effects of the alleged dumping of Australian </w:t>
      </w:r>
      <w:r w:rsidR="004D0057">
        <w:rPr>
          <w:rFonts w:asciiTheme="minorHAnsi" w:hAnsiTheme="minorHAnsi" w:cstheme="minorHAnsi"/>
        </w:rPr>
        <w:t>exports</w:t>
      </w:r>
      <w:r w:rsidR="004D0057" w:rsidRPr="006D3C7E">
        <w:rPr>
          <w:rFonts w:asciiTheme="minorHAnsi" w:hAnsiTheme="minorHAnsi" w:cstheme="minorHAnsi"/>
        </w:rPr>
        <w:t xml:space="preserve"> </w:t>
      </w:r>
      <w:r w:rsidRPr="006D3C7E">
        <w:rPr>
          <w:rFonts w:asciiTheme="minorHAnsi" w:hAnsiTheme="minorHAnsi" w:cstheme="minorHAnsi"/>
        </w:rPr>
        <w:t xml:space="preserve">– that is the progressive elimination of tariffs on imports of Australian bottled wines under ChAFTA. The </w:t>
      </w:r>
      <w:r w:rsidR="00EA280A" w:rsidRPr="006D3C7E">
        <w:rPr>
          <w:rFonts w:asciiTheme="minorHAnsi" w:hAnsiTheme="minorHAnsi" w:cstheme="minorHAnsi"/>
        </w:rPr>
        <w:t xml:space="preserve">clearly </w:t>
      </w:r>
      <w:r w:rsidR="009949CF" w:rsidRPr="006D3C7E">
        <w:rPr>
          <w:rFonts w:asciiTheme="minorHAnsi" w:hAnsiTheme="minorHAnsi" w:cstheme="minorHAnsi"/>
        </w:rPr>
        <w:t>predictable</w:t>
      </w:r>
      <w:r w:rsidRPr="006D3C7E">
        <w:rPr>
          <w:rFonts w:asciiTheme="minorHAnsi" w:hAnsiTheme="minorHAnsi" w:cstheme="minorHAnsi"/>
        </w:rPr>
        <w:t xml:space="preserve"> effect of the liberalisation of trade in bottled wine from Australia is that prices would decline and volumes would increase. </w:t>
      </w:r>
    </w:p>
    <w:p w14:paraId="5AF1E154" w14:textId="78FF3FAD" w:rsidR="00EE1EF2"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 xml:space="preserve">Third, MOFCOM's apparent consumption figures show a market </w:t>
      </w:r>
      <w:r w:rsidR="00FF06A7" w:rsidRPr="006D3C7E">
        <w:rPr>
          <w:rFonts w:asciiTheme="minorHAnsi" w:hAnsiTheme="minorHAnsi" w:cstheme="minorHAnsi"/>
        </w:rPr>
        <w:t>that went through a period of change</w:t>
      </w:r>
      <w:r w:rsidRPr="006D3C7E">
        <w:rPr>
          <w:rFonts w:asciiTheme="minorHAnsi" w:hAnsiTheme="minorHAnsi" w:cstheme="minorHAnsi"/>
        </w:rPr>
        <w:t xml:space="preserve">. Between 2015 and 2017, apparent consumption volumes increased by 20%. </w:t>
      </w:r>
      <w:r w:rsidR="00FE1C40" w:rsidRPr="006D3C7E">
        <w:rPr>
          <w:rFonts w:asciiTheme="minorHAnsi" w:hAnsiTheme="minorHAnsi" w:cstheme="minorHAnsi"/>
        </w:rPr>
        <w:t>This trend was reversed between 2017 and 2019, when c</w:t>
      </w:r>
      <w:r w:rsidRPr="006D3C7E">
        <w:rPr>
          <w:rFonts w:asciiTheme="minorHAnsi" w:hAnsiTheme="minorHAnsi" w:cstheme="minorHAnsi"/>
        </w:rPr>
        <w:t xml:space="preserve">onsumption volumes declined </w:t>
      </w:r>
      <w:r w:rsidR="00FE1C40" w:rsidRPr="006D3C7E">
        <w:rPr>
          <w:rFonts w:asciiTheme="minorHAnsi" w:hAnsiTheme="minorHAnsi" w:cstheme="minorHAnsi"/>
        </w:rPr>
        <w:t xml:space="preserve">by </w:t>
      </w:r>
      <w:r w:rsidRPr="006D3C7E">
        <w:rPr>
          <w:rFonts w:asciiTheme="minorHAnsi" w:hAnsiTheme="minorHAnsi" w:cstheme="minorHAnsi"/>
        </w:rPr>
        <w:t>19%.</w:t>
      </w:r>
    </w:p>
    <w:p w14:paraId="0C5E324E" w14:textId="394640CA" w:rsidR="00EE1EF2"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 xml:space="preserve">MOFCOM's evaluation of volume was overly simplistic and did not grapple with the complexities of </w:t>
      </w:r>
      <w:r w:rsidR="00FE1C40" w:rsidRPr="006D3C7E">
        <w:rPr>
          <w:rFonts w:asciiTheme="minorHAnsi" w:hAnsiTheme="minorHAnsi" w:cstheme="minorHAnsi"/>
        </w:rPr>
        <w:t>China's</w:t>
      </w:r>
      <w:r w:rsidRPr="006D3C7E">
        <w:rPr>
          <w:rFonts w:asciiTheme="minorHAnsi" w:hAnsiTheme="minorHAnsi" w:cstheme="minorHAnsi"/>
        </w:rPr>
        <w:t xml:space="preserve"> market. Rather, MOFCOM's volume analysis simply compared yearly Australian import volumes to yearly sales volumes of domestic like products. </w:t>
      </w:r>
    </w:p>
    <w:p w14:paraId="14BC8533" w14:textId="7784A047" w:rsidR="00EE1EF2" w:rsidRPr="006D3C7E" w:rsidRDefault="00EE1EF2" w:rsidP="00726AE8">
      <w:pPr>
        <w:pStyle w:val="P1-N1Paragraph1-Number1"/>
        <w:keepNext/>
        <w:rPr>
          <w:rFonts w:asciiTheme="minorHAnsi" w:hAnsiTheme="minorHAnsi" w:cstheme="minorHAnsi"/>
        </w:rPr>
      </w:pPr>
      <w:r w:rsidRPr="006D3C7E">
        <w:rPr>
          <w:rFonts w:asciiTheme="minorHAnsi" w:hAnsiTheme="minorHAnsi" w:cstheme="minorHAnsi"/>
        </w:rPr>
        <w:t xml:space="preserve">The reality is that the wine market in China was far more complex than MOFCOM's </w:t>
      </w:r>
      <w:r w:rsidR="00FE1C40" w:rsidRPr="006D3C7E">
        <w:rPr>
          <w:rFonts w:asciiTheme="minorHAnsi" w:hAnsiTheme="minorHAnsi" w:cstheme="minorHAnsi"/>
        </w:rPr>
        <w:t>examination</w:t>
      </w:r>
      <w:r w:rsidRPr="006D3C7E">
        <w:rPr>
          <w:rFonts w:asciiTheme="minorHAnsi" w:hAnsiTheme="minorHAnsi" w:cstheme="minorHAnsi"/>
        </w:rPr>
        <w:t xml:space="preserve"> revealed. Take market volume changes occurring between 2018 and 2019 as an example:</w:t>
      </w:r>
    </w:p>
    <w:p w14:paraId="1F4EA51C" w14:textId="19CF618E" w:rsidR="00EE1EF2" w:rsidRPr="006D3C7E" w:rsidRDefault="00EE1EF2" w:rsidP="00726AE8">
      <w:pPr>
        <w:pStyle w:val="P2-B1Paragraph2-Bullet1"/>
        <w:keepNext/>
        <w:rPr>
          <w:rFonts w:asciiTheme="minorHAnsi" w:hAnsiTheme="minorHAnsi" w:cstheme="minorHAnsi"/>
        </w:rPr>
      </w:pPr>
      <w:r w:rsidRPr="006D3C7E">
        <w:rPr>
          <w:rFonts w:asciiTheme="minorHAnsi" w:hAnsiTheme="minorHAnsi" w:cstheme="minorHAnsi"/>
        </w:rPr>
        <w:t>apparent consumption experienced its most significant decline of 112,700</w:t>
      </w:r>
      <w:r w:rsidR="00C35887" w:rsidRPr="006D3C7E">
        <w:rPr>
          <w:rFonts w:asciiTheme="minorHAnsi" w:hAnsiTheme="minorHAnsi" w:cstheme="minorHAnsi"/>
        </w:rPr>
        <w:t> </w:t>
      </w:r>
      <w:r w:rsidR="00C104EB" w:rsidRPr="006D3C7E">
        <w:rPr>
          <w:rFonts w:asciiTheme="minorHAnsi" w:hAnsiTheme="minorHAnsi" w:cstheme="minorHAnsi"/>
        </w:rPr>
        <w:t>kilolitres</w:t>
      </w:r>
      <w:r w:rsidRPr="006D3C7E">
        <w:rPr>
          <w:rFonts w:asciiTheme="minorHAnsi" w:hAnsiTheme="minorHAnsi" w:cstheme="minorHAnsi"/>
        </w:rPr>
        <w:t>;</w:t>
      </w:r>
    </w:p>
    <w:p w14:paraId="2720E3C3" w14:textId="40B2F862" w:rsidR="00EE1EF2" w:rsidRPr="006D3C7E" w:rsidRDefault="00EE1EF2" w:rsidP="00EE1EF2">
      <w:pPr>
        <w:pStyle w:val="P2-B1Paragraph2-Bullet1"/>
        <w:rPr>
          <w:rFonts w:asciiTheme="minorHAnsi" w:hAnsiTheme="minorHAnsi" w:cstheme="minorHAnsi"/>
        </w:rPr>
      </w:pPr>
      <w:r w:rsidRPr="006D3C7E">
        <w:rPr>
          <w:rFonts w:asciiTheme="minorHAnsi" w:hAnsiTheme="minorHAnsi" w:cstheme="minorHAnsi"/>
        </w:rPr>
        <w:t>sales volumes for domestic like products experienced their most significant decline of 34,700</w:t>
      </w:r>
      <w:r w:rsidR="00FE1C40" w:rsidRPr="006D3C7E">
        <w:rPr>
          <w:rFonts w:asciiTheme="minorHAnsi" w:hAnsiTheme="minorHAnsi" w:cstheme="minorHAnsi"/>
        </w:rPr>
        <w:t xml:space="preserve"> </w:t>
      </w:r>
      <w:r w:rsidR="00C104EB" w:rsidRPr="006D3C7E">
        <w:rPr>
          <w:rFonts w:asciiTheme="minorHAnsi" w:hAnsiTheme="minorHAnsi" w:cstheme="minorHAnsi"/>
        </w:rPr>
        <w:t>kilolitres</w:t>
      </w:r>
      <w:r w:rsidRPr="006D3C7E">
        <w:rPr>
          <w:rFonts w:asciiTheme="minorHAnsi" w:hAnsiTheme="minorHAnsi" w:cstheme="minorHAnsi"/>
        </w:rPr>
        <w:t>; and</w:t>
      </w:r>
    </w:p>
    <w:p w14:paraId="33CE7958" w14:textId="5BDBF421" w:rsidR="00EE1EF2" w:rsidRPr="006D3C7E" w:rsidRDefault="00EE1EF2" w:rsidP="00EE1EF2">
      <w:pPr>
        <w:pStyle w:val="P2-B1Paragraph2-Bullet1"/>
        <w:rPr>
          <w:rFonts w:asciiTheme="minorHAnsi" w:hAnsiTheme="minorHAnsi" w:cstheme="minorHAnsi"/>
        </w:rPr>
      </w:pPr>
      <w:r w:rsidRPr="006D3C7E">
        <w:rPr>
          <w:rFonts w:asciiTheme="minorHAnsi" w:hAnsiTheme="minorHAnsi" w:cstheme="minorHAnsi"/>
        </w:rPr>
        <w:t>conversely</w:t>
      </w:r>
      <w:r w:rsidR="003A4167" w:rsidRPr="006D3C7E">
        <w:rPr>
          <w:rFonts w:asciiTheme="minorHAnsi" w:hAnsiTheme="minorHAnsi" w:cstheme="minorHAnsi"/>
        </w:rPr>
        <w:t>,</w:t>
      </w:r>
      <w:r w:rsidRPr="006D3C7E">
        <w:rPr>
          <w:rFonts w:asciiTheme="minorHAnsi" w:hAnsiTheme="minorHAnsi" w:cstheme="minorHAnsi"/>
        </w:rPr>
        <w:t xml:space="preserve"> Australian import volumes increased by just 3,000</w:t>
      </w:r>
      <w:r w:rsidR="00FE1C40" w:rsidRPr="006D3C7E">
        <w:rPr>
          <w:rFonts w:asciiTheme="minorHAnsi" w:hAnsiTheme="minorHAnsi" w:cstheme="minorHAnsi"/>
        </w:rPr>
        <w:t xml:space="preserve"> </w:t>
      </w:r>
      <w:r w:rsidR="00C104EB" w:rsidRPr="006D3C7E">
        <w:rPr>
          <w:rFonts w:asciiTheme="minorHAnsi" w:hAnsiTheme="minorHAnsi" w:cstheme="minorHAnsi"/>
        </w:rPr>
        <w:t>kilolitres</w:t>
      </w:r>
      <w:r w:rsidRPr="006D3C7E">
        <w:rPr>
          <w:rFonts w:asciiTheme="minorHAnsi" w:hAnsiTheme="minorHAnsi" w:cstheme="minorHAnsi"/>
        </w:rPr>
        <w:t xml:space="preserve">. </w:t>
      </w:r>
    </w:p>
    <w:p w14:paraId="13120614" w14:textId="58440B30" w:rsidR="00EE1EF2"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Assuming, as MOFCOM does, that Australian volumes were responsible for the declines in domestic sales volumes</w:t>
      </w:r>
      <w:r w:rsidR="003A4167" w:rsidRPr="006D3C7E">
        <w:rPr>
          <w:rFonts w:asciiTheme="minorHAnsi" w:hAnsiTheme="minorHAnsi" w:cstheme="minorHAnsi"/>
        </w:rPr>
        <w:t>,</w:t>
      </w:r>
      <w:r w:rsidRPr="006D3C7E">
        <w:rPr>
          <w:rFonts w:asciiTheme="minorHAnsi" w:hAnsiTheme="minorHAnsi" w:cstheme="minorHAnsi"/>
        </w:rPr>
        <w:t xml:space="preserve"> MOFCOM's analysis does not include any consideration of what </w:t>
      </w:r>
      <w:r w:rsidR="00FF06A7" w:rsidRPr="006D3C7E">
        <w:rPr>
          <w:rFonts w:asciiTheme="minorHAnsi" w:hAnsiTheme="minorHAnsi" w:cstheme="minorHAnsi"/>
        </w:rPr>
        <w:t xml:space="preserve">caused </w:t>
      </w:r>
      <w:r w:rsidR="00FE1C40" w:rsidRPr="006D3C7E">
        <w:rPr>
          <w:rFonts w:asciiTheme="minorHAnsi" w:hAnsiTheme="minorHAnsi" w:cstheme="minorHAnsi"/>
        </w:rPr>
        <w:t xml:space="preserve">the </w:t>
      </w:r>
      <w:r w:rsidRPr="006D3C7E">
        <w:rPr>
          <w:rFonts w:asciiTheme="minorHAnsi" w:hAnsiTheme="minorHAnsi" w:cstheme="minorHAnsi"/>
        </w:rPr>
        <w:t>additional 31,700</w:t>
      </w:r>
      <w:r w:rsidR="00C104EB" w:rsidRPr="006D3C7E">
        <w:rPr>
          <w:rFonts w:asciiTheme="minorHAnsi" w:hAnsiTheme="minorHAnsi" w:cstheme="minorHAnsi"/>
        </w:rPr>
        <w:t xml:space="preserve"> kilolitre</w:t>
      </w:r>
      <w:r w:rsidRPr="006D3C7E">
        <w:rPr>
          <w:rFonts w:asciiTheme="minorHAnsi" w:hAnsiTheme="minorHAnsi" w:cstheme="minorHAnsi"/>
        </w:rPr>
        <w:t xml:space="preserve"> decline in sales volumes experienced by domestic like products in 2019.</w:t>
      </w:r>
    </w:p>
    <w:p w14:paraId="1BDC397D" w14:textId="77777777" w:rsidR="00EE1EF2" w:rsidRPr="006D3C7E" w:rsidRDefault="00EE1EF2" w:rsidP="00EE1EF2">
      <w:pPr>
        <w:pStyle w:val="HL1HeadingLevel1"/>
        <w:rPr>
          <w:rFonts w:asciiTheme="minorHAnsi" w:hAnsiTheme="minorHAnsi" w:cstheme="minorHAnsi"/>
        </w:rPr>
      </w:pPr>
      <w:bookmarkStart w:id="26" w:name="_Toc113344031"/>
      <w:r w:rsidRPr="006D3C7E">
        <w:rPr>
          <w:rFonts w:asciiTheme="minorHAnsi" w:hAnsiTheme="minorHAnsi" w:cstheme="minorHAnsi"/>
        </w:rPr>
        <w:t>Procedural claims</w:t>
      </w:r>
      <w:bookmarkEnd w:id="26"/>
    </w:p>
    <w:p w14:paraId="6A963890" w14:textId="1B9A6A3B" w:rsidR="00EE1EF2"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 xml:space="preserve">Australia has set out in detail in its first written submission </w:t>
      </w:r>
      <w:r w:rsidR="00FF06A7" w:rsidRPr="006D3C7E">
        <w:rPr>
          <w:rFonts w:asciiTheme="minorHAnsi" w:hAnsiTheme="minorHAnsi" w:cstheme="minorHAnsi"/>
        </w:rPr>
        <w:t xml:space="preserve">multiple </w:t>
      </w:r>
      <w:r w:rsidRPr="006D3C7E">
        <w:rPr>
          <w:rFonts w:asciiTheme="minorHAnsi" w:hAnsiTheme="minorHAnsi" w:cstheme="minorHAnsi"/>
        </w:rPr>
        <w:t xml:space="preserve">procedural </w:t>
      </w:r>
      <w:r w:rsidR="00FF06A7" w:rsidRPr="006D3C7E">
        <w:rPr>
          <w:rFonts w:asciiTheme="minorHAnsi" w:hAnsiTheme="minorHAnsi" w:cstheme="minorHAnsi"/>
        </w:rPr>
        <w:t xml:space="preserve">deficiencies in </w:t>
      </w:r>
      <w:r w:rsidRPr="006D3C7E">
        <w:rPr>
          <w:rFonts w:asciiTheme="minorHAnsi" w:hAnsiTheme="minorHAnsi" w:cstheme="minorHAnsi"/>
        </w:rPr>
        <w:t>MOFCOM</w:t>
      </w:r>
      <w:r w:rsidR="00203EEC" w:rsidRPr="006D3C7E">
        <w:rPr>
          <w:rFonts w:asciiTheme="minorHAnsi" w:hAnsiTheme="minorHAnsi" w:cstheme="minorHAnsi"/>
        </w:rPr>
        <w:t>'</w:t>
      </w:r>
      <w:r w:rsidR="00FF06A7" w:rsidRPr="006D3C7E">
        <w:rPr>
          <w:rFonts w:asciiTheme="minorHAnsi" w:hAnsiTheme="minorHAnsi" w:cstheme="minorHAnsi"/>
        </w:rPr>
        <w:t>s</w:t>
      </w:r>
      <w:r w:rsidRPr="006D3C7E">
        <w:rPr>
          <w:rFonts w:asciiTheme="minorHAnsi" w:hAnsiTheme="minorHAnsi" w:cstheme="minorHAnsi"/>
        </w:rPr>
        <w:t xml:space="preserve"> investigative process. </w:t>
      </w:r>
      <w:r w:rsidR="00FF06A7" w:rsidRPr="006D3C7E">
        <w:rPr>
          <w:rFonts w:asciiTheme="minorHAnsi" w:hAnsiTheme="minorHAnsi" w:cstheme="minorHAnsi"/>
        </w:rPr>
        <w:t>T</w:t>
      </w:r>
      <w:r w:rsidRPr="006D3C7E">
        <w:rPr>
          <w:rFonts w:asciiTheme="minorHAnsi" w:hAnsiTheme="minorHAnsi" w:cstheme="minorHAnsi"/>
        </w:rPr>
        <w:t>oday,</w:t>
      </w:r>
      <w:r w:rsidR="002C6472" w:rsidRPr="006D3C7E">
        <w:rPr>
          <w:rFonts w:asciiTheme="minorHAnsi" w:hAnsiTheme="minorHAnsi" w:cstheme="minorHAnsi"/>
        </w:rPr>
        <w:t xml:space="preserve"> </w:t>
      </w:r>
      <w:r w:rsidRPr="006D3C7E">
        <w:rPr>
          <w:rFonts w:asciiTheme="minorHAnsi" w:hAnsiTheme="minorHAnsi" w:cstheme="minorHAnsi"/>
        </w:rPr>
        <w:t xml:space="preserve">I will focus on five </w:t>
      </w:r>
      <w:r w:rsidR="00FF06A7" w:rsidRPr="006D3C7E">
        <w:rPr>
          <w:rFonts w:asciiTheme="minorHAnsi" w:hAnsiTheme="minorHAnsi" w:cstheme="minorHAnsi"/>
        </w:rPr>
        <w:t>issue</w:t>
      </w:r>
      <w:r w:rsidR="002D71B6" w:rsidRPr="006D3C7E">
        <w:rPr>
          <w:rFonts w:asciiTheme="minorHAnsi" w:hAnsiTheme="minorHAnsi" w:cstheme="minorHAnsi"/>
        </w:rPr>
        <w:t>s</w:t>
      </w:r>
      <w:r w:rsidRPr="006D3C7E">
        <w:rPr>
          <w:rFonts w:asciiTheme="minorHAnsi" w:hAnsiTheme="minorHAnsi" w:cstheme="minorHAnsi"/>
        </w:rPr>
        <w:t>.</w:t>
      </w:r>
    </w:p>
    <w:p w14:paraId="2004E972" w14:textId="77777777" w:rsidR="00EE1EF2" w:rsidRPr="006D3C7E" w:rsidRDefault="00EE1EF2" w:rsidP="00EE1EF2">
      <w:pPr>
        <w:pStyle w:val="HL2HeadingLevel2"/>
        <w:rPr>
          <w:rFonts w:asciiTheme="minorHAnsi" w:hAnsiTheme="minorHAnsi" w:cstheme="minorHAnsi"/>
        </w:rPr>
      </w:pPr>
      <w:bookmarkStart w:id="27" w:name="_Toc113344032"/>
      <w:r w:rsidRPr="006D3C7E">
        <w:rPr>
          <w:rFonts w:asciiTheme="minorHAnsi" w:hAnsiTheme="minorHAnsi" w:cstheme="minorHAnsi"/>
        </w:rPr>
        <w:t>MOFCOM's selection of sampled companies</w:t>
      </w:r>
      <w:bookmarkEnd w:id="27"/>
    </w:p>
    <w:p w14:paraId="777C7AED" w14:textId="7A063766" w:rsidR="00EE1EF2"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 xml:space="preserve">MOFCOM chose to conduct its investigation through sampling, selecting three companies </w:t>
      </w:r>
      <w:r w:rsidR="002D71B6" w:rsidRPr="006D3C7E">
        <w:rPr>
          <w:rFonts w:asciiTheme="minorHAnsi" w:hAnsiTheme="minorHAnsi" w:cstheme="minorHAnsi"/>
        </w:rPr>
        <w:t>that it purportedly identified as the top three exporters by volume</w:t>
      </w:r>
      <w:r w:rsidRPr="006D3C7E">
        <w:rPr>
          <w:rFonts w:asciiTheme="minorHAnsi" w:hAnsiTheme="minorHAnsi" w:cstheme="minorHAnsi"/>
        </w:rPr>
        <w:t>.</w:t>
      </w:r>
    </w:p>
    <w:p w14:paraId="68A021DD" w14:textId="21EF0F41" w:rsidR="00EE1EF2" w:rsidRPr="006D3C7E" w:rsidRDefault="00D60468" w:rsidP="00C35887">
      <w:pPr>
        <w:pStyle w:val="P1-N1Paragraph1-Number1"/>
        <w:rPr>
          <w:rFonts w:asciiTheme="minorHAnsi" w:hAnsiTheme="minorHAnsi" w:cstheme="minorHAnsi"/>
        </w:rPr>
      </w:pPr>
      <w:r w:rsidRPr="006D3C7E">
        <w:rPr>
          <w:rFonts w:asciiTheme="minorHAnsi" w:hAnsiTheme="minorHAnsi" w:cstheme="minorHAnsi"/>
        </w:rPr>
        <w:t>A</w:t>
      </w:r>
      <w:r w:rsidR="00EE1EF2" w:rsidRPr="006D3C7E">
        <w:rPr>
          <w:rFonts w:asciiTheme="minorHAnsi" w:hAnsiTheme="minorHAnsi" w:cstheme="minorHAnsi"/>
        </w:rPr>
        <w:t xml:space="preserve">fter the sample was announced, Pernod Ricard – a non-sampled exporter – advised MOFCOM that </w:t>
      </w:r>
      <w:r w:rsidR="002C6472" w:rsidRPr="006D3C7E">
        <w:rPr>
          <w:rFonts w:asciiTheme="minorHAnsi" w:hAnsiTheme="minorHAnsi" w:cstheme="minorHAnsi"/>
        </w:rPr>
        <w:t>it considered that</w:t>
      </w:r>
      <w:r w:rsidR="00351DC7" w:rsidRPr="006D3C7E">
        <w:rPr>
          <w:rFonts w:asciiTheme="minorHAnsi" w:hAnsiTheme="minorHAnsi" w:cstheme="minorHAnsi"/>
        </w:rPr>
        <w:t>,</w:t>
      </w:r>
      <w:r w:rsidR="002C6472" w:rsidRPr="006D3C7E">
        <w:rPr>
          <w:rFonts w:asciiTheme="minorHAnsi" w:hAnsiTheme="minorHAnsi" w:cstheme="minorHAnsi"/>
        </w:rPr>
        <w:t xml:space="preserve"> since </w:t>
      </w:r>
      <w:r w:rsidR="00EE1EF2" w:rsidRPr="006D3C7E">
        <w:rPr>
          <w:rFonts w:asciiTheme="minorHAnsi" w:hAnsiTheme="minorHAnsi" w:cstheme="minorHAnsi"/>
        </w:rPr>
        <w:t>it was among the three largest exporters by volume, it should have been included in the sample. MOFCOM took no steps to examine Pernod</w:t>
      </w:r>
      <w:r w:rsidR="000F5A70">
        <w:rPr>
          <w:rFonts w:asciiTheme="minorHAnsi" w:hAnsiTheme="minorHAnsi" w:cstheme="minorHAnsi"/>
        </w:rPr>
        <w:t> </w:t>
      </w:r>
      <w:r w:rsidR="00EE1EF2" w:rsidRPr="006D3C7E">
        <w:rPr>
          <w:rFonts w:asciiTheme="minorHAnsi" w:hAnsiTheme="minorHAnsi" w:cstheme="minorHAnsi"/>
        </w:rPr>
        <w:t xml:space="preserve">Ricard's claim. MOFCOM instead relied on unverified assertions as to the level of exports from the other exporters. An </w:t>
      </w:r>
      <w:r w:rsidR="00B7677A">
        <w:rPr>
          <w:rFonts w:asciiTheme="minorHAnsi" w:hAnsiTheme="minorHAnsi" w:cstheme="minorHAnsi"/>
        </w:rPr>
        <w:t xml:space="preserve">unbiased and </w:t>
      </w:r>
      <w:r w:rsidR="00EE1EF2" w:rsidRPr="006D3C7E">
        <w:rPr>
          <w:rFonts w:asciiTheme="minorHAnsi" w:hAnsiTheme="minorHAnsi" w:cstheme="minorHAnsi"/>
        </w:rPr>
        <w:t xml:space="preserve">objective unbiased investigating authority would have made further enquiries in the face of </w:t>
      </w:r>
      <w:r w:rsidR="00543F0B" w:rsidRPr="006D3C7E">
        <w:rPr>
          <w:rFonts w:asciiTheme="minorHAnsi" w:hAnsiTheme="minorHAnsi" w:cstheme="minorHAnsi"/>
        </w:rPr>
        <w:t>the information submitted by Pernod Ricard</w:t>
      </w:r>
      <w:r w:rsidR="00543F0B" w:rsidRPr="006D3C7E" w:rsidDel="00543F0B">
        <w:rPr>
          <w:rFonts w:asciiTheme="minorHAnsi" w:hAnsiTheme="minorHAnsi" w:cstheme="minorHAnsi"/>
        </w:rPr>
        <w:t xml:space="preserve"> </w:t>
      </w:r>
      <w:r w:rsidR="00EE1EF2" w:rsidRPr="006D3C7E">
        <w:rPr>
          <w:rFonts w:asciiTheme="minorHAnsi" w:hAnsiTheme="minorHAnsi" w:cstheme="minorHAnsi"/>
        </w:rPr>
        <w:t xml:space="preserve">and </w:t>
      </w:r>
      <w:r w:rsidR="002C6472" w:rsidRPr="006D3C7E">
        <w:rPr>
          <w:rFonts w:asciiTheme="minorHAnsi" w:hAnsiTheme="minorHAnsi" w:cstheme="minorHAnsi"/>
        </w:rPr>
        <w:t xml:space="preserve">rectified </w:t>
      </w:r>
      <w:r w:rsidR="00EE1EF2" w:rsidRPr="006D3C7E">
        <w:rPr>
          <w:rFonts w:asciiTheme="minorHAnsi" w:hAnsiTheme="minorHAnsi" w:cstheme="minorHAnsi"/>
        </w:rPr>
        <w:t>any errors at</w:t>
      </w:r>
      <w:r w:rsidR="002C6472" w:rsidRPr="006D3C7E">
        <w:rPr>
          <w:rFonts w:asciiTheme="minorHAnsi" w:hAnsiTheme="minorHAnsi" w:cstheme="minorHAnsi"/>
        </w:rPr>
        <w:t xml:space="preserve"> this</w:t>
      </w:r>
      <w:r w:rsidR="00EE1EF2" w:rsidRPr="006D3C7E">
        <w:rPr>
          <w:rFonts w:asciiTheme="minorHAnsi" w:hAnsiTheme="minorHAnsi" w:cstheme="minorHAnsi"/>
        </w:rPr>
        <w:t xml:space="preserve"> foundational stage of the investigative process.</w:t>
      </w:r>
      <w:r w:rsidR="006D7B01" w:rsidRPr="006D3C7E">
        <w:rPr>
          <w:rStyle w:val="FootnoteReference"/>
          <w:rFonts w:asciiTheme="minorHAnsi" w:hAnsiTheme="minorHAnsi" w:cstheme="minorHAnsi"/>
        </w:rPr>
        <w:footnoteReference w:id="17"/>
      </w:r>
    </w:p>
    <w:p w14:paraId="62400468" w14:textId="3F0E05CE" w:rsidR="00EE1EF2" w:rsidRPr="006D3C7E" w:rsidRDefault="00EE1EF2" w:rsidP="00EE1EF2">
      <w:pPr>
        <w:pStyle w:val="HL2HeadingLevel2"/>
        <w:rPr>
          <w:rFonts w:asciiTheme="minorHAnsi" w:hAnsiTheme="minorHAnsi" w:cstheme="minorHAnsi"/>
        </w:rPr>
      </w:pPr>
      <w:bookmarkStart w:id="28" w:name="_Toc113344033"/>
      <w:r w:rsidRPr="006D3C7E">
        <w:rPr>
          <w:rFonts w:asciiTheme="minorHAnsi" w:hAnsiTheme="minorHAnsi" w:cstheme="minorHAnsi"/>
        </w:rPr>
        <w:t>MOFCOM's unjustified rigid application of deadlines</w:t>
      </w:r>
      <w:bookmarkEnd w:id="28"/>
    </w:p>
    <w:p w14:paraId="4CF603EA" w14:textId="50C79036" w:rsidR="00EE1EF2" w:rsidRPr="006D3C7E" w:rsidRDefault="00543F0B" w:rsidP="00EE1EF2">
      <w:pPr>
        <w:pStyle w:val="P1-N1Paragraph1-Number1"/>
        <w:rPr>
          <w:rFonts w:asciiTheme="minorHAnsi" w:hAnsiTheme="minorHAnsi" w:cstheme="minorHAnsi"/>
        </w:rPr>
      </w:pPr>
      <w:r w:rsidRPr="006D3C7E">
        <w:rPr>
          <w:rFonts w:asciiTheme="minorHAnsi" w:hAnsiTheme="minorHAnsi" w:cstheme="minorHAnsi"/>
        </w:rPr>
        <w:t xml:space="preserve">During the investigation, </w:t>
      </w:r>
      <w:r w:rsidR="00EE1EF2" w:rsidRPr="006D3C7E">
        <w:rPr>
          <w:rFonts w:asciiTheme="minorHAnsi" w:hAnsiTheme="minorHAnsi" w:cstheme="minorHAnsi"/>
        </w:rPr>
        <w:t>MOFCOM failed to provide interested parties with</w:t>
      </w:r>
      <w:r w:rsidR="001A675D" w:rsidRPr="006D3C7E">
        <w:rPr>
          <w:rFonts w:asciiTheme="minorHAnsi" w:hAnsiTheme="minorHAnsi" w:cstheme="minorHAnsi"/>
        </w:rPr>
        <w:t xml:space="preserve"> </w:t>
      </w:r>
      <w:r w:rsidR="00EE1EF2" w:rsidRPr="006D3C7E">
        <w:rPr>
          <w:rFonts w:asciiTheme="minorHAnsi" w:hAnsiTheme="minorHAnsi" w:cstheme="minorHAnsi"/>
        </w:rPr>
        <w:t>ample opportunities to provide evidence they considered relevant and deprived them of the opportunity for a full defence of their interests</w:t>
      </w:r>
      <w:r w:rsidR="004D0690" w:rsidRPr="006D3C7E">
        <w:rPr>
          <w:rFonts w:asciiTheme="minorHAnsi" w:hAnsiTheme="minorHAnsi" w:cstheme="minorHAnsi"/>
        </w:rPr>
        <w:t xml:space="preserve">. </w:t>
      </w:r>
      <w:r w:rsidR="00EE1EF2" w:rsidRPr="006D3C7E">
        <w:rPr>
          <w:rFonts w:asciiTheme="minorHAnsi" w:hAnsiTheme="minorHAnsi" w:cstheme="minorHAnsi"/>
        </w:rPr>
        <w:t>In particular, MOFCOM refused to grant extensions of time for questionnaire responses, even though the requesting parties – Treasury and Casella</w:t>
      </w:r>
      <w:r w:rsidR="00C9532F">
        <w:rPr>
          <w:rFonts w:asciiTheme="minorHAnsi" w:hAnsiTheme="minorHAnsi" w:cstheme="minorHAnsi"/>
        </w:rPr>
        <w:t xml:space="preserve"> </w:t>
      </w:r>
      <w:r w:rsidR="00EE1EF2" w:rsidRPr="006D3C7E">
        <w:rPr>
          <w:rFonts w:asciiTheme="minorHAnsi" w:hAnsiTheme="minorHAnsi" w:cstheme="minorHAnsi"/>
        </w:rPr>
        <w:t xml:space="preserve">– showed good cause. </w:t>
      </w:r>
    </w:p>
    <w:p w14:paraId="150104B2" w14:textId="1CF9DBF9" w:rsidR="00EE1EF2" w:rsidRPr="006D3C7E" w:rsidRDefault="002C6472" w:rsidP="00EE1EF2">
      <w:pPr>
        <w:pStyle w:val="P1-N1Paragraph1-Number1"/>
        <w:rPr>
          <w:rFonts w:asciiTheme="minorHAnsi" w:hAnsiTheme="minorHAnsi" w:cstheme="minorHAnsi"/>
        </w:rPr>
      </w:pPr>
      <w:r w:rsidRPr="006D3C7E">
        <w:rPr>
          <w:rFonts w:asciiTheme="minorHAnsi" w:hAnsiTheme="minorHAnsi" w:cstheme="minorHAnsi"/>
        </w:rPr>
        <w:t>Before the deadline for the questionnaire response</w:t>
      </w:r>
      <w:r w:rsidR="00543F0B" w:rsidRPr="006D3C7E">
        <w:rPr>
          <w:rFonts w:asciiTheme="minorHAnsi" w:hAnsiTheme="minorHAnsi" w:cstheme="minorHAnsi"/>
        </w:rPr>
        <w:t>,</w:t>
      </w:r>
      <w:r w:rsidRPr="006D3C7E">
        <w:rPr>
          <w:rFonts w:asciiTheme="minorHAnsi" w:hAnsiTheme="minorHAnsi" w:cstheme="minorHAnsi"/>
        </w:rPr>
        <w:t xml:space="preserve"> </w:t>
      </w:r>
      <w:r w:rsidR="00EE1EF2" w:rsidRPr="006D3C7E">
        <w:rPr>
          <w:rFonts w:asciiTheme="minorHAnsi" w:hAnsiTheme="minorHAnsi" w:cstheme="minorHAnsi"/>
        </w:rPr>
        <w:t xml:space="preserve">Treasury submitted a request for a 10-day extension. </w:t>
      </w:r>
      <w:r w:rsidR="00543F0B" w:rsidRPr="006D3C7E">
        <w:rPr>
          <w:rFonts w:asciiTheme="minorHAnsi" w:hAnsiTheme="minorHAnsi" w:cstheme="minorHAnsi"/>
        </w:rPr>
        <w:t>It</w:t>
      </w:r>
      <w:r w:rsidR="00EE1EF2" w:rsidRPr="006D3C7E">
        <w:rPr>
          <w:rFonts w:asciiTheme="minorHAnsi" w:hAnsiTheme="minorHAnsi" w:cstheme="minorHAnsi"/>
        </w:rPr>
        <w:t xml:space="preserve"> showed good cause for the extension request, outlining the substantial challenges </w:t>
      </w:r>
      <w:r w:rsidR="00543F0B" w:rsidRPr="006D3C7E">
        <w:rPr>
          <w:rFonts w:asciiTheme="minorHAnsi" w:hAnsiTheme="minorHAnsi" w:cstheme="minorHAnsi"/>
        </w:rPr>
        <w:t xml:space="preserve">caused by </w:t>
      </w:r>
      <w:r w:rsidR="00EE1EF2" w:rsidRPr="006D3C7E">
        <w:rPr>
          <w:rFonts w:asciiTheme="minorHAnsi" w:hAnsiTheme="minorHAnsi" w:cstheme="minorHAnsi"/>
        </w:rPr>
        <w:t>public health measures related to the COVID</w:t>
      </w:r>
      <w:r w:rsidR="00904E51" w:rsidRPr="006D3C7E">
        <w:rPr>
          <w:rFonts w:asciiTheme="minorHAnsi" w:hAnsiTheme="minorHAnsi" w:cstheme="minorHAnsi"/>
        </w:rPr>
        <w:noBreakHyphen/>
      </w:r>
      <w:r w:rsidR="00EE1EF2" w:rsidRPr="006D3C7E">
        <w:rPr>
          <w:rFonts w:asciiTheme="minorHAnsi" w:hAnsiTheme="minorHAnsi" w:cstheme="minorHAnsi"/>
        </w:rPr>
        <w:t xml:space="preserve">19 pandemic, including lockdowns and work-from-home policies. </w:t>
      </w:r>
      <w:r w:rsidRPr="006D3C7E">
        <w:rPr>
          <w:rFonts w:asciiTheme="minorHAnsi" w:hAnsiTheme="minorHAnsi" w:cstheme="minorHAnsi"/>
        </w:rPr>
        <w:t>W</w:t>
      </w:r>
      <w:r w:rsidR="00EE1EF2" w:rsidRPr="006D3C7E">
        <w:rPr>
          <w:rFonts w:asciiTheme="minorHAnsi" w:hAnsiTheme="minorHAnsi" w:cstheme="minorHAnsi"/>
        </w:rPr>
        <w:t xml:space="preserve">hen this request was flatly rejected by MOFCOM, Treasury endeavoured to submit a complete response by the original deadline. </w:t>
      </w:r>
    </w:p>
    <w:p w14:paraId="33205305" w14:textId="41EE1151" w:rsidR="006D0DD9" w:rsidRPr="006D3C7E" w:rsidRDefault="006D0DD9" w:rsidP="006D0DD9">
      <w:pPr>
        <w:pStyle w:val="P1-N1Paragraph1-Number1"/>
        <w:rPr>
          <w:rFonts w:asciiTheme="minorHAnsi" w:hAnsiTheme="minorHAnsi" w:cstheme="minorHAnsi"/>
        </w:rPr>
      </w:pPr>
      <w:r w:rsidRPr="006D3C7E">
        <w:rPr>
          <w:rFonts w:asciiTheme="minorHAnsi" w:hAnsiTheme="minorHAnsi" w:cstheme="minorHAnsi"/>
        </w:rPr>
        <w:t xml:space="preserve">Treasury was first made aware that MOFCOM was not satisfied with the cost and expense data it had provided in its </w:t>
      </w:r>
      <w:r w:rsidR="00543F0B" w:rsidRPr="006D3C7E">
        <w:rPr>
          <w:rFonts w:asciiTheme="minorHAnsi" w:hAnsiTheme="minorHAnsi" w:cstheme="minorHAnsi"/>
        </w:rPr>
        <w:t xml:space="preserve">questionnaire </w:t>
      </w:r>
      <w:r w:rsidRPr="006D3C7E">
        <w:rPr>
          <w:rFonts w:asciiTheme="minorHAnsi" w:hAnsiTheme="minorHAnsi" w:cstheme="minorHAnsi"/>
        </w:rPr>
        <w:t xml:space="preserve">response when the Preliminary Determination was published. Treasury promptly resubmitted several forms with </w:t>
      </w:r>
      <w:r w:rsidR="002C6472" w:rsidRPr="006D3C7E">
        <w:rPr>
          <w:rFonts w:asciiTheme="minorHAnsi" w:hAnsiTheme="minorHAnsi" w:cstheme="minorHAnsi"/>
        </w:rPr>
        <w:t xml:space="preserve">its </w:t>
      </w:r>
      <w:r w:rsidRPr="006D3C7E">
        <w:rPr>
          <w:rFonts w:asciiTheme="minorHAnsi" w:hAnsiTheme="minorHAnsi" w:cstheme="minorHAnsi"/>
        </w:rPr>
        <w:t>comments on the Preliminary Determination. Yet</w:t>
      </w:r>
      <w:r w:rsidR="006268E5" w:rsidRPr="006D3C7E">
        <w:rPr>
          <w:rFonts w:asciiTheme="minorHAnsi" w:hAnsiTheme="minorHAnsi" w:cstheme="minorHAnsi"/>
        </w:rPr>
        <w:t xml:space="preserve"> MOFCOM rejected the replacement data</w:t>
      </w:r>
      <w:r w:rsidRPr="006D3C7E">
        <w:rPr>
          <w:rFonts w:asciiTheme="minorHAnsi" w:hAnsiTheme="minorHAnsi" w:cstheme="minorHAnsi"/>
        </w:rPr>
        <w:t xml:space="preserve">, </w:t>
      </w:r>
      <w:r w:rsidR="006268E5" w:rsidRPr="006D3C7E">
        <w:rPr>
          <w:rFonts w:asciiTheme="minorHAnsi" w:hAnsiTheme="minorHAnsi" w:cstheme="minorHAnsi"/>
        </w:rPr>
        <w:t xml:space="preserve">stating </w:t>
      </w:r>
      <w:r w:rsidRPr="006D3C7E">
        <w:rPr>
          <w:rFonts w:asciiTheme="minorHAnsi" w:hAnsiTheme="minorHAnsi" w:cstheme="minorHAnsi"/>
        </w:rPr>
        <w:t xml:space="preserve">in the Final Disclosure that the reasons </w:t>
      </w:r>
      <w:r w:rsidR="00B96E7D">
        <w:rPr>
          <w:rFonts w:asciiTheme="minorHAnsi" w:hAnsiTheme="minorHAnsi" w:cstheme="minorHAnsi"/>
        </w:rPr>
        <w:t xml:space="preserve">given by </w:t>
      </w:r>
      <w:r w:rsidRPr="006D3C7E">
        <w:rPr>
          <w:rFonts w:asciiTheme="minorHAnsi" w:hAnsiTheme="minorHAnsi" w:cstheme="minorHAnsi"/>
        </w:rPr>
        <w:t xml:space="preserve">Treasury for the discrepancies in the information </w:t>
      </w:r>
      <w:r w:rsidR="00A32E9C" w:rsidRPr="006D3C7E">
        <w:rPr>
          <w:rFonts w:asciiTheme="minorHAnsi" w:hAnsiTheme="minorHAnsi" w:cstheme="minorHAnsi"/>
        </w:rPr>
        <w:t>"</w:t>
      </w:r>
      <w:r w:rsidRPr="006D3C7E">
        <w:rPr>
          <w:rFonts w:asciiTheme="minorHAnsi" w:hAnsiTheme="minorHAnsi" w:cstheme="minorHAnsi"/>
        </w:rPr>
        <w:t>did not exempt</w:t>
      </w:r>
      <w:r w:rsidR="00A32E9C" w:rsidRPr="006D3C7E">
        <w:rPr>
          <w:rFonts w:asciiTheme="minorHAnsi" w:hAnsiTheme="minorHAnsi" w:cstheme="minorHAnsi"/>
        </w:rPr>
        <w:t>"</w:t>
      </w:r>
      <w:r w:rsidRPr="006D3C7E">
        <w:rPr>
          <w:rFonts w:asciiTheme="minorHAnsi" w:hAnsiTheme="minorHAnsi" w:cstheme="minorHAnsi"/>
        </w:rPr>
        <w:t xml:space="preserve"> </w:t>
      </w:r>
      <w:r w:rsidR="006268E5" w:rsidRPr="006D3C7E">
        <w:rPr>
          <w:rFonts w:asciiTheme="minorHAnsi" w:hAnsiTheme="minorHAnsi" w:cstheme="minorHAnsi"/>
        </w:rPr>
        <w:t>it</w:t>
      </w:r>
      <w:r w:rsidRPr="006D3C7E">
        <w:rPr>
          <w:rFonts w:asciiTheme="minorHAnsi" w:hAnsiTheme="minorHAnsi" w:cstheme="minorHAnsi"/>
        </w:rPr>
        <w:t xml:space="preserve"> from the requirement </w:t>
      </w:r>
      <w:r w:rsidR="006268E5" w:rsidRPr="006D3C7E">
        <w:rPr>
          <w:rFonts w:asciiTheme="minorHAnsi" w:hAnsiTheme="minorHAnsi" w:cstheme="minorHAnsi"/>
        </w:rPr>
        <w:t xml:space="preserve">to submit </w:t>
      </w:r>
      <w:r w:rsidRPr="006D3C7E">
        <w:rPr>
          <w:rFonts w:asciiTheme="minorHAnsi" w:hAnsiTheme="minorHAnsi" w:cstheme="minorHAnsi"/>
        </w:rPr>
        <w:t>information in the stipulated time.</w:t>
      </w:r>
    </w:p>
    <w:p w14:paraId="313E0C4F" w14:textId="20FF38B7" w:rsidR="00EE1EF2" w:rsidRPr="006D3C7E" w:rsidRDefault="00634F72" w:rsidP="00EE1EF2">
      <w:pPr>
        <w:pStyle w:val="P1-N1Paragraph1-Number1"/>
        <w:rPr>
          <w:rFonts w:asciiTheme="minorHAnsi" w:hAnsiTheme="minorHAnsi" w:cstheme="minorHAnsi"/>
        </w:rPr>
      </w:pPr>
      <w:r>
        <w:rPr>
          <w:rFonts w:asciiTheme="minorHAnsi" w:hAnsiTheme="minorHAnsi" w:cstheme="minorHAnsi"/>
        </w:rPr>
        <w:t>This</w:t>
      </w:r>
      <w:r w:rsidR="00EE1EF2" w:rsidRPr="006D3C7E">
        <w:rPr>
          <w:rFonts w:asciiTheme="minorHAnsi" w:hAnsiTheme="minorHAnsi" w:cstheme="minorHAnsi"/>
        </w:rPr>
        <w:t xml:space="preserve"> example </w:t>
      </w:r>
      <w:r w:rsidR="004C5226" w:rsidRPr="006D3C7E">
        <w:rPr>
          <w:rFonts w:asciiTheme="minorHAnsi" w:hAnsiTheme="minorHAnsi" w:cstheme="minorHAnsi"/>
        </w:rPr>
        <w:t>demonstrate</w:t>
      </w:r>
      <w:r>
        <w:rPr>
          <w:rFonts w:asciiTheme="minorHAnsi" w:hAnsiTheme="minorHAnsi" w:cstheme="minorHAnsi"/>
        </w:rPr>
        <w:t>s</w:t>
      </w:r>
      <w:r w:rsidR="004C5226" w:rsidRPr="006D3C7E">
        <w:rPr>
          <w:rFonts w:asciiTheme="minorHAnsi" w:hAnsiTheme="minorHAnsi" w:cstheme="minorHAnsi"/>
        </w:rPr>
        <w:t xml:space="preserve"> MOFCOM's unreasonable conduct in </w:t>
      </w:r>
      <w:r w:rsidR="00EE1EF2" w:rsidRPr="006D3C7E">
        <w:rPr>
          <w:rFonts w:asciiTheme="minorHAnsi" w:hAnsiTheme="minorHAnsi" w:cstheme="minorHAnsi"/>
        </w:rPr>
        <w:t>rigidly adher</w:t>
      </w:r>
      <w:r w:rsidR="004C5226" w:rsidRPr="006D3C7E">
        <w:rPr>
          <w:rFonts w:asciiTheme="minorHAnsi" w:hAnsiTheme="minorHAnsi" w:cstheme="minorHAnsi"/>
        </w:rPr>
        <w:t>ing</w:t>
      </w:r>
      <w:r w:rsidR="00EE1EF2" w:rsidRPr="006D3C7E">
        <w:rPr>
          <w:rFonts w:asciiTheme="minorHAnsi" w:hAnsiTheme="minorHAnsi" w:cstheme="minorHAnsi"/>
        </w:rPr>
        <w:t xml:space="preserve"> to pre-determined timeframes</w:t>
      </w:r>
      <w:r w:rsidR="004D0690" w:rsidRPr="006D3C7E">
        <w:rPr>
          <w:rFonts w:asciiTheme="minorHAnsi" w:hAnsiTheme="minorHAnsi" w:cstheme="minorHAnsi"/>
        </w:rPr>
        <w:t xml:space="preserve"> irrespective of the circumstances faced by the </w:t>
      </w:r>
      <w:r w:rsidR="004C5226" w:rsidRPr="006D3C7E">
        <w:rPr>
          <w:rFonts w:asciiTheme="minorHAnsi" w:hAnsiTheme="minorHAnsi" w:cstheme="minorHAnsi"/>
        </w:rPr>
        <w:t xml:space="preserve">sampled </w:t>
      </w:r>
      <w:r w:rsidR="004D0690" w:rsidRPr="006D3C7E">
        <w:rPr>
          <w:rFonts w:asciiTheme="minorHAnsi" w:hAnsiTheme="minorHAnsi" w:cstheme="minorHAnsi"/>
        </w:rPr>
        <w:t>companies</w:t>
      </w:r>
      <w:r w:rsidR="00EE1EF2" w:rsidRPr="006D3C7E">
        <w:rPr>
          <w:rFonts w:asciiTheme="minorHAnsi" w:hAnsiTheme="minorHAnsi" w:cstheme="minorHAnsi"/>
        </w:rPr>
        <w:t>. These due process violations led MOFCOM to incorrectly resort to facts available</w:t>
      </w:r>
      <w:r w:rsidR="004D0690" w:rsidRPr="006D3C7E">
        <w:rPr>
          <w:rFonts w:asciiTheme="minorHAnsi" w:hAnsiTheme="minorHAnsi" w:cstheme="minorHAnsi"/>
        </w:rPr>
        <w:t xml:space="preserve"> even while it had before it </w:t>
      </w:r>
      <w:r w:rsidR="00EE1EF2" w:rsidRPr="006D3C7E">
        <w:rPr>
          <w:rFonts w:asciiTheme="minorHAnsi" w:hAnsiTheme="minorHAnsi" w:cstheme="minorHAnsi"/>
        </w:rPr>
        <w:t>the full and complete data</w:t>
      </w:r>
      <w:r w:rsidR="004C5226" w:rsidRPr="006D3C7E">
        <w:rPr>
          <w:rFonts w:asciiTheme="minorHAnsi" w:hAnsiTheme="minorHAnsi" w:cstheme="minorHAnsi"/>
        </w:rPr>
        <w:t xml:space="preserve"> </w:t>
      </w:r>
      <w:r w:rsidR="00EE1EF2" w:rsidRPr="006D3C7E">
        <w:rPr>
          <w:rFonts w:asciiTheme="minorHAnsi" w:hAnsiTheme="minorHAnsi" w:cstheme="minorHAnsi"/>
        </w:rPr>
        <w:t xml:space="preserve">sets </w:t>
      </w:r>
      <w:r w:rsidR="004C5226" w:rsidRPr="006D3C7E">
        <w:rPr>
          <w:rFonts w:asciiTheme="minorHAnsi" w:hAnsiTheme="minorHAnsi" w:cstheme="minorHAnsi"/>
        </w:rPr>
        <w:t>it had</w:t>
      </w:r>
      <w:r w:rsidR="00EE1EF2" w:rsidRPr="006D3C7E">
        <w:rPr>
          <w:rFonts w:asciiTheme="minorHAnsi" w:hAnsiTheme="minorHAnsi" w:cstheme="minorHAnsi"/>
        </w:rPr>
        <w:t xml:space="preserve"> requested. MOFCOM's conduct was inconsistent with its obligations under Articles 6.1, 6.1.1 and 6.2 of the Anti</w:t>
      </w:r>
      <w:r w:rsidR="00407F48">
        <w:rPr>
          <w:rFonts w:asciiTheme="minorHAnsi" w:hAnsiTheme="minorHAnsi" w:cstheme="minorHAnsi"/>
        </w:rPr>
        <w:noBreakHyphen/>
      </w:r>
      <w:r w:rsidR="00EE1EF2" w:rsidRPr="006D3C7E">
        <w:rPr>
          <w:rFonts w:asciiTheme="minorHAnsi" w:hAnsiTheme="minorHAnsi" w:cstheme="minorHAnsi"/>
        </w:rPr>
        <w:t>Dumping Agreement.</w:t>
      </w:r>
    </w:p>
    <w:p w14:paraId="346AF649" w14:textId="77777777" w:rsidR="00EE1EF2" w:rsidRPr="006D3C7E" w:rsidRDefault="00EE1EF2" w:rsidP="00EE1EF2">
      <w:pPr>
        <w:pStyle w:val="HL2HeadingLevel2"/>
        <w:rPr>
          <w:rFonts w:asciiTheme="minorHAnsi" w:hAnsiTheme="minorHAnsi" w:cstheme="minorHAnsi"/>
        </w:rPr>
      </w:pPr>
      <w:bookmarkStart w:id="29" w:name="_Toc113344034"/>
      <w:r w:rsidRPr="006D3C7E">
        <w:rPr>
          <w:rFonts w:asciiTheme="minorHAnsi" w:hAnsiTheme="minorHAnsi" w:cstheme="minorHAnsi"/>
        </w:rPr>
        <w:t>MOFCOM improperly granted confidential treatment and failed to require adequate non-confidential summaries</w:t>
      </w:r>
      <w:bookmarkEnd w:id="29"/>
    </w:p>
    <w:p w14:paraId="06772238" w14:textId="745ABEA2" w:rsidR="00EE1EF2" w:rsidRPr="006D3C7E" w:rsidRDefault="004C5226" w:rsidP="00EE1EF2">
      <w:pPr>
        <w:pStyle w:val="P1-N1Paragraph1-Number1"/>
        <w:rPr>
          <w:rFonts w:asciiTheme="minorHAnsi" w:hAnsiTheme="minorHAnsi" w:cstheme="minorHAnsi"/>
        </w:rPr>
      </w:pPr>
      <w:r w:rsidRPr="006D3C7E">
        <w:rPr>
          <w:rFonts w:asciiTheme="minorHAnsi" w:hAnsiTheme="minorHAnsi" w:cstheme="minorHAnsi"/>
        </w:rPr>
        <w:t xml:space="preserve">Further, </w:t>
      </w:r>
      <w:r w:rsidR="00EE1EF2" w:rsidRPr="006D3C7E">
        <w:rPr>
          <w:rFonts w:asciiTheme="minorHAnsi" w:hAnsiTheme="minorHAnsi" w:cstheme="minorHAnsi"/>
        </w:rPr>
        <w:t xml:space="preserve">MOFCOM improperly granted broad confidential treatment to information submitted by Chinese domestic producers, imposing further constraints on the interested parties' ability to see relevant information and fully defend their interests. </w:t>
      </w:r>
      <w:r w:rsidR="004D0690" w:rsidRPr="006D3C7E">
        <w:rPr>
          <w:rFonts w:asciiTheme="minorHAnsi" w:hAnsiTheme="minorHAnsi" w:cstheme="minorHAnsi"/>
        </w:rPr>
        <w:t>B</w:t>
      </w:r>
      <w:r w:rsidR="00EE1EF2" w:rsidRPr="006D3C7E">
        <w:rPr>
          <w:rFonts w:asciiTheme="minorHAnsi" w:hAnsiTheme="minorHAnsi" w:cstheme="minorHAnsi"/>
        </w:rPr>
        <w:t xml:space="preserve">road and generic requests for confidential treatment from the </w:t>
      </w:r>
      <w:r w:rsidR="00A947C7" w:rsidRPr="006D3C7E">
        <w:rPr>
          <w:rFonts w:asciiTheme="minorHAnsi" w:hAnsiTheme="minorHAnsi" w:cstheme="minorHAnsi"/>
        </w:rPr>
        <w:t>d</w:t>
      </w:r>
      <w:r w:rsidR="00EE1EF2" w:rsidRPr="006D3C7E">
        <w:rPr>
          <w:rFonts w:asciiTheme="minorHAnsi" w:hAnsiTheme="minorHAnsi" w:cstheme="minorHAnsi"/>
        </w:rPr>
        <w:t xml:space="preserve">omestic </w:t>
      </w:r>
      <w:r w:rsidR="00A947C7" w:rsidRPr="006D3C7E">
        <w:rPr>
          <w:rFonts w:asciiTheme="minorHAnsi" w:hAnsiTheme="minorHAnsi" w:cstheme="minorHAnsi"/>
        </w:rPr>
        <w:t>p</w:t>
      </w:r>
      <w:r w:rsidR="00EE1EF2" w:rsidRPr="006D3C7E">
        <w:rPr>
          <w:rFonts w:asciiTheme="minorHAnsi" w:hAnsiTheme="minorHAnsi" w:cstheme="minorHAnsi"/>
        </w:rPr>
        <w:t xml:space="preserve">roducers were upheld without adequate assessment of whether "good cause" was shown, and without requiring the provision of sufficiently detailed non-confidential summaries. The effect was to deny interested parties anything more than a vague impression of </w:t>
      </w:r>
      <w:r w:rsidRPr="006D3C7E">
        <w:rPr>
          <w:rFonts w:asciiTheme="minorHAnsi" w:hAnsiTheme="minorHAnsi" w:cstheme="minorHAnsi"/>
        </w:rPr>
        <w:t>the</w:t>
      </w:r>
      <w:r w:rsidR="00EE1EF2" w:rsidRPr="006D3C7E">
        <w:rPr>
          <w:rFonts w:asciiTheme="minorHAnsi" w:hAnsiTheme="minorHAnsi" w:cstheme="minorHAnsi"/>
        </w:rPr>
        <w:t xml:space="preserve"> information that underpinned MOFCOM's findings in respect of the definition of domestic industry, injury and causation.</w:t>
      </w:r>
    </w:p>
    <w:p w14:paraId="78453E12" w14:textId="413F4066" w:rsidR="00EE1EF2" w:rsidRPr="00407F48" w:rsidRDefault="00EE1EF2" w:rsidP="00407F48">
      <w:pPr>
        <w:pStyle w:val="P1-N1Paragraph1-Number1"/>
        <w:rPr>
          <w:rFonts w:asciiTheme="minorHAnsi" w:hAnsiTheme="minorHAnsi" w:cstheme="minorHAnsi"/>
        </w:rPr>
      </w:pPr>
      <w:r w:rsidRPr="006D3C7E">
        <w:rPr>
          <w:rFonts w:asciiTheme="minorHAnsi" w:hAnsiTheme="minorHAnsi" w:cstheme="minorHAnsi"/>
        </w:rPr>
        <w:t>By way of example, the non-confidential "summaries" provided in the Domestic Producer Questionnaire responses, which were near</w:t>
      </w:r>
      <w:r w:rsidR="00922692" w:rsidRPr="006D3C7E">
        <w:rPr>
          <w:rFonts w:asciiTheme="minorHAnsi" w:hAnsiTheme="minorHAnsi" w:cstheme="minorHAnsi"/>
        </w:rPr>
        <w:t>ly</w:t>
      </w:r>
      <w:r w:rsidRPr="006D3C7E">
        <w:rPr>
          <w:rFonts w:asciiTheme="minorHAnsi" w:hAnsiTheme="minorHAnsi" w:cstheme="minorHAnsi"/>
        </w:rPr>
        <w:t xml:space="preserve"> identical in every response from the 21 domestic producers, simply stated that the "relevant information" sought in each question was a "trade secret". These "summaries" provided no information to interested parties about the import, character, or substance of the purportedly confidential information. Australia notes that "summaries" in relevantly similar terms have previously been found by the panel in </w:t>
      </w:r>
      <w:r w:rsidRPr="006D3C7E">
        <w:rPr>
          <w:rFonts w:asciiTheme="minorHAnsi" w:hAnsiTheme="minorHAnsi" w:cstheme="minorHAnsi"/>
          <w:i/>
          <w:iCs/>
        </w:rPr>
        <w:t>China – GOES</w:t>
      </w:r>
      <w:r w:rsidRPr="006D3C7E">
        <w:rPr>
          <w:rFonts w:asciiTheme="minorHAnsi" w:hAnsiTheme="minorHAnsi" w:cstheme="minorHAnsi"/>
        </w:rPr>
        <w:t xml:space="preserve"> to be inadequate to meet the standard in Article 6.5.1.</w:t>
      </w:r>
      <w:r w:rsidR="00A0017A">
        <w:rPr>
          <w:rStyle w:val="FootnoteReference"/>
          <w:rFonts w:cstheme="minorHAnsi"/>
        </w:rPr>
        <w:footnoteReference w:id="18"/>
      </w:r>
      <w:r w:rsidRPr="006D3C7E">
        <w:rPr>
          <w:rFonts w:asciiTheme="minorHAnsi" w:hAnsiTheme="minorHAnsi" w:cstheme="minorHAnsi"/>
        </w:rPr>
        <w:t xml:space="preserve"> </w:t>
      </w:r>
    </w:p>
    <w:p w14:paraId="136B34C6" w14:textId="77777777" w:rsidR="00EE1EF2" w:rsidRPr="006D3C7E" w:rsidRDefault="00EE1EF2" w:rsidP="00EE1EF2">
      <w:pPr>
        <w:pStyle w:val="HL2HeadingLevel2"/>
        <w:rPr>
          <w:rFonts w:asciiTheme="minorHAnsi" w:hAnsiTheme="minorHAnsi" w:cstheme="minorHAnsi"/>
        </w:rPr>
      </w:pPr>
      <w:bookmarkStart w:id="30" w:name="_Toc113344035"/>
      <w:r w:rsidRPr="006D3C7E">
        <w:rPr>
          <w:rFonts w:asciiTheme="minorHAnsi" w:hAnsiTheme="minorHAnsi" w:cstheme="minorHAnsi"/>
        </w:rPr>
        <w:t>MOFCOM failed to satisfy itself as to the accuracy of information</w:t>
      </w:r>
      <w:bookmarkEnd w:id="30"/>
    </w:p>
    <w:p w14:paraId="05C83CF8" w14:textId="3EA1C569" w:rsidR="004D0690"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Contrary to the requirements of Article 6.6, MOFCOM failed to take sufficient steps to confirm the accuracy of certain information on which it</w:t>
      </w:r>
      <w:r w:rsidR="00784447">
        <w:rPr>
          <w:rFonts w:asciiTheme="minorHAnsi" w:hAnsiTheme="minorHAnsi" w:cstheme="minorHAnsi"/>
        </w:rPr>
        <w:t>s</w:t>
      </w:r>
      <w:r w:rsidRPr="006D3C7E">
        <w:rPr>
          <w:rFonts w:asciiTheme="minorHAnsi" w:hAnsiTheme="minorHAnsi" w:cstheme="minorHAnsi"/>
        </w:rPr>
        <w:t xml:space="preserve"> findings</w:t>
      </w:r>
      <w:r w:rsidR="00784447">
        <w:rPr>
          <w:rFonts w:asciiTheme="minorHAnsi" w:hAnsiTheme="minorHAnsi" w:cstheme="minorHAnsi"/>
        </w:rPr>
        <w:t xml:space="preserve"> were based</w:t>
      </w:r>
      <w:r w:rsidRPr="006D3C7E">
        <w:rPr>
          <w:rFonts w:asciiTheme="minorHAnsi" w:hAnsiTheme="minorHAnsi" w:cstheme="minorHAnsi"/>
        </w:rPr>
        <w:t xml:space="preserve">. </w:t>
      </w:r>
    </w:p>
    <w:p w14:paraId="03AD9607" w14:textId="3032533C" w:rsidR="00361E64" w:rsidRPr="006D3C7E" w:rsidRDefault="004D0690" w:rsidP="00EE1EF2">
      <w:pPr>
        <w:pStyle w:val="P1-N1Paragraph1-Number1"/>
        <w:rPr>
          <w:rFonts w:asciiTheme="minorHAnsi" w:hAnsiTheme="minorHAnsi" w:cstheme="minorHAnsi"/>
        </w:rPr>
      </w:pPr>
      <w:r w:rsidRPr="006D3C7E">
        <w:rPr>
          <w:rFonts w:asciiTheme="minorHAnsi" w:hAnsiTheme="minorHAnsi" w:cstheme="minorHAnsi"/>
        </w:rPr>
        <w:t>To give one example</w:t>
      </w:r>
      <w:r w:rsidR="00EE1EF2" w:rsidRPr="006D3C7E">
        <w:rPr>
          <w:rFonts w:asciiTheme="minorHAnsi" w:hAnsiTheme="minorHAnsi" w:cstheme="minorHAnsi"/>
        </w:rPr>
        <w:t xml:space="preserve">, MOFCOM ambiguously states in the </w:t>
      </w:r>
      <w:r w:rsidR="00361E64" w:rsidRPr="006D3C7E">
        <w:rPr>
          <w:rFonts w:asciiTheme="minorHAnsi" w:hAnsiTheme="minorHAnsi" w:cstheme="minorHAnsi"/>
        </w:rPr>
        <w:t>F</w:t>
      </w:r>
      <w:r w:rsidR="00EE1EF2" w:rsidRPr="006D3C7E">
        <w:rPr>
          <w:rFonts w:asciiTheme="minorHAnsi" w:hAnsiTheme="minorHAnsi" w:cstheme="minorHAnsi"/>
        </w:rPr>
        <w:t xml:space="preserve">inal </w:t>
      </w:r>
      <w:r w:rsidR="00361E64" w:rsidRPr="006D3C7E">
        <w:rPr>
          <w:rFonts w:asciiTheme="minorHAnsi" w:hAnsiTheme="minorHAnsi" w:cstheme="minorHAnsi"/>
        </w:rPr>
        <w:t>D</w:t>
      </w:r>
      <w:r w:rsidR="00EE1EF2" w:rsidRPr="006D3C7E">
        <w:rPr>
          <w:rFonts w:asciiTheme="minorHAnsi" w:hAnsiTheme="minorHAnsi" w:cstheme="minorHAnsi"/>
        </w:rPr>
        <w:t xml:space="preserve">etermination that it </w:t>
      </w:r>
      <w:r w:rsidR="009B330A" w:rsidRPr="006D3C7E">
        <w:rPr>
          <w:rFonts w:asciiTheme="minorHAnsi" w:hAnsiTheme="minorHAnsi" w:cstheme="minorHAnsi"/>
        </w:rPr>
        <w:t>"relied on data provided by" one or more "authoritative domestic organization(s)"</w:t>
      </w:r>
      <w:r w:rsidR="009B330A">
        <w:rPr>
          <w:rFonts w:asciiTheme="minorHAnsi" w:hAnsiTheme="minorHAnsi" w:cstheme="minorHAnsi"/>
        </w:rPr>
        <w:t xml:space="preserve"> to </w:t>
      </w:r>
      <w:r w:rsidR="00EE1EF2" w:rsidRPr="006D3C7E">
        <w:rPr>
          <w:rFonts w:asciiTheme="minorHAnsi" w:hAnsiTheme="minorHAnsi" w:cstheme="minorHAnsi"/>
        </w:rPr>
        <w:t>calculate the estimated total domestic production of like products</w:t>
      </w:r>
      <w:r w:rsidR="00AF1208">
        <w:rPr>
          <w:rFonts w:asciiTheme="minorHAnsi" w:hAnsiTheme="minorHAnsi" w:cstheme="minorHAnsi"/>
        </w:rPr>
        <w:t xml:space="preserve"> "based on the statistics from authorit</w:t>
      </w:r>
      <w:r w:rsidR="002C117F">
        <w:rPr>
          <w:rFonts w:asciiTheme="minorHAnsi" w:hAnsiTheme="minorHAnsi" w:cstheme="minorHAnsi"/>
        </w:rPr>
        <w:t>ative domestic organizations"</w:t>
      </w:r>
      <w:r w:rsidR="00EE1EF2" w:rsidRPr="006D3C7E">
        <w:rPr>
          <w:rFonts w:asciiTheme="minorHAnsi" w:hAnsiTheme="minorHAnsi" w:cstheme="minorHAnsi"/>
        </w:rPr>
        <w:t>.</w:t>
      </w:r>
      <w:r w:rsidR="00361E64" w:rsidRPr="00531405">
        <w:rPr>
          <w:rStyle w:val="FootnoteReference"/>
          <w:rFonts w:asciiTheme="minorHAnsi" w:hAnsiTheme="minorHAnsi" w:cstheme="minorHAnsi"/>
        </w:rPr>
        <w:footnoteReference w:id="19"/>
      </w:r>
      <w:r w:rsidR="00EE1EF2" w:rsidRPr="006D3C7E">
        <w:rPr>
          <w:rFonts w:asciiTheme="minorHAnsi" w:hAnsiTheme="minorHAnsi" w:cstheme="minorHAnsi"/>
        </w:rPr>
        <w:t xml:space="preserve"> </w:t>
      </w:r>
    </w:p>
    <w:p w14:paraId="751C3396" w14:textId="5E30A35B" w:rsidR="00EE1EF2" w:rsidRPr="006D3C7E" w:rsidRDefault="00042ADE" w:rsidP="006D3C7E">
      <w:pPr>
        <w:pStyle w:val="P1-N1Paragraph1-Number1"/>
        <w:rPr>
          <w:rFonts w:asciiTheme="minorHAnsi" w:hAnsiTheme="minorHAnsi" w:cstheme="minorHAnsi"/>
        </w:rPr>
      </w:pPr>
      <w:r w:rsidRPr="006D3C7E">
        <w:rPr>
          <w:rFonts w:asciiTheme="minorHAnsi" w:hAnsiTheme="minorHAnsi" w:cstheme="minorHAnsi"/>
        </w:rPr>
        <w:t>T</w:t>
      </w:r>
      <w:r w:rsidR="00EE1EF2" w:rsidRPr="006D3C7E">
        <w:rPr>
          <w:rFonts w:asciiTheme="minorHAnsi" w:hAnsiTheme="minorHAnsi" w:cstheme="minorHAnsi"/>
        </w:rPr>
        <w:t xml:space="preserve">here is no </w:t>
      </w:r>
      <w:r w:rsidR="001F6DE0">
        <w:rPr>
          <w:rFonts w:asciiTheme="minorHAnsi" w:hAnsiTheme="minorHAnsi" w:cstheme="minorHAnsi"/>
        </w:rPr>
        <w:t xml:space="preserve">evidence </w:t>
      </w:r>
      <w:r w:rsidR="00EE1EF2" w:rsidRPr="006D3C7E">
        <w:rPr>
          <w:rFonts w:asciiTheme="minorHAnsi" w:hAnsiTheme="minorHAnsi" w:cstheme="minorHAnsi"/>
        </w:rPr>
        <w:t>of this calculation or the underlying data anywhere on the investigation record. The organisation that provided the data is neither identified nor described as confidential, and MOFCOM provide</w:t>
      </w:r>
      <w:r w:rsidR="00EB3E8A">
        <w:rPr>
          <w:rFonts w:asciiTheme="minorHAnsi" w:hAnsiTheme="minorHAnsi" w:cstheme="minorHAnsi"/>
        </w:rPr>
        <w:t>s</w:t>
      </w:r>
      <w:r w:rsidR="00EE1EF2" w:rsidRPr="006D3C7E">
        <w:rPr>
          <w:rFonts w:asciiTheme="minorHAnsi" w:hAnsiTheme="minorHAnsi" w:cstheme="minorHAnsi"/>
        </w:rPr>
        <w:t xml:space="preserve"> only a vague description of the kinds of data that were considered. </w:t>
      </w:r>
      <w:r w:rsidR="00EB3E8A">
        <w:rPr>
          <w:rFonts w:asciiTheme="minorHAnsi" w:hAnsiTheme="minorHAnsi" w:cstheme="minorHAnsi"/>
        </w:rPr>
        <w:t>T</w:t>
      </w:r>
      <w:r w:rsidR="00EE1EF2" w:rsidRPr="006D3C7E">
        <w:rPr>
          <w:rFonts w:asciiTheme="minorHAnsi" w:hAnsiTheme="minorHAnsi" w:cstheme="minorHAnsi"/>
        </w:rPr>
        <w:t xml:space="preserve">here is no evidence that MOFCOM took any steps to satisfy itself as to the accuracy of </w:t>
      </w:r>
      <w:r w:rsidR="00361E64" w:rsidRPr="006D3C7E">
        <w:rPr>
          <w:rFonts w:asciiTheme="minorHAnsi" w:hAnsiTheme="minorHAnsi" w:cstheme="minorHAnsi"/>
        </w:rPr>
        <w:t xml:space="preserve">these </w:t>
      </w:r>
      <w:r w:rsidR="00EE1EF2" w:rsidRPr="006D3C7E">
        <w:rPr>
          <w:rFonts w:asciiTheme="minorHAnsi" w:hAnsiTheme="minorHAnsi" w:cstheme="minorHAnsi"/>
        </w:rPr>
        <w:t>data</w:t>
      </w:r>
      <w:r w:rsidR="0097325D">
        <w:rPr>
          <w:rFonts w:asciiTheme="minorHAnsi" w:hAnsiTheme="minorHAnsi" w:cstheme="minorHAnsi"/>
        </w:rPr>
        <w:t xml:space="preserve"> or of its estimate of </w:t>
      </w:r>
      <w:r w:rsidR="00EE1EF2" w:rsidRPr="006D3C7E">
        <w:rPr>
          <w:rFonts w:asciiTheme="minorHAnsi" w:hAnsiTheme="minorHAnsi" w:cstheme="minorHAnsi"/>
        </w:rPr>
        <w:t>total production volumes. MOFCOM had good reason to take extra care in confirming the accuracy of this information given its fundamental importance to the investigation.</w:t>
      </w:r>
    </w:p>
    <w:p w14:paraId="55F40058" w14:textId="77777777" w:rsidR="00EE1EF2" w:rsidRPr="006D3C7E" w:rsidRDefault="00EE1EF2" w:rsidP="00EE1EF2">
      <w:pPr>
        <w:pStyle w:val="HL2HeadingLevel2"/>
        <w:rPr>
          <w:rFonts w:asciiTheme="minorHAnsi" w:hAnsiTheme="minorHAnsi" w:cstheme="minorHAnsi"/>
        </w:rPr>
      </w:pPr>
      <w:bookmarkStart w:id="31" w:name="_Toc113344036"/>
      <w:r w:rsidRPr="006D3C7E">
        <w:rPr>
          <w:rFonts w:asciiTheme="minorHAnsi" w:hAnsiTheme="minorHAnsi" w:cstheme="minorHAnsi"/>
        </w:rPr>
        <w:t>MOFCOM's failure to disclose essential facts</w:t>
      </w:r>
      <w:bookmarkEnd w:id="31"/>
    </w:p>
    <w:p w14:paraId="0CBE1DBE" w14:textId="1A21F56C" w:rsidR="00EE1EF2" w:rsidRPr="006D3C7E" w:rsidRDefault="00EE1EF2" w:rsidP="00EE1EF2">
      <w:pPr>
        <w:pStyle w:val="P1-N1Paragraph1-Number1"/>
        <w:rPr>
          <w:rFonts w:asciiTheme="minorHAnsi" w:hAnsiTheme="minorHAnsi" w:cstheme="minorHAnsi"/>
        </w:rPr>
      </w:pPr>
      <w:r w:rsidRPr="006D3C7E">
        <w:rPr>
          <w:rFonts w:asciiTheme="minorHAnsi" w:hAnsiTheme="minorHAnsi" w:cstheme="minorHAnsi"/>
        </w:rPr>
        <w:t xml:space="preserve">MOFCOM </w:t>
      </w:r>
      <w:r w:rsidR="00042ADE" w:rsidRPr="006D3C7E">
        <w:rPr>
          <w:rFonts w:asciiTheme="minorHAnsi" w:hAnsiTheme="minorHAnsi" w:cstheme="minorHAnsi"/>
        </w:rPr>
        <w:t>fail</w:t>
      </w:r>
      <w:r w:rsidR="00922692" w:rsidRPr="006D3C7E">
        <w:rPr>
          <w:rFonts w:asciiTheme="minorHAnsi" w:hAnsiTheme="minorHAnsi" w:cstheme="minorHAnsi"/>
        </w:rPr>
        <w:t>ed</w:t>
      </w:r>
      <w:r w:rsidR="00042ADE" w:rsidRPr="006D3C7E">
        <w:rPr>
          <w:rFonts w:asciiTheme="minorHAnsi" w:hAnsiTheme="minorHAnsi" w:cstheme="minorHAnsi"/>
        </w:rPr>
        <w:t xml:space="preserve"> </w:t>
      </w:r>
      <w:r w:rsidRPr="006D3C7E">
        <w:rPr>
          <w:rFonts w:asciiTheme="minorHAnsi" w:hAnsiTheme="minorHAnsi" w:cstheme="minorHAnsi"/>
        </w:rPr>
        <w:t xml:space="preserve">to provide the interested parties with timely opportunities to see </w:t>
      </w:r>
      <w:r w:rsidR="00922692" w:rsidRPr="006D3C7E">
        <w:rPr>
          <w:rFonts w:asciiTheme="minorHAnsi" w:hAnsiTheme="minorHAnsi" w:cstheme="minorHAnsi"/>
        </w:rPr>
        <w:t xml:space="preserve">the </w:t>
      </w:r>
      <w:r w:rsidRPr="006D3C7E">
        <w:rPr>
          <w:rFonts w:asciiTheme="minorHAnsi" w:hAnsiTheme="minorHAnsi" w:cstheme="minorHAnsi"/>
        </w:rPr>
        <w:t xml:space="preserve">information </w:t>
      </w:r>
      <w:r w:rsidR="00922692" w:rsidRPr="006D3C7E">
        <w:rPr>
          <w:rFonts w:asciiTheme="minorHAnsi" w:hAnsiTheme="minorHAnsi" w:cstheme="minorHAnsi"/>
        </w:rPr>
        <w:t xml:space="preserve">that it </w:t>
      </w:r>
      <w:r w:rsidRPr="006D3C7E">
        <w:rPr>
          <w:rFonts w:asciiTheme="minorHAnsi" w:hAnsiTheme="minorHAnsi" w:cstheme="minorHAnsi"/>
        </w:rPr>
        <w:t>used to make its findings</w:t>
      </w:r>
      <w:r w:rsidR="00922692" w:rsidRPr="006D3C7E">
        <w:rPr>
          <w:rFonts w:asciiTheme="minorHAnsi" w:hAnsiTheme="minorHAnsi" w:cstheme="minorHAnsi"/>
        </w:rPr>
        <w:t>. This</w:t>
      </w:r>
      <w:r w:rsidR="00042ADE" w:rsidRPr="006D3C7E">
        <w:rPr>
          <w:rFonts w:asciiTheme="minorHAnsi" w:hAnsiTheme="minorHAnsi" w:cstheme="minorHAnsi"/>
        </w:rPr>
        <w:t xml:space="preserve"> materially impaired both the interested parties' ability to properly defend their interests and Australia's ability to pursue this proceeding in other ways</w:t>
      </w:r>
      <w:r w:rsidRPr="006D3C7E">
        <w:rPr>
          <w:rFonts w:asciiTheme="minorHAnsi" w:hAnsiTheme="minorHAnsi" w:cstheme="minorHAnsi"/>
        </w:rPr>
        <w:t>. MOFCOM also failed to disclose the essential facts under consideration and to provide sufficient detail of the findings and conclusions reached on all issues of fact and law that it considered material.</w:t>
      </w:r>
    </w:p>
    <w:p w14:paraId="14BBE690" w14:textId="7F19356D" w:rsidR="001F0576" w:rsidRDefault="00EE1EF2" w:rsidP="001F0576">
      <w:pPr>
        <w:pStyle w:val="P1-N1Paragraph1-Number1"/>
      </w:pPr>
      <w:r w:rsidRPr="006D3C7E">
        <w:t xml:space="preserve">Australia's complaints are set out in detail in </w:t>
      </w:r>
      <w:r w:rsidR="00543FD7">
        <w:t>its</w:t>
      </w:r>
      <w:r w:rsidRPr="006D3C7E">
        <w:t xml:space="preserve"> first written submission</w:t>
      </w:r>
      <w:r w:rsidR="00475F19">
        <w:t xml:space="preserve">. </w:t>
      </w:r>
    </w:p>
    <w:p w14:paraId="1DF8614E" w14:textId="2B4BC471" w:rsidR="00EE1EF2" w:rsidRPr="00395DB4" w:rsidRDefault="00EE1EF2" w:rsidP="00EE1EF2">
      <w:pPr>
        <w:pStyle w:val="HL1HeadingLevel1"/>
        <w:rPr>
          <w:rFonts w:asciiTheme="minorHAnsi" w:hAnsiTheme="minorHAnsi" w:cstheme="minorHAnsi"/>
        </w:rPr>
      </w:pPr>
      <w:bookmarkStart w:id="32" w:name="_Toc113344037"/>
      <w:r w:rsidRPr="00395DB4">
        <w:rPr>
          <w:rFonts w:asciiTheme="minorHAnsi" w:hAnsiTheme="minorHAnsi" w:cstheme="minorHAnsi"/>
        </w:rPr>
        <w:t>Conclusion</w:t>
      </w:r>
      <w:bookmarkEnd w:id="32"/>
    </w:p>
    <w:p w14:paraId="5CB9A0BC" w14:textId="0A1E1A01" w:rsidR="00EE1EF2" w:rsidRPr="00395DB4" w:rsidRDefault="00EE1EF2" w:rsidP="00EE1EF2">
      <w:pPr>
        <w:pStyle w:val="P1-N1Paragraph1-Number1"/>
        <w:rPr>
          <w:rFonts w:asciiTheme="minorHAnsi" w:hAnsiTheme="minorHAnsi" w:cstheme="minorHAnsi"/>
        </w:rPr>
      </w:pPr>
      <w:r w:rsidRPr="00395DB4">
        <w:rPr>
          <w:rFonts w:asciiTheme="minorHAnsi" w:hAnsiTheme="minorHAnsi" w:cstheme="minorHAnsi"/>
        </w:rPr>
        <w:t>Australia recognises that the Panel is faced with a substantial dispute of wide scope, involving multiple claims. Australia did not bring this dispute lightly. The breadth of its claims reflect</w:t>
      </w:r>
      <w:r w:rsidR="00C00C65" w:rsidRPr="00395DB4">
        <w:rPr>
          <w:rFonts w:asciiTheme="minorHAnsi" w:hAnsiTheme="minorHAnsi" w:cstheme="minorHAnsi"/>
        </w:rPr>
        <w:t>s</w:t>
      </w:r>
      <w:r w:rsidRPr="00395DB4">
        <w:rPr>
          <w:rFonts w:asciiTheme="minorHAnsi" w:hAnsiTheme="minorHAnsi" w:cstheme="minorHAnsi"/>
        </w:rPr>
        <w:t xml:space="preserve"> a genuine concern that this investigation was flawed and unfair from the point of initiation through to the issuing of the Final Determination.</w:t>
      </w:r>
    </w:p>
    <w:p w14:paraId="34A0B987" w14:textId="7D690C89" w:rsidR="00042ADE" w:rsidRPr="00395DB4" w:rsidRDefault="00EE1EF2" w:rsidP="00EE1EF2">
      <w:pPr>
        <w:pStyle w:val="P1-N1Paragraph1-Number1"/>
        <w:rPr>
          <w:rFonts w:asciiTheme="minorHAnsi" w:hAnsiTheme="minorHAnsi" w:cstheme="minorHAnsi"/>
        </w:rPr>
      </w:pPr>
      <w:r w:rsidRPr="00395DB4">
        <w:rPr>
          <w:rFonts w:asciiTheme="minorHAnsi" w:hAnsiTheme="minorHAnsi" w:cstheme="minorHAnsi"/>
        </w:rPr>
        <w:t>Australia brought this dispute to</w:t>
      </w:r>
      <w:r w:rsidR="00042ADE" w:rsidRPr="00395DB4">
        <w:rPr>
          <w:rFonts w:asciiTheme="minorHAnsi" w:hAnsiTheme="minorHAnsi" w:cstheme="minorHAnsi"/>
        </w:rPr>
        <w:t xml:space="preserve"> re</w:t>
      </w:r>
      <w:r w:rsidR="00C00C65" w:rsidRPr="00395DB4">
        <w:rPr>
          <w:rFonts w:asciiTheme="minorHAnsi" w:hAnsiTheme="minorHAnsi" w:cstheme="minorHAnsi"/>
        </w:rPr>
        <w:t>lieve</w:t>
      </w:r>
      <w:r w:rsidR="00042ADE" w:rsidRPr="00395DB4">
        <w:rPr>
          <w:rFonts w:asciiTheme="minorHAnsi" w:hAnsiTheme="minorHAnsi" w:cstheme="minorHAnsi"/>
        </w:rPr>
        <w:t xml:space="preserve"> the damage </w:t>
      </w:r>
      <w:r w:rsidR="00C00C65" w:rsidRPr="00395DB4">
        <w:rPr>
          <w:rFonts w:asciiTheme="minorHAnsi" w:hAnsiTheme="minorHAnsi" w:cstheme="minorHAnsi"/>
        </w:rPr>
        <w:t xml:space="preserve">that is being </w:t>
      </w:r>
      <w:r w:rsidR="00042ADE" w:rsidRPr="00395DB4">
        <w:rPr>
          <w:rFonts w:asciiTheme="minorHAnsi" w:hAnsiTheme="minorHAnsi" w:cstheme="minorHAnsi"/>
        </w:rPr>
        <w:t xml:space="preserve">done to </w:t>
      </w:r>
      <w:r w:rsidRPr="00395DB4">
        <w:rPr>
          <w:rFonts w:asciiTheme="minorHAnsi" w:hAnsiTheme="minorHAnsi" w:cstheme="minorHAnsi"/>
        </w:rPr>
        <w:t xml:space="preserve">its wine producers from China's unjustified duties and the resulting harm to a once thriving trade between Australia and China. </w:t>
      </w:r>
    </w:p>
    <w:p w14:paraId="58583D5D" w14:textId="7AA18D9B" w:rsidR="00EE1EF2" w:rsidRPr="00395DB4" w:rsidRDefault="00EE1EF2" w:rsidP="00EE1EF2">
      <w:pPr>
        <w:pStyle w:val="P1-N1Paragraph1-Number1"/>
        <w:rPr>
          <w:rFonts w:asciiTheme="minorHAnsi" w:hAnsiTheme="minorHAnsi" w:cstheme="minorHAnsi"/>
        </w:rPr>
      </w:pPr>
      <w:r w:rsidRPr="00395DB4">
        <w:rPr>
          <w:rFonts w:asciiTheme="minorHAnsi" w:hAnsiTheme="minorHAnsi" w:cstheme="minorHAnsi"/>
        </w:rPr>
        <w:t>Australia has also initiated this dispute because its claims are systemically important. It is critical that Members adhere to the rules when imposing anti-dumping duties. Where an investigating authority fails to adhere to these rules</w:t>
      </w:r>
      <w:r w:rsidR="009F6835" w:rsidRPr="00395DB4">
        <w:rPr>
          <w:rFonts w:asciiTheme="minorHAnsi" w:hAnsiTheme="minorHAnsi" w:cstheme="minorHAnsi"/>
        </w:rPr>
        <w:t>,</w:t>
      </w:r>
      <w:r w:rsidRPr="00395DB4">
        <w:rPr>
          <w:rFonts w:asciiTheme="minorHAnsi" w:hAnsiTheme="minorHAnsi" w:cstheme="minorHAnsi"/>
        </w:rPr>
        <w:t xml:space="preserve"> it disrupts </w:t>
      </w:r>
      <w:r w:rsidR="00E66897">
        <w:rPr>
          <w:rFonts w:asciiTheme="minorHAnsi" w:hAnsiTheme="minorHAnsi" w:cstheme="minorHAnsi"/>
        </w:rPr>
        <w:t xml:space="preserve">and damages </w:t>
      </w:r>
      <w:r w:rsidRPr="00395DB4">
        <w:rPr>
          <w:rFonts w:asciiTheme="minorHAnsi" w:hAnsiTheme="minorHAnsi" w:cstheme="minorHAnsi"/>
        </w:rPr>
        <w:t>trade</w:t>
      </w:r>
      <w:r w:rsidR="00E66897">
        <w:rPr>
          <w:rFonts w:asciiTheme="minorHAnsi" w:hAnsiTheme="minorHAnsi" w:cstheme="minorHAnsi"/>
        </w:rPr>
        <w:t>.</w:t>
      </w:r>
      <w:r w:rsidR="00407F48">
        <w:rPr>
          <w:rFonts w:asciiTheme="minorHAnsi" w:hAnsiTheme="minorHAnsi" w:cstheme="minorHAnsi"/>
        </w:rPr>
        <w:t xml:space="preserve"> </w:t>
      </w:r>
      <w:r w:rsidRPr="00395DB4">
        <w:rPr>
          <w:rFonts w:asciiTheme="minorHAnsi" w:hAnsiTheme="minorHAnsi" w:cstheme="minorHAnsi"/>
        </w:rPr>
        <w:t xml:space="preserve">Preserving the rights of WTO Members and ensuring each Member observes its obligations is integral to safeguarding the rules-based trading system. </w:t>
      </w:r>
    </w:p>
    <w:p w14:paraId="4284C204" w14:textId="4C36F64C" w:rsidR="00D52A17" w:rsidRPr="00C415C7" w:rsidRDefault="00EE1EF2" w:rsidP="002B4EC5">
      <w:pPr>
        <w:pStyle w:val="P1-N1Paragraph1-Number1"/>
        <w:rPr>
          <w:rFonts w:asciiTheme="minorHAnsi" w:hAnsiTheme="minorHAnsi" w:cstheme="minorHAnsi"/>
        </w:rPr>
      </w:pPr>
      <w:r w:rsidRPr="002B4EC5">
        <w:rPr>
          <w:rFonts w:asciiTheme="minorHAnsi" w:hAnsiTheme="minorHAnsi" w:cstheme="minorHAnsi"/>
        </w:rPr>
        <w:t>Australia is confident that the Panel will ca</w:t>
      </w:r>
      <w:r w:rsidRPr="00C415C7">
        <w:rPr>
          <w:rFonts w:asciiTheme="minorHAnsi" w:hAnsiTheme="minorHAnsi" w:cstheme="minorHAnsi"/>
        </w:rPr>
        <w:t>refully consider its claims in this light. It looks forward to responding to the questions from the Panel.</w:t>
      </w:r>
    </w:p>
    <w:sectPr w:rsidR="00D52A17" w:rsidRPr="00C415C7" w:rsidSect="00AE4BB3">
      <w:footerReference w:type="default" r:id="rId12"/>
      <w:footerReference w:type="first" r:id="rId13"/>
      <w:type w:val="continuous"/>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84BD" w14:textId="77777777" w:rsidR="00A12C1C" w:rsidRDefault="00A12C1C" w:rsidP="00006269">
      <w:pPr>
        <w:spacing w:after="0" w:line="240" w:lineRule="auto"/>
      </w:pPr>
      <w:r>
        <w:separator/>
      </w:r>
    </w:p>
  </w:endnote>
  <w:endnote w:type="continuationSeparator" w:id="0">
    <w:p w14:paraId="78AA5B9A" w14:textId="77777777" w:rsidR="00A12C1C" w:rsidRDefault="00A12C1C" w:rsidP="00006269">
      <w:pPr>
        <w:spacing w:after="0" w:line="240" w:lineRule="auto"/>
      </w:pPr>
      <w:r>
        <w:continuationSeparator/>
      </w:r>
    </w:p>
  </w:endnote>
  <w:endnote w:type="continuationNotice" w:id="1">
    <w:p w14:paraId="39B75EE5" w14:textId="77777777" w:rsidR="00A12C1C" w:rsidRDefault="00A12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11585"/>
      <w:docPartObj>
        <w:docPartGallery w:val="Page Numbers (Bottom of Page)"/>
        <w:docPartUnique/>
      </w:docPartObj>
    </w:sdtPr>
    <w:sdtEndPr>
      <w:rPr>
        <w:noProof/>
      </w:rPr>
    </w:sdtEndPr>
    <w:sdtContent>
      <w:p w14:paraId="0B9ABFA8" w14:textId="75F2E962" w:rsidR="00EE3603" w:rsidRDefault="00EE36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397AEC" w14:textId="06014844" w:rsidR="00AF1208" w:rsidRDefault="00AF1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73DF" w14:textId="6F2693CF" w:rsidR="002C117F" w:rsidRDefault="002C117F">
    <w:pPr>
      <w:pStyle w:val="Footer"/>
      <w:jc w:val="right"/>
    </w:pPr>
  </w:p>
  <w:p w14:paraId="7579C347" w14:textId="77777777" w:rsidR="00AF1208" w:rsidRDefault="00AF1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666667"/>
      <w:docPartObj>
        <w:docPartGallery w:val="Page Numbers (Bottom of Page)"/>
        <w:docPartUnique/>
      </w:docPartObj>
    </w:sdtPr>
    <w:sdtEndPr>
      <w:rPr>
        <w:noProof/>
      </w:rPr>
    </w:sdtEndPr>
    <w:sdtContent>
      <w:p w14:paraId="6031E632" w14:textId="77777777" w:rsidR="00180921" w:rsidRDefault="001809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58F68F" w14:textId="77777777" w:rsidR="00180921" w:rsidRDefault="001809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208194"/>
      <w:docPartObj>
        <w:docPartGallery w:val="Page Numbers (Bottom of Page)"/>
        <w:docPartUnique/>
      </w:docPartObj>
    </w:sdtPr>
    <w:sdtEndPr>
      <w:rPr>
        <w:noProof/>
      </w:rPr>
    </w:sdtEndPr>
    <w:sdtContent>
      <w:p w14:paraId="38E3326E" w14:textId="01034394" w:rsidR="00180921" w:rsidRDefault="001809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7495B" w14:textId="77777777" w:rsidR="00AF1208" w:rsidRDefault="00AF1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0123" w14:textId="77777777" w:rsidR="00A12C1C" w:rsidRDefault="00A12C1C" w:rsidP="00006269">
      <w:pPr>
        <w:spacing w:after="0" w:line="240" w:lineRule="auto"/>
      </w:pPr>
      <w:r>
        <w:separator/>
      </w:r>
    </w:p>
  </w:footnote>
  <w:footnote w:type="continuationSeparator" w:id="0">
    <w:p w14:paraId="6D972022" w14:textId="77777777" w:rsidR="00A12C1C" w:rsidRDefault="00A12C1C" w:rsidP="00006269">
      <w:pPr>
        <w:spacing w:after="0" w:line="240" w:lineRule="auto"/>
      </w:pPr>
      <w:r>
        <w:continuationSeparator/>
      </w:r>
    </w:p>
  </w:footnote>
  <w:footnote w:type="continuationNotice" w:id="1">
    <w:p w14:paraId="1D92DC83" w14:textId="77777777" w:rsidR="00A12C1C" w:rsidRDefault="00A12C1C">
      <w:pPr>
        <w:spacing w:after="0" w:line="240" w:lineRule="auto"/>
      </w:pPr>
    </w:p>
  </w:footnote>
  <w:footnote w:id="2">
    <w:p w14:paraId="775017F8" w14:textId="3F08A98A" w:rsidR="00AF1208" w:rsidRPr="00E469F7" w:rsidRDefault="00AF1208">
      <w:pPr>
        <w:pStyle w:val="FootnoteText"/>
      </w:pPr>
      <w:r w:rsidRPr="00E469F7">
        <w:rPr>
          <w:rStyle w:val="FootnoteReference"/>
        </w:rPr>
        <w:footnoteRef/>
      </w:r>
      <w:r w:rsidRPr="00E469F7">
        <w:t xml:space="preserve"> Appellate Body Report, </w:t>
      </w:r>
      <w:r w:rsidRPr="00E469F7">
        <w:rPr>
          <w:i/>
          <w:iCs/>
        </w:rPr>
        <w:t>EC – Fasteners (China) (Article 21.5 China)</w:t>
      </w:r>
      <w:r w:rsidRPr="00E469F7">
        <w:t>, paras. 5.302-5.303.</w:t>
      </w:r>
    </w:p>
  </w:footnote>
  <w:footnote w:id="3">
    <w:p w14:paraId="3346C30D" w14:textId="2978FB45" w:rsidR="00AF1208" w:rsidRPr="00E469F7" w:rsidRDefault="00AF1208">
      <w:pPr>
        <w:pStyle w:val="FootnoteText"/>
      </w:pPr>
      <w:r w:rsidRPr="00E469F7">
        <w:rPr>
          <w:rStyle w:val="FootnoteReference"/>
        </w:rPr>
        <w:footnoteRef/>
      </w:r>
      <w:r w:rsidRPr="00E469F7">
        <w:t xml:space="preserve"> Anti-Dumping Final Determination (Exhibit AUS-2), p. 109.</w:t>
      </w:r>
    </w:p>
  </w:footnote>
  <w:footnote w:id="4">
    <w:p w14:paraId="47EC4E23" w14:textId="77777777" w:rsidR="00AF1208" w:rsidRPr="00E469F7" w:rsidRDefault="00AF1208" w:rsidP="00B33BC6">
      <w:pPr>
        <w:pStyle w:val="FootnoteText"/>
      </w:pPr>
      <w:r w:rsidRPr="00E469F7">
        <w:rPr>
          <w:rStyle w:val="FootnoteReference"/>
        </w:rPr>
        <w:footnoteRef/>
      </w:r>
      <w:r w:rsidRPr="00E469F7">
        <w:t xml:space="preserve"> See China's first written submission, paras. 272, 527 and 726.</w:t>
      </w:r>
    </w:p>
  </w:footnote>
  <w:footnote w:id="5">
    <w:p w14:paraId="078619D0" w14:textId="45B8E9FD" w:rsidR="00475C65" w:rsidRDefault="00475C65">
      <w:pPr>
        <w:pStyle w:val="FootnoteText"/>
      </w:pPr>
      <w:r>
        <w:rPr>
          <w:rStyle w:val="FootnoteReference"/>
        </w:rPr>
        <w:footnoteRef/>
      </w:r>
      <w:r>
        <w:t xml:space="preserve"> Panel Report, </w:t>
      </w:r>
      <w:r w:rsidRPr="00475C65">
        <w:rPr>
          <w:i/>
          <w:iCs/>
        </w:rPr>
        <w:t>US – Steel Plate</w:t>
      </w:r>
      <w:r>
        <w:t xml:space="preserve">, para. </w:t>
      </w:r>
      <w:r w:rsidR="00612B9A">
        <w:t>7.60.</w:t>
      </w:r>
    </w:p>
  </w:footnote>
  <w:footnote w:id="6">
    <w:p w14:paraId="770A4C3E" w14:textId="2465CB1C" w:rsidR="00AF1208" w:rsidRPr="00E469F7" w:rsidRDefault="00AF1208" w:rsidP="00B33BC6">
      <w:pPr>
        <w:pStyle w:val="FootnoteText"/>
      </w:pPr>
      <w:r w:rsidRPr="00E469F7">
        <w:rPr>
          <w:rStyle w:val="FootnoteReference"/>
        </w:rPr>
        <w:footnoteRef/>
      </w:r>
      <w:r w:rsidRPr="00E469F7">
        <w:t xml:space="preserve"> See Australia's first written submission, para. 51 citing Panel Report, </w:t>
      </w:r>
      <w:r w:rsidRPr="00E469F7">
        <w:rPr>
          <w:i/>
          <w:iCs/>
        </w:rPr>
        <w:t>US – Anti‐Dumping and Countervailing Duties (Korea)</w:t>
      </w:r>
      <w:r w:rsidRPr="00E469F7">
        <w:t xml:space="preserve">, para. 7.28 in turn referencing Appellate Body Report, </w:t>
      </w:r>
      <w:r w:rsidRPr="00E469F7">
        <w:rPr>
          <w:i/>
          <w:iCs/>
        </w:rPr>
        <w:t>US – Carbon Steel (India)</w:t>
      </w:r>
      <w:r w:rsidRPr="00E469F7">
        <w:t>, para. 4.416.</w:t>
      </w:r>
    </w:p>
  </w:footnote>
  <w:footnote w:id="7">
    <w:p w14:paraId="04E850E9" w14:textId="77777777" w:rsidR="00AF1208" w:rsidRPr="00E469F7" w:rsidRDefault="00AF1208" w:rsidP="00B33BC6">
      <w:pPr>
        <w:pStyle w:val="FootnoteText"/>
      </w:pPr>
      <w:r w:rsidRPr="00E469F7">
        <w:rPr>
          <w:rStyle w:val="FootnoteReference"/>
        </w:rPr>
        <w:footnoteRef/>
      </w:r>
      <w:r w:rsidRPr="00E469F7">
        <w:t xml:space="preserve"> Anti-Dumping Final Determination (Exhibit AUS-2), p. 89.</w:t>
      </w:r>
    </w:p>
  </w:footnote>
  <w:footnote w:id="8">
    <w:p w14:paraId="5F74A5A7" w14:textId="77777777" w:rsidR="00AF1208" w:rsidRPr="00E469F7" w:rsidRDefault="00AF1208" w:rsidP="00B33BC6">
      <w:pPr>
        <w:pStyle w:val="FootnoteText"/>
      </w:pPr>
      <w:r w:rsidRPr="00E469F7">
        <w:rPr>
          <w:rStyle w:val="FootnoteReference"/>
        </w:rPr>
        <w:footnoteRef/>
      </w:r>
      <w:r w:rsidRPr="00E469F7">
        <w:t xml:space="preserve"> Swan Vintage Comments on the Preliminary Determination (Exhibit AUS-38), p. 4.</w:t>
      </w:r>
    </w:p>
  </w:footnote>
  <w:footnote w:id="9">
    <w:p w14:paraId="1903DB8D" w14:textId="77777777" w:rsidR="00AF1208" w:rsidRPr="00E469F7" w:rsidRDefault="00AF1208" w:rsidP="00B33BC6">
      <w:pPr>
        <w:pStyle w:val="FootnoteText"/>
      </w:pPr>
      <w:r w:rsidRPr="00E469F7">
        <w:rPr>
          <w:rStyle w:val="FootnoteReference"/>
        </w:rPr>
        <w:footnoteRef/>
      </w:r>
      <w:r w:rsidRPr="00E469F7">
        <w:t xml:space="preserve"> Anti-Dumping Final Determination (Exhibit AUS-2), pp. 90-91.</w:t>
      </w:r>
    </w:p>
  </w:footnote>
  <w:footnote w:id="10">
    <w:p w14:paraId="69B56DBA" w14:textId="0A5D4A68" w:rsidR="008B4A21" w:rsidRDefault="008B4A21">
      <w:pPr>
        <w:pStyle w:val="FootnoteText"/>
      </w:pPr>
      <w:r>
        <w:rPr>
          <w:rStyle w:val="FootnoteReference"/>
        </w:rPr>
        <w:footnoteRef/>
      </w:r>
      <w:r>
        <w:t xml:space="preserve"> Swan Vintage Suppl</w:t>
      </w:r>
      <w:r w:rsidR="006950CC">
        <w:t>ementary Response (Exhibit AUS-41), p. 3.</w:t>
      </w:r>
    </w:p>
  </w:footnote>
  <w:footnote w:id="11">
    <w:p w14:paraId="5E5A734B" w14:textId="77777777" w:rsidR="00AF1208" w:rsidRPr="008E777D" w:rsidRDefault="00AF1208" w:rsidP="00B33BC6">
      <w:pPr>
        <w:pStyle w:val="FootnoteText"/>
        <w:rPr>
          <w:rFonts w:asciiTheme="minorHAnsi" w:hAnsiTheme="minorHAnsi" w:cstheme="minorHAnsi"/>
        </w:rPr>
      </w:pPr>
      <w:r w:rsidRPr="008E777D">
        <w:rPr>
          <w:rStyle w:val="FootnoteReference"/>
          <w:rFonts w:asciiTheme="minorHAnsi" w:hAnsiTheme="minorHAnsi" w:cstheme="minorHAnsi"/>
        </w:rPr>
        <w:footnoteRef/>
      </w:r>
      <w:r w:rsidRPr="008E777D">
        <w:rPr>
          <w:rFonts w:asciiTheme="minorHAnsi" w:hAnsiTheme="minorHAnsi" w:cstheme="minorHAnsi"/>
        </w:rPr>
        <w:t xml:space="preserve"> China’s first written submission, paras. 686 and 687.</w:t>
      </w:r>
    </w:p>
  </w:footnote>
  <w:footnote w:id="12">
    <w:p w14:paraId="78475D88" w14:textId="77777777" w:rsidR="00AF1208" w:rsidRDefault="00AF1208" w:rsidP="00152C6C">
      <w:pPr>
        <w:pStyle w:val="FootnoteText"/>
        <w:rPr>
          <w:rFonts w:ascii="Times New Roman" w:hAnsi="Times New Roman" w:cs="Times New Roman"/>
        </w:rPr>
      </w:pPr>
      <w:r w:rsidRPr="008E777D">
        <w:rPr>
          <w:rStyle w:val="FootnoteReference"/>
          <w:rFonts w:asciiTheme="minorHAnsi" w:hAnsiTheme="minorHAnsi" w:cstheme="minorHAnsi"/>
        </w:rPr>
        <w:footnoteRef/>
      </w:r>
      <w:r w:rsidRPr="008E777D">
        <w:rPr>
          <w:rFonts w:asciiTheme="minorHAnsi" w:hAnsiTheme="minorHAnsi" w:cstheme="minorHAnsi"/>
        </w:rPr>
        <w:t xml:space="preserve"> Panel Report, </w:t>
      </w:r>
      <w:r w:rsidRPr="008E777D">
        <w:rPr>
          <w:rFonts w:asciiTheme="minorHAnsi" w:hAnsiTheme="minorHAnsi" w:cstheme="minorHAnsi"/>
          <w:i/>
          <w:iCs/>
        </w:rPr>
        <w:t>EC – Tube or Pipe Fittings</w:t>
      </w:r>
      <w:r w:rsidRPr="008E777D">
        <w:rPr>
          <w:rFonts w:asciiTheme="minorHAnsi" w:hAnsiTheme="minorHAnsi" w:cstheme="minorHAnsi"/>
        </w:rPr>
        <w:t>, para 7.157</w:t>
      </w:r>
    </w:p>
  </w:footnote>
  <w:footnote w:id="13">
    <w:p w14:paraId="2F69F275" w14:textId="34A90761" w:rsidR="00AF1208" w:rsidRDefault="00AF1208">
      <w:pPr>
        <w:pStyle w:val="FootnoteText"/>
      </w:pPr>
      <w:r>
        <w:rPr>
          <w:rStyle w:val="FootnoteReference"/>
        </w:rPr>
        <w:footnoteRef/>
      </w:r>
      <w:r>
        <w:t xml:space="preserve"> </w:t>
      </w:r>
      <w:r w:rsidRPr="005B5D7A">
        <w:t xml:space="preserve">Appellate Body Report, </w:t>
      </w:r>
      <w:r w:rsidRPr="00713301">
        <w:rPr>
          <w:i/>
          <w:iCs/>
        </w:rPr>
        <w:t>US-Hot-Rolled Steel</w:t>
      </w:r>
      <w:r w:rsidRPr="005B5D7A">
        <w:t>, para. 178.</w:t>
      </w:r>
    </w:p>
  </w:footnote>
  <w:footnote w:id="14">
    <w:p w14:paraId="20BBBBD7" w14:textId="638571E0" w:rsidR="00AF1208" w:rsidRDefault="00AF1208">
      <w:pPr>
        <w:pStyle w:val="FootnoteText"/>
      </w:pPr>
      <w:r>
        <w:rPr>
          <w:rStyle w:val="FootnoteReference"/>
        </w:rPr>
        <w:footnoteRef/>
      </w:r>
      <w:r>
        <w:t xml:space="preserve"> </w:t>
      </w:r>
      <w:r w:rsidRPr="00E20A0D">
        <w:t xml:space="preserve">Panel Report, </w:t>
      </w:r>
      <w:r w:rsidRPr="00E20A0D">
        <w:rPr>
          <w:i/>
          <w:iCs/>
        </w:rPr>
        <w:t>EC – Fasteners (Article 21.5 – China),</w:t>
      </w:r>
      <w:r w:rsidRPr="00E20A0D">
        <w:t xml:space="preserve"> para 5.191.</w:t>
      </w:r>
    </w:p>
  </w:footnote>
  <w:footnote w:id="15">
    <w:p w14:paraId="07BAA9F9" w14:textId="6418325A" w:rsidR="00AF1208" w:rsidRDefault="00AF1208" w:rsidP="00152C6C">
      <w:pPr>
        <w:pStyle w:val="FootnoteText"/>
        <w:rPr>
          <w:rFonts w:ascii="Times New Roman" w:hAnsi="Times New Roman" w:cs="Times New Roman"/>
        </w:rPr>
      </w:pPr>
      <w:r w:rsidRPr="00B50DE1">
        <w:rPr>
          <w:rStyle w:val="FootnoteReference"/>
          <w:rFonts w:asciiTheme="minorHAnsi" w:hAnsiTheme="minorHAnsi" w:cstheme="minorHAnsi"/>
        </w:rPr>
        <w:footnoteRef/>
      </w:r>
      <w:r w:rsidRPr="00B50DE1">
        <w:rPr>
          <w:rFonts w:asciiTheme="minorHAnsi" w:hAnsiTheme="minorHAnsi" w:cstheme="minorHAnsi"/>
        </w:rPr>
        <w:t xml:space="preserve"> Appellate Body </w:t>
      </w:r>
      <w:r w:rsidR="0000715E">
        <w:rPr>
          <w:rFonts w:asciiTheme="minorHAnsi" w:hAnsiTheme="minorHAnsi" w:cstheme="minorHAnsi"/>
        </w:rPr>
        <w:t>R</w:t>
      </w:r>
      <w:r w:rsidRPr="00B50DE1">
        <w:rPr>
          <w:rFonts w:asciiTheme="minorHAnsi" w:hAnsiTheme="minorHAnsi" w:cstheme="minorHAnsi"/>
        </w:rPr>
        <w:t xml:space="preserve">eport, </w:t>
      </w:r>
      <w:r w:rsidRPr="00B50DE1">
        <w:rPr>
          <w:rFonts w:asciiTheme="minorHAnsi" w:hAnsiTheme="minorHAnsi" w:cstheme="minorHAnsi"/>
          <w:i/>
        </w:rPr>
        <w:t>EC – Fasteners (Article 21.5 – China)</w:t>
      </w:r>
      <w:r w:rsidRPr="00B50DE1">
        <w:rPr>
          <w:rFonts w:asciiTheme="minorHAnsi" w:hAnsiTheme="minorHAnsi" w:cstheme="minorHAnsi"/>
        </w:rPr>
        <w:t>, para 5.191.</w:t>
      </w:r>
    </w:p>
  </w:footnote>
  <w:footnote w:id="16">
    <w:p w14:paraId="41B27BBA" w14:textId="77777777" w:rsidR="00AF1208" w:rsidRPr="00E469F7" w:rsidRDefault="00AF1208" w:rsidP="008E1777">
      <w:pPr>
        <w:pStyle w:val="FootnoteText"/>
      </w:pPr>
      <w:r w:rsidRPr="00E469F7">
        <w:rPr>
          <w:rStyle w:val="FootnoteReference"/>
        </w:rPr>
        <w:footnoteRef/>
      </w:r>
      <w:r w:rsidRPr="00E469F7">
        <w:t xml:space="preserve"> CADA Application for Anti-Dumping Investigation, Annexes 1-12 (Part 2) (Exhibit AUS-66), Annex 8, pp. 45 – 48.</w:t>
      </w:r>
    </w:p>
  </w:footnote>
  <w:footnote w:id="17">
    <w:p w14:paraId="7A32E818" w14:textId="1E0A484F" w:rsidR="00AF1208" w:rsidRPr="00E469F7" w:rsidRDefault="00AF1208">
      <w:pPr>
        <w:pStyle w:val="FootnoteText"/>
      </w:pPr>
      <w:r w:rsidRPr="00E469F7">
        <w:rPr>
          <w:rStyle w:val="FootnoteReference"/>
        </w:rPr>
        <w:footnoteRef/>
      </w:r>
      <w:r w:rsidRPr="00E469F7">
        <w:t xml:space="preserve"> See Panel Report, </w:t>
      </w:r>
      <w:r w:rsidRPr="00E469F7">
        <w:rPr>
          <w:i/>
          <w:iCs/>
        </w:rPr>
        <w:t>EC – Salmon (Norway)</w:t>
      </w:r>
      <w:r w:rsidRPr="00E469F7">
        <w:t>, para. 7.203.</w:t>
      </w:r>
    </w:p>
  </w:footnote>
  <w:footnote w:id="18">
    <w:p w14:paraId="3296690A" w14:textId="45745123" w:rsidR="00AF1208" w:rsidRDefault="00AF1208">
      <w:pPr>
        <w:pStyle w:val="FootnoteText"/>
      </w:pPr>
      <w:r>
        <w:rPr>
          <w:rStyle w:val="FootnoteReference"/>
        </w:rPr>
        <w:footnoteRef/>
      </w:r>
      <w:r>
        <w:t xml:space="preserve"> </w:t>
      </w:r>
      <w:r w:rsidRPr="00E469F7">
        <w:t xml:space="preserve">Australia's first written submission, para. 868 citing Panel Report, </w:t>
      </w:r>
      <w:r w:rsidRPr="00E469F7">
        <w:rPr>
          <w:i/>
          <w:iCs/>
        </w:rPr>
        <w:t>China – GOES</w:t>
      </w:r>
      <w:r w:rsidRPr="00E469F7">
        <w:t>, paras. 7.198-199</w:t>
      </w:r>
      <w:r>
        <w:t>.</w:t>
      </w:r>
    </w:p>
  </w:footnote>
  <w:footnote w:id="19">
    <w:p w14:paraId="27683377" w14:textId="722FBDF3" w:rsidR="00AF1208" w:rsidRDefault="00AF1208">
      <w:pPr>
        <w:pStyle w:val="FootnoteText"/>
      </w:pPr>
      <w:r w:rsidRPr="00E469F7">
        <w:rPr>
          <w:rStyle w:val="FootnoteReference"/>
        </w:rPr>
        <w:footnoteRef/>
      </w:r>
      <w:r w:rsidRPr="00E469F7">
        <w:t xml:space="preserve"> Anti-Dumping Final Determination (Exhibit AUS-2), p. </w:t>
      </w:r>
      <w:r>
        <w:t>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C88D" w14:textId="27181645" w:rsidR="00AF1208" w:rsidRPr="00F31B5D" w:rsidRDefault="00AF1208" w:rsidP="006F3FAB">
    <w:pPr>
      <w:pStyle w:val="Header"/>
      <w:pBdr>
        <w:top w:val="single" w:sz="4" w:space="1" w:color="auto"/>
        <w:left w:val="single" w:sz="4" w:space="4" w:color="auto"/>
        <w:bottom w:val="single" w:sz="4" w:space="1" w:color="auto"/>
        <w:right w:val="single" w:sz="4" w:space="0" w:color="auto"/>
      </w:pBdr>
      <w:jc w:val="center"/>
      <w:rPr>
        <w:sz w:val="20"/>
        <w:szCs w:val="20"/>
      </w:rPr>
    </w:pPr>
    <w:r>
      <w:rPr>
        <w:noProof/>
        <w:sz w:val="20"/>
        <w:szCs w:val="20"/>
      </w:rPr>
      <w:t>Business Confidential Information</w:t>
    </w:r>
    <w:r w:rsidR="003E0532">
      <w:rPr>
        <w:noProof/>
        <w:sz w:val="20"/>
        <w:szCs w:val="20"/>
      </w:rPr>
      <w:t xml:space="preserve"> Redacted</w:t>
    </w:r>
  </w:p>
  <w:p w14:paraId="5BA7A7C2" w14:textId="77777777" w:rsidR="00AF1208" w:rsidRDefault="00AF1208" w:rsidP="006F3FAB">
    <w:pPr>
      <w:pStyle w:val="Header"/>
      <w:jc w:val="right"/>
      <w:rPr>
        <w:sz w:val="20"/>
        <w:szCs w:val="20"/>
      </w:rPr>
    </w:pPr>
    <w:r w:rsidRPr="008A4193">
      <w:rPr>
        <w:i/>
        <w:iCs/>
        <w:sz w:val="20"/>
        <w:szCs w:val="20"/>
      </w:rPr>
      <w:t>China – Anti-Dumping and Countervailing Dut</w:t>
    </w:r>
    <w:r>
      <w:rPr>
        <w:i/>
        <w:iCs/>
        <w:sz w:val="20"/>
        <w:szCs w:val="20"/>
      </w:rPr>
      <w:t>y Measures</w:t>
    </w:r>
    <w:r w:rsidRPr="008A4193">
      <w:rPr>
        <w:i/>
        <w:iCs/>
        <w:sz w:val="20"/>
        <w:szCs w:val="20"/>
      </w:rPr>
      <w:t xml:space="preserve"> </w:t>
    </w:r>
    <w:r w:rsidRPr="008A4193">
      <w:rPr>
        <w:sz w:val="20"/>
        <w:szCs w:val="20"/>
      </w:rPr>
      <w:ptab w:relativeTo="margin" w:alignment="right" w:leader="none"/>
    </w:r>
    <w:r>
      <w:rPr>
        <w:sz w:val="20"/>
        <w:szCs w:val="20"/>
      </w:rPr>
      <w:t>Australia's Opening Statement at the</w:t>
    </w:r>
  </w:p>
  <w:p w14:paraId="39231FE4" w14:textId="5BEE305E" w:rsidR="00AF1208" w:rsidRDefault="00AF1208" w:rsidP="006F3FAB">
    <w:pPr>
      <w:pStyle w:val="Header"/>
      <w:jc w:val="right"/>
      <w:rPr>
        <w:noProof/>
        <w:sz w:val="20"/>
        <w:szCs w:val="20"/>
      </w:rPr>
    </w:pPr>
    <w:r w:rsidRPr="008A4193">
      <w:rPr>
        <w:sz w:val="20"/>
        <w:szCs w:val="20"/>
      </w:rPr>
      <w:fldChar w:fldCharType="begin"/>
    </w:r>
    <w:r w:rsidRPr="008A4193">
      <w:rPr>
        <w:sz w:val="20"/>
        <w:szCs w:val="20"/>
      </w:rPr>
      <w:instrText xml:space="preserve"> STYLEREF  "[DT] Document Title"  \* MERGEFORMAT </w:instrText>
    </w:r>
    <w:r w:rsidRPr="008A4193">
      <w:rPr>
        <w:noProof/>
        <w:sz w:val="20"/>
        <w:szCs w:val="20"/>
      </w:rPr>
      <w:fldChar w:fldCharType="end"/>
    </w:r>
    <w:r w:rsidRPr="008A4193">
      <w:rPr>
        <w:i/>
        <w:iCs/>
        <w:sz w:val="20"/>
        <w:szCs w:val="20"/>
      </w:rPr>
      <w:t xml:space="preserve">on </w:t>
    </w:r>
    <w:r>
      <w:rPr>
        <w:i/>
        <w:iCs/>
        <w:sz w:val="20"/>
        <w:szCs w:val="20"/>
      </w:rPr>
      <w:t>Wine</w:t>
    </w:r>
    <w:r w:rsidRPr="008A4193">
      <w:rPr>
        <w:i/>
        <w:iCs/>
        <w:sz w:val="20"/>
        <w:szCs w:val="20"/>
      </w:rPr>
      <w:t xml:space="preserve"> from Australia </w:t>
    </w:r>
    <w:r w:rsidRPr="008A4193">
      <w:rPr>
        <w:sz w:val="20"/>
        <w:szCs w:val="20"/>
      </w:rPr>
      <w:fldChar w:fldCharType="begin"/>
    </w:r>
    <w:r w:rsidRPr="008A4193">
      <w:rPr>
        <w:sz w:val="20"/>
        <w:szCs w:val="20"/>
      </w:rPr>
      <w:instrText xml:space="preserve"> STYLEREF  "[DSN] DS Number"  \* MERGEFORMAT </w:instrText>
    </w:r>
    <w:r w:rsidRPr="008A4193">
      <w:rPr>
        <w:sz w:val="20"/>
        <w:szCs w:val="20"/>
      </w:rPr>
      <w:fldChar w:fldCharType="separate"/>
    </w:r>
    <w:r w:rsidR="004E0B95">
      <w:rPr>
        <w:noProof/>
        <w:sz w:val="20"/>
        <w:szCs w:val="20"/>
      </w:rPr>
      <w:t>(DS602)</w:t>
    </w:r>
    <w:r w:rsidRPr="008A4193">
      <w:rPr>
        <w:noProof/>
        <w:sz w:val="20"/>
        <w:szCs w:val="20"/>
      </w:rPr>
      <w:fldChar w:fldCharType="end"/>
    </w:r>
    <w:r>
      <w:rPr>
        <w:noProof/>
        <w:sz w:val="20"/>
        <w:szCs w:val="20"/>
      </w:rPr>
      <w:t xml:space="preserve">  </w:t>
    </w:r>
    <w:r>
      <w:rPr>
        <w:noProof/>
        <w:sz w:val="20"/>
        <w:szCs w:val="20"/>
      </w:rPr>
      <w:tab/>
    </w:r>
    <w:r w:rsidRPr="000F1AC6">
      <w:rPr>
        <w:sz w:val="20"/>
        <w:szCs w:val="20"/>
      </w:rPr>
      <w:ptab w:relativeTo="margin" w:alignment="right" w:leader="none"/>
    </w:r>
    <w:r>
      <w:rPr>
        <w:sz w:val="20"/>
        <w:szCs w:val="20"/>
      </w:rPr>
      <w:t xml:space="preserve">First Substantive Meeting, </w:t>
    </w:r>
    <w:r>
      <w:rPr>
        <w:noProof/>
        <w:sz w:val="20"/>
        <w:szCs w:val="20"/>
      </w:rPr>
      <w:t xml:space="preserve">6 September </w:t>
    </w:r>
    <w:r w:rsidRPr="000F1AC6">
      <w:rPr>
        <w:noProof/>
        <w:sz w:val="20"/>
        <w:szCs w:val="20"/>
      </w:rPr>
      <w:t>2022</w:t>
    </w:r>
  </w:p>
  <w:p w14:paraId="70652BD2" w14:textId="77777777" w:rsidR="00AF1208" w:rsidRPr="00C04ED5" w:rsidRDefault="00AF1208" w:rsidP="006F3FAB">
    <w:pPr>
      <w:pStyle w:val="Header"/>
      <w:jc w:val="right"/>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5AB2" w14:textId="3EEB45F3" w:rsidR="00AF1208" w:rsidRPr="00317351" w:rsidRDefault="00AD4C09" w:rsidP="00644177">
    <w:pPr>
      <w:pStyle w:val="Header"/>
      <w:jc w:val="right"/>
      <w:rPr>
        <w:b/>
        <w:bCs/>
        <w:i/>
        <w:iCs/>
        <w:sz w:val="28"/>
        <w:szCs w:val="28"/>
      </w:rPr>
    </w:pPr>
    <w:r>
      <w:rPr>
        <w:b/>
        <w:bCs/>
        <w:i/>
        <w:iCs/>
        <w:sz w:val="28"/>
        <w:szCs w:val="28"/>
      </w:rPr>
      <w:t>As</w:t>
    </w:r>
    <w:r w:rsidR="00AF1208">
      <w:rPr>
        <w:b/>
        <w:bCs/>
        <w:i/>
        <w:iCs/>
        <w:sz w:val="28"/>
        <w:szCs w:val="28"/>
      </w:rPr>
      <w:t xml:space="preserve"> deliver</w:t>
    </w:r>
    <w:r>
      <w:rPr>
        <w:b/>
        <w:bCs/>
        <w:i/>
        <w:iCs/>
        <w:sz w:val="28"/>
        <w:szCs w:val="28"/>
      </w:rPr>
      <w:t>ed</w:t>
    </w:r>
  </w:p>
  <w:p w14:paraId="07F6613A" w14:textId="7D4BF441" w:rsidR="00AF1208" w:rsidRPr="00644177" w:rsidRDefault="00AF1208" w:rsidP="00644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8E56E39C"/>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4D1D1264"/>
    <w:multiLevelType w:val="hybridMultilevel"/>
    <w:tmpl w:val="98FEF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5" w15:restartNumberingAfterBreak="0">
    <w:nsid w:val="5BBF7C5C"/>
    <w:multiLevelType w:val="hybridMultilevel"/>
    <w:tmpl w:val="A68CC09C"/>
    <w:lvl w:ilvl="0" w:tplc="41604F68">
      <w:start w:val="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8346074">
    <w:abstractNumId w:val="2"/>
  </w:num>
  <w:num w:numId="2" w16cid:durableId="681056385">
    <w:abstractNumId w:val="1"/>
  </w:num>
  <w:num w:numId="3" w16cid:durableId="399523498">
    <w:abstractNumId w:val="2"/>
    <w:lvlOverride w:ilvl="0">
      <w:startOverride w:val="1"/>
    </w:lvlOverride>
  </w:num>
  <w:num w:numId="4" w16cid:durableId="182327137">
    <w:abstractNumId w:val="0"/>
  </w:num>
  <w:num w:numId="5" w16cid:durableId="321468222">
    <w:abstractNumId w:val="6"/>
  </w:num>
  <w:num w:numId="6" w16cid:durableId="73431107">
    <w:abstractNumId w:val="4"/>
  </w:num>
  <w:num w:numId="7" w16cid:durableId="1209031517">
    <w:abstractNumId w:val="4"/>
  </w:num>
  <w:num w:numId="8" w16cid:durableId="758326833">
    <w:abstractNumId w:val="2"/>
  </w:num>
  <w:num w:numId="9" w16cid:durableId="744760455">
    <w:abstractNumId w:val="2"/>
  </w:num>
  <w:num w:numId="10" w16cid:durableId="2093891562">
    <w:abstractNumId w:val="1"/>
  </w:num>
  <w:num w:numId="11" w16cid:durableId="793870105">
    <w:abstractNumId w:val="2"/>
  </w:num>
  <w:num w:numId="12" w16cid:durableId="305168106">
    <w:abstractNumId w:val="3"/>
  </w:num>
  <w:num w:numId="13" w16cid:durableId="1436706728">
    <w:abstractNumId w:val="5"/>
  </w:num>
  <w:num w:numId="14" w16cid:durableId="1959484378">
    <w:abstractNumId w:val="2"/>
    <w:lvlOverride w:ilvl="0">
      <w:startOverride w:val="1"/>
    </w:lvlOverride>
    <w:lvlOverride w:ilvl="1"/>
    <w:lvlOverride w:ilvl="2"/>
    <w:lvlOverride w:ilvl="3"/>
    <w:lvlOverride w:ilvl="4"/>
    <w:lvlOverride w:ilvl="5"/>
    <w:lvlOverride w:ilvl="6"/>
    <w:lvlOverride w:ilvl="7"/>
    <w:lvlOverride w:ilvl="8"/>
  </w:num>
  <w:num w:numId="15" w16cid:durableId="73361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AB"/>
    <w:rsid w:val="00001818"/>
    <w:rsid w:val="00001E04"/>
    <w:rsid w:val="00002A44"/>
    <w:rsid w:val="00003AE8"/>
    <w:rsid w:val="00004009"/>
    <w:rsid w:val="00006269"/>
    <w:rsid w:val="0000715E"/>
    <w:rsid w:val="00010EFC"/>
    <w:rsid w:val="00013F6E"/>
    <w:rsid w:val="00014F0C"/>
    <w:rsid w:val="000205CF"/>
    <w:rsid w:val="00021696"/>
    <w:rsid w:val="00022947"/>
    <w:rsid w:val="00022963"/>
    <w:rsid w:val="00023C47"/>
    <w:rsid w:val="00023E6E"/>
    <w:rsid w:val="00025483"/>
    <w:rsid w:val="00026098"/>
    <w:rsid w:val="000267AA"/>
    <w:rsid w:val="00026998"/>
    <w:rsid w:val="00026F09"/>
    <w:rsid w:val="00027204"/>
    <w:rsid w:val="00027D0D"/>
    <w:rsid w:val="00030A32"/>
    <w:rsid w:val="00030AB3"/>
    <w:rsid w:val="00031577"/>
    <w:rsid w:val="000345AB"/>
    <w:rsid w:val="00035005"/>
    <w:rsid w:val="0003688F"/>
    <w:rsid w:val="00037AD4"/>
    <w:rsid w:val="00040482"/>
    <w:rsid w:val="000408F5"/>
    <w:rsid w:val="00041A77"/>
    <w:rsid w:val="00042088"/>
    <w:rsid w:val="00042762"/>
    <w:rsid w:val="00042AC5"/>
    <w:rsid w:val="00042ADE"/>
    <w:rsid w:val="0004468C"/>
    <w:rsid w:val="000453F8"/>
    <w:rsid w:val="0004572A"/>
    <w:rsid w:val="00045D85"/>
    <w:rsid w:val="00045E6C"/>
    <w:rsid w:val="00046A6F"/>
    <w:rsid w:val="00046BAF"/>
    <w:rsid w:val="00046EFD"/>
    <w:rsid w:val="00046F0D"/>
    <w:rsid w:val="000507FF"/>
    <w:rsid w:val="000517D2"/>
    <w:rsid w:val="00052AC8"/>
    <w:rsid w:val="00053D7C"/>
    <w:rsid w:val="00054C85"/>
    <w:rsid w:val="0005522A"/>
    <w:rsid w:val="000555C0"/>
    <w:rsid w:val="00055DB0"/>
    <w:rsid w:val="0006093B"/>
    <w:rsid w:val="00060C1C"/>
    <w:rsid w:val="00061414"/>
    <w:rsid w:val="000662B0"/>
    <w:rsid w:val="00070D02"/>
    <w:rsid w:val="00070E8E"/>
    <w:rsid w:val="000711A0"/>
    <w:rsid w:val="000716BD"/>
    <w:rsid w:val="00071762"/>
    <w:rsid w:val="00072ECC"/>
    <w:rsid w:val="000731FB"/>
    <w:rsid w:val="0007327B"/>
    <w:rsid w:val="00073319"/>
    <w:rsid w:val="00074764"/>
    <w:rsid w:val="000765E3"/>
    <w:rsid w:val="00080C39"/>
    <w:rsid w:val="000810D0"/>
    <w:rsid w:val="000813F4"/>
    <w:rsid w:val="00081602"/>
    <w:rsid w:val="00082549"/>
    <w:rsid w:val="000834E4"/>
    <w:rsid w:val="00083599"/>
    <w:rsid w:val="00085D66"/>
    <w:rsid w:val="00086A1A"/>
    <w:rsid w:val="00092D4D"/>
    <w:rsid w:val="00093175"/>
    <w:rsid w:val="00093BC4"/>
    <w:rsid w:val="000950D2"/>
    <w:rsid w:val="00095461"/>
    <w:rsid w:val="000956D1"/>
    <w:rsid w:val="000965DF"/>
    <w:rsid w:val="000967D3"/>
    <w:rsid w:val="00096AE2"/>
    <w:rsid w:val="000A0C3B"/>
    <w:rsid w:val="000A11AD"/>
    <w:rsid w:val="000A3408"/>
    <w:rsid w:val="000A3C0F"/>
    <w:rsid w:val="000A5034"/>
    <w:rsid w:val="000A536C"/>
    <w:rsid w:val="000A5C83"/>
    <w:rsid w:val="000A5DC4"/>
    <w:rsid w:val="000B12DF"/>
    <w:rsid w:val="000B4644"/>
    <w:rsid w:val="000B7619"/>
    <w:rsid w:val="000C021F"/>
    <w:rsid w:val="000C0DE5"/>
    <w:rsid w:val="000C14F5"/>
    <w:rsid w:val="000C197D"/>
    <w:rsid w:val="000C259C"/>
    <w:rsid w:val="000C3BFD"/>
    <w:rsid w:val="000C4C32"/>
    <w:rsid w:val="000C5283"/>
    <w:rsid w:val="000C69EE"/>
    <w:rsid w:val="000C7AA2"/>
    <w:rsid w:val="000C7FB5"/>
    <w:rsid w:val="000D0AD9"/>
    <w:rsid w:val="000D1DC8"/>
    <w:rsid w:val="000D2755"/>
    <w:rsid w:val="000D5328"/>
    <w:rsid w:val="000D5EB1"/>
    <w:rsid w:val="000D64BD"/>
    <w:rsid w:val="000D65BD"/>
    <w:rsid w:val="000D6EA6"/>
    <w:rsid w:val="000E14BC"/>
    <w:rsid w:val="000E4507"/>
    <w:rsid w:val="000E5522"/>
    <w:rsid w:val="000E78C4"/>
    <w:rsid w:val="000F2672"/>
    <w:rsid w:val="000F3940"/>
    <w:rsid w:val="000F5A70"/>
    <w:rsid w:val="000F65AC"/>
    <w:rsid w:val="000F6777"/>
    <w:rsid w:val="000F6CBF"/>
    <w:rsid w:val="000F7FC4"/>
    <w:rsid w:val="001000C7"/>
    <w:rsid w:val="00100192"/>
    <w:rsid w:val="00100DC7"/>
    <w:rsid w:val="0010267D"/>
    <w:rsid w:val="00102D1D"/>
    <w:rsid w:val="001077E0"/>
    <w:rsid w:val="00107C61"/>
    <w:rsid w:val="00110ADA"/>
    <w:rsid w:val="001113FC"/>
    <w:rsid w:val="001115B0"/>
    <w:rsid w:val="00112A58"/>
    <w:rsid w:val="0011362E"/>
    <w:rsid w:val="0011423A"/>
    <w:rsid w:val="0011547E"/>
    <w:rsid w:val="00115B2B"/>
    <w:rsid w:val="00117B18"/>
    <w:rsid w:val="00117C4F"/>
    <w:rsid w:val="0012151F"/>
    <w:rsid w:val="00121DC8"/>
    <w:rsid w:val="00121F15"/>
    <w:rsid w:val="00123AFE"/>
    <w:rsid w:val="00123D77"/>
    <w:rsid w:val="00124001"/>
    <w:rsid w:val="001248BD"/>
    <w:rsid w:val="001271DA"/>
    <w:rsid w:val="00131CFF"/>
    <w:rsid w:val="00133565"/>
    <w:rsid w:val="0013495B"/>
    <w:rsid w:val="00135215"/>
    <w:rsid w:val="00135580"/>
    <w:rsid w:val="00136BC6"/>
    <w:rsid w:val="00137910"/>
    <w:rsid w:val="0014039E"/>
    <w:rsid w:val="001405AC"/>
    <w:rsid w:val="00142CFD"/>
    <w:rsid w:val="00143A5A"/>
    <w:rsid w:val="00146269"/>
    <w:rsid w:val="0014671D"/>
    <w:rsid w:val="0014752B"/>
    <w:rsid w:val="00150183"/>
    <w:rsid w:val="0015127E"/>
    <w:rsid w:val="0015210F"/>
    <w:rsid w:val="00152C6C"/>
    <w:rsid w:val="00154766"/>
    <w:rsid w:val="001548F9"/>
    <w:rsid w:val="00155F72"/>
    <w:rsid w:val="00156BC5"/>
    <w:rsid w:val="001570CB"/>
    <w:rsid w:val="001609EF"/>
    <w:rsid w:val="00161F03"/>
    <w:rsid w:val="00165108"/>
    <w:rsid w:val="00167E07"/>
    <w:rsid w:val="0017079D"/>
    <w:rsid w:val="00171500"/>
    <w:rsid w:val="0017192E"/>
    <w:rsid w:val="00171D16"/>
    <w:rsid w:val="00173519"/>
    <w:rsid w:val="0017380F"/>
    <w:rsid w:val="00173CBF"/>
    <w:rsid w:val="00175F1C"/>
    <w:rsid w:val="0017788F"/>
    <w:rsid w:val="00177C68"/>
    <w:rsid w:val="00180921"/>
    <w:rsid w:val="00180A43"/>
    <w:rsid w:val="00182727"/>
    <w:rsid w:val="001829B8"/>
    <w:rsid w:val="00183892"/>
    <w:rsid w:val="00183BAC"/>
    <w:rsid w:val="00187303"/>
    <w:rsid w:val="00192A49"/>
    <w:rsid w:val="00192FA8"/>
    <w:rsid w:val="00194334"/>
    <w:rsid w:val="00197665"/>
    <w:rsid w:val="001A0119"/>
    <w:rsid w:val="001A11E6"/>
    <w:rsid w:val="001A1503"/>
    <w:rsid w:val="001A178B"/>
    <w:rsid w:val="001A3EF2"/>
    <w:rsid w:val="001A41B7"/>
    <w:rsid w:val="001A4340"/>
    <w:rsid w:val="001A6310"/>
    <w:rsid w:val="001A651A"/>
    <w:rsid w:val="001A675D"/>
    <w:rsid w:val="001A6FFF"/>
    <w:rsid w:val="001B09D6"/>
    <w:rsid w:val="001B1C13"/>
    <w:rsid w:val="001B2BF2"/>
    <w:rsid w:val="001B378F"/>
    <w:rsid w:val="001B4927"/>
    <w:rsid w:val="001B6C45"/>
    <w:rsid w:val="001C00DC"/>
    <w:rsid w:val="001C01C2"/>
    <w:rsid w:val="001C042E"/>
    <w:rsid w:val="001C11A4"/>
    <w:rsid w:val="001C16A5"/>
    <w:rsid w:val="001C49B8"/>
    <w:rsid w:val="001D128C"/>
    <w:rsid w:val="001D1B6A"/>
    <w:rsid w:val="001D7D8B"/>
    <w:rsid w:val="001E067E"/>
    <w:rsid w:val="001E0E47"/>
    <w:rsid w:val="001E36A1"/>
    <w:rsid w:val="001E3D4F"/>
    <w:rsid w:val="001E43DC"/>
    <w:rsid w:val="001E453E"/>
    <w:rsid w:val="001E62BE"/>
    <w:rsid w:val="001E671C"/>
    <w:rsid w:val="001F0576"/>
    <w:rsid w:val="001F15F6"/>
    <w:rsid w:val="001F163B"/>
    <w:rsid w:val="001F1EDB"/>
    <w:rsid w:val="001F4064"/>
    <w:rsid w:val="001F46B7"/>
    <w:rsid w:val="001F50B2"/>
    <w:rsid w:val="001F6DE0"/>
    <w:rsid w:val="001F7714"/>
    <w:rsid w:val="00200A49"/>
    <w:rsid w:val="002021E3"/>
    <w:rsid w:val="00203EEC"/>
    <w:rsid w:val="00204461"/>
    <w:rsid w:val="002070FA"/>
    <w:rsid w:val="002074D5"/>
    <w:rsid w:val="00212CBA"/>
    <w:rsid w:val="00213A57"/>
    <w:rsid w:val="00213AA9"/>
    <w:rsid w:val="00214465"/>
    <w:rsid w:val="002149CF"/>
    <w:rsid w:val="002150A7"/>
    <w:rsid w:val="00215A44"/>
    <w:rsid w:val="00220629"/>
    <w:rsid w:val="00220C47"/>
    <w:rsid w:val="00221499"/>
    <w:rsid w:val="00223756"/>
    <w:rsid w:val="00230197"/>
    <w:rsid w:val="00230FAA"/>
    <w:rsid w:val="0023272D"/>
    <w:rsid w:val="00232776"/>
    <w:rsid w:val="00232A88"/>
    <w:rsid w:val="0023400A"/>
    <w:rsid w:val="00242304"/>
    <w:rsid w:val="002431C0"/>
    <w:rsid w:val="002443CA"/>
    <w:rsid w:val="00245D60"/>
    <w:rsid w:val="00245FA1"/>
    <w:rsid w:val="002466DF"/>
    <w:rsid w:val="002466E9"/>
    <w:rsid w:val="00252691"/>
    <w:rsid w:val="00252C2A"/>
    <w:rsid w:val="002544B2"/>
    <w:rsid w:val="00256439"/>
    <w:rsid w:val="0025682E"/>
    <w:rsid w:val="002572BA"/>
    <w:rsid w:val="002603E6"/>
    <w:rsid w:val="0026128E"/>
    <w:rsid w:val="002620CB"/>
    <w:rsid w:val="0026348D"/>
    <w:rsid w:val="002636BB"/>
    <w:rsid w:val="00264442"/>
    <w:rsid w:val="002649F8"/>
    <w:rsid w:val="00264EA4"/>
    <w:rsid w:val="00265179"/>
    <w:rsid w:val="00266B36"/>
    <w:rsid w:val="00272D35"/>
    <w:rsid w:val="00273079"/>
    <w:rsid w:val="00274B7D"/>
    <w:rsid w:val="00277400"/>
    <w:rsid w:val="002774D9"/>
    <w:rsid w:val="00277AC4"/>
    <w:rsid w:val="00277F05"/>
    <w:rsid w:val="002804A8"/>
    <w:rsid w:val="00282BC1"/>
    <w:rsid w:val="002834AB"/>
    <w:rsid w:val="00283DB2"/>
    <w:rsid w:val="002859D9"/>
    <w:rsid w:val="00285FA6"/>
    <w:rsid w:val="002868A9"/>
    <w:rsid w:val="00287ADC"/>
    <w:rsid w:val="00287BE9"/>
    <w:rsid w:val="0029045D"/>
    <w:rsid w:val="0029125E"/>
    <w:rsid w:val="00292964"/>
    <w:rsid w:val="00293EEB"/>
    <w:rsid w:val="00294367"/>
    <w:rsid w:val="00295EAD"/>
    <w:rsid w:val="00296C34"/>
    <w:rsid w:val="002A48F0"/>
    <w:rsid w:val="002A6281"/>
    <w:rsid w:val="002A6EEB"/>
    <w:rsid w:val="002B1E74"/>
    <w:rsid w:val="002B497D"/>
    <w:rsid w:val="002B4EC5"/>
    <w:rsid w:val="002B651B"/>
    <w:rsid w:val="002B6FCA"/>
    <w:rsid w:val="002C0944"/>
    <w:rsid w:val="002C0CF4"/>
    <w:rsid w:val="002C117F"/>
    <w:rsid w:val="002C1480"/>
    <w:rsid w:val="002C2E01"/>
    <w:rsid w:val="002C380C"/>
    <w:rsid w:val="002C4724"/>
    <w:rsid w:val="002C6472"/>
    <w:rsid w:val="002D059B"/>
    <w:rsid w:val="002D059E"/>
    <w:rsid w:val="002D0B1A"/>
    <w:rsid w:val="002D12DE"/>
    <w:rsid w:val="002D2BBB"/>
    <w:rsid w:val="002D3159"/>
    <w:rsid w:val="002D31D3"/>
    <w:rsid w:val="002D495F"/>
    <w:rsid w:val="002D71B6"/>
    <w:rsid w:val="002E4CB2"/>
    <w:rsid w:val="002E60E6"/>
    <w:rsid w:val="002F1025"/>
    <w:rsid w:val="002F2038"/>
    <w:rsid w:val="002F23A5"/>
    <w:rsid w:val="002F2CC0"/>
    <w:rsid w:val="002F3767"/>
    <w:rsid w:val="002F42C5"/>
    <w:rsid w:val="002F433F"/>
    <w:rsid w:val="002F5BFD"/>
    <w:rsid w:val="002F6D83"/>
    <w:rsid w:val="003005A3"/>
    <w:rsid w:val="00302E92"/>
    <w:rsid w:val="00305663"/>
    <w:rsid w:val="00305E8C"/>
    <w:rsid w:val="00310546"/>
    <w:rsid w:val="0031054B"/>
    <w:rsid w:val="0031103A"/>
    <w:rsid w:val="003146C0"/>
    <w:rsid w:val="0031524D"/>
    <w:rsid w:val="00315DBE"/>
    <w:rsid w:val="00316533"/>
    <w:rsid w:val="00317CE5"/>
    <w:rsid w:val="003205C0"/>
    <w:rsid w:val="00323D58"/>
    <w:rsid w:val="003240AA"/>
    <w:rsid w:val="003244BA"/>
    <w:rsid w:val="00325745"/>
    <w:rsid w:val="00325AAD"/>
    <w:rsid w:val="00326241"/>
    <w:rsid w:val="00330582"/>
    <w:rsid w:val="003311C4"/>
    <w:rsid w:val="00333E82"/>
    <w:rsid w:val="00334014"/>
    <w:rsid w:val="00334195"/>
    <w:rsid w:val="0033472B"/>
    <w:rsid w:val="00335B9B"/>
    <w:rsid w:val="00337EC4"/>
    <w:rsid w:val="0034182B"/>
    <w:rsid w:val="003424AD"/>
    <w:rsid w:val="00343C7D"/>
    <w:rsid w:val="003440A5"/>
    <w:rsid w:val="00347206"/>
    <w:rsid w:val="00351777"/>
    <w:rsid w:val="00351DC7"/>
    <w:rsid w:val="00353036"/>
    <w:rsid w:val="003536BD"/>
    <w:rsid w:val="00354A06"/>
    <w:rsid w:val="003551BC"/>
    <w:rsid w:val="00355394"/>
    <w:rsid w:val="00357186"/>
    <w:rsid w:val="003604F1"/>
    <w:rsid w:val="00360511"/>
    <w:rsid w:val="00361E64"/>
    <w:rsid w:val="00362DF1"/>
    <w:rsid w:val="00362FE3"/>
    <w:rsid w:val="003631E3"/>
    <w:rsid w:val="003647FE"/>
    <w:rsid w:val="00365071"/>
    <w:rsid w:val="0036644F"/>
    <w:rsid w:val="00367C8D"/>
    <w:rsid w:val="00370C4C"/>
    <w:rsid w:val="00373B60"/>
    <w:rsid w:val="003750E9"/>
    <w:rsid w:val="003758F9"/>
    <w:rsid w:val="00377C99"/>
    <w:rsid w:val="00377ECD"/>
    <w:rsid w:val="00380306"/>
    <w:rsid w:val="00380454"/>
    <w:rsid w:val="00380795"/>
    <w:rsid w:val="00380B5F"/>
    <w:rsid w:val="00380B89"/>
    <w:rsid w:val="00381988"/>
    <w:rsid w:val="00382680"/>
    <w:rsid w:val="003837C8"/>
    <w:rsid w:val="003838D5"/>
    <w:rsid w:val="00383D78"/>
    <w:rsid w:val="00386279"/>
    <w:rsid w:val="003878D6"/>
    <w:rsid w:val="00390146"/>
    <w:rsid w:val="00390224"/>
    <w:rsid w:val="00391D93"/>
    <w:rsid w:val="003925F3"/>
    <w:rsid w:val="00395DB4"/>
    <w:rsid w:val="00396B82"/>
    <w:rsid w:val="003971A6"/>
    <w:rsid w:val="003A10EE"/>
    <w:rsid w:val="003A3FC8"/>
    <w:rsid w:val="003A4167"/>
    <w:rsid w:val="003A4958"/>
    <w:rsid w:val="003A5214"/>
    <w:rsid w:val="003A56A4"/>
    <w:rsid w:val="003A5EE8"/>
    <w:rsid w:val="003A5F17"/>
    <w:rsid w:val="003A7A9C"/>
    <w:rsid w:val="003B1B7C"/>
    <w:rsid w:val="003B58DC"/>
    <w:rsid w:val="003B5F8E"/>
    <w:rsid w:val="003B6FB1"/>
    <w:rsid w:val="003C0A09"/>
    <w:rsid w:val="003C1586"/>
    <w:rsid w:val="003C1754"/>
    <w:rsid w:val="003C2674"/>
    <w:rsid w:val="003C3234"/>
    <w:rsid w:val="003C37B3"/>
    <w:rsid w:val="003C3CAB"/>
    <w:rsid w:val="003C45E9"/>
    <w:rsid w:val="003C4CCD"/>
    <w:rsid w:val="003C562D"/>
    <w:rsid w:val="003C66B1"/>
    <w:rsid w:val="003D2A09"/>
    <w:rsid w:val="003D5120"/>
    <w:rsid w:val="003E0532"/>
    <w:rsid w:val="003E0E68"/>
    <w:rsid w:val="003E1CBF"/>
    <w:rsid w:val="003E241F"/>
    <w:rsid w:val="003E49E8"/>
    <w:rsid w:val="003E4C68"/>
    <w:rsid w:val="003E4FAA"/>
    <w:rsid w:val="003E5A74"/>
    <w:rsid w:val="003E66BA"/>
    <w:rsid w:val="003E7C4C"/>
    <w:rsid w:val="003E7C59"/>
    <w:rsid w:val="003F2C72"/>
    <w:rsid w:val="003F4353"/>
    <w:rsid w:val="003F55DF"/>
    <w:rsid w:val="003F596A"/>
    <w:rsid w:val="003F6FC9"/>
    <w:rsid w:val="00400129"/>
    <w:rsid w:val="00400DA6"/>
    <w:rsid w:val="0040108F"/>
    <w:rsid w:val="004011C1"/>
    <w:rsid w:val="00401255"/>
    <w:rsid w:val="00401AD3"/>
    <w:rsid w:val="0040347A"/>
    <w:rsid w:val="0040370F"/>
    <w:rsid w:val="00404B2F"/>
    <w:rsid w:val="004052D5"/>
    <w:rsid w:val="00407BF7"/>
    <w:rsid w:val="00407E85"/>
    <w:rsid w:val="00407F48"/>
    <w:rsid w:val="00410421"/>
    <w:rsid w:val="0041193D"/>
    <w:rsid w:val="00412219"/>
    <w:rsid w:val="004148C4"/>
    <w:rsid w:val="00416A24"/>
    <w:rsid w:val="004172EC"/>
    <w:rsid w:val="00420443"/>
    <w:rsid w:val="00421788"/>
    <w:rsid w:val="004236DE"/>
    <w:rsid w:val="00423DC5"/>
    <w:rsid w:val="004277B1"/>
    <w:rsid w:val="00427AFB"/>
    <w:rsid w:val="0043134E"/>
    <w:rsid w:val="00432979"/>
    <w:rsid w:val="004344C3"/>
    <w:rsid w:val="00434AC8"/>
    <w:rsid w:val="004361B5"/>
    <w:rsid w:val="00436E59"/>
    <w:rsid w:val="00437A95"/>
    <w:rsid w:val="004405B5"/>
    <w:rsid w:val="0044246E"/>
    <w:rsid w:val="00446174"/>
    <w:rsid w:val="004468EB"/>
    <w:rsid w:val="00450497"/>
    <w:rsid w:val="004514AC"/>
    <w:rsid w:val="004524CE"/>
    <w:rsid w:val="00452826"/>
    <w:rsid w:val="00453C6C"/>
    <w:rsid w:val="00454A8F"/>
    <w:rsid w:val="0045521C"/>
    <w:rsid w:val="004567BD"/>
    <w:rsid w:val="00456A9F"/>
    <w:rsid w:val="00456EF0"/>
    <w:rsid w:val="004601E8"/>
    <w:rsid w:val="00462AD1"/>
    <w:rsid w:val="00463D2B"/>
    <w:rsid w:val="0046532F"/>
    <w:rsid w:val="00470EDB"/>
    <w:rsid w:val="00475204"/>
    <w:rsid w:val="00475C65"/>
    <w:rsid w:val="00475F19"/>
    <w:rsid w:val="0047737A"/>
    <w:rsid w:val="00477519"/>
    <w:rsid w:val="00477E44"/>
    <w:rsid w:val="004804C5"/>
    <w:rsid w:val="00480CF0"/>
    <w:rsid w:val="00482819"/>
    <w:rsid w:val="00483BA5"/>
    <w:rsid w:val="00484CE4"/>
    <w:rsid w:val="0048585E"/>
    <w:rsid w:val="00485B78"/>
    <w:rsid w:val="00486A37"/>
    <w:rsid w:val="00486A8E"/>
    <w:rsid w:val="00490D4B"/>
    <w:rsid w:val="0049232A"/>
    <w:rsid w:val="00495872"/>
    <w:rsid w:val="0049612B"/>
    <w:rsid w:val="004A02BD"/>
    <w:rsid w:val="004A09B9"/>
    <w:rsid w:val="004A1B54"/>
    <w:rsid w:val="004A6D4B"/>
    <w:rsid w:val="004A7857"/>
    <w:rsid w:val="004B2119"/>
    <w:rsid w:val="004B29E5"/>
    <w:rsid w:val="004B2E30"/>
    <w:rsid w:val="004B2EE6"/>
    <w:rsid w:val="004B2F0D"/>
    <w:rsid w:val="004B6557"/>
    <w:rsid w:val="004B6A03"/>
    <w:rsid w:val="004B6FC8"/>
    <w:rsid w:val="004B786A"/>
    <w:rsid w:val="004C031F"/>
    <w:rsid w:val="004C0D8E"/>
    <w:rsid w:val="004C13B3"/>
    <w:rsid w:val="004C1F10"/>
    <w:rsid w:val="004C2323"/>
    <w:rsid w:val="004C335E"/>
    <w:rsid w:val="004C4B5B"/>
    <w:rsid w:val="004C5226"/>
    <w:rsid w:val="004C7801"/>
    <w:rsid w:val="004D0057"/>
    <w:rsid w:val="004D0690"/>
    <w:rsid w:val="004D0C74"/>
    <w:rsid w:val="004D38AF"/>
    <w:rsid w:val="004D3946"/>
    <w:rsid w:val="004D55B8"/>
    <w:rsid w:val="004D6BFA"/>
    <w:rsid w:val="004D6D13"/>
    <w:rsid w:val="004D7079"/>
    <w:rsid w:val="004D7C3F"/>
    <w:rsid w:val="004E0B95"/>
    <w:rsid w:val="004E0E8E"/>
    <w:rsid w:val="004E296A"/>
    <w:rsid w:val="004E6555"/>
    <w:rsid w:val="004E6C25"/>
    <w:rsid w:val="004E7EBD"/>
    <w:rsid w:val="004F0EC3"/>
    <w:rsid w:val="004F2A3D"/>
    <w:rsid w:val="004F3645"/>
    <w:rsid w:val="004F3A0B"/>
    <w:rsid w:val="004F3AD6"/>
    <w:rsid w:val="004F44DB"/>
    <w:rsid w:val="004F5066"/>
    <w:rsid w:val="004F7056"/>
    <w:rsid w:val="0050080F"/>
    <w:rsid w:val="00500B90"/>
    <w:rsid w:val="0050311A"/>
    <w:rsid w:val="005044EC"/>
    <w:rsid w:val="00504733"/>
    <w:rsid w:val="00504E0B"/>
    <w:rsid w:val="00505CB1"/>
    <w:rsid w:val="005073FA"/>
    <w:rsid w:val="005077C1"/>
    <w:rsid w:val="00512251"/>
    <w:rsid w:val="005122FD"/>
    <w:rsid w:val="00513A57"/>
    <w:rsid w:val="00514AFD"/>
    <w:rsid w:val="005154A1"/>
    <w:rsid w:val="00517CEB"/>
    <w:rsid w:val="005204EF"/>
    <w:rsid w:val="00520FF1"/>
    <w:rsid w:val="00521CEE"/>
    <w:rsid w:val="0052203E"/>
    <w:rsid w:val="00522136"/>
    <w:rsid w:val="005236D8"/>
    <w:rsid w:val="005239DE"/>
    <w:rsid w:val="005240A5"/>
    <w:rsid w:val="005254F1"/>
    <w:rsid w:val="00525CB3"/>
    <w:rsid w:val="00531405"/>
    <w:rsid w:val="00532980"/>
    <w:rsid w:val="00533EB4"/>
    <w:rsid w:val="005343BA"/>
    <w:rsid w:val="0053602F"/>
    <w:rsid w:val="00542745"/>
    <w:rsid w:val="00543ABF"/>
    <w:rsid w:val="00543F0B"/>
    <w:rsid w:val="00543FD7"/>
    <w:rsid w:val="0054693A"/>
    <w:rsid w:val="0054720A"/>
    <w:rsid w:val="00547B78"/>
    <w:rsid w:val="00547F08"/>
    <w:rsid w:val="0055134B"/>
    <w:rsid w:val="005516F8"/>
    <w:rsid w:val="00552F89"/>
    <w:rsid w:val="00553910"/>
    <w:rsid w:val="005547A0"/>
    <w:rsid w:val="00555767"/>
    <w:rsid w:val="00563924"/>
    <w:rsid w:val="005641D3"/>
    <w:rsid w:val="00564F16"/>
    <w:rsid w:val="00565A97"/>
    <w:rsid w:val="00565F7C"/>
    <w:rsid w:val="00570EC9"/>
    <w:rsid w:val="005714C3"/>
    <w:rsid w:val="005717AE"/>
    <w:rsid w:val="00571814"/>
    <w:rsid w:val="00572425"/>
    <w:rsid w:val="00572A33"/>
    <w:rsid w:val="00573DD3"/>
    <w:rsid w:val="00574B1E"/>
    <w:rsid w:val="005771F5"/>
    <w:rsid w:val="005816E7"/>
    <w:rsid w:val="005825A5"/>
    <w:rsid w:val="005825C1"/>
    <w:rsid w:val="00582E25"/>
    <w:rsid w:val="0058590A"/>
    <w:rsid w:val="00587A46"/>
    <w:rsid w:val="00590487"/>
    <w:rsid w:val="00590F43"/>
    <w:rsid w:val="005917BE"/>
    <w:rsid w:val="00594EF6"/>
    <w:rsid w:val="00595384"/>
    <w:rsid w:val="00595C7F"/>
    <w:rsid w:val="00596072"/>
    <w:rsid w:val="005A0016"/>
    <w:rsid w:val="005A09CA"/>
    <w:rsid w:val="005A1DB9"/>
    <w:rsid w:val="005A2A54"/>
    <w:rsid w:val="005A4881"/>
    <w:rsid w:val="005A69F7"/>
    <w:rsid w:val="005B190C"/>
    <w:rsid w:val="005B33D8"/>
    <w:rsid w:val="005B35AC"/>
    <w:rsid w:val="005B38AB"/>
    <w:rsid w:val="005B3DA9"/>
    <w:rsid w:val="005B5D7A"/>
    <w:rsid w:val="005B6710"/>
    <w:rsid w:val="005C0E21"/>
    <w:rsid w:val="005C5472"/>
    <w:rsid w:val="005C5E58"/>
    <w:rsid w:val="005C7BE7"/>
    <w:rsid w:val="005D0741"/>
    <w:rsid w:val="005D0800"/>
    <w:rsid w:val="005D1843"/>
    <w:rsid w:val="005D21AC"/>
    <w:rsid w:val="005D3F81"/>
    <w:rsid w:val="005D68F0"/>
    <w:rsid w:val="005D69CB"/>
    <w:rsid w:val="005D7B65"/>
    <w:rsid w:val="005E065F"/>
    <w:rsid w:val="005E1F8D"/>
    <w:rsid w:val="005E4300"/>
    <w:rsid w:val="005E52FE"/>
    <w:rsid w:val="005E66D1"/>
    <w:rsid w:val="005E685A"/>
    <w:rsid w:val="005E68DA"/>
    <w:rsid w:val="005E6A4E"/>
    <w:rsid w:val="005E7CD7"/>
    <w:rsid w:val="005F0BE9"/>
    <w:rsid w:val="005F0DD5"/>
    <w:rsid w:val="005F13EC"/>
    <w:rsid w:val="005F4454"/>
    <w:rsid w:val="005F4489"/>
    <w:rsid w:val="005F4CD4"/>
    <w:rsid w:val="005F6253"/>
    <w:rsid w:val="005F6A82"/>
    <w:rsid w:val="00600731"/>
    <w:rsid w:val="006015FE"/>
    <w:rsid w:val="00603EF3"/>
    <w:rsid w:val="00605072"/>
    <w:rsid w:val="0060603B"/>
    <w:rsid w:val="00606C82"/>
    <w:rsid w:val="00606E93"/>
    <w:rsid w:val="00606FCC"/>
    <w:rsid w:val="006106B3"/>
    <w:rsid w:val="006106D8"/>
    <w:rsid w:val="00610E88"/>
    <w:rsid w:val="00611D58"/>
    <w:rsid w:val="00612356"/>
    <w:rsid w:val="00612B9A"/>
    <w:rsid w:val="0061528D"/>
    <w:rsid w:val="00616580"/>
    <w:rsid w:val="006175AF"/>
    <w:rsid w:val="00617AD5"/>
    <w:rsid w:val="0062041F"/>
    <w:rsid w:val="006208CA"/>
    <w:rsid w:val="006218D8"/>
    <w:rsid w:val="006220E2"/>
    <w:rsid w:val="00622303"/>
    <w:rsid w:val="006227BC"/>
    <w:rsid w:val="00623CA8"/>
    <w:rsid w:val="006259EF"/>
    <w:rsid w:val="006268E5"/>
    <w:rsid w:val="0062702E"/>
    <w:rsid w:val="00631C3B"/>
    <w:rsid w:val="00634F72"/>
    <w:rsid w:val="00636D20"/>
    <w:rsid w:val="0064131D"/>
    <w:rsid w:val="00642566"/>
    <w:rsid w:val="00642BAB"/>
    <w:rsid w:val="006434A9"/>
    <w:rsid w:val="00644177"/>
    <w:rsid w:val="00644A43"/>
    <w:rsid w:val="00644BE8"/>
    <w:rsid w:val="00645A19"/>
    <w:rsid w:val="00647E3E"/>
    <w:rsid w:val="00651096"/>
    <w:rsid w:val="006522F8"/>
    <w:rsid w:val="006524FA"/>
    <w:rsid w:val="006529A3"/>
    <w:rsid w:val="00653EB9"/>
    <w:rsid w:val="006544A9"/>
    <w:rsid w:val="00654DD8"/>
    <w:rsid w:val="006550D0"/>
    <w:rsid w:val="00655B23"/>
    <w:rsid w:val="00655E2A"/>
    <w:rsid w:val="0065684E"/>
    <w:rsid w:val="00656BEB"/>
    <w:rsid w:val="00657A5E"/>
    <w:rsid w:val="00660AE0"/>
    <w:rsid w:val="0066200E"/>
    <w:rsid w:val="0066324D"/>
    <w:rsid w:val="00663554"/>
    <w:rsid w:val="006635C0"/>
    <w:rsid w:val="00664817"/>
    <w:rsid w:val="00664C29"/>
    <w:rsid w:val="006667C2"/>
    <w:rsid w:val="00666BF0"/>
    <w:rsid w:val="00667AD3"/>
    <w:rsid w:val="00667F2F"/>
    <w:rsid w:val="00670656"/>
    <w:rsid w:val="00671EFA"/>
    <w:rsid w:val="00675218"/>
    <w:rsid w:val="006778A5"/>
    <w:rsid w:val="00677D84"/>
    <w:rsid w:val="0068082D"/>
    <w:rsid w:val="00680C6E"/>
    <w:rsid w:val="006825B4"/>
    <w:rsid w:val="0068537B"/>
    <w:rsid w:val="0068664F"/>
    <w:rsid w:val="00686852"/>
    <w:rsid w:val="00686B62"/>
    <w:rsid w:val="006904DF"/>
    <w:rsid w:val="00693249"/>
    <w:rsid w:val="00694DFC"/>
    <w:rsid w:val="006950CC"/>
    <w:rsid w:val="006956CA"/>
    <w:rsid w:val="00695D05"/>
    <w:rsid w:val="006963F0"/>
    <w:rsid w:val="006971E2"/>
    <w:rsid w:val="006A086E"/>
    <w:rsid w:val="006A403E"/>
    <w:rsid w:val="006A4415"/>
    <w:rsid w:val="006A4947"/>
    <w:rsid w:val="006A4DE7"/>
    <w:rsid w:val="006A50C9"/>
    <w:rsid w:val="006A60F8"/>
    <w:rsid w:val="006A68F2"/>
    <w:rsid w:val="006A71AB"/>
    <w:rsid w:val="006B10DF"/>
    <w:rsid w:val="006B1184"/>
    <w:rsid w:val="006B1C9A"/>
    <w:rsid w:val="006B262D"/>
    <w:rsid w:val="006B2AF1"/>
    <w:rsid w:val="006B2B53"/>
    <w:rsid w:val="006B5300"/>
    <w:rsid w:val="006B53BA"/>
    <w:rsid w:val="006B628C"/>
    <w:rsid w:val="006B7144"/>
    <w:rsid w:val="006C06C2"/>
    <w:rsid w:val="006C06D2"/>
    <w:rsid w:val="006C0DD0"/>
    <w:rsid w:val="006C1D90"/>
    <w:rsid w:val="006C2C66"/>
    <w:rsid w:val="006C3EF0"/>
    <w:rsid w:val="006C5F75"/>
    <w:rsid w:val="006C74A5"/>
    <w:rsid w:val="006D0DD9"/>
    <w:rsid w:val="006D1211"/>
    <w:rsid w:val="006D1798"/>
    <w:rsid w:val="006D250B"/>
    <w:rsid w:val="006D3C7E"/>
    <w:rsid w:val="006D7B01"/>
    <w:rsid w:val="006E29B1"/>
    <w:rsid w:val="006E2F9F"/>
    <w:rsid w:val="006E314A"/>
    <w:rsid w:val="006E3A9F"/>
    <w:rsid w:val="006E440A"/>
    <w:rsid w:val="006E4653"/>
    <w:rsid w:val="006E50B7"/>
    <w:rsid w:val="006E58AB"/>
    <w:rsid w:val="006E605B"/>
    <w:rsid w:val="006E62AE"/>
    <w:rsid w:val="006E6A23"/>
    <w:rsid w:val="006E7749"/>
    <w:rsid w:val="006E7FC7"/>
    <w:rsid w:val="006F0B71"/>
    <w:rsid w:val="006F0E9B"/>
    <w:rsid w:val="006F189E"/>
    <w:rsid w:val="006F1CC8"/>
    <w:rsid w:val="006F3FAB"/>
    <w:rsid w:val="006F4490"/>
    <w:rsid w:val="006F4AD8"/>
    <w:rsid w:val="006F70B0"/>
    <w:rsid w:val="0070076A"/>
    <w:rsid w:val="00700A3D"/>
    <w:rsid w:val="00701992"/>
    <w:rsid w:val="00701EB8"/>
    <w:rsid w:val="00702186"/>
    <w:rsid w:val="00702B2A"/>
    <w:rsid w:val="007068A6"/>
    <w:rsid w:val="00706CC5"/>
    <w:rsid w:val="00706E5D"/>
    <w:rsid w:val="00706FFD"/>
    <w:rsid w:val="00710464"/>
    <w:rsid w:val="007119B7"/>
    <w:rsid w:val="00713301"/>
    <w:rsid w:val="00713F48"/>
    <w:rsid w:val="007150AE"/>
    <w:rsid w:val="00716E77"/>
    <w:rsid w:val="0072021F"/>
    <w:rsid w:val="007212CB"/>
    <w:rsid w:val="007248F7"/>
    <w:rsid w:val="007258DE"/>
    <w:rsid w:val="00725F24"/>
    <w:rsid w:val="007262EF"/>
    <w:rsid w:val="00726AE8"/>
    <w:rsid w:val="00727A0D"/>
    <w:rsid w:val="0073204D"/>
    <w:rsid w:val="007357CF"/>
    <w:rsid w:val="0073739D"/>
    <w:rsid w:val="00741133"/>
    <w:rsid w:val="00741463"/>
    <w:rsid w:val="0074304F"/>
    <w:rsid w:val="0074519A"/>
    <w:rsid w:val="007455B8"/>
    <w:rsid w:val="00747FED"/>
    <w:rsid w:val="00750F39"/>
    <w:rsid w:val="00752167"/>
    <w:rsid w:val="007521F7"/>
    <w:rsid w:val="00752932"/>
    <w:rsid w:val="00752E4B"/>
    <w:rsid w:val="0075329F"/>
    <w:rsid w:val="00753B68"/>
    <w:rsid w:val="00753F2B"/>
    <w:rsid w:val="0075651A"/>
    <w:rsid w:val="00757360"/>
    <w:rsid w:val="00757473"/>
    <w:rsid w:val="00757511"/>
    <w:rsid w:val="00761531"/>
    <w:rsid w:val="007630FC"/>
    <w:rsid w:val="007645C1"/>
    <w:rsid w:val="0076488C"/>
    <w:rsid w:val="0077073E"/>
    <w:rsid w:val="007719AD"/>
    <w:rsid w:val="00771EAB"/>
    <w:rsid w:val="00774509"/>
    <w:rsid w:val="007756F4"/>
    <w:rsid w:val="00775E50"/>
    <w:rsid w:val="007764FC"/>
    <w:rsid w:val="007769ED"/>
    <w:rsid w:val="00781163"/>
    <w:rsid w:val="00782150"/>
    <w:rsid w:val="00783F2D"/>
    <w:rsid w:val="00784447"/>
    <w:rsid w:val="00785050"/>
    <w:rsid w:val="00787148"/>
    <w:rsid w:val="00791E95"/>
    <w:rsid w:val="00793619"/>
    <w:rsid w:val="00793ABB"/>
    <w:rsid w:val="00796C6F"/>
    <w:rsid w:val="0079786F"/>
    <w:rsid w:val="00797A6C"/>
    <w:rsid w:val="007A2138"/>
    <w:rsid w:val="007A3EF1"/>
    <w:rsid w:val="007A42CF"/>
    <w:rsid w:val="007A46CA"/>
    <w:rsid w:val="007A47DC"/>
    <w:rsid w:val="007A50A6"/>
    <w:rsid w:val="007A62AA"/>
    <w:rsid w:val="007B0930"/>
    <w:rsid w:val="007B29F2"/>
    <w:rsid w:val="007B3F2B"/>
    <w:rsid w:val="007B4AFE"/>
    <w:rsid w:val="007B4CD7"/>
    <w:rsid w:val="007B5EAA"/>
    <w:rsid w:val="007B6C9C"/>
    <w:rsid w:val="007C1146"/>
    <w:rsid w:val="007C4217"/>
    <w:rsid w:val="007C4C8A"/>
    <w:rsid w:val="007C5A23"/>
    <w:rsid w:val="007C6AB8"/>
    <w:rsid w:val="007C6D0B"/>
    <w:rsid w:val="007D06AF"/>
    <w:rsid w:val="007D1A40"/>
    <w:rsid w:val="007D5F4D"/>
    <w:rsid w:val="007D6838"/>
    <w:rsid w:val="007D77DD"/>
    <w:rsid w:val="007E04A8"/>
    <w:rsid w:val="007E0F85"/>
    <w:rsid w:val="007E0F8F"/>
    <w:rsid w:val="007E1868"/>
    <w:rsid w:val="007E1BCB"/>
    <w:rsid w:val="007E4385"/>
    <w:rsid w:val="007E7DB4"/>
    <w:rsid w:val="007F0016"/>
    <w:rsid w:val="007F008E"/>
    <w:rsid w:val="007F0619"/>
    <w:rsid w:val="00800159"/>
    <w:rsid w:val="00800263"/>
    <w:rsid w:val="00801A07"/>
    <w:rsid w:val="00801E01"/>
    <w:rsid w:val="00803218"/>
    <w:rsid w:val="008043AF"/>
    <w:rsid w:val="008051C2"/>
    <w:rsid w:val="008064D4"/>
    <w:rsid w:val="00812CD2"/>
    <w:rsid w:val="00814FC9"/>
    <w:rsid w:val="00815DFB"/>
    <w:rsid w:val="008161F1"/>
    <w:rsid w:val="00816894"/>
    <w:rsid w:val="00816FD9"/>
    <w:rsid w:val="00820C51"/>
    <w:rsid w:val="00824784"/>
    <w:rsid w:val="008260DF"/>
    <w:rsid w:val="00831F2A"/>
    <w:rsid w:val="008341C5"/>
    <w:rsid w:val="00835A95"/>
    <w:rsid w:val="00836046"/>
    <w:rsid w:val="00836EF0"/>
    <w:rsid w:val="00837F7D"/>
    <w:rsid w:val="008409AC"/>
    <w:rsid w:val="00841D18"/>
    <w:rsid w:val="00841E4E"/>
    <w:rsid w:val="00842ACD"/>
    <w:rsid w:val="0084397F"/>
    <w:rsid w:val="00844C63"/>
    <w:rsid w:val="00845710"/>
    <w:rsid w:val="00846CCC"/>
    <w:rsid w:val="00846F77"/>
    <w:rsid w:val="00847496"/>
    <w:rsid w:val="008477F2"/>
    <w:rsid w:val="00851569"/>
    <w:rsid w:val="00853BAB"/>
    <w:rsid w:val="008541C3"/>
    <w:rsid w:val="00855A0D"/>
    <w:rsid w:val="00856448"/>
    <w:rsid w:val="00856B83"/>
    <w:rsid w:val="00860756"/>
    <w:rsid w:val="00861D7A"/>
    <w:rsid w:val="00861EF7"/>
    <w:rsid w:val="00864583"/>
    <w:rsid w:val="00864D25"/>
    <w:rsid w:val="00865D41"/>
    <w:rsid w:val="00866538"/>
    <w:rsid w:val="00870352"/>
    <w:rsid w:val="00872298"/>
    <w:rsid w:val="00872A1E"/>
    <w:rsid w:val="0087331A"/>
    <w:rsid w:val="00873329"/>
    <w:rsid w:val="0087409E"/>
    <w:rsid w:val="008753A0"/>
    <w:rsid w:val="00875C26"/>
    <w:rsid w:val="00876A03"/>
    <w:rsid w:val="00876AF1"/>
    <w:rsid w:val="008775BB"/>
    <w:rsid w:val="008808B8"/>
    <w:rsid w:val="0088215B"/>
    <w:rsid w:val="00883627"/>
    <w:rsid w:val="0088439F"/>
    <w:rsid w:val="00884A55"/>
    <w:rsid w:val="00887792"/>
    <w:rsid w:val="00890325"/>
    <w:rsid w:val="00890DD6"/>
    <w:rsid w:val="00891B2D"/>
    <w:rsid w:val="00892865"/>
    <w:rsid w:val="008929A5"/>
    <w:rsid w:val="00892CCD"/>
    <w:rsid w:val="00893A77"/>
    <w:rsid w:val="00894DD7"/>
    <w:rsid w:val="00896FBC"/>
    <w:rsid w:val="00897EF4"/>
    <w:rsid w:val="008A070D"/>
    <w:rsid w:val="008A1191"/>
    <w:rsid w:val="008A1C77"/>
    <w:rsid w:val="008A2D55"/>
    <w:rsid w:val="008A3F4A"/>
    <w:rsid w:val="008A4C51"/>
    <w:rsid w:val="008A6B8A"/>
    <w:rsid w:val="008A7358"/>
    <w:rsid w:val="008B0FDC"/>
    <w:rsid w:val="008B139A"/>
    <w:rsid w:val="008B19D8"/>
    <w:rsid w:val="008B27E1"/>
    <w:rsid w:val="008B2858"/>
    <w:rsid w:val="008B3A3F"/>
    <w:rsid w:val="008B4819"/>
    <w:rsid w:val="008B48D7"/>
    <w:rsid w:val="008B4A21"/>
    <w:rsid w:val="008B5155"/>
    <w:rsid w:val="008B5D3E"/>
    <w:rsid w:val="008B75F2"/>
    <w:rsid w:val="008C1917"/>
    <w:rsid w:val="008C2EB8"/>
    <w:rsid w:val="008C302F"/>
    <w:rsid w:val="008C3BEE"/>
    <w:rsid w:val="008C5683"/>
    <w:rsid w:val="008C58F9"/>
    <w:rsid w:val="008D1755"/>
    <w:rsid w:val="008D1DAE"/>
    <w:rsid w:val="008D22F4"/>
    <w:rsid w:val="008D24BA"/>
    <w:rsid w:val="008D26F9"/>
    <w:rsid w:val="008D28E1"/>
    <w:rsid w:val="008D2F87"/>
    <w:rsid w:val="008D63E5"/>
    <w:rsid w:val="008E0031"/>
    <w:rsid w:val="008E0CB0"/>
    <w:rsid w:val="008E1777"/>
    <w:rsid w:val="008E32ED"/>
    <w:rsid w:val="008E4A08"/>
    <w:rsid w:val="008E552B"/>
    <w:rsid w:val="008E5D29"/>
    <w:rsid w:val="008E60B1"/>
    <w:rsid w:val="008E66D2"/>
    <w:rsid w:val="008E777D"/>
    <w:rsid w:val="008F5ACF"/>
    <w:rsid w:val="008F5B14"/>
    <w:rsid w:val="008F5BBF"/>
    <w:rsid w:val="008F67AA"/>
    <w:rsid w:val="008F7779"/>
    <w:rsid w:val="008F7AD5"/>
    <w:rsid w:val="0090070D"/>
    <w:rsid w:val="00900E83"/>
    <w:rsid w:val="00901655"/>
    <w:rsid w:val="00901693"/>
    <w:rsid w:val="00901E2B"/>
    <w:rsid w:val="00901F95"/>
    <w:rsid w:val="009032A7"/>
    <w:rsid w:val="00904855"/>
    <w:rsid w:val="00904E51"/>
    <w:rsid w:val="00905A32"/>
    <w:rsid w:val="00910B12"/>
    <w:rsid w:val="009123FF"/>
    <w:rsid w:val="009214F1"/>
    <w:rsid w:val="00922692"/>
    <w:rsid w:val="00923758"/>
    <w:rsid w:val="009277DD"/>
    <w:rsid w:val="0093054A"/>
    <w:rsid w:val="00930796"/>
    <w:rsid w:val="00931310"/>
    <w:rsid w:val="00934528"/>
    <w:rsid w:val="00934E6C"/>
    <w:rsid w:val="00935C86"/>
    <w:rsid w:val="00940001"/>
    <w:rsid w:val="00940709"/>
    <w:rsid w:val="00941006"/>
    <w:rsid w:val="009410A9"/>
    <w:rsid w:val="00942053"/>
    <w:rsid w:val="009428E8"/>
    <w:rsid w:val="00943B5D"/>
    <w:rsid w:val="00943EEE"/>
    <w:rsid w:val="009441C2"/>
    <w:rsid w:val="009442A5"/>
    <w:rsid w:val="00944546"/>
    <w:rsid w:val="009462A7"/>
    <w:rsid w:val="009464E0"/>
    <w:rsid w:val="00946867"/>
    <w:rsid w:val="009475B5"/>
    <w:rsid w:val="00947643"/>
    <w:rsid w:val="009476DA"/>
    <w:rsid w:val="009506FD"/>
    <w:rsid w:val="00950A98"/>
    <w:rsid w:val="00950D96"/>
    <w:rsid w:val="009524AE"/>
    <w:rsid w:val="009532F2"/>
    <w:rsid w:val="009538EE"/>
    <w:rsid w:val="009550F9"/>
    <w:rsid w:val="00956360"/>
    <w:rsid w:val="00957FF2"/>
    <w:rsid w:val="00960549"/>
    <w:rsid w:val="0096059D"/>
    <w:rsid w:val="00960ED7"/>
    <w:rsid w:val="00961939"/>
    <w:rsid w:val="00962C06"/>
    <w:rsid w:val="00962FED"/>
    <w:rsid w:val="00963F7F"/>
    <w:rsid w:val="009656A0"/>
    <w:rsid w:val="00965D5F"/>
    <w:rsid w:val="00970C1F"/>
    <w:rsid w:val="009717F7"/>
    <w:rsid w:val="0097325D"/>
    <w:rsid w:val="0098086C"/>
    <w:rsid w:val="0098202E"/>
    <w:rsid w:val="00982909"/>
    <w:rsid w:val="009858B4"/>
    <w:rsid w:val="00991E72"/>
    <w:rsid w:val="00992C4B"/>
    <w:rsid w:val="00993141"/>
    <w:rsid w:val="00993E50"/>
    <w:rsid w:val="009943CB"/>
    <w:rsid w:val="009949CF"/>
    <w:rsid w:val="009950B3"/>
    <w:rsid w:val="0099644A"/>
    <w:rsid w:val="009A0408"/>
    <w:rsid w:val="009A0F23"/>
    <w:rsid w:val="009A1F6B"/>
    <w:rsid w:val="009A20CA"/>
    <w:rsid w:val="009A3195"/>
    <w:rsid w:val="009A34AB"/>
    <w:rsid w:val="009A3F52"/>
    <w:rsid w:val="009A70AA"/>
    <w:rsid w:val="009A70D0"/>
    <w:rsid w:val="009B01F4"/>
    <w:rsid w:val="009B11AB"/>
    <w:rsid w:val="009B1B00"/>
    <w:rsid w:val="009B330A"/>
    <w:rsid w:val="009B3608"/>
    <w:rsid w:val="009B456B"/>
    <w:rsid w:val="009B54B0"/>
    <w:rsid w:val="009B57BC"/>
    <w:rsid w:val="009B643B"/>
    <w:rsid w:val="009B6CB7"/>
    <w:rsid w:val="009B766B"/>
    <w:rsid w:val="009C0283"/>
    <w:rsid w:val="009C3EC7"/>
    <w:rsid w:val="009C421A"/>
    <w:rsid w:val="009C51B9"/>
    <w:rsid w:val="009C53C8"/>
    <w:rsid w:val="009D00AE"/>
    <w:rsid w:val="009D2E55"/>
    <w:rsid w:val="009D2F6A"/>
    <w:rsid w:val="009E0083"/>
    <w:rsid w:val="009E0284"/>
    <w:rsid w:val="009E134F"/>
    <w:rsid w:val="009E1BA7"/>
    <w:rsid w:val="009E29D9"/>
    <w:rsid w:val="009E2D35"/>
    <w:rsid w:val="009E2EA8"/>
    <w:rsid w:val="009E3BDF"/>
    <w:rsid w:val="009E4A0A"/>
    <w:rsid w:val="009E7FDB"/>
    <w:rsid w:val="009F0478"/>
    <w:rsid w:val="009F2746"/>
    <w:rsid w:val="009F2E65"/>
    <w:rsid w:val="009F2E6D"/>
    <w:rsid w:val="009F5387"/>
    <w:rsid w:val="009F614B"/>
    <w:rsid w:val="009F6835"/>
    <w:rsid w:val="009F6AA3"/>
    <w:rsid w:val="009F736B"/>
    <w:rsid w:val="009F7E11"/>
    <w:rsid w:val="00A0017A"/>
    <w:rsid w:val="00A00AFC"/>
    <w:rsid w:val="00A01993"/>
    <w:rsid w:val="00A0601B"/>
    <w:rsid w:val="00A1091D"/>
    <w:rsid w:val="00A12C1C"/>
    <w:rsid w:val="00A137E6"/>
    <w:rsid w:val="00A14460"/>
    <w:rsid w:val="00A15269"/>
    <w:rsid w:val="00A15D1D"/>
    <w:rsid w:val="00A17B9F"/>
    <w:rsid w:val="00A22E06"/>
    <w:rsid w:val="00A231EE"/>
    <w:rsid w:val="00A23458"/>
    <w:rsid w:val="00A23F6E"/>
    <w:rsid w:val="00A24207"/>
    <w:rsid w:val="00A24CA2"/>
    <w:rsid w:val="00A24F31"/>
    <w:rsid w:val="00A2575A"/>
    <w:rsid w:val="00A259AD"/>
    <w:rsid w:val="00A25A55"/>
    <w:rsid w:val="00A261D8"/>
    <w:rsid w:val="00A26AAD"/>
    <w:rsid w:val="00A31CB4"/>
    <w:rsid w:val="00A31E82"/>
    <w:rsid w:val="00A32E9C"/>
    <w:rsid w:val="00A33EDE"/>
    <w:rsid w:val="00A34E6B"/>
    <w:rsid w:val="00A351B1"/>
    <w:rsid w:val="00A352B3"/>
    <w:rsid w:val="00A35F65"/>
    <w:rsid w:val="00A4020D"/>
    <w:rsid w:val="00A40865"/>
    <w:rsid w:val="00A415CF"/>
    <w:rsid w:val="00A419E4"/>
    <w:rsid w:val="00A43211"/>
    <w:rsid w:val="00A44A88"/>
    <w:rsid w:val="00A459D8"/>
    <w:rsid w:val="00A461B6"/>
    <w:rsid w:val="00A5177A"/>
    <w:rsid w:val="00A521FD"/>
    <w:rsid w:val="00A527B5"/>
    <w:rsid w:val="00A527BB"/>
    <w:rsid w:val="00A52A38"/>
    <w:rsid w:val="00A5375A"/>
    <w:rsid w:val="00A53EA8"/>
    <w:rsid w:val="00A54CA2"/>
    <w:rsid w:val="00A54F00"/>
    <w:rsid w:val="00A55233"/>
    <w:rsid w:val="00A5569D"/>
    <w:rsid w:val="00A56607"/>
    <w:rsid w:val="00A57104"/>
    <w:rsid w:val="00A61BF4"/>
    <w:rsid w:val="00A62B63"/>
    <w:rsid w:val="00A65543"/>
    <w:rsid w:val="00A664EC"/>
    <w:rsid w:val="00A7010B"/>
    <w:rsid w:val="00A716F7"/>
    <w:rsid w:val="00A76BD6"/>
    <w:rsid w:val="00A8067E"/>
    <w:rsid w:val="00A81F58"/>
    <w:rsid w:val="00A8208D"/>
    <w:rsid w:val="00A84430"/>
    <w:rsid w:val="00A900B6"/>
    <w:rsid w:val="00A907E6"/>
    <w:rsid w:val="00A92FD9"/>
    <w:rsid w:val="00A93941"/>
    <w:rsid w:val="00A947C7"/>
    <w:rsid w:val="00A94889"/>
    <w:rsid w:val="00A9510F"/>
    <w:rsid w:val="00A95468"/>
    <w:rsid w:val="00A95EF1"/>
    <w:rsid w:val="00A9689C"/>
    <w:rsid w:val="00A977A6"/>
    <w:rsid w:val="00A97FE3"/>
    <w:rsid w:val="00AA0A64"/>
    <w:rsid w:val="00AA1B26"/>
    <w:rsid w:val="00AA3439"/>
    <w:rsid w:val="00AA391D"/>
    <w:rsid w:val="00AA497B"/>
    <w:rsid w:val="00AA5CFC"/>
    <w:rsid w:val="00AA62FA"/>
    <w:rsid w:val="00AA6F6D"/>
    <w:rsid w:val="00AA710D"/>
    <w:rsid w:val="00AA73BE"/>
    <w:rsid w:val="00AB154E"/>
    <w:rsid w:val="00AB1C88"/>
    <w:rsid w:val="00AB402A"/>
    <w:rsid w:val="00AB5460"/>
    <w:rsid w:val="00AB6E3B"/>
    <w:rsid w:val="00AC0109"/>
    <w:rsid w:val="00AC208A"/>
    <w:rsid w:val="00AC2DF6"/>
    <w:rsid w:val="00AC3929"/>
    <w:rsid w:val="00AC4A0D"/>
    <w:rsid w:val="00AC60F9"/>
    <w:rsid w:val="00AC679E"/>
    <w:rsid w:val="00AD0459"/>
    <w:rsid w:val="00AD31C4"/>
    <w:rsid w:val="00AD3C88"/>
    <w:rsid w:val="00AD4C09"/>
    <w:rsid w:val="00AD52FF"/>
    <w:rsid w:val="00AD5BDF"/>
    <w:rsid w:val="00AD6DE2"/>
    <w:rsid w:val="00AD7E42"/>
    <w:rsid w:val="00AE415B"/>
    <w:rsid w:val="00AE41EF"/>
    <w:rsid w:val="00AE4579"/>
    <w:rsid w:val="00AE4BB3"/>
    <w:rsid w:val="00AE5389"/>
    <w:rsid w:val="00AE6081"/>
    <w:rsid w:val="00AE64B6"/>
    <w:rsid w:val="00AE7DD7"/>
    <w:rsid w:val="00AF0ACB"/>
    <w:rsid w:val="00AF0CDD"/>
    <w:rsid w:val="00AF1208"/>
    <w:rsid w:val="00AF1D3B"/>
    <w:rsid w:val="00AF4DE4"/>
    <w:rsid w:val="00AF5422"/>
    <w:rsid w:val="00AF5DF6"/>
    <w:rsid w:val="00AF6475"/>
    <w:rsid w:val="00AF652F"/>
    <w:rsid w:val="00AF7DA1"/>
    <w:rsid w:val="00B00967"/>
    <w:rsid w:val="00B00D82"/>
    <w:rsid w:val="00B0185C"/>
    <w:rsid w:val="00B01F11"/>
    <w:rsid w:val="00B02D52"/>
    <w:rsid w:val="00B03F76"/>
    <w:rsid w:val="00B10942"/>
    <w:rsid w:val="00B10DAB"/>
    <w:rsid w:val="00B11DAC"/>
    <w:rsid w:val="00B141BE"/>
    <w:rsid w:val="00B15D11"/>
    <w:rsid w:val="00B20115"/>
    <w:rsid w:val="00B21212"/>
    <w:rsid w:val="00B22424"/>
    <w:rsid w:val="00B22960"/>
    <w:rsid w:val="00B22DE4"/>
    <w:rsid w:val="00B23326"/>
    <w:rsid w:val="00B23970"/>
    <w:rsid w:val="00B2479A"/>
    <w:rsid w:val="00B259EF"/>
    <w:rsid w:val="00B27068"/>
    <w:rsid w:val="00B308C4"/>
    <w:rsid w:val="00B311F8"/>
    <w:rsid w:val="00B324E8"/>
    <w:rsid w:val="00B33BC6"/>
    <w:rsid w:val="00B36BF4"/>
    <w:rsid w:val="00B36F52"/>
    <w:rsid w:val="00B3712D"/>
    <w:rsid w:val="00B4067A"/>
    <w:rsid w:val="00B410B5"/>
    <w:rsid w:val="00B41AB3"/>
    <w:rsid w:val="00B42C33"/>
    <w:rsid w:val="00B42EE3"/>
    <w:rsid w:val="00B440D0"/>
    <w:rsid w:val="00B44EE0"/>
    <w:rsid w:val="00B455DD"/>
    <w:rsid w:val="00B47005"/>
    <w:rsid w:val="00B47E09"/>
    <w:rsid w:val="00B50DE1"/>
    <w:rsid w:val="00B52D6A"/>
    <w:rsid w:val="00B562F9"/>
    <w:rsid w:val="00B600A6"/>
    <w:rsid w:val="00B61586"/>
    <w:rsid w:val="00B61951"/>
    <w:rsid w:val="00B61AFC"/>
    <w:rsid w:val="00B61C4A"/>
    <w:rsid w:val="00B61ED2"/>
    <w:rsid w:val="00B621EC"/>
    <w:rsid w:val="00B64017"/>
    <w:rsid w:val="00B66E00"/>
    <w:rsid w:val="00B700FB"/>
    <w:rsid w:val="00B73AF8"/>
    <w:rsid w:val="00B74A29"/>
    <w:rsid w:val="00B74CDC"/>
    <w:rsid w:val="00B7677A"/>
    <w:rsid w:val="00B77E5B"/>
    <w:rsid w:val="00B80E42"/>
    <w:rsid w:val="00B82F69"/>
    <w:rsid w:val="00B83410"/>
    <w:rsid w:val="00B839DC"/>
    <w:rsid w:val="00B83DC6"/>
    <w:rsid w:val="00B84094"/>
    <w:rsid w:val="00B85DD1"/>
    <w:rsid w:val="00B86FC1"/>
    <w:rsid w:val="00B905FD"/>
    <w:rsid w:val="00B90D33"/>
    <w:rsid w:val="00B92F05"/>
    <w:rsid w:val="00B93764"/>
    <w:rsid w:val="00B94673"/>
    <w:rsid w:val="00B96421"/>
    <w:rsid w:val="00B96619"/>
    <w:rsid w:val="00B96E7D"/>
    <w:rsid w:val="00B9740F"/>
    <w:rsid w:val="00B977D0"/>
    <w:rsid w:val="00BA5ED9"/>
    <w:rsid w:val="00BA62FA"/>
    <w:rsid w:val="00BA704C"/>
    <w:rsid w:val="00BA7965"/>
    <w:rsid w:val="00BB2368"/>
    <w:rsid w:val="00BB2AA6"/>
    <w:rsid w:val="00BB39E6"/>
    <w:rsid w:val="00BB6290"/>
    <w:rsid w:val="00BB6DCC"/>
    <w:rsid w:val="00BB79C3"/>
    <w:rsid w:val="00BB7B04"/>
    <w:rsid w:val="00BC03B4"/>
    <w:rsid w:val="00BC3F46"/>
    <w:rsid w:val="00BC7E92"/>
    <w:rsid w:val="00BD0E60"/>
    <w:rsid w:val="00BD568B"/>
    <w:rsid w:val="00BD6ABA"/>
    <w:rsid w:val="00BD7E59"/>
    <w:rsid w:val="00BE05A1"/>
    <w:rsid w:val="00BE07CB"/>
    <w:rsid w:val="00BE0B1C"/>
    <w:rsid w:val="00BE3587"/>
    <w:rsid w:val="00BE694C"/>
    <w:rsid w:val="00BE6E04"/>
    <w:rsid w:val="00BF1805"/>
    <w:rsid w:val="00BF2D00"/>
    <w:rsid w:val="00BF2E2B"/>
    <w:rsid w:val="00BF4AE2"/>
    <w:rsid w:val="00BF4E3A"/>
    <w:rsid w:val="00BF5112"/>
    <w:rsid w:val="00C00C65"/>
    <w:rsid w:val="00C013E8"/>
    <w:rsid w:val="00C01A3A"/>
    <w:rsid w:val="00C03E37"/>
    <w:rsid w:val="00C04FD9"/>
    <w:rsid w:val="00C06436"/>
    <w:rsid w:val="00C07797"/>
    <w:rsid w:val="00C104EB"/>
    <w:rsid w:val="00C105A7"/>
    <w:rsid w:val="00C10D29"/>
    <w:rsid w:val="00C10E42"/>
    <w:rsid w:val="00C11B89"/>
    <w:rsid w:val="00C13F33"/>
    <w:rsid w:val="00C14CA6"/>
    <w:rsid w:val="00C15691"/>
    <w:rsid w:val="00C16703"/>
    <w:rsid w:val="00C20D6D"/>
    <w:rsid w:val="00C21277"/>
    <w:rsid w:val="00C22056"/>
    <w:rsid w:val="00C246BF"/>
    <w:rsid w:val="00C24A27"/>
    <w:rsid w:val="00C25177"/>
    <w:rsid w:val="00C27ADB"/>
    <w:rsid w:val="00C30DA9"/>
    <w:rsid w:val="00C30DAD"/>
    <w:rsid w:val="00C34FBC"/>
    <w:rsid w:val="00C35887"/>
    <w:rsid w:val="00C35C02"/>
    <w:rsid w:val="00C35D1E"/>
    <w:rsid w:val="00C36AF4"/>
    <w:rsid w:val="00C37623"/>
    <w:rsid w:val="00C415C7"/>
    <w:rsid w:val="00C443D4"/>
    <w:rsid w:val="00C44B26"/>
    <w:rsid w:val="00C4502A"/>
    <w:rsid w:val="00C45430"/>
    <w:rsid w:val="00C45722"/>
    <w:rsid w:val="00C45EAB"/>
    <w:rsid w:val="00C64902"/>
    <w:rsid w:val="00C70EF1"/>
    <w:rsid w:val="00C715A9"/>
    <w:rsid w:val="00C7278E"/>
    <w:rsid w:val="00C72C5B"/>
    <w:rsid w:val="00C73188"/>
    <w:rsid w:val="00C7372D"/>
    <w:rsid w:val="00C737AF"/>
    <w:rsid w:val="00C740D8"/>
    <w:rsid w:val="00C74121"/>
    <w:rsid w:val="00C74247"/>
    <w:rsid w:val="00C7483A"/>
    <w:rsid w:val="00C75D14"/>
    <w:rsid w:val="00C76636"/>
    <w:rsid w:val="00C76A9B"/>
    <w:rsid w:val="00C80542"/>
    <w:rsid w:val="00C8130C"/>
    <w:rsid w:val="00C82927"/>
    <w:rsid w:val="00C83C13"/>
    <w:rsid w:val="00C83D06"/>
    <w:rsid w:val="00C84084"/>
    <w:rsid w:val="00C8679C"/>
    <w:rsid w:val="00C86C01"/>
    <w:rsid w:val="00C87934"/>
    <w:rsid w:val="00C90D90"/>
    <w:rsid w:val="00C919B2"/>
    <w:rsid w:val="00C93194"/>
    <w:rsid w:val="00C93E34"/>
    <w:rsid w:val="00C948E9"/>
    <w:rsid w:val="00C94F47"/>
    <w:rsid w:val="00C9532F"/>
    <w:rsid w:val="00C95F15"/>
    <w:rsid w:val="00C96438"/>
    <w:rsid w:val="00C971A5"/>
    <w:rsid w:val="00CA0129"/>
    <w:rsid w:val="00CA049F"/>
    <w:rsid w:val="00CA0D25"/>
    <w:rsid w:val="00CA2600"/>
    <w:rsid w:val="00CA3999"/>
    <w:rsid w:val="00CA75D1"/>
    <w:rsid w:val="00CB069D"/>
    <w:rsid w:val="00CB085A"/>
    <w:rsid w:val="00CB21D1"/>
    <w:rsid w:val="00CB2515"/>
    <w:rsid w:val="00CB47E5"/>
    <w:rsid w:val="00CB48E5"/>
    <w:rsid w:val="00CB7DED"/>
    <w:rsid w:val="00CC16DF"/>
    <w:rsid w:val="00CC1E1C"/>
    <w:rsid w:val="00CC3A38"/>
    <w:rsid w:val="00CC3A50"/>
    <w:rsid w:val="00CC4A2F"/>
    <w:rsid w:val="00CC608E"/>
    <w:rsid w:val="00CD1715"/>
    <w:rsid w:val="00CD172F"/>
    <w:rsid w:val="00CD3351"/>
    <w:rsid w:val="00CD48E4"/>
    <w:rsid w:val="00CD5454"/>
    <w:rsid w:val="00CD5C70"/>
    <w:rsid w:val="00CD68AF"/>
    <w:rsid w:val="00CD6E88"/>
    <w:rsid w:val="00CD75EE"/>
    <w:rsid w:val="00CE18EF"/>
    <w:rsid w:val="00CE1C13"/>
    <w:rsid w:val="00CE367E"/>
    <w:rsid w:val="00CE5150"/>
    <w:rsid w:val="00CE5429"/>
    <w:rsid w:val="00CF0DA0"/>
    <w:rsid w:val="00CF1B25"/>
    <w:rsid w:val="00CF6819"/>
    <w:rsid w:val="00D00046"/>
    <w:rsid w:val="00D01AEB"/>
    <w:rsid w:val="00D044AE"/>
    <w:rsid w:val="00D044EE"/>
    <w:rsid w:val="00D065B0"/>
    <w:rsid w:val="00D065C7"/>
    <w:rsid w:val="00D06C1A"/>
    <w:rsid w:val="00D07CE6"/>
    <w:rsid w:val="00D07CFD"/>
    <w:rsid w:val="00D107CC"/>
    <w:rsid w:val="00D10F88"/>
    <w:rsid w:val="00D1116E"/>
    <w:rsid w:val="00D1146E"/>
    <w:rsid w:val="00D13F32"/>
    <w:rsid w:val="00D14012"/>
    <w:rsid w:val="00D143C7"/>
    <w:rsid w:val="00D145AD"/>
    <w:rsid w:val="00D14DAF"/>
    <w:rsid w:val="00D16B00"/>
    <w:rsid w:val="00D16C68"/>
    <w:rsid w:val="00D16FD4"/>
    <w:rsid w:val="00D20F80"/>
    <w:rsid w:val="00D2198D"/>
    <w:rsid w:val="00D21CDE"/>
    <w:rsid w:val="00D22CCC"/>
    <w:rsid w:val="00D2327B"/>
    <w:rsid w:val="00D23562"/>
    <w:rsid w:val="00D239FC"/>
    <w:rsid w:val="00D24207"/>
    <w:rsid w:val="00D25852"/>
    <w:rsid w:val="00D27E05"/>
    <w:rsid w:val="00D310A4"/>
    <w:rsid w:val="00D319A0"/>
    <w:rsid w:val="00D32AEB"/>
    <w:rsid w:val="00D35979"/>
    <w:rsid w:val="00D35CBA"/>
    <w:rsid w:val="00D36654"/>
    <w:rsid w:val="00D370DD"/>
    <w:rsid w:val="00D373BD"/>
    <w:rsid w:val="00D40A75"/>
    <w:rsid w:val="00D41BE5"/>
    <w:rsid w:val="00D4289F"/>
    <w:rsid w:val="00D433CA"/>
    <w:rsid w:val="00D456CA"/>
    <w:rsid w:val="00D47F18"/>
    <w:rsid w:val="00D5081B"/>
    <w:rsid w:val="00D50EDF"/>
    <w:rsid w:val="00D51F2A"/>
    <w:rsid w:val="00D52037"/>
    <w:rsid w:val="00D52A17"/>
    <w:rsid w:val="00D53717"/>
    <w:rsid w:val="00D54658"/>
    <w:rsid w:val="00D55333"/>
    <w:rsid w:val="00D55698"/>
    <w:rsid w:val="00D5594B"/>
    <w:rsid w:val="00D55AC9"/>
    <w:rsid w:val="00D55C93"/>
    <w:rsid w:val="00D57968"/>
    <w:rsid w:val="00D60468"/>
    <w:rsid w:val="00D60A25"/>
    <w:rsid w:val="00D6143D"/>
    <w:rsid w:val="00D6277C"/>
    <w:rsid w:val="00D63DB6"/>
    <w:rsid w:val="00D673DF"/>
    <w:rsid w:val="00D67616"/>
    <w:rsid w:val="00D67B11"/>
    <w:rsid w:val="00D71468"/>
    <w:rsid w:val="00D7235B"/>
    <w:rsid w:val="00D72D99"/>
    <w:rsid w:val="00D74046"/>
    <w:rsid w:val="00D763F9"/>
    <w:rsid w:val="00D7643B"/>
    <w:rsid w:val="00D7697D"/>
    <w:rsid w:val="00D81E5C"/>
    <w:rsid w:val="00D81E98"/>
    <w:rsid w:val="00D83BAF"/>
    <w:rsid w:val="00D83D93"/>
    <w:rsid w:val="00D83F97"/>
    <w:rsid w:val="00D84352"/>
    <w:rsid w:val="00D8569A"/>
    <w:rsid w:val="00D8592F"/>
    <w:rsid w:val="00D875D9"/>
    <w:rsid w:val="00D90628"/>
    <w:rsid w:val="00D92667"/>
    <w:rsid w:val="00D93C4B"/>
    <w:rsid w:val="00D944DE"/>
    <w:rsid w:val="00D94896"/>
    <w:rsid w:val="00D94BC2"/>
    <w:rsid w:val="00D97BB3"/>
    <w:rsid w:val="00DA2E66"/>
    <w:rsid w:val="00DA2EA1"/>
    <w:rsid w:val="00DA3B24"/>
    <w:rsid w:val="00DA3B90"/>
    <w:rsid w:val="00DA4FDD"/>
    <w:rsid w:val="00DA5381"/>
    <w:rsid w:val="00DB0228"/>
    <w:rsid w:val="00DB0C10"/>
    <w:rsid w:val="00DB6853"/>
    <w:rsid w:val="00DB68EC"/>
    <w:rsid w:val="00DB7728"/>
    <w:rsid w:val="00DC038E"/>
    <w:rsid w:val="00DC15AF"/>
    <w:rsid w:val="00DC2EFC"/>
    <w:rsid w:val="00DC4981"/>
    <w:rsid w:val="00DC5687"/>
    <w:rsid w:val="00DC6B3F"/>
    <w:rsid w:val="00DD11BE"/>
    <w:rsid w:val="00DD1F58"/>
    <w:rsid w:val="00DD41E1"/>
    <w:rsid w:val="00DD4304"/>
    <w:rsid w:val="00DD4BA0"/>
    <w:rsid w:val="00DD722E"/>
    <w:rsid w:val="00DE0193"/>
    <w:rsid w:val="00DE3BB7"/>
    <w:rsid w:val="00DE47B4"/>
    <w:rsid w:val="00DE586E"/>
    <w:rsid w:val="00DE60AA"/>
    <w:rsid w:val="00DE66AA"/>
    <w:rsid w:val="00DF144D"/>
    <w:rsid w:val="00DF1C1E"/>
    <w:rsid w:val="00DF43E8"/>
    <w:rsid w:val="00DF4FF8"/>
    <w:rsid w:val="00DF5177"/>
    <w:rsid w:val="00DF53DC"/>
    <w:rsid w:val="00DF544C"/>
    <w:rsid w:val="00DF5A6F"/>
    <w:rsid w:val="00DF61D9"/>
    <w:rsid w:val="00DF7462"/>
    <w:rsid w:val="00E01684"/>
    <w:rsid w:val="00E02270"/>
    <w:rsid w:val="00E02773"/>
    <w:rsid w:val="00E0397A"/>
    <w:rsid w:val="00E049B8"/>
    <w:rsid w:val="00E073FC"/>
    <w:rsid w:val="00E11867"/>
    <w:rsid w:val="00E130CA"/>
    <w:rsid w:val="00E1436B"/>
    <w:rsid w:val="00E14E69"/>
    <w:rsid w:val="00E16B1A"/>
    <w:rsid w:val="00E1730C"/>
    <w:rsid w:val="00E20A0D"/>
    <w:rsid w:val="00E21513"/>
    <w:rsid w:val="00E220A3"/>
    <w:rsid w:val="00E2362D"/>
    <w:rsid w:val="00E23BFE"/>
    <w:rsid w:val="00E24317"/>
    <w:rsid w:val="00E25E73"/>
    <w:rsid w:val="00E26C65"/>
    <w:rsid w:val="00E30414"/>
    <w:rsid w:val="00E31315"/>
    <w:rsid w:val="00E31980"/>
    <w:rsid w:val="00E328EC"/>
    <w:rsid w:val="00E35746"/>
    <w:rsid w:val="00E419DF"/>
    <w:rsid w:val="00E4262E"/>
    <w:rsid w:val="00E464F0"/>
    <w:rsid w:val="00E469F7"/>
    <w:rsid w:val="00E51DA2"/>
    <w:rsid w:val="00E51F94"/>
    <w:rsid w:val="00E604F4"/>
    <w:rsid w:val="00E60CEC"/>
    <w:rsid w:val="00E60E77"/>
    <w:rsid w:val="00E61414"/>
    <w:rsid w:val="00E637A8"/>
    <w:rsid w:val="00E63BCE"/>
    <w:rsid w:val="00E66897"/>
    <w:rsid w:val="00E715DF"/>
    <w:rsid w:val="00E717FB"/>
    <w:rsid w:val="00E74496"/>
    <w:rsid w:val="00E7470A"/>
    <w:rsid w:val="00E7529F"/>
    <w:rsid w:val="00E75899"/>
    <w:rsid w:val="00E771E0"/>
    <w:rsid w:val="00E84076"/>
    <w:rsid w:val="00E841C0"/>
    <w:rsid w:val="00E865B9"/>
    <w:rsid w:val="00E8681B"/>
    <w:rsid w:val="00E8692B"/>
    <w:rsid w:val="00E8755D"/>
    <w:rsid w:val="00E90685"/>
    <w:rsid w:val="00E90848"/>
    <w:rsid w:val="00E937C7"/>
    <w:rsid w:val="00E94105"/>
    <w:rsid w:val="00E951CC"/>
    <w:rsid w:val="00E966E5"/>
    <w:rsid w:val="00EA01D8"/>
    <w:rsid w:val="00EA280A"/>
    <w:rsid w:val="00EA315E"/>
    <w:rsid w:val="00EA3B5C"/>
    <w:rsid w:val="00EA4388"/>
    <w:rsid w:val="00EA49A6"/>
    <w:rsid w:val="00EA53A3"/>
    <w:rsid w:val="00EA7512"/>
    <w:rsid w:val="00EB03FB"/>
    <w:rsid w:val="00EB0A2A"/>
    <w:rsid w:val="00EB0F71"/>
    <w:rsid w:val="00EB1D47"/>
    <w:rsid w:val="00EB29C2"/>
    <w:rsid w:val="00EB3DD4"/>
    <w:rsid w:val="00EB3E8A"/>
    <w:rsid w:val="00EB4A8B"/>
    <w:rsid w:val="00EB5977"/>
    <w:rsid w:val="00EB761E"/>
    <w:rsid w:val="00EB7875"/>
    <w:rsid w:val="00EC0BB5"/>
    <w:rsid w:val="00EC1F63"/>
    <w:rsid w:val="00EC793B"/>
    <w:rsid w:val="00ED0567"/>
    <w:rsid w:val="00ED1747"/>
    <w:rsid w:val="00ED2C78"/>
    <w:rsid w:val="00ED3D2C"/>
    <w:rsid w:val="00ED622F"/>
    <w:rsid w:val="00ED6C79"/>
    <w:rsid w:val="00ED729E"/>
    <w:rsid w:val="00ED784C"/>
    <w:rsid w:val="00EE13AF"/>
    <w:rsid w:val="00EE1EF2"/>
    <w:rsid w:val="00EE3603"/>
    <w:rsid w:val="00EE47D1"/>
    <w:rsid w:val="00EE5B78"/>
    <w:rsid w:val="00EE660B"/>
    <w:rsid w:val="00EE6C76"/>
    <w:rsid w:val="00EE6E26"/>
    <w:rsid w:val="00EE6E4F"/>
    <w:rsid w:val="00EF043D"/>
    <w:rsid w:val="00EF0CF8"/>
    <w:rsid w:val="00EF2122"/>
    <w:rsid w:val="00EF4D82"/>
    <w:rsid w:val="00EF5C06"/>
    <w:rsid w:val="00EF5D3C"/>
    <w:rsid w:val="00F00C63"/>
    <w:rsid w:val="00F01A73"/>
    <w:rsid w:val="00F0324C"/>
    <w:rsid w:val="00F04C92"/>
    <w:rsid w:val="00F052CC"/>
    <w:rsid w:val="00F05A3B"/>
    <w:rsid w:val="00F07D4A"/>
    <w:rsid w:val="00F10E86"/>
    <w:rsid w:val="00F140B4"/>
    <w:rsid w:val="00F1423B"/>
    <w:rsid w:val="00F14DDC"/>
    <w:rsid w:val="00F153E9"/>
    <w:rsid w:val="00F15DC8"/>
    <w:rsid w:val="00F1604A"/>
    <w:rsid w:val="00F17867"/>
    <w:rsid w:val="00F178E7"/>
    <w:rsid w:val="00F20263"/>
    <w:rsid w:val="00F20A1A"/>
    <w:rsid w:val="00F20FFB"/>
    <w:rsid w:val="00F2198B"/>
    <w:rsid w:val="00F21CE8"/>
    <w:rsid w:val="00F24279"/>
    <w:rsid w:val="00F26866"/>
    <w:rsid w:val="00F30811"/>
    <w:rsid w:val="00F308D9"/>
    <w:rsid w:val="00F309B2"/>
    <w:rsid w:val="00F33FD3"/>
    <w:rsid w:val="00F41D2D"/>
    <w:rsid w:val="00F420BE"/>
    <w:rsid w:val="00F4221D"/>
    <w:rsid w:val="00F43C74"/>
    <w:rsid w:val="00F44D69"/>
    <w:rsid w:val="00F477EB"/>
    <w:rsid w:val="00F504DE"/>
    <w:rsid w:val="00F50501"/>
    <w:rsid w:val="00F50E81"/>
    <w:rsid w:val="00F50FB3"/>
    <w:rsid w:val="00F5223B"/>
    <w:rsid w:val="00F526B3"/>
    <w:rsid w:val="00F539F8"/>
    <w:rsid w:val="00F5489C"/>
    <w:rsid w:val="00F54E1B"/>
    <w:rsid w:val="00F56A1C"/>
    <w:rsid w:val="00F57801"/>
    <w:rsid w:val="00F5781E"/>
    <w:rsid w:val="00F57A7D"/>
    <w:rsid w:val="00F57DC7"/>
    <w:rsid w:val="00F60B41"/>
    <w:rsid w:val="00F63037"/>
    <w:rsid w:val="00F642E3"/>
    <w:rsid w:val="00F6596E"/>
    <w:rsid w:val="00F67928"/>
    <w:rsid w:val="00F70052"/>
    <w:rsid w:val="00F71AD0"/>
    <w:rsid w:val="00F723E2"/>
    <w:rsid w:val="00F72950"/>
    <w:rsid w:val="00F73DCC"/>
    <w:rsid w:val="00F74D47"/>
    <w:rsid w:val="00F76252"/>
    <w:rsid w:val="00F76796"/>
    <w:rsid w:val="00F80D0E"/>
    <w:rsid w:val="00F82422"/>
    <w:rsid w:val="00F8299E"/>
    <w:rsid w:val="00F82F22"/>
    <w:rsid w:val="00F90D16"/>
    <w:rsid w:val="00F91D96"/>
    <w:rsid w:val="00F91FD3"/>
    <w:rsid w:val="00F93B28"/>
    <w:rsid w:val="00F93F5B"/>
    <w:rsid w:val="00F941A8"/>
    <w:rsid w:val="00F945DB"/>
    <w:rsid w:val="00F952D4"/>
    <w:rsid w:val="00F953A8"/>
    <w:rsid w:val="00F96AB0"/>
    <w:rsid w:val="00F97662"/>
    <w:rsid w:val="00FA127F"/>
    <w:rsid w:val="00FA151A"/>
    <w:rsid w:val="00FA1E9D"/>
    <w:rsid w:val="00FA3211"/>
    <w:rsid w:val="00FA4F34"/>
    <w:rsid w:val="00FB074F"/>
    <w:rsid w:val="00FB099A"/>
    <w:rsid w:val="00FB129F"/>
    <w:rsid w:val="00FB1714"/>
    <w:rsid w:val="00FB19AA"/>
    <w:rsid w:val="00FB1B7B"/>
    <w:rsid w:val="00FB31D7"/>
    <w:rsid w:val="00FB59EA"/>
    <w:rsid w:val="00FC0DED"/>
    <w:rsid w:val="00FC103A"/>
    <w:rsid w:val="00FC2D73"/>
    <w:rsid w:val="00FC31E3"/>
    <w:rsid w:val="00FC68BB"/>
    <w:rsid w:val="00FC6C8D"/>
    <w:rsid w:val="00FD150A"/>
    <w:rsid w:val="00FD25CE"/>
    <w:rsid w:val="00FD27AA"/>
    <w:rsid w:val="00FD3386"/>
    <w:rsid w:val="00FE1856"/>
    <w:rsid w:val="00FE1C40"/>
    <w:rsid w:val="00FE2F69"/>
    <w:rsid w:val="00FE503A"/>
    <w:rsid w:val="00FE7C36"/>
    <w:rsid w:val="00FF06A7"/>
    <w:rsid w:val="00FF0919"/>
    <w:rsid w:val="00FF1BC3"/>
    <w:rsid w:val="00FF2BB1"/>
    <w:rsid w:val="00FF3021"/>
    <w:rsid w:val="00FF4969"/>
    <w:rsid w:val="00FF4F57"/>
    <w:rsid w:val="00FF50A3"/>
    <w:rsid w:val="0487AFF5"/>
    <w:rsid w:val="08749A2A"/>
    <w:rsid w:val="0BFD0031"/>
    <w:rsid w:val="11832D11"/>
    <w:rsid w:val="141EFE2C"/>
    <w:rsid w:val="14C87361"/>
    <w:rsid w:val="1589DD86"/>
    <w:rsid w:val="18DC7521"/>
    <w:rsid w:val="1E68980C"/>
    <w:rsid w:val="2CAA8D98"/>
    <w:rsid w:val="32011503"/>
    <w:rsid w:val="339CE564"/>
    <w:rsid w:val="3538B5C5"/>
    <w:rsid w:val="38705687"/>
    <w:rsid w:val="3C408145"/>
    <w:rsid w:val="4BC60899"/>
    <w:rsid w:val="4C965B45"/>
    <w:rsid w:val="5F993214"/>
    <w:rsid w:val="5FC51713"/>
    <w:rsid w:val="60DA3D28"/>
    <w:rsid w:val="6509A6C7"/>
    <w:rsid w:val="737DC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CA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E02773"/>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EA4388"/>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EA4388"/>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
    <w:basedOn w:val="Normal"/>
    <w:link w:val="FootnoteTextChar"/>
    <w:uiPriority w:val="1"/>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1"/>
    <w:rsid w:val="00EE47D1"/>
    <w:rPr>
      <w:sz w:val="18"/>
      <w:szCs w:val="20"/>
    </w:rPr>
  </w:style>
  <w:style w:type="character" w:styleId="FootnoteReference">
    <w:name w:val="footnote reference"/>
    <w:aliases w:val="A4 Footnote Reference,Ref,de nota al pie"/>
    <w:basedOn w:val="DefaultParagraphFont"/>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7769ED"/>
    <w:rPr>
      <w:sz w:val="16"/>
      <w:szCs w:val="16"/>
    </w:rPr>
  </w:style>
  <w:style w:type="paragraph" w:styleId="CommentText">
    <w:name w:val="annotation text"/>
    <w:basedOn w:val="Normal"/>
    <w:link w:val="CommentTextChar"/>
    <w:uiPriority w:val="99"/>
    <w:unhideWhenUsed/>
    <w:rsid w:val="007769ED"/>
    <w:pPr>
      <w:spacing w:line="240" w:lineRule="auto"/>
    </w:pPr>
    <w:rPr>
      <w:sz w:val="20"/>
      <w:szCs w:val="20"/>
    </w:rPr>
  </w:style>
  <w:style w:type="character" w:customStyle="1" w:styleId="CommentTextChar">
    <w:name w:val="Comment Text Char"/>
    <w:basedOn w:val="DefaultParagraphFont"/>
    <w:link w:val="CommentText"/>
    <w:uiPriority w:val="99"/>
    <w:rsid w:val="007769ED"/>
    <w:rPr>
      <w:sz w:val="20"/>
      <w:szCs w:val="20"/>
    </w:rPr>
  </w:style>
  <w:style w:type="paragraph" w:styleId="CommentSubject">
    <w:name w:val="annotation subject"/>
    <w:basedOn w:val="CommentText"/>
    <w:next w:val="CommentText"/>
    <w:link w:val="CommentSubjectChar"/>
    <w:uiPriority w:val="99"/>
    <w:semiHidden/>
    <w:unhideWhenUsed/>
    <w:rsid w:val="007769ED"/>
    <w:rPr>
      <w:b/>
      <w:bCs/>
    </w:rPr>
  </w:style>
  <w:style w:type="character" w:customStyle="1" w:styleId="CommentSubjectChar">
    <w:name w:val="Comment Subject Char"/>
    <w:basedOn w:val="CommentTextChar"/>
    <w:link w:val="CommentSubject"/>
    <w:uiPriority w:val="99"/>
    <w:semiHidden/>
    <w:rsid w:val="007769ED"/>
    <w:rPr>
      <w:b/>
      <w:bCs/>
      <w:sz w:val="20"/>
      <w:szCs w:val="20"/>
    </w:rPr>
  </w:style>
  <w:style w:type="paragraph" w:styleId="Revision">
    <w:name w:val="Revision"/>
    <w:hidden/>
    <w:uiPriority w:val="99"/>
    <w:semiHidden/>
    <w:rsid w:val="0074304F"/>
    <w:pPr>
      <w:spacing w:after="0" w:line="240" w:lineRule="auto"/>
      <w:jc w:val="left"/>
    </w:pPr>
  </w:style>
  <w:style w:type="paragraph" w:customStyle="1" w:styleId="Default">
    <w:name w:val="Default"/>
    <w:rsid w:val="002F23A5"/>
    <w:pPr>
      <w:autoSpaceDE w:val="0"/>
      <w:autoSpaceDN w:val="0"/>
      <w:adjustRightInd w:val="0"/>
      <w:spacing w:after="0" w:line="240" w:lineRule="auto"/>
      <w:jc w:val="left"/>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098">
      <w:bodyDiv w:val="1"/>
      <w:marLeft w:val="0"/>
      <w:marRight w:val="0"/>
      <w:marTop w:val="0"/>
      <w:marBottom w:val="0"/>
      <w:divBdr>
        <w:top w:val="none" w:sz="0" w:space="0" w:color="auto"/>
        <w:left w:val="none" w:sz="0" w:space="0" w:color="auto"/>
        <w:bottom w:val="none" w:sz="0" w:space="0" w:color="auto"/>
        <w:right w:val="none" w:sz="0" w:space="0" w:color="auto"/>
      </w:divBdr>
    </w:div>
    <w:div w:id="243145444">
      <w:bodyDiv w:val="1"/>
      <w:marLeft w:val="0"/>
      <w:marRight w:val="0"/>
      <w:marTop w:val="0"/>
      <w:marBottom w:val="0"/>
      <w:divBdr>
        <w:top w:val="none" w:sz="0" w:space="0" w:color="auto"/>
        <w:left w:val="none" w:sz="0" w:space="0" w:color="auto"/>
        <w:bottom w:val="none" w:sz="0" w:space="0" w:color="auto"/>
        <w:right w:val="none" w:sz="0" w:space="0" w:color="auto"/>
      </w:divBdr>
    </w:div>
    <w:div w:id="271474179">
      <w:bodyDiv w:val="1"/>
      <w:marLeft w:val="0"/>
      <w:marRight w:val="0"/>
      <w:marTop w:val="0"/>
      <w:marBottom w:val="0"/>
      <w:divBdr>
        <w:top w:val="none" w:sz="0" w:space="0" w:color="auto"/>
        <w:left w:val="none" w:sz="0" w:space="0" w:color="auto"/>
        <w:bottom w:val="none" w:sz="0" w:space="0" w:color="auto"/>
        <w:right w:val="none" w:sz="0" w:space="0" w:color="auto"/>
      </w:divBdr>
    </w:div>
    <w:div w:id="335573580">
      <w:bodyDiv w:val="1"/>
      <w:marLeft w:val="0"/>
      <w:marRight w:val="0"/>
      <w:marTop w:val="0"/>
      <w:marBottom w:val="0"/>
      <w:divBdr>
        <w:top w:val="none" w:sz="0" w:space="0" w:color="auto"/>
        <w:left w:val="none" w:sz="0" w:space="0" w:color="auto"/>
        <w:bottom w:val="none" w:sz="0" w:space="0" w:color="auto"/>
        <w:right w:val="none" w:sz="0" w:space="0" w:color="auto"/>
      </w:divBdr>
    </w:div>
    <w:div w:id="506137972">
      <w:bodyDiv w:val="1"/>
      <w:marLeft w:val="0"/>
      <w:marRight w:val="0"/>
      <w:marTop w:val="0"/>
      <w:marBottom w:val="0"/>
      <w:divBdr>
        <w:top w:val="none" w:sz="0" w:space="0" w:color="auto"/>
        <w:left w:val="none" w:sz="0" w:space="0" w:color="auto"/>
        <w:bottom w:val="none" w:sz="0" w:space="0" w:color="auto"/>
        <w:right w:val="none" w:sz="0" w:space="0" w:color="auto"/>
      </w:divBdr>
    </w:div>
    <w:div w:id="21251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63F4-DC62-414E-B281-31A237BA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8091</Words>
  <Characters>48062</Characters>
  <Application>Microsoft Office Word</Application>
  <DocSecurity>0</DocSecurity>
  <Lines>843</Lines>
  <Paragraphs>338</Paragraphs>
  <ScaleCrop>false</ScaleCrop>
  <HeadingPairs>
    <vt:vector size="2" baseType="variant">
      <vt:variant>
        <vt:lpstr>Title</vt:lpstr>
      </vt:variant>
      <vt:variant>
        <vt:i4>1</vt:i4>
      </vt:variant>
    </vt:vector>
  </HeadingPairs>
  <TitlesOfParts>
    <vt:vector size="1" baseType="lpstr">
      <vt:lpstr>DS602 Australia's Opening Statement at the First Substantive Meeting with the parties</vt:lpstr>
    </vt:vector>
  </TitlesOfParts>
  <Company/>
  <LinksUpToDate>false</LinksUpToDate>
  <CharactersWithSpaces>55815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DS602 Australia's Opening Statement at the First Substantive Meeting with the parties</dc:title>
  <dc:subject/>
  <dc:creator/>
  <cp:keywords>[SEC=OFFICIAL:Sensitive]</cp:keywords>
  <dc:description/>
  <cp:lastModifiedBy/>
  <cp:revision>1</cp:revision>
  <dcterms:created xsi:type="dcterms:W3CDTF">2023-05-30T04:17:00Z</dcterms:created>
  <dcterms:modified xsi:type="dcterms:W3CDTF">2023-05-30T04:17:00Z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 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B840683EAE104CE695AA03A639CC13A8</vt:lpwstr>
  </property>
  <property fmtid="{D5CDD505-2E9C-101B-9397-08002B2CF9AE}" pid="9" name="PM_ProtectiveMarkingValue_Footer">
    <vt:lpwstr>Legal privilege_x000d_
OFFICIAL: Sensitive</vt:lpwstr>
  </property>
  <property fmtid="{D5CDD505-2E9C-101B-9397-08002B2CF9AE}" pid="10" name="PM_Originator_Hash_SHA1">
    <vt:lpwstr>260D391A355C0F7895D53005377AC1700003BFA9</vt:lpwstr>
  </property>
  <property fmtid="{D5CDD505-2E9C-101B-9397-08002B2CF9AE}" pid="11" name="PM_OriginationTimeStamp">
    <vt:lpwstr>2023-05-30T04:16:37Z</vt:lpwstr>
  </property>
  <property fmtid="{D5CDD505-2E9C-101B-9397-08002B2CF9AE}" pid="12" name="PM_ProtectiveMarkingValue_Header">
    <vt:lpwstr>OFFICIAL: Sensitive_x000d_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Display">
    <vt:lpwstr>OFFICIAL: Sensitive Legal privilege</vt:lpwstr>
  </property>
  <property fmtid="{D5CDD505-2E9C-101B-9397-08002B2CF9AE}" pid="19" name="PMUuid">
    <vt:lpwstr>68E7A67E-5C70-5EB2-A0CD-56F35A9D81DC</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458A87151E97B5A379E86CD31C9B00BD</vt:lpwstr>
  </property>
  <property fmtid="{D5CDD505-2E9C-101B-9397-08002B2CF9AE}" pid="23" name="PM_Hash_Salt">
    <vt:lpwstr>02C41048E67A5226CFCED3F7F11FA85A</vt:lpwstr>
  </property>
  <property fmtid="{D5CDD505-2E9C-101B-9397-08002B2CF9AE}" pid="24" name="PM_Hash_SHA1">
    <vt:lpwstr>0A6DA607233567E5F1CBF56EC86225B938CFAAEE</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PM_SecurityClassification_Prev">
    <vt:lpwstr>OFFICIAL:Sensitive</vt:lpwstr>
  </property>
  <property fmtid="{D5CDD505-2E9C-101B-9397-08002B2CF9AE}" pid="29" name="PM_Qualifier_Prev">
    <vt:lpwstr/>
  </property>
</Properties>
</file>