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1B93" w14:textId="77777777" w:rsidR="00C022A6" w:rsidRDefault="00620C43">
      <w:pPr>
        <w:pStyle w:val="BTNSSBodyTextNoSpacingSmall"/>
        <w:spacing w:line="360" w:lineRule="auto"/>
        <w:jc w:val="center"/>
        <w:rPr>
          <w:sz w:val="2"/>
          <w:szCs w:val="2"/>
        </w:rPr>
      </w:pPr>
      <w:r>
        <w:rPr>
          <w:sz w:val="2"/>
          <w:szCs w:val="2"/>
        </w:rPr>
        <w:t>deep</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C022A6" w14:paraId="49B518D9" w14:textId="77777777">
        <w:trPr>
          <w:trHeight w:val="4365"/>
          <w:jc w:val="center"/>
        </w:trPr>
        <w:tc>
          <w:tcPr>
            <w:tcW w:w="9060" w:type="dxa"/>
          </w:tcPr>
          <w:p w14:paraId="016898CB" w14:textId="77777777" w:rsidR="00C022A6" w:rsidRDefault="00620C43">
            <w:pPr>
              <w:pStyle w:val="WTODTWTODisputeTitle"/>
              <w:spacing w:line="360" w:lineRule="auto"/>
            </w:pPr>
            <w:r>
              <w:t>Before the World Trade Organization</w:t>
            </w:r>
          </w:p>
          <w:p w14:paraId="24BA54AD" w14:textId="77777777" w:rsidR="00C022A6" w:rsidRDefault="00620C43">
            <w:pPr>
              <w:pStyle w:val="WTODTWTODisputeTitle"/>
              <w:spacing w:line="360" w:lineRule="auto"/>
            </w:pPr>
            <w:r>
              <w:t>Panel Proceedings</w:t>
            </w:r>
          </w:p>
          <w:p w14:paraId="1B4F3BC8" w14:textId="77777777" w:rsidR="00C022A6" w:rsidRDefault="00C022A6">
            <w:pPr>
              <w:pStyle w:val="BTBodyText"/>
              <w:spacing w:after="240" w:line="360" w:lineRule="auto"/>
              <w:jc w:val="center"/>
              <w:rPr>
                <w:b/>
                <w:bCs/>
                <w:sz w:val="32"/>
                <w:szCs w:val="32"/>
              </w:rPr>
            </w:pPr>
          </w:p>
        </w:tc>
      </w:tr>
      <w:tr w:rsidR="00C022A6" w14:paraId="2F0956DE" w14:textId="77777777">
        <w:trPr>
          <w:trHeight w:val="737"/>
          <w:jc w:val="center"/>
        </w:trPr>
        <w:tc>
          <w:tcPr>
            <w:tcW w:w="9060" w:type="dxa"/>
          </w:tcPr>
          <w:p w14:paraId="43870CF8" w14:textId="77777777" w:rsidR="00C022A6" w:rsidRDefault="00620C43">
            <w:pPr>
              <w:pStyle w:val="WTODTWTODisputeTitle"/>
              <w:spacing w:line="360" w:lineRule="auto"/>
            </w:pPr>
            <w:r>
              <w:t>Australia — Anti-Dumping and Countervailing Duty Measures on Certain Products from China</w:t>
            </w:r>
          </w:p>
        </w:tc>
      </w:tr>
      <w:tr w:rsidR="00C022A6" w14:paraId="4F0D45C1" w14:textId="77777777">
        <w:trPr>
          <w:trHeight w:val="3175"/>
          <w:jc w:val="center"/>
        </w:trPr>
        <w:tc>
          <w:tcPr>
            <w:tcW w:w="9060" w:type="dxa"/>
          </w:tcPr>
          <w:p w14:paraId="14565526" w14:textId="77777777" w:rsidR="00C022A6" w:rsidRDefault="00620C43">
            <w:pPr>
              <w:pStyle w:val="DSNDSNumber"/>
              <w:spacing w:line="360" w:lineRule="auto"/>
            </w:pPr>
            <w:r>
              <w:t>(DS603)</w:t>
            </w:r>
          </w:p>
        </w:tc>
      </w:tr>
      <w:tr w:rsidR="00C022A6" w14:paraId="0D497C7E" w14:textId="77777777">
        <w:trPr>
          <w:trHeight w:val="3798"/>
          <w:jc w:val="center"/>
        </w:trPr>
        <w:tc>
          <w:tcPr>
            <w:tcW w:w="9060" w:type="dxa"/>
          </w:tcPr>
          <w:p w14:paraId="4B39EABC" w14:textId="77777777" w:rsidR="00C022A6" w:rsidRDefault="00620C43">
            <w:pPr>
              <w:pStyle w:val="DTDocumentTitle"/>
              <w:spacing w:line="360" w:lineRule="auto"/>
            </w:pPr>
            <w:r>
              <w:t>Australia's Integrated Executive Summary</w:t>
            </w:r>
          </w:p>
          <w:tbl>
            <w:tblPr>
              <w:tblStyle w:val="TableGrid"/>
              <w:tblW w:w="0" w:type="auto"/>
              <w:tblLook w:val="04A0" w:firstRow="1" w:lastRow="0" w:firstColumn="1" w:lastColumn="0" w:noHBand="0" w:noVBand="1"/>
            </w:tblPr>
            <w:tblGrid>
              <w:gridCol w:w="9060"/>
            </w:tblGrid>
            <w:tr w:rsidR="00C022A6" w14:paraId="7699A996" w14:textId="77777777">
              <w:trPr>
                <w:trHeight w:val="849"/>
              </w:trPr>
              <w:tc>
                <w:tcPr>
                  <w:tcW w:w="9060" w:type="dxa"/>
                  <w:vAlign w:val="bottom"/>
                </w:tcPr>
                <w:p w14:paraId="0E66997A" w14:textId="77777777" w:rsidR="00CB6C3B" w:rsidRDefault="00620C43" w:rsidP="00CB6C3B">
                  <w:pPr>
                    <w:pStyle w:val="BlockIndent"/>
                    <w:spacing w:after="120" w:line="240" w:lineRule="auto"/>
                    <w:jc w:val="center"/>
                    <w:rPr>
                      <w:rFonts w:asciiTheme="minorHAnsi" w:hAnsiTheme="minorHAnsi" w:cstheme="minorHAnsi"/>
                      <w:b/>
                      <w:bCs/>
                      <w:sz w:val="32"/>
                      <w:szCs w:val="32"/>
                    </w:rPr>
                  </w:pPr>
                  <w:r>
                    <w:rPr>
                      <w:rFonts w:asciiTheme="minorHAnsi" w:hAnsiTheme="minorHAnsi" w:cstheme="minorHAnsi"/>
                      <w:b/>
                      <w:bCs/>
                      <w:sz w:val="32"/>
                      <w:szCs w:val="32"/>
                    </w:rPr>
                    <w:t>Business Confidential Information</w:t>
                  </w:r>
                </w:p>
                <w:p w14:paraId="07EEFE2D" w14:textId="5AD73DB1" w:rsidR="00C022A6" w:rsidRDefault="00CB6C3B" w:rsidP="00CB6C3B">
                  <w:pPr>
                    <w:pStyle w:val="BlockIndent"/>
                    <w:spacing w:after="120" w:line="240" w:lineRule="auto"/>
                    <w:jc w:val="center"/>
                    <w:rPr>
                      <w:rFonts w:asciiTheme="minorHAnsi" w:hAnsiTheme="minorHAnsi" w:cstheme="minorHAnsi"/>
                      <w:b/>
                      <w:bCs/>
                      <w:sz w:val="32"/>
                      <w:szCs w:val="32"/>
                    </w:rPr>
                  </w:pPr>
                  <w:r>
                    <w:rPr>
                      <w:rFonts w:asciiTheme="minorHAnsi" w:hAnsiTheme="minorHAnsi" w:cstheme="minorHAnsi"/>
                      <w:b/>
                      <w:bCs/>
                      <w:sz w:val="32"/>
                      <w:szCs w:val="32"/>
                    </w:rPr>
                    <w:t>REDACTED</w:t>
                  </w:r>
                </w:p>
              </w:tc>
            </w:tr>
          </w:tbl>
          <w:p w14:paraId="000BC3E6" w14:textId="77777777" w:rsidR="00C022A6" w:rsidRDefault="00C022A6">
            <w:pPr>
              <w:pStyle w:val="DTDocumentTitle"/>
              <w:spacing w:line="360" w:lineRule="auto"/>
              <w:jc w:val="both"/>
            </w:pPr>
          </w:p>
          <w:p w14:paraId="5E671150" w14:textId="77777777" w:rsidR="00C022A6" w:rsidRDefault="00C022A6">
            <w:pPr>
              <w:pStyle w:val="DTDocumentTitle"/>
              <w:spacing w:line="360" w:lineRule="auto"/>
              <w:jc w:val="both"/>
            </w:pPr>
          </w:p>
          <w:p w14:paraId="33102433" w14:textId="77777777" w:rsidR="00C022A6" w:rsidRDefault="00C022A6">
            <w:pPr>
              <w:pStyle w:val="DTDocumentTitle"/>
              <w:spacing w:line="360" w:lineRule="auto"/>
            </w:pPr>
          </w:p>
        </w:tc>
      </w:tr>
      <w:tr w:rsidR="00C022A6" w14:paraId="5779169B" w14:textId="77777777">
        <w:trPr>
          <w:trHeight w:val="624"/>
          <w:jc w:val="center"/>
        </w:trPr>
        <w:tc>
          <w:tcPr>
            <w:tcW w:w="9060" w:type="dxa"/>
          </w:tcPr>
          <w:p w14:paraId="57399795" w14:textId="1E0B49ED" w:rsidR="00C022A6" w:rsidRDefault="000A2C43">
            <w:pPr>
              <w:pStyle w:val="DDDocumentDate"/>
              <w:spacing w:line="360" w:lineRule="auto"/>
            </w:pPr>
            <w:r>
              <w:t>20 October 2023</w:t>
            </w:r>
          </w:p>
        </w:tc>
      </w:tr>
    </w:tbl>
    <w:p w14:paraId="5B650C3A" w14:textId="77777777" w:rsidR="00C022A6" w:rsidRDefault="00C022A6">
      <w:pPr>
        <w:pStyle w:val="TOCHeading"/>
        <w:spacing w:line="360" w:lineRule="auto"/>
        <w:jc w:val="left"/>
        <w:rPr>
          <w:b w:val="0"/>
          <w:caps w:val="0"/>
          <w:sz w:val="8"/>
          <w:szCs w:val="8"/>
          <w:lang w:val="en-AU"/>
        </w:rPr>
      </w:pPr>
    </w:p>
    <w:p w14:paraId="4E92F7B1" w14:textId="77777777" w:rsidR="00C022A6" w:rsidRDefault="00C022A6">
      <w:pPr>
        <w:pStyle w:val="TOCHeading"/>
        <w:spacing w:line="360" w:lineRule="auto"/>
        <w:jc w:val="left"/>
        <w:rPr>
          <w:b w:val="0"/>
          <w:caps w:val="0"/>
          <w:sz w:val="8"/>
          <w:szCs w:val="8"/>
          <w:lang w:val="en-AU"/>
        </w:rPr>
        <w:sectPr w:rsidR="00C022A6">
          <w:headerReference w:type="default" r:id="rId7"/>
          <w:footerReference w:type="default" r:id="rId8"/>
          <w:headerReference w:type="first" r:id="rId9"/>
          <w:footerReference w:type="first" r:id="rId10"/>
          <w:pgSz w:w="11906" w:h="16838" w:code="9"/>
          <w:pgMar w:top="1418" w:right="1418" w:bottom="1418" w:left="1418" w:header="567" w:footer="567" w:gutter="0"/>
          <w:pgNumType w:fmt="lowerRoman" w:start="1"/>
          <w:cols w:space="708"/>
          <w:titlePg/>
          <w:docGrid w:linePitch="360"/>
        </w:sectPr>
      </w:pPr>
    </w:p>
    <w:p w14:paraId="77352D58" w14:textId="77777777" w:rsidR="00C022A6" w:rsidRDefault="00C022A6">
      <w:pPr>
        <w:pStyle w:val="TOCHeading"/>
        <w:spacing w:line="360" w:lineRule="auto"/>
        <w:jc w:val="left"/>
        <w:rPr>
          <w:b w:val="0"/>
          <w:caps w:val="0"/>
          <w:sz w:val="8"/>
          <w:szCs w:val="8"/>
          <w:lang w:val="en-AU"/>
        </w:rPr>
      </w:pPr>
    </w:p>
    <w:sdt>
      <w:sdtPr>
        <w:rPr>
          <w:b w:val="0"/>
          <w:caps w:val="0"/>
          <w:sz w:val="8"/>
          <w:szCs w:val="8"/>
          <w:lang w:val="en-AU"/>
        </w:rPr>
        <w:id w:val="1666050972"/>
        <w:docPartObj>
          <w:docPartGallery w:val="Table of Contents"/>
          <w:docPartUnique/>
        </w:docPartObj>
      </w:sdtPr>
      <w:sdtEndPr>
        <w:rPr>
          <w:bCs/>
        </w:rPr>
      </w:sdtEndPr>
      <w:sdtContent>
        <w:p w14:paraId="4E198653" w14:textId="77777777" w:rsidR="00C022A6" w:rsidRDefault="00620C43">
          <w:pPr>
            <w:pStyle w:val="TOCHeading"/>
            <w:spacing w:line="360" w:lineRule="auto"/>
            <w:jc w:val="left"/>
            <w:rPr>
              <w:lang w:val="en-AU"/>
            </w:rPr>
          </w:pPr>
          <w:r>
            <w:rPr>
              <w:lang w:val="en-AU"/>
            </w:rPr>
            <w:t>Table of Contents</w:t>
          </w:r>
        </w:p>
        <w:p w14:paraId="4ECD378E" w14:textId="17F1027B" w:rsidR="00AB7B2C" w:rsidRDefault="00620C43">
          <w:pPr>
            <w:pStyle w:val="TOC1"/>
            <w:rPr>
              <w:rFonts w:asciiTheme="minorHAnsi" w:eastAsiaTheme="minorEastAsia" w:hAnsiTheme="minorHAnsi"/>
              <w:b w:val="0"/>
              <w:caps w:val="0"/>
              <w:noProof/>
              <w:sz w:val="22"/>
              <w:szCs w:val="22"/>
              <w:lang w:eastAsia="en-AU"/>
            </w:rPr>
          </w:pPr>
          <w:r>
            <w:fldChar w:fldCharType="begin"/>
          </w:r>
          <w:r>
            <w:instrText xml:space="preserve"> TOC \o "1-4" \h \z \u </w:instrText>
          </w:r>
          <w:r>
            <w:fldChar w:fldCharType="separate"/>
          </w:r>
          <w:hyperlink w:anchor="_Toc148710972" w:history="1">
            <w:r w:rsidR="00AB7B2C" w:rsidRPr="00A47833">
              <w:rPr>
                <w:rStyle w:val="Hyperlink"/>
                <w:noProof/>
              </w:rPr>
              <w:t>TABLE OF CASES</w:t>
            </w:r>
            <w:r w:rsidR="00AB7B2C">
              <w:rPr>
                <w:noProof/>
                <w:webHidden/>
              </w:rPr>
              <w:tab/>
            </w:r>
            <w:r w:rsidR="00AB7B2C">
              <w:rPr>
                <w:noProof/>
                <w:webHidden/>
              </w:rPr>
              <w:fldChar w:fldCharType="begin"/>
            </w:r>
            <w:r w:rsidR="00AB7B2C">
              <w:rPr>
                <w:noProof/>
                <w:webHidden/>
              </w:rPr>
              <w:instrText xml:space="preserve"> PAGEREF _Toc148710972 \h </w:instrText>
            </w:r>
            <w:r w:rsidR="00AB7B2C">
              <w:rPr>
                <w:noProof/>
                <w:webHidden/>
              </w:rPr>
            </w:r>
            <w:r w:rsidR="00AB7B2C">
              <w:rPr>
                <w:noProof/>
                <w:webHidden/>
              </w:rPr>
              <w:fldChar w:fldCharType="separate"/>
            </w:r>
            <w:r w:rsidR="00AB7B2C">
              <w:rPr>
                <w:noProof/>
                <w:webHidden/>
              </w:rPr>
              <w:t>iii</w:t>
            </w:r>
            <w:r w:rsidR="00AB7B2C">
              <w:rPr>
                <w:noProof/>
                <w:webHidden/>
              </w:rPr>
              <w:fldChar w:fldCharType="end"/>
            </w:r>
          </w:hyperlink>
        </w:p>
        <w:p w14:paraId="31D92258" w14:textId="20C97BFF" w:rsidR="00AB7B2C" w:rsidRDefault="00AA7599">
          <w:pPr>
            <w:pStyle w:val="TOC1"/>
            <w:rPr>
              <w:rFonts w:asciiTheme="minorHAnsi" w:eastAsiaTheme="minorEastAsia" w:hAnsiTheme="minorHAnsi"/>
              <w:b w:val="0"/>
              <w:caps w:val="0"/>
              <w:noProof/>
              <w:sz w:val="22"/>
              <w:szCs w:val="22"/>
              <w:lang w:eastAsia="en-AU"/>
            </w:rPr>
          </w:pPr>
          <w:hyperlink w:anchor="_Toc148710973" w:history="1">
            <w:r w:rsidR="00AB7B2C" w:rsidRPr="00A47833">
              <w:rPr>
                <w:rStyle w:val="Hyperlink"/>
                <w:noProof/>
              </w:rPr>
              <w:t>LIST OF ACRONYMS, ABBREVIATIONS AND SHORT FORMS</w:t>
            </w:r>
            <w:r w:rsidR="00AB7B2C">
              <w:rPr>
                <w:noProof/>
                <w:webHidden/>
              </w:rPr>
              <w:tab/>
            </w:r>
            <w:r w:rsidR="00AB7B2C">
              <w:rPr>
                <w:noProof/>
                <w:webHidden/>
              </w:rPr>
              <w:fldChar w:fldCharType="begin"/>
            </w:r>
            <w:r w:rsidR="00AB7B2C">
              <w:rPr>
                <w:noProof/>
                <w:webHidden/>
              </w:rPr>
              <w:instrText xml:space="preserve"> PAGEREF _Toc148710973 \h </w:instrText>
            </w:r>
            <w:r w:rsidR="00AB7B2C">
              <w:rPr>
                <w:noProof/>
                <w:webHidden/>
              </w:rPr>
            </w:r>
            <w:r w:rsidR="00AB7B2C">
              <w:rPr>
                <w:noProof/>
                <w:webHidden/>
              </w:rPr>
              <w:fldChar w:fldCharType="separate"/>
            </w:r>
            <w:r w:rsidR="00AB7B2C">
              <w:rPr>
                <w:noProof/>
                <w:webHidden/>
              </w:rPr>
              <w:t>v</w:t>
            </w:r>
            <w:r w:rsidR="00AB7B2C">
              <w:rPr>
                <w:noProof/>
                <w:webHidden/>
              </w:rPr>
              <w:fldChar w:fldCharType="end"/>
            </w:r>
          </w:hyperlink>
        </w:p>
        <w:p w14:paraId="7207690D" w14:textId="3C044E5C" w:rsidR="00AB7B2C" w:rsidRDefault="00AA7599">
          <w:pPr>
            <w:pStyle w:val="TOC1"/>
            <w:rPr>
              <w:rFonts w:asciiTheme="minorHAnsi" w:eastAsiaTheme="minorEastAsia" w:hAnsiTheme="minorHAnsi"/>
              <w:b w:val="0"/>
              <w:caps w:val="0"/>
              <w:noProof/>
              <w:sz w:val="22"/>
              <w:szCs w:val="22"/>
              <w:lang w:eastAsia="en-AU"/>
            </w:rPr>
          </w:pPr>
          <w:hyperlink w:anchor="_Toc148710974" w:history="1">
            <w:r w:rsidR="00AB7B2C" w:rsidRPr="00A47833">
              <w:rPr>
                <w:rStyle w:val="Hyperlink"/>
                <w:noProof/>
              </w:rPr>
              <w:t>I.</w:t>
            </w:r>
            <w:r w:rsidR="00AB7B2C">
              <w:rPr>
                <w:rFonts w:asciiTheme="minorHAnsi" w:eastAsiaTheme="minorEastAsia" w:hAnsiTheme="minorHAnsi"/>
                <w:b w:val="0"/>
                <w:caps w:val="0"/>
                <w:noProof/>
                <w:sz w:val="22"/>
                <w:szCs w:val="22"/>
                <w:lang w:eastAsia="en-AU"/>
              </w:rPr>
              <w:tab/>
            </w:r>
            <w:r w:rsidR="00AB7B2C" w:rsidRPr="00A47833">
              <w:rPr>
                <w:rStyle w:val="Hyperlink"/>
                <w:noProof/>
              </w:rPr>
              <w:t>Introduction</w:t>
            </w:r>
            <w:r w:rsidR="00AB7B2C">
              <w:rPr>
                <w:noProof/>
                <w:webHidden/>
              </w:rPr>
              <w:tab/>
            </w:r>
            <w:r w:rsidR="00AB7B2C">
              <w:rPr>
                <w:noProof/>
                <w:webHidden/>
              </w:rPr>
              <w:fldChar w:fldCharType="begin"/>
            </w:r>
            <w:r w:rsidR="00AB7B2C">
              <w:rPr>
                <w:noProof/>
                <w:webHidden/>
              </w:rPr>
              <w:instrText xml:space="preserve"> PAGEREF _Toc148710974 \h </w:instrText>
            </w:r>
            <w:r w:rsidR="00AB7B2C">
              <w:rPr>
                <w:noProof/>
                <w:webHidden/>
              </w:rPr>
            </w:r>
            <w:r w:rsidR="00AB7B2C">
              <w:rPr>
                <w:noProof/>
                <w:webHidden/>
              </w:rPr>
              <w:fldChar w:fldCharType="separate"/>
            </w:r>
            <w:r w:rsidR="00AB7B2C">
              <w:rPr>
                <w:noProof/>
                <w:webHidden/>
              </w:rPr>
              <w:t>1</w:t>
            </w:r>
            <w:r w:rsidR="00AB7B2C">
              <w:rPr>
                <w:noProof/>
                <w:webHidden/>
              </w:rPr>
              <w:fldChar w:fldCharType="end"/>
            </w:r>
          </w:hyperlink>
        </w:p>
        <w:p w14:paraId="215604D2" w14:textId="7C8166E4" w:rsidR="00AB7B2C" w:rsidRDefault="00AA7599">
          <w:pPr>
            <w:pStyle w:val="TOC1"/>
            <w:rPr>
              <w:rFonts w:asciiTheme="minorHAnsi" w:eastAsiaTheme="minorEastAsia" w:hAnsiTheme="minorHAnsi"/>
              <w:b w:val="0"/>
              <w:caps w:val="0"/>
              <w:noProof/>
              <w:sz w:val="22"/>
              <w:szCs w:val="22"/>
              <w:lang w:eastAsia="en-AU"/>
            </w:rPr>
          </w:pPr>
          <w:hyperlink w:anchor="_Toc148710975" w:history="1">
            <w:r w:rsidR="00AB7B2C" w:rsidRPr="00A47833">
              <w:rPr>
                <w:rStyle w:val="Hyperlink"/>
                <w:noProof/>
              </w:rPr>
              <w:t>II.</w:t>
            </w:r>
            <w:r w:rsidR="00AB7B2C">
              <w:rPr>
                <w:rFonts w:asciiTheme="minorHAnsi" w:eastAsiaTheme="minorEastAsia" w:hAnsiTheme="minorHAnsi"/>
                <w:b w:val="0"/>
                <w:caps w:val="0"/>
                <w:noProof/>
                <w:sz w:val="22"/>
                <w:szCs w:val="22"/>
                <w:lang w:eastAsia="en-AU"/>
              </w:rPr>
              <w:tab/>
            </w:r>
            <w:r w:rsidR="00AB7B2C" w:rsidRPr="00A47833">
              <w:rPr>
                <w:rStyle w:val="Hyperlink"/>
                <w:noProof/>
              </w:rPr>
              <w:t>Burden of Proof</w:t>
            </w:r>
            <w:r w:rsidR="00AB7B2C">
              <w:rPr>
                <w:noProof/>
                <w:webHidden/>
              </w:rPr>
              <w:tab/>
            </w:r>
            <w:r w:rsidR="00AB7B2C">
              <w:rPr>
                <w:noProof/>
                <w:webHidden/>
              </w:rPr>
              <w:fldChar w:fldCharType="begin"/>
            </w:r>
            <w:r w:rsidR="00AB7B2C">
              <w:rPr>
                <w:noProof/>
                <w:webHidden/>
              </w:rPr>
              <w:instrText xml:space="preserve"> PAGEREF _Toc148710975 \h </w:instrText>
            </w:r>
            <w:r w:rsidR="00AB7B2C">
              <w:rPr>
                <w:noProof/>
                <w:webHidden/>
              </w:rPr>
            </w:r>
            <w:r w:rsidR="00AB7B2C">
              <w:rPr>
                <w:noProof/>
                <w:webHidden/>
              </w:rPr>
              <w:fldChar w:fldCharType="separate"/>
            </w:r>
            <w:r w:rsidR="00AB7B2C">
              <w:rPr>
                <w:noProof/>
                <w:webHidden/>
              </w:rPr>
              <w:t>2</w:t>
            </w:r>
            <w:r w:rsidR="00AB7B2C">
              <w:rPr>
                <w:noProof/>
                <w:webHidden/>
              </w:rPr>
              <w:fldChar w:fldCharType="end"/>
            </w:r>
          </w:hyperlink>
        </w:p>
        <w:p w14:paraId="7C03B1BF" w14:textId="00EFF219" w:rsidR="00AB7B2C" w:rsidRDefault="00AA7599">
          <w:pPr>
            <w:pStyle w:val="TOC1"/>
            <w:rPr>
              <w:rFonts w:asciiTheme="minorHAnsi" w:eastAsiaTheme="minorEastAsia" w:hAnsiTheme="minorHAnsi"/>
              <w:b w:val="0"/>
              <w:caps w:val="0"/>
              <w:noProof/>
              <w:sz w:val="22"/>
              <w:szCs w:val="22"/>
              <w:lang w:eastAsia="en-AU"/>
            </w:rPr>
          </w:pPr>
          <w:hyperlink w:anchor="_Toc148710976" w:history="1">
            <w:r w:rsidR="00AB7B2C" w:rsidRPr="00A47833">
              <w:rPr>
                <w:rStyle w:val="Hyperlink"/>
                <w:noProof/>
              </w:rPr>
              <w:t>III.</w:t>
            </w:r>
            <w:r w:rsidR="00AB7B2C">
              <w:rPr>
                <w:rFonts w:asciiTheme="minorHAnsi" w:eastAsiaTheme="minorEastAsia" w:hAnsiTheme="minorHAnsi"/>
                <w:b w:val="0"/>
                <w:caps w:val="0"/>
                <w:noProof/>
                <w:sz w:val="22"/>
                <w:szCs w:val="22"/>
                <w:lang w:eastAsia="en-AU"/>
              </w:rPr>
              <w:tab/>
            </w:r>
            <w:r w:rsidR="00AB7B2C" w:rsidRPr="00A47833">
              <w:rPr>
                <w:rStyle w:val="Hyperlink"/>
                <w:noProof/>
              </w:rPr>
              <w:t>Standard of Review</w:t>
            </w:r>
            <w:r w:rsidR="00AB7B2C">
              <w:rPr>
                <w:noProof/>
                <w:webHidden/>
              </w:rPr>
              <w:tab/>
            </w:r>
            <w:r w:rsidR="00AB7B2C">
              <w:rPr>
                <w:noProof/>
                <w:webHidden/>
              </w:rPr>
              <w:fldChar w:fldCharType="begin"/>
            </w:r>
            <w:r w:rsidR="00AB7B2C">
              <w:rPr>
                <w:noProof/>
                <w:webHidden/>
              </w:rPr>
              <w:instrText xml:space="preserve"> PAGEREF _Toc148710976 \h </w:instrText>
            </w:r>
            <w:r w:rsidR="00AB7B2C">
              <w:rPr>
                <w:noProof/>
                <w:webHidden/>
              </w:rPr>
            </w:r>
            <w:r w:rsidR="00AB7B2C">
              <w:rPr>
                <w:noProof/>
                <w:webHidden/>
              </w:rPr>
              <w:fldChar w:fldCharType="separate"/>
            </w:r>
            <w:r w:rsidR="00AB7B2C">
              <w:rPr>
                <w:noProof/>
                <w:webHidden/>
              </w:rPr>
              <w:t>2</w:t>
            </w:r>
            <w:r w:rsidR="00AB7B2C">
              <w:rPr>
                <w:noProof/>
                <w:webHidden/>
              </w:rPr>
              <w:fldChar w:fldCharType="end"/>
            </w:r>
          </w:hyperlink>
        </w:p>
        <w:p w14:paraId="34C6D4D6" w14:textId="24B760F1" w:rsidR="00AB7B2C" w:rsidRDefault="00AA7599">
          <w:pPr>
            <w:pStyle w:val="TOC1"/>
            <w:rPr>
              <w:rFonts w:asciiTheme="minorHAnsi" w:eastAsiaTheme="minorEastAsia" w:hAnsiTheme="minorHAnsi"/>
              <w:b w:val="0"/>
              <w:caps w:val="0"/>
              <w:noProof/>
              <w:sz w:val="22"/>
              <w:szCs w:val="22"/>
              <w:lang w:eastAsia="en-AU"/>
            </w:rPr>
          </w:pPr>
          <w:hyperlink w:anchor="_Toc148710977" w:history="1">
            <w:r w:rsidR="00AB7B2C" w:rsidRPr="00A47833">
              <w:rPr>
                <w:rStyle w:val="Hyperlink"/>
                <w:noProof/>
              </w:rPr>
              <w:t>IV.</w:t>
            </w:r>
            <w:r w:rsidR="00AB7B2C">
              <w:rPr>
                <w:rFonts w:asciiTheme="minorHAnsi" w:eastAsiaTheme="minorEastAsia" w:hAnsiTheme="minorHAnsi"/>
                <w:b w:val="0"/>
                <w:caps w:val="0"/>
                <w:noProof/>
                <w:sz w:val="22"/>
                <w:szCs w:val="22"/>
                <w:lang w:eastAsia="en-AU"/>
              </w:rPr>
              <w:tab/>
            </w:r>
            <w:r w:rsidR="00AB7B2C" w:rsidRPr="00A47833">
              <w:rPr>
                <w:rStyle w:val="Hyperlink"/>
                <w:noProof/>
              </w:rPr>
              <w:t>China's claims concerning stainless steel sinks and wind towers measures are outside the Panel's terms of reference</w:t>
            </w:r>
            <w:r w:rsidR="00AB7B2C">
              <w:rPr>
                <w:noProof/>
                <w:webHidden/>
              </w:rPr>
              <w:tab/>
            </w:r>
            <w:r w:rsidR="00AB7B2C">
              <w:rPr>
                <w:noProof/>
                <w:webHidden/>
              </w:rPr>
              <w:fldChar w:fldCharType="begin"/>
            </w:r>
            <w:r w:rsidR="00AB7B2C">
              <w:rPr>
                <w:noProof/>
                <w:webHidden/>
              </w:rPr>
              <w:instrText xml:space="preserve"> PAGEREF _Toc148710977 \h </w:instrText>
            </w:r>
            <w:r w:rsidR="00AB7B2C">
              <w:rPr>
                <w:noProof/>
                <w:webHidden/>
              </w:rPr>
            </w:r>
            <w:r w:rsidR="00AB7B2C">
              <w:rPr>
                <w:noProof/>
                <w:webHidden/>
              </w:rPr>
              <w:fldChar w:fldCharType="separate"/>
            </w:r>
            <w:r w:rsidR="00AB7B2C">
              <w:rPr>
                <w:noProof/>
                <w:webHidden/>
              </w:rPr>
              <w:t>3</w:t>
            </w:r>
            <w:r w:rsidR="00AB7B2C">
              <w:rPr>
                <w:noProof/>
                <w:webHidden/>
              </w:rPr>
              <w:fldChar w:fldCharType="end"/>
            </w:r>
          </w:hyperlink>
        </w:p>
        <w:p w14:paraId="4ADFF7AC" w14:textId="1A82924C" w:rsidR="00AB7B2C" w:rsidRDefault="00AA7599">
          <w:pPr>
            <w:pStyle w:val="TOC2"/>
            <w:rPr>
              <w:rFonts w:asciiTheme="minorHAnsi" w:eastAsiaTheme="minorEastAsia" w:hAnsiTheme="minorHAnsi"/>
              <w:b w:val="0"/>
              <w:smallCaps w:val="0"/>
              <w:noProof/>
              <w:sz w:val="22"/>
              <w:szCs w:val="22"/>
              <w:lang w:eastAsia="en-AU"/>
            </w:rPr>
          </w:pPr>
          <w:hyperlink w:anchor="_Toc148710978" w:history="1">
            <w:r w:rsidR="00AB7B2C" w:rsidRPr="00A47833">
              <w:rPr>
                <w:rStyle w:val="Hyperlink"/>
                <w:noProof/>
              </w:rPr>
              <w:t>A.</w:t>
            </w:r>
            <w:r w:rsidR="00AB7B2C">
              <w:rPr>
                <w:rFonts w:asciiTheme="minorHAnsi" w:eastAsiaTheme="minorEastAsia" w:hAnsiTheme="minorHAnsi"/>
                <w:b w:val="0"/>
                <w:smallCaps w:val="0"/>
                <w:noProof/>
                <w:sz w:val="22"/>
                <w:szCs w:val="22"/>
                <w:lang w:eastAsia="en-AU"/>
              </w:rPr>
              <w:tab/>
            </w:r>
            <w:r w:rsidR="00AB7B2C" w:rsidRPr="00A47833">
              <w:rPr>
                <w:rStyle w:val="Hyperlink"/>
                <w:noProof/>
              </w:rPr>
              <w:t>All of China’s CVD claims are outside the scope of the Panel's terms of reference</w:t>
            </w:r>
            <w:r w:rsidR="00AB7B2C">
              <w:rPr>
                <w:noProof/>
                <w:webHidden/>
              </w:rPr>
              <w:tab/>
            </w:r>
            <w:r w:rsidR="00AB7B2C">
              <w:rPr>
                <w:noProof/>
                <w:webHidden/>
              </w:rPr>
              <w:fldChar w:fldCharType="begin"/>
            </w:r>
            <w:r w:rsidR="00AB7B2C">
              <w:rPr>
                <w:noProof/>
                <w:webHidden/>
              </w:rPr>
              <w:instrText xml:space="preserve"> PAGEREF _Toc148710978 \h </w:instrText>
            </w:r>
            <w:r w:rsidR="00AB7B2C">
              <w:rPr>
                <w:noProof/>
                <w:webHidden/>
              </w:rPr>
            </w:r>
            <w:r w:rsidR="00AB7B2C">
              <w:rPr>
                <w:noProof/>
                <w:webHidden/>
              </w:rPr>
              <w:fldChar w:fldCharType="separate"/>
            </w:r>
            <w:r w:rsidR="00AB7B2C">
              <w:rPr>
                <w:noProof/>
                <w:webHidden/>
              </w:rPr>
              <w:t>3</w:t>
            </w:r>
            <w:r w:rsidR="00AB7B2C">
              <w:rPr>
                <w:noProof/>
                <w:webHidden/>
              </w:rPr>
              <w:fldChar w:fldCharType="end"/>
            </w:r>
          </w:hyperlink>
        </w:p>
        <w:p w14:paraId="0D2D6AD6" w14:textId="104FF3B6" w:rsidR="00AB7B2C" w:rsidRDefault="00AA7599">
          <w:pPr>
            <w:pStyle w:val="TOC3"/>
            <w:rPr>
              <w:rFonts w:asciiTheme="minorHAnsi" w:eastAsiaTheme="minorEastAsia" w:hAnsiTheme="minorHAnsi"/>
              <w:b w:val="0"/>
              <w:noProof/>
              <w:sz w:val="22"/>
              <w:szCs w:val="22"/>
              <w:lang w:eastAsia="en-AU"/>
            </w:rPr>
          </w:pPr>
          <w:hyperlink w:anchor="_Toc148710979" w:history="1">
            <w:r w:rsidR="00AB7B2C" w:rsidRPr="00A47833">
              <w:rPr>
                <w:rStyle w:val="Hyperlink"/>
                <w:noProof/>
              </w:rPr>
              <w:t>1.</w:t>
            </w:r>
            <w:r w:rsidR="00AB7B2C">
              <w:rPr>
                <w:rFonts w:asciiTheme="minorHAnsi" w:eastAsiaTheme="minorEastAsia" w:hAnsiTheme="minorHAnsi"/>
                <w:b w:val="0"/>
                <w:noProof/>
                <w:sz w:val="22"/>
                <w:szCs w:val="22"/>
                <w:lang w:eastAsia="en-AU"/>
              </w:rPr>
              <w:tab/>
            </w:r>
            <w:r w:rsidR="00AB7B2C" w:rsidRPr="00A47833">
              <w:rPr>
                <w:rStyle w:val="Hyperlink"/>
                <w:noProof/>
              </w:rPr>
              <w:t>China improperly attempts to redefine the challenged measures contained in its own panel request</w:t>
            </w:r>
            <w:r w:rsidR="00AB7B2C">
              <w:rPr>
                <w:noProof/>
                <w:webHidden/>
              </w:rPr>
              <w:tab/>
            </w:r>
            <w:r w:rsidR="00AB7B2C">
              <w:rPr>
                <w:noProof/>
                <w:webHidden/>
              </w:rPr>
              <w:fldChar w:fldCharType="begin"/>
            </w:r>
            <w:r w:rsidR="00AB7B2C">
              <w:rPr>
                <w:noProof/>
                <w:webHidden/>
              </w:rPr>
              <w:instrText xml:space="preserve"> PAGEREF _Toc148710979 \h </w:instrText>
            </w:r>
            <w:r w:rsidR="00AB7B2C">
              <w:rPr>
                <w:noProof/>
                <w:webHidden/>
              </w:rPr>
            </w:r>
            <w:r w:rsidR="00AB7B2C">
              <w:rPr>
                <w:noProof/>
                <w:webHidden/>
              </w:rPr>
              <w:fldChar w:fldCharType="separate"/>
            </w:r>
            <w:r w:rsidR="00AB7B2C">
              <w:rPr>
                <w:noProof/>
                <w:webHidden/>
              </w:rPr>
              <w:t>5</w:t>
            </w:r>
            <w:r w:rsidR="00AB7B2C">
              <w:rPr>
                <w:noProof/>
                <w:webHidden/>
              </w:rPr>
              <w:fldChar w:fldCharType="end"/>
            </w:r>
          </w:hyperlink>
        </w:p>
        <w:p w14:paraId="2268560E" w14:textId="79FA0FFB" w:rsidR="00AB7B2C" w:rsidRDefault="00AA7599">
          <w:pPr>
            <w:pStyle w:val="TOC3"/>
            <w:rPr>
              <w:rFonts w:asciiTheme="minorHAnsi" w:eastAsiaTheme="minorEastAsia" w:hAnsiTheme="minorHAnsi"/>
              <w:b w:val="0"/>
              <w:noProof/>
              <w:sz w:val="22"/>
              <w:szCs w:val="22"/>
              <w:lang w:eastAsia="en-AU"/>
            </w:rPr>
          </w:pPr>
          <w:hyperlink w:anchor="_Toc148710980" w:history="1">
            <w:r w:rsidR="00AB7B2C" w:rsidRPr="00A47833">
              <w:rPr>
                <w:rStyle w:val="Hyperlink"/>
                <w:noProof/>
              </w:rPr>
              <w:t>2.</w:t>
            </w:r>
            <w:r w:rsidR="00AB7B2C">
              <w:rPr>
                <w:rFonts w:asciiTheme="minorHAnsi" w:eastAsiaTheme="minorEastAsia" w:hAnsiTheme="minorHAnsi"/>
                <w:b w:val="0"/>
                <w:noProof/>
                <w:sz w:val="22"/>
                <w:szCs w:val="22"/>
                <w:lang w:eastAsia="en-AU"/>
              </w:rPr>
              <w:tab/>
            </w:r>
            <w:r w:rsidR="00AB7B2C" w:rsidRPr="00A47833">
              <w:rPr>
                <w:rStyle w:val="Hyperlink"/>
                <w:noProof/>
                <w:lang w:val="en-US"/>
              </w:rPr>
              <w:t>China's attempts to reinvent its claims in section B.2 of its panel request should be rejected</w:t>
            </w:r>
            <w:r w:rsidR="00AB7B2C">
              <w:rPr>
                <w:noProof/>
                <w:webHidden/>
              </w:rPr>
              <w:tab/>
            </w:r>
            <w:r w:rsidR="00AB7B2C">
              <w:rPr>
                <w:noProof/>
                <w:webHidden/>
              </w:rPr>
              <w:fldChar w:fldCharType="begin"/>
            </w:r>
            <w:r w:rsidR="00AB7B2C">
              <w:rPr>
                <w:noProof/>
                <w:webHidden/>
              </w:rPr>
              <w:instrText xml:space="preserve"> PAGEREF _Toc148710980 \h </w:instrText>
            </w:r>
            <w:r w:rsidR="00AB7B2C">
              <w:rPr>
                <w:noProof/>
                <w:webHidden/>
              </w:rPr>
            </w:r>
            <w:r w:rsidR="00AB7B2C">
              <w:rPr>
                <w:noProof/>
                <w:webHidden/>
              </w:rPr>
              <w:fldChar w:fldCharType="separate"/>
            </w:r>
            <w:r w:rsidR="00AB7B2C">
              <w:rPr>
                <w:noProof/>
                <w:webHidden/>
              </w:rPr>
              <w:t>5</w:t>
            </w:r>
            <w:r w:rsidR="00AB7B2C">
              <w:rPr>
                <w:noProof/>
                <w:webHidden/>
              </w:rPr>
              <w:fldChar w:fldCharType="end"/>
            </w:r>
          </w:hyperlink>
        </w:p>
        <w:p w14:paraId="17BA2769" w14:textId="05002744" w:rsidR="00AB7B2C" w:rsidRDefault="00AA7599">
          <w:pPr>
            <w:pStyle w:val="TOC3"/>
            <w:rPr>
              <w:rFonts w:asciiTheme="minorHAnsi" w:eastAsiaTheme="minorEastAsia" w:hAnsiTheme="minorHAnsi"/>
              <w:b w:val="0"/>
              <w:noProof/>
              <w:sz w:val="22"/>
              <w:szCs w:val="22"/>
              <w:lang w:eastAsia="en-AU"/>
            </w:rPr>
          </w:pPr>
          <w:hyperlink w:anchor="_Toc148710981" w:history="1">
            <w:r w:rsidR="00AB7B2C" w:rsidRPr="00A47833">
              <w:rPr>
                <w:rStyle w:val="Hyperlink"/>
                <w:noProof/>
              </w:rPr>
              <w:t>3.</w:t>
            </w:r>
            <w:r w:rsidR="00AB7B2C">
              <w:rPr>
                <w:rFonts w:asciiTheme="minorHAnsi" w:eastAsiaTheme="minorEastAsia" w:hAnsiTheme="minorHAnsi"/>
                <w:b w:val="0"/>
                <w:noProof/>
                <w:sz w:val="22"/>
                <w:szCs w:val="22"/>
                <w:lang w:eastAsia="en-AU"/>
              </w:rPr>
              <w:tab/>
            </w:r>
            <w:r w:rsidR="00AB7B2C" w:rsidRPr="00A47833">
              <w:rPr>
                <w:rStyle w:val="Hyperlink"/>
                <w:noProof/>
                <w:lang w:val="en-US"/>
              </w:rPr>
              <w:t>China's assertions that countervailing measures related to Program 1 still exist are baseless</w:t>
            </w:r>
            <w:r w:rsidR="00AB7B2C">
              <w:rPr>
                <w:noProof/>
                <w:webHidden/>
              </w:rPr>
              <w:tab/>
            </w:r>
            <w:r w:rsidR="00AB7B2C">
              <w:rPr>
                <w:noProof/>
                <w:webHidden/>
              </w:rPr>
              <w:fldChar w:fldCharType="begin"/>
            </w:r>
            <w:r w:rsidR="00AB7B2C">
              <w:rPr>
                <w:noProof/>
                <w:webHidden/>
              </w:rPr>
              <w:instrText xml:space="preserve"> PAGEREF _Toc148710981 \h </w:instrText>
            </w:r>
            <w:r w:rsidR="00AB7B2C">
              <w:rPr>
                <w:noProof/>
                <w:webHidden/>
              </w:rPr>
            </w:r>
            <w:r w:rsidR="00AB7B2C">
              <w:rPr>
                <w:noProof/>
                <w:webHidden/>
              </w:rPr>
              <w:fldChar w:fldCharType="separate"/>
            </w:r>
            <w:r w:rsidR="00AB7B2C">
              <w:rPr>
                <w:noProof/>
                <w:webHidden/>
              </w:rPr>
              <w:t>6</w:t>
            </w:r>
            <w:r w:rsidR="00AB7B2C">
              <w:rPr>
                <w:noProof/>
                <w:webHidden/>
              </w:rPr>
              <w:fldChar w:fldCharType="end"/>
            </w:r>
          </w:hyperlink>
        </w:p>
        <w:p w14:paraId="5B86B631" w14:textId="7E40A602" w:rsidR="00AB7B2C" w:rsidRDefault="00AA7599">
          <w:pPr>
            <w:pStyle w:val="TOC2"/>
            <w:rPr>
              <w:rFonts w:asciiTheme="minorHAnsi" w:eastAsiaTheme="minorEastAsia" w:hAnsiTheme="minorHAnsi"/>
              <w:b w:val="0"/>
              <w:smallCaps w:val="0"/>
              <w:noProof/>
              <w:sz w:val="22"/>
              <w:szCs w:val="22"/>
              <w:lang w:eastAsia="en-AU"/>
            </w:rPr>
          </w:pPr>
          <w:hyperlink w:anchor="_Toc148710982" w:history="1">
            <w:r w:rsidR="00AB7B2C" w:rsidRPr="00A47833">
              <w:rPr>
                <w:rStyle w:val="Hyperlink"/>
                <w:noProof/>
              </w:rPr>
              <w:t>B.</w:t>
            </w:r>
            <w:r w:rsidR="00AB7B2C">
              <w:rPr>
                <w:rFonts w:asciiTheme="minorHAnsi" w:eastAsiaTheme="minorEastAsia" w:hAnsiTheme="minorHAnsi"/>
                <w:b w:val="0"/>
                <w:smallCaps w:val="0"/>
                <w:noProof/>
                <w:sz w:val="22"/>
                <w:szCs w:val="22"/>
                <w:lang w:eastAsia="en-AU"/>
              </w:rPr>
              <w:tab/>
            </w:r>
            <w:r w:rsidR="00AB7B2C" w:rsidRPr="00A47833">
              <w:rPr>
                <w:rStyle w:val="Hyperlink"/>
                <w:noProof/>
              </w:rPr>
              <w:t>All of China’s AD claims with regard to stainless steel sinks and wind towers are outside the scope of the Panel's terms of reference</w:t>
            </w:r>
            <w:r w:rsidR="00AB7B2C">
              <w:rPr>
                <w:noProof/>
                <w:webHidden/>
              </w:rPr>
              <w:tab/>
            </w:r>
            <w:r w:rsidR="00AB7B2C">
              <w:rPr>
                <w:noProof/>
                <w:webHidden/>
              </w:rPr>
              <w:fldChar w:fldCharType="begin"/>
            </w:r>
            <w:r w:rsidR="00AB7B2C">
              <w:rPr>
                <w:noProof/>
                <w:webHidden/>
              </w:rPr>
              <w:instrText xml:space="preserve"> PAGEREF _Toc148710982 \h </w:instrText>
            </w:r>
            <w:r w:rsidR="00AB7B2C">
              <w:rPr>
                <w:noProof/>
                <w:webHidden/>
              </w:rPr>
            </w:r>
            <w:r w:rsidR="00AB7B2C">
              <w:rPr>
                <w:noProof/>
                <w:webHidden/>
              </w:rPr>
              <w:fldChar w:fldCharType="separate"/>
            </w:r>
            <w:r w:rsidR="00AB7B2C">
              <w:rPr>
                <w:noProof/>
                <w:webHidden/>
              </w:rPr>
              <w:t>6</w:t>
            </w:r>
            <w:r w:rsidR="00AB7B2C">
              <w:rPr>
                <w:noProof/>
                <w:webHidden/>
              </w:rPr>
              <w:fldChar w:fldCharType="end"/>
            </w:r>
          </w:hyperlink>
        </w:p>
        <w:p w14:paraId="5A0867D7" w14:textId="7E35E37E" w:rsidR="00AB7B2C" w:rsidRDefault="00AA7599">
          <w:pPr>
            <w:pStyle w:val="TOC1"/>
            <w:rPr>
              <w:rFonts w:asciiTheme="minorHAnsi" w:eastAsiaTheme="minorEastAsia" w:hAnsiTheme="minorHAnsi"/>
              <w:b w:val="0"/>
              <w:caps w:val="0"/>
              <w:noProof/>
              <w:sz w:val="22"/>
              <w:szCs w:val="22"/>
              <w:lang w:eastAsia="en-AU"/>
            </w:rPr>
          </w:pPr>
          <w:hyperlink w:anchor="_Toc148710983" w:history="1">
            <w:r w:rsidR="00AB7B2C" w:rsidRPr="00A47833">
              <w:rPr>
                <w:rStyle w:val="Hyperlink"/>
                <w:rFonts w:cstheme="minorHAnsi"/>
                <w:noProof/>
              </w:rPr>
              <w:t>V.</w:t>
            </w:r>
            <w:r w:rsidR="00AB7B2C">
              <w:rPr>
                <w:rFonts w:asciiTheme="minorHAnsi" w:eastAsiaTheme="minorEastAsia" w:hAnsiTheme="minorHAnsi"/>
                <w:b w:val="0"/>
                <w:caps w:val="0"/>
                <w:noProof/>
                <w:sz w:val="22"/>
                <w:szCs w:val="22"/>
                <w:lang w:eastAsia="en-AU"/>
              </w:rPr>
              <w:tab/>
            </w:r>
            <w:r w:rsidR="00AB7B2C" w:rsidRPr="00A47833">
              <w:rPr>
                <w:rStyle w:val="Hyperlink"/>
                <w:noProof/>
              </w:rPr>
              <w:t xml:space="preserve">Responses </w:t>
            </w:r>
            <w:r w:rsidR="00AB7B2C" w:rsidRPr="00A47833">
              <w:rPr>
                <w:rStyle w:val="Hyperlink"/>
                <w:rFonts w:cstheme="minorHAnsi"/>
                <w:noProof/>
              </w:rPr>
              <w:t>to AD claims: Railway Wheels</w:t>
            </w:r>
            <w:r w:rsidR="00AB7B2C">
              <w:rPr>
                <w:noProof/>
                <w:webHidden/>
              </w:rPr>
              <w:tab/>
            </w:r>
            <w:r w:rsidR="00AB7B2C">
              <w:rPr>
                <w:noProof/>
                <w:webHidden/>
              </w:rPr>
              <w:fldChar w:fldCharType="begin"/>
            </w:r>
            <w:r w:rsidR="00AB7B2C">
              <w:rPr>
                <w:noProof/>
                <w:webHidden/>
              </w:rPr>
              <w:instrText xml:space="preserve"> PAGEREF _Toc148710983 \h </w:instrText>
            </w:r>
            <w:r w:rsidR="00AB7B2C">
              <w:rPr>
                <w:noProof/>
                <w:webHidden/>
              </w:rPr>
            </w:r>
            <w:r w:rsidR="00AB7B2C">
              <w:rPr>
                <w:noProof/>
                <w:webHidden/>
              </w:rPr>
              <w:fldChar w:fldCharType="separate"/>
            </w:r>
            <w:r w:rsidR="00AB7B2C">
              <w:rPr>
                <w:noProof/>
                <w:webHidden/>
              </w:rPr>
              <w:t>7</w:t>
            </w:r>
            <w:r w:rsidR="00AB7B2C">
              <w:rPr>
                <w:noProof/>
                <w:webHidden/>
              </w:rPr>
              <w:fldChar w:fldCharType="end"/>
            </w:r>
          </w:hyperlink>
        </w:p>
        <w:p w14:paraId="0F848E7B" w14:textId="0E42F972" w:rsidR="00AB7B2C" w:rsidRDefault="00AA7599">
          <w:pPr>
            <w:pStyle w:val="TOC2"/>
            <w:rPr>
              <w:rFonts w:asciiTheme="minorHAnsi" w:eastAsiaTheme="minorEastAsia" w:hAnsiTheme="minorHAnsi"/>
              <w:b w:val="0"/>
              <w:smallCaps w:val="0"/>
              <w:noProof/>
              <w:sz w:val="22"/>
              <w:szCs w:val="22"/>
              <w:lang w:eastAsia="en-AU"/>
            </w:rPr>
          </w:pPr>
          <w:hyperlink w:anchor="_Toc148710984" w:history="1">
            <w:r w:rsidR="00AB7B2C" w:rsidRPr="00A47833">
              <w:rPr>
                <w:rStyle w:val="Hyperlink"/>
                <w:noProof/>
              </w:rPr>
              <w:t>A.</w:t>
            </w:r>
            <w:r w:rsidR="00AB7B2C">
              <w:rPr>
                <w:rFonts w:asciiTheme="minorHAnsi" w:eastAsiaTheme="minorEastAsia" w:hAnsiTheme="minorHAnsi"/>
                <w:b w:val="0"/>
                <w:smallCaps w:val="0"/>
                <w:noProof/>
                <w:sz w:val="22"/>
                <w:szCs w:val="22"/>
                <w:lang w:eastAsia="en-AU"/>
              </w:rPr>
              <w:tab/>
            </w:r>
            <w:r w:rsidR="00AB7B2C" w:rsidRPr="00A47833">
              <w:rPr>
                <w:rStyle w:val="Hyperlink"/>
                <w:rFonts w:eastAsiaTheme="majorEastAsia"/>
                <w:noProof/>
              </w:rPr>
              <w:t>Domestic Framework</w:t>
            </w:r>
            <w:r w:rsidR="00AB7B2C">
              <w:rPr>
                <w:noProof/>
                <w:webHidden/>
              </w:rPr>
              <w:tab/>
            </w:r>
            <w:r w:rsidR="00AB7B2C">
              <w:rPr>
                <w:noProof/>
                <w:webHidden/>
              </w:rPr>
              <w:fldChar w:fldCharType="begin"/>
            </w:r>
            <w:r w:rsidR="00AB7B2C">
              <w:rPr>
                <w:noProof/>
                <w:webHidden/>
              </w:rPr>
              <w:instrText xml:space="preserve"> PAGEREF _Toc148710984 \h </w:instrText>
            </w:r>
            <w:r w:rsidR="00AB7B2C">
              <w:rPr>
                <w:noProof/>
                <w:webHidden/>
              </w:rPr>
            </w:r>
            <w:r w:rsidR="00AB7B2C">
              <w:rPr>
                <w:noProof/>
                <w:webHidden/>
              </w:rPr>
              <w:fldChar w:fldCharType="separate"/>
            </w:r>
            <w:r w:rsidR="00AB7B2C">
              <w:rPr>
                <w:noProof/>
                <w:webHidden/>
              </w:rPr>
              <w:t>7</w:t>
            </w:r>
            <w:r w:rsidR="00AB7B2C">
              <w:rPr>
                <w:noProof/>
                <w:webHidden/>
              </w:rPr>
              <w:fldChar w:fldCharType="end"/>
            </w:r>
          </w:hyperlink>
        </w:p>
        <w:p w14:paraId="6B5AC352" w14:textId="2B386D4B" w:rsidR="00AB7B2C" w:rsidRDefault="00AA7599">
          <w:pPr>
            <w:pStyle w:val="TOC2"/>
            <w:rPr>
              <w:rFonts w:asciiTheme="minorHAnsi" w:eastAsiaTheme="minorEastAsia" w:hAnsiTheme="minorHAnsi"/>
              <w:b w:val="0"/>
              <w:smallCaps w:val="0"/>
              <w:noProof/>
              <w:sz w:val="22"/>
              <w:szCs w:val="22"/>
              <w:lang w:eastAsia="en-AU"/>
            </w:rPr>
          </w:pPr>
          <w:hyperlink w:anchor="_Toc148710985" w:history="1">
            <w:r w:rsidR="00AB7B2C" w:rsidRPr="00A47833">
              <w:rPr>
                <w:rStyle w:val="Hyperlink"/>
                <w:noProof/>
              </w:rPr>
              <w:t>B.</w:t>
            </w:r>
            <w:r w:rsidR="00AB7B2C">
              <w:rPr>
                <w:rFonts w:asciiTheme="minorHAnsi" w:eastAsiaTheme="minorEastAsia" w:hAnsiTheme="minorHAnsi"/>
                <w:b w:val="0"/>
                <w:smallCaps w:val="0"/>
                <w:noProof/>
                <w:sz w:val="22"/>
                <w:szCs w:val="22"/>
                <w:lang w:eastAsia="en-AU"/>
              </w:rPr>
              <w:tab/>
            </w:r>
            <w:r w:rsidR="00AB7B2C" w:rsidRPr="00A47833">
              <w:rPr>
                <w:rStyle w:val="Hyperlink"/>
                <w:noProof/>
              </w:rPr>
              <w:t>AD claim 3</w:t>
            </w:r>
            <w:r w:rsidR="00AB7B2C">
              <w:rPr>
                <w:noProof/>
                <w:webHidden/>
              </w:rPr>
              <w:tab/>
            </w:r>
            <w:r w:rsidR="00AB7B2C">
              <w:rPr>
                <w:noProof/>
                <w:webHidden/>
              </w:rPr>
              <w:fldChar w:fldCharType="begin"/>
            </w:r>
            <w:r w:rsidR="00AB7B2C">
              <w:rPr>
                <w:noProof/>
                <w:webHidden/>
              </w:rPr>
              <w:instrText xml:space="preserve"> PAGEREF _Toc148710985 \h </w:instrText>
            </w:r>
            <w:r w:rsidR="00AB7B2C">
              <w:rPr>
                <w:noProof/>
                <w:webHidden/>
              </w:rPr>
            </w:r>
            <w:r w:rsidR="00AB7B2C">
              <w:rPr>
                <w:noProof/>
                <w:webHidden/>
              </w:rPr>
              <w:fldChar w:fldCharType="separate"/>
            </w:r>
            <w:r w:rsidR="00AB7B2C">
              <w:rPr>
                <w:noProof/>
                <w:webHidden/>
              </w:rPr>
              <w:t>8</w:t>
            </w:r>
            <w:r w:rsidR="00AB7B2C">
              <w:rPr>
                <w:noProof/>
                <w:webHidden/>
              </w:rPr>
              <w:fldChar w:fldCharType="end"/>
            </w:r>
          </w:hyperlink>
        </w:p>
        <w:p w14:paraId="14041B4D" w14:textId="065D7D1F" w:rsidR="00AB7B2C" w:rsidRDefault="00AA7599">
          <w:pPr>
            <w:pStyle w:val="TOC3"/>
            <w:rPr>
              <w:rFonts w:asciiTheme="minorHAnsi" w:eastAsiaTheme="minorEastAsia" w:hAnsiTheme="minorHAnsi"/>
              <w:b w:val="0"/>
              <w:noProof/>
              <w:sz w:val="22"/>
              <w:szCs w:val="22"/>
              <w:lang w:eastAsia="en-AU"/>
            </w:rPr>
          </w:pPr>
          <w:hyperlink w:anchor="_Toc148710986" w:history="1">
            <w:r w:rsidR="00AB7B2C" w:rsidRPr="00A47833">
              <w:rPr>
                <w:rStyle w:val="Hyperlink"/>
                <w:noProof/>
              </w:rPr>
              <w:t>1.</w:t>
            </w:r>
            <w:r w:rsidR="00AB7B2C">
              <w:rPr>
                <w:rFonts w:asciiTheme="minorHAnsi" w:eastAsiaTheme="minorEastAsia" w:hAnsiTheme="minorHAnsi"/>
                <w:b w:val="0"/>
                <w:noProof/>
                <w:sz w:val="22"/>
                <w:szCs w:val="22"/>
                <w:lang w:eastAsia="en-AU"/>
              </w:rPr>
              <w:tab/>
            </w:r>
            <w:r w:rsidR="00AB7B2C" w:rsidRPr="00A47833">
              <w:rPr>
                <w:rStyle w:val="Hyperlink"/>
                <w:noProof/>
              </w:rPr>
              <w:t>Australia acted consistently with Article 2.2.1.1 of the Anti-Dumping Agreement in departing from the exporter's records</w:t>
            </w:r>
            <w:r w:rsidR="00AB7B2C">
              <w:rPr>
                <w:noProof/>
                <w:webHidden/>
              </w:rPr>
              <w:tab/>
            </w:r>
            <w:r w:rsidR="00AB7B2C">
              <w:rPr>
                <w:noProof/>
                <w:webHidden/>
              </w:rPr>
              <w:fldChar w:fldCharType="begin"/>
            </w:r>
            <w:r w:rsidR="00AB7B2C">
              <w:rPr>
                <w:noProof/>
                <w:webHidden/>
              </w:rPr>
              <w:instrText xml:space="preserve"> PAGEREF _Toc148710986 \h </w:instrText>
            </w:r>
            <w:r w:rsidR="00AB7B2C">
              <w:rPr>
                <w:noProof/>
                <w:webHidden/>
              </w:rPr>
            </w:r>
            <w:r w:rsidR="00AB7B2C">
              <w:rPr>
                <w:noProof/>
                <w:webHidden/>
              </w:rPr>
              <w:fldChar w:fldCharType="separate"/>
            </w:r>
            <w:r w:rsidR="00AB7B2C">
              <w:rPr>
                <w:noProof/>
                <w:webHidden/>
              </w:rPr>
              <w:t>8</w:t>
            </w:r>
            <w:r w:rsidR="00AB7B2C">
              <w:rPr>
                <w:noProof/>
                <w:webHidden/>
              </w:rPr>
              <w:fldChar w:fldCharType="end"/>
            </w:r>
          </w:hyperlink>
        </w:p>
        <w:p w14:paraId="7C980BD8" w14:textId="77A76B23" w:rsidR="00AB7B2C" w:rsidRDefault="00AA7599">
          <w:pPr>
            <w:pStyle w:val="TOC3"/>
            <w:rPr>
              <w:rFonts w:asciiTheme="minorHAnsi" w:eastAsiaTheme="minorEastAsia" w:hAnsiTheme="minorHAnsi"/>
              <w:b w:val="0"/>
              <w:noProof/>
              <w:sz w:val="22"/>
              <w:szCs w:val="22"/>
              <w:lang w:eastAsia="en-AU"/>
            </w:rPr>
          </w:pPr>
          <w:hyperlink w:anchor="_Toc148710987" w:history="1">
            <w:r w:rsidR="00AB7B2C" w:rsidRPr="00A47833">
              <w:rPr>
                <w:rStyle w:val="Hyperlink"/>
                <w:noProof/>
              </w:rPr>
              <w:t>2.</w:t>
            </w:r>
            <w:r w:rsidR="00AB7B2C">
              <w:rPr>
                <w:rFonts w:asciiTheme="minorHAnsi" w:eastAsiaTheme="minorEastAsia" w:hAnsiTheme="minorHAnsi"/>
                <w:b w:val="0"/>
                <w:noProof/>
                <w:sz w:val="22"/>
                <w:szCs w:val="22"/>
                <w:lang w:eastAsia="en-AU"/>
              </w:rPr>
              <w:tab/>
            </w:r>
            <w:r w:rsidR="00AB7B2C" w:rsidRPr="00A47833">
              <w:rPr>
                <w:rStyle w:val="Hyperlink"/>
                <w:noProof/>
              </w:rPr>
              <w:t>There is no mandatory order of analysis or decision making in the first sentence of Article 2.2.1.1</w:t>
            </w:r>
            <w:r w:rsidR="00AB7B2C">
              <w:rPr>
                <w:noProof/>
                <w:webHidden/>
              </w:rPr>
              <w:tab/>
            </w:r>
            <w:r w:rsidR="00AB7B2C">
              <w:rPr>
                <w:noProof/>
                <w:webHidden/>
              </w:rPr>
              <w:fldChar w:fldCharType="begin"/>
            </w:r>
            <w:r w:rsidR="00AB7B2C">
              <w:rPr>
                <w:noProof/>
                <w:webHidden/>
              </w:rPr>
              <w:instrText xml:space="preserve"> PAGEREF _Toc148710987 \h </w:instrText>
            </w:r>
            <w:r w:rsidR="00AB7B2C">
              <w:rPr>
                <w:noProof/>
                <w:webHidden/>
              </w:rPr>
            </w:r>
            <w:r w:rsidR="00AB7B2C">
              <w:rPr>
                <w:noProof/>
                <w:webHidden/>
              </w:rPr>
              <w:fldChar w:fldCharType="separate"/>
            </w:r>
            <w:r w:rsidR="00AB7B2C">
              <w:rPr>
                <w:noProof/>
                <w:webHidden/>
              </w:rPr>
              <w:t>9</w:t>
            </w:r>
            <w:r w:rsidR="00AB7B2C">
              <w:rPr>
                <w:noProof/>
                <w:webHidden/>
              </w:rPr>
              <w:fldChar w:fldCharType="end"/>
            </w:r>
          </w:hyperlink>
        </w:p>
        <w:p w14:paraId="700B6A7B" w14:textId="1FFA4BCA" w:rsidR="00AB7B2C" w:rsidRDefault="00AA7599">
          <w:pPr>
            <w:pStyle w:val="TOC3"/>
            <w:rPr>
              <w:rFonts w:asciiTheme="minorHAnsi" w:eastAsiaTheme="minorEastAsia" w:hAnsiTheme="minorHAnsi"/>
              <w:b w:val="0"/>
              <w:noProof/>
              <w:sz w:val="22"/>
              <w:szCs w:val="22"/>
              <w:lang w:eastAsia="en-AU"/>
            </w:rPr>
          </w:pPr>
          <w:hyperlink w:anchor="_Toc148710988" w:history="1">
            <w:r w:rsidR="00AB7B2C" w:rsidRPr="00A47833">
              <w:rPr>
                <w:rStyle w:val="Hyperlink"/>
                <w:noProof/>
              </w:rPr>
              <w:t>3.</w:t>
            </w:r>
            <w:r w:rsidR="00AB7B2C">
              <w:rPr>
                <w:rFonts w:asciiTheme="minorHAnsi" w:eastAsiaTheme="minorEastAsia" w:hAnsiTheme="minorHAnsi"/>
                <w:b w:val="0"/>
                <w:noProof/>
                <w:sz w:val="22"/>
                <w:szCs w:val="22"/>
                <w:lang w:eastAsia="en-AU"/>
              </w:rPr>
              <w:tab/>
            </w:r>
            <w:r w:rsidR="00AB7B2C" w:rsidRPr="00A47833">
              <w:rPr>
                <w:rStyle w:val="Hyperlink"/>
                <w:noProof/>
              </w:rPr>
              <w:t xml:space="preserve">China's </w:t>
            </w:r>
            <w:r w:rsidR="00AB7B2C" w:rsidRPr="00A47833">
              <w:rPr>
                <w:rStyle w:val="Hyperlink"/>
                <w:i/>
                <w:iCs/>
                <w:noProof/>
              </w:rPr>
              <w:t>arguendo</w:t>
            </w:r>
            <w:r w:rsidR="00AB7B2C" w:rsidRPr="00A47833">
              <w:rPr>
                <w:rStyle w:val="Hyperlink"/>
                <w:noProof/>
              </w:rPr>
              <w:t xml:space="preserve"> arguments regarding "normally" are internally inconsistent and lack merit</w:t>
            </w:r>
            <w:r w:rsidR="00AB7B2C">
              <w:rPr>
                <w:noProof/>
                <w:webHidden/>
              </w:rPr>
              <w:tab/>
            </w:r>
            <w:r w:rsidR="00AB7B2C">
              <w:rPr>
                <w:noProof/>
                <w:webHidden/>
              </w:rPr>
              <w:fldChar w:fldCharType="begin"/>
            </w:r>
            <w:r w:rsidR="00AB7B2C">
              <w:rPr>
                <w:noProof/>
                <w:webHidden/>
              </w:rPr>
              <w:instrText xml:space="preserve"> PAGEREF _Toc148710988 \h </w:instrText>
            </w:r>
            <w:r w:rsidR="00AB7B2C">
              <w:rPr>
                <w:noProof/>
                <w:webHidden/>
              </w:rPr>
            </w:r>
            <w:r w:rsidR="00AB7B2C">
              <w:rPr>
                <w:noProof/>
                <w:webHidden/>
              </w:rPr>
              <w:fldChar w:fldCharType="separate"/>
            </w:r>
            <w:r w:rsidR="00AB7B2C">
              <w:rPr>
                <w:noProof/>
                <w:webHidden/>
              </w:rPr>
              <w:t>10</w:t>
            </w:r>
            <w:r w:rsidR="00AB7B2C">
              <w:rPr>
                <w:noProof/>
                <w:webHidden/>
              </w:rPr>
              <w:fldChar w:fldCharType="end"/>
            </w:r>
          </w:hyperlink>
        </w:p>
        <w:p w14:paraId="0100EB32" w14:textId="3991C30C" w:rsidR="00AB7B2C" w:rsidRDefault="00AA7599">
          <w:pPr>
            <w:pStyle w:val="TOC2"/>
            <w:rPr>
              <w:rFonts w:asciiTheme="minorHAnsi" w:eastAsiaTheme="minorEastAsia" w:hAnsiTheme="minorHAnsi"/>
              <w:b w:val="0"/>
              <w:smallCaps w:val="0"/>
              <w:noProof/>
              <w:sz w:val="22"/>
              <w:szCs w:val="22"/>
              <w:lang w:eastAsia="en-AU"/>
            </w:rPr>
          </w:pPr>
          <w:hyperlink w:anchor="_Toc148710989" w:history="1">
            <w:r w:rsidR="00AB7B2C" w:rsidRPr="00A47833">
              <w:rPr>
                <w:rStyle w:val="Hyperlink"/>
                <w:noProof/>
              </w:rPr>
              <w:t>C.</w:t>
            </w:r>
            <w:r w:rsidR="00AB7B2C">
              <w:rPr>
                <w:rFonts w:asciiTheme="minorHAnsi" w:eastAsiaTheme="minorEastAsia" w:hAnsiTheme="minorHAnsi"/>
                <w:b w:val="0"/>
                <w:smallCaps w:val="0"/>
                <w:noProof/>
                <w:sz w:val="22"/>
                <w:szCs w:val="22"/>
                <w:lang w:eastAsia="en-AU"/>
              </w:rPr>
              <w:tab/>
            </w:r>
            <w:r w:rsidR="00AB7B2C" w:rsidRPr="00A47833">
              <w:rPr>
                <w:rStyle w:val="Hyperlink"/>
                <w:noProof/>
              </w:rPr>
              <w:t>AD claim 1</w:t>
            </w:r>
            <w:r w:rsidR="00AB7B2C">
              <w:rPr>
                <w:noProof/>
                <w:webHidden/>
              </w:rPr>
              <w:tab/>
            </w:r>
            <w:r w:rsidR="00AB7B2C">
              <w:rPr>
                <w:noProof/>
                <w:webHidden/>
              </w:rPr>
              <w:fldChar w:fldCharType="begin"/>
            </w:r>
            <w:r w:rsidR="00AB7B2C">
              <w:rPr>
                <w:noProof/>
                <w:webHidden/>
              </w:rPr>
              <w:instrText xml:space="preserve"> PAGEREF _Toc148710989 \h </w:instrText>
            </w:r>
            <w:r w:rsidR="00AB7B2C">
              <w:rPr>
                <w:noProof/>
                <w:webHidden/>
              </w:rPr>
            </w:r>
            <w:r w:rsidR="00AB7B2C">
              <w:rPr>
                <w:noProof/>
                <w:webHidden/>
              </w:rPr>
              <w:fldChar w:fldCharType="separate"/>
            </w:r>
            <w:r w:rsidR="00AB7B2C">
              <w:rPr>
                <w:noProof/>
                <w:webHidden/>
              </w:rPr>
              <w:t>12</w:t>
            </w:r>
            <w:r w:rsidR="00AB7B2C">
              <w:rPr>
                <w:noProof/>
                <w:webHidden/>
              </w:rPr>
              <w:fldChar w:fldCharType="end"/>
            </w:r>
          </w:hyperlink>
        </w:p>
        <w:p w14:paraId="1B4B900B" w14:textId="0D92EBFB" w:rsidR="00AB7B2C" w:rsidRDefault="00AA7599">
          <w:pPr>
            <w:pStyle w:val="TOC2"/>
            <w:rPr>
              <w:rFonts w:asciiTheme="minorHAnsi" w:eastAsiaTheme="minorEastAsia" w:hAnsiTheme="minorHAnsi"/>
              <w:b w:val="0"/>
              <w:smallCaps w:val="0"/>
              <w:noProof/>
              <w:sz w:val="22"/>
              <w:szCs w:val="22"/>
              <w:lang w:eastAsia="en-AU"/>
            </w:rPr>
          </w:pPr>
          <w:hyperlink w:anchor="_Toc148710990" w:history="1">
            <w:r w:rsidR="00AB7B2C" w:rsidRPr="00A47833">
              <w:rPr>
                <w:rStyle w:val="Hyperlink"/>
                <w:noProof/>
              </w:rPr>
              <w:t>D.</w:t>
            </w:r>
            <w:r w:rsidR="00AB7B2C">
              <w:rPr>
                <w:rFonts w:asciiTheme="minorHAnsi" w:eastAsiaTheme="minorEastAsia" w:hAnsiTheme="minorHAnsi"/>
                <w:b w:val="0"/>
                <w:smallCaps w:val="0"/>
                <w:noProof/>
                <w:sz w:val="22"/>
                <w:szCs w:val="22"/>
                <w:lang w:eastAsia="en-AU"/>
              </w:rPr>
              <w:tab/>
            </w:r>
            <w:r w:rsidR="00AB7B2C" w:rsidRPr="00A47833">
              <w:rPr>
                <w:rStyle w:val="Hyperlink"/>
                <w:noProof/>
              </w:rPr>
              <w:t>AD claim 5.d</w:t>
            </w:r>
            <w:r w:rsidR="00AB7B2C">
              <w:rPr>
                <w:noProof/>
                <w:webHidden/>
              </w:rPr>
              <w:tab/>
            </w:r>
            <w:r w:rsidR="00AB7B2C">
              <w:rPr>
                <w:noProof/>
                <w:webHidden/>
              </w:rPr>
              <w:fldChar w:fldCharType="begin"/>
            </w:r>
            <w:r w:rsidR="00AB7B2C">
              <w:rPr>
                <w:noProof/>
                <w:webHidden/>
              </w:rPr>
              <w:instrText xml:space="preserve"> PAGEREF _Toc148710990 \h </w:instrText>
            </w:r>
            <w:r w:rsidR="00AB7B2C">
              <w:rPr>
                <w:noProof/>
                <w:webHidden/>
              </w:rPr>
            </w:r>
            <w:r w:rsidR="00AB7B2C">
              <w:rPr>
                <w:noProof/>
                <w:webHidden/>
              </w:rPr>
              <w:fldChar w:fldCharType="separate"/>
            </w:r>
            <w:r w:rsidR="00AB7B2C">
              <w:rPr>
                <w:noProof/>
                <w:webHidden/>
              </w:rPr>
              <w:t>13</w:t>
            </w:r>
            <w:r w:rsidR="00AB7B2C">
              <w:rPr>
                <w:noProof/>
                <w:webHidden/>
              </w:rPr>
              <w:fldChar w:fldCharType="end"/>
            </w:r>
          </w:hyperlink>
        </w:p>
        <w:p w14:paraId="3CE1B649" w14:textId="071FFFD8" w:rsidR="00AB7B2C" w:rsidRDefault="00AA7599">
          <w:pPr>
            <w:pStyle w:val="TOC2"/>
            <w:rPr>
              <w:rFonts w:asciiTheme="minorHAnsi" w:eastAsiaTheme="minorEastAsia" w:hAnsiTheme="minorHAnsi"/>
              <w:b w:val="0"/>
              <w:smallCaps w:val="0"/>
              <w:noProof/>
              <w:sz w:val="22"/>
              <w:szCs w:val="22"/>
              <w:lang w:eastAsia="en-AU"/>
            </w:rPr>
          </w:pPr>
          <w:hyperlink w:anchor="_Toc148710991" w:history="1">
            <w:r w:rsidR="00AB7B2C" w:rsidRPr="00A47833">
              <w:rPr>
                <w:rStyle w:val="Hyperlink"/>
                <w:noProof/>
              </w:rPr>
              <w:t>E.</w:t>
            </w:r>
            <w:r w:rsidR="00AB7B2C">
              <w:rPr>
                <w:rFonts w:asciiTheme="minorHAnsi" w:eastAsiaTheme="minorEastAsia" w:hAnsiTheme="minorHAnsi"/>
                <w:b w:val="0"/>
                <w:smallCaps w:val="0"/>
                <w:noProof/>
                <w:sz w:val="22"/>
                <w:szCs w:val="22"/>
                <w:lang w:eastAsia="en-AU"/>
              </w:rPr>
              <w:tab/>
            </w:r>
            <w:r w:rsidR="00AB7B2C" w:rsidRPr="00A47833">
              <w:rPr>
                <w:rStyle w:val="Hyperlink"/>
                <w:noProof/>
              </w:rPr>
              <w:t>AD claim 6.a</w:t>
            </w:r>
            <w:r w:rsidR="00AB7B2C">
              <w:rPr>
                <w:noProof/>
                <w:webHidden/>
              </w:rPr>
              <w:tab/>
            </w:r>
            <w:r w:rsidR="00AB7B2C">
              <w:rPr>
                <w:noProof/>
                <w:webHidden/>
              </w:rPr>
              <w:fldChar w:fldCharType="begin"/>
            </w:r>
            <w:r w:rsidR="00AB7B2C">
              <w:rPr>
                <w:noProof/>
                <w:webHidden/>
              </w:rPr>
              <w:instrText xml:space="preserve"> PAGEREF _Toc148710991 \h </w:instrText>
            </w:r>
            <w:r w:rsidR="00AB7B2C">
              <w:rPr>
                <w:noProof/>
                <w:webHidden/>
              </w:rPr>
            </w:r>
            <w:r w:rsidR="00AB7B2C">
              <w:rPr>
                <w:noProof/>
                <w:webHidden/>
              </w:rPr>
              <w:fldChar w:fldCharType="separate"/>
            </w:r>
            <w:r w:rsidR="00AB7B2C">
              <w:rPr>
                <w:noProof/>
                <w:webHidden/>
              </w:rPr>
              <w:t>14</w:t>
            </w:r>
            <w:r w:rsidR="00AB7B2C">
              <w:rPr>
                <w:noProof/>
                <w:webHidden/>
              </w:rPr>
              <w:fldChar w:fldCharType="end"/>
            </w:r>
          </w:hyperlink>
        </w:p>
        <w:p w14:paraId="3A1AEE04" w14:textId="3E8F3B17" w:rsidR="00AB7B2C" w:rsidRDefault="00AA7599">
          <w:pPr>
            <w:pStyle w:val="TOC2"/>
            <w:rPr>
              <w:rFonts w:asciiTheme="minorHAnsi" w:eastAsiaTheme="minorEastAsia" w:hAnsiTheme="minorHAnsi"/>
              <w:b w:val="0"/>
              <w:smallCaps w:val="0"/>
              <w:noProof/>
              <w:sz w:val="22"/>
              <w:szCs w:val="22"/>
              <w:lang w:eastAsia="en-AU"/>
            </w:rPr>
          </w:pPr>
          <w:hyperlink w:anchor="_Toc148710992" w:history="1">
            <w:r w:rsidR="00AB7B2C" w:rsidRPr="00A47833">
              <w:rPr>
                <w:rStyle w:val="Hyperlink"/>
                <w:noProof/>
              </w:rPr>
              <w:t>F.</w:t>
            </w:r>
            <w:r w:rsidR="00AB7B2C">
              <w:rPr>
                <w:rFonts w:asciiTheme="minorHAnsi" w:eastAsiaTheme="minorEastAsia" w:hAnsiTheme="minorHAnsi"/>
                <w:b w:val="0"/>
                <w:smallCaps w:val="0"/>
                <w:noProof/>
                <w:sz w:val="22"/>
                <w:szCs w:val="22"/>
                <w:lang w:eastAsia="en-AU"/>
              </w:rPr>
              <w:tab/>
            </w:r>
            <w:r w:rsidR="00AB7B2C" w:rsidRPr="00A47833">
              <w:rPr>
                <w:rStyle w:val="Hyperlink"/>
                <w:noProof/>
              </w:rPr>
              <w:t>AD claim 7.b</w:t>
            </w:r>
            <w:r w:rsidR="00AB7B2C">
              <w:rPr>
                <w:noProof/>
                <w:webHidden/>
              </w:rPr>
              <w:tab/>
            </w:r>
            <w:r w:rsidR="00AB7B2C">
              <w:rPr>
                <w:noProof/>
                <w:webHidden/>
              </w:rPr>
              <w:fldChar w:fldCharType="begin"/>
            </w:r>
            <w:r w:rsidR="00AB7B2C">
              <w:rPr>
                <w:noProof/>
                <w:webHidden/>
              </w:rPr>
              <w:instrText xml:space="preserve"> PAGEREF _Toc148710992 \h </w:instrText>
            </w:r>
            <w:r w:rsidR="00AB7B2C">
              <w:rPr>
                <w:noProof/>
                <w:webHidden/>
              </w:rPr>
            </w:r>
            <w:r w:rsidR="00AB7B2C">
              <w:rPr>
                <w:noProof/>
                <w:webHidden/>
              </w:rPr>
              <w:fldChar w:fldCharType="separate"/>
            </w:r>
            <w:r w:rsidR="00AB7B2C">
              <w:rPr>
                <w:noProof/>
                <w:webHidden/>
              </w:rPr>
              <w:t>15</w:t>
            </w:r>
            <w:r w:rsidR="00AB7B2C">
              <w:rPr>
                <w:noProof/>
                <w:webHidden/>
              </w:rPr>
              <w:fldChar w:fldCharType="end"/>
            </w:r>
          </w:hyperlink>
        </w:p>
        <w:p w14:paraId="3629E95E" w14:textId="71E7C60E" w:rsidR="00AB7B2C" w:rsidRDefault="00AA7599">
          <w:pPr>
            <w:pStyle w:val="TOC2"/>
            <w:rPr>
              <w:rFonts w:asciiTheme="minorHAnsi" w:eastAsiaTheme="minorEastAsia" w:hAnsiTheme="minorHAnsi"/>
              <w:b w:val="0"/>
              <w:smallCaps w:val="0"/>
              <w:noProof/>
              <w:sz w:val="22"/>
              <w:szCs w:val="22"/>
              <w:lang w:eastAsia="en-AU"/>
            </w:rPr>
          </w:pPr>
          <w:hyperlink w:anchor="_Toc148710993" w:history="1">
            <w:r w:rsidR="00AB7B2C" w:rsidRPr="00A47833">
              <w:rPr>
                <w:rStyle w:val="Hyperlink"/>
                <w:noProof/>
              </w:rPr>
              <w:t>G.</w:t>
            </w:r>
            <w:r w:rsidR="00AB7B2C">
              <w:rPr>
                <w:rFonts w:asciiTheme="minorHAnsi" w:eastAsiaTheme="minorEastAsia" w:hAnsiTheme="minorHAnsi"/>
                <w:b w:val="0"/>
                <w:smallCaps w:val="0"/>
                <w:noProof/>
                <w:sz w:val="22"/>
                <w:szCs w:val="22"/>
                <w:lang w:eastAsia="en-AU"/>
              </w:rPr>
              <w:tab/>
            </w:r>
            <w:r w:rsidR="00AB7B2C" w:rsidRPr="00A47833">
              <w:rPr>
                <w:rStyle w:val="Hyperlink"/>
                <w:noProof/>
              </w:rPr>
              <w:t>AD claim 8</w:t>
            </w:r>
            <w:r w:rsidR="00AB7B2C">
              <w:rPr>
                <w:noProof/>
                <w:webHidden/>
              </w:rPr>
              <w:tab/>
            </w:r>
            <w:r w:rsidR="00AB7B2C">
              <w:rPr>
                <w:noProof/>
                <w:webHidden/>
              </w:rPr>
              <w:fldChar w:fldCharType="begin"/>
            </w:r>
            <w:r w:rsidR="00AB7B2C">
              <w:rPr>
                <w:noProof/>
                <w:webHidden/>
              </w:rPr>
              <w:instrText xml:space="preserve"> PAGEREF _Toc148710993 \h </w:instrText>
            </w:r>
            <w:r w:rsidR="00AB7B2C">
              <w:rPr>
                <w:noProof/>
                <w:webHidden/>
              </w:rPr>
            </w:r>
            <w:r w:rsidR="00AB7B2C">
              <w:rPr>
                <w:noProof/>
                <w:webHidden/>
              </w:rPr>
              <w:fldChar w:fldCharType="separate"/>
            </w:r>
            <w:r w:rsidR="00AB7B2C">
              <w:rPr>
                <w:noProof/>
                <w:webHidden/>
              </w:rPr>
              <w:t>16</w:t>
            </w:r>
            <w:r w:rsidR="00AB7B2C">
              <w:rPr>
                <w:noProof/>
                <w:webHidden/>
              </w:rPr>
              <w:fldChar w:fldCharType="end"/>
            </w:r>
          </w:hyperlink>
        </w:p>
        <w:p w14:paraId="00EA93CB" w14:textId="7B7A8B65" w:rsidR="00AB7B2C" w:rsidRDefault="00AA7599">
          <w:pPr>
            <w:pStyle w:val="TOC1"/>
            <w:rPr>
              <w:rFonts w:asciiTheme="minorHAnsi" w:eastAsiaTheme="minorEastAsia" w:hAnsiTheme="minorHAnsi"/>
              <w:b w:val="0"/>
              <w:caps w:val="0"/>
              <w:noProof/>
              <w:sz w:val="22"/>
              <w:szCs w:val="22"/>
              <w:lang w:eastAsia="en-AU"/>
            </w:rPr>
          </w:pPr>
          <w:hyperlink w:anchor="_Toc148710994" w:history="1">
            <w:r w:rsidR="00AB7B2C" w:rsidRPr="00A47833">
              <w:rPr>
                <w:rStyle w:val="Hyperlink"/>
                <w:noProof/>
              </w:rPr>
              <w:t>VI.</w:t>
            </w:r>
            <w:r w:rsidR="00AB7B2C">
              <w:rPr>
                <w:rFonts w:asciiTheme="minorHAnsi" w:eastAsiaTheme="minorEastAsia" w:hAnsiTheme="minorHAnsi"/>
                <w:b w:val="0"/>
                <w:caps w:val="0"/>
                <w:noProof/>
                <w:sz w:val="22"/>
                <w:szCs w:val="22"/>
                <w:lang w:eastAsia="en-AU"/>
              </w:rPr>
              <w:tab/>
            </w:r>
            <w:r w:rsidR="00AB7B2C" w:rsidRPr="00A47833">
              <w:rPr>
                <w:rStyle w:val="Hyperlink"/>
                <w:noProof/>
              </w:rPr>
              <w:t>Conditional responses to AD claims: Stainless Steel Sinks</w:t>
            </w:r>
            <w:r w:rsidR="00AB7B2C">
              <w:rPr>
                <w:noProof/>
                <w:webHidden/>
              </w:rPr>
              <w:tab/>
            </w:r>
            <w:r w:rsidR="00AB7B2C">
              <w:rPr>
                <w:noProof/>
                <w:webHidden/>
              </w:rPr>
              <w:fldChar w:fldCharType="begin"/>
            </w:r>
            <w:r w:rsidR="00AB7B2C">
              <w:rPr>
                <w:noProof/>
                <w:webHidden/>
              </w:rPr>
              <w:instrText xml:space="preserve"> PAGEREF _Toc148710994 \h </w:instrText>
            </w:r>
            <w:r w:rsidR="00AB7B2C">
              <w:rPr>
                <w:noProof/>
                <w:webHidden/>
              </w:rPr>
            </w:r>
            <w:r w:rsidR="00AB7B2C">
              <w:rPr>
                <w:noProof/>
                <w:webHidden/>
              </w:rPr>
              <w:fldChar w:fldCharType="separate"/>
            </w:r>
            <w:r w:rsidR="00AB7B2C">
              <w:rPr>
                <w:noProof/>
                <w:webHidden/>
              </w:rPr>
              <w:t>16</w:t>
            </w:r>
            <w:r w:rsidR="00AB7B2C">
              <w:rPr>
                <w:noProof/>
                <w:webHidden/>
              </w:rPr>
              <w:fldChar w:fldCharType="end"/>
            </w:r>
          </w:hyperlink>
        </w:p>
        <w:p w14:paraId="423481A7" w14:textId="683DBB1C" w:rsidR="00AB7B2C" w:rsidRDefault="00AA7599">
          <w:pPr>
            <w:pStyle w:val="TOC2"/>
            <w:rPr>
              <w:rFonts w:asciiTheme="minorHAnsi" w:eastAsiaTheme="minorEastAsia" w:hAnsiTheme="minorHAnsi"/>
              <w:b w:val="0"/>
              <w:smallCaps w:val="0"/>
              <w:noProof/>
              <w:sz w:val="22"/>
              <w:szCs w:val="22"/>
              <w:lang w:eastAsia="en-AU"/>
            </w:rPr>
          </w:pPr>
          <w:hyperlink w:anchor="_Toc148710995" w:history="1">
            <w:r w:rsidR="00AB7B2C" w:rsidRPr="00A47833">
              <w:rPr>
                <w:rStyle w:val="Hyperlink"/>
                <w:noProof/>
              </w:rPr>
              <w:t>A.</w:t>
            </w:r>
            <w:r w:rsidR="00AB7B2C">
              <w:rPr>
                <w:rFonts w:asciiTheme="minorHAnsi" w:eastAsiaTheme="minorEastAsia" w:hAnsiTheme="minorHAnsi"/>
                <w:b w:val="0"/>
                <w:smallCaps w:val="0"/>
                <w:noProof/>
                <w:sz w:val="22"/>
                <w:szCs w:val="22"/>
                <w:lang w:eastAsia="en-AU"/>
              </w:rPr>
              <w:tab/>
            </w:r>
            <w:r w:rsidR="00AB7B2C" w:rsidRPr="00A47833">
              <w:rPr>
                <w:rStyle w:val="Hyperlink"/>
                <w:noProof/>
              </w:rPr>
              <w:t>AD claim 3</w:t>
            </w:r>
            <w:r w:rsidR="00AB7B2C">
              <w:rPr>
                <w:noProof/>
                <w:webHidden/>
              </w:rPr>
              <w:tab/>
            </w:r>
            <w:r w:rsidR="00AB7B2C">
              <w:rPr>
                <w:noProof/>
                <w:webHidden/>
              </w:rPr>
              <w:fldChar w:fldCharType="begin"/>
            </w:r>
            <w:r w:rsidR="00AB7B2C">
              <w:rPr>
                <w:noProof/>
                <w:webHidden/>
              </w:rPr>
              <w:instrText xml:space="preserve"> PAGEREF _Toc148710995 \h </w:instrText>
            </w:r>
            <w:r w:rsidR="00AB7B2C">
              <w:rPr>
                <w:noProof/>
                <w:webHidden/>
              </w:rPr>
            </w:r>
            <w:r w:rsidR="00AB7B2C">
              <w:rPr>
                <w:noProof/>
                <w:webHidden/>
              </w:rPr>
              <w:fldChar w:fldCharType="separate"/>
            </w:r>
            <w:r w:rsidR="00AB7B2C">
              <w:rPr>
                <w:noProof/>
                <w:webHidden/>
              </w:rPr>
              <w:t>16</w:t>
            </w:r>
            <w:r w:rsidR="00AB7B2C">
              <w:rPr>
                <w:noProof/>
                <w:webHidden/>
              </w:rPr>
              <w:fldChar w:fldCharType="end"/>
            </w:r>
          </w:hyperlink>
        </w:p>
        <w:p w14:paraId="735EB244" w14:textId="15609F05" w:rsidR="00AB7B2C" w:rsidRDefault="00AA7599">
          <w:pPr>
            <w:pStyle w:val="TOC3"/>
            <w:rPr>
              <w:rFonts w:asciiTheme="minorHAnsi" w:eastAsiaTheme="minorEastAsia" w:hAnsiTheme="minorHAnsi"/>
              <w:b w:val="0"/>
              <w:noProof/>
              <w:sz w:val="22"/>
              <w:szCs w:val="22"/>
              <w:lang w:eastAsia="en-AU"/>
            </w:rPr>
          </w:pPr>
          <w:hyperlink w:anchor="_Toc148710996" w:history="1">
            <w:r w:rsidR="00AB7B2C" w:rsidRPr="00A47833">
              <w:rPr>
                <w:rStyle w:val="Hyperlink"/>
                <w:noProof/>
              </w:rPr>
              <w:t>1.</w:t>
            </w:r>
            <w:r w:rsidR="00AB7B2C">
              <w:rPr>
                <w:rFonts w:asciiTheme="minorHAnsi" w:eastAsiaTheme="minorEastAsia" w:hAnsiTheme="minorHAnsi"/>
                <w:b w:val="0"/>
                <w:noProof/>
                <w:sz w:val="22"/>
                <w:szCs w:val="22"/>
                <w:lang w:eastAsia="en-AU"/>
              </w:rPr>
              <w:tab/>
            </w:r>
            <w:r w:rsidR="00AB7B2C" w:rsidRPr="00A47833">
              <w:rPr>
                <w:rStyle w:val="Hyperlink"/>
                <w:noProof/>
              </w:rPr>
              <w:t>Regulation 180(2) is not the second condition of Article 2.2.1.1</w:t>
            </w:r>
            <w:r w:rsidR="00AB7B2C">
              <w:rPr>
                <w:noProof/>
                <w:webHidden/>
              </w:rPr>
              <w:tab/>
            </w:r>
            <w:r w:rsidR="00AB7B2C">
              <w:rPr>
                <w:noProof/>
                <w:webHidden/>
              </w:rPr>
              <w:fldChar w:fldCharType="begin"/>
            </w:r>
            <w:r w:rsidR="00AB7B2C">
              <w:rPr>
                <w:noProof/>
                <w:webHidden/>
              </w:rPr>
              <w:instrText xml:space="preserve"> PAGEREF _Toc148710996 \h </w:instrText>
            </w:r>
            <w:r w:rsidR="00AB7B2C">
              <w:rPr>
                <w:noProof/>
                <w:webHidden/>
              </w:rPr>
            </w:r>
            <w:r w:rsidR="00AB7B2C">
              <w:rPr>
                <w:noProof/>
                <w:webHidden/>
              </w:rPr>
              <w:fldChar w:fldCharType="separate"/>
            </w:r>
            <w:r w:rsidR="00AB7B2C">
              <w:rPr>
                <w:noProof/>
                <w:webHidden/>
              </w:rPr>
              <w:t>16</w:t>
            </w:r>
            <w:r w:rsidR="00AB7B2C">
              <w:rPr>
                <w:noProof/>
                <w:webHidden/>
              </w:rPr>
              <w:fldChar w:fldCharType="end"/>
            </w:r>
          </w:hyperlink>
        </w:p>
        <w:p w14:paraId="12E9D4C4" w14:textId="1EE5849F" w:rsidR="00AB7B2C" w:rsidRDefault="00AA7599">
          <w:pPr>
            <w:pStyle w:val="TOC3"/>
            <w:rPr>
              <w:rFonts w:asciiTheme="minorHAnsi" w:eastAsiaTheme="minorEastAsia" w:hAnsiTheme="minorHAnsi"/>
              <w:b w:val="0"/>
              <w:noProof/>
              <w:sz w:val="22"/>
              <w:szCs w:val="22"/>
              <w:lang w:eastAsia="en-AU"/>
            </w:rPr>
          </w:pPr>
          <w:hyperlink w:anchor="_Toc148710997" w:history="1">
            <w:r w:rsidR="00AB7B2C" w:rsidRPr="00A47833">
              <w:rPr>
                <w:rStyle w:val="Hyperlink"/>
                <w:noProof/>
              </w:rPr>
              <w:t>2.</w:t>
            </w:r>
            <w:r w:rsidR="00AB7B2C">
              <w:rPr>
                <w:rFonts w:asciiTheme="minorHAnsi" w:eastAsiaTheme="minorEastAsia" w:hAnsiTheme="minorHAnsi"/>
                <w:b w:val="0"/>
                <w:noProof/>
                <w:sz w:val="22"/>
                <w:szCs w:val="22"/>
                <w:lang w:eastAsia="en-AU"/>
              </w:rPr>
              <w:tab/>
            </w:r>
            <w:r w:rsidR="00AB7B2C" w:rsidRPr="00A47833">
              <w:rPr>
                <w:rStyle w:val="Hyperlink"/>
                <w:noProof/>
              </w:rPr>
              <w:t>The ADC's second condition finding</w:t>
            </w:r>
            <w:r w:rsidR="00AB7B2C">
              <w:rPr>
                <w:noProof/>
                <w:webHidden/>
              </w:rPr>
              <w:tab/>
            </w:r>
            <w:r w:rsidR="00AB7B2C">
              <w:rPr>
                <w:noProof/>
                <w:webHidden/>
              </w:rPr>
              <w:fldChar w:fldCharType="begin"/>
            </w:r>
            <w:r w:rsidR="00AB7B2C">
              <w:rPr>
                <w:noProof/>
                <w:webHidden/>
              </w:rPr>
              <w:instrText xml:space="preserve"> PAGEREF _Toc148710997 \h </w:instrText>
            </w:r>
            <w:r w:rsidR="00AB7B2C">
              <w:rPr>
                <w:noProof/>
                <w:webHidden/>
              </w:rPr>
            </w:r>
            <w:r w:rsidR="00AB7B2C">
              <w:rPr>
                <w:noProof/>
                <w:webHidden/>
              </w:rPr>
              <w:fldChar w:fldCharType="separate"/>
            </w:r>
            <w:r w:rsidR="00AB7B2C">
              <w:rPr>
                <w:noProof/>
                <w:webHidden/>
              </w:rPr>
              <w:t>17</w:t>
            </w:r>
            <w:r w:rsidR="00AB7B2C">
              <w:rPr>
                <w:noProof/>
                <w:webHidden/>
              </w:rPr>
              <w:fldChar w:fldCharType="end"/>
            </w:r>
          </w:hyperlink>
        </w:p>
        <w:p w14:paraId="2F9412A2" w14:textId="1549DB08" w:rsidR="00AB7B2C" w:rsidRDefault="00AA7599">
          <w:pPr>
            <w:pStyle w:val="TOC2"/>
            <w:rPr>
              <w:rFonts w:asciiTheme="minorHAnsi" w:eastAsiaTheme="minorEastAsia" w:hAnsiTheme="minorHAnsi"/>
              <w:b w:val="0"/>
              <w:smallCaps w:val="0"/>
              <w:noProof/>
              <w:sz w:val="22"/>
              <w:szCs w:val="22"/>
              <w:lang w:eastAsia="en-AU"/>
            </w:rPr>
          </w:pPr>
          <w:hyperlink w:anchor="_Toc148710998" w:history="1">
            <w:r w:rsidR="00AB7B2C" w:rsidRPr="00A47833">
              <w:rPr>
                <w:rStyle w:val="Hyperlink"/>
                <w:noProof/>
              </w:rPr>
              <w:t>B.</w:t>
            </w:r>
            <w:r w:rsidR="00AB7B2C">
              <w:rPr>
                <w:rFonts w:asciiTheme="minorHAnsi" w:eastAsiaTheme="minorEastAsia" w:hAnsiTheme="minorHAnsi"/>
                <w:b w:val="0"/>
                <w:smallCaps w:val="0"/>
                <w:noProof/>
                <w:sz w:val="22"/>
                <w:szCs w:val="22"/>
                <w:lang w:eastAsia="en-AU"/>
              </w:rPr>
              <w:tab/>
            </w:r>
            <w:r w:rsidR="00AB7B2C" w:rsidRPr="00A47833">
              <w:rPr>
                <w:rStyle w:val="Hyperlink"/>
                <w:noProof/>
              </w:rPr>
              <w:t>AD claim 1</w:t>
            </w:r>
            <w:r w:rsidR="00AB7B2C">
              <w:rPr>
                <w:noProof/>
                <w:webHidden/>
              </w:rPr>
              <w:tab/>
            </w:r>
            <w:r w:rsidR="00AB7B2C">
              <w:rPr>
                <w:noProof/>
                <w:webHidden/>
              </w:rPr>
              <w:fldChar w:fldCharType="begin"/>
            </w:r>
            <w:r w:rsidR="00AB7B2C">
              <w:rPr>
                <w:noProof/>
                <w:webHidden/>
              </w:rPr>
              <w:instrText xml:space="preserve"> PAGEREF _Toc148710998 \h </w:instrText>
            </w:r>
            <w:r w:rsidR="00AB7B2C">
              <w:rPr>
                <w:noProof/>
                <w:webHidden/>
              </w:rPr>
            </w:r>
            <w:r w:rsidR="00AB7B2C">
              <w:rPr>
                <w:noProof/>
                <w:webHidden/>
              </w:rPr>
              <w:fldChar w:fldCharType="separate"/>
            </w:r>
            <w:r w:rsidR="00AB7B2C">
              <w:rPr>
                <w:noProof/>
                <w:webHidden/>
              </w:rPr>
              <w:t>18</w:t>
            </w:r>
            <w:r w:rsidR="00AB7B2C">
              <w:rPr>
                <w:noProof/>
                <w:webHidden/>
              </w:rPr>
              <w:fldChar w:fldCharType="end"/>
            </w:r>
          </w:hyperlink>
        </w:p>
        <w:p w14:paraId="5E9BA9DD" w14:textId="3A44EF08" w:rsidR="00AB7B2C" w:rsidRDefault="00AA7599">
          <w:pPr>
            <w:pStyle w:val="TOC2"/>
            <w:rPr>
              <w:rFonts w:asciiTheme="minorHAnsi" w:eastAsiaTheme="minorEastAsia" w:hAnsiTheme="minorHAnsi"/>
              <w:b w:val="0"/>
              <w:smallCaps w:val="0"/>
              <w:noProof/>
              <w:sz w:val="22"/>
              <w:szCs w:val="22"/>
              <w:lang w:eastAsia="en-AU"/>
            </w:rPr>
          </w:pPr>
          <w:hyperlink w:anchor="_Toc148710999" w:history="1">
            <w:r w:rsidR="00AB7B2C" w:rsidRPr="00A47833">
              <w:rPr>
                <w:rStyle w:val="Hyperlink"/>
                <w:noProof/>
              </w:rPr>
              <w:t>C.</w:t>
            </w:r>
            <w:r w:rsidR="00AB7B2C">
              <w:rPr>
                <w:rFonts w:asciiTheme="minorHAnsi" w:eastAsiaTheme="minorEastAsia" w:hAnsiTheme="minorHAnsi"/>
                <w:b w:val="0"/>
                <w:smallCaps w:val="0"/>
                <w:noProof/>
                <w:sz w:val="22"/>
                <w:szCs w:val="22"/>
                <w:lang w:eastAsia="en-AU"/>
              </w:rPr>
              <w:tab/>
            </w:r>
            <w:r w:rsidR="00AB7B2C" w:rsidRPr="00A47833">
              <w:rPr>
                <w:rStyle w:val="Hyperlink"/>
                <w:noProof/>
              </w:rPr>
              <w:t>AD claims 2 and 4</w:t>
            </w:r>
            <w:r w:rsidR="00AB7B2C">
              <w:rPr>
                <w:noProof/>
                <w:webHidden/>
              </w:rPr>
              <w:tab/>
            </w:r>
            <w:r w:rsidR="00AB7B2C">
              <w:rPr>
                <w:noProof/>
                <w:webHidden/>
              </w:rPr>
              <w:fldChar w:fldCharType="begin"/>
            </w:r>
            <w:r w:rsidR="00AB7B2C">
              <w:rPr>
                <w:noProof/>
                <w:webHidden/>
              </w:rPr>
              <w:instrText xml:space="preserve"> PAGEREF _Toc148710999 \h </w:instrText>
            </w:r>
            <w:r w:rsidR="00AB7B2C">
              <w:rPr>
                <w:noProof/>
                <w:webHidden/>
              </w:rPr>
            </w:r>
            <w:r w:rsidR="00AB7B2C">
              <w:rPr>
                <w:noProof/>
                <w:webHidden/>
              </w:rPr>
              <w:fldChar w:fldCharType="separate"/>
            </w:r>
            <w:r w:rsidR="00AB7B2C">
              <w:rPr>
                <w:noProof/>
                <w:webHidden/>
              </w:rPr>
              <w:t>19</w:t>
            </w:r>
            <w:r w:rsidR="00AB7B2C">
              <w:rPr>
                <w:noProof/>
                <w:webHidden/>
              </w:rPr>
              <w:fldChar w:fldCharType="end"/>
            </w:r>
          </w:hyperlink>
        </w:p>
        <w:p w14:paraId="14D07B66" w14:textId="2479E6CD" w:rsidR="00AB7B2C" w:rsidRDefault="00AA7599">
          <w:pPr>
            <w:pStyle w:val="TOC2"/>
            <w:rPr>
              <w:rFonts w:asciiTheme="minorHAnsi" w:eastAsiaTheme="minorEastAsia" w:hAnsiTheme="minorHAnsi"/>
              <w:b w:val="0"/>
              <w:smallCaps w:val="0"/>
              <w:noProof/>
              <w:sz w:val="22"/>
              <w:szCs w:val="22"/>
              <w:lang w:eastAsia="en-AU"/>
            </w:rPr>
          </w:pPr>
          <w:hyperlink w:anchor="_Toc148711000" w:history="1">
            <w:r w:rsidR="00AB7B2C" w:rsidRPr="00A47833">
              <w:rPr>
                <w:rStyle w:val="Hyperlink"/>
                <w:noProof/>
              </w:rPr>
              <w:t>D.</w:t>
            </w:r>
            <w:r w:rsidR="00AB7B2C">
              <w:rPr>
                <w:rFonts w:asciiTheme="minorHAnsi" w:eastAsiaTheme="minorEastAsia" w:hAnsiTheme="minorHAnsi"/>
                <w:b w:val="0"/>
                <w:smallCaps w:val="0"/>
                <w:noProof/>
                <w:sz w:val="22"/>
                <w:szCs w:val="22"/>
                <w:lang w:eastAsia="en-AU"/>
              </w:rPr>
              <w:tab/>
            </w:r>
            <w:r w:rsidR="00AB7B2C" w:rsidRPr="00A47833">
              <w:rPr>
                <w:rStyle w:val="Hyperlink"/>
                <w:noProof/>
              </w:rPr>
              <w:t>AD claim 6.a</w:t>
            </w:r>
            <w:r w:rsidR="00AB7B2C">
              <w:rPr>
                <w:noProof/>
                <w:webHidden/>
              </w:rPr>
              <w:tab/>
            </w:r>
            <w:r w:rsidR="00AB7B2C">
              <w:rPr>
                <w:noProof/>
                <w:webHidden/>
              </w:rPr>
              <w:fldChar w:fldCharType="begin"/>
            </w:r>
            <w:r w:rsidR="00AB7B2C">
              <w:rPr>
                <w:noProof/>
                <w:webHidden/>
              </w:rPr>
              <w:instrText xml:space="preserve"> PAGEREF _Toc148711000 \h </w:instrText>
            </w:r>
            <w:r w:rsidR="00AB7B2C">
              <w:rPr>
                <w:noProof/>
                <w:webHidden/>
              </w:rPr>
            </w:r>
            <w:r w:rsidR="00AB7B2C">
              <w:rPr>
                <w:noProof/>
                <w:webHidden/>
              </w:rPr>
              <w:fldChar w:fldCharType="separate"/>
            </w:r>
            <w:r w:rsidR="00AB7B2C">
              <w:rPr>
                <w:noProof/>
                <w:webHidden/>
              </w:rPr>
              <w:t>19</w:t>
            </w:r>
            <w:r w:rsidR="00AB7B2C">
              <w:rPr>
                <w:noProof/>
                <w:webHidden/>
              </w:rPr>
              <w:fldChar w:fldCharType="end"/>
            </w:r>
          </w:hyperlink>
        </w:p>
        <w:p w14:paraId="1D1AB20D" w14:textId="08A5DD85" w:rsidR="00AB7B2C" w:rsidRDefault="00AA7599">
          <w:pPr>
            <w:pStyle w:val="TOC2"/>
            <w:rPr>
              <w:rFonts w:asciiTheme="minorHAnsi" w:eastAsiaTheme="minorEastAsia" w:hAnsiTheme="minorHAnsi"/>
              <w:b w:val="0"/>
              <w:smallCaps w:val="0"/>
              <w:noProof/>
              <w:sz w:val="22"/>
              <w:szCs w:val="22"/>
              <w:lang w:eastAsia="en-AU"/>
            </w:rPr>
          </w:pPr>
          <w:hyperlink w:anchor="_Toc148711001" w:history="1">
            <w:r w:rsidR="00AB7B2C" w:rsidRPr="00A47833">
              <w:rPr>
                <w:rStyle w:val="Hyperlink"/>
                <w:noProof/>
              </w:rPr>
              <w:t>E.</w:t>
            </w:r>
            <w:r w:rsidR="00AB7B2C">
              <w:rPr>
                <w:rFonts w:asciiTheme="minorHAnsi" w:eastAsiaTheme="minorEastAsia" w:hAnsiTheme="minorHAnsi"/>
                <w:b w:val="0"/>
                <w:smallCaps w:val="0"/>
                <w:noProof/>
                <w:sz w:val="22"/>
                <w:szCs w:val="22"/>
                <w:lang w:eastAsia="en-AU"/>
              </w:rPr>
              <w:tab/>
            </w:r>
            <w:r w:rsidR="00AB7B2C" w:rsidRPr="00A47833">
              <w:rPr>
                <w:rStyle w:val="Hyperlink"/>
                <w:noProof/>
              </w:rPr>
              <w:t>AD claim 6.b</w:t>
            </w:r>
            <w:r w:rsidR="00AB7B2C">
              <w:rPr>
                <w:noProof/>
                <w:webHidden/>
              </w:rPr>
              <w:tab/>
            </w:r>
            <w:r w:rsidR="00AB7B2C">
              <w:rPr>
                <w:noProof/>
                <w:webHidden/>
              </w:rPr>
              <w:fldChar w:fldCharType="begin"/>
            </w:r>
            <w:r w:rsidR="00AB7B2C">
              <w:rPr>
                <w:noProof/>
                <w:webHidden/>
              </w:rPr>
              <w:instrText xml:space="preserve"> PAGEREF _Toc148711001 \h </w:instrText>
            </w:r>
            <w:r w:rsidR="00AB7B2C">
              <w:rPr>
                <w:noProof/>
                <w:webHidden/>
              </w:rPr>
            </w:r>
            <w:r w:rsidR="00AB7B2C">
              <w:rPr>
                <w:noProof/>
                <w:webHidden/>
              </w:rPr>
              <w:fldChar w:fldCharType="separate"/>
            </w:r>
            <w:r w:rsidR="00AB7B2C">
              <w:rPr>
                <w:noProof/>
                <w:webHidden/>
              </w:rPr>
              <w:t>20</w:t>
            </w:r>
            <w:r w:rsidR="00AB7B2C">
              <w:rPr>
                <w:noProof/>
                <w:webHidden/>
              </w:rPr>
              <w:fldChar w:fldCharType="end"/>
            </w:r>
          </w:hyperlink>
        </w:p>
        <w:p w14:paraId="242D66D4" w14:textId="05163171" w:rsidR="00AB7B2C" w:rsidRDefault="00AA7599">
          <w:pPr>
            <w:pStyle w:val="TOC3"/>
            <w:rPr>
              <w:rFonts w:asciiTheme="minorHAnsi" w:eastAsiaTheme="minorEastAsia" w:hAnsiTheme="minorHAnsi"/>
              <w:b w:val="0"/>
              <w:noProof/>
              <w:sz w:val="22"/>
              <w:szCs w:val="22"/>
              <w:lang w:eastAsia="en-AU"/>
            </w:rPr>
          </w:pPr>
          <w:hyperlink w:anchor="_Toc148711002" w:history="1">
            <w:r w:rsidR="00AB7B2C" w:rsidRPr="00A47833">
              <w:rPr>
                <w:rStyle w:val="Hyperlink"/>
                <w:noProof/>
              </w:rPr>
              <w:t>1.</w:t>
            </w:r>
            <w:r w:rsidR="00AB7B2C">
              <w:rPr>
                <w:rFonts w:asciiTheme="minorHAnsi" w:eastAsiaTheme="minorEastAsia" w:hAnsiTheme="minorHAnsi"/>
                <w:b w:val="0"/>
                <w:noProof/>
                <w:sz w:val="22"/>
                <w:szCs w:val="22"/>
                <w:lang w:eastAsia="en-AU"/>
              </w:rPr>
              <w:tab/>
            </w:r>
            <w:r w:rsidR="00AB7B2C" w:rsidRPr="00A47833">
              <w:rPr>
                <w:rStyle w:val="Hyperlink"/>
                <w:noProof/>
              </w:rPr>
              <w:t>AD claim 6.b.i</w:t>
            </w:r>
            <w:r w:rsidR="00AB7B2C">
              <w:rPr>
                <w:noProof/>
                <w:webHidden/>
              </w:rPr>
              <w:tab/>
            </w:r>
            <w:r w:rsidR="00AB7B2C">
              <w:rPr>
                <w:noProof/>
                <w:webHidden/>
              </w:rPr>
              <w:fldChar w:fldCharType="begin"/>
            </w:r>
            <w:r w:rsidR="00AB7B2C">
              <w:rPr>
                <w:noProof/>
                <w:webHidden/>
              </w:rPr>
              <w:instrText xml:space="preserve"> PAGEREF _Toc148711002 \h </w:instrText>
            </w:r>
            <w:r w:rsidR="00AB7B2C">
              <w:rPr>
                <w:noProof/>
                <w:webHidden/>
              </w:rPr>
            </w:r>
            <w:r w:rsidR="00AB7B2C">
              <w:rPr>
                <w:noProof/>
                <w:webHidden/>
              </w:rPr>
              <w:fldChar w:fldCharType="separate"/>
            </w:r>
            <w:r w:rsidR="00AB7B2C">
              <w:rPr>
                <w:noProof/>
                <w:webHidden/>
              </w:rPr>
              <w:t>20</w:t>
            </w:r>
            <w:r w:rsidR="00AB7B2C">
              <w:rPr>
                <w:noProof/>
                <w:webHidden/>
              </w:rPr>
              <w:fldChar w:fldCharType="end"/>
            </w:r>
          </w:hyperlink>
        </w:p>
        <w:p w14:paraId="7CCE9F24" w14:textId="7A3C00AF" w:rsidR="00AB7B2C" w:rsidRDefault="00AA7599">
          <w:pPr>
            <w:pStyle w:val="TOC3"/>
            <w:rPr>
              <w:rFonts w:asciiTheme="minorHAnsi" w:eastAsiaTheme="minorEastAsia" w:hAnsiTheme="minorHAnsi"/>
              <w:b w:val="0"/>
              <w:noProof/>
              <w:sz w:val="22"/>
              <w:szCs w:val="22"/>
              <w:lang w:eastAsia="en-AU"/>
            </w:rPr>
          </w:pPr>
          <w:hyperlink w:anchor="_Toc148711003" w:history="1">
            <w:r w:rsidR="00AB7B2C" w:rsidRPr="00A47833">
              <w:rPr>
                <w:rStyle w:val="Hyperlink"/>
                <w:noProof/>
              </w:rPr>
              <w:t>2.</w:t>
            </w:r>
            <w:r w:rsidR="00AB7B2C">
              <w:rPr>
                <w:rFonts w:asciiTheme="minorHAnsi" w:eastAsiaTheme="minorEastAsia" w:hAnsiTheme="minorHAnsi"/>
                <w:b w:val="0"/>
                <w:noProof/>
                <w:sz w:val="22"/>
                <w:szCs w:val="22"/>
                <w:lang w:eastAsia="en-AU"/>
              </w:rPr>
              <w:tab/>
            </w:r>
            <w:r w:rsidR="00AB7B2C" w:rsidRPr="00A47833">
              <w:rPr>
                <w:rStyle w:val="Hyperlink"/>
                <w:noProof/>
              </w:rPr>
              <w:t>AD claim 6.b.ii</w:t>
            </w:r>
            <w:r w:rsidR="00AB7B2C">
              <w:rPr>
                <w:noProof/>
                <w:webHidden/>
              </w:rPr>
              <w:tab/>
            </w:r>
            <w:r w:rsidR="00AB7B2C">
              <w:rPr>
                <w:noProof/>
                <w:webHidden/>
              </w:rPr>
              <w:fldChar w:fldCharType="begin"/>
            </w:r>
            <w:r w:rsidR="00AB7B2C">
              <w:rPr>
                <w:noProof/>
                <w:webHidden/>
              </w:rPr>
              <w:instrText xml:space="preserve"> PAGEREF _Toc148711003 \h </w:instrText>
            </w:r>
            <w:r w:rsidR="00AB7B2C">
              <w:rPr>
                <w:noProof/>
                <w:webHidden/>
              </w:rPr>
            </w:r>
            <w:r w:rsidR="00AB7B2C">
              <w:rPr>
                <w:noProof/>
                <w:webHidden/>
              </w:rPr>
              <w:fldChar w:fldCharType="separate"/>
            </w:r>
            <w:r w:rsidR="00AB7B2C">
              <w:rPr>
                <w:noProof/>
                <w:webHidden/>
              </w:rPr>
              <w:t>21</w:t>
            </w:r>
            <w:r w:rsidR="00AB7B2C">
              <w:rPr>
                <w:noProof/>
                <w:webHidden/>
              </w:rPr>
              <w:fldChar w:fldCharType="end"/>
            </w:r>
          </w:hyperlink>
        </w:p>
        <w:p w14:paraId="1DBC16E6" w14:textId="51020736" w:rsidR="00AB7B2C" w:rsidRDefault="00AA7599">
          <w:pPr>
            <w:pStyle w:val="TOC3"/>
            <w:rPr>
              <w:rFonts w:asciiTheme="minorHAnsi" w:eastAsiaTheme="minorEastAsia" w:hAnsiTheme="minorHAnsi"/>
              <w:b w:val="0"/>
              <w:noProof/>
              <w:sz w:val="22"/>
              <w:szCs w:val="22"/>
              <w:lang w:eastAsia="en-AU"/>
            </w:rPr>
          </w:pPr>
          <w:hyperlink w:anchor="_Toc148711004" w:history="1">
            <w:r w:rsidR="00AB7B2C" w:rsidRPr="00A47833">
              <w:rPr>
                <w:rStyle w:val="Hyperlink"/>
                <w:noProof/>
              </w:rPr>
              <w:t>3.</w:t>
            </w:r>
            <w:r w:rsidR="00AB7B2C">
              <w:rPr>
                <w:rFonts w:asciiTheme="minorHAnsi" w:eastAsiaTheme="minorEastAsia" w:hAnsiTheme="minorHAnsi"/>
                <w:b w:val="0"/>
                <w:noProof/>
                <w:sz w:val="22"/>
                <w:szCs w:val="22"/>
                <w:lang w:eastAsia="en-AU"/>
              </w:rPr>
              <w:tab/>
            </w:r>
            <w:r w:rsidR="00AB7B2C" w:rsidRPr="00A47833">
              <w:rPr>
                <w:rStyle w:val="Hyperlink"/>
                <w:noProof/>
              </w:rPr>
              <w:t>AD claim 6.b.iii</w:t>
            </w:r>
            <w:r w:rsidR="00AB7B2C">
              <w:rPr>
                <w:noProof/>
                <w:webHidden/>
              </w:rPr>
              <w:tab/>
            </w:r>
            <w:r w:rsidR="00AB7B2C">
              <w:rPr>
                <w:noProof/>
                <w:webHidden/>
              </w:rPr>
              <w:fldChar w:fldCharType="begin"/>
            </w:r>
            <w:r w:rsidR="00AB7B2C">
              <w:rPr>
                <w:noProof/>
                <w:webHidden/>
              </w:rPr>
              <w:instrText xml:space="preserve"> PAGEREF _Toc148711004 \h </w:instrText>
            </w:r>
            <w:r w:rsidR="00AB7B2C">
              <w:rPr>
                <w:noProof/>
                <w:webHidden/>
              </w:rPr>
            </w:r>
            <w:r w:rsidR="00AB7B2C">
              <w:rPr>
                <w:noProof/>
                <w:webHidden/>
              </w:rPr>
              <w:fldChar w:fldCharType="separate"/>
            </w:r>
            <w:r w:rsidR="00AB7B2C">
              <w:rPr>
                <w:noProof/>
                <w:webHidden/>
              </w:rPr>
              <w:t>22</w:t>
            </w:r>
            <w:r w:rsidR="00AB7B2C">
              <w:rPr>
                <w:noProof/>
                <w:webHidden/>
              </w:rPr>
              <w:fldChar w:fldCharType="end"/>
            </w:r>
          </w:hyperlink>
        </w:p>
        <w:p w14:paraId="53C741E8" w14:textId="73ADFA9B" w:rsidR="00AB7B2C" w:rsidRDefault="00AA7599">
          <w:pPr>
            <w:pStyle w:val="TOC3"/>
            <w:rPr>
              <w:rFonts w:asciiTheme="minorHAnsi" w:eastAsiaTheme="minorEastAsia" w:hAnsiTheme="minorHAnsi"/>
              <w:b w:val="0"/>
              <w:noProof/>
              <w:sz w:val="22"/>
              <w:szCs w:val="22"/>
              <w:lang w:eastAsia="en-AU"/>
            </w:rPr>
          </w:pPr>
          <w:hyperlink w:anchor="_Toc148711005" w:history="1">
            <w:r w:rsidR="00AB7B2C" w:rsidRPr="00A47833">
              <w:rPr>
                <w:rStyle w:val="Hyperlink"/>
                <w:noProof/>
              </w:rPr>
              <w:t>4.</w:t>
            </w:r>
            <w:r w:rsidR="00AB7B2C">
              <w:rPr>
                <w:rFonts w:asciiTheme="minorHAnsi" w:eastAsiaTheme="minorEastAsia" w:hAnsiTheme="minorHAnsi"/>
                <w:b w:val="0"/>
                <w:noProof/>
                <w:sz w:val="22"/>
                <w:szCs w:val="22"/>
                <w:lang w:eastAsia="en-AU"/>
              </w:rPr>
              <w:tab/>
            </w:r>
            <w:r w:rsidR="00AB7B2C" w:rsidRPr="00A47833">
              <w:rPr>
                <w:rStyle w:val="Hyperlink"/>
                <w:noProof/>
              </w:rPr>
              <w:t>AD claim 7.a</w:t>
            </w:r>
            <w:r w:rsidR="00AB7B2C">
              <w:rPr>
                <w:noProof/>
                <w:webHidden/>
              </w:rPr>
              <w:tab/>
            </w:r>
            <w:r w:rsidR="00AB7B2C">
              <w:rPr>
                <w:noProof/>
                <w:webHidden/>
              </w:rPr>
              <w:fldChar w:fldCharType="begin"/>
            </w:r>
            <w:r w:rsidR="00AB7B2C">
              <w:rPr>
                <w:noProof/>
                <w:webHidden/>
              </w:rPr>
              <w:instrText xml:space="preserve"> PAGEREF _Toc148711005 \h </w:instrText>
            </w:r>
            <w:r w:rsidR="00AB7B2C">
              <w:rPr>
                <w:noProof/>
                <w:webHidden/>
              </w:rPr>
            </w:r>
            <w:r w:rsidR="00AB7B2C">
              <w:rPr>
                <w:noProof/>
                <w:webHidden/>
              </w:rPr>
              <w:fldChar w:fldCharType="separate"/>
            </w:r>
            <w:r w:rsidR="00AB7B2C">
              <w:rPr>
                <w:noProof/>
                <w:webHidden/>
              </w:rPr>
              <w:t>22</w:t>
            </w:r>
            <w:r w:rsidR="00AB7B2C">
              <w:rPr>
                <w:noProof/>
                <w:webHidden/>
              </w:rPr>
              <w:fldChar w:fldCharType="end"/>
            </w:r>
          </w:hyperlink>
        </w:p>
        <w:p w14:paraId="1E383EA5" w14:textId="068629EC" w:rsidR="00AB7B2C" w:rsidRDefault="00AA7599">
          <w:pPr>
            <w:pStyle w:val="TOC2"/>
            <w:rPr>
              <w:rFonts w:asciiTheme="minorHAnsi" w:eastAsiaTheme="minorEastAsia" w:hAnsiTheme="minorHAnsi"/>
              <w:b w:val="0"/>
              <w:smallCaps w:val="0"/>
              <w:noProof/>
              <w:sz w:val="22"/>
              <w:szCs w:val="22"/>
              <w:lang w:eastAsia="en-AU"/>
            </w:rPr>
          </w:pPr>
          <w:hyperlink w:anchor="_Toc148711006" w:history="1">
            <w:r w:rsidR="00AB7B2C" w:rsidRPr="00A47833">
              <w:rPr>
                <w:rStyle w:val="Hyperlink"/>
                <w:noProof/>
              </w:rPr>
              <w:t>F.</w:t>
            </w:r>
            <w:r w:rsidR="00AB7B2C">
              <w:rPr>
                <w:rFonts w:asciiTheme="minorHAnsi" w:eastAsiaTheme="minorEastAsia" w:hAnsiTheme="minorHAnsi"/>
                <w:b w:val="0"/>
                <w:smallCaps w:val="0"/>
                <w:noProof/>
                <w:sz w:val="22"/>
                <w:szCs w:val="22"/>
                <w:lang w:eastAsia="en-AU"/>
              </w:rPr>
              <w:tab/>
            </w:r>
            <w:r w:rsidR="00AB7B2C" w:rsidRPr="00A47833">
              <w:rPr>
                <w:rStyle w:val="Hyperlink"/>
                <w:noProof/>
              </w:rPr>
              <w:t>AD claim 8</w:t>
            </w:r>
            <w:r w:rsidR="00AB7B2C">
              <w:rPr>
                <w:noProof/>
                <w:webHidden/>
              </w:rPr>
              <w:tab/>
            </w:r>
            <w:r w:rsidR="00AB7B2C">
              <w:rPr>
                <w:noProof/>
                <w:webHidden/>
              </w:rPr>
              <w:fldChar w:fldCharType="begin"/>
            </w:r>
            <w:r w:rsidR="00AB7B2C">
              <w:rPr>
                <w:noProof/>
                <w:webHidden/>
              </w:rPr>
              <w:instrText xml:space="preserve"> PAGEREF _Toc148711006 \h </w:instrText>
            </w:r>
            <w:r w:rsidR="00AB7B2C">
              <w:rPr>
                <w:noProof/>
                <w:webHidden/>
              </w:rPr>
            </w:r>
            <w:r w:rsidR="00AB7B2C">
              <w:rPr>
                <w:noProof/>
                <w:webHidden/>
              </w:rPr>
              <w:fldChar w:fldCharType="separate"/>
            </w:r>
            <w:r w:rsidR="00AB7B2C">
              <w:rPr>
                <w:noProof/>
                <w:webHidden/>
              </w:rPr>
              <w:t>23</w:t>
            </w:r>
            <w:r w:rsidR="00AB7B2C">
              <w:rPr>
                <w:noProof/>
                <w:webHidden/>
              </w:rPr>
              <w:fldChar w:fldCharType="end"/>
            </w:r>
          </w:hyperlink>
        </w:p>
        <w:p w14:paraId="6EC7FFDA" w14:textId="6DA4E651" w:rsidR="00AB7B2C" w:rsidRDefault="00AA7599">
          <w:pPr>
            <w:pStyle w:val="TOC1"/>
            <w:rPr>
              <w:rFonts w:asciiTheme="minorHAnsi" w:eastAsiaTheme="minorEastAsia" w:hAnsiTheme="minorHAnsi"/>
              <w:b w:val="0"/>
              <w:caps w:val="0"/>
              <w:noProof/>
              <w:sz w:val="22"/>
              <w:szCs w:val="22"/>
              <w:lang w:eastAsia="en-AU"/>
            </w:rPr>
          </w:pPr>
          <w:hyperlink w:anchor="_Toc148711007" w:history="1">
            <w:r w:rsidR="00AB7B2C" w:rsidRPr="00A47833">
              <w:rPr>
                <w:rStyle w:val="Hyperlink"/>
                <w:noProof/>
              </w:rPr>
              <w:t>VII.</w:t>
            </w:r>
            <w:r w:rsidR="00AB7B2C">
              <w:rPr>
                <w:rFonts w:asciiTheme="minorHAnsi" w:eastAsiaTheme="minorEastAsia" w:hAnsiTheme="minorHAnsi"/>
                <w:b w:val="0"/>
                <w:caps w:val="0"/>
                <w:noProof/>
                <w:sz w:val="22"/>
                <w:szCs w:val="22"/>
                <w:lang w:eastAsia="en-AU"/>
              </w:rPr>
              <w:tab/>
            </w:r>
            <w:r w:rsidR="00AB7B2C" w:rsidRPr="00A47833">
              <w:rPr>
                <w:rStyle w:val="Hyperlink"/>
                <w:noProof/>
              </w:rPr>
              <w:t>Conditional responses to AD claims: Wind Towers</w:t>
            </w:r>
            <w:r w:rsidR="00AB7B2C">
              <w:rPr>
                <w:noProof/>
                <w:webHidden/>
              </w:rPr>
              <w:tab/>
            </w:r>
            <w:r w:rsidR="00AB7B2C">
              <w:rPr>
                <w:noProof/>
                <w:webHidden/>
              </w:rPr>
              <w:fldChar w:fldCharType="begin"/>
            </w:r>
            <w:r w:rsidR="00AB7B2C">
              <w:rPr>
                <w:noProof/>
                <w:webHidden/>
              </w:rPr>
              <w:instrText xml:space="preserve"> PAGEREF _Toc148711007 \h </w:instrText>
            </w:r>
            <w:r w:rsidR="00AB7B2C">
              <w:rPr>
                <w:noProof/>
                <w:webHidden/>
              </w:rPr>
            </w:r>
            <w:r w:rsidR="00AB7B2C">
              <w:rPr>
                <w:noProof/>
                <w:webHidden/>
              </w:rPr>
              <w:fldChar w:fldCharType="separate"/>
            </w:r>
            <w:r w:rsidR="00AB7B2C">
              <w:rPr>
                <w:noProof/>
                <w:webHidden/>
              </w:rPr>
              <w:t>23</w:t>
            </w:r>
            <w:r w:rsidR="00AB7B2C">
              <w:rPr>
                <w:noProof/>
                <w:webHidden/>
              </w:rPr>
              <w:fldChar w:fldCharType="end"/>
            </w:r>
          </w:hyperlink>
        </w:p>
        <w:p w14:paraId="09AF4C14" w14:textId="52697B57" w:rsidR="00AB7B2C" w:rsidRDefault="00AA7599">
          <w:pPr>
            <w:pStyle w:val="TOC2"/>
            <w:rPr>
              <w:rFonts w:asciiTheme="minorHAnsi" w:eastAsiaTheme="minorEastAsia" w:hAnsiTheme="minorHAnsi"/>
              <w:b w:val="0"/>
              <w:smallCaps w:val="0"/>
              <w:noProof/>
              <w:sz w:val="22"/>
              <w:szCs w:val="22"/>
              <w:lang w:eastAsia="en-AU"/>
            </w:rPr>
          </w:pPr>
          <w:hyperlink w:anchor="_Toc148711008" w:history="1">
            <w:r w:rsidR="00AB7B2C" w:rsidRPr="00A47833">
              <w:rPr>
                <w:rStyle w:val="Hyperlink"/>
                <w:noProof/>
              </w:rPr>
              <w:t>A.</w:t>
            </w:r>
            <w:r w:rsidR="00AB7B2C">
              <w:rPr>
                <w:rFonts w:asciiTheme="minorHAnsi" w:eastAsiaTheme="minorEastAsia" w:hAnsiTheme="minorHAnsi"/>
                <w:b w:val="0"/>
                <w:smallCaps w:val="0"/>
                <w:noProof/>
                <w:sz w:val="22"/>
                <w:szCs w:val="22"/>
                <w:lang w:eastAsia="en-AU"/>
              </w:rPr>
              <w:tab/>
            </w:r>
            <w:r w:rsidR="00AB7B2C" w:rsidRPr="00A47833">
              <w:rPr>
                <w:rStyle w:val="Hyperlink"/>
                <w:noProof/>
              </w:rPr>
              <w:t>China has not made a prima facie case that the wind towers measures are inconsistent with the Anti-Dumping Agreement</w:t>
            </w:r>
            <w:r w:rsidR="00AB7B2C">
              <w:rPr>
                <w:noProof/>
                <w:webHidden/>
              </w:rPr>
              <w:tab/>
            </w:r>
            <w:r w:rsidR="00AB7B2C">
              <w:rPr>
                <w:noProof/>
                <w:webHidden/>
              </w:rPr>
              <w:fldChar w:fldCharType="begin"/>
            </w:r>
            <w:r w:rsidR="00AB7B2C">
              <w:rPr>
                <w:noProof/>
                <w:webHidden/>
              </w:rPr>
              <w:instrText xml:space="preserve"> PAGEREF _Toc148711008 \h </w:instrText>
            </w:r>
            <w:r w:rsidR="00AB7B2C">
              <w:rPr>
                <w:noProof/>
                <w:webHidden/>
              </w:rPr>
            </w:r>
            <w:r w:rsidR="00AB7B2C">
              <w:rPr>
                <w:noProof/>
                <w:webHidden/>
              </w:rPr>
              <w:fldChar w:fldCharType="separate"/>
            </w:r>
            <w:r w:rsidR="00AB7B2C">
              <w:rPr>
                <w:noProof/>
                <w:webHidden/>
              </w:rPr>
              <w:t>24</w:t>
            </w:r>
            <w:r w:rsidR="00AB7B2C">
              <w:rPr>
                <w:noProof/>
                <w:webHidden/>
              </w:rPr>
              <w:fldChar w:fldCharType="end"/>
            </w:r>
          </w:hyperlink>
        </w:p>
        <w:p w14:paraId="250654BD" w14:textId="0ED8404D" w:rsidR="00AB7B2C" w:rsidRDefault="00AA7599">
          <w:pPr>
            <w:pStyle w:val="TOC3"/>
            <w:rPr>
              <w:rFonts w:asciiTheme="minorHAnsi" w:eastAsiaTheme="minorEastAsia" w:hAnsiTheme="minorHAnsi"/>
              <w:b w:val="0"/>
              <w:noProof/>
              <w:sz w:val="22"/>
              <w:szCs w:val="22"/>
              <w:lang w:eastAsia="en-AU"/>
            </w:rPr>
          </w:pPr>
          <w:hyperlink w:anchor="_Toc148711009" w:history="1">
            <w:r w:rsidR="00AB7B2C" w:rsidRPr="00A47833">
              <w:rPr>
                <w:rStyle w:val="Hyperlink"/>
                <w:noProof/>
              </w:rPr>
              <w:t>1.</w:t>
            </w:r>
            <w:r w:rsidR="00AB7B2C">
              <w:rPr>
                <w:rFonts w:asciiTheme="minorHAnsi" w:eastAsiaTheme="minorEastAsia" w:hAnsiTheme="minorHAnsi"/>
                <w:b w:val="0"/>
                <w:noProof/>
                <w:sz w:val="22"/>
                <w:szCs w:val="22"/>
                <w:lang w:eastAsia="en-AU"/>
              </w:rPr>
              <w:tab/>
            </w:r>
            <w:r w:rsidR="00AB7B2C" w:rsidRPr="00A47833">
              <w:rPr>
                <w:rStyle w:val="Hyperlink"/>
                <w:noProof/>
              </w:rPr>
              <w:t>AD claim 3</w:t>
            </w:r>
            <w:r w:rsidR="00AB7B2C">
              <w:rPr>
                <w:noProof/>
                <w:webHidden/>
              </w:rPr>
              <w:tab/>
            </w:r>
            <w:r w:rsidR="00AB7B2C">
              <w:rPr>
                <w:noProof/>
                <w:webHidden/>
              </w:rPr>
              <w:fldChar w:fldCharType="begin"/>
            </w:r>
            <w:r w:rsidR="00AB7B2C">
              <w:rPr>
                <w:noProof/>
                <w:webHidden/>
              </w:rPr>
              <w:instrText xml:space="preserve"> PAGEREF _Toc148711009 \h </w:instrText>
            </w:r>
            <w:r w:rsidR="00AB7B2C">
              <w:rPr>
                <w:noProof/>
                <w:webHidden/>
              </w:rPr>
            </w:r>
            <w:r w:rsidR="00AB7B2C">
              <w:rPr>
                <w:noProof/>
                <w:webHidden/>
              </w:rPr>
              <w:fldChar w:fldCharType="separate"/>
            </w:r>
            <w:r w:rsidR="00AB7B2C">
              <w:rPr>
                <w:noProof/>
                <w:webHidden/>
              </w:rPr>
              <w:t>24</w:t>
            </w:r>
            <w:r w:rsidR="00AB7B2C">
              <w:rPr>
                <w:noProof/>
                <w:webHidden/>
              </w:rPr>
              <w:fldChar w:fldCharType="end"/>
            </w:r>
          </w:hyperlink>
        </w:p>
        <w:p w14:paraId="7EED9658" w14:textId="48C50BA5" w:rsidR="00AB7B2C" w:rsidRDefault="00AA7599">
          <w:pPr>
            <w:pStyle w:val="TOC3"/>
            <w:rPr>
              <w:rFonts w:asciiTheme="minorHAnsi" w:eastAsiaTheme="minorEastAsia" w:hAnsiTheme="minorHAnsi"/>
              <w:b w:val="0"/>
              <w:noProof/>
              <w:sz w:val="22"/>
              <w:szCs w:val="22"/>
              <w:lang w:eastAsia="en-AU"/>
            </w:rPr>
          </w:pPr>
          <w:hyperlink w:anchor="_Toc148711010" w:history="1">
            <w:r w:rsidR="00AB7B2C" w:rsidRPr="00A47833">
              <w:rPr>
                <w:rStyle w:val="Hyperlink"/>
                <w:noProof/>
              </w:rPr>
              <w:t>2.</w:t>
            </w:r>
            <w:r w:rsidR="00AB7B2C">
              <w:rPr>
                <w:rFonts w:asciiTheme="minorHAnsi" w:eastAsiaTheme="minorEastAsia" w:hAnsiTheme="minorHAnsi"/>
                <w:b w:val="0"/>
                <w:noProof/>
                <w:sz w:val="22"/>
                <w:szCs w:val="22"/>
                <w:lang w:eastAsia="en-AU"/>
              </w:rPr>
              <w:tab/>
            </w:r>
            <w:r w:rsidR="00AB7B2C" w:rsidRPr="00A47833">
              <w:rPr>
                <w:rStyle w:val="Hyperlink"/>
                <w:noProof/>
              </w:rPr>
              <w:t>AD claim 1</w:t>
            </w:r>
            <w:r w:rsidR="00AB7B2C">
              <w:rPr>
                <w:noProof/>
                <w:webHidden/>
              </w:rPr>
              <w:tab/>
            </w:r>
            <w:r w:rsidR="00AB7B2C">
              <w:rPr>
                <w:noProof/>
                <w:webHidden/>
              </w:rPr>
              <w:fldChar w:fldCharType="begin"/>
            </w:r>
            <w:r w:rsidR="00AB7B2C">
              <w:rPr>
                <w:noProof/>
                <w:webHidden/>
              </w:rPr>
              <w:instrText xml:space="preserve"> PAGEREF _Toc148711010 \h </w:instrText>
            </w:r>
            <w:r w:rsidR="00AB7B2C">
              <w:rPr>
                <w:noProof/>
                <w:webHidden/>
              </w:rPr>
            </w:r>
            <w:r w:rsidR="00AB7B2C">
              <w:rPr>
                <w:noProof/>
                <w:webHidden/>
              </w:rPr>
              <w:fldChar w:fldCharType="separate"/>
            </w:r>
            <w:r w:rsidR="00AB7B2C">
              <w:rPr>
                <w:noProof/>
                <w:webHidden/>
              </w:rPr>
              <w:t>24</w:t>
            </w:r>
            <w:r w:rsidR="00AB7B2C">
              <w:rPr>
                <w:noProof/>
                <w:webHidden/>
              </w:rPr>
              <w:fldChar w:fldCharType="end"/>
            </w:r>
          </w:hyperlink>
        </w:p>
        <w:p w14:paraId="7BADBD4E" w14:textId="52B36148" w:rsidR="00AB7B2C" w:rsidRDefault="00AA7599">
          <w:pPr>
            <w:pStyle w:val="TOC3"/>
            <w:rPr>
              <w:rFonts w:asciiTheme="minorHAnsi" w:eastAsiaTheme="minorEastAsia" w:hAnsiTheme="minorHAnsi"/>
              <w:b w:val="0"/>
              <w:noProof/>
              <w:sz w:val="22"/>
              <w:szCs w:val="22"/>
              <w:lang w:eastAsia="en-AU"/>
            </w:rPr>
          </w:pPr>
          <w:hyperlink w:anchor="_Toc148711011" w:history="1">
            <w:r w:rsidR="00AB7B2C" w:rsidRPr="00A47833">
              <w:rPr>
                <w:rStyle w:val="Hyperlink"/>
                <w:noProof/>
              </w:rPr>
              <w:t>3.</w:t>
            </w:r>
            <w:r w:rsidR="00AB7B2C">
              <w:rPr>
                <w:rFonts w:asciiTheme="minorHAnsi" w:eastAsiaTheme="minorEastAsia" w:hAnsiTheme="minorHAnsi"/>
                <w:b w:val="0"/>
                <w:noProof/>
                <w:sz w:val="22"/>
                <w:szCs w:val="22"/>
                <w:lang w:eastAsia="en-AU"/>
              </w:rPr>
              <w:tab/>
            </w:r>
            <w:r w:rsidR="00AB7B2C" w:rsidRPr="00A47833">
              <w:rPr>
                <w:rStyle w:val="Hyperlink"/>
                <w:noProof/>
              </w:rPr>
              <w:t>AD claim 5.c</w:t>
            </w:r>
            <w:r w:rsidR="00AB7B2C">
              <w:rPr>
                <w:noProof/>
                <w:webHidden/>
              </w:rPr>
              <w:tab/>
            </w:r>
            <w:r w:rsidR="00AB7B2C">
              <w:rPr>
                <w:noProof/>
                <w:webHidden/>
              </w:rPr>
              <w:fldChar w:fldCharType="begin"/>
            </w:r>
            <w:r w:rsidR="00AB7B2C">
              <w:rPr>
                <w:noProof/>
                <w:webHidden/>
              </w:rPr>
              <w:instrText xml:space="preserve"> PAGEREF _Toc148711011 \h </w:instrText>
            </w:r>
            <w:r w:rsidR="00AB7B2C">
              <w:rPr>
                <w:noProof/>
                <w:webHidden/>
              </w:rPr>
            </w:r>
            <w:r w:rsidR="00AB7B2C">
              <w:rPr>
                <w:noProof/>
                <w:webHidden/>
              </w:rPr>
              <w:fldChar w:fldCharType="separate"/>
            </w:r>
            <w:r w:rsidR="00AB7B2C">
              <w:rPr>
                <w:noProof/>
                <w:webHidden/>
              </w:rPr>
              <w:t>24</w:t>
            </w:r>
            <w:r w:rsidR="00AB7B2C">
              <w:rPr>
                <w:noProof/>
                <w:webHidden/>
              </w:rPr>
              <w:fldChar w:fldCharType="end"/>
            </w:r>
          </w:hyperlink>
        </w:p>
        <w:p w14:paraId="5344459B" w14:textId="0660FDEB" w:rsidR="00AB7B2C" w:rsidRDefault="00AA7599">
          <w:pPr>
            <w:pStyle w:val="TOC3"/>
            <w:rPr>
              <w:rFonts w:asciiTheme="minorHAnsi" w:eastAsiaTheme="minorEastAsia" w:hAnsiTheme="minorHAnsi"/>
              <w:b w:val="0"/>
              <w:noProof/>
              <w:sz w:val="22"/>
              <w:szCs w:val="22"/>
              <w:lang w:eastAsia="en-AU"/>
            </w:rPr>
          </w:pPr>
          <w:hyperlink w:anchor="_Toc148711012" w:history="1">
            <w:r w:rsidR="00AB7B2C" w:rsidRPr="00A47833">
              <w:rPr>
                <w:rStyle w:val="Hyperlink"/>
                <w:noProof/>
              </w:rPr>
              <w:t>4.</w:t>
            </w:r>
            <w:r w:rsidR="00AB7B2C">
              <w:rPr>
                <w:rFonts w:asciiTheme="minorHAnsi" w:eastAsiaTheme="minorEastAsia" w:hAnsiTheme="minorHAnsi"/>
                <w:b w:val="0"/>
                <w:noProof/>
                <w:sz w:val="22"/>
                <w:szCs w:val="22"/>
                <w:lang w:eastAsia="en-AU"/>
              </w:rPr>
              <w:tab/>
            </w:r>
            <w:r w:rsidR="00AB7B2C" w:rsidRPr="00A47833">
              <w:rPr>
                <w:rStyle w:val="Hyperlink"/>
                <w:noProof/>
              </w:rPr>
              <w:t>AD claim 6.a</w:t>
            </w:r>
            <w:r w:rsidR="00AB7B2C">
              <w:rPr>
                <w:noProof/>
                <w:webHidden/>
              </w:rPr>
              <w:tab/>
            </w:r>
            <w:r w:rsidR="00AB7B2C">
              <w:rPr>
                <w:noProof/>
                <w:webHidden/>
              </w:rPr>
              <w:fldChar w:fldCharType="begin"/>
            </w:r>
            <w:r w:rsidR="00AB7B2C">
              <w:rPr>
                <w:noProof/>
                <w:webHidden/>
              </w:rPr>
              <w:instrText xml:space="preserve"> PAGEREF _Toc148711012 \h </w:instrText>
            </w:r>
            <w:r w:rsidR="00AB7B2C">
              <w:rPr>
                <w:noProof/>
                <w:webHidden/>
              </w:rPr>
            </w:r>
            <w:r w:rsidR="00AB7B2C">
              <w:rPr>
                <w:noProof/>
                <w:webHidden/>
              </w:rPr>
              <w:fldChar w:fldCharType="separate"/>
            </w:r>
            <w:r w:rsidR="00AB7B2C">
              <w:rPr>
                <w:noProof/>
                <w:webHidden/>
              </w:rPr>
              <w:t>25</w:t>
            </w:r>
            <w:r w:rsidR="00AB7B2C">
              <w:rPr>
                <w:noProof/>
                <w:webHidden/>
              </w:rPr>
              <w:fldChar w:fldCharType="end"/>
            </w:r>
          </w:hyperlink>
        </w:p>
        <w:p w14:paraId="7D2F3747" w14:textId="56595F5A" w:rsidR="00AB7B2C" w:rsidRDefault="00AA7599">
          <w:pPr>
            <w:pStyle w:val="TOC3"/>
            <w:rPr>
              <w:rFonts w:asciiTheme="minorHAnsi" w:eastAsiaTheme="minorEastAsia" w:hAnsiTheme="minorHAnsi"/>
              <w:b w:val="0"/>
              <w:noProof/>
              <w:sz w:val="22"/>
              <w:szCs w:val="22"/>
              <w:lang w:eastAsia="en-AU"/>
            </w:rPr>
          </w:pPr>
          <w:hyperlink w:anchor="_Toc148711013" w:history="1">
            <w:r w:rsidR="00AB7B2C" w:rsidRPr="00A47833">
              <w:rPr>
                <w:rStyle w:val="Hyperlink"/>
                <w:noProof/>
              </w:rPr>
              <w:t>5.</w:t>
            </w:r>
            <w:r w:rsidR="00AB7B2C">
              <w:rPr>
                <w:rFonts w:asciiTheme="minorHAnsi" w:eastAsiaTheme="minorEastAsia" w:hAnsiTheme="minorHAnsi"/>
                <w:b w:val="0"/>
                <w:noProof/>
                <w:sz w:val="22"/>
                <w:szCs w:val="22"/>
                <w:lang w:eastAsia="en-AU"/>
              </w:rPr>
              <w:tab/>
            </w:r>
            <w:r w:rsidR="00AB7B2C" w:rsidRPr="00A47833">
              <w:rPr>
                <w:rStyle w:val="Hyperlink"/>
                <w:noProof/>
              </w:rPr>
              <w:t>AD claim 7.a</w:t>
            </w:r>
            <w:r w:rsidR="00AB7B2C">
              <w:rPr>
                <w:noProof/>
                <w:webHidden/>
              </w:rPr>
              <w:tab/>
            </w:r>
            <w:r w:rsidR="00AB7B2C">
              <w:rPr>
                <w:noProof/>
                <w:webHidden/>
              </w:rPr>
              <w:fldChar w:fldCharType="begin"/>
            </w:r>
            <w:r w:rsidR="00AB7B2C">
              <w:rPr>
                <w:noProof/>
                <w:webHidden/>
              </w:rPr>
              <w:instrText xml:space="preserve"> PAGEREF _Toc148711013 \h </w:instrText>
            </w:r>
            <w:r w:rsidR="00AB7B2C">
              <w:rPr>
                <w:noProof/>
                <w:webHidden/>
              </w:rPr>
            </w:r>
            <w:r w:rsidR="00AB7B2C">
              <w:rPr>
                <w:noProof/>
                <w:webHidden/>
              </w:rPr>
              <w:fldChar w:fldCharType="separate"/>
            </w:r>
            <w:r w:rsidR="00AB7B2C">
              <w:rPr>
                <w:noProof/>
                <w:webHidden/>
              </w:rPr>
              <w:t>25</w:t>
            </w:r>
            <w:r w:rsidR="00AB7B2C">
              <w:rPr>
                <w:noProof/>
                <w:webHidden/>
              </w:rPr>
              <w:fldChar w:fldCharType="end"/>
            </w:r>
          </w:hyperlink>
        </w:p>
        <w:p w14:paraId="1768952F" w14:textId="36B06BC3" w:rsidR="00AB7B2C" w:rsidRDefault="00AA7599">
          <w:pPr>
            <w:pStyle w:val="TOC3"/>
            <w:rPr>
              <w:rFonts w:asciiTheme="minorHAnsi" w:eastAsiaTheme="minorEastAsia" w:hAnsiTheme="minorHAnsi"/>
              <w:b w:val="0"/>
              <w:noProof/>
              <w:sz w:val="22"/>
              <w:szCs w:val="22"/>
              <w:lang w:eastAsia="en-AU"/>
            </w:rPr>
          </w:pPr>
          <w:hyperlink w:anchor="_Toc148711014" w:history="1">
            <w:r w:rsidR="00AB7B2C" w:rsidRPr="00A47833">
              <w:rPr>
                <w:rStyle w:val="Hyperlink"/>
                <w:noProof/>
              </w:rPr>
              <w:t>6.</w:t>
            </w:r>
            <w:r w:rsidR="00AB7B2C">
              <w:rPr>
                <w:rFonts w:asciiTheme="minorHAnsi" w:eastAsiaTheme="minorEastAsia" w:hAnsiTheme="minorHAnsi"/>
                <w:b w:val="0"/>
                <w:noProof/>
                <w:sz w:val="22"/>
                <w:szCs w:val="22"/>
                <w:lang w:eastAsia="en-AU"/>
              </w:rPr>
              <w:tab/>
            </w:r>
            <w:r w:rsidR="00AB7B2C" w:rsidRPr="00A47833">
              <w:rPr>
                <w:rStyle w:val="Hyperlink"/>
                <w:noProof/>
              </w:rPr>
              <w:t>AD claim 7.c</w:t>
            </w:r>
            <w:r w:rsidR="00AB7B2C">
              <w:rPr>
                <w:noProof/>
                <w:webHidden/>
              </w:rPr>
              <w:tab/>
            </w:r>
            <w:r w:rsidR="00AB7B2C">
              <w:rPr>
                <w:noProof/>
                <w:webHidden/>
              </w:rPr>
              <w:fldChar w:fldCharType="begin"/>
            </w:r>
            <w:r w:rsidR="00AB7B2C">
              <w:rPr>
                <w:noProof/>
                <w:webHidden/>
              </w:rPr>
              <w:instrText xml:space="preserve"> PAGEREF _Toc148711014 \h </w:instrText>
            </w:r>
            <w:r w:rsidR="00AB7B2C">
              <w:rPr>
                <w:noProof/>
                <w:webHidden/>
              </w:rPr>
            </w:r>
            <w:r w:rsidR="00AB7B2C">
              <w:rPr>
                <w:noProof/>
                <w:webHidden/>
              </w:rPr>
              <w:fldChar w:fldCharType="separate"/>
            </w:r>
            <w:r w:rsidR="00AB7B2C">
              <w:rPr>
                <w:noProof/>
                <w:webHidden/>
              </w:rPr>
              <w:t>26</w:t>
            </w:r>
            <w:r w:rsidR="00AB7B2C">
              <w:rPr>
                <w:noProof/>
                <w:webHidden/>
              </w:rPr>
              <w:fldChar w:fldCharType="end"/>
            </w:r>
          </w:hyperlink>
        </w:p>
        <w:p w14:paraId="222FDF41" w14:textId="4ECABA02" w:rsidR="00AB7B2C" w:rsidRDefault="00AA7599">
          <w:pPr>
            <w:pStyle w:val="TOC3"/>
            <w:rPr>
              <w:rFonts w:asciiTheme="minorHAnsi" w:eastAsiaTheme="minorEastAsia" w:hAnsiTheme="minorHAnsi"/>
              <w:b w:val="0"/>
              <w:noProof/>
              <w:sz w:val="22"/>
              <w:szCs w:val="22"/>
              <w:lang w:eastAsia="en-AU"/>
            </w:rPr>
          </w:pPr>
          <w:hyperlink w:anchor="_Toc148711015" w:history="1">
            <w:r w:rsidR="00AB7B2C" w:rsidRPr="00A47833">
              <w:rPr>
                <w:rStyle w:val="Hyperlink"/>
                <w:noProof/>
              </w:rPr>
              <w:t>7.</w:t>
            </w:r>
            <w:r w:rsidR="00AB7B2C">
              <w:rPr>
                <w:rFonts w:asciiTheme="minorHAnsi" w:eastAsiaTheme="minorEastAsia" w:hAnsiTheme="minorHAnsi"/>
                <w:b w:val="0"/>
                <w:noProof/>
                <w:sz w:val="22"/>
                <w:szCs w:val="22"/>
                <w:lang w:eastAsia="en-AU"/>
              </w:rPr>
              <w:tab/>
            </w:r>
            <w:r w:rsidR="00AB7B2C" w:rsidRPr="00A47833">
              <w:rPr>
                <w:rStyle w:val="Hyperlink"/>
                <w:noProof/>
              </w:rPr>
              <w:t>AD claim 8</w:t>
            </w:r>
            <w:r w:rsidR="00AB7B2C">
              <w:rPr>
                <w:noProof/>
                <w:webHidden/>
              </w:rPr>
              <w:tab/>
            </w:r>
            <w:r w:rsidR="00AB7B2C">
              <w:rPr>
                <w:noProof/>
                <w:webHidden/>
              </w:rPr>
              <w:fldChar w:fldCharType="begin"/>
            </w:r>
            <w:r w:rsidR="00AB7B2C">
              <w:rPr>
                <w:noProof/>
                <w:webHidden/>
              </w:rPr>
              <w:instrText xml:space="preserve"> PAGEREF _Toc148711015 \h </w:instrText>
            </w:r>
            <w:r w:rsidR="00AB7B2C">
              <w:rPr>
                <w:noProof/>
                <w:webHidden/>
              </w:rPr>
            </w:r>
            <w:r w:rsidR="00AB7B2C">
              <w:rPr>
                <w:noProof/>
                <w:webHidden/>
              </w:rPr>
              <w:fldChar w:fldCharType="separate"/>
            </w:r>
            <w:r w:rsidR="00AB7B2C">
              <w:rPr>
                <w:noProof/>
                <w:webHidden/>
              </w:rPr>
              <w:t>26</w:t>
            </w:r>
            <w:r w:rsidR="00AB7B2C">
              <w:rPr>
                <w:noProof/>
                <w:webHidden/>
              </w:rPr>
              <w:fldChar w:fldCharType="end"/>
            </w:r>
          </w:hyperlink>
        </w:p>
        <w:p w14:paraId="2194766A" w14:textId="26D63242" w:rsidR="00AB7B2C" w:rsidRDefault="00AA7599">
          <w:pPr>
            <w:pStyle w:val="TOC1"/>
            <w:rPr>
              <w:rFonts w:asciiTheme="minorHAnsi" w:eastAsiaTheme="minorEastAsia" w:hAnsiTheme="minorHAnsi"/>
              <w:b w:val="0"/>
              <w:caps w:val="0"/>
              <w:noProof/>
              <w:sz w:val="22"/>
              <w:szCs w:val="22"/>
              <w:lang w:eastAsia="en-AU"/>
            </w:rPr>
          </w:pPr>
          <w:hyperlink w:anchor="_Toc148711016" w:history="1">
            <w:r w:rsidR="00AB7B2C" w:rsidRPr="00A47833">
              <w:rPr>
                <w:rStyle w:val="Hyperlink"/>
                <w:noProof/>
              </w:rPr>
              <w:t>VIII.</w:t>
            </w:r>
            <w:r w:rsidR="00AB7B2C">
              <w:rPr>
                <w:rFonts w:asciiTheme="minorHAnsi" w:eastAsiaTheme="minorEastAsia" w:hAnsiTheme="minorHAnsi"/>
                <w:b w:val="0"/>
                <w:caps w:val="0"/>
                <w:noProof/>
                <w:sz w:val="22"/>
                <w:szCs w:val="22"/>
                <w:lang w:eastAsia="en-AU"/>
              </w:rPr>
              <w:tab/>
            </w:r>
            <w:r w:rsidR="00AB7B2C" w:rsidRPr="00A47833">
              <w:rPr>
                <w:rStyle w:val="Hyperlink"/>
                <w:noProof/>
              </w:rPr>
              <w:t>Conditional responses to CVD claims</w:t>
            </w:r>
            <w:r w:rsidR="00AB7B2C">
              <w:rPr>
                <w:noProof/>
                <w:webHidden/>
              </w:rPr>
              <w:tab/>
            </w:r>
            <w:r w:rsidR="00AB7B2C">
              <w:rPr>
                <w:noProof/>
                <w:webHidden/>
              </w:rPr>
              <w:fldChar w:fldCharType="begin"/>
            </w:r>
            <w:r w:rsidR="00AB7B2C">
              <w:rPr>
                <w:noProof/>
                <w:webHidden/>
              </w:rPr>
              <w:instrText xml:space="preserve"> PAGEREF _Toc148711016 \h </w:instrText>
            </w:r>
            <w:r w:rsidR="00AB7B2C">
              <w:rPr>
                <w:noProof/>
                <w:webHidden/>
              </w:rPr>
            </w:r>
            <w:r w:rsidR="00AB7B2C">
              <w:rPr>
                <w:noProof/>
                <w:webHidden/>
              </w:rPr>
              <w:fldChar w:fldCharType="separate"/>
            </w:r>
            <w:r w:rsidR="00AB7B2C">
              <w:rPr>
                <w:noProof/>
                <w:webHidden/>
              </w:rPr>
              <w:t>26</w:t>
            </w:r>
            <w:r w:rsidR="00AB7B2C">
              <w:rPr>
                <w:noProof/>
                <w:webHidden/>
              </w:rPr>
              <w:fldChar w:fldCharType="end"/>
            </w:r>
          </w:hyperlink>
        </w:p>
        <w:p w14:paraId="578F8404" w14:textId="474E6091" w:rsidR="00AB7B2C" w:rsidRDefault="00AA7599">
          <w:pPr>
            <w:pStyle w:val="TOC2"/>
            <w:rPr>
              <w:rFonts w:asciiTheme="minorHAnsi" w:eastAsiaTheme="minorEastAsia" w:hAnsiTheme="minorHAnsi"/>
              <w:b w:val="0"/>
              <w:smallCaps w:val="0"/>
              <w:noProof/>
              <w:sz w:val="22"/>
              <w:szCs w:val="22"/>
              <w:lang w:eastAsia="en-AU"/>
            </w:rPr>
          </w:pPr>
          <w:hyperlink w:anchor="_Toc148711017" w:history="1">
            <w:r w:rsidR="00AB7B2C" w:rsidRPr="00A47833">
              <w:rPr>
                <w:rStyle w:val="Hyperlink"/>
                <w:noProof/>
              </w:rPr>
              <w:t>A.</w:t>
            </w:r>
            <w:r w:rsidR="00AB7B2C">
              <w:rPr>
                <w:rFonts w:asciiTheme="minorHAnsi" w:eastAsiaTheme="minorEastAsia" w:hAnsiTheme="minorHAnsi"/>
                <w:b w:val="0"/>
                <w:smallCaps w:val="0"/>
                <w:noProof/>
                <w:sz w:val="22"/>
                <w:szCs w:val="22"/>
                <w:lang w:eastAsia="en-AU"/>
              </w:rPr>
              <w:tab/>
            </w:r>
            <w:r w:rsidR="00AB7B2C" w:rsidRPr="00A47833">
              <w:rPr>
                <w:rStyle w:val="Hyperlink"/>
                <w:noProof/>
              </w:rPr>
              <w:t>CVD claim 1</w:t>
            </w:r>
            <w:r w:rsidR="00AB7B2C">
              <w:rPr>
                <w:noProof/>
                <w:webHidden/>
              </w:rPr>
              <w:tab/>
            </w:r>
            <w:r w:rsidR="00AB7B2C">
              <w:rPr>
                <w:noProof/>
                <w:webHidden/>
              </w:rPr>
              <w:fldChar w:fldCharType="begin"/>
            </w:r>
            <w:r w:rsidR="00AB7B2C">
              <w:rPr>
                <w:noProof/>
                <w:webHidden/>
              </w:rPr>
              <w:instrText xml:space="preserve"> PAGEREF _Toc148711017 \h </w:instrText>
            </w:r>
            <w:r w:rsidR="00AB7B2C">
              <w:rPr>
                <w:noProof/>
                <w:webHidden/>
              </w:rPr>
            </w:r>
            <w:r w:rsidR="00AB7B2C">
              <w:rPr>
                <w:noProof/>
                <w:webHidden/>
              </w:rPr>
              <w:fldChar w:fldCharType="separate"/>
            </w:r>
            <w:r w:rsidR="00AB7B2C">
              <w:rPr>
                <w:noProof/>
                <w:webHidden/>
              </w:rPr>
              <w:t>26</w:t>
            </w:r>
            <w:r w:rsidR="00AB7B2C">
              <w:rPr>
                <w:noProof/>
                <w:webHidden/>
              </w:rPr>
              <w:fldChar w:fldCharType="end"/>
            </w:r>
          </w:hyperlink>
        </w:p>
        <w:p w14:paraId="37C8808B" w14:textId="57460DF1" w:rsidR="00AB7B2C" w:rsidRDefault="00AA7599">
          <w:pPr>
            <w:pStyle w:val="TOC2"/>
            <w:rPr>
              <w:rFonts w:asciiTheme="minorHAnsi" w:eastAsiaTheme="minorEastAsia" w:hAnsiTheme="minorHAnsi"/>
              <w:b w:val="0"/>
              <w:smallCaps w:val="0"/>
              <w:noProof/>
              <w:sz w:val="22"/>
              <w:szCs w:val="22"/>
              <w:lang w:eastAsia="en-AU"/>
            </w:rPr>
          </w:pPr>
          <w:hyperlink w:anchor="_Toc148711018" w:history="1">
            <w:r w:rsidR="00AB7B2C" w:rsidRPr="00A47833">
              <w:rPr>
                <w:rStyle w:val="Hyperlink"/>
                <w:noProof/>
              </w:rPr>
              <w:t>B.</w:t>
            </w:r>
            <w:r w:rsidR="00AB7B2C">
              <w:rPr>
                <w:rFonts w:asciiTheme="minorHAnsi" w:eastAsiaTheme="minorEastAsia" w:hAnsiTheme="minorHAnsi"/>
                <w:b w:val="0"/>
                <w:smallCaps w:val="0"/>
                <w:noProof/>
                <w:sz w:val="22"/>
                <w:szCs w:val="22"/>
                <w:lang w:eastAsia="en-AU"/>
              </w:rPr>
              <w:tab/>
            </w:r>
            <w:r w:rsidR="00AB7B2C" w:rsidRPr="00A47833">
              <w:rPr>
                <w:rStyle w:val="Hyperlink"/>
                <w:noProof/>
              </w:rPr>
              <w:t>CVD claims 2 and 3</w:t>
            </w:r>
            <w:r w:rsidR="00AB7B2C">
              <w:rPr>
                <w:noProof/>
                <w:webHidden/>
              </w:rPr>
              <w:tab/>
            </w:r>
            <w:r w:rsidR="00AB7B2C">
              <w:rPr>
                <w:noProof/>
                <w:webHidden/>
              </w:rPr>
              <w:fldChar w:fldCharType="begin"/>
            </w:r>
            <w:r w:rsidR="00AB7B2C">
              <w:rPr>
                <w:noProof/>
                <w:webHidden/>
              </w:rPr>
              <w:instrText xml:space="preserve"> PAGEREF _Toc148711018 \h </w:instrText>
            </w:r>
            <w:r w:rsidR="00AB7B2C">
              <w:rPr>
                <w:noProof/>
                <w:webHidden/>
              </w:rPr>
            </w:r>
            <w:r w:rsidR="00AB7B2C">
              <w:rPr>
                <w:noProof/>
                <w:webHidden/>
              </w:rPr>
              <w:fldChar w:fldCharType="separate"/>
            </w:r>
            <w:r w:rsidR="00AB7B2C">
              <w:rPr>
                <w:noProof/>
                <w:webHidden/>
              </w:rPr>
              <w:t>27</w:t>
            </w:r>
            <w:r w:rsidR="00AB7B2C">
              <w:rPr>
                <w:noProof/>
                <w:webHidden/>
              </w:rPr>
              <w:fldChar w:fldCharType="end"/>
            </w:r>
          </w:hyperlink>
        </w:p>
        <w:p w14:paraId="21F82E56" w14:textId="61BFD172" w:rsidR="00AB7B2C" w:rsidRDefault="00AA7599">
          <w:pPr>
            <w:pStyle w:val="TOC2"/>
            <w:rPr>
              <w:rFonts w:asciiTheme="minorHAnsi" w:eastAsiaTheme="minorEastAsia" w:hAnsiTheme="minorHAnsi"/>
              <w:b w:val="0"/>
              <w:smallCaps w:val="0"/>
              <w:noProof/>
              <w:sz w:val="22"/>
              <w:szCs w:val="22"/>
              <w:lang w:eastAsia="en-AU"/>
            </w:rPr>
          </w:pPr>
          <w:hyperlink w:anchor="_Toc148711019" w:history="1">
            <w:r w:rsidR="00AB7B2C" w:rsidRPr="00A47833">
              <w:rPr>
                <w:rStyle w:val="Hyperlink"/>
                <w:noProof/>
              </w:rPr>
              <w:t>C.</w:t>
            </w:r>
            <w:r w:rsidR="00AB7B2C">
              <w:rPr>
                <w:rFonts w:asciiTheme="minorHAnsi" w:eastAsiaTheme="minorEastAsia" w:hAnsiTheme="minorHAnsi"/>
                <w:b w:val="0"/>
                <w:smallCaps w:val="0"/>
                <w:noProof/>
                <w:sz w:val="22"/>
                <w:szCs w:val="22"/>
                <w:lang w:eastAsia="en-AU"/>
              </w:rPr>
              <w:tab/>
            </w:r>
            <w:r w:rsidR="00AB7B2C" w:rsidRPr="00A47833">
              <w:rPr>
                <w:rStyle w:val="Hyperlink"/>
                <w:noProof/>
              </w:rPr>
              <w:t>CVD claim 4</w:t>
            </w:r>
            <w:r w:rsidR="00AB7B2C">
              <w:rPr>
                <w:noProof/>
                <w:webHidden/>
              </w:rPr>
              <w:tab/>
            </w:r>
            <w:r w:rsidR="00AB7B2C">
              <w:rPr>
                <w:noProof/>
                <w:webHidden/>
              </w:rPr>
              <w:fldChar w:fldCharType="begin"/>
            </w:r>
            <w:r w:rsidR="00AB7B2C">
              <w:rPr>
                <w:noProof/>
                <w:webHidden/>
              </w:rPr>
              <w:instrText xml:space="preserve"> PAGEREF _Toc148711019 \h </w:instrText>
            </w:r>
            <w:r w:rsidR="00AB7B2C">
              <w:rPr>
                <w:noProof/>
                <w:webHidden/>
              </w:rPr>
            </w:r>
            <w:r w:rsidR="00AB7B2C">
              <w:rPr>
                <w:noProof/>
                <w:webHidden/>
              </w:rPr>
              <w:fldChar w:fldCharType="separate"/>
            </w:r>
            <w:r w:rsidR="00AB7B2C">
              <w:rPr>
                <w:noProof/>
                <w:webHidden/>
              </w:rPr>
              <w:t>27</w:t>
            </w:r>
            <w:r w:rsidR="00AB7B2C">
              <w:rPr>
                <w:noProof/>
                <w:webHidden/>
              </w:rPr>
              <w:fldChar w:fldCharType="end"/>
            </w:r>
          </w:hyperlink>
        </w:p>
        <w:p w14:paraId="49166AEA" w14:textId="35FDA631" w:rsidR="00AB7B2C" w:rsidRDefault="00AA7599">
          <w:pPr>
            <w:pStyle w:val="TOC2"/>
            <w:rPr>
              <w:rFonts w:asciiTheme="minorHAnsi" w:eastAsiaTheme="minorEastAsia" w:hAnsiTheme="minorHAnsi"/>
              <w:b w:val="0"/>
              <w:smallCaps w:val="0"/>
              <w:noProof/>
              <w:sz w:val="22"/>
              <w:szCs w:val="22"/>
              <w:lang w:eastAsia="en-AU"/>
            </w:rPr>
          </w:pPr>
          <w:hyperlink w:anchor="_Toc148711020" w:history="1">
            <w:r w:rsidR="00AB7B2C" w:rsidRPr="00A47833">
              <w:rPr>
                <w:rStyle w:val="Hyperlink"/>
                <w:noProof/>
              </w:rPr>
              <w:t>D.</w:t>
            </w:r>
            <w:r w:rsidR="00AB7B2C">
              <w:rPr>
                <w:rFonts w:asciiTheme="minorHAnsi" w:eastAsiaTheme="minorEastAsia" w:hAnsiTheme="minorHAnsi"/>
                <w:b w:val="0"/>
                <w:smallCaps w:val="0"/>
                <w:noProof/>
                <w:sz w:val="22"/>
                <w:szCs w:val="22"/>
                <w:lang w:eastAsia="en-AU"/>
              </w:rPr>
              <w:tab/>
            </w:r>
            <w:r w:rsidR="00AB7B2C" w:rsidRPr="00A47833">
              <w:rPr>
                <w:rStyle w:val="Hyperlink"/>
                <w:noProof/>
              </w:rPr>
              <w:t>CVD claim 5</w:t>
            </w:r>
            <w:r w:rsidR="00AB7B2C">
              <w:rPr>
                <w:noProof/>
                <w:webHidden/>
              </w:rPr>
              <w:tab/>
            </w:r>
            <w:r w:rsidR="00AB7B2C">
              <w:rPr>
                <w:noProof/>
                <w:webHidden/>
              </w:rPr>
              <w:fldChar w:fldCharType="begin"/>
            </w:r>
            <w:r w:rsidR="00AB7B2C">
              <w:rPr>
                <w:noProof/>
                <w:webHidden/>
              </w:rPr>
              <w:instrText xml:space="preserve"> PAGEREF _Toc148711020 \h </w:instrText>
            </w:r>
            <w:r w:rsidR="00AB7B2C">
              <w:rPr>
                <w:noProof/>
                <w:webHidden/>
              </w:rPr>
            </w:r>
            <w:r w:rsidR="00AB7B2C">
              <w:rPr>
                <w:noProof/>
                <w:webHidden/>
              </w:rPr>
              <w:fldChar w:fldCharType="separate"/>
            </w:r>
            <w:r w:rsidR="00AB7B2C">
              <w:rPr>
                <w:noProof/>
                <w:webHidden/>
              </w:rPr>
              <w:t>28</w:t>
            </w:r>
            <w:r w:rsidR="00AB7B2C">
              <w:rPr>
                <w:noProof/>
                <w:webHidden/>
              </w:rPr>
              <w:fldChar w:fldCharType="end"/>
            </w:r>
          </w:hyperlink>
        </w:p>
        <w:p w14:paraId="7C106C65" w14:textId="38E07DEA" w:rsidR="00AB7B2C" w:rsidRDefault="00AA7599">
          <w:pPr>
            <w:pStyle w:val="TOC1"/>
            <w:rPr>
              <w:rFonts w:asciiTheme="minorHAnsi" w:eastAsiaTheme="minorEastAsia" w:hAnsiTheme="minorHAnsi"/>
              <w:b w:val="0"/>
              <w:caps w:val="0"/>
              <w:noProof/>
              <w:sz w:val="22"/>
              <w:szCs w:val="22"/>
              <w:lang w:eastAsia="en-AU"/>
            </w:rPr>
          </w:pPr>
          <w:hyperlink w:anchor="_Toc148711021" w:history="1">
            <w:r w:rsidR="00AB7B2C" w:rsidRPr="00A47833">
              <w:rPr>
                <w:rStyle w:val="Hyperlink"/>
                <w:noProof/>
              </w:rPr>
              <w:t>IX.</w:t>
            </w:r>
            <w:r w:rsidR="00AB7B2C">
              <w:rPr>
                <w:rFonts w:asciiTheme="minorHAnsi" w:eastAsiaTheme="minorEastAsia" w:hAnsiTheme="minorHAnsi"/>
                <w:b w:val="0"/>
                <w:caps w:val="0"/>
                <w:noProof/>
                <w:sz w:val="22"/>
                <w:szCs w:val="22"/>
                <w:lang w:eastAsia="en-AU"/>
              </w:rPr>
              <w:tab/>
            </w:r>
            <w:r w:rsidR="00AB7B2C" w:rsidRPr="00A47833">
              <w:rPr>
                <w:rStyle w:val="Hyperlink"/>
                <w:noProof/>
              </w:rPr>
              <w:t>Conclusion</w:t>
            </w:r>
            <w:r w:rsidR="00AB7B2C">
              <w:rPr>
                <w:noProof/>
                <w:webHidden/>
              </w:rPr>
              <w:tab/>
            </w:r>
            <w:r w:rsidR="00AB7B2C">
              <w:rPr>
                <w:noProof/>
                <w:webHidden/>
              </w:rPr>
              <w:fldChar w:fldCharType="begin"/>
            </w:r>
            <w:r w:rsidR="00AB7B2C">
              <w:rPr>
                <w:noProof/>
                <w:webHidden/>
              </w:rPr>
              <w:instrText xml:space="preserve"> PAGEREF _Toc148711021 \h </w:instrText>
            </w:r>
            <w:r w:rsidR="00AB7B2C">
              <w:rPr>
                <w:noProof/>
                <w:webHidden/>
              </w:rPr>
            </w:r>
            <w:r w:rsidR="00AB7B2C">
              <w:rPr>
                <w:noProof/>
                <w:webHidden/>
              </w:rPr>
              <w:fldChar w:fldCharType="separate"/>
            </w:r>
            <w:r w:rsidR="00AB7B2C">
              <w:rPr>
                <w:noProof/>
                <w:webHidden/>
              </w:rPr>
              <w:t>29</w:t>
            </w:r>
            <w:r w:rsidR="00AB7B2C">
              <w:rPr>
                <w:noProof/>
                <w:webHidden/>
              </w:rPr>
              <w:fldChar w:fldCharType="end"/>
            </w:r>
          </w:hyperlink>
        </w:p>
        <w:p w14:paraId="1A1C0B66" w14:textId="1D1B5348" w:rsidR="00C022A6" w:rsidRDefault="00620C43">
          <w:pPr>
            <w:pStyle w:val="BTNSSBodyTextNoSpacingSmall"/>
            <w:spacing w:line="360" w:lineRule="auto"/>
            <w:jc w:val="left"/>
            <w:rPr>
              <w:bCs/>
            </w:rPr>
          </w:pPr>
          <w:r>
            <w:fldChar w:fldCharType="end"/>
          </w:r>
        </w:p>
      </w:sdtContent>
    </w:sdt>
    <w:p w14:paraId="40EE0E6A" w14:textId="77777777" w:rsidR="00C022A6" w:rsidRDefault="00620C43">
      <w:pPr>
        <w:rPr>
          <w:rFonts w:eastAsiaTheme="majorEastAsia" w:cstheme="majorBidi"/>
          <w:b/>
          <w:sz w:val="28"/>
          <w:szCs w:val="28"/>
        </w:rPr>
      </w:pPr>
      <w:r>
        <w:rPr>
          <w:caps/>
          <w:sz w:val="28"/>
          <w:szCs w:val="28"/>
        </w:rPr>
        <w:br w:type="page"/>
      </w:r>
    </w:p>
    <w:p w14:paraId="4C44D1E2" w14:textId="77777777" w:rsidR="00086082" w:rsidRDefault="00086082" w:rsidP="00086082">
      <w:pPr>
        <w:pStyle w:val="SHSectionHeading"/>
        <w:jc w:val="left"/>
        <w:rPr>
          <w:sz w:val="28"/>
          <w:szCs w:val="28"/>
        </w:rPr>
      </w:pPr>
      <w:bookmarkStart w:id="0" w:name="_Toc146025678"/>
      <w:bookmarkStart w:id="1" w:name="_Toc148710972"/>
      <w:r>
        <w:rPr>
          <w:caps w:val="0"/>
          <w:sz w:val="28"/>
          <w:szCs w:val="28"/>
        </w:rPr>
        <w:lastRenderedPageBreak/>
        <w:t>TABLE OF CASES</w:t>
      </w:r>
      <w:bookmarkEnd w:id="0"/>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7208"/>
      </w:tblGrid>
      <w:tr w:rsidR="00086082" w:rsidRPr="006A1F80" w14:paraId="02A323C1" w14:textId="77777777" w:rsidTr="00174984">
        <w:trPr>
          <w:cantSplit/>
          <w:trHeight w:val="397"/>
          <w:tblHeader/>
        </w:trPr>
        <w:tc>
          <w:tcPr>
            <w:tcW w:w="1852" w:type="dxa"/>
            <w:shd w:val="clear" w:color="auto" w:fill="D9D9D9" w:themeFill="background1" w:themeFillShade="D9"/>
          </w:tcPr>
          <w:p w14:paraId="0734BBCC" w14:textId="77777777" w:rsidR="00086082" w:rsidRPr="006A1F80" w:rsidRDefault="00086082" w:rsidP="00174984">
            <w:pPr>
              <w:pStyle w:val="THTableHeading"/>
              <w:spacing w:line="360" w:lineRule="auto"/>
            </w:pPr>
            <w:r w:rsidRPr="006A1F80">
              <w:t>Short Title</w:t>
            </w:r>
          </w:p>
        </w:tc>
        <w:tc>
          <w:tcPr>
            <w:tcW w:w="7208" w:type="dxa"/>
            <w:shd w:val="clear" w:color="auto" w:fill="D9D9D9" w:themeFill="background1" w:themeFillShade="D9"/>
          </w:tcPr>
          <w:p w14:paraId="0D153BC8" w14:textId="77777777" w:rsidR="00086082" w:rsidRPr="006A1F80" w:rsidRDefault="00086082" w:rsidP="00174984">
            <w:pPr>
              <w:pStyle w:val="THTableHeading"/>
              <w:spacing w:line="360" w:lineRule="auto"/>
            </w:pPr>
            <w:r w:rsidRPr="006A1F80">
              <w:t>Full Case Title and Citation</w:t>
            </w:r>
          </w:p>
        </w:tc>
      </w:tr>
      <w:tr w:rsidR="00086082" w:rsidRPr="006A1F80" w14:paraId="40DD7196" w14:textId="77777777" w:rsidTr="00174984">
        <w:trPr>
          <w:cantSplit/>
          <w:trHeight w:val="397"/>
        </w:trPr>
        <w:tc>
          <w:tcPr>
            <w:tcW w:w="1852" w:type="dxa"/>
            <w:shd w:val="clear" w:color="auto" w:fill="auto"/>
          </w:tcPr>
          <w:p w14:paraId="479F4A27" w14:textId="77777777" w:rsidR="00086082" w:rsidRPr="00495A7B" w:rsidRDefault="00086082" w:rsidP="00174984">
            <w:pPr>
              <w:pStyle w:val="TTTableText"/>
              <w:rPr>
                <w:rFonts w:asciiTheme="minorHAnsi" w:hAnsiTheme="minorHAnsi" w:cstheme="minorHAnsi"/>
                <w:i/>
                <w:iCs/>
              </w:rPr>
            </w:pPr>
            <w:r w:rsidRPr="00495A7B">
              <w:rPr>
                <w:rFonts w:asciiTheme="minorHAnsi" w:hAnsiTheme="minorHAnsi" w:cstheme="minorHAnsi"/>
                <w:i/>
                <w:iCs/>
              </w:rPr>
              <w:t>Argentina – Import Measures</w:t>
            </w:r>
          </w:p>
        </w:tc>
        <w:tc>
          <w:tcPr>
            <w:tcW w:w="7208" w:type="dxa"/>
            <w:shd w:val="clear" w:color="auto" w:fill="auto"/>
          </w:tcPr>
          <w:p w14:paraId="44EC85FF" w14:textId="77777777" w:rsidR="00086082" w:rsidRPr="00495A7B" w:rsidRDefault="00086082" w:rsidP="00174984">
            <w:pPr>
              <w:pStyle w:val="TTTableText"/>
              <w:rPr>
                <w:rFonts w:asciiTheme="minorHAnsi" w:hAnsiTheme="minorHAnsi" w:cstheme="minorHAnsi"/>
              </w:rPr>
            </w:pPr>
            <w:r w:rsidRPr="00495A7B">
              <w:rPr>
                <w:rFonts w:asciiTheme="minorHAnsi" w:hAnsiTheme="minorHAnsi" w:cstheme="minorHAnsi"/>
              </w:rPr>
              <w:t xml:space="preserve">Appellate Body Report, </w:t>
            </w:r>
            <w:r w:rsidRPr="00495A7B">
              <w:rPr>
                <w:rFonts w:asciiTheme="minorHAnsi" w:hAnsiTheme="minorHAnsi" w:cstheme="minorHAnsi"/>
                <w:i/>
                <w:iCs/>
              </w:rPr>
              <w:t>Argentina – Measures Affecting the Importation of Goods</w:t>
            </w:r>
            <w:r w:rsidRPr="00495A7B">
              <w:rPr>
                <w:rFonts w:asciiTheme="minorHAnsi" w:hAnsiTheme="minorHAnsi" w:cstheme="minorHAnsi"/>
              </w:rPr>
              <w:t xml:space="preserve">, </w:t>
            </w:r>
            <w:hyperlink r:id="rId11" w:history="1">
              <w:r w:rsidRPr="00495A7B">
                <w:rPr>
                  <w:rFonts w:asciiTheme="minorHAnsi" w:hAnsiTheme="minorHAnsi" w:cstheme="minorHAnsi"/>
                </w:rPr>
                <w:t>WT/DS438/AB/R</w:t>
              </w:r>
            </w:hyperlink>
            <w:r w:rsidRPr="00495A7B">
              <w:rPr>
                <w:rFonts w:asciiTheme="minorHAnsi" w:hAnsiTheme="minorHAnsi" w:cstheme="minorHAnsi"/>
              </w:rPr>
              <w:t xml:space="preserve"> / </w:t>
            </w:r>
            <w:hyperlink r:id="rId12" w:history="1">
              <w:r w:rsidRPr="00495A7B">
                <w:rPr>
                  <w:rFonts w:asciiTheme="minorHAnsi" w:hAnsiTheme="minorHAnsi" w:cstheme="minorHAnsi"/>
                </w:rPr>
                <w:t>WT/DS444/AB/R</w:t>
              </w:r>
            </w:hyperlink>
            <w:r w:rsidRPr="00495A7B">
              <w:rPr>
                <w:rFonts w:asciiTheme="minorHAnsi" w:hAnsiTheme="minorHAnsi" w:cstheme="minorHAnsi"/>
              </w:rPr>
              <w:t xml:space="preserve"> / </w:t>
            </w:r>
            <w:hyperlink r:id="rId13" w:history="1">
              <w:r w:rsidRPr="00495A7B">
                <w:rPr>
                  <w:rFonts w:asciiTheme="minorHAnsi" w:hAnsiTheme="minorHAnsi" w:cstheme="minorHAnsi"/>
                </w:rPr>
                <w:t>WT/DS445/AB/R</w:t>
              </w:r>
            </w:hyperlink>
            <w:r w:rsidRPr="00495A7B">
              <w:rPr>
                <w:rFonts w:asciiTheme="minorHAnsi" w:hAnsiTheme="minorHAnsi" w:cstheme="minorHAnsi"/>
              </w:rPr>
              <w:t>, adopted 26 January 2015, DSR 2015:II, p. 579</w:t>
            </w:r>
          </w:p>
        </w:tc>
      </w:tr>
      <w:tr w:rsidR="00086082" w:rsidRPr="006A1F80" w14:paraId="634CCE93" w14:textId="77777777" w:rsidTr="00174984">
        <w:trPr>
          <w:cantSplit/>
          <w:trHeight w:val="397"/>
        </w:trPr>
        <w:tc>
          <w:tcPr>
            <w:tcW w:w="1852" w:type="dxa"/>
            <w:shd w:val="clear" w:color="auto" w:fill="auto"/>
          </w:tcPr>
          <w:p w14:paraId="0A5B5B31" w14:textId="77777777" w:rsidR="00086082" w:rsidRPr="00495A7B" w:rsidRDefault="00086082" w:rsidP="00174984">
            <w:pPr>
              <w:pStyle w:val="TTTableText"/>
              <w:rPr>
                <w:rFonts w:asciiTheme="minorHAnsi" w:hAnsiTheme="minorHAnsi" w:cstheme="minorHAnsi"/>
                <w:i/>
                <w:iCs/>
              </w:rPr>
            </w:pPr>
            <w:r w:rsidRPr="00495A7B">
              <w:rPr>
                <w:rFonts w:asciiTheme="minorHAnsi" w:hAnsiTheme="minorHAnsi" w:cstheme="minorHAnsi"/>
                <w:i/>
                <w:iCs/>
              </w:rPr>
              <w:t xml:space="preserve">Australia – Anti-Dumping Measures on Paper </w:t>
            </w:r>
          </w:p>
        </w:tc>
        <w:tc>
          <w:tcPr>
            <w:tcW w:w="7208" w:type="dxa"/>
            <w:shd w:val="clear" w:color="auto" w:fill="auto"/>
          </w:tcPr>
          <w:p w14:paraId="6DC61627" w14:textId="77777777" w:rsidR="00086082" w:rsidRPr="00495A7B" w:rsidRDefault="00086082" w:rsidP="00174984">
            <w:pPr>
              <w:pStyle w:val="TTTableText"/>
              <w:rPr>
                <w:rFonts w:asciiTheme="minorHAnsi" w:hAnsiTheme="minorHAnsi" w:cstheme="minorHAnsi"/>
              </w:rPr>
            </w:pPr>
            <w:r w:rsidRPr="00495A7B">
              <w:rPr>
                <w:rFonts w:asciiTheme="minorHAnsi" w:hAnsiTheme="minorHAnsi" w:cstheme="minorHAnsi"/>
              </w:rPr>
              <w:t xml:space="preserve">Panel Report, </w:t>
            </w:r>
            <w:r w:rsidRPr="00495A7B">
              <w:rPr>
                <w:rFonts w:asciiTheme="minorHAnsi" w:hAnsiTheme="minorHAnsi" w:cstheme="minorHAnsi"/>
                <w:i/>
                <w:iCs/>
              </w:rPr>
              <w:t>Australia – Anti-Dumping Measures on A4 Copy Paper</w:t>
            </w:r>
            <w:r w:rsidRPr="00495A7B">
              <w:rPr>
                <w:rFonts w:asciiTheme="minorHAnsi" w:hAnsiTheme="minorHAnsi" w:cstheme="minorHAnsi"/>
              </w:rPr>
              <w:t>, WT/DS529/R and Add.1, adopted 28 January 2020</w:t>
            </w:r>
          </w:p>
        </w:tc>
      </w:tr>
      <w:tr w:rsidR="00086082" w:rsidRPr="006A1F80" w14:paraId="09BA7843" w14:textId="77777777" w:rsidTr="00174984">
        <w:trPr>
          <w:cantSplit/>
          <w:trHeight w:val="397"/>
        </w:trPr>
        <w:tc>
          <w:tcPr>
            <w:tcW w:w="1852" w:type="dxa"/>
            <w:shd w:val="clear" w:color="auto" w:fill="auto"/>
          </w:tcPr>
          <w:p w14:paraId="149DD9B6" w14:textId="77777777" w:rsidR="00086082" w:rsidRPr="00495A7B" w:rsidRDefault="00086082" w:rsidP="00174984">
            <w:pPr>
              <w:pStyle w:val="TTTableText"/>
              <w:rPr>
                <w:rFonts w:asciiTheme="minorHAnsi" w:hAnsiTheme="minorHAnsi" w:cstheme="minorHAnsi"/>
                <w:i/>
                <w:iCs/>
              </w:rPr>
            </w:pPr>
            <w:r w:rsidRPr="008607A5">
              <w:rPr>
                <w:rFonts w:asciiTheme="minorHAnsi" w:hAnsiTheme="minorHAnsi" w:cstheme="minorHAnsi"/>
                <w:i/>
                <w:iCs/>
              </w:rPr>
              <w:t>Canada – Dairy (Article 21.5 – New Zealand and US II)</w:t>
            </w:r>
          </w:p>
        </w:tc>
        <w:tc>
          <w:tcPr>
            <w:tcW w:w="7208" w:type="dxa"/>
            <w:shd w:val="clear" w:color="auto" w:fill="auto"/>
          </w:tcPr>
          <w:p w14:paraId="06B5DBB6" w14:textId="77777777" w:rsidR="00086082" w:rsidRPr="00495A7B" w:rsidRDefault="00086082" w:rsidP="00174984">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Canada – Measures Affecting the Importation of Milk and the Exportation of Dairy Products – Second Recourse to Article 21.5 of the DSU by New Zealand and the United States,</w:t>
            </w:r>
            <w:r w:rsidRPr="008607A5">
              <w:rPr>
                <w:rFonts w:asciiTheme="minorHAnsi" w:hAnsiTheme="minorHAnsi" w:cstheme="minorHAnsi"/>
              </w:rPr>
              <w:t xml:space="preserve"> WT/DS103/AB/RW2, WT/DS113/AB/RW2, adopted 17 January 2003, DSR 2003:I, p. 213</w:t>
            </w:r>
          </w:p>
        </w:tc>
      </w:tr>
      <w:tr w:rsidR="00086082" w:rsidRPr="006A1F80" w14:paraId="27D45A5E" w14:textId="77777777" w:rsidTr="00174984">
        <w:trPr>
          <w:cantSplit/>
          <w:trHeight w:val="397"/>
        </w:trPr>
        <w:tc>
          <w:tcPr>
            <w:tcW w:w="1852" w:type="dxa"/>
            <w:shd w:val="clear" w:color="auto" w:fill="auto"/>
          </w:tcPr>
          <w:p w14:paraId="51A45D15" w14:textId="77777777" w:rsidR="00086082" w:rsidRPr="00495A7B" w:rsidRDefault="00086082" w:rsidP="00174984">
            <w:pPr>
              <w:pStyle w:val="TTTableText"/>
              <w:rPr>
                <w:rFonts w:asciiTheme="minorHAnsi" w:hAnsiTheme="minorHAnsi" w:cstheme="minorHAnsi"/>
                <w:i/>
                <w:iCs/>
              </w:rPr>
            </w:pPr>
            <w:r w:rsidRPr="00495A7B">
              <w:rPr>
                <w:rFonts w:asciiTheme="minorHAnsi" w:hAnsiTheme="minorHAnsi" w:cstheme="minorHAnsi"/>
                <w:i/>
                <w:color w:val="000000"/>
              </w:rPr>
              <w:t>China – Broiler Products</w:t>
            </w:r>
          </w:p>
        </w:tc>
        <w:tc>
          <w:tcPr>
            <w:tcW w:w="7208" w:type="dxa"/>
            <w:shd w:val="clear" w:color="auto" w:fill="auto"/>
          </w:tcPr>
          <w:p w14:paraId="2993D80E" w14:textId="77777777" w:rsidR="00086082" w:rsidRPr="00495A7B" w:rsidRDefault="00086082" w:rsidP="00174984">
            <w:pPr>
              <w:pStyle w:val="TTTableText"/>
              <w:rPr>
                <w:rFonts w:asciiTheme="minorHAnsi" w:hAnsiTheme="minorHAnsi" w:cstheme="minorHAnsi"/>
              </w:rPr>
            </w:pPr>
            <w:r w:rsidRPr="00495A7B">
              <w:rPr>
                <w:rFonts w:asciiTheme="minorHAnsi" w:hAnsiTheme="minorHAnsi" w:cstheme="minorHAnsi"/>
                <w:color w:val="000000"/>
              </w:rPr>
              <w:t xml:space="preserve">Panel Report, </w:t>
            </w:r>
            <w:r w:rsidRPr="00495A7B">
              <w:rPr>
                <w:rFonts w:asciiTheme="minorHAnsi" w:hAnsiTheme="minorHAnsi" w:cstheme="minorHAnsi"/>
                <w:i/>
                <w:color w:val="000000"/>
              </w:rPr>
              <w:t xml:space="preserve">China </w:t>
            </w:r>
            <w:r w:rsidRPr="00495A7B">
              <w:rPr>
                <w:rFonts w:asciiTheme="minorHAnsi" w:hAnsiTheme="minorHAnsi" w:cstheme="minorHAnsi"/>
                <w:i/>
                <w:color w:val="000000"/>
              </w:rPr>
              <w:sym w:font="Symbol" w:char="F02D"/>
            </w:r>
            <w:r w:rsidRPr="00495A7B">
              <w:rPr>
                <w:rFonts w:asciiTheme="minorHAnsi" w:hAnsiTheme="minorHAnsi" w:cstheme="minorHAnsi"/>
                <w:i/>
                <w:color w:val="000000"/>
              </w:rPr>
              <w:t xml:space="preserve"> Anti-Dumping and Countervailing Duty Measures on Broiler Products from the United States</w:t>
            </w:r>
            <w:r w:rsidRPr="00495A7B">
              <w:rPr>
                <w:rFonts w:asciiTheme="minorHAnsi" w:hAnsiTheme="minorHAnsi" w:cstheme="minorHAnsi"/>
                <w:color w:val="000000"/>
              </w:rPr>
              <w:t xml:space="preserve">, </w:t>
            </w:r>
            <w:r w:rsidRPr="00495A7B">
              <w:rPr>
                <w:rFonts w:asciiTheme="minorHAnsi" w:hAnsiTheme="minorHAnsi" w:cstheme="minorHAnsi"/>
              </w:rPr>
              <w:t>WT/DS427/R</w:t>
            </w:r>
            <w:r w:rsidRPr="00495A7B">
              <w:rPr>
                <w:rFonts w:asciiTheme="minorHAnsi" w:hAnsiTheme="minorHAnsi" w:cstheme="minorHAnsi"/>
                <w:color w:val="000000"/>
              </w:rPr>
              <w:t xml:space="preserve"> and Add.1, adopted 25 September 2013, DSR 2013:IV, p. 1041</w:t>
            </w:r>
          </w:p>
        </w:tc>
      </w:tr>
      <w:tr w:rsidR="00086082" w:rsidRPr="006A1F80" w14:paraId="75523D6A" w14:textId="77777777" w:rsidTr="00174984">
        <w:trPr>
          <w:cantSplit/>
          <w:trHeight w:val="397"/>
        </w:trPr>
        <w:tc>
          <w:tcPr>
            <w:tcW w:w="1852" w:type="dxa"/>
            <w:shd w:val="clear" w:color="auto" w:fill="auto"/>
          </w:tcPr>
          <w:p w14:paraId="189B945A" w14:textId="77777777" w:rsidR="00086082" w:rsidRPr="00495A7B" w:rsidRDefault="00086082" w:rsidP="00174984">
            <w:pPr>
              <w:pStyle w:val="TTTableText"/>
              <w:rPr>
                <w:rFonts w:asciiTheme="minorHAnsi" w:hAnsiTheme="minorHAnsi" w:cstheme="minorHAnsi"/>
                <w:i/>
                <w:color w:val="000000"/>
              </w:rPr>
            </w:pPr>
            <w:r w:rsidRPr="008E43CA">
              <w:rPr>
                <w:rFonts w:asciiTheme="minorHAnsi" w:hAnsiTheme="minorHAnsi" w:cstheme="minorHAnsi"/>
                <w:i/>
                <w:iCs/>
              </w:rPr>
              <w:t xml:space="preserve">Colombia </w:t>
            </w:r>
            <w:r w:rsidRPr="008E43CA">
              <w:rPr>
                <w:rFonts w:asciiTheme="minorHAnsi" w:hAnsiTheme="minorHAnsi" w:cstheme="minorHAnsi" w:hint="eastAsia"/>
                <w:i/>
                <w:iCs/>
              </w:rPr>
              <w:t>—</w:t>
            </w:r>
            <w:r w:rsidRPr="008E43CA">
              <w:rPr>
                <w:rFonts w:asciiTheme="minorHAnsi" w:hAnsiTheme="minorHAnsi" w:cstheme="minorHAnsi"/>
                <w:i/>
                <w:iCs/>
              </w:rPr>
              <w:t xml:space="preserve"> Frozen Fries</w:t>
            </w:r>
          </w:p>
        </w:tc>
        <w:tc>
          <w:tcPr>
            <w:tcW w:w="7208" w:type="dxa"/>
            <w:shd w:val="clear" w:color="auto" w:fill="auto"/>
          </w:tcPr>
          <w:p w14:paraId="2397101F" w14:textId="77777777" w:rsidR="00086082" w:rsidRPr="00495A7B" w:rsidRDefault="00086082" w:rsidP="00174984">
            <w:pPr>
              <w:pStyle w:val="TTTableText"/>
              <w:rPr>
                <w:rFonts w:asciiTheme="minorHAnsi" w:hAnsiTheme="minorHAnsi" w:cstheme="minorHAnsi"/>
                <w:color w:val="000000"/>
              </w:rPr>
            </w:pPr>
            <w:r w:rsidRPr="008E43CA">
              <w:rPr>
                <w:rFonts w:asciiTheme="minorHAnsi" w:hAnsiTheme="minorHAnsi" w:cstheme="minorHAnsi"/>
              </w:rPr>
              <w:t xml:space="preserve">Award of the Arbitrator, </w:t>
            </w:r>
            <w:r w:rsidRPr="008E43CA">
              <w:rPr>
                <w:rFonts w:asciiTheme="minorHAnsi" w:hAnsiTheme="minorHAnsi" w:cstheme="minorHAnsi"/>
                <w:i/>
                <w:iCs/>
              </w:rPr>
              <w:t>Colombia – Anti-Dumping Duties on Frozen Fries from Belgium, Germany and the Netherlands– Arbitration under Article 25 of the DSU</w:t>
            </w:r>
            <w:r w:rsidRPr="008E43CA">
              <w:rPr>
                <w:rFonts w:asciiTheme="minorHAnsi" w:hAnsiTheme="minorHAnsi" w:cstheme="minorHAnsi"/>
              </w:rPr>
              <w:t>, WT/DS591/ARB25, 21 December 2022</w:t>
            </w:r>
          </w:p>
        </w:tc>
      </w:tr>
      <w:tr w:rsidR="00086082" w:rsidRPr="006A1F80" w14:paraId="4EAEE712" w14:textId="77777777" w:rsidTr="00174984">
        <w:trPr>
          <w:cantSplit/>
          <w:trHeight w:val="397"/>
        </w:trPr>
        <w:tc>
          <w:tcPr>
            <w:tcW w:w="1852" w:type="dxa"/>
            <w:shd w:val="clear" w:color="auto" w:fill="auto"/>
          </w:tcPr>
          <w:p w14:paraId="6F0B08A3" w14:textId="77777777" w:rsidR="00086082" w:rsidRPr="00495A7B" w:rsidRDefault="00086082" w:rsidP="00174984">
            <w:pPr>
              <w:pStyle w:val="TTTableText"/>
              <w:rPr>
                <w:rFonts w:asciiTheme="minorHAnsi" w:hAnsiTheme="minorHAnsi" w:cstheme="minorHAnsi"/>
                <w:i/>
                <w:iCs/>
              </w:rPr>
            </w:pPr>
            <w:r w:rsidRPr="00495A7B">
              <w:rPr>
                <w:rFonts w:asciiTheme="minorHAnsi" w:hAnsiTheme="minorHAnsi" w:cstheme="minorHAnsi"/>
                <w:i/>
                <w:iCs/>
              </w:rPr>
              <w:t>EC – Chicken Cuts</w:t>
            </w:r>
          </w:p>
        </w:tc>
        <w:tc>
          <w:tcPr>
            <w:tcW w:w="7208" w:type="dxa"/>
            <w:shd w:val="clear" w:color="auto" w:fill="auto"/>
          </w:tcPr>
          <w:p w14:paraId="15573C3F" w14:textId="77777777" w:rsidR="00086082" w:rsidRPr="00495A7B" w:rsidRDefault="00086082" w:rsidP="00174984">
            <w:pPr>
              <w:pStyle w:val="TTTableText"/>
              <w:rPr>
                <w:rFonts w:asciiTheme="minorHAnsi" w:hAnsiTheme="minorHAnsi" w:cstheme="minorHAnsi"/>
              </w:rPr>
            </w:pPr>
            <w:r w:rsidRPr="00495A7B">
              <w:rPr>
                <w:rFonts w:asciiTheme="minorHAnsi" w:hAnsiTheme="minorHAnsi" w:cstheme="minorHAnsi"/>
              </w:rPr>
              <w:t xml:space="preserve">Appellate Body Report, </w:t>
            </w:r>
            <w:r w:rsidRPr="00495A7B">
              <w:rPr>
                <w:rFonts w:asciiTheme="minorHAnsi" w:hAnsiTheme="minorHAnsi" w:cstheme="minorHAnsi"/>
                <w:i/>
                <w:iCs/>
              </w:rPr>
              <w:t>European Communities – Customs Classification of Frozen Boneless Chicken Cuts</w:t>
            </w:r>
            <w:r w:rsidRPr="00495A7B">
              <w:rPr>
                <w:rFonts w:asciiTheme="minorHAnsi" w:hAnsiTheme="minorHAnsi" w:cstheme="minorHAnsi"/>
              </w:rPr>
              <w:t>, WT/DS269/AB/R, WT/DS286/AB/R, adopted 27 September 2005, and Corr.1, DSR 2005:XIX, p. 9157</w:t>
            </w:r>
          </w:p>
        </w:tc>
      </w:tr>
      <w:tr w:rsidR="00086082" w:rsidRPr="006A1F80" w14:paraId="6B10BC45" w14:textId="77777777" w:rsidTr="00174984">
        <w:trPr>
          <w:cantSplit/>
          <w:trHeight w:val="397"/>
        </w:trPr>
        <w:tc>
          <w:tcPr>
            <w:tcW w:w="1852" w:type="dxa"/>
            <w:shd w:val="clear" w:color="auto" w:fill="auto"/>
          </w:tcPr>
          <w:p w14:paraId="26E3817F" w14:textId="77777777" w:rsidR="00086082" w:rsidRPr="00495A7B" w:rsidRDefault="00086082" w:rsidP="00174984">
            <w:pPr>
              <w:pStyle w:val="TTTableText"/>
              <w:rPr>
                <w:rFonts w:asciiTheme="minorHAnsi" w:hAnsiTheme="minorHAnsi" w:cstheme="minorHAnsi"/>
                <w:i/>
                <w:iCs/>
              </w:rPr>
            </w:pPr>
            <w:r w:rsidRPr="008607A5">
              <w:rPr>
                <w:rFonts w:asciiTheme="minorHAnsi" w:hAnsiTheme="minorHAnsi" w:cstheme="minorHAnsi"/>
                <w:i/>
                <w:iCs/>
              </w:rPr>
              <w:t>EC – Tariff Preferences</w:t>
            </w:r>
          </w:p>
        </w:tc>
        <w:tc>
          <w:tcPr>
            <w:tcW w:w="7208" w:type="dxa"/>
            <w:shd w:val="clear" w:color="auto" w:fill="auto"/>
          </w:tcPr>
          <w:p w14:paraId="00EBA475" w14:textId="77777777" w:rsidR="00086082" w:rsidRPr="00495A7B" w:rsidRDefault="00086082" w:rsidP="00174984">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European Communities – Conditions for the Granting of Tariff Preferences to Developing Countries</w:t>
            </w:r>
            <w:r w:rsidRPr="008607A5">
              <w:rPr>
                <w:rFonts w:asciiTheme="minorHAnsi" w:hAnsiTheme="minorHAnsi" w:cstheme="minorHAnsi"/>
              </w:rPr>
              <w:t>, WT/DS246/AB/R, adopted 20 April 2004, DSR 2004:III, p. 925</w:t>
            </w:r>
          </w:p>
        </w:tc>
      </w:tr>
      <w:tr w:rsidR="00086082" w:rsidRPr="006A1F80" w14:paraId="5E358A34" w14:textId="77777777" w:rsidTr="00174984">
        <w:trPr>
          <w:cantSplit/>
          <w:trHeight w:val="397"/>
        </w:trPr>
        <w:tc>
          <w:tcPr>
            <w:tcW w:w="1852" w:type="dxa"/>
            <w:shd w:val="clear" w:color="auto" w:fill="auto"/>
          </w:tcPr>
          <w:p w14:paraId="7C13A3DE" w14:textId="77777777" w:rsidR="00086082" w:rsidRPr="00495A7B" w:rsidRDefault="00086082" w:rsidP="00174984">
            <w:pPr>
              <w:pStyle w:val="TTTableText"/>
              <w:rPr>
                <w:rFonts w:asciiTheme="minorHAnsi" w:hAnsiTheme="minorHAnsi" w:cstheme="minorHAnsi"/>
                <w:i/>
                <w:iCs/>
              </w:rPr>
            </w:pPr>
            <w:r w:rsidRPr="006752E1">
              <w:rPr>
                <w:rFonts w:asciiTheme="minorHAnsi" w:hAnsiTheme="minorHAnsi" w:cstheme="minorHAnsi"/>
                <w:i/>
                <w:iCs/>
              </w:rPr>
              <w:t>Egypt – Steel Rebar</w:t>
            </w:r>
          </w:p>
        </w:tc>
        <w:tc>
          <w:tcPr>
            <w:tcW w:w="7208" w:type="dxa"/>
            <w:shd w:val="clear" w:color="auto" w:fill="auto"/>
          </w:tcPr>
          <w:p w14:paraId="18826A52" w14:textId="77777777" w:rsidR="00086082" w:rsidRPr="00495A7B" w:rsidRDefault="00086082" w:rsidP="00174984">
            <w:pPr>
              <w:pStyle w:val="TTTableText"/>
              <w:rPr>
                <w:rFonts w:asciiTheme="minorHAnsi" w:hAnsiTheme="minorHAnsi" w:cstheme="minorHAnsi"/>
              </w:rPr>
            </w:pPr>
            <w:r w:rsidRPr="006752E1">
              <w:rPr>
                <w:rFonts w:asciiTheme="minorHAnsi" w:hAnsiTheme="minorHAnsi" w:cstheme="minorHAnsi"/>
              </w:rPr>
              <w:t xml:space="preserve">Panel Report, </w:t>
            </w:r>
            <w:r w:rsidRPr="006752E1">
              <w:rPr>
                <w:rFonts w:asciiTheme="minorHAnsi" w:hAnsiTheme="minorHAnsi" w:cstheme="minorHAnsi"/>
                <w:i/>
                <w:iCs/>
              </w:rPr>
              <w:t>Egypt – Definitive Anti-Dumping Measures on Steel Rebar from Turkey</w:t>
            </w:r>
            <w:r w:rsidRPr="006752E1">
              <w:rPr>
                <w:rFonts w:asciiTheme="minorHAnsi" w:hAnsiTheme="minorHAnsi" w:cstheme="minorHAnsi"/>
              </w:rPr>
              <w:t>, WT/DS211/R, adopted 1 October 2002, DSR 2002:VII, p. 2667</w:t>
            </w:r>
          </w:p>
        </w:tc>
      </w:tr>
      <w:tr w:rsidR="00086082" w:rsidRPr="006A1F80" w14:paraId="6F379588" w14:textId="77777777" w:rsidTr="00174984">
        <w:trPr>
          <w:cantSplit/>
          <w:trHeight w:val="397"/>
        </w:trPr>
        <w:tc>
          <w:tcPr>
            <w:tcW w:w="1852" w:type="dxa"/>
            <w:shd w:val="clear" w:color="auto" w:fill="auto"/>
          </w:tcPr>
          <w:p w14:paraId="4703D27E" w14:textId="77777777" w:rsidR="00086082" w:rsidRPr="00495A7B" w:rsidRDefault="00086082" w:rsidP="00174984">
            <w:pPr>
              <w:pStyle w:val="TTTableText"/>
              <w:rPr>
                <w:rFonts w:asciiTheme="minorHAnsi" w:hAnsiTheme="minorHAnsi" w:cstheme="minorHAnsi"/>
                <w:i/>
                <w:iCs/>
              </w:rPr>
            </w:pPr>
            <w:r w:rsidRPr="00495A7B">
              <w:rPr>
                <w:rFonts w:asciiTheme="minorHAnsi" w:hAnsiTheme="minorHAnsi" w:cstheme="minorHAnsi"/>
                <w:i/>
                <w:iCs/>
              </w:rPr>
              <w:t>EU – Biodiesel (Argentina)</w:t>
            </w:r>
          </w:p>
        </w:tc>
        <w:tc>
          <w:tcPr>
            <w:tcW w:w="7208" w:type="dxa"/>
            <w:shd w:val="clear" w:color="auto" w:fill="auto"/>
          </w:tcPr>
          <w:p w14:paraId="78AF114C" w14:textId="77777777" w:rsidR="00086082" w:rsidRPr="00495A7B" w:rsidRDefault="00086082" w:rsidP="00174984">
            <w:pPr>
              <w:pStyle w:val="TTTableText"/>
              <w:rPr>
                <w:rFonts w:asciiTheme="minorHAnsi" w:hAnsiTheme="minorHAnsi" w:cstheme="minorHAnsi"/>
              </w:rPr>
            </w:pPr>
            <w:r w:rsidRPr="00495A7B">
              <w:rPr>
                <w:rFonts w:asciiTheme="minorHAnsi" w:hAnsiTheme="minorHAnsi" w:cstheme="minorHAnsi"/>
              </w:rPr>
              <w:t xml:space="preserve">Appellate Body Report, </w:t>
            </w:r>
            <w:r w:rsidRPr="00495A7B">
              <w:rPr>
                <w:rFonts w:asciiTheme="minorHAnsi" w:hAnsiTheme="minorHAnsi" w:cstheme="minorHAnsi"/>
                <w:i/>
                <w:iCs/>
              </w:rPr>
              <w:t>European Union – Anti-Dumping Measures on Biodiesel from Argentina</w:t>
            </w:r>
            <w:r w:rsidRPr="00495A7B">
              <w:rPr>
                <w:rFonts w:asciiTheme="minorHAnsi" w:hAnsiTheme="minorHAnsi" w:cstheme="minorHAnsi"/>
              </w:rPr>
              <w:t>, WT/DS473/AB/R and Add.1, adopted 26 October 2016, DSR 2016:VI, p. 2871</w:t>
            </w:r>
          </w:p>
        </w:tc>
      </w:tr>
      <w:tr w:rsidR="00086082" w:rsidRPr="006A1F80" w14:paraId="332D0017" w14:textId="77777777" w:rsidTr="00174984">
        <w:trPr>
          <w:cantSplit/>
          <w:trHeight w:val="397"/>
        </w:trPr>
        <w:tc>
          <w:tcPr>
            <w:tcW w:w="1852" w:type="dxa"/>
            <w:shd w:val="clear" w:color="auto" w:fill="auto"/>
          </w:tcPr>
          <w:p w14:paraId="4270653D" w14:textId="77777777" w:rsidR="00086082" w:rsidRPr="00495A7B" w:rsidRDefault="00086082" w:rsidP="00174984">
            <w:pPr>
              <w:pStyle w:val="TTTableText"/>
              <w:rPr>
                <w:rFonts w:asciiTheme="minorHAnsi" w:hAnsiTheme="minorHAnsi" w:cstheme="minorHAnsi"/>
                <w:i/>
                <w:iCs/>
              </w:rPr>
            </w:pPr>
            <w:r w:rsidRPr="00495A7B">
              <w:rPr>
                <w:rFonts w:asciiTheme="minorHAnsi" w:hAnsiTheme="minorHAnsi" w:cstheme="minorHAnsi"/>
                <w:i/>
              </w:rPr>
              <w:t>EU – Biodiesel (Argentina)</w:t>
            </w:r>
          </w:p>
        </w:tc>
        <w:tc>
          <w:tcPr>
            <w:tcW w:w="7208" w:type="dxa"/>
            <w:shd w:val="clear" w:color="auto" w:fill="auto"/>
          </w:tcPr>
          <w:p w14:paraId="6CE89F1D" w14:textId="77777777" w:rsidR="00086082" w:rsidRPr="00495A7B" w:rsidRDefault="00086082" w:rsidP="00174984">
            <w:pPr>
              <w:pStyle w:val="TTTableText"/>
              <w:rPr>
                <w:rFonts w:asciiTheme="minorHAnsi" w:hAnsiTheme="minorHAnsi" w:cstheme="minorHAnsi"/>
              </w:rPr>
            </w:pPr>
            <w:r w:rsidRPr="00495A7B">
              <w:rPr>
                <w:rFonts w:asciiTheme="minorHAnsi" w:hAnsiTheme="minorHAnsi" w:cstheme="minorHAnsi"/>
              </w:rPr>
              <w:t xml:space="preserve">Panel Report, </w:t>
            </w:r>
            <w:r w:rsidRPr="00495A7B">
              <w:rPr>
                <w:rFonts w:asciiTheme="minorHAnsi" w:hAnsiTheme="minorHAnsi" w:cstheme="minorHAnsi"/>
                <w:i/>
              </w:rPr>
              <w:t>European Union – Anti-Dumping Measures on Biodiesel from Argentina</w:t>
            </w:r>
            <w:r w:rsidRPr="00495A7B">
              <w:rPr>
                <w:rFonts w:asciiTheme="minorHAnsi" w:hAnsiTheme="minorHAnsi" w:cstheme="minorHAnsi"/>
              </w:rPr>
              <w:t xml:space="preserve">, WT/DS473/R </w:t>
            </w:r>
            <w:r w:rsidRPr="00495A7B">
              <w:rPr>
                <w:rFonts w:asciiTheme="minorHAnsi" w:hAnsiTheme="minorHAnsi" w:cstheme="minorHAnsi"/>
                <w:spacing w:val="-2"/>
              </w:rPr>
              <w:t xml:space="preserve">and Add.1, </w:t>
            </w:r>
            <w:r w:rsidRPr="00495A7B">
              <w:rPr>
                <w:rFonts w:asciiTheme="minorHAnsi" w:hAnsiTheme="minorHAnsi" w:cstheme="minorHAnsi"/>
              </w:rPr>
              <w:t>adopted 26 October 2016, as modified by Appellate Body Report WT/DS473/AB/R, DSR 2016:VI, p. 3077</w:t>
            </w:r>
          </w:p>
        </w:tc>
      </w:tr>
      <w:tr w:rsidR="00086082" w:rsidRPr="006A1F80" w14:paraId="680EA740" w14:textId="77777777" w:rsidTr="00174984">
        <w:trPr>
          <w:cantSplit/>
          <w:trHeight w:val="397"/>
        </w:trPr>
        <w:tc>
          <w:tcPr>
            <w:tcW w:w="1852" w:type="dxa"/>
            <w:shd w:val="clear" w:color="auto" w:fill="auto"/>
          </w:tcPr>
          <w:p w14:paraId="60694334" w14:textId="77777777" w:rsidR="00086082" w:rsidRPr="00495A7B" w:rsidRDefault="00086082" w:rsidP="00174984">
            <w:pPr>
              <w:pStyle w:val="TTTableText"/>
              <w:rPr>
                <w:rFonts w:asciiTheme="minorHAnsi" w:hAnsiTheme="minorHAnsi" w:cstheme="minorHAnsi"/>
                <w:i/>
              </w:rPr>
            </w:pPr>
            <w:r w:rsidRPr="00495A7B">
              <w:rPr>
                <w:rFonts w:asciiTheme="minorHAnsi" w:hAnsiTheme="minorHAnsi" w:cstheme="minorHAnsi"/>
                <w:i/>
              </w:rPr>
              <w:t>EU – Biodiesel (Indonesia)</w:t>
            </w:r>
          </w:p>
        </w:tc>
        <w:tc>
          <w:tcPr>
            <w:tcW w:w="7208" w:type="dxa"/>
            <w:shd w:val="clear" w:color="auto" w:fill="auto"/>
          </w:tcPr>
          <w:p w14:paraId="4143FB5B" w14:textId="77777777" w:rsidR="00086082" w:rsidRPr="00495A7B" w:rsidRDefault="00086082" w:rsidP="00174984">
            <w:pPr>
              <w:pStyle w:val="TTTableText"/>
              <w:rPr>
                <w:rFonts w:asciiTheme="minorHAnsi" w:hAnsiTheme="minorHAnsi" w:cstheme="minorHAnsi"/>
              </w:rPr>
            </w:pPr>
            <w:r w:rsidRPr="00495A7B">
              <w:rPr>
                <w:rFonts w:asciiTheme="minorHAnsi" w:hAnsiTheme="minorHAnsi" w:cstheme="minorHAnsi"/>
              </w:rPr>
              <w:t xml:space="preserve">Panel Report, </w:t>
            </w:r>
            <w:r w:rsidRPr="00495A7B">
              <w:rPr>
                <w:rFonts w:asciiTheme="minorHAnsi" w:hAnsiTheme="minorHAnsi" w:cstheme="minorHAnsi"/>
                <w:i/>
              </w:rPr>
              <w:t>European Union – Anti-Dumping Measures on Biodiesel from Indonesia</w:t>
            </w:r>
            <w:r w:rsidRPr="00495A7B">
              <w:rPr>
                <w:rFonts w:asciiTheme="minorHAnsi" w:hAnsiTheme="minorHAnsi" w:cstheme="minorHAnsi"/>
              </w:rPr>
              <w:t>, WT/DS480/R and Add.1, adopted 28 February 2018, DSR 2018:II, p. 605</w:t>
            </w:r>
          </w:p>
        </w:tc>
      </w:tr>
      <w:tr w:rsidR="00086082" w:rsidRPr="006A1F80" w14:paraId="7ED8DA84" w14:textId="77777777" w:rsidTr="00174984">
        <w:trPr>
          <w:cantSplit/>
          <w:trHeight w:val="397"/>
        </w:trPr>
        <w:tc>
          <w:tcPr>
            <w:tcW w:w="1852" w:type="dxa"/>
            <w:shd w:val="clear" w:color="auto" w:fill="auto"/>
          </w:tcPr>
          <w:p w14:paraId="1533303F" w14:textId="77777777" w:rsidR="00086082" w:rsidRPr="00495A7B" w:rsidRDefault="00086082" w:rsidP="00174984">
            <w:pPr>
              <w:pStyle w:val="TTTableText"/>
              <w:rPr>
                <w:rFonts w:asciiTheme="minorHAnsi" w:hAnsiTheme="minorHAnsi" w:cstheme="minorHAnsi"/>
                <w:i/>
              </w:rPr>
            </w:pPr>
            <w:r w:rsidRPr="00495A7B">
              <w:rPr>
                <w:rFonts w:asciiTheme="minorHAnsi" w:hAnsiTheme="minorHAnsi" w:cstheme="minorHAnsi"/>
                <w:i/>
                <w:iCs/>
              </w:rPr>
              <w:t>EU – Footwear (China)</w:t>
            </w:r>
          </w:p>
        </w:tc>
        <w:tc>
          <w:tcPr>
            <w:tcW w:w="7208" w:type="dxa"/>
            <w:shd w:val="clear" w:color="auto" w:fill="auto"/>
          </w:tcPr>
          <w:p w14:paraId="67CEAD3D" w14:textId="77777777" w:rsidR="00086082" w:rsidRPr="00495A7B" w:rsidRDefault="00086082" w:rsidP="00174984">
            <w:pPr>
              <w:pStyle w:val="TTTableText"/>
              <w:rPr>
                <w:rFonts w:asciiTheme="minorHAnsi" w:hAnsiTheme="minorHAnsi" w:cstheme="minorHAnsi"/>
              </w:rPr>
            </w:pPr>
            <w:r w:rsidRPr="00495A7B">
              <w:rPr>
                <w:rFonts w:asciiTheme="minorHAnsi" w:hAnsiTheme="minorHAnsi" w:cstheme="minorHAnsi"/>
              </w:rPr>
              <w:t xml:space="preserve">Panel Report, </w:t>
            </w:r>
            <w:r w:rsidRPr="00495A7B">
              <w:rPr>
                <w:rFonts w:asciiTheme="minorHAnsi" w:hAnsiTheme="minorHAnsi" w:cstheme="minorHAnsi"/>
                <w:i/>
                <w:iCs/>
              </w:rPr>
              <w:t>European Union – Anti-Dumping Measures on Certain Footwear from China</w:t>
            </w:r>
            <w:r w:rsidRPr="00495A7B">
              <w:rPr>
                <w:rFonts w:asciiTheme="minorHAnsi" w:hAnsiTheme="minorHAnsi" w:cstheme="minorHAnsi"/>
              </w:rPr>
              <w:t>, WT/DS405/R, adopted 22 February 2012, DSR 2012:IX, p. 4585</w:t>
            </w:r>
          </w:p>
        </w:tc>
      </w:tr>
      <w:tr w:rsidR="00086082" w:rsidRPr="006A1F80" w14:paraId="08670801" w14:textId="77777777" w:rsidTr="00174984">
        <w:trPr>
          <w:cantSplit/>
          <w:trHeight w:val="397"/>
        </w:trPr>
        <w:tc>
          <w:tcPr>
            <w:tcW w:w="1852" w:type="dxa"/>
            <w:shd w:val="clear" w:color="auto" w:fill="auto"/>
          </w:tcPr>
          <w:p w14:paraId="60440698" w14:textId="77777777" w:rsidR="00086082" w:rsidRPr="00495A7B" w:rsidRDefault="00086082" w:rsidP="00174984">
            <w:pPr>
              <w:pStyle w:val="TTTableText"/>
              <w:rPr>
                <w:rFonts w:asciiTheme="minorHAnsi" w:hAnsiTheme="minorHAnsi" w:cstheme="minorHAnsi"/>
                <w:i/>
                <w:iCs/>
              </w:rPr>
            </w:pPr>
            <w:r w:rsidRPr="00495A7B">
              <w:rPr>
                <w:rFonts w:asciiTheme="minorHAnsi" w:hAnsiTheme="minorHAnsi" w:cstheme="minorHAnsi"/>
                <w:i/>
                <w:iCs/>
              </w:rPr>
              <w:lastRenderedPageBreak/>
              <w:t>Korea – Dairy</w:t>
            </w:r>
          </w:p>
        </w:tc>
        <w:tc>
          <w:tcPr>
            <w:tcW w:w="7208" w:type="dxa"/>
            <w:shd w:val="clear" w:color="auto" w:fill="auto"/>
          </w:tcPr>
          <w:p w14:paraId="2CBDCCD0" w14:textId="77777777" w:rsidR="00086082" w:rsidRPr="00495A7B" w:rsidRDefault="00086082" w:rsidP="00174984">
            <w:pPr>
              <w:pStyle w:val="TTTableText"/>
              <w:rPr>
                <w:rFonts w:asciiTheme="minorHAnsi" w:hAnsiTheme="minorHAnsi" w:cstheme="minorHAnsi"/>
              </w:rPr>
            </w:pPr>
            <w:r w:rsidRPr="00495A7B">
              <w:rPr>
                <w:rFonts w:asciiTheme="minorHAnsi" w:hAnsiTheme="minorHAnsi" w:cstheme="minorHAnsi"/>
              </w:rPr>
              <w:t xml:space="preserve">Appellate Body Report, </w:t>
            </w:r>
            <w:r w:rsidRPr="00495A7B">
              <w:rPr>
                <w:rFonts w:asciiTheme="minorHAnsi" w:hAnsiTheme="minorHAnsi" w:cstheme="minorHAnsi"/>
                <w:i/>
                <w:iCs/>
              </w:rPr>
              <w:t>Korea – Definitive Safeguard Measure on Imports of Certain Dairy Products</w:t>
            </w:r>
            <w:r w:rsidRPr="00495A7B">
              <w:rPr>
                <w:rFonts w:asciiTheme="minorHAnsi" w:hAnsiTheme="minorHAnsi" w:cstheme="minorHAnsi"/>
              </w:rPr>
              <w:t>, WT/DS98/AB/R, adopted 12 January 2000, DSR 2000:I, p. 3</w:t>
            </w:r>
          </w:p>
        </w:tc>
      </w:tr>
      <w:tr w:rsidR="00086082" w:rsidRPr="006A1F80" w14:paraId="10202607" w14:textId="77777777" w:rsidTr="00174984">
        <w:trPr>
          <w:cantSplit/>
          <w:trHeight w:val="397"/>
        </w:trPr>
        <w:tc>
          <w:tcPr>
            <w:tcW w:w="1852" w:type="dxa"/>
            <w:shd w:val="clear" w:color="auto" w:fill="auto"/>
          </w:tcPr>
          <w:p w14:paraId="73AAC9EE" w14:textId="77777777" w:rsidR="00086082" w:rsidRPr="00495A7B" w:rsidRDefault="00086082" w:rsidP="00174984">
            <w:pPr>
              <w:pStyle w:val="TTTableText"/>
              <w:rPr>
                <w:rFonts w:asciiTheme="minorHAnsi" w:hAnsiTheme="minorHAnsi" w:cstheme="minorHAnsi"/>
                <w:i/>
                <w:iCs/>
              </w:rPr>
            </w:pPr>
            <w:r w:rsidRPr="008607A5">
              <w:rPr>
                <w:rFonts w:asciiTheme="minorHAnsi" w:hAnsiTheme="minorHAnsi" w:cstheme="minorHAnsi"/>
                <w:i/>
                <w:iCs/>
              </w:rPr>
              <w:t>Pakistan – BOPP Film (UAE)</w:t>
            </w:r>
          </w:p>
        </w:tc>
        <w:tc>
          <w:tcPr>
            <w:tcW w:w="7208" w:type="dxa"/>
            <w:shd w:val="clear" w:color="auto" w:fill="auto"/>
          </w:tcPr>
          <w:p w14:paraId="7A1198CF" w14:textId="77777777" w:rsidR="00086082" w:rsidRPr="00495A7B" w:rsidRDefault="00086082" w:rsidP="00174984">
            <w:pPr>
              <w:pStyle w:val="TTTableText"/>
              <w:rPr>
                <w:rFonts w:asciiTheme="minorHAnsi" w:hAnsiTheme="minorHAnsi" w:cstheme="minorHAnsi"/>
              </w:rPr>
            </w:pPr>
            <w:r w:rsidRPr="008607A5">
              <w:rPr>
                <w:rFonts w:asciiTheme="minorHAnsi" w:hAnsiTheme="minorHAnsi" w:cstheme="minorHAnsi"/>
              </w:rPr>
              <w:t xml:space="preserve">Panel Report, </w:t>
            </w:r>
            <w:r w:rsidRPr="008607A5">
              <w:rPr>
                <w:rFonts w:asciiTheme="minorHAnsi" w:hAnsiTheme="minorHAnsi" w:cstheme="minorHAnsi"/>
                <w:i/>
                <w:iCs/>
              </w:rPr>
              <w:t>Pakistan – Anti-Dumping Measures on Biaxially Oriented Polypropylene Film from the United Arab Emirates</w:t>
            </w:r>
            <w:r w:rsidRPr="008607A5">
              <w:rPr>
                <w:rFonts w:asciiTheme="minorHAnsi" w:hAnsiTheme="minorHAnsi" w:cstheme="minorHAnsi"/>
              </w:rPr>
              <w:t>, WT/DS538/R and Add.1, circulated to WTO Members 18 January 2021, appealed on 22 February 2021</w:t>
            </w:r>
          </w:p>
        </w:tc>
      </w:tr>
      <w:tr w:rsidR="00086082" w:rsidRPr="006A1F80" w14:paraId="2FF0913E" w14:textId="77777777" w:rsidTr="00174984">
        <w:trPr>
          <w:cantSplit/>
          <w:trHeight w:val="397"/>
        </w:trPr>
        <w:tc>
          <w:tcPr>
            <w:tcW w:w="1852" w:type="dxa"/>
            <w:shd w:val="clear" w:color="auto" w:fill="auto"/>
          </w:tcPr>
          <w:p w14:paraId="3C5F9284" w14:textId="77777777" w:rsidR="00086082" w:rsidRPr="008607A5" w:rsidRDefault="00086082" w:rsidP="00174984">
            <w:pPr>
              <w:pStyle w:val="TTTableText"/>
              <w:rPr>
                <w:rFonts w:asciiTheme="minorHAnsi" w:hAnsiTheme="minorHAnsi" w:cstheme="minorHAnsi"/>
                <w:i/>
                <w:iCs/>
              </w:rPr>
            </w:pPr>
            <w:r w:rsidRPr="00A838C5">
              <w:rPr>
                <w:i/>
                <w:iCs/>
                <w:lang w:val="en-US"/>
              </w:rPr>
              <w:t>Russia – Railway Equipment</w:t>
            </w:r>
          </w:p>
        </w:tc>
        <w:tc>
          <w:tcPr>
            <w:tcW w:w="7208" w:type="dxa"/>
            <w:shd w:val="clear" w:color="auto" w:fill="auto"/>
          </w:tcPr>
          <w:p w14:paraId="39849FBB" w14:textId="77777777" w:rsidR="00086082" w:rsidRPr="008607A5" w:rsidRDefault="00086082" w:rsidP="00174984">
            <w:pPr>
              <w:pStyle w:val="TTTableText"/>
              <w:rPr>
                <w:rFonts w:asciiTheme="minorHAnsi" w:hAnsiTheme="minorHAnsi" w:cstheme="minorHAnsi"/>
              </w:rPr>
            </w:pPr>
            <w:r w:rsidRPr="00A838C5">
              <w:rPr>
                <w:rFonts w:asciiTheme="minorHAnsi" w:hAnsiTheme="minorHAnsi" w:cstheme="minorHAnsi"/>
              </w:rPr>
              <w:t xml:space="preserve">Appellate Body Report, </w:t>
            </w:r>
            <w:r w:rsidRPr="00A838C5">
              <w:rPr>
                <w:rFonts w:asciiTheme="minorHAnsi" w:hAnsiTheme="minorHAnsi" w:cstheme="minorHAnsi"/>
                <w:i/>
                <w:iCs/>
              </w:rPr>
              <w:t>Russia – Measures Affecting the Importation of Railway Equipment and Parts Thereof</w:t>
            </w:r>
            <w:r w:rsidRPr="00A838C5">
              <w:rPr>
                <w:rFonts w:asciiTheme="minorHAnsi" w:hAnsiTheme="minorHAnsi" w:cstheme="minorHAnsi"/>
              </w:rPr>
              <w:t>, WT/DS499/AB/R and Add.1, adopted 5 March 2020</w:t>
            </w:r>
          </w:p>
        </w:tc>
      </w:tr>
      <w:tr w:rsidR="00086082" w:rsidRPr="006A1F80" w14:paraId="327BCA05" w14:textId="77777777" w:rsidTr="00174984">
        <w:trPr>
          <w:cantSplit/>
          <w:trHeight w:val="397"/>
        </w:trPr>
        <w:tc>
          <w:tcPr>
            <w:tcW w:w="1852" w:type="dxa"/>
            <w:shd w:val="clear" w:color="auto" w:fill="auto"/>
          </w:tcPr>
          <w:p w14:paraId="3B00B5DD" w14:textId="77777777" w:rsidR="00086082" w:rsidRPr="00A838C5" w:rsidRDefault="00086082" w:rsidP="00174984">
            <w:pPr>
              <w:pStyle w:val="TTTableText"/>
              <w:rPr>
                <w:i/>
                <w:iCs/>
                <w:lang w:val="en-US"/>
              </w:rPr>
            </w:pPr>
            <w:r w:rsidRPr="008607A5">
              <w:rPr>
                <w:rFonts w:asciiTheme="minorHAnsi" w:hAnsiTheme="minorHAnsi" w:cstheme="minorHAnsi"/>
                <w:i/>
                <w:iCs/>
              </w:rPr>
              <w:t>US – Carbon Steel</w:t>
            </w:r>
          </w:p>
        </w:tc>
        <w:tc>
          <w:tcPr>
            <w:tcW w:w="7208" w:type="dxa"/>
            <w:shd w:val="clear" w:color="auto" w:fill="auto"/>
          </w:tcPr>
          <w:p w14:paraId="254DBDEC" w14:textId="77777777" w:rsidR="00086082" w:rsidRPr="00A838C5" w:rsidRDefault="00086082" w:rsidP="00174984">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United States – Countervailing Duties on Certain Corrosion-Resistant Carbon Steel Flat Products from Germany,</w:t>
            </w:r>
            <w:r w:rsidRPr="008607A5">
              <w:rPr>
                <w:rFonts w:asciiTheme="minorHAnsi" w:hAnsiTheme="minorHAnsi" w:cstheme="minorHAnsi"/>
              </w:rPr>
              <w:t xml:space="preserve"> WT/DS213/AB/R and Corr.1, adopted 19 December 2002, DSR 2002:IX, p. 3779</w:t>
            </w:r>
          </w:p>
        </w:tc>
      </w:tr>
      <w:tr w:rsidR="00997BE3" w:rsidRPr="006A1F80" w14:paraId="53740756" w14:textId="77777777" w:rsidTr="00174984">
        <w:trPr>
          <w:cantSplit/>
          <w:trHeight w:val="397"/>
        </w:trPr>
        <w:tc>
          <w:tcPr>
            <w:tcW w:w="1852" w:type="dxa"/>
            <w:shd w:val="clear" w:color="auto" w:fill="auto"/>
          </w:tcPr>
          <w:p w14:paraId="0B87E2DF" w14:textId="79F1EA6B" w:rsidR="00997BE3" w:rsidRPr="00997BE3" w:rsidRDefault="00997BE3" w:rsidP="00174984">
            <w:pPr>
              <w:pStyle w:val="TTTableText"/>
              <w:rPr>
                <w:rFonts w:asciiTheme="minorHAnsi" w:hAnsiTheme="minorHAnsi" w:cstheme="minorHAnsi"/>
                <w:i/>
                <w:iCs/>
              </w:rPr>
            </w:pPr>
            <w:r w:rsidRPr="00997BE3">
              <w:rPr>
                <w:i/>
                <w:color w:val="000000"/>
              </w:rPr>
              <w:t>US – Carbon Steel (India)</w:t>
            </w:r>
          </w:p>
        </w:tc>
        <w:tc>
          <w:tcPr>
            <w:tcW w:w="7208" w:type="dxa"/>
            <w:shd w:val="clear" w:color="auto" w:fill="auto"/>
          </w:tcPr>
          <w:p w14:paraId="771749B8" w14:textId="2E4FA73F" w:rsidR="00997BE3" w:rsidRPr="00997BE3" w:rsidRDefault="00997BE3" w:rsidP="00174984">
            <w:pPr>
              <w:pStyle w:val="TTTableText"/>
              <w:rPr>
                <w:rFonts w:asciiTheme="minorHAnsi" w:hAnsiTheme="minorHAnsi" w:cstheme="minorHAnsi"/>
              </w:rPr>
            </w:pPr>
            <w:r w:rsidRPr="00997BE3">
              <w:rPr>
                <w:color w:val="000000"/>
              </w:rPr>
              <w:t xml:space="preserve">Appellate Body Report, </w:t>
            </w:r>
            <w:r w:rsidRPr="00997BE3">
              <w:rPr>
                <w:i/>
                <w:color w:val="000000"/>
              </w:rPr>
              <w:t>United States – Countervailing Measures on Certain Hot-Rolled Carbon Steel Flat Products from India</w:t>
            </w:r>
            <w:r w:rsidRPr="00997BE3">
              <w:rPr>
                <w:color w:val="000000"/>
              </w:rPr>
              <w:t xml:space="preserve">, </w:t>
            </w:r>
            <w:r w:rsidRPr="00997BE3">
              <w:t>WT/DS436/AB/R</w:t>
            </w:r>
            <w:r w:rsidRPr="00997BE3">
              <w:rPr>
                <w:color w:val="000000"/>
              </w:rPr>
              <w:t>, adopted 19 December 2014, DSR 2014:V, p. 1727</w:t>
            </w:r>
          </w:p>
        </w:tc>
      </w:tr>
      <w:tr w:rsidR="00086082" w:rsidRPr="006A1F80" w14:paraId="367A2970" w14:textId="77777777" w:rsidTr="00174984">
        <w:trPr>
          <w:cantSplit/>
          <w:trHeight w:val="397"/>
        </w:trPr>
        <w:tc>
          <w:tcPr>
            <w:tcW w:w="1852" w:type="dxa"/>
            <w:shd w:val="clear" w:color="auto" w:fill="auto"/>
          </w:tcPr>
          <w:p w14:paraId="52020000" w14:textId="77777777" w:rsidR="00086082" w:rsidRPr="00495A7B" w:rsidRDefault="00086082" w:rsidP="00174984">
            <w:pPr>
              <w:pStyle w:val="TTTableText"/>
              <w:rPr>
                <w:rFonts w:asciiTheme="minorHAnsi" w:hAnsiTheme="minorHAnsi" w:cstheme="minorHAnsi"/>
                <w:i/>
                <w:iCs/>
              </w:rPr>
            </w:pPr>
            <w:r w:rsidRPr="00495A7B">
              <w:rPr>
                <w:rFonts w:asciiTheme="minorHAnsi" w:hAnsiTheme="minorHAnsi" w:cstheme="minorHAnsi"/>
                <w:i/>
              </w:rPr>
              <w:t>US – Clove Cigarettes</w:t>
            </w:r>
          </w:p>
        </w:tc>
        <w:tc>
          <w:tcPr>
            <w:tcW w:w="7208" w:type="dxa"/>
            <w:shd w:val="clear" w:color="auto" w:fill="auto"/>
          </w:tcPr>
          <w:p w14:paraId="31C6E634" w14:textId="77777777" w:rsidR="00086082" w:rsidRPr="00495A7B" w:rsidRDefault="00086082" w:rsidP="00174984">
            <w:pPr>
              <w:pStyle w:val="TTTableText"/>
              <w:rPr>
                <w:rFonts w:asciiTheme="minorHAnsi" w:hAnsiTheme="minorHAnsi" w:cstheme="minorHAnsi"/>
              </w:rPr>
            </w:pPr>
            <w:r w:rsidRPr="00495A7B">
              <w:rPr>
                <w:rFonts w:asciiTheme="minorHAnsi" w:hAnsiTheme="minorHAnsi" w:cstheme="minorHAnsi"/>
              </w:rPr>
              <w:t xml:space="preserve">Appellate Body Report, </w:t>
            </w:r>
            <w:r w:rsidRPr="00495A7B">
              <w:rPr>
                <w:rFonts w:asciiTheme="minorHAnsi" w:hAnsiTheme="minorHAnsi" w:cstheme="minorHAnsi"/>
                <w:i/>
              </w:rPr>
              <w:t>United States – Measures Affecting the Production and Sale of Clove Cigarettes</w:t>
            </w:r>
            <w:r w:rsidRPr="00495A7B">
              <w:rPr>
                <w:rFonts w:asciiTheme="minorHAnsi" w:hAnsiTheme="minorHAnsi" w:cstheme="minorHAnsi"/>
              </w:rPr>
              <w:t>, WT/DS406/AB/R, adopted 24 April 2012, DSR 2012:XI, p. 5751</w:t>
            </w:r>
          </w:p>
        </w:tc>
      </w:tr>
      <w:tr w:rsidR="00086082" w:rsidRPr="006A1F80" w14:paraId="595C781C" w14:textId="77777777" w:rsidTr="00174984">
        <w:trPr>
          <w:cantSplit/>
          <w:trHeight w:val="397"/>
        </w:trPr>
        <w:tc>
          <w:tcPr>
            <w:tcW w:w="1852" w:type="dxa"/>
            <w:shd w:val="clear" w:color="auto" w:fill="auto"/>
          </w:tcPr>
          <w:p w14:paraId="079491A5" w14:textId="77777777" w:rsidR="00086082" w:rsidRPr="00EF5EAA" w:rsidRDefault="00086082" w:rsidP="00174984">
            <w:pPr>
              <w:pStyle w:val="TTTableText"/>
              <w:rPr>
                <w:rFonts w:asciiTheme="minorHAnsi" w:hAnsiTheme="minorHAnsi" w:cstheme="minorHAnsi"/>
                <w:i/>
                <w:iCs/>
              </w:rPr>
            </w:pPr>
            <w:r w:rsidRPr="00EF5EAA">
              <w:rPr>
                <w:rFonts w:asciiTheme="minorHAnsi" w:hAnsiTheme="minorHAnsi" w:cstheme="minorHAnsi"/>
                <w:i/>
                <w:iCs/>
              </w:rPr>
              <w:t>US – Cotton Yarn</w:t>
            </w:r>
          </w:p>
        </w:tc>
        <w:tc>
          <w:tcPr>
            <w:tcW w:w="7208" w:type="dxa"/>
            <w:shd w:val="clear" w:color="auto" w:fill="auto"/>
          </w:tcPr>
          <w:p w14:paraId="69A42641" w14:textId="77777777" w:rsidR="00086082" w:rsidRPr="00495A7B" w:rsidRDefault="00086082" w:rsidP="00174984">
            <w:pPr>
              <w:pStyle w:val="TTTableText"/>
              <w:rPr>
                <w:rFonts w:asciiTheme="minorHAnsi" w:hAnsiTheme="minorHAnsi" w:cstheme="minorHAnsi"/>
              </w:rPr>
            </w:pPr>
            <w:r w:rsidRPr="00EF5EAA">
              <w:rPr>
                <w:rFonts w:asciiTheme="minorHAnsi" w:hAnsiTheme="minorHAnsi" w:cstheme="minorHAnsi"/>
              </w:rPr>
              <w:t xml:space="preserve">Appellate Body Report, </w:t>
            </w:r>
            <w:r w:rsidRPr="00EF5EAA">
              <w:rPr>
                <w:rFonts w:asciiTheme="minorHAnsi" w:hAnsiTheme="minorHAnsi" w:cstheme="minorHAnsi"/>
                <w:i/>
                <w:iCs/>
              </w:rPr>
              <w:t>United States – Transitional Safeguard Measure on Combed Cotton Yarn from Pakistan</w:t>
            </w:r>
            <w:r w:rsidRPr="00EF5EAA">
              <w:rPr>
                <w:rFonts w:asciiTheme="minorHAnsi" w:hAnsiTheme="minorHAnsi" w:cstheme="minorHAnsi"/>
              </w:rPr>
              <w:t>, WT/DS192/AB/R, adopted 5 November 2001, DSR 2001:XII, p. 6027</w:t>
            </w:r>
          </w:p>
        </w:tc>
      </w:tr>
      <w:tr w:rsidR="00086082" w:rsidRPr="006A1F80" w14:paraId="0813D95C" w14:textId="77777777" w:rsidTr="00174984">
        <w:trPr>
          <w:cantSplit/>
          <w:trHeight w:val="397"/>
        </w:trPr>
        <w:tc>
          <w:tcPr>
            <w:tcW w:w="1852" w:type="dxa"/>
            <w:shd w:val="clear" w:color="auto" w:fill="auto"/>
          </w:tcPr>
          <w:p w14:paraId="4B78A49C" w14:textId="77777777" w:rsidR="00086082" w:rsidRPr="00495A7B" w:rsidRDefault="00086082" w:rsidP="00174984">
            <w:pPr>
              <w:pStyle w:val="TTTableText"/>
              <w:rPr>
                <w:rFonts w:asciiTheme="minorHAnsi" w:hAnsiTheme="minorHAnsi" w:cstheme="minorHAnsi"/>
                <w:i/>
              </w:rPr>
            </w:pPr>
            <w:r w:rsidRPr="008607A5">
              <w:rPr>
                <w:rFonts w:asciiTheme="minorHAnsi" w:hAnsiTheme="minorHAnsi" w:cstheme="minorHAnsi"/>
                <w:i/>
                <w:iCs/>
              </w:rPr>
              <w:t>US – Countervailing Duty Investigation on DRAMS</w:t>
            </w:r>
          </w:p>
        </w:tc>
        <w:tc>
          <w:tcPr>
            <w:tcW w:w="7208" w:type="dxa"/>
            <w:shd w:val="clear" w:color="auto" w:fill="auto"/>
          </w:tcPr>
          <w:p w14:paraId="6E4FD7B9" w14:textId="77777777" w:rsidR="00086082" w:rsidRPr="00495A7B" w:rsidRDefault="00086082" w:rsidP="00174984">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United States – Countervailing Duty Investigation on Dynamic Random Access Memory Semiconductors (DRAMS) from Korea,</w:t>
            </w:r>
            <w:r w:rsidRPr="008607A5">
              <w:rPr>
                <w:rFonts w:asciiTheme="minorHAnsi" w:hAnsiTheme="minorHAnsi" w:cstheme="minorHAnsi"/>
              </w:rPr>
              <w:t xml:space="preserve"> WT/DS296/AB/R, adopted 20 July 2005, DSR </w:t>
            </w:r>
            <w:proofErr w:type="gramStart"/>
            <w:r w:rsidRPr="008607A5">
              <w:rPr>
                <w:rFonts w:asciiTheme="minorHAnsi" w:hAnsiTheme="minorHAnsi" w:cstheme="minorHAnsi"/>
              </w:rPr>
              <w:t>2005:XVI</w:t>
            </w:r>
            <w:proofErr w:type="gramEnd"/>
            <w:r w:rsidRPr="008607A5">
              <w:rPr>
                <w:rFonts w:asciiTheme="minorHAnsi" w:hAnsiTheme="minorHAnsi" w:cstheme="minorHAnsi"/>
              </w:rPr>
              <w:t>, p. 8131</w:t>
            </w:r>
          </w:p>
        </w:tc>
      </w:tr>
      <w:tr w:rsidR="00086082" w:rsidRPr="006A1F80" w14:paraId="430080ED" w14:textId="77777777" w:rsidTr="00174984">
        <w:trPr>
          <w:cantSplit/>
          <w:trHeight w:val="397"/>
        </w:trPr>
        <w:tc>
          <w:tcPr>
            <w:tcW w:w="1852" w:type="dxa"/>
            <w:shd w:val="clear" w:color="auto" w:fill="auto"/>
          </w:tcPr>
          <w:p w14:paraId="7C86495A" w14:textId="77777777" w:rsidR="00086082" w:rsidRPr="00495A7B" w:rsidRDefault="00086082" w:rsidP="00174984">
            <w:pPr>
              <w:pStyle w:val="TTTableText"/>
              <w:rPr>
                <w:rFonts w:asciiTheme="minorHAnsi" w:hAnsiTheme="minorHAnsi" w:cstheme="minorHAnsi"/>
                <w:i/>
              </w:rPr>
            </w:pPr>
            <w:r w:rsidRPr="008607A5">
              <w:rPr>
                <w:rFonts w:asciiTheme="minorHAnsi" w:hAnsiTheme="minorHAnsi" w:cstheme="minorHAnsi"/>
                <w:i/>
                <w:iCs/>
              </w:rPr>
              <w:t>US – Gambling</w:t>
            </w:r>
          </w:p>
        </w:tc>
        <w:tc>
          <w:tcPr>
            <w:tcW w:w="7208" w:type="dxa"/>
            <w:shd w:val="clear" w:color="auto" w:fill="auto"/>
          </w:tcPr>
          <w:p w14:paraId="46B904F8" w14:textId="77777777" w:rsidR="00086082" w:rsidRPr="00495A7B" w:rsidRDefault="00086082" w:rsidP="00174984">
            <w:pPr>
              <w:pStyle w:val="TTTableText"/>
              <w:rPr>
                <w:rFonts w:asciiTheme="minorHAnsi" w:hAnsiTheme="minorHAnsi" w:cstheme="minorHAnsi"/>
              </w:rPr>
            </w:pPr>
            <w:r w:rsidRPr="008607A5">
              <w:rPr>
                <w:rFonts w:asciiTheme="minorHAnsi" w:hAnsiTheme="minorHAnsi" w:cstheme="minorHAnsi"/>
              </w:rPr>
              <w:t xml:space="preserve">Appellate Body Report, </w:t>
            </w:r>
            <w:r w:rsidRPr="008607A5">
              <w:rPr>
                <w:rFonts w:asciiTheme="minorHAnsi" w:hAnsiTheme="minorHAnsi" w:cstheme="minorHAnsi"/>
                <w:i/>
                <w:iCs/>
              </w:rPr>
              <w:t>United States – Measures Affecting the Cross-Border Supply of Gambling and Betting Services,</w:t>
            </w:r>
            <w:r w:rsidRPr="008607A5">
              <w:rPr>
                <w:rFonts w:asciiTheme="minorHAnsi" w:hAnsiTheme="minorHAnsi" w:cstheme="minorHAnsi"/>
              </w:rPr>
              <w:t xml:space="preserve"> WT/DS285/AB/R, adopted 20 April 2005, DSR 2005:XII, p. 5663 (and Corr.1, DSR 2006:XII, p. 5475</w:t>
            </w:r>
          </w:p>
        </w:tc>
      </w:tr>
      <w:tr w:rsidR="00086082" w:rsidRPr="006A1F80" w14:paraId="1CA4E39A" w14:textId="77777777" w:rsidTr="00174984">
        <w:trPr>
          <w:cantSplit/>
          <w:trHeight w:val="397"/>
        </w:trPr>
        <w:tc>
          <w:tcPr>
            <w:tcW w:w="1852" w:type="dxa"/>
            <w:shd w:val="clear" w:color="auto" w:fill="auto"/>
          </w:tcPr>
          <w:p w14:paraId="055ECDFB" w14:textId="77777777" w:rsidR="00086082" w:rsidRPr="00CF45D8" w:rsidRDefault="00086082" w:rsidP="00174984">
            <w:pPr>
              <w:pStyle w:val="TTTableText"/>
              <w:rPr>
                <w:rFonts w:asciiTheme="minorHAnsi" w:hAnsiTheme="minorHAnsi" w:cstheme="minorHAnsi"/>
                <w:i/>
                <w:iCs/>
              </w:rPr>
            </w:pPr>
            <w:r w:rsidRPr="00CF45D8">
              <w:rPr>
                <w:i/>
                <w:color w:val="000000"/>
              </w:rPr>
              <w:t>US – Hot-Rolled Steel</w:t>
            </w:r>
          </w:p>
        </w:tc>
        <w:tc>
          <w:tcPr>
            <w:tcW w:w="7208" w:type="dxa"/>
            <w:shd w:val="clear" w:color="auto" w:fill="auto"/>
          </w:tcPr>
          <w:p w14:paraId="2110CD68" w14:textId="77777777" w:rsidR="00086082" w:rsidRPr="00CF45D8" w:rsidRDefault="00086082" w:rsidP="00174984">
            <w:pPr>
              <w:pStyle w:val="TTTableText"/>
              <w:rPr>
                <w:rFonts w:asciiTheme="minorHAnsi" w:hAnsiTheme="minorHAnsi" w:cstheme="minorHAnsi"/>
              </w:rPr>
            </w:pPr>
            <w:r w:rsidRPr="00CF45D8">
              <w:rPr>
                <w:color w:val="000000"/>
              </w:rPr>
              <w:t xml:space="preserve">Appellate Body Report, </w:t>
            </w:r>
            <w:r w:rsidRPr="00CF45D8">
              <w:rPr>
                <w:i/>
                <w:color w:val="000000"/>
              </w:rPr>
              <w:t>United States – Anti-Dumping Measures on Certain Hot-Rolled Steel Products from Japan</w:t>
            </w:r>
            <w:r w:rsidRPr="00CF45D8">
              <w:rPr>
                <w:color w:val="000000"/>
              </w:rPr>
              <w:t xml:space="preserve">, </w:t>
            </w:r>
            <w:r w:rsidRPr="00CF45D8">
              <w:t>WT/DS184/AB/R</w:t>
            </w:r>
            <w:r w:rsidRPr="00CF45D8">
              <w:rPr>
                <w:color w:val="000000"/>
              </w:rPr>
              <w:t>, adopted 23 August 2001, DSR 2001:X, p. 4697</w:t>
            </w:r>
          </w:p>
        </w:tc>
      </w:tr>
      <w:tr w:rsidR="00086082" w:rsidRPr="006A1F80" w14:paraId="0D360146" w14:textId="77777777" w:rsidTr="00174984">
        <w:trPr>
          <w:cantSplit/>
          <w:trHeight w:val="397"/>
        </w:trPr>
        <w:tc>
          <w:tcPr>
            <w:tcW w:w="1852" w:type="dxa"/>
            <w:shd w:val="clear" w:color="auto" w:fill="auto"/>
          </w:tcPr>
          <w:p w14:paraId="7CBC5618" w14:textId="77777777" w:rsidR="00086082" w:rsidRPr="00EF5EAA" w:rsidRDefault="00086082" w:rsidP="00174984">
            <w:pPr>
              <w:pStyle w:val="TTTableText"/>
              <w:rPr>
                <w:rFonts w:asciiTheme="minorHAnsi" w:hAnsiTheme="minorHAnsi" w:cstheme="minorHAnsi"/>
                <w:i/>
                <w:iCs/>
              </w:rPr>
            </w:pPr>
            <w:r w:rsidRPr="00EF5EAA">
              <w:rPr>
                <w:rFonts w:asciiTheme="minorHAnsi" w:hAnsiTheme="minorHAnsi" w:cstheme="minorHAnsi"/>
                <w:i/>
                <w:iCs/>
              </w:rPr>
              <w:t>US – Lamb</w:t>
            </w:r>
          </w:p>
        </w:tc>
        <w:tc>
          <w:tcPr>
            <w:tcW w:w="7208" w:type="dxa"/>
            <w:shd w:val="clear" w:color="auto" w:fill="auto"/>
          </w:tcPr>
          <w:p w14:paraId="603FDE0A" w14:textId="77777777" w:rsidR="00086082" w:rsidRPr="008607A5" w:rsidRDefault="00086082" w:rsidP="00174984">
            <w:pPr>
              <w:pStyle w:val="TTTableText"/>
              <w:rPr>
                <w:rFonts w:asciiTheme="minorHAnsi" w:hAnsiTheme="minorHAnsi" w:cstheme="minorHAnsi"/>
              </w:rPr>
            </w:pPr>
            <w:r w:rsidRPr="00EF5EAA">
              <w:rPr>
                <w:rFonts w:asciiTheme="minorHAnsi" w:hAnsiTheme="minorHAnsi" w:cstheme="minorHAnsi"/>
              </w:rPr>
              <w:t xml:space="preserve">Appellate Body Report, </w:t>
            </w:r>
            <w:r w:rsidRPr="00EF5EAA">
              <w:rPr>
                <w:rFonts w:asciiTheme="minorHAnsi" w:hAnsiTheme="minorHAnsi" w:cstheme="minorHAnsi"/>
                <w:i/>
                <w:iCs/>
              </w:rPr>
              <w:t>United States – Safeguard Measures on Imports of Fresh, Chilled or Frozen Lamb Meat from New Zealand and Australia</w:t>
            </w:r>
            <w:r w:rsidRPr="00EF5EAA">
              <w:rPr>
                <w:rFonts w:asciiTheme="minorHAnsi" w:hAnsiTheme="minorHAnsi" w:cstheme="minorHAnsi"/>
              </w:rPr>
              <w:t>, WT/DS177/AB/R, WT/DS178/AB/R, adopted 16 May 2001, DSR 2001:IX, p. 4051</w:t>
            </w:r>
          </w:p>
        </w:tc>
      </w:tr>
      <w:tr w:rsidR="00086082" w:rsidRPr="006A1F80" w14:paraId="53B445E7" w14:textId="77777777" w:rsidTr="00174984">
        <w:trPr>
          <w:cantSplit/>
          <w:trHeight w:val="397"/>
        </w:trPr>
        <w:tc>
          <w:tcPr>
            <w:tcW w:w="1852" w:type="dxa"/>
            <w:shd w:val="clear" w:color="auto" w:fill="auto"/>
          </w:tcPr>
          <w:p w14:paraId="6BDB9386" w14:textId="77777777" w:rsidR="00086082" w:rsidRPr="00495A7B" w:rsidRDefault="00086082" w:rsidP="00174984">
            <w:pPr>
              <w:pStyle w:val="TTTableText"/>
              <w:rPr>
                <w:rFonts w:asciiTheme="minorHAnsi" w:hAnsiTheme="minorHAnsi" w:cstheme="minorHAnsi"/>
                <w:i/>
                <w:iCs/>
              </w:rPr>
            </w:pPr>
            <w:r w:rsidRPr="00495A7B">
              <w:rPr>
                <w:rFonts w:asciiTheme="minorHAnsi" w:hAnsiTheme="minorHAnsi" w:cstheme="minorHAnsi"/>
                <w:i/>
              </w:rPr>
              <w:lastRenderedPageBreak/>
              <w:t>US – Softwood Lumber VI</w:t>
            </w:r>
          </w:p>
        </w:tc>
        <w:tc>
          <w:tcPr>
            <w:tcW w:w="7208" w:type="dxa"/>
            <w:shd w:val="clear" w:color="auto" w:fill="auto"/>
          </w:tcPr>
          <w:p w14:paraId="61B76540" w14:textId="77777777" w:rsidR="00086082" w:rsidRPr="00495A7B" w:rsidRDefault="00086082" w:rsidP="00174984">
            <w:pPr>
              <w:pStyle w:val="TTTableText"/>
              <w:rPr>
                <w:rFonts w:asciiTheme="minorHAnsi" w:hAnsiTheme="minorHAnsi" w:cstheme="minorHAnsi"/>
              </w:rPr>
            </w:pPr>
            <w:r w:rsidRPr="00495A7B">
              <w:rPr>
                <w:rFonts w:asciiTheme="minorHAnsi" w:hAnsiTheme="minorHAnsi" w:cstheme="minorHAnsi"/>
              </w:rPr>
              <w:t xml:space="preserve">Panel Report, </w:t>
            </w:r>
            <w:r w:rsidRPr="00495A7B">
              <w:rPr>
                <w:rFonts w:asciiTheme="minorHAnsi" w:hAnsiTheme="minorHAnsi" w:cstheme="minorHAnsi"/>
                <w:i/>
              </w:rPr>
              <w:t>United States – Investigation of the International Trade Commission in Softwood Lumber from Canada</w:t>
            </w:r>
            <w:r w:rsidRPr="00495A7B">
              <w:rPr>
                <w:rFonts w:asciiTheme="minorHAnsi" w:hAnsiTheme="minorHAnsi" w:cstheme="minorHAnsi"/>
              </w:rPr>
              <w:t>, WT/DS277/R, adopted 26 April 2004, DSR 2004:VI, p. 2485</w:t>
            </w:r>
          </w:p>
        </w:tc>
      </w:tr>
      <w:tr w:rsidR="00086082" w:rsidRPr="006A1F80" w14:paraId="08C69EFA" w14:textId="77777777" w:rsidTr="00174984">
        <w:trPr>
          <w:cantSplit/>
          <w:trHeight w:val="397"/>
        </w:trPr>
        <w:tc>
          <w:tcPr>
            <w:tcW w:w="1852" w:type="dxa"/>
            <w:shd w:val="clear" w:color="auto" w:fill="auto"/>
          </w:tcPr>
          <w:p w14:paraId="45EAA036" w14:textId="77777777" w:rsidR="00086082" w:rsidRPr="00495A7B" w:rsidRDefault="00086082" w:rsidP="00174984">
            <w:pPr>
              <w:pStyle w:val="TTTableText"/>
              <w:rPr>
                <w:rFonts w:asciiTheme="minorHAnsi" w:hAnsiTheme="minorHAnsi" w:cstheme="minorHAnsi"/>
                <w:i/>
              </w:rPr>
            </w:pPr>
            <w:r w:rsidRPr="006A1F80">
              <w:rPr>
                <w:rFonts w:asciiTheme="minorHAnsi" w:hAnsiTheme="minorHAnsi" w:cstheme="minorHAnsi"/>
                <w:i/>
                <w:iCs/>
              </w:rPr>
              <w:t>US – Zeroing (EC)</w:t>
            </w:r>
          </w:p>
        </w:tc>
        <w:tc>
          <w:tcPr>
            <w:tcW w:w="7208" w:type="dxa"/>
            <w:shd w:val="clear" w:color="auto" w:fill="auto"/>
          </w:tcPr>
          <w:p w14:paraId="551103AB" w14:textId="77777777" w:rsidR="00086082" w:rsidRPr="00495A7B" w:rsidRDefault="00086082" w:rsidP="00174984">
            <w:pPr>
              <w:pStyle w:val="TTTableText"/>
              <w:rPr>
                <w:rFonts w:asciiTheme="minorHAnsi" w:hAnsiTheme="minorHAnsi" w:cstheme="minorHAnsi"/>
              </w:rPr>
            </w:pPr>
            <w:r w:rsidRPr="006A1F80">
              <w:rPr>
                <w:rFonts w:asciiTheme="minorHAnsi" w:hAnsiTheme="minorHAnsi" w:cstheme="minorHAnsi"/>
              </w:rPr>
              <w:t xml:space="preserve">Appellate Body Report, </w:t>
            </w:r>
            <w:r w:rsidRPr="006A1F80">
              <w:rPr>
                <w:rFonts w:asciiTheme="minorHAnsi" w:hAnsiTheme="minorHAnsi" w:cstheme="minorHAnsi"/>
                <w:i/>
                <w:iCs/>
              </w:rPr>
              <w:t>United States – Laws, Regulations and Methodology for Calculating Dumping Margins ("Zeroing"),</w:t>
            </w:r>
            <w:r w:rsidRPr="006A1F80">
              <w:rPr>
                <w:rFonts w:asciiTheme="minorHAnsi" w:hAnsiTheme="minorHAnsi" w:cstheme="minorHAnsi"/>
              </w:rPr>
              <w:t xml:space="preserve"> WT/DS294/AB/R, adopted 9 May 2006, and Corr.1, DSR 2006:II, p. 417</w:t>
            </w:r>
          </w:p>
        </w:tc>
      </w:tr>
    </w:tbl>
    <w:p w14:paraId="55BB5593" w14:textId="77777777" w:rsidR="00086082" w:rsidRPr="00AB2819" w:rsidRDefault="00086082" w:rsidP="00086082">
      <w:pPr>
        <w:pStyle w:val="SHSectionHeading"/>
        <w:jc w:val="left"/>
        <w:rPr>
          <w:sz w:val="28"/>
          <w:szCs w:val="28"/>
        </w:rPr>
      </w:pPr>
      <w:bookmarkStart w:id="2" w:name="_Toc146025679"/>
      <w:bookmarkStart w:id="3" w:name="_Toc148710973"/>
      <w:r>
        <w:rPr>
          <w:sz w:val="28"/>
          <w:szCs w:val="28"/>
        </w:rPr>
        <w:t>LIST OF ACRONYMS, ABBREVIATIONS AND SHORT FORMS</w:t>
      </w:r>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4"/>
      </w:tblGrid>
      <w:tr w:rsidR="00086082" w14:paraId="2F8BB041" w14:textId="77777777" w:rsidTr="00174984">
        <w:trPr>
          <w:cantSplit/>
          <w:trHeight w:val="397"/>
          <w:tblHeader/>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ED653" w14:textId="77777777" w:rsidR="00086082" w:rsidRDefault="00086082" w:rsidP="00174984">
            <w:pPr>
              <w:pStyle w:val="THTableHeading"/>
              <w:spacing w:before="0" w:after="0"/>
              <w:jc w:val="both"/>
              <w:rPr>
                <w:rFonts w:cs="Calibri"/>
              </w:rPr>
            </w:pPr>
            <w:r>
              <w:rPr>
                <w:rFonts w:cs="Calibri"/>
              </w:rPr>
              <w:t>Abbreviation</w:t>
            </w:r>
          </w:p>
        </w:tc>
        <w:tc>
          <w:tcPr>
            <w:tcW w:w="7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00F38A" w14:textId="77777777" w:rsidR="00086082" w:rsidRDefault="00086082" w:rsidP="00174984">
            <w:pPr>
              <w:pStyle w:val="THTableHeading"/>
              <w:spacing w:before="0" w:after="0"/>
              <w:jc w:val="both"/>
              <w:rPr>
                <w:rFonts w:cs="Calibri"/>
              </w:rPr>
            </w:pPr>
            <w:r>
              <w:rPr>
                <w:rFonts w:cs="Calibri"/>
              </w:rPr>
              <w:t>Full Form or Description</w:t>
            </w:r>
          </w:p>
        </w:tc>
      </w:tr>
      <w:tr w:rsidR="00086082" w14:paraId="789D5B53"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1CF56D28" w14:textId="77777777" w:rsidR="00086082" w:rsidRPr="007D36E8" w:rsidRDefault="00086082" w:rsidP="00174984">
            <w:pPr>
              <w:pStyle w:val="TTTableText"/>
              <w:spacing w:before="0" w:after="0"/>
              <w:jc w:val="both"/>
              <w:rPr>
                <w:rFonts w:cs="Calibri"/>
              </w:rPr>
            </w:pPr>
            <w:r w:rsidRPr="007D36E8">
              <w:rPr>
                <w:rFonts w:cs="Calibri"/>
              </w:rPr>
              <w:t>304 SS CRC</w:t>
            </w:r>
          </w:p>
        </w:tc>
        <w:tc>
          <w:tcPr>
            <w:tcW w:w="7364" w:type="dxa"/>
            <w:tcBorders>
              <w:top w:val="single" w:sz="4" w:space="0" w:color="auto"/>
              <w:left w:val="single" w:sz="4" w:space="0" w:color="auto"/>
              <w:bottom w:val="single" w:sz="4" w:space="0" w:color="auto"/>
              <w:right w:val="single" w:sz="4" w:space="0" w:color="auto"/>
            </w:tcBorders>
            <w:hideMark/>
          </w:tcPr>
          <w:p w14:paraId="0E694C36" w14:textId="77777777" w:rsidR="00086082" w:rsidRPr="007D36E8" w:rsidRDefault="00086082" w:rsidP="00174984">
            <w:pPr>
              <w:pStyle w:val="TTTableText"/>
              <w:spacing w:before="0" w:after="0"/>
              <w:jc w:val="both"/>
              <w:rPr>
                <w:rFonts w:cs="Calibri"/>
              </w:rPr>
            </w:pPr>
            <w:r w:rsidRPr="007D36E8">
              <w:rPr>
                <w:rFonts w:cs="Calibri"/>
              </w:rPr>
              <w:t>grade 304 stainless steel cold rolled coil</w:t>
            </w:r>
          </w:p>
        </w:tc>
      </w:tr>
      <w:tr w:rsidR="00086082" w14:paraId="3CC8AF1B"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47C589B2" w14:textId="77777777" w:rsidR="00086082" w:rsidRPr="007D36E8" w:rsidRDefault="00086082" w:rsidP="00174984">
            <w:pPr>
              <w:pStyle w:val="TTTableText"/>
              <w:spacing w:before="0" w:after="0"/>
              <w:jc w:val="both"/>
              <w:rPr>
                <w:rFonts w:cs="Calibri"/>
              </w:rPr>
            </w:pPr>
            <w:r w:rsidRPr="007D36E8">
              <w:rPr>
                <w:rFonts w:asciiTheme="minorHAnsi" w:hAnsiTheme="minorHAnsi" w:cstheme="minorHAnsi"/>
              </w:rPr>
              <w:t>AD</w:t>
            </w:r>
          </w:p>
        </w:tc>
        <w:tc>
          <w:tcPr>
            <w:tcW w:w="7364" w:type="dxa"/>
            <w:tcBorders>
              <w:top w:val="single" w:sz="4" w:space="0" w:color="auto"/>
              <w:left w:val="single" w:sz="4" w:space="0" w:color="auto"/>
              <w:bottom w:val="single" w:sz="4" w:space="0" w:color="auto"/>
              <w:right w:val="single" w:sz="4" w:space="0" w:color="auto"/>
            </w:tcBorders>
          </w:tcPr>
          <w:p w14:paraId="004045F6" w14:textId="77777777" w:rsidR="00086082" w:rsidRPr="007D36E8" w:rsidRDefault="00086082" w:rsidP="00174984">
            <w:pPr>
              <w:pStyle w:val="TTTableText"/>
              <w:spacing w:before="0" w:after="0"/>
              <w:jc w:val="both"/>
              <w:rPr>
                <w:rFonts w:cs="Calibri"/>
              </w:rPr>
            </w:pPr>
            <w:r w:rsidRPr="007D36E8">
              <w:rPr>
                <w:rFonts w:asciiTheme="minorHAnsi" w:hAnsiTheme="minorHAnsi" w:cstheme="minorHAnsi"/>
              </w:rPr>
              <w:t>Anti-dumping</w:t>
            </w:r>
          </w:p>
        </w:tc>
      </w:tr>
      <w:tr w:rsidR="00086082" w14:paraId="137C8008"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79F27640" w14:textId="77777777" w:rsidR="00086082" w:rsidRPr="007D36E8" w:rsidRDefault="00086082" w:rsidP="00174984">
            <w:pPr>
              <w:pStyle w:val="TTTableText"/>
              <w:spacing w:before="0" w:after="0"/>
              <w:jc w:val="both"/>
              <w:rPr>
                <w:rFonts w:cs="Calibri"/>
              </w:rPr>
            </w:pPr>
            <w:r w:rsidRPr="007D36E8">
              <w:rPr>
                <w:rFonts w:cs="Calibri"/>
                <w:lang w:eastAsia="en-AU"/>
              </w:rPr>
              <w:t>ADC</w:t>
            </w:r>
          </w:p>
        </w:tc>
        <w:tc>
          <w:tcPr>
            <w:tcW w:w="7364" w:type="dxa"/>
            <w:tcBorders>
              <w:top w:val="single" w:sz="4" w:space="0" w:color="auto"/>
              <w:left w:val="single" w:sz="4" w:space="0" w:color="auto"/>
              <w:bottom w:val="single" w:sz="4" w:space="0" w:color="auto"/>
              <w:right w:val="single" w:sz="4" w:space="0" w:color="auto"/>
            </w:tcBorders>
            <w:hideMark/>
          </w:tcPr>
          <w:p w14:paraId="65AF5C80" w14:textId="77777777" w:rsidR="00086082" w:rsidRPr="007D36E8" w:rsidRDefault="00086082" w:rsidP="00174984">
            <w:pPr>
              <w:pStyle w:val="TTTableText"/>
              <w:spacing w:before="0" w:after="0"/>
              <w:jc w:val="both"/>
              <w:rPr>
                <w:rFonts w:cs="Calibri"/>
              </w:rPr>
            </w:pPr>
            <w:r w:rsidRPr="007D36E8">
              <w:rPr>
                <w:rFonts w:cs="Calibri"/>
                <w:lang w:val="en-US" w:eastAsia="en-AU"/>
              </w:rPr>
              <w:t>Anti-Dumping Commission</w:t>
            </w:r>
          </w:p>
        </w:tc>
      </w:tr>
      <w:tr w:rsidR="00086082" w14:paraId="6CB558EE"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2A486B1B" w14:textId="77777777" w:rsidR="00086082" w:rsidRPr="007D36E8" w:rsidRDefault="00086082" w:rsidP="00174984">
            <w:pPr>
              <w:pStyle w:val="TTTableText"/>
              <w:spacing w:before="0" w:after="0"/>
              <w:jc w:val="both"/>
              <w:rPr>
                <w:rFonts w:cs="Calibri"/>
                <w:lang w:eastAsia="en-AU"/>
              </w:rPr>
            </w:pPr>
            <w:r w:rsidRPr="007D36E8">
              <w:rPr>
                <w:rFonts w:cs="Calibri"/>
                <w:lang w:eastAsia="en-AU"/>
              </w:rPr>
              <w:t>Anti-Dumping Agreement</w:t>
            </w:r>
          </w:p>
        </w:tc>
        <w:tc>
          <w:tcPr>
            <w:tcW w:w="7364" w:type="dxa"/>
            <w:tcBorders>
              <w:top w:val="single" w:sz="4" w:space="0" w:color="auto"/>
              <w:left w:val="single" w:sz="4" w:space="0" w:color="auto"/>
              <w:bottom w:val="single" w:sz="4" w:space="0" w:color="auto"/>
              <w:right w:val="single" w:sz="4" w:space="0" w:color="auto"/>
            </w:tcBorders>
            <w:hideMark/>
          </w:tcPr>
          <w:p w14:paraId="3741A720" w14:textId="77777777" w:rsidR="00086082" w:rsidRPr="007D36E8" w:rsidRDefault="00086082" w:rsidP="00174984">
            <w:pPr>
              <w:pStyle w:val="TTTableText"/>
              <w:spacing w:before="0" w:after="0"/>
              <w:jc w:val="both"/>
              <w:rPr>
                <w:rFonts w:cs="Calibri"/>
                <w:lang w:eastAsia="en-AU"/>
              </w:rPr>
            </w:pPr>
            <w:r w:rsidRPr="007D36E8">
              <w:rPr>
                <w:rFonts w:cs="Calibri"/>
                <w:lang w:eastAsia="en-AU"/>
              </w:rPr>
              <w:t>Agreement on the Implementation of Article VI of GATT 1994, Apr. 15, 1994, Marrakesh Agreement Establishing the World Trade Organization, Annex 1A, 1868 U.N.T.S. 201</w:t>
            </w:r>
          </w:p>
        </w:tc>
      </w:tr>
      <w:tr w:rsidR="00086082" w14:paraId="775C0CB4"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0421884B" w14:textId="77777777" w:rsidR="00086082" w:rsidRPr="007D36E8" w:rsidRDefault="00086082" w:rsidP="00174984">
            <w:pPr>
              <w:pStyle w:val="TTTableText"/>
              <w:spacing w:before="0" w:after="0"/>
              <w:jc w:val="both"/>
              <w:rPr>
                <w:rFonts w:cs="Calibri"/>
                <w:lang w:eastAsia="en-AU"/>
              </w:rPr>
            </w:pPr>
            <w:r w:rsidRPr="007D36E8">
              <w:rPr>
                <w:rFonts w:cs="Calibri"/>
                <w:lang w:eastAsia="en-AU"/>
              </w:rPr>
              <w:t>BCI</w:t>
            </w:r>
          </w:p>
        </w:tc>
        <w:tc>
          <w:tcPr>
            <w:tcW w:w="7364" w:type="dxa"/>
            <w:tcBorders>
              <w:top w:val="single" w:sz="4" w:space="0" w:color="auto"/>
              <w:left w:val="single" w:sz="4" w:space="0" w:color="auto"/>
              <w:bottom w:val="single" w:sz="4" w:space="0" w:color="auto"/>
              <w:right w:val="single" w:sz="4" w:space="0" w:color="auto"/>
            </w:tcBorders>
            <w:hideMark/>
          </w:tcPr>
          <w:p w14:paraId="15765308" w14:textId="77777777" w:rsidR="00086082" w:rsidRPr="007D36E8" w:rsidRDefault="00086082" w:rsidP="00174984">
            <w:pPr>
              <w:pStyle w:val="TTTableText"/>
              <w:spacing w:before="0" w:after="0"/>
              <w:jc w:val="both"/>
              <w:rPr>
                <w:rFonts w:cs="Calibri"/>
                <w:lang w:eastAsia="en-AU"/>
              </w:rPr>
            </w:pPr>
            <w:r w:rsidRPr="007D36E8">
              <w:rPr>
                <w:rFonts w:cs="Calibri"/>
                <w:lang w:eastAsia="en-AU"/>
              </w:rPr>
              <w:t xml:space="preserve">Business Confidential Information </w:t>
            </w:r>
          </w:p>
        </w:tc>
      </w:tr>
      <w:tr w:rsidR="00086082" w14:paraId="17881C90"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21605B71" w14:textId="77777777" w:rsidR="00086082" w:rsidRPr="007D36E8" w:rsidRDefault="00086082" w:rsidP="00174984">
            <w:pPr>
              <w:pStyle w:val="TTTableText"/>
              <w:spacing w:before="0" w:after="0"/>
              <w:rPr>
                <w:rFonts w:cs="Calibri"/>
                <w:lang w:eastAsia="en-AU"/>
              </w:rPr>
            </w:pPr>
            <w:r w:rsidRPr="007D36E8">
              <w:rPr>
                <w:rFonts w:cs="Calibri"/>
                <w:lang w:eastAsia="en-AU"/>
              </w:rPr>
              <w:t>China's panel request</w:t>
            </w:r>
          </w:p>
        </w:tc>
        <w:tc>
          <w:tcPr>
            <w:tcW w:w="7364" w:type="dxa"/>
            <w:tcBorders>
              <w:top w:val="single" w:sz="4" w:space="0" w:color="auto"/>
              <w:left w:val="single" w:sz="4" w:space="0" w:color="auto"/>
              <w:bottom w:val="single" w:sz="4" w:space="0" w:color="auto"/>
              <w:right w:val="single" w:sz="4" w:space="0" w:color="auto"/>
            </w:tcBorders>
          </w:tcPr>
          <w:p w14:paraId="08A0AFE2" w14:textId="77777777" w:rsidR="00086082" w:rsidRPr="007D36E8" w:rsidRDefault="00086082" w:rsidP="00174984">
            <w:pPr>
              <w:pStyle w:val="TTTableText"/>
              <w:spacing w:before="0" w:after="0"/>
              <w:jc w:val="both"/>
            </w:pPr>
            <w:r w:rsidRPr="007D36E8">
              <w:rPr>
                <w:rFonts w:cs="Calibri"/>
                <w:lang w:eastAsia="en-AU"/>
              </w:rPr>
              <w:t>Request for the establishment of a panel by China, WT/DS603/2</w:t>
            </w:r>
          </w:p>
        </w:tc>
      </w:tr>
      <w:tr w:rsidR="00086082" w14:paraId="5D800CCB"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5BBC8146" w14:textId="77777777" w:rsidR="00086082" w:rsidRPr="007D36E8" w:rsidRDefault="00086082" w:rsidP="00174984">
            <w:pPr>
              <w:pStyle w:val="TTTableText"/>
              <w:spacing w:before="0" w:after="0"/>
              <w:jc w:val="both"/>
              <w:rPr>
                <w:rFonts w:cs="Calibri"/>
                <w:lang w:val="en-US" w:eastAsia="en-AU"/>
              </w:rPr>
            </w:pPr>
            <w:r w:rsidRPr="007D36E8">
              <w:rPr>
                <w:rFonts w:cs="Calibri"/>
                <w:lang w:val="en-US" w:eastAsia="en-AU"/>
              </w:rPr>
              <w:t>Expiry Review 487</w:t>
            </w:r>
          </w:p>
        </w:tc>
        <w:tc>
          <w:tcPr>
            <w:tcW w:w="7364" w:type="dxa"/>
            <w:tcBorders>
              <w:top w:val="single" w:sz="4" w:space="0" w:color="auto"/>
              <w:left w:val="single" w:sz="4" w:space="0" w:color="auto"/>
              <w:bottom w:val="single" w:sz="4" w:space="0" w:color="auto"/>
              <w:right w:val="single" w:sz="4" w:space="0" w:color="auto"/>
            </w:tcBorders>
          </w:tcPr>
          <w:p w14:paraId="69B846C6" w14:textId="77777777" w:rsidR="00086082" w:rsidRPr="007D36E8" w:rsidRDefault="00086082" w:rsidP="00174984">
            <w:pPr>
              <w:pStyle w:val="TTTableText"/>
              <w:spacing w:before="0" w:after="0"/>
              <w:jc w:val="both"/>
              <w:rPr>
                <w:rFonts w:cs="Calibri"/>
                <w:lang w:val="en-US" w:eastAsia="en-AU"/>
              </w:rPr>
            </w:pPr>
            <w:r w:rsidRPr="007D36E8">
              <w:rPr>
                <w:rFonts w:cs="Calibri"/>
                <w:lang w:val="en-US" w:eastAsia="en-AU"/>
              </w:rPr>
              <w:t>Expiry review into the alleged anti-dumping measures imposed on wind towers from China and Korea</w:t>
            </w:r>
          </w:p>
        </w:tc>
      </w:tr>
      <w:tr w:rsidR="00086082" w14:paraId="150E8A2D"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1477B30C" w14:textId="77777777" w:rsidR="00086082" w:rsidRPr="007D36E8" w:rsidRDefault="00086082" w:rsidP="00174984">
            <w:pPr>
              <w:pStyle w:val="TTTableText"/>
              <w:spacing w:before="0" w:after="0"/>
              <w:jc w:val="both"/>
              <w:rPr>
                <w:rFonts w:cs="Calibri"/>
                <w:lang w:val="en-US" w:eastAsia="en-AU"/>
              </w:rPr>
            </w:pPr>
            <w:r w:rsidRPr="007D36E8">
              <w:rPr>
                <w:rFonts w:eastAsia="Times New Roman" w:cs="Calibri"/>
                <w:color w:val="000000"/>
                <w:lang w:val="en-US" w:eastAsia="en-AU"/>
              </w:rPr>
              <w:t>Expiry Review 517</w:t>
            </w:r>
          </w:p>
        </w:tc>
        <w:tc>
          <w:tcPr>
            <w:tcW w:w="7364" w:type="dxa"/>
            <w:tcBorders>
              <w:top w:val="single" w:sz="4" w:space="0" w:color="auto"/>
              <w:left w:val="single" w:sz="4" w:space="0" w:color="auto"/>
              <w:bottom w:val="single" w:sz="4" w:space="0" w:color="auto"/>
              <w:right w:val="single" w:sz="4" w:space="0" w:color="auto"/>
            </w:tcBorders>
          </w:tcPr>
          <w:p w14:paraId="4F1C8B08" w14:textId="77777777" w:rsidR="00086082" w:rsidRPr="007D36E8" w:rsidRDefault="00086082" w:rsidP="00174984">
            <w:pPr>
              <w:pStyle w:val="TTTableText"/>
              <w:spacing w:before="0" w:after="0"/>
              <w:jc w:val="both"/>
              <w:rPr>
                <w:rFonts w:cs="Calibri"/>
                <w:lang w:val="en-US" w:eastAsia="en-AU"/>
              </w:rPr>
            </w:pPr>
            <w:r w:rsidRPr="007D36E8">
              <w:rPr>
                <w:rFonts w:eastAsia="Times New Roman" w:cs="Calibri"/>
                <w:color w:val="000000"/>
                <w:lang w:val="en-US" w:eastAsia="en-AU"/>
              </w:rPr>
              <w:t>Expiry review into the alleged anti-dumping and countervailing measures imposed on stainless steel sinks from China</w:t>
            </w:r>
          </w:p>
        </w:tc>
      </w:tr>
      <w:tr w:rsidR="00086082" w14:paraId="79CD9A12"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69D792C6" w14:textId="77777777" w:rsidR="00086082" w:rsidRPr="00F86852" w:rsidRDefault="00086082" w:rsidP="00174984">
            <w:pPr>
              <w:pStyle w:val="TTTableText"/>
              <w:spacing w:before="0" w:after="0"/>
              <w:jc w:val="both"/>
              <w:rPr>
                <w:rFonts w:cs="Calibri"/>
                <w:lang w:eastAsia="en-AU"/>
              </w:rPr>
            </w:pPr>
            <w:r w:rsidRPr="00F86852">
              <w:rPr>
                <w:rFonts w:asciiTheme="minorHAnsi" w:hAnsiTheme="minorHAnsi" w:cstheme="minorHAnsi"/>
              </w:rPr>
              <w:t>CVD</w:t>
            </w:r>
          </w:p>
        </w:tc>
        <w:tc>
          <w:tcPr>
            <w:tcW w:w="7364" w:type="dxa"/>
            <w:tcBorders>
              <w:top w:val="single" w:sz="4" w:space="0" w:color="auto"/>
              <w:left w:val="single" w:sz="4" w:space="0" w:color="auto"/>
              <w:bottom w:val="single" w:sz="4" w:space="0" w:color="auto"/>
              <w:right w:val="single" w:sz="4" w:space="0" w:color="auto"/>
            </w:tcBorders>
          </w:tcPr>
          <w:p w14:paraId="0E269923" w14:textId="77777777" w:rsidR="00086082" w:rsidRPr="00F86852" w:rsidRDefault="00086082" w:rsidP="00174984">
            <w:pPr>
              <w:pStyle w:val="TTTableText"/>
              <w:spacing w:before="0" w:after="0"/>
              <w:jc w:val="both"/>
              <w:rPr>
                <w:rFonts w:cs="Calibri"/>
                <w:lang w:eastAsia="en-AU"/>
              </w:rPr>
            </w:pPr>
            <w:r w:rsidRPr="00F86852">
              <w:rPr>
                <w:rFonts w:asciiTheme="minorHAnsi" w:hAnsiTheme="minorHAnsi" w:cstheme="minorHAnsi"/>
              </w:rPr>
              <w:t>Countervailing duty</w:t>
            </w:r>
          </w:p>
        </w:tc>
      </w:tr>
      <w:tr w:rsidR="00086082" w14:paraId="4156DA65"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5F9C93E2" w14:textId="77777777" w:rsidR="00086082" w:rsidRPr="00F86852" w:rsidRDefault="00086082" w:rsidP="00174984">
            <w:pPr>
              <w:pStyle w:val="TTTableText"/>
              <w:spacing w:before="0" w:after="0"/>
              <w:jc w:val="both"/>
              <w:rPr>
                <w:rFonts w:cs="Calibri"/>
                <w:lang w:val="en-US" w:eastAsia="en-AU"/>
              </w:rPr>
            </w:pPr>
            <w:r w:rsidRPr="00F86852">
              <w:rPr>
                <w:rFonts w:cs="Calibri"/>
                <w:lang w:eastAsia="en-AU"/>
              </w:rPr>
              <w:t>DSU</w:t>
            </w:r>
          </w:p>
        </w:tc>
        <w:tc>
          <w:tcPr>
            <w:tcW w:w="7364" w:type="dxa"/>
            <w:tcBorders>
              <w:top w:val="single" w:sz="4" w:space="0" w:color="auto"/>
              <w:left w:val="single" w:sz="4" w:space="0" w:color="auto"/>
              <w:bottom w:val="single" w:sz="4" w:space="0" w:color="auto"/>
              <w:right w:val="single" w:sz="4" w:space="0" w:color="auto"/>
            </w:tcBorders>
          </w:tcPr>
          <w:p w14:paraId="14E21BF2" w14:textId="77777777" w:rsidR="00086082" w:rsidRPr="00F86852" w:rsidRDefault="00086082" w:rsidP="00174984">
            <w:pPr>
              <w:pStyle w:val="TTTableText"/>
              <w:spacing w:before="0" w:after="0"/>
              <w:jc w:val="both"/>
              <w:rPr>
                <w:rFonts w:cs="Calibri"/>
                <w:lang w:val="en-US" w:eastAsia="en-AU"/>
              </w:rPr>
            </w:pPr>
            <w:r w:rsidRPr="00F86852">
              <w:rPr>
                <w:rFonts w:cs="Calibri"/>
                <w:lang w:eastAsia="en-AU"/>
              </w:rPr>
              <w:t>Understanding on the Rules and Procedures Governing the Settlement of Disputes, Apr. 15, 1994, Marrakesh Agreement Establishing the World Trade Organization, Annex 2, 1869 U.N.T.S. 401</w:t>
            </w:r>
          </w:p>
        </w:tc>
      </w:tr>
      <w:tr w:rsidR="00086082" w14:paraId="0CE0E1B2"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3C053978" w14:textId="77777777" w:rsidR="00086082" w:rsidRPr="00F86852" w:rsidRDefault="00086082" w:rsidP="00174984">
            <w:pPr>
              <w:pStyle w:val="TTTableText"/>
              <w:spacing w:before="0" w:after="0"/>
              <w:jc w:val="both"/>
              <w:rPr>
                <w:rFonts w:cs="Calibri"/>
                <w:lang w:eastAsia="en-AU"/>
              </w:rPr>
            </w:pPr>
            <w:r w:rsidRPr="00F86852">
              <w:rPr>
                <w:rFonts w:cs="Calibri"/>
                <w:lang w:eastAsia="en-AU"/>
              </w:rPr>
              <w:t>GATT 1994</w:t>
            </w:r>
          </w:p>
        </w:tc>
        <w:tc>
          <w:tcPr>
            <w:tcW w:w="7364" w:type="dxa"/>
            <w:tcBorders>
              <w:top w:val="single" w:sz="4" w:space="0" w:color="auto"/>
              <w:left w:val="single" w:sz="4" w:space="0" w:color="auto"/>
              <w:bottom w:val="single" w:sz="4" w:space="0" w:color="auto"/>
              <w:right w:val="single" w:sz="4" w:space="0" w:color="auto"/>
            </w:tcBorders>
          </w:tcPr>
          <w:p w14:paraId="2F7A9633" w14:textId="77777777" w:rsidR="00086082" w:rsidRPr="00F86852" w:rsidRDefault="00086082" w:rsidP="00174984">
            <w:pPr>
              <w:pStyle w:val="TTTableText"/>
              <w:spacing w:before="0" w:after="0"/>
              <w:jc w:val="both"/>
              <w:rPr>
                <w:rFonts w:cs="Calibri"/>
                <w:lang w:eastAsia="en-AU"/>
              </w:rPr>
            </w:pPr>
            <w:r w:rsidRPr="00F86852">
              <w:rPr>
                <w:rFonts w:cs="Calibri"/>
                <w:lang w:eastAsia="en-AU"/>
              </w:rPr>
              <w:t>Final Act Embodying the Results of the Uruguay Round of Multilateral Trade Negotiations, Apr. 15, 1994, 1867 U.N.T.S. 14, 33 I.L.M. 1143 (1994)</w:t>
            </w:r>
          </w:p>
        </w:tc>
      </w:tr>
      <w:tr w:rsidR="00086082" w14:paraId="2F161141"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2A3F21DD" w14:textId="77777777" w:rsidR="00086082" w:rsidRPr="00F86852" w:rsidRDefault="00086082" w:rsidP="00174984">
            <w:pPr>
              <w:pStyle w:val="TTTableText"/>
              <w:spacing w:before="0" w:after="0"/>
              <w:jc w:val="both"/>
              <w:rPr>
                <w:rFonts w:cs="Calibri"/>
                <w:lang w:eastAsia="en-AU"/>
              </w:rPr>
            </w:pPr>
            <w:r w:rsidRPr="00495A7B">
              <w:rPr>
                <w:rFonts w:asciiTheme="minorHAnsi" w:hAnsiTheme="minorHAnsi" w:cstheme="minorHAnsi"/>
              </w:rPr>
              <w:t>Interim Review 352</w:t>
            </w:r>
          </w:p>
        </w:tc>
        <w:tc>
          <w:tcPr>
            <w:tcW w:w="7364" w:type="dxa"/>
            <w:tcBorders>
              <w:top w:val="single" w:sz="4" w:space="0" w:color="auto"/>
              <w:left w:val="single" w:sz="4" w:space="0" w:color="auto"/>
              <w:bottom w:val="single" w:sz="4" w:space="0" w:color="auto"/>
              <w:right w:val="single" w:sz="4" w:space="0" w:color="auto"/>
            </w:tcBorders>
          </w:tcPr>
          <w:p w14:paraId="5302D79A" w14:textId="77777777" w:rsidR="00086082" w:rsidRPr="00F86852" w:rsidRDefault="00086082" w:rsidP="00174984">
            <w:pPr>
              <w:pStyle w:val="TTTableText"/>
              <w:spacing w:before="0" w:after="0"/>
              <w:jc w:val="both"/>
              <w:rPr>
                <w:rFonts w:cs="Calibri"/>
                <w:lang w:eastAsia="en-AU"/>
              </w:rPr>
            </w:pPr>
            <w:r w:rsidRPr="00495A7B">
              <w:rPr>
                <w:rFonts w:asciiTheme="minorHAnsi" w:hAnsiTheme="minorHAnsi" w:cstheme="minorHAnsi"/>
              </w:rPr>
              <w:t>Interim review of anti-dumping measures applying to stainless steel sinks exported to Australia from China by SCEA</w:t>
            </w:r>
          </w:p>
        </w:tc>
      </w:tr>
      <w:tr w:rsidR="00086082" w14:paraId="16D2D697"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7CA0AA13" w14:textId="77777777" w:rsidR="00086082" w:rsidRPr="00F86852" w:rsidRDefault="00086082" w:rsidP="00174984">
            <w:pPr>
              <w:pStyle w:val="TTTableText"/>
              <w:spacing w:before="0" w:after="0"/>
              <w:jc w:val="both"/>
              <w:rPr>
                <w:rFonts w:cs="Calibri"/>
                <w:lang w:eastAsia="en-AU"/>
              </w:rPr>
            </w:pPr>
            <w:r w:rsidRPr="00495A7B">
              <w:rPr>
                <w:rFonts w:asciiTheme="minorHAnsi" w:hAnsiTheme="minorHAnsi" w:cstheme="minorHAnsi"/>
              </w:rPr>
              <w:t>Interim Review 459</w:t>
            </w:r>
          </w:p>
        </w:tc>
        <w:tc>
          <w:tcPr>
            <w:tcW w:w="7364" w:type="dxa"/>
            <w:tcBorders>
              <w:top w:val="single" w:sz="4" w:space="0" w:color="auto"/>
              <w:left w:val="single" w:sz="4" w:space="0" w:color="auto"/>
              <w:bottom w:val="single" w:sz="4" w:space="0" w:color="auto"/>
              <w:right w:val="single" w:sz="4" w:space="0" w:color="auto"/>
            </w:tcBorders>
          </w:tcPr>
          <w:p w14:paraId="3AA99556" w14:textId="77777777" w:rsidR="00086082" w:rsidRPr="00F86852" w:rsidRDefault="00086082" w:rsidP="00174984">
            <w:pPr>
              <w:pStyle w:val="TTTableText"/>
              <w:spacing w:before="0" w:after="0"/>
              <w:jc w:val="both"/>
              <w:rPr>
                <w:rFonts w:cs="Calibri"/>
                <w:lang w:eastAsia="en-AU"/>
              </w:rPr>
            </w:pPr>
            <w:r w:rsidRPr="00495A7B">
              <w:rPr>
                <w:rFonts w:asciiTheme="minorHAnsi" w:hAnsiTheme="minorHAnsi" w:cstheme="minorHAnsi"/>
              </w:rPr>
              <w:t>Interim review of anti-dumping measures applying to stainless steel sinks exported to Australia from China by SCEA</w:t>
            </w:r>
          </w:p>
        </w:tc>
      </w:tr>
      <w:tr w:rsidR="00086082" w14:paraId="434BA5BC"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317F2A3C" w14:textId="77777777" w:rsidR="00086082" w:rsidRPr="00F86852" w:rsidRDefault="00086082" w:rsidP="00174984">
            <w:pPr>
              <w:pStyle w:val="TTTableText"/>
              <w:spacing w:before="0" w:after="0"/>
              <w:jc w:val="both"/>
              <w:rPr>
                <w:rFonts w:cs="Calibri"/>
                <w:lang w:eastAsia="en-AU"/>
              </w:rPr>
            </w:pPr>
            <w:r w:rsidRPr="00495A7B">
              <w:rPr>
                <w:rFonts w:asciiTheme="minorHAnsi" w:hAnsiTheme="minorHAnsi" w:cstheme="minorHAnsi"/>
              </w:rPr>
              <w:t>Interim Review 461</w:t>
            </w:r>
          </w:p>
        </w:tc>
        <w:tc>
          <w:tcPr>
            <w:tcW w:w="7364" w:type="dxa"/>
            <w:tcBorders>
              <w:top w:val="single" w:sz="4" w:space="0" w:color="auto"/>
              <w:left w:val="single" w:sz="4" w:space="0" w:color="auto"/>
              <w:bottom w:val="single" w:sz="4" w:space="0" w:color="auto"/>
              <w:right w:val="single" w:sz="4" w:space="0" w:color="auto"/>
            </w:tcBorders>
          </w:tcPr>
          <w:p w14:paraId="76840F4B" w14:textId="77777777" w:rsidR="00086082" w:rsidRPr="00F86852" w:rsidRDefault="00086082" w:rsidP="00174984">
            <w:pPr>
              <w:pStyle w:val="TTTableText"/>
              <w:spacing w:before="0" w:after="0"/>
              <w:jc w:val="both"/>
              <w:rPr>
                <w:rFonts w:cs="Calibri"/>
                <w:lang w:eastAsia="en-AU"/>
              </w:rPr>
            </w:pPr>
            <w:r w:rsidRPr="00495A7B">
              <w:rPr>
                <w:rFonts w:asciiTheme="minorHAnsi" w:hAnsiTheme="minorHAnsi" w:cstheme="minorHAnsi"/>
              </w:rPr>
              <w:t xml:space="preserve">Interim review of anti-dumping measures applying to stainless steel sinks exported to Australia from China by </w:t>
            </w:r>
            <w:proofErr w:type="spellStart"/>
            <w:r w:rsidRPr="00495A7B">
              <w:rPr>
                <w:rFonts w:asciiTheme="minorHAnsi" w:hAnsiTheme="minorHAnsi" w:cstheme="minorHAnsi"/>
              </w:rPr>
              <w:t>Yingao</w:t>
            </w:r>
            <w:proofErr w:type="spellEnd"/>
          </w:p>
        </w:tc>
      </w:tr>
      <w:tr w:rsidR="00086082" w14:paraId="43A9B8DA"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4821EFF1" w14:textId="77777777" w:rsidR="00086082" w:rsidRPr="00F86852" w:rsidRDefault="00086082" w:rsidP="00174984">
            <w:pPr>
              <w:pStyle w:val="TTTableText"/>
              <w:spacing w:before="0" w:after="0"/>
              <w:jc w:val="both"/>
              <w:rPr>
                <w:rFonts w:cs="Calibri"/>
                <w:lang w:eastAsia="en-AU"/>
              </w:rPr>
            </w:pPr>
            <w:r w:rsidRPr="00F86852">
              <w:rPr>
                <w:rFonts w:cs="Calibri"/>
                <w:lang w:eastAsia="en-AU"/>
              </w:rPr>
              <w:t>Investigation 198</w:t>
            </w:r>
          </w:p>
        </w:tc>
        <w:tc>
          <w:tcPr>
            <w:tcW w:w="7364" w:type="dxa"/>
            <w:tcBorders>
              <w:top w:val="single" w:sz="4" w:space="0" w:color="auto"/>
              <w:left w:val="single" w:sz="4" w:space="0" w:color="auto"/>
              <w:bottom w:val="single" w:sz="4" w:space="0" w:color="auto"/>
              <w:right w:val="single" w:sz="4" w:space="0" w:color="auto"/>
            </w:tcBorders>
            <w:hideMark/>
          </w:tcPr>
          <w:p w14:paraId="58FED7CD" w14:textId="77777777" w:rsidR="00086082" w:rsidRPr="00F86852" w:rsidRDefault="00086082" w:rsidP="00174984">
            <w:pPr>
              <w:pStyle w:val="TTTableText"/>
              <w:spacing w:before="0" w:after="0"/>
              <w:jc w:val="both"/>
              <w:rPr>
                <w:rFonts w:cs="Calibri"/>
                <w:lang w:eastAsia="en-AU"/>
              </w:rPr>
            </w:pPr>
            <w:r w:rsidRPr="00F86852">
              <w:rPr>
                <w:rFonts w:cs="Calibri"/>
                <w:lang w:eastAsia="en-AU"/>
              </w:rPr>
              <w:t>Investigation into the alleged dumping of steel plate from China and four other WTO Members</w:t>
            </w:r>
          </w:p>
        </w:tc>
      </w:tr>
      <w:tr w:rsidR="00086082" w14:paraId="4CBC5D63"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612553D1" w14:textId="77777777" w:rsidR="00086082" w:rsidRPr="00F86852" w:rsidRDefault="00086082" w:rsidP="00174984">
            <w:pPr>
              <w:pStyle w:val="TTTableText"/>
              <w:spacing w:before="0" w:after="0"/>
              <w:jc w:val="both"/>
              <w:rPr>
                <w:rFonts w:cs="Calibri"/>
                <w:lang w:eastAsia="en-AU"/>
              </w:rPr>
            </w:pPr>
            <w:r w:rsidRPr="00F86852">
              <w:rPr>
                <w:rFonts w:cs="Calibri"/>
                <w:lang w:val="en-US" w:eastAsia="en-AU"/>
              </w:rPr>
              <w:t>Investigation 221</w:t>
            </w:r>
          </w:p>
        </w:tc>
        <w:tc>
          <w:tcPr>
            <w:tcW w:w="7364" w:type="dxa"/>
            <w:tcBorders>
              <w:top w:val="single" w:sz="4" w:space="0" w:color="auto"/>
              <w:left w:val="single" w:sz="4" w:space="0" w:color="auto"/>
              <w:bottom w:val="single" w:sz="4" w:space="0" w:color="auto"/>
              <w:right w:val="single" w:sz="4" w:space="0" w:color="auto"/>
            </w:tcBorders>
          </w:tcPr>
          <w:p w14:paraId="700D63D9" w14:textId="77777777" w:rsidR="00086082" w:rsidRPr="00F86852" w:rsidRDefault="00086082" w:rsidP="00174984">
            <w:pPr>
              <w:pStyle w:val="TTTableText"/>
              <w:spacing w:before="0" w:after="0"/>
              <w:jc w:val="both"/>
              <w:rPr>
                <w:rFonts w:cs="Calibri"/>
                <w:lang w:eastAsia="en-AU"/>
              </w:rPr>
            </w:pPr>
            <w:r w:rsidRPr="00F86852">
              <w:rPr>
                <w:rFonts w:cs="Calibri"/>
                <w:lang w:val="en-US" w:eastAsia="en-AU"/>
              </w:rPr>
              <w:t>Investigation into the alleged dumping of wind towers from China and Korea</w:t>
            </w:r>
          </w:p>
        </w:tc>
      </w:tr>
      <w:tr w:rsidR="00086082" w14:paraId="55CE60C6"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71578BFC" w14:textId="77777777" w:rsidR="00086082" w:rsidRPr="00F86852" w:rsidRDefault="00086082" w:rsidP="00174984">
            <w:pPr>
              <w:pStyle w:val="TTTableText"/>
              <w:spacing w:before="0" w:after="0"/>
              <w:jc w:val="both"/>
              <w:rPr>
                <w:rFonts w:cs="Calibri"/>
                <w:lang w:eastAsia="en-AU"/>
              </w:rPr>
            </w:pPr>
            <w:r w:rsidRPr="00F86852">
              <w:rPr>
                <w:rFonts w:cs="Calibri"/>
                <w:lang w:eastAsia="en-AU"/>
              </w:rPr>
              <w:t>Investigation 238</w:t>
            </w:r>
          </w:p>
        </w:tc>
        <w:tc>
          <w:tcPr>
            <w:tcW w:w="7364" w:type="dxa"/>
            <w:tcBorders>
              <w:top w:val="single" w:sz="4" w:space="0" w:color="auto"/>
              <w:left w:val="single" w:sz="4" w:space="0" w:color="auto"/>
              <w:bottom w:val="single" w:sz="4" w:space="0" w:color="auto"/>
              <w:right w:val="single" w:sz="4" w:space="0" w:color="auto"/>
            </w:tcBorders>
          </w:tcPr>
          <w:p w14:paraId="46A22766" w14:textId="77777777" w:rsidR="00086082" w:rsidRPr="00F86852" w:rsidRDefault="00086082" w:rsidP="00174984">
            <w:pPr>
              <w:pStyle w:val="TTTableText"/>
              <w:spacing w:before="0" w:after="0"/>
              <w:jc w:val="both"/>
              <w:rPr>
                <w:rFonts w:cs="Calibri"/>
                <w:lang w:eastAsia="en-AU"/>
              </w:rPr>
            </w:pPr>
            <w:r w:rsidRPr="00F86852">
              <w:rPr>
                <w:rFonts w:cs="Calibri"/>
                <w:lang w:eastAsia="en-AU"/>
              </w:rPr>
              <w:t xml:space="preserve">Investigation into the alleged dumping and subsidisation of </w:t>
            </w:r>
            <w:proofErr w:type="gramStart"/>
            <w:r w:rsidRPr="00F86852">
              <w:rPr>
                <w:rFonts w:cs="Calibri"/>
                <w:lang w:eastAsia="en-AU"/>
              </w:rPr>
              <w:t>stainless steel</w:t>
            </w:r>
            <w:proofErr w:type="gramEnd"/>
            <w:r w:rsidRPr="00F86852">
              <w:rPr>
                <w:rFonts w:cs="Calibri"/>
                <w:lang w:eastAsia="en-AU"/>
              </w:rPr>
              <w:t xml:space="preserve"> sinks from China</w:t>
            </w:r>
          </w:p>
        </w:tc>
      </w:tr>
      <w:tr w:rsidR="00086082" w14:paraId="5EED9C2B"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69637B45" w14:textId="77777777" w:rsidR="00086082" w:rsidRPr="00F86852" w:rsidRDefault="00086082" w:rsidP="00174984">
            <w:pPr>
              <w:pStyle w:val="TTTableText"/>
              <w:spacing w:before="0" w:after="0"/>
              <w:jc w:val="both"/>
              <w:rPr>
                <w:rFonts w:cs="Calibri"/>
                <w:lang w:eastAsia="en-AU"/>
              </w:rPr>
            </w:pPr>
            <w:r w:rsidRPr="00F86852">
              <w:rPr>
                <w:rFonts w:eastAsia="Times New Roman" w:cs="Calibri"/>
                <w:color w:val="000000"/>
                <w:lang w:val="en-US" w:eastAsia="en-AU"/>
              </w:rPr>
              <w:lastRenderedPageBreak/>
              <w:t>Investigation 466</w:t>
            </w:r>
          </w:p>
        </w:tc>
        <w:tc>
          <w:tcPr>
            <w:tcW w:w="7364" w:type="dxa"/>
            <w:tcBorders>
              <w:top w:val="single" w:sz="4" w:space="0" w:color="auto"/>
              <w:left w:val="single" w:sz="4" w:space="0" w:color="auto"/>
              <w:bottom w:val="single" w:sz="4" w:space="0" w:color="auto"/>
              <w:right w:val="single" w:sz="4" w:space="0" w:color="auto"/>
            </w:tcBorders>
          </w:tcPr>
          <w:p w14:paraId="287D0320" w14:textId="77777777" w:rsidR="00086082" w:rsidRPr="00F86852" w:rsidRDefault="00086082" w:rsidP="00174984">
            <w:pPr>
              <w:pStyle w:val="TTTableText"/>
              <w:spacing w:before="0" w:after="0"/>
              <w:jc w:val="both"/>
              <w:rPr>
                <w:rFonts w:cs="Calibri"/>
                <w:lang w:eastAsia="en-AU"/>
              </w:rPr>
            </w:pPr>
            <w:r w:rsidRPr="00F86852">
              <w:rPr>
                <w:rFonts w:eastAsia="Times New Roman" w:cs="Calibri"/>
                <w:color w:val="000000"/>
                <w:lang w:val="en-US" w:eastAsia="en-AU"/>
              </w:rPr>
              <w:t xml:space="preserve">Investigation into the alleged dumping of railway wheels from China and France and the alleged </w:t>
            </w:r>
            <w:proofErr w:type="spellStart"/>
            <w:r w:rsidRPr="00F86852">
              <w:rPr>
                <w:rFonts w:eastAsia="Times New Roman" w:cs="Calibri"/>
                <w:color w:val="000000"/>
                <w:lang w:val="en-US" w:eastAsia="en-AU"/>
              </w:rPr>
              <w:t>subsidisation</w:t>
            </w:r>
            <w:proofErr w:type="spellEnd"/>
            <w:r w:rsidRPr="00F86852">
              <w:rPr>
                <w:rFonts w:eastAsia="Times New Roman" w:cs="Calibri"/>
                <w:color w:val="000000"/>
                <w:lang w:val="en-US" w:eastAsia="en-AU"/>
              </w:rPr>
              <w:t xml:space="preserve"> of railway wheels from China</w:t>
            </w:r>
          </w:p>
        </w:tc>
      </w:tr>
      <w:tr w:rsidR="00086082" w14:paraId="48A8DA88"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5C8D0AA4" w14:textId="77777777" w:rsidR="00086082" w:rsidRPr="00F86852" w:rsidRDefault="00086082" w:rsidP="00174984">
            <w:pPr>
              <w:pStyle w:val="TTTableText"/>
              <w:spacing w:before="0" w:after="0"/>
              <w:jc w:val="both"/>
              <w:rPr>
                <w:rFonts w:cs="Calibri"/>
                <w:lang w:eastAsia="en-AU"/>
              </w:rPr>
            </w:pPr>
            <w:proofErr w:type="spellStart"/>
            <w:r w:rsidRPr="00F86852">
              <w:rPr>
                <w:rFonts w:cs="Calibri"/>
                <w:lang w:eastAsia="en-AU"/>
              </w:rPr>
              <w:t>Masteel</w:t>
            </w:r>
            <w:proofErr w:type="spellEnd"/>
          </w:p>
        </w:tc>
        <w:tc>
          <w:tcPr>
            <w:tcW w:w="7364" w:type="dxa"/>
            <w:tcBorders>
              <w:top w:val="single" w:sz="4" w:space="0" w:color="auto"/>
              <w:left w:val="single" w:sz="4" w:space="0" w:color="auto"/>
              <w:bottom w:val="single" w:sz="4" w:space="0" w:color="auto"/>
              <w:right w:val="single" w:sz="4" w:space="0" w:color="auto"/>
            </w:tcBorders>
          </w:tcPr>
          <w:p w14:paraId="29DE1A6F" w14:textId="77777777" w:rsidR="00086082" w:rsidRPr="00F86852" w:rsidRDefault="00086082" w:rsidP="00174984">
            <w:pPr>
              <w:pStyle w:val="TTTableText"/>
              <w:spacing w:before="0" w:after="0"/>
              <w:jc w:val="both"/>
              <w:rPr>
                <w:rFonts w:cs="Calibri"/>
                <w:lang w:eastAsia="en-AU"/>
              </w:rPr>
            </w:pPr>
            <w:proofErr w:type="spellStart"/>
            <w:r w:rsidRPr="00F86852">
              <w:rPr>
                <w:rFonts w:cs="Calibri"/>
                <w:lang w:eastAsia="en-AU"/>
              </w:rPr>
              <w:t>Maanshan</w:t>
            </w:r>
            <w:proofErr w:type="spellEnd"/>
            <w:r w:rsidRPr="00F86852">
              <w:rPr>
                <w:rFonts w:cs="Calibri"/>
                <w:lang w:eastAsia="en-AU"/>
              </w:rPr>
              <w:t xml:space="preserve"> Iron &amp; Steel Co., Ltd.</w:t>
            </w:r>
          </w:p>
        </w:tc>
      </w:tr>
      <w:tr w:rsidR="00086082" w14:paraId="200E9D4C"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10D474D1" w14:textId="77777777" w:rsidR="00086082" w:rsidRPr="009B0DC6" w:rsidRDefault="00086082" w:rsidP="00174984">
            <w:pPr>
              <w:pStyle w:val="TTTableText"/>
              <w:spacing w:before="0" w:after="0"/>
              <w:jc w:val="both"/>
              <w:rPr>
                <w:rFonts w:cs="Calibri"/>
                <w:lang w:eastAsia="en-AU"/>
              </w:rPr>
            </w:pPr>
            <w:r w:rsidRPr="009B0DC6">
              <w:rPr>
                <w:rFonts w:cs="Calibri"/>
                <w:lang w:eastAsia="en-AU"/>
              </w:rPr>
              <w:t>MCC</w:t>
            </w:r>
          </w:p>
        </w:tc>
        <w:tc>
          <w:tcPr>
            <w:tcW w:w="7364" w:type="dxa"/>
            <w:tcBorders>
              <w:top w:val="single" w:sz="4" w:space="0" w:color="auto"/>
              <w:left w:val="single" w:sz="4" w:space="0" w:color="auto"/>
              <w:bottom w:val="single" w:sz="4" w:space="0" w:color="auto"/>
              <w:right w:val="single" w:sz="4" w:space="0" w:color="auto"/>
            </w:tcBorders>
          </w:tcPr>
          <w:p w14:paraId="41922E7F" w14:textId="77777777" w:rsidR="00086082" w:rsidRPr="009B0DC6" w:rsidRDefault="00086082" w:rsidP="00174984">
            <w:pPr>
              <w:pStyle w:val="TTTableText"/>
              <w:spacing w:before="0" w:after="0"/>
              <w:jc w:val="both"/>
              <w:rPr>
                <w:rFonts w:cs="Calibri"/>
                <w:lang w:eastAsia="en-AU"/>
              </w:rPr>
            </w:pPr>
            <w:r w:rsidRPr="009B0DC6">
              <w:rPr>
                <w:rFonts w:cs="Calibri"/>
                <w:lang w:eastAsia="en-AU"/>
              </w:rPr>
              <w:t>Model Control Code</w:t>
            </w:r>
          </w:p>
        </w:tc>
      </w:tr>
      <w:tr w:rsidR="00086082" w14:paraId="4269C1E1"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6BB53A4F" w14:textId="77777777" w:rsidR="00086082" w:rsidRPr="00193CA6" w:rsidRDefault="00086082" w:rsidP="00174984">
            <w:pPr>
              <w:pStyle w:val="TTTableText"/>
              <w:spacing w:before="0" w:after="0"/>
              <w:jc w:val="both"/>
              <w:rPr>
                <w:rFonts w:cs="Calibri"/>
                <w:lang w:eastAsia="en-AU"/>
              </w:rPr>
            </w:pPr>
            <w:r w:rsidRPr="00193CA6">
              <w:rPr>
                <w:rFonts w:cs="Calibri"/>
                <w:lang w:eastAsia="en-AU"/>
              </w:rPr>
              <w:t>MEPS</w:t>
            </w:r>
          </w:p>
        </w:tc>
        <w:tc>
          <w:tcPr>
            <w:tcW w:w="7364" w:type="dxa"/>
            <w:tcBorders>
              <w:top w:val="single" w:sz="4" w:space="0" w:color="auto"/>
              <w:left w:val="single" w:sz="4" w:space="0" w:color="auto"/>
              <w:bottom w:val="single" w:sz="4" w:space="0" w:color="auto"/>
              <w:right w:val="single" w:sz="4" w:space="0" w:color="auto"/>
            </w:tcBorders>
            <w:hideMark/>
          </w:tcPr>
          <w:p w14:paraId="228AD067" w14:textId="77777777" w:rsidR="00086082" w:rsidRPr="00193CA6" w:rsidRDefault="00086082" w:rsidP="00174984">
            <w:pPr>
              <w:pStyle w:val="TTTableText"/>
              <w:spacing w:before="0" w:after="0"/>
              <w:jc w:val="both"/>
              <w:rPr>
                <w:rFonts w:cs="Calibri"/>
                <w:lang w:eastAsia="en-AU"/>
              </w:rPr>
            </w:pPr>
            <w:r w:rsidRPr="00193CA6">
              <w:rPr>
                <w:rFonts w:cs="Calibri"/>
                <w:lang w:eastAsia="en-AU"/>
              </w:rPr>
              <w:t>MEPS (International) Ltd, a price data agency</w:t>
            </w:r>
          </w:p>
        </w:tc>
      </w:tr>
      <w:tr w:rsidR="00086082" w14:paraId="785E4AB3"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6E3FB2FF" w14:textId="77777777" w:rsidR="00086082" w:rsidRPr="00193CA6" w:rsidRDefault="00086082" w:rsidP="00174984">
            <w:pPr>
              <w:pStyle w:val="TTTableText"/>
              <w:spacing w:before="0" w:after="0"/>
              <w:jc w:val="both"/>
              <w:rPr>
                <w:rFonts w:cs="Calibri"/>
                <w:lang w:eastAsia="en-AU"/>
              </w:rPr>
            </w:pPr>
            <w:r w:rsidRPr="00193CA6">
              <w:rPr>
                <w:rFonts w:cs="Calibri"/>
                <w:lang w:eastAsia="en-AU"/>
              </w:rPr>
              <w:t>OCOT</w:t>
            </w:r>
          </w:p>
        </w:tc>
        <w:tc>
          <w:tcPr>
            <w:tcW w:w="7364" w:type="dxa"/>
            <w:tcBorders>
              <w:top w:val="single" w:sz="4" w:space="0" w:color="auto"/>
              <w:left w:val="single" w:sz="4" w:space="0" w:color="auto"/>
              <w:bottom w:val="single" w:sz="4" w:space="0" w:color="auto"/>
              <w:right w:val="single" w:sz="4" w:space="0" w:color="auto"/>
            </w:tcBorders>
            <w:hideMark/>
          </w:tcPr>
          <w:p w14:paraId="1CC2CDCF" w14:textId="77777777" w:rsidR="00086082" w:rsidRPr="00193CA6" w:rsidRDefault="00086082" w:rsidP="00174984">
            <w:pPr>
              <w:pStyle w:val="TTTableText"/>
              <w:spacing w:before="0" w:after="0"/>
              <w:jc w:val="both"/>
              <w:rPr>
                <w:rFonts w:cs="Calibri"/>
                <w:lang w:eastAsia="en-AU"/>
              </w:rPr>
            </w:pPr>
            <w:r w:rsidRPr="00193CA6">
              <w:rPr>
                <w:rFonts w:cs="Calibri"/>
                <w:lang w:eastAsia="en-AU"/>
              </w:rPr>
              <w:t>ordinary course of trade</w:t>
            </w:r>
          </w:p>
        </w:tc>
      </w:tr>
      <w:tr w:rsidR="00086082" w14:paraId="21FAFFB5"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5464A053" w14:textId="77777777" w:rsidR="00086082" w:rsidRPr="00193CA6" w:rsidRDefault="00086082" w:rsidP="00174984">
            <w:pPr>
              <w:pStyle w:val="TTTableText"/>
              <w:spacing w:before="0" w:after="0"/>
              <w:jc w:val="both"/>
              <w:rPr>
                <w:rFonts w:cs="Calibri"/>
                <w:lang w:eastAsia="en-AU"/>
              </w:rPr>
            </w:pPr>
            <w:proofErr w:type="spellStart"/>
            <w:r w:rsidRPr="00193CA6">
              <w:rPr>
                <w:rFonts w:cs="Calibri"/>
                <w:lang w:eastAsia="en-AU"/>
              </w:rPr>
              <w:t>Primy</w:t>
            </w:r>
            <w:proofErr w:type="spellEnd"/>
          </w:p>
        </w:tc>
        <w:tc>
          <w:tcPr>
            <w:tcW w:w="7364" w:type="dxa"/>
            <w:tcBorders>
              <w:top w:val="single" w:sz="4" w:space="0" w:color="auto"/>
              <w:left w:val="single" w:sz="4" w:space="0" w:color="auto"/>
              <w:bottom w:val="single" w:sz="4" w:space="0" w:color="auto"/>
              <w:right w:val="single" w:sz="4" w:space="0" w:color="auto"/>
            </w:tcBorders>
          </w:tcPr>
          <w:p w14:paraId="33676E30" w14:textId="77777777" w:rsidR="00086082" w:rsidRPr="00193CA6" w:rsidRDefault="00086082" w:rsidP="00174984">
            <w:pPr>
              <w:pStyle w:val="TTTableText"/>
              <w:spacing w:before="0" w:after="0"/>
              <w:jc w:val="both"/>
              <w:rPr>
                <w:rFonts w:cs="Calibri"/>
                <w:lang w:eastAsia="en-AU"/>
              </w:rPr>
            </w:pPr>
            <w:proofErr w:type="spellStart"/>
            <w:r w:rsidRPr="00193CA6">
              <w:rPr>
                <w:rFonts w:cs="Calibri"/>
                <w:lang w:eastAsia="en-AU"/>
              </w:rPr>
              <w:t>Primy</w:t>
            </w:r>
            <w:proofErr w:type="spellEnd"/>
            <w:r w:rsidRPr="00193CA6">
              <w:rPr>
                <w:rFonts w:cs="Calibri"/>
                <w:lang w:eastAsia="en-AU"/>
              </w:rPr>
              <w:t xml:space="preserve"> Corporation Limited</w:t>
            </w:r>
          </w:p>
        </w:tc>
      </w:tr>
      <w:tr w:rsidR="00086082" w14:paraId="355625BB"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3530752E" w14:textId="77777777" w:rsidR="00086082" w:rsidRPr="00193CA6" w:rsidRDefault="00086082" w:rsidP="00174984">
            <w:pPr>
              <w:pStyle w:val="TTTableText"/>
              <w:spacing w:before="0" w:after="0"/>
              <w:jc w:val="both"/>
              <w:rPr>
                <w:rFonts w:cs="Calibri"/>
                <w:lang w:eastAsia="en-AU"/>
              </w:rPr>
            </w:pPr>
            <w:r w:rsidRPr="00193CA6">
              <w:rPr>
                <w:rFonts w:cs="Calibri"/>
                <w:lang w:eastAsia="en-AU"/>
              </w:rPr>
              <w:t>PRR</w:t>
            </w:r>
          </w:p>
        </w:tc>
        <w:tc>
          <w:tcPr>
            <w:tcW w:w="7364" w:type="dxa"/>
            <w:tcBorders>
              <w:top w:val="single" w:sz="4" w:space="0" w:color="auto"/>
              <w:left w:val="single" w:sz="4" w:space="0" w:color="auto"/>
              <w:bottom w:val="single" w:sz="4" w:space="0" w:color="auto"/>
              <w:right w:val="single" w:sz="4" w:space="0" w:color="auto"/>
            </w:tcBorders>
          </w:tcPr>
          <w:p w14:paraId="1F0C48EB" w14:textId="77777777" w:rsidR="00086082" w:rsidRPr="00193CA6" w:rsidRDefault="00086082" w:rsidP="00174984">
            <w:pPr>
              <w:pStyle w:val="TTTableText"/>
              <w:spacing w:before="0" w:after="0"/>
              <w:jc w:val="both"/>
              <w:rPr>
                <w:rFonts w:cs="Calibri"/>
                <w:lang w:eastAsia="en-AU"/>
              </w:rPr>
            </w:pPr>
            <w:r w:rsidRPr="00193CA6">
              <w:t>Australia's Preliminary Ruling Request, filed on 16 December 2022</w:t>
            </w:r>
          </w:p>
        </w:tc>
      </w:tr>
      <w:tr w:rsidR="00086082" w14:paraId="138F14F0"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44F23FEA" w14:textId="77777777" w:rsidR="00086082" w:rsidRPr="00193CA6" w:rsidRDefault="00086082" w:rsidP="00174984">
            <w:pPr>
              <w:pStyle w:val="TTTableText"/>
              <w:spacing w:before="0" w:after="0"/>
              <w:jc w:val="both"/>
              <w:rPr>
                <w:rFonts w:cs="Calibri"/>
                <w:lang w:eastAsia="en-AU"/>
              </w:rPr>
            </w:pPr>
            <w:r w:rsidRPr="00193CA6">
              <w:rPr>
                <w:rFonts w:cs="Calibri"/>
                <w:lang w:eastAsia="en-AU"/>
              </w:rPr>
              <w:t>SCM Agreement</w:t>
            </w:r>
          </w:p>
        </w:tc>
        <w:tc>
          <w:tcPr>
            <w:tcW w:w="7364" w:type="dxa"/>
            <w:tcBorders>
              <w:top w:val="single" w:sz="4" w:space="0" w:color="auto"/>
              <w:left w:val="single" w:sz="4" w:space="0" w:color="auto"/>
              <w:bottom w:val="single" w:sz="4" w:space="0" w:color="auto"/>
              <w:right w:val="single" w:sz="4" w:space="0" w:color="auto"/>
            </w:tcBorders>
          </w:tcPr>
          <w:p w14:paraId="1C8ACAB4" w14:textId="77777777" w:rsidR="00086082" w:rsidRPr="00193CA6" w:rsidRDefault="00086082" w:rsidP="00174984">
            <w:pPr>
              <w:pStyle w:val="TTTableText"/>
              <w:spacing w:before="0" w:after="0"/>
              <w:jc w:val="both"/>
              <w:rPr>
                <w:rFonts w:cs="Calibri"/>
                <w:lang w:eastAsia="en-AU"/>
              </w:rPr>
            </w:pPr>
            <w:r w:rsidRPr="00193CA6">
              <w:rPr>
                <w:rFonts w:cs="Calibri"/>
                <w:lang w:eastAsia="en-AU"/>
              </w:rPr>
              <w:t>Agreement on Subsidies and Countervailing Measures, Apr. 15, 1994, Marrakesh Agreement Establishing the World Trade Organization, Annex 1A, 1869 U.N.T.S. 14</w:t>
            </w:r>
          </w:p>
        </w:tc>
      </w:tr>
      <w:tr w:rsidR="00086082" w14:paraId="2FB55683"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732301D8" w14:textId="77777777" w:rsidR="00086082" w:rsidRPr="00193CA6" w:rsidRDefault="00086082" w:rsidP="00174984">
            <w:pPr>
              <w:pStyle w:val="TTTableText"/>
              <w:spacing w:before="0" w:after="0"/>
              <w:jc w:val="both"/>
              <w:rPr>
                <w:rFonts w:cs="Calibri"/>
                <w:lang w:eastAsia="en-AU"/>
              </w:rPr>
            </w:pPr>
            <w:r w:rsidRPr="00193CA6">
              <w:rPr>
                <w:rFonts w:cs="Calibri"/>
                <w:lang w:eastAsia="en-AU"/>
              </w:rPr>
              <w:t>SEF</w:t>
            </w:r>
          </w:p>
        </w:tc>
        <w:tc>
          <w:tcPr>
            <w:tcW w:w="7364" w:type="dxa"/>
            <w:tcBorders>
              <w:top w:val="single" w:sz="4" w:space="0" w:color="auto"/>
              <w:left w:val="single" w:sz="4" w:space="0" w:color="auto"/>
              <w:bottom w:val="single" w:sz="4" w:space="0" w:color="auto"/>
              <w:right w:val="single" w:sz="4" w:space="0" w:color="auto"/>
            </w:tcBorders>
            <w:hideMark/>
          </w:tcPr>
          <w:p w14:paraId="210AA053" w14:textId="77777777" w:rsidR="00086082" w:rsidRPr="00193CA6" w:rsidRDefault="00086082" w:rsidP="00174984">
            <w:pPr>
              <w:pStyle w:val="TTTableText"/>
              <w:spacing w:before="0" w:after="0"/>
              <w:jc w:val="both"/>
              <w:rPr>
                <w:rFonts w:cs="Calibri"/>
                <w:lang w:eastAsia="en-AU"/>
              </w:rPr>
            </w:pPr>
            <w:r w:rsidRPr="00193CA6">
              <w:rPr>
                <w:rFonts w:cs="Calibri"/>
                <w:lang w:eastAsia="en-AU"/>
              </w:rPr>
              <w:t>Statement of Essential Facts</w:t>
            </w:r>
          </w:p>
        </w:tc>
      </w:tr>
      <w:tr w:rsidR="00086082" w14:paraId="328B99E4"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tcPr>
          <w:p w14:paraId="647A4D20" w14:textId="77777777" w:rsidR="00086082" w:rsidRPr="00342A70" w:rsidRDefault="00086082" w:rsidP="00174984">
            <w:pPr>
              <w:pStyle w:val="TTTableText"/>
              <w:spacing w:before="0" w:after="0"/>
              <w:jc w:val="both"/>
            </w:pPr>
            <w:r w:rsidRPr="00342A70">
              <w:rPr>
                <w:rFonts w:cs="Calibri"/>
                <w:lang w:eastAsia="en-AU"/>
              </w:rPr>
              <w:t>VAT</w:t>
            </w:r>
          </w:p>
        </w:tc>
        <w:tc>
          <w:tcPr>
            <w:tcW w:w="7364" w:type="dxa"/>
            <w:tcBorders>
              <w:top w:val="single" w:sz="4" w:space="0" w:color="auto"/>
              <w:left w:val="single" w:sz="4" w:space="0" w:color="auto"/>
              <w:bottom w:val="single" w:sz="4" w:space="0" w:color="auto"/>
              <w:right w:val="single" w:sz="4" w:space="0" w:color="auto"/>
            </w:tcBorders>
          </w:tcPr>
          <w:p w14:paraId="42EDA97B" w14:textId="77777777" w:rsidR="00086082" w:rsidRPr="00342A70" w:rsidRDefault="00086082" w:rsidP="00174984">
            <w:pPr>
              <w:pStyle w:val="TTTableText"/>
              <w:spacing w:before="0" w:after="0"/>
              <w:jc w:val="both"/>
              <w:rPr>
                <w:rFonts w:cs="Calibri"/>
                <w:lang w:eastAsia="en-AU"/>
              </w:rPr>
            </w:pPr>
            <w:r w:rsidRPr="00342A70">
              <w:rPr>
                <w:rFonts w:cs="Calibri"/>
                <w:lang w:eastAsia="en-AU"/>
              </w:rPr>
              <w:t>value-added tax</w:t>
            </w:r>
          </w:p>
        </w:tc>
      </w:tr>
      <w:tr w:rsidR="00086082" w14:paraId="5FD03A17"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309BA13C" w14:textId="77777777" w:rsidR="00086082" w:rsidRPr="00342A70" w:rsidRDefault="00086082" w:rsidP="00174984">
            <w:pPr>
              <w:pStyle w:val="TTTableText"/>
              <w:spacing w:before="0" w:after="0"/>
              <w:jc w:val="both"/>
              <w:rPr>
                <w:rFonts w:cs="Calibri"/>
                <w:lang w:eastAsia="en-AU"/>
              </w:rPr>
            </w:pPr>
            <w:r w:rsidRPr="00342A70">
              <w:rPr>
                <w:rFonts w:cs="Calibri"/>
                <w:lang w:eastAsia="en-AU"/>
              </w:rPr>
              <w:t>WTO</w:t>
            </w:r>
          </w:p>
        </w:tc>
        <w:tc>
          <w:tcPr>
            <w:tcW w:w="7364" w:type="dxa"/>
            <w:tcBorders>
              <w:top w:val="single" w:sz="4" w:space="0" w:color="auto"/>
              <w:left w:val="single" w:sz="4" w:space="0" w:color="auto"/>
              <w:bottom w:val="single" w:sz="4" w:space="0" w:color="auto"/>
              <w:right w:val="single" w:sz="4" w:space="0" w:color="auto"/>
            </w:tcBorders>
            <w:hideMark/>
          </w:tcPr>
          <w:p w14:paraId="5D8559BB" w14:textId="77777777" w:rsidR="00086082" w:rsidRPr="00342A70" w:rsidRDefault="00086082" w:rsidP="00174984">
            <w:pPr>
              <w:pStyle w:val="TTTableText"/>
              <w:spacing w:before="0" w:after="0"/>
              <w:jc w:val="both"/>
              <w:rPr>
                <w:rFonts w:cs="Calibri"/>
                <w:lang w:eastAsia="en-AU"/>
              </w:rPr>
            </w:pPr>
            <w:r w:rsidRPr="00342A70">
              <w:rPr>
                <w:rFonts w:cs="Calibri"/>
                <w:lang w:eastAsia="en-AU"/>
              </w:rPr>
              <w:t xml:space="preserve">World Trade Organization </w:t>
            </w:r>
          </w:p>
        </w:tc>
      </w:tr>
      <w:tr w:rsidR="00086082" w14:paraId="0FD531DE" w14:textId="77777777" w:rsidTr="00174984">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5251786B" w14:textId="77777777" w:rsidR="00086082" w:rsidRPr="00342A70" w:rsidRDefault="00086082" w:rsidP="00174984">
            <w:pPr>
              <w:pStyle w:val="TTTableText"/>
              <w:spacing w:before="0" w:after="0"/>
              <w:jc w:val="both"/>
              <w:rPr>
                <w:rFonts w:cs="Calibri"/>
                <w:lang w:eastAsia="en-AU"/>
              </w:rPr>
            </w:pPr>
            <w:r w:rsidRPr="00342A70">
              <w:rPr>
                <w:rFonts w:cs="Calibri"/>
                <w:lang w:eastAsia="en-AU"/>
              </w:rPr>
              <w:t>Zhuhai Grand</w:t>
            </w:r>
          </w:p>
        </w:tc>
        <w:tc>
          <w:tcPr>
            <w:tcW w:w="7364" w:type="dxa"/>
            <w:tcBorders>
              <w:top w:val="single" w:sz="4" w:space="0" w:color="auto"/>
              <w:left w:val="single" w:sz="4" w:space="0" w:color="auto"/>
              <w:bottom w:val="single" w:sz="4" w:space="0" w:color="auto"/>
              <w:right w:val="single" w:sz="4" w:space="0" w:color="auto"/>
            </w:tcBorders>
            <w:hideMark/>
          </w:tcPr>
          <w:p w14:paraId="1A858893" w14:textId="77777777" w:rsidR="00086082" w:rsidRPr="00342A70" w:rsidRDefault="00086082" w:rsidP="00174984">
            <w:pPr>
              <w:pStyle w:val="TTTableText"/>
              <w:spacing w:before="0" w:after="0"/>
              <w:jc w:val="both"/>
              <w:rPr>
                <w:rFonts w:cs="Calibri"/>
                <w:lang w:eastAsia="en-AU"/>
              </w:rPr>
            </w:pPr>
            <w:r w:rsidRPr="00342A70">
              <w:rPr>
                <w:rFonts w:cs="Calibri"/>
                <w:lang w:eastAsia="en-AU"/>
              </w:rPr>
              <w:t>Zhuhai Grand Kitchenware Co. Ltd.</w:t>
            </w:r>
          </w:p>
        </w:tc>
      </w:tr>
    </w:tbl>
    <w:p w14:paraId="00E6C98D" w14:textId="77777777" w:rsidR="00086082" w:rsidRDefault="00086082" w:rsidP="00086082">
      <w:pPr>
        <w:pStyle w:val="P1-N1Paragraph1-Number1"/>
        <w:numPr>
          <w:ilvl w:val="0"/>
          <w:numId w:val="0"/>
        </w:numPr>
        <w:sectPr w:rsidR="00086082" w:rsidSect="001565CE">
          <w:footerReference w:type="first" r:id="rId14"/>
          <w:pgSz w:w="11906" w:h="16838" w:code="9"/>
          <w:pgMar w:top="1418" w:right="1418" w:bottom="1418" w:left="1418" w:header="567" w:footer="567" w:gutter="0"/>
          <w:pgNumType w:fmt="lowerRoman" w:start="1"/>
          <w:cols w:space="708"/>
          <w:titlePg/>
          <w:docGrid w:linePitch="360"/>
        </w:sectPr>
      </w:pPr>
    </w:p>
    <w:p w14:paraId="07ABC17E" w14:textId="2F983E55" w:rsidR="00C022A6" w:rsidRPr="00731A0D" w:rsidRDefault="00620C43" w:rsidP="00731A0D">
      <w:pPr>
        <w:pStyle w:val="HL1HeadingLevel1"/>
      </w:pPr>
      <w:bookmarkStart w:id="4" w:name="_Toc148710974"/>
      <w:r w:rsidRPr="00731A0D">
        <w:lastRenderedPageBreak/>
        <w:t>Introduction</w:t>
      </w:r>
      <w:bookmarkEnd w:id="4"/>
    </w:p>
    <w:p w14:paraId="3BB5DE32" w14:textId="2A62BC5D" w:rsidR="00B134F9" w:rsidRPr="00B134F9" w:rsidRDefault="00B134F9" w:rsidP="00B134F9">
      <w:pPr>
        <w:pStyle w:val="P1-N1Paragraph1-Number1"/>
        <w:rPr>
          <w:strike/>
        </w:rPr>
      </w:pPr>
      <w:bookmarkStart w:id="5" w:name="_Toc523224750"/>
      <w:bookmarkStart w:id="6" w:name="_Toc523754543"/>
      <w:bookmarkStart w:id="7" w:name="_Toc523933841"/>
      <w:bookmarkStart w:id="8" w:name="_Toc523999365"/>
      <w:bookmarkStart w:id="9" w:name="_Toc524018521"/>
      <w:bookmarkStart w:id="10" w:name="_Toc524101835"/>
      <w:bookmarkStart w:id="11" w:name="_Toc524339414"/>
      <w:bookmarkStart w:id="12" w:name="_Toc524339612"/>
      <w:bookmarkStart w:id="13" w:name="_Toc524441920"/>
      <w:bookmarkStart w:id="14" w:name="_Toc523746123"/>
      <w:bookmarkStart w:id="15" w:name="_Toc523913946"/>
      <w:bookmarkStart w:id="16" w:name="_Toc524019186"/>
      <w:bookmarkStart w:id="17" w:name="_Toc524441983"/>
      <w:r w:rsidRPr="00B134F9">
        <w:t xml:space="preserve">China's claims in this dispute relate to three separate steel products – railway wheels, wind towers and </w:t>
      </w:r>
      <w:proofErr w:type="gramStart"/>
      <w:r w:rsidRPr="00B134F9">
        <w:t>stainless steel</w:t>
      </w:r>
      <w:proofErr w:type="gramEnd"/>
      <w:r w:rsidRPr="00B134F9">
        <w:t xml:space="preserve"> sinks. Each of these products was the subject of separate and distinct investigations undertaken at different times over nearly a decade: three separate anti-dumping investigations for railway wheels, wind towers, and </w:t>
      </w:r>
      <w:proofErr w:type="gramStart"/>
      <w:r w:rsidRPr="00B134F9">
        <w:t>stainless steel</w:t>
      </w:r>
      <w:proofErr w:type="gramEnd"/>
      <w:r w:rsidRPr="00B134F9">
        <w:t xml:space="preserve"> sinks; plus a stainless steel sinks countervailing duty investigation; followed by three separate interim reviews for stainless steel sinks; and separate expiry reviews for stainless steel sinks and wind towers. </w:t>
      </w:r>
      <w:r w:rsidR="00E54559">
        <w:rPr>
          <w:color w:val="000000"/>
        </w:rPr>
        <w:t>T</w:t>
      </w:r>
      <w:r w:rsidRPr="00B134F9">
        <w:rPr>
          <w:color w:val="000000"/>
        </w:rPr>
        <w:t>he evidence shows that the ADC acted as an unbiased and objective investigating authority; that it carefully examined the different evidence before it in each investigation and that it made distinctly different findings based on the evidence.</w:t>
      </w:r>
    </w:p>
    <w:p w14:paraId="4B19F310" w14:textId="52FC087E" w:rsidR="00B134F9" w:rsidRPr="00B134F9" w:rsidRDefault="00B134F9" w:rsidP="00B134F9">
      <w:pPr>
        <w:pStyle w:val="P1-N1Paragraph1-Number1"/>
      </w:pPr>
      <w:r w:rsidRPr="00B134F9">
        <w:t xml:space="preserve">China’s case is fully without merit. It has either failed to establish </w:t>
      </w:r>
      <w:r w:rsidRPr="00382D40">
        <w:t>a</w:t>
      </w:r>
      <w:r w:rsidRPr="00B134F9">
        <w:rPr>
          <w:i/>
          <w:iCs/>
        </w:rPr>
        <w:t xml:space="preserve"> prima facie case</w:t>
      </w:r>
      <w:r w:rsidRPr="00B134F9">
        <w:t xml:space="preserve"> or failed to demonstrate that the ADC’s conduct and decisions were inconsistent with Australia’s WTO obligations.</w:t>
      </w:r>
    </w:p>
    <w:p w14:paraId="3D8E90EB" w14:textId="77777777" w:rsidR="00B134F9" w:rsidRPr="00B134F9" w:rsidRDefault="00B134F9" w:rsidP="00B134F9">
      <w:pPr>
        <w:pStyle w:val="P1-N1Paragraph1-Number1"/>
      </w:pPr>
      <w:r w:rsidRPr="00B134F9">
        <w:t>Most of China’s claims are directed at matters outside the Panel's terms of reference. China's claims in relation to stainless steel sinks and wind towers are almost entirely directed at measures that have been terminated or superseded before the time of panel establishment. Those original determinations, and interim reviews, were terminated or superseded at the time of panel establishment and are outside the Panel’s terms of reference under Articles 3.2, 3.4, 3.7, 6.2, and 7.1 of the DSU. The Panel, therefore, should not make findings or recommendations with respect to these claims under Article 19.1 of the DSU.</w:t>
      </w:r>
    </w:p>
    <w:p w14:paraId="215A54A0" w14:textId="77777777" w:rsidR="00B134F9" w:rsidRPr="00B134F9" w:rsidRDefault="00B134F9" w:rsidP="00B134F9">
      <w:pPr>
        <w:pStyle w:val="P1-N1Paragraph1-Number1"/>
      </w:pPr>
      <w:r w:rsidRPr="00B134F9">
        <w:t xml:space="preserve">Moreover, in its panel request, China also failed to cite a legal basis capable of supporting its claims against the interim and expiry reviews, a minimum prerequisite that is always necessary under WTO rules. As a consequence, none of China’s claims in relation to stainless steel sinks and wind towers are properly before the Panel. In any event, even if the Panel were to find that these claims are within its terms of reference, those claims lack merit. </w:t>
      </w:r>
    </w:p>
    <w:p w14:paraId="216D3C05" w14:textId="59344FE4" w:rsidR="00B134F9" w:rsidRPr="00B134F9" w:rsidRDefault="00B134F9" w:rsidP="00B134F9">
      <w:pPr>
        <w:pStyle w:val="P1-N1Paragraph1-Number1"/>
      </w:pPr>
      <w:r w:rsidRPr="00B134F9">
        <w:t>China’s claims that are properly before the Panel are those that concern the railway wheels investigation. These claims are based on a misunderstanding of Australia's domestic framework and on legally unsound interpretations of the Anti-Dumping Agreement.</w:t>
      </w:r>
    </w:p>
    <w:p w14:paraId="70F755AD" w14:textId="76A440A3" w:rsidR="00B134F9" w:rsidRPr="00B134F9" w:rsidRDefault="00B134F9" w:rsidP="00B134F9">
      <w:pPr>
        <w:pStyle w:val="P1-N1Paragraph1-Number1"/>
      </w:pPr>
      <w:r w:rsidRPr="00B134F9">
        <w:t xml:space="preserve">Contrary to China's submissions, an unbiased and objective investigating authority could have reached the same conclusions as the ADC in each of the challenged investigations. </w:t>
      </w:r>
      <w:r w:rsidRPr="00B134F9">
        <w:lastRenderedPageBreak/>
        <w:t>The ADC's conduct and decisions were consistent with Australia's WTO obligations. Australia therefore requests that, to the extent the Panel finds China’s claims within its terms of reference, the Panel rejects all of China’s claims.</w:t>
      </w:r>
    </w:p>
    <w:p w14:paraId="15871F53" w14:textId="36157A08" w:rsidR="00C022A6" w:rsidRPr="00C11785" w:rsidRDefault="00620C43">
      <w:pPr>
        <w:pStyle w:val="HL1HeadingLevel1"/>
      </w:pPr>
      <w:bookmarkStart w:id="18" w:name="_Toc148710975"/>
      <w:r w:rsidRPr="00C11785">
        <w:t>Burden of Proof</w:t>
      </w:r>
      <w:bookmarkEnd w:id="18"/>
    </w:p>
    <w:p w14:paraId="428193E5" w14:textId="77777777" w:rsidR="00BF043F" w:rsidRPr="00BF043F" w:rsidRDefault="00620C43" w:rsidP="00C11785">
      <w:pPr>
        <w:pStyle w:val="P1-N1Paragraph1-Number1"/>
        <w:rPr>
          <w:rFonts w:eastAsia="Times New Roman"/>
        </w:rPr>
      </w:pPr>
      <w:r w:rsidRPr="00C11785">
        <w:t xml:space="preserve">The burden of proof in WTO dispute settlement is on the complainant to establish a </w:t>
      </w:r>
      <w:r w:rsidRPr="00C11785">
        <w:rPr>
          <w:i/>
        </w:rPr>
        <w:t xml:space="preserve">prima facie </w:t>
      </w:r>
      <w:r w:rsidRPr="00C11785">
        <w:t>case of a violation of a covered agreement.</w:t>
      </w:r>
      <w:r w:rsidRPr="00C11785">
        <w:rPr>
          <w:rStyle w:val="FootnoteReference"/>
        </w:rPr>
        <w:footnoteReference w:id="2"/>
      </w:r>
      <w:r w:rsidRPr="00C11785">
        <w:t xml:space="preserve"> In presenting a </w:t>
      </w:r>
      <w:r w:rsidRPr="00C11785">
        <w:rPr>
          <w:i/>
        </w:rPr>
        <w:t>prima facie</w:t>
      </w:r>
      <w:r w:rsidRPr="00C11785">
        <w:t xml:space="preserve"> case, the complainant must put forward evidence and legal argument in relation to each element of its claims.</w:t>
      </w:r>
      <w:r w:rsidRPr="00C11785">
        <w:rPr>
          <w:rStyle w:val="FootnoteReference"/>
        </w:rPr>
        <w:footnoteReference w:id="3"/>
      </w:r>
      <w:r w:rsidRPr="00C11785">
        <w:t xml:space="preserve"> It follows that a respondent's measure is to be "treated as WTO-consistent, until sufficient evidence is presented to prove the contrary."</w:t>
      </w:r>
      <w:r w:rsidRPr="00C11785">
        <w:rPr>
          <w:rStyle w:val="FootnoteReference"/>
        </w:rPr>
        <w:footnoteReference w:id="4"/>
      </w:r>
      <w:r w:rsidRPr="00C11785">
        <w:t xml:space="preserve"> </w:t>
      </w:r>
      <w:r w:rsidR="00F80E3E" w:rsidRPr="00C11785">
        <w:rPr>
          <w:rFonts w:eastAsia="Times New Roman"/>
        </w:rPr>
        <w:t xml:space="preserve">Where argument or evidence is presented by a complainant, the evidence must be </w:t>
      </w:r>
      <w:r w:rsidR="008A629D">
        <w:rPr>
          <w:rFonts w:eastAsia="Times New Roman"/>
        </w:rPr>
        <w:t>"</w:t>
      </w:r>
      <w:r w:rsidR="00F80E3E" w:rsidRPr="00C11785">
        <w:rPr>
          <w:rFonts w:eastAsia="Times New Roman"/>
        </w:rPr>
        <w:t>sufficient to raise a presumption that what is claimed is true”.</w:t>
      </w:r>
      <w:r w:rsidR="00F80E3E" w:rsidRPr="00C11785">
        <w:rPr>
          <w:rStyle w:val="FootnoteReference"/>
          <w:rFonts w:eastAsia="Times New Roman"/>
        </w:rPr>
        <w:footnoteReference w:id="5"/>
      </w:r>
      <w:r w:rsidR="00F80E3E" w:rsidRPr="00C11785">
        <w:rPr>
          <w:rFonts w:eastAsia="Times New Roman"/>
        </w:rPr>
        <w:t xml:space="preserve"> A mere assertion of a claim is not enough.</w:t>
      </w:r>
      <w:r w:rsidR="00F80E3E" w:rsidRPr="00C11785">
        <w:rPr>
          <w:rStyle w:val="FootnoteReference"/>
          <w:rFonts w:eastAsia="Times New Roman"/>
        </w:rPr>
        <w:footnoteReference w:id="6"/>
      </w:r>
      <w:r w:rsidR="00C11785">
        <w:rPr>
          <w:rFonts w:eastAsia="Times New Roman"/>
        </w:rPr>
        <w:t xml:space="preserve"> </w:t>
      </w:r>
    </w:p>
    <w:p w14:paraId="7BC96A13" w14:textId="0EA3935F" w:rsidR="00C022A6" w:rsidRPr="00C11785" w:rsidRDefault="00BF043F" w:rsidP="00C11785">
      <w:pPr>
        <w:pStyle w:val="P1-N1Paragraph1-Number1"/>
        <w:rPr>
          <w:rFonts w:eastAsia="Times New Roman"/>
        </w:rPr>
      </w:pPr>
      <w:r>
        <w:t xml:space="preserve">China has largely failed </w:t>
      </w:r>
      <w:r w:rsidR="00620C43" w:rsidRPr="00C11785">
        <w:t xml:space="preserve">in its burden as the complainant to make a </w:t>
      </w:r>
      <w:r w:rsidR="00620C43" w:rsidRPr="00C11785">
        <w:rPr>
          <w:i/>
        </w:rPr>
        <w:t xml:space="preserve">prima facie </w:t>
      </w:r>
      <w:r w:rsidR="00620C43" w:rsidRPr="00C11785">
        <w:t>case.</w:t>
      </w:r>
      <w:r w:rsidR="00620C43" w:rsidRPr="00C11785">
        <w:rPr>
          <w:rStyle w:val="FootnoteReference"/>
        </w:rPr>
        <w:footnoteReference w:id="7"/>
      </w:r>
      <w:r>
        <w:t xml:space="preserve"> </w:t>
      </w:r>
      <w:r w:rsidR="00620C43" w:rsidRPr="00C11785">
        <w:t>This includes with respect to several claims made by China towards Stainless Steel Sinks Interim Reviews 352, 459, 461, Expiry Review 517 and Expiry Review 487, in respect of which China presented no arguments or evidence.</w:t>
      </w:r>
      <w:r w:rsidR="00620C43" w:rsidRPr="00C11785">
        <w:rPr>
          <w:rStyle w:val="FootnoteReference"/>
        </w:rPr>
        <w:footnoteReference w:id="8"/>
      </w:r>
      <w:r w:rsidR="00F80E3E" w:rsidRPr="00C11785">
        <w:t xml:space="preserve"> </w:t>
      </w:r>
    </w:p>
    <w:p w14:paraId="78F745B6" w14:textId="77777777" w:rsidR="00C022A6" w:rsidRDefault="00620C43">
      <w:pPr>
        <w:pStyle w:val="HL1HeadingLevel1"/>
      </w:pPr>
      <w:bookmarkStart w:id="19" w:name="_Toc148710976"/>
      <w:r>
        <w:t>Standard of Review</w:t>
      </w:r>
      <w:bookmarkEnd w:id="19"/>
      <w:r>
        <w:t xml:space="preserve"> </w:t>
      </w:r>
    </w:p>
    <w:p w14:paraId="60BDBD11" w14:textId="435B599C" w:rsidR="00D46104" w:rsidRDefault="00620C43" w:rsidP="00603919">
      <w:pPr>
        <w:pStyle w:val="P1-N1Paragraph1-Number1"/>
      </w:pPr>
      <w:r>
        <w:t xml:space="preserve">The Panel's standard of review is established in Article 11 of the DSU and Articles 17.5 and 17.6 of the Anti-Dumping Agreement. In </w:t>
      </w:r>
      <w:r w:rsidR="00A829CC">
        <w:t>sum</w:t>
      </w:r>
      <w:r>
        <w:t xml:space="preserve">, this standard is whether an unbiased and objective investigating authority, in light of the evidence that was before it and the explanations provided, </w:t>
      </w:r>
      <w:r>
        <w:rPr>
          <w:i/>
        </w:rPr>
        <w:t>could</w:t>
      </w:r>
      <w:r>
        <w:t xml:space="preserve"> have </w:t>
      </w:r>
      <w:r w:rsidRPr="007318D8">
        <w:t xml:space="preserve">(not that it inevitably </w:t>
      </w:r>
      <w:r w:rsidRPr="007318D8">
        <w:rPr>
          <w:i/>
        </w:rPr>
        <w:t>would</w:t>
      </w:r>
      <w:r w:rsidRPr="007318D8">
        <w:rPr>
          <w:b/>
          <w:i/>
        </w:rPr>
        <w:t xml:space="preserve"> </w:t>
      </w:r>
      <w:r w:rsidRPr="007318D8">
        <w:t>have)</w:t>
      </w:r>
      <w:r w:rsidRPr="007318D8">
        <w:rPr>
          <w:b/>
          <w:i/>
        </w:rPr>
        <w:t xml:space="preserve"> </w:t>
      </w:r>
      <w:r w:rsidRPr="007318D8">
        <w:t xml:space="preserve">reached the same </w:t>
      </w:r>
      <w:r w:rsidRPr="007318D8">
        <w:lastRenderedPageBreak/>
        <w:t xml:space="preserve">conclusions </w:t>
      </w:r>
      <w:r w:rsidR="00A829CC">
        <w:t>as</w:t>
      </w:r>
      <w:r w:rsidRPr="007318D8">
        <w:t xml:space="preserve"> the ADC.</w:t>
      </w:r>
      <w:r w:rsidRPr="007318D8">
        <w:rPr>
          <w:rStyle w:val="FootnoteReference"/>
        </w:rPr>
        <w:footnoteReference w:id="9"/>
      </w:r>
      <w:r w:rsidR="00D46104">
        <w:t xml:space="preserve"> </w:t>
      </w:r>
      <w:r w:rsidR="005711C4">
        <w:t xml:space="preserve">Under </w:t>
      </w:r>
      <w:r w:rsidR="00A84937">
        <w:t>Article 17.6(</w:t>
      </w:r>
      <w:proofErr w:type="spellStart"/>
      <w:r w:rsidR="00A84937">
        <w:t>i</w:t>
      </w:r>
      <w:proofErr w:type="spellEnd"/>
      <w:r w:rsidR="00A84937">
        <w:t xml:space="preserve">) </w:t>
      </w:r>
      <w:r w:rsidR="00D26D6B">
        <w:t>of the Anti-Dumping Agreement</w:t>
      </w:r>
      <w:r w:rsidR="005711C4">
        <w:t xml:space="preserve">, </w:t>
      </w:r>
      <w:r w:rsidR="00A84937">
        <w:t>i</w:t>
      </w:r>
      <w:r w:rsidR="00D46104">
        <w:t xml:space="preserve">f the </w:t>
      </w:r>
      <w:r w:rsidR="00A84937">
        <w:t xml:space="preserve">establishment of the facts </w:t>
      </w:r>
      <w:r w:rsidR="005711C4">
        <w:t xml:space="preserve">by the investigating authority </w:t>
      </w:r>
      <w:r w:rsidR="00A84937">
        <w:t>was proper and the evaluation was unbiased and objective, a panel should not overturn that evaluation, even though the panel might have reached a different conclusion.</w:t>
      </w:r>
    </w:p>
    <w:p w14:paraId="72ED5C4C" w14:textId="0A66F642" w:rsidR="00C022A6" w:rsidRDefault="00620C43" w:rsidP="00603919">
      <w:pPr>
        <w:pStyle w:val="P1-N1Paragraph1-Number1"/>
      </w:pPr>
      <w:bookmarkStart w:id="20" w:name="_Hlk147415891"/>
      <w:r w:rsidRPr="00603919">
        <w:rPr>
          <w:rFonts w:asciiTheme="minorHAnsi" w:hAnsiTheme="minorHAnsi" w:cstheme="minorHAnsi"/>
          <w:szCs w:val="18"/>
        </w:rPr>
        <w:t>Further, under Article 17.6(ii) of the Anti-Dumping Agreement, where there is more than one permissible interpretation of a provision, a panel should find the authorit</w:t>
      </w:r>
      <w:r w:rsidR="00A829CC">
        <w:rPr>
          <w:rFonts w:asciiTheme="minorHAnsi" w:hAnsiTheme="minorHAnsi" w:cstheme="minorHAnsi"/>
          <w:szCs w:val="18"/>
        </w:rPr>
        <w:t>y</w:t>
      </w:r>
      <w:r w:rsidRPr="00603919">
        <w:rPr>
          <w:rFonts w:asciiTheme="minorHAnsi" w:hAnsiTheme="minorHAnsi" w:cstheme="minorHAnsi"/>
          <w:szCs w:val="18"/>
        </w:rPr>
        <w:t>'</w:t>
      </w:r>
      <w:r w:rsidR="00A829CC">
        <w:rPr>
          <w:rFonts w:asciiTheme="minorHAnsi" w:hAnsiTheme="minorHAnsi" w:cstheme="minorHAnsi"/>
          <w:szCs w:val="18"/>
        </w:rPr>
        <w:t>s</w:t>
      </w:r>
      <w:r w:rsidRPr="00603919">
        <w:rPr>
          <w:rFonts w:asciiTheme="minorHAnsi" w:hAnsiTheme="minorHAnsi" w:cstheme="minorHAnsi"/>
          <w:szCs w:val="18"/>
        </w:rPr>
        <w:t xml:space="preserve"> measure to be in conformity with the Agreement if it rests upon one of those permissible interpretations.</w:t>
      </w:r>
      <w:bookmarkEnd w:id="20"/>
      <w:r>
        <w:rPr>
          <w:rStyle w:val="FootnoteReference"/>
        </w:rPr>
        <w:footnoteReference w:id="10"/>
      </w:r>
    </w:p>
    <w:p w14:paraId="16FABE0E" w14:textId="77777777" w:rsidR="00C022A6" w:rsidRDefault="00620C43">
      <w:pPr>
        <w:pStyle w:val="HL1HeadingLevel1"/>
      </w:pPr>
      <w:bookmarkStart w:id="21" w:name="_Toc148710977"/>
      <w:r>
        <w:t>China's claims concerning stainless steel sinks and wind towers measures are outside the Panel's terms of reference</w:t>
      </w:r>
      <w:bookmarkEnd w:id="21"/>
    </w:p>
    <w:p w14:paraId="2C59EF09" w14:textId="588A916C" w:rsidR="00C022A6" w:rsidRDefault="00620C43" w:rsidP="00231DD0">
      <w:pPr>
        <w:pStyle w:val="HL2HeadingLevel2"/>
      </w:pPr>
      <w:bookmarkStart w:id="22" w:name="_Toc134781895"/>
      <w:bookmarkStart w:id="23" w:name="_Toc135405886"/>
      <w:bookmarkStart w:id="24" w:name="_Toc148710978"/>
      <w:r>
        <w:t>All of China’s CVD claims are outside the scope of the Panel's terms of reference</w:t>
      </w:r>
      <w:bookmarkEnd w:id="22"/>
      <w:bookmarkEnd w:id="23"/>
      <w:bookmarkEnd w:id="24"/>
    </w:p>
    <w:p w14:paraId="1133FED8" w14:textId="5DF28448" w:rsidR="00C022A6" w:rsidRDefault="00620C43">
      <w:pPr>
        <w:pStyle w:val="P1-N1Paragraph1-Number1"/>
        <w:rPr>
          <w:bCs/>
        </w:rPr>
      </w:pPr>
      <w:bookmarkStart w:id="25" w:name="_Toc134781896"/>
      <w:bookmarkStart w:id="26" w:name="_Toc135405887"/>
      <w:r>
        <w:rPr>
          <w:lang w:val="en-US"/>
        </w:rPr>
        <w:t xml:space="preserve">China's CVD claims in section B.2 of its panel request </w:t>
      </w:r>
      <w:r w:rsidR="001B0E9F">
        <w:rPr>
          <w:lang w:val="en-US"/>
        </w:rPr>
        <w:t>are directed</w:t>
      </w:r>
      <w:r>
        <w:rPr>
          <w:lang w:val="en-US"/>
        </w:rPr>
        <w:t xml:space="preserve"> only to the countervailing measures associated with Program 1. </w:t>
      </w:r>
      <w:r>
        <w:rPr>
          <w:bCs/>
        </w:rPr>
        <w:t xml:space="preserve">China </w:t>
      </w:r>
      <w:r w:rsidR="007E13BA">
        <w:rPr>
          <w:bCs/>
        </w:rPr>
        <w:t>expressly and unambiguously</w:t>
      </w:r>
      <w:r>
        <w:rPr>
          <w:bCs/>
        </w:rPr>
        <w:t xml:space="preserve"> limited its claims to </w:t>
      </w:r>
      <w:r>
        <w:rPr>
          <w:bCs/>
          <w:lang w:val="en-US"/>
        </w:rPr>
        <w:t>"</w:t>
      </w:r>
      <w:r>
        <w:rPr>
          <w:bCs/>
        </w:rPr>
        <w:t>the countervailing measures…</w:t>
      </w:r>
      <w:r>
        <w:t xml:space="preserve"> only </w:t>
      </w:r>
      <w:r>
        <w:rPr>
          <w:bCs/>
        </w:rPr>
        <w:t>with regard</w:t>
      </w:r>
      <w:r>
        <w:rPr>
          <w:bCs/>
          <w:lang w:val="en-US"/>
        </w:rPr>
        <w:t>"</w:t>
      </w:r>
      <w:r>
        <w:rPr>
          <w:bCs/>
        </w:rPr>
        <w:t xml:space="preserve"> to Program 1.</w:t>
      </w:r>
      <w:r>
        <w:rPr>
          <w:bCs/>
          <w:vertAlign w:val="superscript"/>
        </w:rPr>
        <w:footnoteReference w:id="11"/>
      </w:r>
      <w:r>
        <w:rPr>
          <w:lang w:val="en-US"/>
        </w:rPr>
        <w:t xml:space="preserve"> All countervailing measures related to Program 1 </w:t>
      </w:r>
      <w:r w:rsidR="00C83729">
        <w:rPr>
          <w:lang w:val="en-US"/>
        </w:rPr>
        <w:t>have long been</w:t>
      </w:r>
      <w:r>
        <w:rPr>
          <w:lang w:val="en-US"/>
        </w:rPr>
        <w:t xml:space="preserve"> terminated at the time of panel establishment.</w:t>
      </w:r>
      <w:r w:rsidR="00F876C4">
        <w:rPr>
          <w:rStyle w:val="FootnoteReference"/>
          <w:lang w:val="en-US"/>
        </w:rPr>
        <w:footnoteReference w:id="12"/>
      </w:r>
      <w:r w:rsidR="00153CBD">
        <w:rPr>
          <w:lang w:val="en-US"/>
        </w:rPr>
        <w:t xml:space="preserve"> </w:t>
      </w:r>
    </w:p>
    <w:p w14:paraId="12C45E64" w14:textId="49CF5B84" w:rsidR="00C022A6" w:rsidRDefault="00620C43">
      <w:pPr>
        <w:pStyle w:val="P1-N1Paragraph1-Number1"/>
      </w:pPr>
      <w:r>
        <w:rPr>
          <w:lang w:val="en-US"/>
        </w:rPr>
        <w:lastRenderedPageBreak/>
        <w:t>With very limited exception, measures that are no longer in existence before panel establishment are outside the panel's terms of reference.</w:t>
      </w:r>
      <w:r>
        <w:rPr>
          <w:vertAlign w:val="superscript"/>
          <w:lang w:val="en-US"/>
        </w:rPr>
        <w:footnoteReference w:id="13"/>
      </w:r>
      <w:r>
        <w:rPr>
          <w:lang w:val="en-US"/>
        </w:rPr>
        <w:t xml:space="preserve"> The DSU does not vest panels with the authority to issue advisory opinions on measures that are expired, terminated, superseded or otherwise non-existent.</w:t>
      </w:r>
      <w:r>
        <w:rPr>
          <w:vertAlign w:val="superscript"/>
        </w:rPr>
        <w:footnoteReference w:id="14"/>
      </w:r>
    </w:p>
    <w:p w14:paraId="1265E578" w14:textId="13BD6A69" w:rsidR="00C022A6" w:rsidRDefault="00620C43">
      <w:pPr>
        <w:pStyle w:val="P1-N1Paragraph1-Number1"/>
      </w:pPr>
      <w:r>
        <w:rPr>
          <w:lang w:val="en-US"/>
        </w:rPr>
        <w:t xml:space="preserve">At the time that China filed its </w:t>
      </w:r>
      <w:bookmarkStart w:id="27" w:name="_Hlk134108515"/>
      <w:r>
        <w:rPr>
          <w:lang w:val="en-US"/>
        </w:rPr>
        <w:t>panel request</w:t>
      </w:r>
      <w:bookmarkEnd w:id="27"/>
      <w:r>
        <w:rPr>
          <w:lang w:val="en-US"/>
        </w:rPr>
        <w:t>, no measure related to Program 1 had been in existence for nearly two years</w:t>
      </w:r>
      <w:r>
        <w:t>.</w:t>
      </w:r>
      <w:r>
        <w:rPr>
          <w:vertAlign w:val="superscript"/>
        </w:rPr>
        <w:footnoteReference w:id="15"/>
      </w:r>
      <w:r>
        <w:t xml:space="preserve"> This is because in Expiry Review 517, which superseded the original determination in 2020, the ADC found that no exporter received a benefit in respect of Program 1. As a consequence, there was no subsidy and, in turn, no countervailing duties relating to Program 1 have been applied to any imports of </w:t>
      </w:r>
      <w:proofErr w:type="gramStart"/>
      <w:r>
        <w:t>stainless steel</w:t>
      </w:r>
      <w:proofErr w:type="gramEnd"/>
      <w:r>
        <w:t xml:space="preserve"> sinks from China since 27 March 2020.</w:t>
      </w:r>
      <w:r>
        <w:rPr>
          <w:vertAlign w:val="superscript"/>
        </w:rPr>
        <w:footnoteReference w:id="16"/>
      </w:r>
    </w:p>
    <w:p w14:paraId="6A20D67A" w14:textId="1F0CA09C" w:rsidR="00C022A6" w:rsidRDefault="00620C43">
      <w:pPr>
        <w:pStyle w:val="P1-N1Paragraph1-Number1"/>
      </w:pPr>
      <w:r>
        <w:t>All</w:t>
      </w:r>
      <w:r>
        <w:rPr>
          <w:lang w:val="en-US"/>
        </w:rPr>
        <w:t xml:space="preserve"> of China's claims in sections B.2.1 through B.2.5 of its panel request are thus with respect to measures that were not in existence at the time the Panel was established.</w:t>
      </w:r>
      <w:r>
        <w:t xml:space="preserve"> Accordingly, </w:t>
      </w:r>
      <w:r>
        <w:rPr>
          <w:lang w:val="en-US"/>
        </w:rPr>
        <w:t>consistent with Articles 3.2, 3.4, 3.7, 6.2, 7.1 and 19.1 of the DSU and previous panel and Appellate Body reports, China's CVD claims are</w:t>
      </w:r>
      <w:r>
        <w:t xml:space="preserve"> outside the Panel's terms of reference and the Panel should issue no findings or recommendations in respect of these claims.</w:t>
      </w:r>
      <w:r w:rsidR="00812BCF">
        <w:rPr>
          <w:rStyle w:val="FootnoteReference"/>
        </w:rPr>
        <w:footnoteReference w:id="17"/>
      </w:r>
    </w:p>
    <w:p w14:paraId="08D0F4C5" w14:textId="5786FF2D" w:rsidR="00C022A6" w:rsidRDefault="00620C43">
      <w:pPr>
        <w:pStyle w:val="P1-N1Paragraph1-Number1"/>
      </w:pPr>
      <w:r>
        <w:t xml:space="preserve">China has advanced several arguments seeking to remedy this defect in its panel request. </w:t>
      </w:r>
      <w:r w:rsidR="00C93234">
        <w:t>F</w:t>
      </w:r>
      <w:r>
        <w:t>or the reasons explained below</w:t>
      </w:r>
      <w:r w:rsidR="00C93234">
        <w:t>, these arguments are without merit</w:t>
      </w:r>
      <w:r w:rsidR="00C83729">
        <w:t xml:space="preserve"> and should be rejected</w:t>
      </w:r>
      <w:r w:rsidR="00C93234">
        <w:t>.</w:t>
      </w:r>
    </w:p>
    <w:p w14:paraId="534AD300" w14:textId="24DD4E47" w:rsidR="00C022A6" w:rsidRDefault="00620C43">
      <w:pPr>
        <w:pStyle w:val="HL3HeadingLevel3"/>
      </w:pPr>
      <w:bookmarkStart w:id="28" w:name="_Toc148710979"/>
      <w:r>
        <w:lastRenderedPageBreak/>
        <w:t xml:space="preserve">China improperly attempts to redefine the challenged measures contained in its own panel </w:t>
      </w:r>
      <w:proofErr w:type="gramStart"/>
      <w:r>
        <w:t>request</w:t>
      </w:r>
      <w:bookmarkEnd w:id="25"/>
      <w:bookmarkEnd w:id="26"/>
      <w:bookmarkEnd w:id="28"/>
      <w:proofErr w:type="gramEnd"/>
    </w:p>
    <w:p w14:paraId="788D91FF" w14:textId="02A86656" w:rsidR="00C022A6" w:rsidRDefault="00620C43">
      <w:pPr>
        <w:pStyle w:val="P1-N1Paragraph1-Number1"/>
        <w:rPr>
          <w:bCs/>
        </w:rPr>
      </w:pPr>
      <w:r>
        <w:rPr>
          <w:bCs/>
        </w:rPr>
        <w:t xml:space="preserve">Under WTO rules, the measures at issue are those identified by a complainant in its request for panel establishment. Yet, </w:t>
      </w:r>
      <w:r w:rsidR="00C83729">
        <w:rPr>
          <w:bCs/>
        </w:rPr>
        <w:t>despite the text of its own panel request</w:t>
      </w:r>
      <w:r>
        <w:rPr>
          <w:bCs/>
        </w:rPr>
        <w:t>, China has repeatedly attempted to recast the challenged measures</w:t>
      </w:r>
      <w:r w:rsidR="00C83729" w:rsidRPr="00C83729">
        <w:rPr>
          <w:bCs/>
        </w:rPr>
        <w:t xml:space="preserve"> </w:t>
      </w:r>
      <w:r w:rsidR="00C83729">
        <w:rPr>
          <w:bCs/>
        </w:rPr>
        <w:t>throughout this dispute</w:t>
      </w:r>
      <w:r>
        <w:rPr>
          <w:bCs/>
        </w:rPr>
        <w:t>.</w:t>
      </w:r>
      <w:r>
        <w:rPr>
          <w:rStyle w:val="FootnoteReference"/>
          <w:bCs/>
        </w:rPr>
        <w:footnoteReference w:id="18"/>
      </w:r>
    </w:p>
    <w:p w14:paraId="6A26CC29" w14:textId="774C281E" w:rsidR="00C022A6" w:rsidRDefault="00620C43">
      <w:pPr>
        <w:pStyle w:val="P1-N1Paragraph1-Number1"/>
      </w:pPr>
      <w:r>
        <w:t xml:space="preserve">At the first Panel meeting, China advanced an argument that the measures at issue were not just those </w:t>
      </w:r>
      <w:r w:rsidR="00B54BAE">
        <w:t>"</w:t>
      </w:r>
      <w:r>
        <w:t>only with regard to Program 1</w:t>
      </w:r>
      <w:r w:rsidR="00B54BAE">
        <w:t>"</w:t>
      </w:r>
      <w:r>
        <w:t>, as expressly identified in its panel request, but, rather, "only one indivisible, continuous measure in each respect</w:t>
      </w:r>
      <w:r>
        <w:rPr>
          <w:bCs/>
          <w:lang w:val="en-US"/>
        </w:rPr>
        <w:t>",</w:t>
      </w:r>
      <w:r>
        <w:t xml:space="preserve"> including all instruments listed in no. 8 through 23 of the </w:t>
      </w:r>
      <w:r>
        <w:rPr>
          <w:bCs/>
          <w:lang w:val="en-US"/>
        </w:rPr>
        <w:t>panel request</w:t>
      </w:r>
      <w:r>
        <w:t>'s appendix</w:t>
      </w:r>
      <w:r>
        <w:rPr>
          <w:rFonts w:cs="Arial"/>
        </w:rPr>
        <w:t>.</w:t>
      </w:r>
      <w:r>
        <w:rPr>
          <w:rStyle w:val="FootnoteReference"/>
          <w:rFonts w:cs="Arial"/>
        </w:rPr>
        <w:footnoteReference w:id="19"/>
      </w:r>
    </w:p>
    <w:p w14:paraId="6D7329B7" w14:textId="7365E674" w:rsidR="00C022A6" w:rsidRDefault="00620C43">
      <w:pPr>
        <w:pStyle w:val="P1-N1Paragraph1-Number1"/>
      </w:pPr>
      <w:r>
        <w:t xml:space="preserve">A complainant </w:t>
      </w:r>
      <w:r w:rsidR="00A96D3A">
        <w:t xml:space="preserve">bears the burden of establishing </w:t>
      </w:r>
      <w:r>
        <w:t>that separate legal instruments comprise part of an overarching measure.</w:t>
      </w:r>
      <w:r>
        <w:rPr>
          <w:rStyle w:val="FootnoteReference"/>
        </w:rPr>
        <w:footnoteReference w:id="20"/>
      </w:r>
      <w:r>
        <w:t xml:space="preserve"> The complainant must provide evidence of how the different components operate together as part of a single measure and how a single measure exists as distinct from its components.</w:t>
      </w:r>
      <w:r>
        <w:rPr>
          <w:rStyle w:val="FootnoteReference"/>
        </w:rPr>
        <w:footnoteReference w:id="21"/>
      </w:r>
      <w:r>
        <w:t xml:space="preserve"> China has presented no evidence for why these separate legal instruments should be considered together, or how a countervailing </w:t>
      </w:r>
      <w:r w:rsidR="007318D8">
        <w:t xml:space="preserve">measure </w:t>
      </w:r>
      <w:r>
        <w:t>taken as a whole is distinct from its parts.</w:t>
      </w:r>
      <w:r w:rsidR="007A4B05">
        <w:rPr>
          <w:rStyle w:val="FootnoteReference"/>
        </w:rPr>
        <w:footnoteReference w:id="22"/>
      </w:r>
    </w:p>
    <w:p w14:paraId="7614561A" w14:textId="77777777" w:rsidR="00C022A6" w:rsidRDefault="00620C43">
      <w:pPr>
        <w:pStyle w:val="HL3HeadingLevel3"/>
      </w:pPr>
      <w:bookmarkStart w:id="30" w:name="_Toc134781900"/>
      <w:bookmarkStart w:id="31" w:name="_Toc135405890"/>
      <w:bookmarkStart w:id="32" w:name="_Toc148710980"/>
      <w:r>
        <w:rPr>
          <w:lang w:val="en-US"/>
        </w:rPr>
        <w:t xml:space="preserve">China's attempts to reinvent its claims in section B.2 of its panel request should be </w:t>
      </w:r>
      <w:proofErr w:type="gramStart"/>
      <w:r>
        <w:rPr>
          <w:lang w:val="en-US"/>
        </w:rPr>
        <w:t>rejected</w:t>
      </w:r>
      <w:bookmarkEnd w:id="30"/>
      <w:bookmarkEnd w:id="31"/>
      <w:bookmarkEnd w:id="32"/>
      <w:proofErr w:type="gramEnd"/>
    </w:p>
    <w:p w14:paraId="053810C5" w14:textId="243906C8" w:rsidR="00C022A6" w:rsidRDefault="00620C43">
      <w:pPr>
        <w:pStyle w:val="P1-N1Paragraph1-Number1"/>
      </w:pPr>
      <w:r>
        <w:t xml:space="preserve">China has </w:t>
      </w:r>
      <w:r w:rsidR="004F7087">
        <w:t xml:space="preserve">repeatedly </w:t>
      </w:r>
      <w:r>
        <w:t>attempted</w:t>
      </w:r>
      <w:r w:rsidR="004F7087">
        <w:t xml:space="preserve"> </w:t>
      </w:r>
      <w:r>
        <w:t xml:space="preserve">to reinvent its claims under </w:t>
      </w:r>
      <w:r>
        <w:rPr>
          <w:bCs/>
          <w:lang w:val="en-US"/>
        </w:rPr>
        <w:t>section</w:t>
      </w:r>
      <w:r>
        <w:t xml:space="preserve"> B.2 of its panel request and to drastically expand the scope of this dispute by advancing two </w:t>
      </w:r>
      <w:r w:rsidR="003B785B">
        <w:t xml:space="preserve">principal </w:t>
      </w:r>
      <w:r>
        <w:t>arguments</w:t>
      </w:r>
      <w:r w:rsidR="0003315D">
        <w:t>:</w:t>
      </w:r>
      <w:r>
        <w:t xml:space="preserve"> (</w:t>
      </w:r>
      <w:r w:rsidR="005E56F1">
        <w:t>a</w:t>
      </w:r>
      <w:r>
        <w:t xml:space="preserve">) that its claims are with respect to the </w:t>
      </w:r>
      <w:r>
        <w:rPr>
          <w:i/>
          <w:iCs/>
        </w:rPr>
        <w:t>methodology</w:t>
      </w:r>
      <w:r>
        <w:t xml:space="preserve"> used by the ADC to assess Program 1</w:t>
      </w:r>
      <w:r w:rsidR="0003315D">
        <w:t>;</w:t>
      </w:r>
      <w:r>
        <w:rPr>
          <w:rStyle w:val="FootnoteReference"/>
        </w:rPr>
        <w:footnoteReference w:id="23"/>
      </w:r>
      <w:r>
        <w:t xml:space="preserve"> and (</w:t>
      </w:r>
      <w:r w:rsidR="005E56F1">
        <w:t>b</w:t>
      </w:r>
      <w:r>
        <w:t xml:space="preserve">) </w:t>
      </w:r>
      <w:r w:rsidR="004F7087">
        <w:t>that it should be granted</w:t>
      </w:r>
      <w:r>
        <w:t xml:space="preserve"> assurances that Program 1 </w:t>
      </w:r>
      <w:r w:rsidR="004F7087">
        <w:t>would</w:t>
      </w:r>
      <w:r>
        <w:t xml:space="preserve"> never be considered by the ADC in future reviews.</w:t>
      </w:r>
      <w:r>
        <w:rPr>
          <w:rStyle w:val="FootnoteReference"/>
        </w:rPr>
        <w:footnoteReference w:id="24"/>
      </w:r>
      <w:r>
        <w:t xml:space="preserve"> </w:t>
      </w:r>
      <w:r w:rsidR="001B0E9F">
        <w:t xml:space="preserve">Both of these arguments should be rejected. </w:t>
      </w:r>
      <w:r>
        <w:t xml:space="preserve">The first argument amounts to an impermissible attempt to convert China's </w:t>
      </w:r>
      <w:r>
        <w:rPr>
          <w:bCs/>
          <w:lang w:val="en-US"/>
        </w:rPr>
        <w:t>"</w:t>
      </w:r>
      <w:r>
        <w:t>as applied</w:t>
      </w:r>
      <w:r>
        <w:rPr>
          <w:bCs/>
          <w:lang w:val="en-US"/>
        </w:rPr>
        <w:t>"</w:t>
      </w:r>
      <w:r>
        <w:t xml:space="preserve"> claims in </w:t>
      </w:r>
      <w:r>
        <w:rPr>
          <w:bCs/>
          <w:lang w:val="en-US"/>
        </w:rPr>
        <w:t>sections</w:t>
      </w:r>
      <w:r>
        <w:t xml:space="preserve"> B.2.1-B.2.5 to </w:t>
      </w:r>
      <w:r>
        <w:rPr>
          <w:bCs/>
          <w:lang w:val="en-US"/>
        </w:rPr>
        <w:t>"</w:t>
      </w:r>
      <w:r>
        <w:t>as such</w:t>
      </w:r>
      <w:r>
        <w:rPr>
          <w:bCs/>
          <w:lang w:val="en-US"/>
        </w:rPr>
        <w:t>"</w:t>
      </w:r>
      <w:r>
        <w:t xml:space="preserve"> challenges. The second equates to an impermissible request for an advisory opinion from the Panel with respect to future, speculative measures.</w:t>
      </w:r>
      <w:r>
        <w:rPr>
          <w:rStyle w:val="FootnoteReference"/>
        </w:rPr>
        <w:footnoteReference w:id="25"/>
      </w:r>
    </w:p>
    <w:p w14:paraId="52E809A4" w14:textId="0BCFFC97" w:rsidR="00C022A6" w:rsidRDefault="00620C43">
      <w:pPr>
        <w:pStyle w:val="HL3HeadingLevel3"/>
      </w:pPr>
      <w:bookmarkStart w:id="33" w:name="_Toc134781901"/>
      <w:bookmarkStart w:id="34" w:name="_Toc135405891"/>
      <w:bookmarkStart w:id="35" w:name="_Toc148710981"/>
      <w:r>
        <w:rPr>
          <w:lang w:val="en-US"/>
        </w:rPr>
        <w:lastRenderedPageBreak/>
        <w:t xml:space="preserve">China's assertions that countervailing measures related to Program 1 </w:t>
      </w:r>
      <w:r w:rsidR="004E1EAE">
        <w:rPr>
          <w:lang w:val="en-US"/>
        </w:rPr>
        <w:t xml:space="preserve">still </w:t>
      </w:r>
      <w:r>
        <w:rPr>
          <w:lang w:val="en-US"/>
        </w:rPr>
        <w:t xml:space="preserve">exist are </w:t>
      </w:r>
      <w:proofErr w:type="gramStart"/>
      <w:r>
        <w:rPr>
          <w:lang w:val="en-US"/>
        </w:rPr>
        <w:t>baseless</w:t>
      </w:r>
      <w:bookmarkEnd w:id="33"/>
      <w:bookmarkEnd w:id="34"/>
      <w:bookmarkEnd w:id="35"/>
      <w:proofErr w:type="gramEnd"/>
    </w:p>
    <w:p w14:paraId="2AC6BBA3" w14:textId="2F4AFF18" w:rsidR="00C022A6" w:rsidRDefault="00620C43">
      <w:pPr>
        <w:pStyle w:val="P1-N1Paragraph1-Number1"/>
      </w:pPr>
      <w:r>
        <w:t>China has asserted that countervailing measures related to Program 1 still exist.</w:t>
      </w:r>
      <w:r>
        <w:rPr>
          <w:rStyle w:val="FootnoteReference"/>
        </w:rPr>
        <w:footnoteReference w:id="26"/>
      </w:r>
      <w:r>
        <w:t xml:space="preserve"> China’s assertions are simply wrong. </w:t>
      </w:r>
      <w:r w:rsidR="001B0E9F">
        <w:t>Australia</w:t>
      </w:r>
      <w:r w:rsidR="004F7087">
        <w:t>'s</w:t>
      </w:r>
      <w:r w:rsidR="001B0E9F">
        <w:t xml:space="preserve"> evidence establishes that </w:t>
      </w:r>
      <w:r w:rsidR="004A73F6">
        <w:t>n</w:t>
      </w:r>
      <w:r>
        <w:t xml:space="preserve">o countervailing measures related to Program 1 have </w:t>
      </w:r>
      <w:r w:rsidR="004A73F6">
        <w:t xml:space="preserve">existed </w:t>
      </w:r>
      <w:r>
        <w:t>since 27 March 2020.</w:t>
      </w:r>
      <w:r>
        <w:rPr>
          <w:rStyle w:val="FootnoteReference"/>
        </w:rPr>
        <w:footnoteReference w:id="27"/>
      </w:r>
      <w:r>
        <w:t xml:space="preserve"> </w:t>
      </w:r>
    </w:p>
    <w:p w14:paraId="251914A3" w14:textId="0B2957E4" w:rsidR="00C022A6" w:rsidRDefault="00620C43" w:rsidP="00231DD0">
      <w:pPr>
        <w:pStyle w:val="HL2HeadingLevel2"/>
      </w:pPr>
      <w:bookmarkStart w:id="36" w:name="_Toc134781907"/>
      <w:bookmarkStart w:id="37" w:name="_Toc135405897"/>
      <w:bookmarkStart w:id="38" w:name="_Toc148710982"/>
      <w:r>
        <w:t xml:space="preserve">All of China’s AD claims with regard to stainless steel sinks and wind towers are outside the scope of the </w:t>
      </w:r>
      <w:r w:rsidR="00B91D4D">
        <w:t>P</w:t>
      </w:r>
      <w:r>
        <w:t>anel's terms of reference</w:t>
      </w:r>
      <w:bookmarkEnd w:id="36"/>
      <w:bookmarkEnd w:id="37"/>
      <w:bookmarkEnd w:id="38"/>
      <w:r>
        <w:t xml:space="preserve"> </w:t>
      </w:r>
    </w:p>
    <w:p w14:paraId="4E398270" w14:textId="1B54B233" w:rsidR="00C022A6" w:rsidRDefault="00620C43">
      <w:pPr>
        <w:pStyle w:val="P1-N1Paragraph1-Number1"/>
      </w:pPr>
      <w:r>
        <w:t>China's AD claims concerning both stainless steel sinks and wind towers</w:t>
      </w:r>
      <w:r w:rsidR="001B0E9F">
        <w:t xml:space="preserve"> investigations</w:t>
      </w:r>
      <w:r>
        <w:t xml:space="preserve"> in section B.1 of its panel request are outside the Panel's terms of reference.</w:t>
      </w:r>
    </w:p>
    <w:p w14:paraId="0F4DD8A2" w14:textId="54758D20" w:rsidR="00C022A6" w:rsidRDefault="00620C43">
      <w:pPr>
        <w:pStyle w:val="P1-N1Paragraph1-Number1"/>
      </w:pPr>
      <w:r>
        <w:t xml:space="preserve"> First, nearly all of China's claims concerning wind towers and </w:t>
      </w:r>
      <w:proofErr w:type="gramStart"/>
      <w:r>
        <w:t>stainless steel</w:t>
      </w:r>
      <w:proofErr w:type="gramEnd"/>
      <w:r>
        <w:t xml:space="preserve"> sinks in section B.1.1 through B.1.8 relate exclusively to the original determinations in both investigations.  As the original determinations for stainless steel sinks and wind towers were superseded by expiry reviews at the time of panel establishment, they are not "measures at issue" for the purposes of Article 6.2 of the DSU.</w:t>
      </w:r>
      <w:r>
        <w:rPr>
          <w:rStyle w:val="FootnoteReference"/>
        </w:rPr>
        <w:footnoteReference w:id="28"/>
      </w:r>
    </w:p>
    <w:p w14:paraId="387C7F71" w14:textId="0645E609" w:rsidR="00C022A6" w:rsidRDefault="00620C43">
      <w:pPr>
        <w:pStyle w:val="P1-N1Paragraph1-Number1"/>
      </w:pPr>
      <w:r>
        <w:t>Second, to the extent that China sought to challenge Expiry Review 487 and Expiry Review 517, China failed to cite the relevant provision of the WTO Agreements related to expiry reviews, Article 11.3 of the Anti-Dumping Agreement. China therefore failed to "provide a brief summary of the legal basis of the complaint sufficient to present the problem clearly" in accordance with Article 6.2 of the DSU</w:t>
      </w:r>
      <w:r w:rsidRPr="003B7E86">
        <w:t>.</w:t>
      </w:r>
      <w:r w:rsidRPr="003B7E86">
        <w:rPr>
          <w:rStyle w:val="FootnoteReference"/>
        </w:rPr>
        <w:footnoteReference w:id="29"/>
      </w:r>
      <w:r w:rsidRPr="003B7E86">
        <w:t xml:space="preserve"> China</w:t>
      </w:r>
      <w:r>
        <w:t xml:space="preserve"> cannot bring a separate and standalone claim under Article 2 without citing Article 11.3 of the Anti-Dumping Agreement in its panel request.</w:t>
      </w:r>
      <w:r>
        <w:rPr>
          <w:rStyle w:val="FootnoteReference"/>
        </w:rPr>
        <w:footnoteReference w:id="30"/>
      </w:r>
    </w:p>
    <w:p w14:paraId="1B31DB8F" w14:textId="53BA7A23" w:rsidR="00C022A6" w:rsidRDefault="00620C43">
      <w:pPr>
        <w:pStyle w:val="P1-N1Paragraph1-Number1"/>
      </w:pPr>
      <w:r>
        <w:t>Third, to the extent China sought to challenge Stainless Steel Sinks Interim Reviews 352, 459, and 461 (</w:t>
      </w:r>
      <w:r w:rsidR="004F7087">
        <w:t>and noting</w:t>
      </w:r>
      <w:r>
        <w:t xml:space="preserve"> China only </w:t>
      </w:r>
      <w:r w:rsidR="004F7087">
        <w:t xml:space="preserve">raised arguments </w:t>
      </w:r>
      <w:r>
        <w:t>after the first Panel meeting</w:t>
      </w:r>
      <w:r>
        <w:rPr>
          <w:rStyle w:val="FootnoteReference"/>
        </w:rPr>
        <w:footnoteReference w:id="31"/>
      </w:r>
      <w:r>
        <w:t xml:space="preserve">), </w:t>
      </w:r>
      <w:r>
        <w:lastRenderedPageBreak/>
        <w:t xml:space="preserve">China failed to cite Article 11.2 of the Anti-Dumping Agreement. Having failed to cite the requisite </w:t>
      </w:r>
      <w:r w:rsidR="003E3670">
        <w:t>a</w:t>
      </w:r>
      <w:r>
        <w:t>rticle of the Anti-Dumping Agreement to challenge these reviews, the interim reviews are similarly outside the Panel's terms of reference.</w:t>
      </w:r>
      <w:r>
        <w:rPr>
          <w:rStyle w:val="FootnoteReference"/>
        </w:rPr>
        <w:footnoteReference w:id="32"/>
      </w:r>
    </w:p>
    <w:p w14:paraId="62C0B7B1" w14:textId="79BAAB48" w:rsidR="00C022A6" w:rsidRDefault="004A73F6">
      <w:pPr>
        <w:pStyle w:val="P1-N1Paragraph1-Number1"/>
      </w:pPr>
      <w:r>
        <w:t>Australia has addressed in detail the many jurisdictional flaws in China's AD claims under section B.1 of China's panel request in its written submissions, opening statements, closing statements, and responses to panel questions.</w:t>
      </w:r>
      <w:r>
        <w:rPr>
          <w:rStyle w:val="FootnoteReference"/>
        </w:rPr>
        <w:footnoteReference w:id="33"/>
      </w:r>
      <w:r>
        <w:t xml:space="preserve"> </w:t>
      </w:r>
      <w:r w:rsidR="00620C43">
        <w:t xml:space="preserve">Australia respectfully requests that the Panel find all of China's AD claims against wind towers and </w:t>
      </w:r>
      <w:proofErr w:type="gramStart"/>
      <w:r w:rsidR="00620C43">
        <w:t>stainless steel</w:t>
      </w:r>
      <w:proofErr w:type="gramEnd"/>
      <w:r w:rsidR="00620C43">
        <w:t xml:space="preserve"> sinks are outside the Panel’s terms of reference.</w:t>
      </w:r>
    </w:p>
    <w:p w14:paraId="13873967" w14:textId="77777777" w:rsidR="00C022A6" w:rsidRDefault="00620C43">
      <w:pPr>
        <w:pStyle w:val="HL1HeadingLevel1"/>
        <w:rPr>
          <w:rFonts w:asciiTheme="minorHAnsi" w:hAnsiTheme="minorHAnsi" w:cstheme="minorHAnsi"/>
        </w:rPr>
      </w:pPr>
      <w:bookmarkStart w:id="39" w:name="_Toc148710983"/>
      <w:bookmarkStart w:id="40" w:name="_Toc130201844"/>
      <w:bookmarkStart w:id="41" w:name="_Toc132876640"/>
      <w:r>
        <w:t xml:space="preserve">Responses </w:t>
      </w:r>
      <w:r>
        <w:rPr>
          <w:rFonts w:asciiTheme="minorHAnsi" w:hAnsiTheme="minorHAnsi" w:cstheme="minorHAnsi"/>
        </w:rPr>
        <w:t>to AD claims: Railway Wheels</w:t>
      </w:r>
      <w:bookmarkEnd w:id="39"/>
    </w:p>
    <w:p w14:paraId="45B1CD7B" w14:textId="77777777" w:rsidR="00C022A6" w:rsidRDefault="00620C43" w:rsidP="00231DD0">
      <w:pPr>
        <w:pStyle w:val="HL2HeadingLevel2"/>
      </w:pPr>
      <w:bookmarkStart w:id="42" w:name="_Toc148710984"/>
      <w:r>
        <w:rPr>
          <w:rFonts w:eastAsiaTheme="majorEastAsia"/>
        </w:rPr>
        <w:t>Domestic Framework</w:t>
      </w:r>
      <w:bookmarkEnd w:id="42"/>
    </w:p>
    <w:p w14:paraId="5124AFD7" w14:textId="481FBA09" w:rsidR="00C022A6" w:rsidRDefault="00620C43">
      <w:pPr>
        <w:pStyle w:val="P1-N1Paragraph1-Number1"/>
      </w:pPr>
      <w:r>
        <w:t>China’s AD claim 3 and consequential AD claims in relation to railway wheels fundamentally misconceive the function of the "competitive market cost" findings made by the ADC in its determination of antidumping duties.</w:t>
      </w:r>
      <w:r>
        <w:rPr>
          <w:rStyle w:val="FootnoteReference"/>
        </w:rPr>
        <w:footnoteReference w:id="34"/>
      </w:r>
      <w:r>
        <w:t xml:space="preserve"> </w:t>
      </w:r>
      <w:r w:rsidR="000533A2">
        <w:rPr>
          <w:rFonts w:eastAsia="Times New Roman"/>
        </w:rPr>
        <w:t>Its flawed understanding of how "competitive market costs" are applied under Australia's domestic framework flowed through to its understanding and interpretation of the ADC's reports. In turn, this led China to assert that the ADC made WTO-inconsistent findings</w:t>
      </w:r>
      <w:r>
        <w:t xml:space="preserve"> under the second condition of Article 2.2.1.1 of the Anti-Dumping Agreement wherever the term "competitive market cost" is used.</w:t>
      </w:r>
      <w:r>
        <w:rPr>
          <w:rStyle w:val="FootnoteReference"/>
        </w:rPr>
        <w:footnoteReference w:id="35"/>
      </w:r>
      <w:r w:rsidR="000533A2">
        <w:t xml:space="preserve"> </w:t>
      </w:r>
      <w:r w:rsidR="000533A2">
        <w:rPr>
          <w:rFonts w:eastAsia="Times New Roman"/>
        </w:rPr>
        <w:t>This is simply incorrect. Contrary to China's erroneous claims, the ADC's findings and determinations were entirely consistent with the Anti-Dumping Agreement.</w:t>
      </w:r>
    </w:p>
    <w:p w14:paraId="077AA1E0" w14:textId="64F489F4" w:rsidR="00C022A6" w:rsidRDefault="00620C43">
      <w:pPr>
        <w:pStyle w:val="P1-N1Paragraph1-Number1"/>
      </w:pPr>
      <w:r>
        <w:t xml:space="preserve">The ADC's </w:t>
      </w:r>
      <w:r w:rsidR="00AF6F20">
        <w:t xml:space="preserve">consideration of whether exporters’ records reflect </w:t>
      </w:r>
      <w:r>
        <w:t xml:space="preserve">the concept of "competitive market costs" is not intended as, and does not operate as, a mirror of Article </w:t>
      </w:r>
      <w:r>
        <w:lastRenderedPageBreak/>
        <w:t>2.2.1.1 of the Anti-Dumping Agreement.</w:t>
      </w:r>
      <w:r>
        <w:rPr>
          <w:rStyle w:val="FootnoteReference"/>
        </w:rPr>
        <w:footnoteReference w:id="36"/>
      </w:r>
      <w:r>
        <w:t xml:space="preserve"> Section 43(2) </w:t>
      </w:r>
      <w:r w:rsidR="005E56F1">
        <w:t xml:space="preserve">of </w:t>
      </w:r>
      <w:r>
        <w:t xml:space="preserve">the </w:t>
      </w:r>
      <w:r w:rsidRPr="000B1F8F">
        <w:t>Customs (International Obligations) Regulation 2015</w:t>
      </w:r>
      <w:r>
        <w:t xml:space="preserve"> (formerly Regulation 180(2) of the </w:t>
      </w:r>
      <w:r>
        <w:rPr>
          <w:i/>
          <w:iCs/>
        </w:rPr>
        <w:t>Customs Regulations 1926</w:t>
      </w:r>
      <w:r>
        <w:t xml:space="preserve">) imposes a narrow positive obligation to </w:t>
      </w:r>
      <w:r>
        <w:rPr>
          <w:i/>
        </w:rPr>
        <w:t>use</w:t>
      </w:r>
      <w:r>
        <w:t xml:space="preserve"> exporter records where the prescribed criteria are satisfied, including where the records "reasonably reflect competitive market costs".</w:t>
      </w:r>
      <w:r>
        <w:rPr>
          <w:rStyle w:val="FootnoteReference"/>
        </w:rPr>
        <w:footnoteReference w:id="37"/>
      </w:r>
      <w:r>
        <w:t xml:space="preserve"> The provision at issue says nothing about how to </w:t>
      </w:r>
      <w:r w:rsidR="00AF6F20">
        <w:t>calculate the cost of production</w:t>
      </w:r>
      <w:r>
        <w:t xml:space="preserve"> if the prescribed criteria are not met.</w:t>
      </w:r>
      <w:r>
        <w:rPr>
          <w:rStyle w:val="FootnoteReference"/>
        </w:rPr>
        <w:footnoteReference w:id="38"/>
      </w:r>
      <w:r>
        <w:t xml:space="preserve"> Where the records do not "reasonably reflect competitive market costs", the Minister or Parliamentary Secretary has a degree of discretion as to how to construct </w:t>
      </w:r>
      <w:r w:rsidR="009236A5">
        <w:t>the cost of production</w:t>
      </w:r>
      <w:r>
        <w:t>.</w:t>
      </w:r>
      <w:r>
        <w:rPr>
          <w:rStyle w:val="FootnoteReference"/>
        </w:rPr>
        <w:footnoteReference w:id="39"/>
      </w:r>
      <w:r>
        <w:t xml:space="preserve"> That discretion must be exercised</w:t>
      </w:r>
      <w:r w:rsidR="003267EB">
        <w:t>,</w:t>
      </w:r>
      <w:r>
        <w:t xml:space="preserve"> </w:t>
      </w:r>
      <w:r w:rsidR="003267EB">
        <w:t xml:space="preserve">and was exercised in the railway wheels investigation, </w:t>
      </w:r>
      <w:r>
        <w:t>in a manner that complies with the requirements of the Anti-Dumping Agreement, including the first sentence of Article 2.2.1.1 of the Anti-Dumping Agreement.</w:t>
      </w:r>
      <w:r>
        <w:rPr>
          <w:rStyle w:val="FootnoteReference"/>
        </w:rPr>
        <w:footnoteReference w:id="40"/>
      </w:r>
    </w:p>
    <w:p w14:paraId="06A0CEE4" w14:textId="77777777" w:rsidR="00C022A6" w:rsidRDefault="00620C43" w:rsidP="00231DD0">
      <w:pPr>
        <w:pStyle w:val="HL2HeadingLevel2"/>
      </w:pPr>
      <w:bookmarkStart w:id="43" w:name="_Toc148710985"/>
      <w:bookmarkEnd w:id="40"/>
      <w:bookmarkEnd w:id="41"/>
      <w:r>
        <w:t>AD claim 3</w:t>
      </w:r>
      <w:bookmarkEnd w:id="43"/>
    </w:p>
    <w:p w14:paraId="622DC35D" w14:textId="77777777" w:rsidR="00C022A6" w:rsidRDefault="00620C43">
      <w:pPr>
        <w:pStyle w:val="HL3HeadingLevel3"/>
        <w:numPr>
          <w:ilvl w:val="2"/>
          <w:numId w:val="2"/>
        </w:numPr>
      </w:pPr>
      <w:bookmarkStart w:id="44" w:name="_Toc132876644"/>
      <w:bookmarkStart w:id="45" w:name="_Toc134774838"/>
      <w:bookmarkStart w:id="46" w:name="_Toc135405919"/>
      <w:bookmarkStart w:id="47" w:name="_Toc148710986"/>
      <w:bookmarkStart w:id="48" w:name="_Toc132876646"/>
      <w:bookmarkStart w:id="49" w:name="_Toc134774841"/>
      <w:bookmarkStart w:id="50" w:name="_Toc135405922"/>
      <w:bookmarkStart w:id="51" w:name="_Toc130847903"/>
      <w:r>
        <w:t xml:space="preserve">Australia acted consistently with Article 2.2.1.1 of the Anti-Dumping Agreement in departing from the exporter's </w:t>
      </w:r>
      <w:proofErr w:type="gramStart"/>
      <w:r>
        <w:t>records</w:t>
      </w:r>
      <w:bookmarkEnd w:id="44"/>
      <w:bookmarkEnd w:id="45"/>
      <w:bookmarkEnd w:id="46"/>
      <w:bookmarkEnd w:id="47"/>
      <w:proofErr w:type="gramEnd"/>
    </w:p>
    <w:p w14:paraId="10ACAC04" w14:textId="2CB01B07" w:rsidR="00C022A6" w:rsidRDefault="00620C43">
      <w:pPr>
        <w:pStyle w:val="P1-N1Paragraph1-Number1"/>
      </w:pPr>
      <w:r>
        <w:t>China's AD claim 3 with respect of railway wheels has shifted throughout the dispute and by the close of submissions included several layers of alternative argument.</w:t>
      </w:r>
    </w:p>
    <w:p w14:paraId="4B4FD824" w14:textId="33E9C530" w:rsidR="00C022A6" w:rsidRDefault="00620C43">
      <w:pPr>
        <w:pStyle w:val="P1-N1Paragraph1-Number1"/>
      </w:pPr>
      <w:r>
        <w:t>China originally submitted under AD claim 3 that the ADC made an improper finding under the second condition of Article 2.2.1.1</w:t>
      </w:r>
      <w:r>
        <w:rPr>
          <w:rFonts w:asciiTheme="minorHAnsi" w:hAnsiTheme="minorHAnsi" w:cstheme="minorHAnsi"/>
        </w:rPr>
        <w:t xml:space="preserve"> of the Anti-Dumping Agreement because Railway Wheels Investigation 466 Report contained the phrase "reasonably reflects competitive market costs."</w:t>
      </w:r>
      <w:r>
        <w:rPr>
          <w:rStyle w:val="FootnoteReference"/>
          <w:rFonts w:asciiTheme="minorHAnsi" w:hAnsiTheme="minorHAnsi" w:cstheme="minorHAnsi"/>
        </w:rPr>
        <w:footnoteReference w:id="41"/>
      </w:r>
      <w:r>
        <w:rPr>
          <w:rFonts w:asciiTheme="minorHAnsi" w:hAnsiTheme="minorHAnsi" w:cstheme="minorHAnsi"/>
        </w:rPr>
        <w:t xml:space="preserve"> </w:t>
      </w:r>
      <w:r>
        <w:t>This contention was clearly wrong.</w:t>
      </w:r>
      <w:r>
        <w:rPr>
          <w:rStyle w:val="FootnoteReference"/>
        </w:rPr>
        <w:footnoteReference w:id="42"/>
      </w:r>
      <w:r>
        <w:t xml:space="preserve"> China fundamentally misunderstands the ADC's findings. </w:t>
      </w:r>
      <w:r>
        <w:rPr>
          <w:rFonts w:asciiTheme="minorHAnsi" w:hAnsiTheme="minorHAnsi" w:cstheme="minorHAnsi"/>
        </w:rPr>
        <w:t xml:space="preserve">The ADC's decision to depart from </w:t>
      </w:r>
      <w:proofErr w:type="spellStart"/>
      <w:r>
        <w:rPr>
          <w:rFonts w:asciiTheme="minorHAnsi" w:hAnsiTheme="minorHAnsi" w:cstheme="minorHAnsi"/>
        </w:rPr>
        <w:t>Masteel's</w:t>
      </w:r>
      <w:proofErr w:type="spellEnd"/>
      <w:r>
        <w:rPr>
          <w:rFonts w:asciiTheme="minorHAnsi" w:hAnsiTheme="minorHAnsi" w:cstheme="minorHAnsi"/>
        </w:rPr>
        <w:t xml:space="preserve"> records for a single cost item—steel billet—was </w:t>
      </w:r>
      <w:r>
        <w:rPr>
          <w:rFonts w:asciiTheme="minorHAnsi" w:hAnsiTheme="minorHAnsi" w:cstheme="minorHAnsi"/>
          <w:i/>
          <w:iCs/>
        </w:rPr>
        <w:t>not</w:t>
      </w:r>
      <w:r>
        <w:rPr>
          <w:rFonts w:asciiTheme="minorHAnsi" w:hAnsiTheme="minorHAnsi" w:cstheme="minorHAnsi"/>
        </w:rPr>
        <w:t xml:space="preserve"> pursuant to the second condition of Article 2.2.1.1. Rather, the </w:t>
      </w:r>
      <w:r>
        <w:rPr>
          <w:rFonts w:asciiTheme="minorHAnsi" w:hAnsiTheme="minorHAnsi" w:cstheme="minorHAnsi"/>
        </w:rPr>
        <w:lastRenderedPageBreak/>
        <w:t xml:space="preserve">ADC expressly found that the circumstances in which </w:t>
      </w:r>
      <w:proofErr w:type="spellStart"/>
      <w:r>
        <w:rPr>
          <w:rFonts w:asciiTheme="minorHAnsi" w:hAnsiTheme="minorHAnsi" w:cstheme="minorHAnsi"/>
        </w:rPr>
        <w:t>Masteel's</w:t>
      </w:r>
      <w:proofErr w:type="spellEnd"/>
      <w:r>
        <w:rPr>
          <w:rFonts w:asciiTheme="minorHAnsi" w:hAnsiTheme="minorHAnsi" w:cstheme="minorHAnsi"/>
        </w:rPr>
        <w:t xml:space="preserve"> costs were formed were not normal or ordinary under the "normally" </w:t>
      </w:r>
      <w:r w:rsidR="00097F66">
        <w:rPr>
          <w:rFonts w:asciiTheme="minorHAnsi" w:hAnsiTheme="minorHAnsi" w:cstheme="minorHAnsi"/>
        </w:rPr>
        <w:t>term</w:t>
      </w:r>
      <w:r>
        <w:rPr>
          <w:rFonts w:asciiTheme="minorHAnsi" w:hAnsiTheme="minorHAnsi" w:cstheme="minorHAnsi"/>
        </w:rPr>
        <w:t xml:space="preserve"> in Article 2.2.1.1.</w:t>
      </w:r>
      <w:r>
        <w:rPr>
          <w:rStyle w:val="FootnoteReference"/>
          <w:rFonts w:asciiTheme="minorHAnsi" w:hAnsiTheme="minorHAnsi" w:cstheme="minorHAnsi"/>
        </w:rPr>
        <w:footnoteReference w:id="43"/>
      </w:r>
    </w:p>
    <w:p w14:paraId="5123A9E1" w14:textId="50D00DD9" w:rsidR="00C022A6" w:rsidRDefault="00620C43">
      <w:pPr>
        <w:pStyle w:val="P1-N1Paragraph1-Number1"/>
        <w:spacing w:before="120" w:after="120"/>
        <w:rPr>
          <w:rFonts w:asciiTheme="minorHAnsi" w:hAnsiTheme="minorHAnsi" w:cstheme="minorHAnsi"/>
        </w:rPr>
      </w:pPr>
      <w:r>
        <w:rPr>
          <w:rFonts w:asciiTheme="minorHAnsi" w:hAnsiTheme="minorHAnsi" w:cstheme="minorHAnsi"/>
        </w:rPr>
        <w:t>The ADC found that there were systemic and structural imbalances in China's steel and steel input markets, owing to the Government of China's serious and pervasive influence</w:t>
      </w:r>
      <w:r w:rsidR="00BA4685">
        <w:rPr>
          <w:rFonts w:asciiTheme="minorHAnsi" w:hAnsiTheme="minorHAnsi" w:cstheme="minorHAnsi"/>
        </w:rPr>
        <w:t xml:space="preserve"> in these markets</w:t>
      </w:r>
      <w:r>
        <w:rPr>
          <w:rFonts w:asciiTheme="minorHAnsi" w:hAnsiTheme="minorHAnsi" w:cstheme="minorHAnsi"/>
        </w:rPr>
        <w:t>.</w:t>
      </w:r>
      <w:r>
        <w:rPr>
          <w:rStyle w:val="FootnoteReference"/>
          <w:rFonts w:asciiTheme="minorHAnsi" w:hAnsiTheme="minorHAnsi" w:cstheme="minorHAnsi"/>
          <w:sz w:val="20"/>
          <w:szCs w:val="20"/>
        </w:rPr>
        <w:footnoteReference w:id="44"/>
      </w:r>
      <w:r>
        <w:rPr>
          <w:rFonts w:asciiTheme="minorHAnsi" w:hAnsiTheme="minorHAnsi" w:cstheme="minorHAnsi"/>
        </w:rPr>
        <w:t xml:space="preserve"> The ADC found that these circumstances translated to </w:t>
      </w:r>
      <w:proofErr w:type="spellStart"/>
      <w:r>
        <w:rPr>
          <w:rFonts w:asciiTheme="minorHAnsi" w:hAnsiTheme="minorHAnsi" w:cstheme="minorHAnsi"/>
        </w:rPr>
        <w:t>Masteel's</w:t>
      </w:r>
      <w:proofErr w:type="spellEnd"/>
      <w:r>
        <w:rPr>
          <w:rFonts w:asciiTheme="minorHAnsi" w:hAnsiTheme="minorHAnsi" w:cstheme="minorHAnsi"/>
        </w:rPr>
        <w:t xml:space="preserve"> records, and to one specific element of </w:t>
      </w:r>
      <w:proofErr w:type="spellStart"/>
      <w:r>
        <w:rPr>
          <w:rFonts w:asciiTheme="minorHAnsi" w:hAnsiTheme="minorHAnsi" w:cstheme="minorHAnsi"/>
        </w:rPr>
        <w:t>Masteel’s</w:t>
      </w:r>
      <w:proofErr w:type="spellEnd"/>
      <w:r>
        <w:rPr>
          <w:rFonts w:asciiTheme="minorHAnsi" w:hAnsiTheme="minorHAnsi" w:cstheme="minorHAnsi"/>
        </w:rPr>
        <w:t xml:space="preserve"> costs in particular—its costs for steel billet.</w:t>
      </w:r>
      <w:r>
        <w:rPr>
          <w:rStyle w:val="FootnoteReference"/>
          <w:rFonts w:asciiTheme="minorHAnsi" w:hAnsiTheme="minorHAnsi" w:cstheme="minorHAnsi"/>
          <w:sz w:val="20"/>
          <w:szCs w:val="20"/>
        </w:rPr>
        <w:footnoteReference w:id="45"/>
      </w:r>
      <w:r>
        <w:rPr>
          <w:rFonts w:asciiTheme="minorHAnsi" w:hAnsiTheme="minorHAnsi" w:cstheme="minorHAnsi"/>
        </w:rPr>
        <w:t xml:space="preserve"> On this basis, the ADC found that the circumstances in which </w:t>
      </w:r>
      <w:proofErr w:type="spellStart"/>
      <w:r>
        <w:rPr>
          <w:rFonts w:asciiTheme="minorHAnsi" w:hAnsiTheme="minorHAnsi" w:cstheme="minorHAnsi"/>
        </w:rPr>
        <w:t>Masteel's</w:t>
      </w:r>
      <w:proofErr w:type="spellEnd"/>
      <w:r>
        <w:rPr>
          <w:rFonts w:asciiTheme="minorHAnsi" w:hAnsiTheme="minorHAnsi" w:cstheme="minorHAnsi"/>
        </w:rPr>
        <w:t xml:space="preserve"> costs for steel billet were formed were not normal or ordinary. The ADC relied on information other than </w:t>
      </w:r>
      <w:proofErr w:type="spellStart"/>
      <w:r>
        <w:rPr>
          <w:rFonts w:asciiTheme="minorHAnsi" w:hAnsiTheme="minorHAnsi" w:cstheme="minorHAnsi"/>
        </w:rPr>
        <w:t>Masteel's</w:t>
      </w:r>
      <w:proofErr w:type="spellEnd"/>
      <w:r>
        <w:rPr>
          <w:rFonts w:asciiTheme="minorHAnsi" w:hAnsiTheme="minorHAnsi" w:cstheme="minorHAnsi"/>
        </w:rPr>
        <w:t xml:space="preserve"> records when calculating the cost of production of steel billet for the purpose of constructing </w:t>
      </w:r>
      <w:r w:rsidR="00BA4685">
        <w:rPr>
          <w:rFonts w:asciiTheme="minorHAnsi" w:hAnsiTheme="minorHAnsi" w:cstheme="minorHAnsi"/>
        </w:rPr>
        <w:t xml:space="preserve">the </w:t>
      </w:r>
      <w:r>
        <w:rPr>
          <w:rFonts w:asciiTheme="minorHAnsi" w:hAnsiTheme="minorHAnsi" w:cstheme="minorHAnsi"/>
        </w:rPr>
        <w:t>normal value of railway wheels.</w:t>
      </w:r>
      <w:r>
        <w:rPr>
          <w:rStyle w:val="FootnoteReference"/>
          <w:rFonts w:asciiTheme="minorHAnsi" w:hAnsiTheme="minorHAnsi" w:cstheme="minorHAnsi"/>
        </w:rPr>
        <w:footnoteReference w:id="46"/>
      </w:r>
    </w:p>
    <w:p w14:paraId="6038FD8B" w14:textId="0B7954AA" w:rsidR="00C022A6" w:rsidRDefault="00620C43">
      <w:pPr>
        <w:pStyle w:val="P1-N1Paragraph1-Number1"/>
        <w:rPr>
          <w:rFonts w:asciiTheme="minorHAnsi" w:hAnsiTheme="minorHAnsi" w:cstheme="minorHAnsi"/>
        </w:rPr>
      </w:pPr>
      <w:r>
        <w:rPr>
          <w:rFonts w:asciiTheme="minorHAnsi" w:hAnsiTheme="minorHAnsi" w:cstheme="minorHAnsi"/>
        </w:rPr>
        <w:t>The ADC's finding was permissible under Article 2.2.1.1 and consistent with the actions of an unbiased and objective investigating authority.</w:t>
      </w:r>
      <w:r>
        <w:rPr>
          <w:vertAlign w:val="superscript"/>
        </w:rPr>
        <w:footnoteReference w:id="47"/>
      </w:r>
      <w:r>
        <w:rPr>
          <w:rFonts w:asciiTheme="minorHAnsi" w:hAnsiTheme="minorHAnsi" w:cstheme="minorHAnsi"/>
        </w:rPr>
        <w:t xml:space="preserve"> </w:t>
      </w:r>
      <w:r>
        <w:rPr>
          <w:rFonts w:asciiTheme="minorHAnsi" w:hAnsiTheme="minorHAnsi" w:cstheme="minorHAnsi"/>
          <w:color w:val="000000" w:themeColor="text1"/>
        </w:rPr>
        <w:t xml:space="preserve">The ADC acted consistently with Article 2.2.1.1 of the Anti-Dumping Agreement in departing from </w:t>
      </w:r>
      <w:proofErr w:type="spellStart"/>
      <w:r>
        <w:rPr>
          <w:rFonts w:asciiTheme="minorHAnsi" w:hAnsiTheme="minorHAnsi" w:cstheme="minorHAnsi"/>
          <w:color w:val="000000" w:themeColor="text1"/>
        </w:rPr>
        <w:t>Masteel's</w:t>
      </w:r>
      <w:proofErr w:type="spellEnd"/>
      <w:r>
        <w:rPr>
          <w:rFonts w:asciiTheme="minorHAnsi" w:hAnsiTheme="minorHAnsi" w:cstheme="minorHAnsi"/>
          <w:color w:val="000000" w:themeColor="text1"/>
        </w:rPr>
        <w:t xml:space="preserve"> records when calculating the cost of steel billet in Railway Wheels Investigation 466.</w:t>
      </w:r>
      <w:r w:rsidR="0067384A">
        <w:rPr>
          <w:rStyle w:val="FootnoteReference"/>
          <w:rFonts w:asciiTheme="minorHAnsi" w:hAnsiTheme="minorHAnsi" w:cstheme="minorHAnsi"/>
        </w:rPr>
        <w:footnoteReference w:id="48"/>
      </w:r>
    </w:p>
    <w:p w14:paraId="5C99E2E8" w14:textId="77777777" w:rsidR="00C022A6" w:rsidRDefault="00620C43">
      <w:pPr>
        <w:pStyle w:val="HL3HeadingLevel3"/>
      </w:pPr>
      <w:bookmarkStart w:id="52" w:name="_Toc148710987"/>
      <w:r>
        <w:t>There is no mandatory order of analysis or decision making in the first sentence of Article 2.2.1.1</w:t>
      </w:r>
      <w:bookmarkEnd w:id="48"/>
      <w:bookmarkEnd w:id="49"/>
      <w:bookmarkEnd w:id="50"/>
      <w:bookmarkEnd w:id="51"/>
      <w:bookmarkEnd w:id="52"/>
    </w:p>
    <w:p w14:paraId="16A2CF5A" w14:textId="10638FD0" w:rsidR="00C022A6" w:rsidRDefault="00620C43">
      <w:pPr>
        <w:pStyle w:val="P1-N1Paragraph1-Number1"/>
        <w:spacing w:before="120" w:after="120"/>
        <w:rPr>
          <w:rFonts w:asciiTheme="minorHAnsi" w:hAnsiTheme="minorHAnsi" w:cstheme="minorHAnsi"/>
        </w:rPr>
      </w:pPr>
      <w:bookmarkStart w:id="53" w:name="_Toc132876648"/>
      <w:bookmarkStart w:id="54" w:name="_Toc134774843"/>
      <w:bookmarkStart w:id="55" w:name="_Toc135405931"/>
      <w:r>
        <w:rPr>
          <w:rFonts w:asciiTheme="minorHAnsi" w:hAnsiTheme="minorHAnsi" w:cstheme="minorHAnsi"/>
        </w:rPr>
        <w:t>China’s next layer of argument was that the ADC was not entitled to make a finding on the basis of "normally" because the ADC was obligated</w:t>
      </w:r>
      <w:r w:rsidR="008A629D">
        <w:rPr>
          <w:rFonts w:asciiTheme="minorHAnsi" w:hAnsiTheme="minorHAnsi" w:cstheme="minorHAnsi"/>
        </w:rPr>
        <w:t xml:space="preserve"> </w:t>
      </w:r>
      <w:r w:rsidR="00E06BB9">
        <w:rPr>
          <w:rFonts w:asciiTheme="minorHAnsi" w:hAnsiTheme="minorHAnsi" w:cstheme="minorHAnsi"/>
        </w:rPr>
        <w:t xml:space="preserve">to </w:t>
      </w:r>
      <w:r>
        <w:rPr>
          <w:rFonts w:asciiTheme="minorHAnsi" w:hAnsiTheme="minorHAnsi" w:cstheme="minorHAnsi"/>
        </w:rPr>
        <w:t>first make affirmative findings under the first and second conditions of Article 2.2.1.1</w:t>
      </w:r>
      <w:r w:rsidR="008A629D">
        <w:rPr>
          <w:rFonts w:asciiTheme="minorHAnsi" w:hAnsiTheme="minorHAnsi" w:cstheme="minorHAnsi"/>
        </w:rPr>
        <w:t>, in order to have recourse to "normally"</w:t>
      </w:r>
      <w:r>
        <w:rPr>
          <w:rFonts w:asciiTheme="minorHAnsi" w:hAnsiTheme="minorHAnsi" w:cstheme="minorHAnsi"/>
        </w:rPr>
        <w:t>.</w:t>
      </w:r>
      <w:r>
        <w:rPr>
          <w:rStyle w:val="FootnoteReference"/>
          <w:rFonts w:asciiTheme="minorHAnsi" w:hAnsiTheme="minorHAnsi" w:cstheme="minorHAnsi"/>
        </w:rPr>
        <w:footnoteReference w:id="49"/>
      </w:r>
    </w:p>
    <w:p w14:paraId="7EF966D7" w14:textId="4119A2C8" w:rsidR="00C022A6" w:rsidRDefault="00620C43">
      <w:pPr>
        <w:pStyle w:val="P1-N1Paragraph1-Number1"/>
        <w:spacing w:before="120" w:after="120"/>
        <w:rPr>
          <w:rFonts w:asciiTheme="minorHAnsi" w:hAnsiTheme="minorHAnsi" w:cstheme="minorHAnsi"/>
        </w:rPr>
      </w:pPr>
      <w:r>
        <w:rPr>
          <w:rFonts w:asciiTheme="minorHAnsi" w:hAnsiTheme="minorHAnsi" w:cstheme="minorHAnsi"/>
        </w:rPr>
        <w:t xml:space="preserve">This purported requirement for a mandatory order of analysis in the first sentence of Article 2.2.1.1 has no basis in the Anti-Dumping Agreement. There is nothing in the text or structure of Article 2.2.1.1 that suggests, let alone mandates, a particular order of analysis. </w:t>
      </w:r>
      <w:r>
        <w:rPr>
          <w:rFonts w:asciiTheme="minorHAnsi" w:hAnsiTheme="minorHAnsi" w:cstheme="minorHAnsi"/>
        </w:rPr>
        <w:lastRenderedPageBreak/>
        <w:t>Nor does the context or purpose of Article 2.2.1.1 support the existence of a sequencing requirement.</w:t>
      </w:r>
      <w:r w:rsidR="0067384A">
        <w:rPr>
          <w:rStyle w:val="FootnoteReference"/>
          <w:rFonts w:asciiTheme="minorHAnsi" w:hAnsiTheme="minorHAnsi" w:cstheme="minorHAnsi"/>
        </w:rPr>
        <w:footnoteReference w:id="50"/>
      </w:r>
    </w:p>
    <w:p w14:paraId="40EB3A52" w14:textId="3F4C8956" w:rsidR="00C022A6" w:rsidRDefault="00620C43">
      <w:pPr>
        <w:pStyle w:val="P1-N1Paragraph1-Number1"/>
        <w:spacing w:before="120" w:after="120"/>
        <w:rPr>
          <w:rFonts w:asciiTheme="minorHAnsi" w:hAnsiTheme="minorHAnsi" w:cstheme="minorHAnsi"/>
        </w:rPr>
      </w:pPr>
      <w:r>
        <w:rPr>
          <w:rFonts w:asciiTheme="minorHAnsi" w:hAnsiTheme="minorHAnsi" w:cstheme="minorHAnsi"/>
        </w:rPr>
        <w:t xml:space="preserve">To the extent that the panel in </w:t>
      </w:r>
      <w:r>
        <w:rPr>
          <w:rFonts w:asciiTheme="minorHAnsi" w:hAnsiTheme="minorHAnsi" w:cstheme="minorHAnsi"/>
          <w:i/>
          <w:iCs/>
        </w:rPr>
        <w:t>Australia – Anti-Dumping Measures on Paper</w:t>
      </w:r>
      <w:r>
        <w:rPr>
          <w:rFonts w:asciiTheme="minorHAnsi" w:hAnsiTheme="minorHAnsi" w:cstheme="minorHAnsi"/>
        </w:rPr>
        <w:t xml:space="preserve"> found that there is a mandatory order of analysis within Article 2.2.1.1,</w:t>
      </w:r>
      <w:r>
        <w:rPr>
          <w:rStyle w:val="FootnoteReference"/>
          <w:rFonts w:asciiTheme="minorHAnsi" w:hAnsiTheme="minorHAnsi" w:cstheme="minorHAnsi"/>
        </w:rPr>
        <w:footnoteReference w:id="51"/>
      </w:r>
      <w:r>
        <w:rPr>
          <w:rFonts w:asciiTheme="minorHAnsi" w:hAnsiTheme="minorHAnsi" w:cstheme="minorHAnsi"/>
        </w:rPr>
        <w:t xml:space="preserve"> this approach should not be followed. It is inconsistent with the plain text of the Anti-Dumping Agreement.</w:t>
      </w:r>
      <w:r w:rsidR="0067384A">
        <w:rPr>
          <w:rStyle w:val="FootnoteReference"/>
          <w:rFonts w:asciiTheme="minorHAnsi" w:hAnsiTheme="minorHAnsi" w:cstheme="minorHAnsi"/>
        </w:rPr>
        <w:footnoteReference w:id="52"/>
      </w:r>
    </w:p>
    <w:p w14:paraId="1B292B24" w14:textId="4375930B" w:rsidR="00C022A6" w:rsidRDefault="00B91D4D">
      <w:pPr>
        <w:pStyle w:val="P1-N1Paragraph1-Number1"/>
        <w:spacing w:before="120" w:after="120"/>
        <w:rPr>
          <w:rFonts w:asciiTheme="minorHAnsi" w:hAnsiTheme="minorHAnsi" w:cstheme="minorHAnsi"/>
        </w:rPr>
      </w:pPr>
      <w:r>
        <w:rPr>
          <w:rFonts w:asciiTheme="minorHAnsi" w:hAnsiTheme="minorHAnsi" w:cstheme="minorHAnsi"/>
        </w:rPr>
        <w:t>R</w:t>
      </w:r>
      <w:r w:rsidR="00620C43">
        <w:rPr>
          <w:rFonts w:asciiTheme="minorHAnsi" w:hAnsiTheme="minorHAnsi" w:cstheme="minorHAnsi"/>
        </w:rPr>
        <w:t>ead as a whole, Article 2.2.1.1 provides an obligation for an investigating authority to use exporters</w:t>
      </w:r>
      <w:r w:rsidR="005E56F1">
        <w:rPr>
          <w:rFonts w:asciiTheme="minorHAnsi" w:hAnsiTheme="minorHAnsi" w:cstheme="minorHAnsi"/>
        </w:rPr>
        <w:t>'</w:t>
      </w:r>
      <w:r w:rsidR="00620C43">
        <w:rPr>
          <w:rFonts w:asciiTheme="minorHAnsi" w:hAnsiTheme="minorHAnsi" w:cstheme="minorHAnsi"/>
        </w:rPr>
        <w:t xml:space="preserve"> records as the basis of cost calculations for the purpose of constructing normal value, provided that certain conditions are met.</w:t>
      </w:r>
      <w:r w:rsidR="00620C43">
        <w:rPr>
          <w:rStyle w:val="FootnoteReference"/>
        </w:rPr>
        <w:footnoteReference w:id="53"/>
      </w:r>
      <w:r w:rsidR="00620C43">
        <w:rPr>
          <w:rFonts w:asciiTheme="minorHAnsi" w:hAnsiTheme="minorHAnsi" w:cstheme="minorHAnsi"/>
        </w:rPr>
        <w:t xml:space="preserve"> This obligation only applies where:</w:t>
      </w:r>
    </w:p>
    <w:p w14:paraId="1568C545" w14:textId="77777777" w:rsidR="00C022A6" w:rsidRDefault="00620C43" w:rsidP="00B134F9">
      <w:pPr>
        <w:pStyle w:val="P2-B1Paragraph2-Bullet1"/>
        <w:numPr>
          <w:ilvl w:val="1"/>
          <w:numId w:val="18"/>
        </w:numPr>
      </w:pPr>
      <w:r>
        <w:t>circumstances are normal;</w:t>
      </w:r>
    </w:p>
    <w:p w14:paraId="6F649C97" w14:textId="2B68CB29" w:rsidR="00C022A6" w:rsidRDefault="00620C43" w:rsidP="00B134F9">
      <w:pPr>
        <w:pStyle w:val="P2-B1Paragraph2-Bullet1"/>
        <w:numPr>
          <w:ilvl w:val="1"/>
          <w:numId w:val="18"/>
        </w:numPr>
      </w:pPr>
      <w:r>
        <w:t>the records are in accordance with the generally accepted accounting principles of the export country; and</w:t>
      </w:r>
    </w:p>
    <w:p w14:paraId="01D8335D" w14:textId="787F4ABA" w:rsidR="00C022A6" w:rsidRDefault="00620C43" w:rsidP="00B134F9">
      <w:pPr>
        <w:pStyle w:val="P2-B1Paragraph2-Bullet1"/>
        <w:numPr>
          <w:ilvl w:val="1"/>
          <w:numId w:val="18"/>
        </w:numPr>
      </w:pPr>
      <w:r>
        <w:t>the records reasonably reflect the costs associated with the production and sale of the product under consideration.</w:t>
      </w:r>
      <w:r w:rsidR="0067384A">
        <w:rPr>
          <w:rStyle w:val="FootnoteReference"/>
        </w:rPr>
        <w:footnoteReference w:id="54"/>
      </w:r>
    </w:p>
    <w:p w14:paraId="5E37167A" w14:textId="698F1F4F" w:rsidR="00C022A6" w:rsidRDefault="00620C43">
      <w:pPr>
        <w:pStyle w:val="P1-N1Paragraph1-Number1"/>
        <w:spacing w:before="120" w:after="120"/>
        <w:rPr>
          <w:rFonts w:asciiTheme="minorHAnsi" w:hAnsiTheme="minorHAnsi" w:cstheme="minorHAnsi"/>
        </w:rPr>
      </w:pPr>
      <w:r>
        <w:rPr>
          <w:rFonts w:asciiTheme="minorHAnsi" w:hAnsiTheme="minorHAnsi" w:cstheme="minorHAnsi"/>
        </w:rPr>
        <w:t>These three circumstances are not mutually exclusive, nor are they contingent on one another.</w:t>
      </w:r>
      <w:r w:rsidR="0067384A">
        <w:rPr>
          <w:rStyle w:val="FootnoteReference"/>
          <w:rFonts w:asciiTheme="minorHAnsi" w:hAnsiTheme="minorHAnsi" w:cstheme="minorHAnsi"/>
        </w:rPr>
        <w:footnoteReference w:id="55"/>
      </w:r>
    </w:p>
    <w:p w14:paraId="02664029" w14:textId="77777777" w:rsidR="00C022A6" w:rsidRDefault="00620C43">
      <w:pPr>
        <w:pStyle w:val="HL3HeadingLevel3"/>
      </w:pPr>
      <w:bookmarkStart w:id="56" w:name="_Toc141698362"/>
      <w:bookmarkStart w:id="57" w:name="_Toc148710988"/>
      <w:r>
        <w:t xml:space="preserve">China's </w:t>
      </w:r>
      <w:r>
        <w:rPr>
          <w:i/>
          <w:iCs/>
        </w:rPr>
        <w:t>arguendo</w:t>
      </w:r>
      <w:r>
        <w:t xml:space="preserve"> arguments regarding "normally" are internally inconsistent and lack </w:t>
      </w:r>
      <w:proofErr w:type="gramStart"/>
      <w:r>
        <w:t>merit</w:t>
      </w:r>
      <w:bookmarkEnd w:id="56"/>
      <w:bookmarkEnd w:id="57"/>
      <w:proofErr w:type="gramEnd"/>
    </w:p>
    <w:bookmarkEnd w:id="53"/>
    <w:bookmarkEnd w:id="54"/>
    <w:bookmarkEnd w:id="55"/>
    <w:p w14:paraId="27B81659" w14:textId="6B4A039E" w:rsidR="00C022A6" w:rsidRDefault="00620C43">
      <w:pPr>
        <w:pStyle w:val="P1-N1Paragraph1-Number1"/>
      </w:pPr>
      <w:r>
        <w:rPr>
          <w:rFonts w:asciiTheme="minorHAnsi" w:hAnsiTheme="minorHAnsi" w:cstheme="minorHAnsi"/>
        </w:rPr>
        <w:t xml:space="preserve">Lastly, China has provided </w:t>
      </w:r>
      <w:r w:rsidR="00E06BB9">
        <w:rPr>
          <w:rFonts w:asciiTheme="minorHAnsi" w:hAnsiTheme="minorHAnsi" w:cstheme="minorHAnsi"/>
        </w:rPr>
        <w:t>several mutually</w:t>
      </w:r>
      <w:r>
        <w:rPr>
          <w:rFonts w:asciiTheme="minorHAnsi" w:hAnsiTheme="minorHAnsi" w:cstheme="minorHAnsi"/>
        </w:rPr>
        <w:t xml:space="preserve"> inconsistent interpretations of the content of "normally." The first interpretation of "normally" </w:t>
      </w:r>
      <w:r w:rsidR="005E56F1">
        <w:rPr>
          <w:rFonts w:asciiTheme="minorHAnsi" w:hAnsiTheme="minorHAnsi" w:cstheme="minorHAnsi"/>
        </w:rPr>
        <w:t xml:space="preserve">that </w:t>
      </w:r>
      <w:r>
        <w:rPr>
          <w:rFonts w:asciiTheme="minorHAnsi" w:hAnsiTheme="minorHAnsi" w:cstheme="minorHAnsi"/>
        </w:rPr>
        <w:t>China advanced was that the term should be given no independent meaning distinct from the first and second conditions provided for in Article 2.2.1.1.</w:t>
      </w:r>
      <w:r>
        <w:rPr>
          <w:rStyle w:val="FootnoteReference"/>
          <w:rFonts w:asciiTheme="minorHAnsi" w:hAnsiTheme="minorHAnsi" w:cstheme="minorHAnsi"/>
        </w:rPr>
        <w:footnoteReference w:id="56"/>
      </w:r>
      <w:r>
        <w:rPr>
          <w:rFonts w:asciiTheme="minorHAnsi" w:hAnsiTheme="minorHAnsi" w:cstheme="minorHAnsi"/>
        </w:rPr>
        <w:t xml:space="preserve"> Such an interpretation is incompatible with the ordinary </w:t>
      </w:r>
      <w:r>
        <w:rPr>
          <w:rFonts w:asciiTheme="minorHAnsi" w:hAnsiTheme="minorHAnsi" w:cstheme="minorHAnsi"/>
        </w:rPr>
        <w:lastRenderedPageBreak/>
        <w:t xml:space="preserve">principles of treaty interpretation. Previous WTO panels and the Appellate Body have consistently </w:t>
      </w:r>
      <w:r w:rsidR="005E56F1">
        <w:rPr>
          <w:rFonts w:asciiTheme="minorHAnsi" w:hAnsiTheme="minorHAnsi" w:cstheme="minorHAnsi"/>
        </w:rPr>
        <w:t>found</w:t>
      </w:r>
      <w:r>
        <w:rPr>
          <w:rFonts w:asciiTheme="minorHAnsi" w:hAnsiTheme="minorHAnsi" w:cstheme="minorHAnsi"/>
        </w:rPr>
        <w:t xml:space="preserve"> that the term "normally" must be given meaning and effect.</w:t>
      </w:r>
      <w:r>
        <w:rPr>
          <w:rStyle w:val="FootnoteReference"/>
          <w:rFonts w:asciiTheme="minorHAnsi" w:hAnsiTheme="minorHAnsi" w:cstheme="minorHAnsi"/>
        </w:rPr>
        <w:footnoteReference w:id="57"/>
      </w:r>
    </w:p>
    <w:p w14:paraId="57D1BE6B" w14:textId="62CF6145" w:rsidR="00C022A6" w:rsidRPr="005B740D" w:rsidRDefault="00620C43" w:rsidP="005B740D">
      <w:pPr>
        <w:pStyle w:val="P1-N1Paragraph1-Number1"/>
        <w:spacing w:before="120" w:after="120"/>
        <w:rPr>
          <w:rFonts w:asciiTheme="minorHAnsi" w:hAnsiTheme="minorHAnsi" w:cstheme="minorHAnsi"/>
        </w:rPr>
      </w:pPr>
      <w:r>
        <w:rPr>
          <w:rFonts w:asciiTheme="minorHAnsi" w:hAnsiTheme="minorHAnsi" w:cstheme="minorHAnsi"/>
        </w:rPr>
        <w:t>The second interpretation China advanced was that cost records were not required to be used where there is a "compelling reason to doubt the accuracy, completeness, faithfulness and reliability of a cost or costs kept in the records".</w:t>
      </w:r>
      <w:r>
        <w:rPr>
          <w:rStyle w:val="FootnoteReference"/>
          <w:rFonts w:asciiTheme="minorHAnsi" w:hAnsiTheme="minorHAnsi" w:cstheme="minorHAnsi"/>
        </w:rPr>
        <w:footnoteReference w:id="58"/>
      </w:r>
      <w:r>
        <w:rPr>
          <w:rFonts w:asciiTheme="minorHAnsi" w:hAnsiTheme="minorHAnsi" w:cstheme="minorHAnsi"/>
        </w:rPr>
        <w:t xml:space="preserve"> On China's account, the content of </w:t>
      </w:r>
      <w:r w:rsidR="008A629D">
        <w:rPr>
          <w:rFonts w:asciiTheme="minorHAnsi" w:hAnsiTheme="minorHAnsi" w:cstheme="minorHAnsi"/>
        </w:rPr>
        <w:t>"</w:t>
      </w:r>
      <w:r>
        <w:rPr>
          <w:rFonts w:asciiTheme="minorHAnsi" w:hAnsiTheme="minorHAnsi" w:cstheme="minorHAnsi"/>
        </w:rPr>
        <w:t>normally</w:t>
      </w:r>
      <w:r w:rsidR="008A629D">
        <w:rPr>
          <w:rFonts w:asciiTheme="minorHAnsi" w:hAnsiTheme="minorHAnsi" w:cstheme="minorHAnsi"/>
        </w:rPr>
        <w:t>"</w:t>
      </w:r>
      <w:r>
        <w:rPr>
          <w:rFonts w:asciiTheme="minorHAnsi" w:hAnsiTheme="minorHAnsi" w:cstheme="minorHAnsi"/>
        </w:rPr>
        <w:t xml:space="preserve"> is limited to where there has been a "peculiarity of a reason" why the records would not already have been caught by the first and second condition</w:t>
      </w:r>
      <w:r w:rsidR="000306A2">
        <w:rPr>
          <w:rFonts w:asciiTheme="minorHAnsi" w:hAnsiTheme="minorHAnsi" w:cstheme="minorHAnsi"/>
        </w:rPr>
        <w:t>s</w:t>
      </w:r>
      <w:r>
        <w:rPr>
          <w:rFonts w:asciiTheme="minorHAnsi" w:hAnsiTheme="minorHAnsi" w:cstheme="minorHAnsi"/>
        </w:rPr>
        <w:t>.</w:t>
      </w:r>
      <w:r>
        <w:rPr>
          <w:rStyle w:val="FootnoteReference"/>
        </w:rPr>
        <w:footnoteReference w:id="59"/>
      </w:r>
      <w:r w:rsidR="005B740D">
        <w:rPr>
          <w:rFonts w:asciiTheme="minorHAnsi" w:hAnsiTheme="minorHAnsi" w:cstheme="minorHAnsi"/>
        </w:rPr>
        <w:t xml:space="preserve"> </w:t>
      </w:r>
      <w:r w:rsidR="005A2CD1" w:rsidRPr="005B740D">
        <w:rPr>
          <w:rFonts w:asciiTheme="minorHAnsi" w:hAnsiTheme="minorHAnsi" w:cstheme="minorHAnsi"/>
        </w:rPr>
        <w:t>This interpretation reduces the content of "normally" to the same content as the second condition of Article 2.2.1.1, and similarly fails to give "normally" meaning and effect</w:t>
      </w:r>
      <w:r w:rsidRPr="005B740D">
        <w:rPr>
          <w:rFonts w:asciiTheme="minorHAnsi" w:hAnsiTheme="minorHAnsi" w:cstheme="minorHAnsi"/>
        </w:rPr>
        <w:t xml:space="preserve">. It is implausible that the parties to the Anti-Dumping Agreement deliberately included the broad term "normally" alongside the more specific first and second </w:t>
      </w:r>
      <w:proofErr w:type="gramStart"/>
      <w:r w:rsidRPr="005B740D">
        <w:rPr>
          <w:rFonts w:asciiTheme="minorHAnsi" w:hAnsiTheme="minorHAnsi" w:cstheme="minorHAnsi"/>
        </w:rPr>
        <w:t>conditions, but</w:t>
      </w:r>
      <w:proofErr w:type="gramEnd"/>
      <w:r w:rsidRPr="005B740D">
        <w:rPr>
          <w:rFonts w:asciiTheme="minorHAnsi" w:hAnsiTheme="minorHAnsi" w:cstheme="minorHAnsi"/>
        </w:rPr>
        <w:t xml:space="preserve"> intended to give "normally" no more than inutile incremental additional meaning.</w:t>
      </w:r>
    </w:p>
    <w:p w14:paraId="4E48B2BA" w14:textId="19C76ADB" w:rsidR="00C022A6" w:rsidRDefault="00620C43">
      <w:pPr>
        <w:pStyle w:val="P1-N1Paragraph1-Number1"/>
        <w:rPr>
          <w:rFonts w:asciiTheme="minorHAnsi" w:hAnsiTheme="minorHAnsi" w:cstheme="minorHAnsi"/>
        </w:rPr>
      </w:pPr>
      <w:r>
        <w:rPr>
          <w:rFonts w:asciiTheme="minorHAnsi" w:hAnsiTheme="minorHAnsi" w:cstheme="minorHAnsi"/>
        </w:rPr>
        <w:t xml:space="preserve">In response to Panel question no. 106, China advanced a third interpretation of "normally." China contended that "normally" modifies </w:t>
      </w:r>
      <w:r>
        <w:rPr>
          <w:rFonts w:asciiTheme="minorHAnsi" w:hAnsiTheme="minorHAnsi" w:cstheme="minorHAnsi"/>
          <w:i/>
        </w:rPr>
        <w:t>only</w:t>
      </w:r>
      <w:r>
        <w:rPr>
          <w:rFonts w:asciiTheme="minorHAnsi" w:hAnsiTheme="minorHAnsi" w:cstheme="minorHAnsi"/>
        </w:rPr>
        <w:t xml:space="preserve"> the verb "calculated,"</w:t>
      </w:r>
      <w:r>
        <w:rPr>
          <w:rStyle w:val="FootnoteReference"/>
          <w:rFonts w:asciiTheme="minorHAnsi" w:hAnsiTheme="minorHAnsi" w:cstheme="minorHAnsi"/>
        </w:rPr>
        <w:footnoteReference w:id="60"/>
      </w:r>
      <w:r>
        <w:rPr>
          <w:rFonts w:asciiTheme="minorHAnsi" w:hAnsiTheme="minorHAnsi" w:cstheme="minorHAnsi"/>
          <w:i/>
          <w:iCs/>
        </w:rPr>
        <w:t xml:space="preserve"> </w:t>
      </w:r>
      <w:r>
        <w:rPr>
          <w:rFonts w:asciiTheme="minorHAnsi" w:hAnsiTheme="minorHAnsi" w:cstheme="minorHAnsi"/>
        </w:rPr>
        <w:t>and therefore, "</w:t>
      </w:r>
      <w:r>
        <w:rPr>
          <w:rFonts w:asciiTheme="minorHAnsi" w:hAnsiTheme="minorHAnsi" w:cstheme="minorHAnsi"/>
          <w:i/>
          <w:iCs/>
        </w:rPr>
        <w:t>'normally'</w:t>
      </w:r>
      <w:r>
        <w:rPr>
          <w:rFonts w:asciiTheme="minorHAnsi" w:hAnsiTheme="minorHAnsi" w:cstheme="minorHAnsi"/>
        </w:rPr>
        <w:t xml:space="preserve"> concerns </w:t>
      </w:r>
      <w:r>
        <w:rPr>
          <w:rFonts w:asciiTheme="minorHAnsi" w:hAnsiTheme="minorHAnsi" w:cstheme="minorHAnsi"/>
          <w:i/>
        </w:rPr>
        <w:t>only</w:t>
      </w:r>
      <w:r>
        <w:rPr>
          <w:rFonts w:asciiTheme="minorHAnsi" w:hAnsiTheme="minorHAnsi" w:cstheme="minorHAnsi"/>
        </w:rPr>
        <w:t xml:space="preserve"> calculation issues or calculation methodology issues..."</w:t>
      </w:r>
      <w:r>
        <w:rPr>
          <w:rStyle w:val="FootnoteReference"/>
          <w:rFonts w:asciiTheme="minorHAnsi" w:hAnsiTheme="minorHAnsi" w:cstheme="minorHAnsi"/>
        </w:rPr>
        <w:footnoteReference w:id="61"/>
      </w:r>
      <w:r>
        <w:rPr>
          <w:rFonts w:asciiTheme="minorHAnsi" w:hAnsiTheme="minorHAnsi" w:cstheme="minorHAnsi"/>
        </w:rPr>
        <w:t xml:space="preserve"> This interpretation is irreconcilable with the plain meaning, structure, and evident purpose of the first sentence of Article 2.2.1.1. On its plain terms, the grammatical effect of "normally" is to modify the phrase, "shall … be calculated."</w:t>
      </w:r>
      <w:r>
        <w:rPr>
          <w:rStyle w:val="FootnoteReference"/>
          <w:rFonts w:asciiTheme="minorHAnsi" w:hAnsiTheme="minorHAnsi" w:cstheme="minorHAnsi"/>
        </w:rPr>
        <w:footnoteReference w:id="62"/>
      </w:r>
      <w:r>
        <w:rPr>
          <w:rFonts w:asciiTheme="minorHAnsi" w:hAnsiTheme="minorHAnsi" w:cstheme="minorHAnsi"/>
        </w:rPr>
        <w:t xml:space="preserve"> The practical effect is to qualify the obligation of the investigating authority to calculate the costs on the basis of an exporter's records. That is, in circumstances which are not "normal", an investigating authority may derogate from its obligation to calculate costs </w:t>
      </w:r>
      <w:r>
        <w:rPr>
          <w:rFonts w:asciiTheme="minorHAnsi" w:hAnsiTheme="minorHAnsi" w:cstheme="minorHAnsi"/>
          <w:iCs/>
        </w:rPr>
        <w:t>on the basis of an exporter's records</w:t>
      </w:r>
      <w:r>
        <w:rPr>
          <w:rFonts w:asciiTheme="minorHAnsi" w:hAnsiTheme="minorHAnsi" w:cstheme="minorHAnsi"/>
        </w:rPr>
        <w:t>.</w:t>
      </w:r>
    </w:p>
    <w:p w14:paraId="55FD68BA" w14:textId="21D2C448" w:rsidR="00C022A6" w:rsidRPr="000306A2" w:rsidRDefault="00620C43">
      <w:pPr>
        <w:pStyle w:val="P1-N1Paragraph1-Number1"/>
        <w:spacing w:before="120" w:after="120"/>
        <w:rPr>
          <w:rFonts w:asciiTheme="minorHAnsi" w:hAnsiTheme="minorHAnsi" w:cstheme="minorHAnsi"/>
          <w:color w:val="000000" w:themeColor="text1"/>
        </w:rPr>
      </w:pPr>
      <w:r>
        <w:rPr>
          <w:rFonts w:asciiTheme="minorHAnsi" w:hAnsiTheme="minorHAnsi" w:cstheme="minorHAnsi"/>
        </w:rPr>
        <w:t>In Australia’s view, the clear focus of Article 2.2.1.1 is on the costs recorded in an exporter’s records, and whether those records provide a sound basis for calculating the costs of production and sale of the product under consideration.</w:t>
      </w:r>
      <w:r>
        <w:rPr>
          <w:rStyle w:val="FootnoteReference"/>
          <w:rFonts w:asciiTheme="minorHAnsi" w:hAnsiTheme="minorHAnsi" w:cstheme="minorHAnsi"/>
        </w:rPr>
        <w:footnoteReference w:id="63"/>
      </w:r>
      <w:r>
        <w:rPr>
          <w:rFonts w:asciiTheme="minorHAnsi" w:hAnsiTheme="minorHAnsi" w:cstheme="minorHAnsi"/>
        </w:rPr>
        <w:t xml:space="preserve"> In any event, the Panel need not provide a precise definition of "normally" in order to resolve the issues in this dispute, nor </w:t>
      </w:r>
      <w:r>
        <w:rPr>
          <w:rFonts w:asciiTheme="minorHAnsi" w:hAnsiTheme="minorHAnsi" w:cstheme="minorHAnsi"/>
        </w:rPr>
        <w:lastRenderedPageBreak/>
        <w:t>should the Panel seek to delineate all circumstances when an investigating authority may invoke it.</w:t>
      </w:r>
      <w:r>
        <w:rPr>
          <w:rStyle w:val="FootnoteReference"/>
          <w:rFonts w:asciiTheme="minorHAnsi" w:hAnsiTheme="minorHAnsi" w:cstheme="minorHAnsi"/>
        </w:rPr>
        <w:footnoteReference w:id="64"/>
      </w:r>
      <w:r>
        <w:rPr>
          <w:rFonts w:asciiTheme="minorHAnsi" w:hAnsiTheme="minorHAnsi" w:cstheme="minorHAnsi"/>
        </w:rPr>
        <w:t xml:space="preserve"> Assessing whether circumstances are not normal and ordinary is an inherently fact-specific examination.</w:t>
      </w:r>
      <w:r>
        <w:rPr>
          <w:rStyle w:val="FootnoteReference"/>
          <w:rFonts w:asciiTheme="minorHAnsi" w:hAnsiTheme="minorHAnsi" w:cstheme="minorHAnsi"/>
        </w:rPr>
        <w:footnoteReference w:id="65"/>
      </w:r>
    </w:p>
    <w:p w14:paraId="75A79BA2" w14:textId="7404B9E5" w:rsidR="00C022A6" w:rsidRDefault="00620C43">
      <w:pPr>
        <w:pStyle w:val="P1-N1Paragraph1-Number1"/>
        <w:spacing w:before="120" w:after="120"/>
        <w:rPr>
          <w:rFonts w:asciiTheme="minorHAnsi" w:hAnsiTheme="minorHAnsi" w:cstheme="minorHAnsi"/>
          <w:color w:val="000000" w:themeColor="text1"/>
        </w:rPr>
      </w:pPr>
      <w:r>
        <w:rPr>
          <w:rFonts w:asciiTheme="minorHAnsi" w:hAnsiTheme="minorHAnsi" w:cstheme="minorHAnsi"/>
        </w:rPr>
        <w:t xml:space="preserve">China’s AD </w:t>
      </w:r>
      <w:r w:rsidR="005A2CD1">
        <w:rPr>
          <w:rFonts w:asciiTheme="minorHAnsi" w:hAnsiTheme="minorHAnsi" w:cstheme="minorHAnsi"/>
        </w:rPr>
        <w:t>c</w:t>
      </w:r>
      <w:r>
        <w:rPr>
          <w:rFonts w:asciiTheme="minorHAnsi" w:hAnsiTheme="minorHAnsi" w:cstheme="minorHAnsi"/>
        </w:rPr>
        <w:t>laim 3</w:t>
      </w:r>
      <w:r w:rsidR="005A2CD1">
        <w:rPr>
          <w:rFonts w:asciiTheme="minorHAnsi" w:hAnsiTheme="minorHAnsi" w:cstheme="minorHAnsi"/>
        </w:rPr>
        <w:t xml:space="preserve"> </w:t>
      </w:r>
      <w:r>
        <w:rPr>
          <w:rFonts w:asciiTheme="minorHAnsi" w:hAnsiTheme="minorHAnsi" w:cstheme="minorHAnsi"/>
        </w:rPr>
        <w:t xml:space="preserve">with respect to railway wheels </w:t>
      </w:r>
      <w:r w:rsidR="005A2CD1">
        <w:rPr>
          <w:rFonts w:asciiTheme="minorHAnsi" w:hAnsiTheme="minorHAnsi" w:cstheme="minorHAnsi"/>
        </w:rPr>
        <w:t>does not have merit, and therefore</w:t>
      </w:r>
      <w:r>
        <w:rPr>
          <w:rFonts w:asciiTheme="minorHAnsi" w:hAnsiTheme="minorHAnsi" w:cstheme="minorHAnsi"/>
        </w:rPr>
        <w:t xml:space="preserve"> </w:t>
      </w:r>
      <w:r w:rsidR="005A2CD1">
        <w:rPr>
          <w:rFonts w:asciiTheme="minorHAnsi" w:hAnsiTheme="minorHAnsi" w:cstheme="minorHAnsi"/>
        </w:rPr>
        <w:t>t</w:t>
      </w:r>
      <w:r>
        <w:rPr>
          <w:rFonts w:asciiTheme="minorHAnsi" w:hAnsiTheme="minorHAnsi" w:cstheme="minorHAnsi"/>
        </w:rPr>
        <w:t>he Panel should reject this claim.</w:t>
      </w:r>
    </w:p>
    <w:p w14:paraId="3A0A7D8E" w14:textId="77777777" w:rsidR="00C022A6" w:rsidRDefault="00620C43" w:rsidP="00231DD0">
      <w:pPr>
        <w:pStyle w:val="HL2HeadingLevel2"/>
      </w:pPr>
      <w:bookmarkStart w:id="58" w:name="_Toc148710989"/>
      <w:r>
        <w:t>AD claim 1</w:t>
      </w:r>
      <w:bookmarkEnd w:id="58"/>
    </w:p>
    <w:p w14:paraId="14A2E99E" w14:textId="1691FF99" w:rsidR="00B91D4D" w:rsidRPr="00BF043F" w:rsidRDefault="00B91D4D" w:rsidP="00BF043F">
      <w:pPr>
        <w:pStyle w:val="P1-N1Paragraph1-Number1"/>
        <w:spacing w:before="120" w:after="120"/>
        <w:rPr>
          <w:rFonts w:asciiTheme="minorHAnsi" w:hAnsiTheme="minorHAnsi" w:cstheme="minorHAnsi"/>
        </w:rPr>
      </w:pPr>
      <w:r>
        <w:rPr>
          <w:rFonts w:asciiTheme="minorHAnsi" w:hAnsiTheme="minorHAnsi" w:cstheme="minorHAnsi"/>
        </w:rPr>
        <w:t xml:space="preserve">In AD claim 1, China contended that out-of-country data can </w:t>
      </w:r>
      <w:r>
        <w:rPr>
          <w:rFonts w:asciiTheme="minorHAnsi" w:hAnsiTheme="minorHAnsi" w:cstheme="minorHAnsi"/>
          <w:i/>
          <w:iCs/>
        </w:rPr>
        <w:t>never</w:t>
      </w:r>
      <w:r>
        <w:rPr>
          <w:rFonts w:asciiTheme="minorHAnsi" w:hAnsiTheme="minorHAnsi" w:cstheme="minorHAnsi"/>
        </w:rPr>
        <w:t xml:space="preserve"> be used by an investi</w:t>
      </w:r>
      <w:r w:rsidRPr="00BF043F">
        <w:rPr>
          <w:rFonts w:asciiTheme="minorHAnsi" w:hAnsiTheme="minorHAnsi" w:cstheme="minorHAnsi"/>
        </w:rPr>
        <w:t>gating authority to determine "cost of production in the country of origin".</w:t>
      </w:r>
      <w:r>
        <w:rPr>
          <w:rStyle w:val="FootnoteReference"/>
          <w:rFonts w:asciiTheme="minorHAnsi" w:hAnsiTheme="minorHAnsi" w:cstheme="minorHAnsi"/>
        </w:rPr>
        <w:footnoteReference w:id="66"/>
      </w:r>
      <w:r w:rsidRPr="00BF043F">
        <w:rPr>
          <w:rFonts w:asciiTheme="minorHAnsi" w:hAnsiTheme="minorHAnsi" w:cstheme="minorHAnsi"/>
        </w:rPr>
        <w:t xml:space="preserve"> China's interpretation is irreconcilable with the text of Article 2.2 and is inconsistent with the observations of the Appellate Body in </w:t>
      </w:r>
      <w:r w:rsidRPr="00BF043F">
        <w:rPr>
          <w:rFonts w:asciiTheme="minorHAnsi" w:hAnsiTheme="minorHAnsi" w:cstheme="minorHAnsi"/>
          <w:i/>
        </w:rPr>
        <w:t>EU - Biodiesel (Argentina)</w:t>
      </w:r>
      <w:r w:rsidRPr="00BF043F">
        <w:rPr>
          <w:rFonts w:asciiTheme="minorHAnsi" w:hAnsiTheme="minorHAnsi" w:cstheme="minorHAnsi"/>
        </w:rPr>
        <w:t>.</w:t>
      </w:r>
      <w:r>
        <w:rPr>
          <w:rStyle w:val="FootnoteReference"/>
          <w:rFonts w:asciiTheme="minorHAnsi" w:hAnsiTheme="minorHAnsi" w:cstheme="minorHAnsi"/>
        </w:rPr>
        <w:footnoteReference w:id="67"/>
      </w:r>
    </w:p>
    <w:p w14:paraId="3F7F730C" w14:textId="52EF9470" w:rsidR="00C022A6" w:rsidRDefault="00620C43">
      <w:pPr>
        <w:pStyle w:val="P1-N1Paragraph1-Number1"/>
        <w:spacing w:before="120" w:after="120"/>
        <w:rPr>
          <w:rFonts w:asciiTheme="minorHAnsi" w:hAnsiTheme="minorHAnsi" w:cstheme="minorHAnsi"/>
        </w:rPr>
      </w:pPr>
      <w:r>
        <w:rPr>
          <w:rFonts w:asciiTheme="minorHAnsi" w:hAnsiTheme="minorHAnsi" w:cstheme="minorHAnsi"/>
        </w:rPr>
        <w:t xml:space="preserve">In the facts and circumstances of the ADC’s railway wheels investigation, the ADC acted consistently with the requirements of Article 2.2 of the Anti-Dumping Agreement in its reliance on data external to </w:t>
      </w:r>
      <w:proofErr w:type="spellStart"/>
      <w:r>
        <w:rPr>
          <w:rFonts w:asciiTheme="minorHAnsi" w:hAnsiTheme="minorHAnsi" w:cstheme="minorHAnsi"/>
        </w:rPr>
        <w:t>Masteel's</w:t>
      </w:r>
      <w:proofErr w:type="spellEnd"/>
      <w:r>
        <w:rPr>
          <w:rFonts w:asciiTheme="minorHAnsi" w:hAnsiTheme="minorHAnsi" w:cstheme="minorHAnsi"/>
        </w:rPr>
        <w:t xml:space="preserve"> records as the basis for constructing steel billet costs in China.</w:t>
      </w:r>
      <w:r w:rsidR="0022783D">
        <w:rPr>
          <w:rStyle w:val="FootnoteReference"/>
          <w:rFonts w:asciiTheme="minorHAnsi" w:hAnsiTheme="minorHAnsi" w:cstheme="minorHAnsi"/>
        </w:rPr>
        <w:footnoteReference w:id="68"/>
      </w:r>
    </w:p>
    <w:p w14:paraId="5CACA791" w14:textId="06225DEA" w:rsidR="00C022A6" w:rsidRDefault="00620C43">
      <w:pPr>
        <w:pStyle w:val="P1-N1Paragraph1-Number1"/>
        <w:spacing w:before="120" w:after="120"/>
        <w:rPr>
          <w:rFonts w:asciiTheme="minorHAnsi" w:hAnsiTheme="minorHAnsi" w:cstheme="minorHAnsi"/>
        </w:rPr>
      </w:pPr>
      <w:r>
        <w:rPr>
          <w:rFonts w:asciiTheme="minorHAnsi" w:hAnsiTheme="minorHAnsi" w:cstheme="minorHAnsi"/>
        </w:rPr>
        <w:t xml:space="preserve">Further, the ADC acted consistently with the requirements under Article 2.2 by adapting the out-of-country reference data to </w:t>
      </w:r>
      <w:proofErr w:type="spellStart"/>
      <w:r>
        <w:rPr>
          <w:rFonts w:asciiTheme="minorHAnsi" w:hAnsiTheme="minorHAnsi" w:cstheme="minorHAnsi"/>
        </w:rPr>
        <w:t>Masteel's</w:t>
      </w:r>
      <w:proofErr w:type="spellEnd"/>
      <w:r>
        <w:rPr>
          <w:rFonts w:asciiTheme="minorHAnsi" w:hAnsiTheme="minorHAnsi" w:cstheme="minorHAnsi"/>
        </w:rPr>
        <w:t xml:space="preserve"> circumstances as an integrated steel producer in China.</w:t>
      </w:r>
      <w:r w:rsidR="00F80E3E">
        <w:rPr>
          <w:rStyle w:val="FootnoteReference"/>
          <w:rFonts w:asciiTheme="minorHAnsi" w:hAnsiTheme="minorHAnsi" w:cstheme="minorHAnsi"/>
        </w:rPr>
        <w:footnoteReference w:id="69"/>
      </w:r>
      <w:r>
        <w:rPr>
          <w:rFonts w:asciiTheme="minorHAnsi" w:hAnsiTheme="minorHAnsi" w:cstheme="minorHAnsi"/>
        </w:rPr>
        <w:t xml:space="preserve"> The ADC properly relied on data external to </w:t>
      </w:r>
      <w:proofErr w:type="spellStart"/>
      <w:r>
        <w:rPr>
          <w:rFonts w:asciiTheme="minorHAnsi" w:hAnsiTheme="minorHAnsi" w:cstheme="minorHAnsi"/>
        </w:rPr>
        <w:t>Masteel's</w:t>
      </w:r>
      <w:proofErr w:type="spellEnd"/>
      <w:r>
        <w:rPr>
          <w:rFonts w:asciiTheme="minorHAnsi" w:hAnsiTheme="minorHAnsi" w:cstheme="minorHAnsi"/>
        </w:rPr>
        <w:t xml:space="preserve"> records as the basis for constructing steel billet costs in China under Article 2.2 of the Anti-Dumping Agreement. </w:t>
      </w:r>
      <w:r>
        <w:rPr>
          <w:rFonts w:asciiTheme="minorHAnsi" w:hAnsiTheme="minorHAnsi" w:cstheme="minorHAnsi"/>
        </w:rPr>
        <w:lastRenderedPageBreak/>
        <w:t>Having determined that recourse to French data was appropriate based on the record evidence, the ADC proceeded to make the necessary adjustments</w:t>
      </w:r>
      <w:r w:rsidR="00902E4D">
        <w:rPr>
          <w:rFonts w:asciiTheme="minorHAnsi" w:hAnsiTheme="minorHAnsi" w:cstheme="minorHAnsi"/>
        </w:rPr>
        <w:t>,</w:t>
      </w:r>
      <w:r>
        <w:rPr>
          <w:rFonts w:asciiTheme="minorHAnsi" w:hAnsiTheme="minorHAnsi" w:cstheme="minorHAnsi"/>
        </w:rPr>
        <w:t xml:space="preserve"> adapting the data sourced from outside China to </w:t>
      </w:r>
      <w:proofErr w:type="spellStart"/>
      <w:r>
        <w:rPr>
          <w:rFonts w:asciiTheme="minorHAnsi" w:hAnsiTheme="minorHAnsi" w:cstheme="minorHAnsi"/>
        </w:rPr>
        <w:t>Masteel's</w:t>
      </w:r>
      <w:proofErr w:type="spellEnd"/>
      <w:r>
        <w:rPr>
          <w:rFonts w:asciiTheme="minorHAnsi" w:hAnsiTheme="minorHAnsi" w:cstheme="minorHAnsi"/>
        </w:rPr>
        <w:t xml:space="preserve"> circumstances in China. </w:t>
      </w:r>
      <w:r w:rsidR="00902E4D">
        <w:rPr>
          <w:rFonts w:asciiTheme="minorHAnsi" w:hAnsiTheme="minorHAnsi" w:cstheme="minorHAnsi"/>
        </w:rPr>
        <w:t>It did this on the basis of the information that was available to it and appropriate to use on the facts of the investigation.</w:t>
      </w:r>
      <w:r w:rsidR="00902E4D">
        <w:rPr>
          <w:rStyle w:val="FootnoteReference"/>
          <w:rFonts w:asciiTheme="minorHAnsi" w:hAnsiTheme="minorHAnsi" w:cstheme="minorHAnsi"/>
        </w:rPr>
        <w:footnoteReference w:id="70"/>
      </w:r>
    </w:p>
    <w:p w14:paraId="66A55877" w14:textId="10F7EEEC" w:rsidR="00C022A6" w:rsidRDefault="00721F42">
      <w:pPr>
        <w:pStyle w:val="P1-N1Paragraph1-Number1"/>
        <w:spacing w:before="120" w:after="120"/>
        <w:rPr>
          <w:rFonts w:asciiTheme="minorHAnsi" w:hAnsiTheme="minorHAnsi" w:cstheme="minorHAnsi"/>
        </w:rPr>
      </w:pPr>
      <w:r>
        <w:rPr>
          <w:rFonts w:asciiTheme="minorHAnsi" w:hAnsiTheme="minorHAnsi" w:cstheme="minorHAnsi"/>
        </w:rPr>
        <w:t>Contrary to China’s arguments</w:t>
      </w:r>
      <w:r w:rsidR="00620C43">
        <w:rPr>
          <w:rFonts w:asciiTheme="minorHAnsi" w:hAnsiTheme="minorHAnsi" w:cstheme="minorHAnsi"/>
        </w:rPr>
        <w:t>, the ADC was under no obligation to adapt the external reference data in a manner that would reintroduce the market distortions that the ADC sought to redress. As the Panel alluded to in question no. 21,</w:t>
      </w:r>
      <w:r w:rsidR="00620C43">
        <w:rPr>
          <w:rStyle w:val="FootnoteReference"/>
          <w:rFonts w:asciiTheme="minorHAnsi" w:hAnsiTheme="minorHAnsi" w:cstheme="minorHAnsi"/>
        </w:rPr>
        <w:footnoteReference w:id="71"/>
      </w:r>
      <w:r w:rsidR="00620C43">
        <w:rPr>
          <w:rFonts w:asciiTheme="minorHAnsi" w:hAnsiTheme="minorHAnsi" w:cstheme="minorHAnsi"/>
        </w:rPr>
        <w:t xml:space="preserve"> China appears to claim that – through its choice of reference data under Article 2.2 – the ADC should have reintroduced the very same distortions </w:t>
      </w:r>
      <w:r w:rsidR="004F66DF">
        <w:rPr>
          <w:rFonts w:asciiTheme="minorHAnsi" w:hAnsiTheme="minorHAnsi" w:cstheme="minorHAnsi"/>
        </w:rPr>
        <w:t xml:space="preserve">that the ADC legitimately </w:t>
      </w:r>
      <w:r w:rsidR="00620C43">
        <w:rPr>
          <w:rFonts w:asciiTheme="minorHAnsi" w:hAnsiTheme="minorHAnsi" w:cstheme="minorHAnsi"/>
        </w:rPr>
        <w:t xml:space="preserve">excluded under Article 2.2.1.1. This </w:t>
      </w:r>
      <w:r w:rsidR="0087270F">
        <w:rPr>
          <w:rFonts w:asciiTheme="minorHAnsi" w:hAnsiTheme="minorHAnsi" w:cstheme="minorHAnsi"/>
        </w:rPr>
        <w:t>would be</w:t>
      </w:r>
      <w:r w:rsidR="00620C43">
        <w:rPr>
          <w:rFonts w:asciiTheme="minorHAnsi" w:hAnsiTheme="minorHAnsi" w:cstheme="minorHAnsi"/>
        </w:rPr>
        <w:t xml:space="preserve"> nonsensical.</w:t>
      </w:r>
      <w:r>
        <w:rPr>
          <w:rStyle w:val="FootnoteReference"/>
          <w:rFonts w:asciiTheme="minorHAnsi" w:hAnsiTheme="minorHAnsi" w:cstheme="minorHAnsi"/>
        </w:rPr>
        <w:footnoteReference w:id="72"/>
      </w:r>
    </w:p>
    <w:p w14:paraId="703FB18F" w14:textId="024E9075" w:rsidR="00C022A6" w:rsidRDefault="00620C43">
      <w:pPr>
        <w:pStyle w:val="P1-N1Paragraph1-Number1"/>
        <w:spacing w:before="120" w:after="120"/>
        <w:rPr>
          <w:rFonts w:asciiTheme="minorHAnsi" w:hAnsiTheme="minorHAnsi" w:cstheme="minorHAnsi"/>
        </w:rPr>
      </w:pPr>
      <w:r>
        <w:rPr>
          <w:rFonts w:asciiTheme="minorHAnsi" w:hAnsiTheme="minorHAnsi" w:cstheme="minorHAnsi"/>
        </w:rPr>
        <w:t>The ADC acted consistently with Article 2.2 of the Anti-Dumping Agreement in determining an appropriate cost of production in the country of origin. The Panel should, therefore, reject China's AD claim 1.</w:t>
      </w:r>
    </w:p>
    <w:p w14:paraId="568B9D1B" w14:textId="77777777" w:rsidR="00C022A6" w:rsidRDefault="00620C43" w:rsidP="00231DD0">
      <w:pPr>
        <w:pStyle w:val="HL2HeadingLevel2"/>
      </w:pPr>
      <w:bookmarkStart w:id="59" w:name="_Toc134774849"/>
      <w:bookmarkStart w:id="60" w:name="_Toc135405938"/>
      <w:bookmarkStart w:id="61" w:name="_Toc148710990"/>
      <w:r>
        <w:t>AD claim 5</w:t>
      </w:r>
      <w:bookmarkEnd w:id="59"/>
      <w:bookmarkEnd w:id="60"/>
      <w:r>
        <w:t>.d</w:t>
      </w:r>
      <w:bookmarkEnd w:id="61"/>
    </w:p>
    <w:p w14:paraId="4516ECD9" w14:textId="083AB229" w:rsidR="00C022A6" w:rsidRDefault="00620C43">
      <w:pPr>
        <w:pStyle w:val="P1-N1Paragraph1-Number1"/>
      </w:pPr>
      <w:r>
        <w:rPr>
          <w:rFonts w:asciiTheme="minorHAnsi" w:hAnsiTheme="minorHAnsi" w:cstheme="minorHAnsi"/>
        </w:rPr>
        <w:t xml:space="preserve">China argues, through AD claim 5.d, that Australia </w:t>
      </w:r>
      <w:r>
        <w:t>did not properly determine the exporter's cost of production, because the ADC used the cost of an input to production, steel billet, where the exporter did not have an identical cost in its financial records because steel billet was self-made by the exporter from raw materials.</w:t>
      </w:r>
      <w:r>
        <w:rPr>
          <w:rStyle w:val="FootnoteReference"/>
        </w:rPr>
        <w:footnoteReference w:id="73"/>
      </w:r>
    </w:p>
    <w:p w14:paraId="78468DD5" w14:textId="3028F502" w:rsidR="00C022A6" w:rsidRPr="00721F42" w:rsidRDefault="00620C43" w:rsidP="00721F42">
      <w:pPr>
        <w:pStyle w:val="P1-N1Paragraph1-Number1"/>
        <w:rPr>
          <w:rFonts w:ascii="Times New Roman" w:hAnsi="Times New Roman" w:cs="Times New Roman"/>
        </w:rPr>
      </w:pPr>
      <w:r>
        <w:rPr>
          <w:rFonts w:asciiTheme="minorHAnsi" w:hAnsiTheme="minorHAnsi" w:cstheme="minorHAnsi"/>
        </w:rPr>
        <w:t>It remains unclear from China’s submissions what it contends to be the legal basis for AD claim 5.d.</w:t>
      </w:r>
      <w:r>
        <w:rPr>
          <w:rStyle w:val="FootnoteReference"/>
          <w:rFonts w:asciiTheme="minorHAnsi" w:hAnsiTheme="minorHAnsi" w:cstheme="minorHAnsi"/>
        </w:rPr>
        <w:footnoteReference w:id="74"/>
      </w:r>
      <w:r>
        <w:rPr>
          <w:rFonts w:asciiTheme="minorHAnsi" w:hAnsiTheme="minorHAnsi" w:cstheme="minorHAnsi"/>
        </w:rPr>
        <w:t xml:space="preserve"> </w:t>
      </w:r>
      <w:r w:rsidRPr="00721F42">
        <w:rPr>
          <w:rFonts w:asciiTheme="minorHAnsi" w:hAnsiTheme="minorHAnsi" w:cstheme="minorHAnsi"/>
        </w:rPr>
        <w:t>To the extent that AD claim 5.d relates to Australia's obligation under Article 2.2 to assess costs of production in the country of origin, it is duplicative of AD claim 1.</w:t>
      </w:r>
    </w:p>
    <w:p w14:paraId="45BC0FFA" w14:textId="28175244" w:rsidR="00C022A6" w:rsidRDefault="00620C43">
      <w:pPr>
        <w:pStyle w:val="P1-N1Paragraph1-Number1"/>
        <w:rPr>
          <w:rFonts w:asciiTheme="minorHAnsi" w:hAnsiTheme="minorHAnsi" w:cstheme="minorHAnsi"/>
        </w:rPr>
      </w:pPr>
      <w:r>
        <w:rPr>
          <w:rFonts w:asciiTheme="minorHAnsi" w:hAnsiTheme="minorHAnsi" w:cstheme="minorHAnsi"/>
        </w:rPr>
        <w:t xml:space="preserve">China originally argued that AD claim 5.d as it relates to Article 2.2.1.1 "deals with the issue of what a 'cost' is, in the records of an exporter, for the purposes of answering the question of whether the records 'reasonably reflect the costs associated with the production' </w:t>
      </w:r>
      <w:r>
        <w:rPr>
          <w:rFonts w:asciiTheme="minorHAnsi" w:hAnsiTheme="minorHAnsi" w:cstheme="minorHAnsi"/>
        </w:rPr>
        <w:lastRenderedPageBreak/>
        <w:t>of the product concerned' under Article 2.2.1.1</w:t>
      </w:r>
      <w:r w:rsidR="007E4AAD">
        <w:rPr>
          <w:rFonts w:asciiTheme="minorHAnsi" w:hAnsiTheme="minorHAnsi" w:cstheme="minorHAnsi"/>
        </w:rPr>
        <w:t>.</w:t>
      </w:r>
      <w:r>
        <w:rPr>
          <w:rFonts w:asciiTheme="minorHAnsi" w:hAnsiTheme="minorHAnsi" w:cstheme="minorHAnsi"/>
        </w:rPr>
        <w:t>"</w:t>
      </w:r>
      <w:r>
        <w:rPr>
          <w:rStyle w:val="FootnoteReference"/>
          <w:rFonts w:asciiTheme="minorHAnsi" w:hAnsiTheme="minorHAnsi" w:cstheme="minorHAnsi"/>
        </w:rPr>
        <w:footnoteReference w:id="75"/>
      </w:r>
      <w:r w:rsidR="00F91CF1">
        <w:rPr>
          <w:rFonts w:asciiTheme="minorHAnsi" w:hAnsiTheme="minorHAnsi" w:cstheme="minorHAnsi"/>
        </w:rPr>
        <w:t xml:space="preserve"> T</w:t>
      </w:r>
      <w:r>
        <w:rPr>
          <w:rFonts w:asciiTheme="minorHAnsi" w:hAnsiTheme="minorHAnsi" w:cstheme="minorHAnsi"/>
        </w:rPr>
        <w:t>hat is, China framed this claim as being an offshoot of China’s AD claim 3 argument that the ADC misapplied the second condition</w:t>
      </w:r>
      <w:r w:rsidR="002F7B3B">
        <w:rPr>
          <w:rFonts w:asciiTheme="minorHAnsi" w:hAnsiTheme="minorHAnsi" w:cstheme="minorHAnsi"/>
        </w:rPr>
        <w:t xml:space="preserve"> of Article 2.2.1.1</w:t>
      </w:r>
      <w:r>
        <w:rPr>
          <w:rFonts w:asciiTheme="minorHAnsi" w:hAnsiTheme="minorHAnsi" w:cstheme="minorHAnsi"/>
        </w:rPr>
        <w:t xml:space="preserve">. This argument is predicated on China’s incorrect assumption that the ADC’s decision was based on a negative finding under the second condition of Article 2.2.1.1. The ADC resorted to information external to </w:t>
      </w:r>
      <w:proofErr w:type="spellStart"/>
      <w:r>
        <w:rPr>
          <w:rFonts w:asciiTheme="minorHAnsi" w:hAnsiTheme="minorHAnsi" w:cstheme="minorHAnsi"/>
        </w:rPr>
        <w:t>Masteel's</w:t>
      </w:r>
      <w:proofErr w:type="spellEnd"/>
      <w:r>
        <w:rPr>
          <w:rFonts w:asciiTheme="minorHAnsi" w:hAnsiTheme="minorHAnsi" w:cstheme="minorHAnsi"/>
        </w:rPr>
        <w:t xml:space="preserve"> records pursuant to a finding under the "normally" </w:t>
      </w:r>
      <w:r w:rsidR="00BA4685">
        <w:rPr>
          <w:rFonts w:asciiTheme="minorHAnsi" w:hAnsiTheme="minorHAnsi" w:cstheme="minorHAnsi"/>
        </w:rPr>
        <w:t>term</w:t>
      </w:r>
      <w:r>
        <w:rPr>
          <w:rFonts w:asciiTheme="minorHAnsi" w:hAnsiTheme="minorHAnsi" w:cstheme="minorHAnsi"/>
        </w:rPr>
        <w:t xml:space="preserve"> of Article 2.2.1.1, not pursuant to a finding under the second condition.</w:t>
      </w:r>
    </w:p>
    <w:p w14:paraId="5ABDBD5D" w14:textId="6DB98A64" w:rsidR="00C022A6" w:rsidRDefault="00620C43">
      <w:pPr>
        <w:pStyle w:val="P1-N1Paragraph1-Number1"/>
        <w:rPr>
          <w:rFonts w:asciiTheme="minorHAnsi" w:hAnsiTheme="minorHAnsi" w:cstheme="minorHAnsi"/>
        </w:rPr>
      </w:pPr>
      <w:r>
        <w:rPr>
          <w:rFonts w:asciiTheme="minorHAnsi" w:hAnsiTheme="minorHAnsi" w:cstheme="minorHAnsi"/>
        </w:rPr>
        <w:t xml:space="preserve">China subsequently argued that the ADC failed to discharge its obligation under Article 2.2.1.1 by calculating a cost (of steel billet) that was not genuinely related to </w:t>
      </w:r>
      <w:proofErr w:type="spellStart"/>
      <w:r>
        <w:rPr>
          <w:rFonts w:asciiTheme="minorHAnsi" w:hAnsiTheme="minorHAnsi" w:cstheme="minorHAnsi"/>
        </w:rPr>
        <w:t>Masteel's</w:t>
      </w:r>
      <w:proofErr w:type="spellEnd"/>
      <w:r>
        <w:rPr>
          <w:rFonts w:asciiTheme="minorHAnsi" w:hAnsiTheme="minorHAnsi" w:cstheme="minorHAnsi"/>
        </w:rPr>
        <w:t xml:space="preserve"> production and sales of railway wheels.</w:t>
      </w:r>
      <w:r>
        <w:rPr>
          <w:rStyle w:val="FootnoteReference"/>
          <w:rFonts w:asciiTheme="minorHAnsi" w:hAnsiTheme="minorHAnsi" w:cstheme="minorHAnsi"/>
        </w:rPr>
        <w:footnoteReference w:id="76"/>
      </w:r>
      <w:r>
        <w:rPr>
          <w:rFonts w:asciiTheme="minorHAnsi" w:hAnsiTheme="minorHAnsi" w:cstheme="minorHAnsi"/>
        </w:rPr>
        <w:t xml:space="preserve"> China's argument is unsupported by the record. It is clear from the facts of Railway Wheels Investigation 466 that there was a genuine relationship between </w:t>
      </w:r>
      <w:proofErr w:type="spellStart"/>
      <w:r>
        <w:rPr>
          <w:rFonts w:asciiTheme="minorHAnsi" w:hAnsiTheme="minorHAnsi" w:cstheme="minorHAnsi"/>
        </w:rPr>
        <w:t>Masteel's</w:t>
      </w:r>
      <w:proofErr w:type="spellEnd"/>
      <w:r>
        <w:rPr>
          <w:rFonts w:asciiTheme="minorHAnsi" w:hAnsiTheme="minorHAnsi" w:cstheme="minorHAnsi"/>
        </w:rPr>
        <w:t xml:space="preserve"> steel billet costs and </w:t>
      </w:r>
      <w:proofErr w:type="spellStart"/>
      <w:r>
        <w:rPr>
          <w:rFonts w:asciiTheme="minorHAnsi" w:hAnsiTheme="minorHAnsi" w:cstheme="minorHAnsi"/>
        </w:rPr>
        <w:t>Masteel’s</w:t>
      </w:r>
      <w:proofErr w:type="spellEnd"/>
      <w:r>
        <w:rPr>
          <w:rFonts w:asciiTheme="minorHAnsi" w:hAnsiTheme="minorHAnsi" w:cstheme="minorHAnsi"/>
        </w:rPr>
        <w:t xml:space="preserve"> costs of producing and selling railway wheels.</w:t>
      </w:r>
      <w:r>
        <w:rPr>
          <w:rStyle w:val="FootnoteReference"/>
          <w:rFonts w:asciiTheme="minorHAnsi" w:hAnsiTheme="minorHAnsi" w:cstheme="minorHAnsi"/>
        </w:rPr>
        <w:footnoteReference w:id="77"/>
      </w:r>
    </w:p>
    <w:p w14:paraId="3C1686EE" w14:textId="6C4007A4" w:rsidR="00C022A6" w:rsidRDefault="00620C43">
      <w:pPr>
        <w:pStyle w:val="P1-N1Paragraph1-Number1"/>
      </w:pPr>
      <w:r>
        <w:rPr>
          <w:rFonts w:asciiTheme="minorHAnsi" w:hAnsiTheme="minorHAnsi" w:cstheme="minorHAnsi"/>
        </w:rPr>
        <w:t xml:space="preserve">The ADC properly evaluated the record evidence and acted in an objective and unbiased manner when it determined that calculating costs at the level of steel billet was appropriate for the purpose of constructing </w:t>
      </w:r>
      <w:r w:rsidR="000A2C43">
        <w:rPr>
          <w:rFonts w:asciiTheme="minorHAnsi" w:hAnsiTheme="minorHAnsi" w:cstheme="minorHAnsi"/>
        </w:rPr>
        <w:t xml:space="preserve">the </w:t>
      </w:r>
      <w:r w:rsidR="009236A5">
        <w:rPr>
          <w:rFonts w:asciiTheme="minorHAnsi" w:hAnsiTheme="minorHAnsi" w:cstheme="minorHAnsi"/>
        </w:rPr>
        <w:t>cost of production</w:t>
      </w:r>
      <w:r>
        <w:rPr>
          <w:rFonts w:asciiTheme="minorHAnsi" w:hAnsiTheme="minorHAnsi" w:cstheme="minorHAnsi"/>
        </w:rPr>
        <w:t xml:space="preserve"> of railway wheels. </w:t>
      </w:r>
      <w:r w:rsidR="00721F42">
        <w:rPr>
          <w:rFonts w:asciiTheme="minorHAnsi" w:hAnsiTheme="minorHAnsi" w:cstheme="minorHAnsi"/>
        </w:rPr>
        <w:t xml:space="preserve">China’s claim has no discernible legal basis. </w:t>
      </w:r>
      <w:r>
        <w:rPr>
          <w:rFonts w:asciiTheme="minorHAnsi" w:hAnsiTheme="minorHAnsi" w:cstheme="minorHAnsi"/>
        </w:rPr>
        <w:t>The Panel should reject China's AD claim 5.d.</w:t>
      </w:r>
    </w:p>
    <w:p w14:paraId="474332C0" w14:textId="77777777" w:rsidR="00C022A6" w:rsidRDefault="00620C43" w:rsidP="00231DD0">
      <w:pPr>
        <w:pStyle w:val="HL2HeadingLevel2"/>
      </w:pPr>
      <w:bookmarkStart w:id="62" w:name="_Toc134774853"/>
      <w:bookmarkStart w:id="63" w:name="_Toc135405942"/>
      <w:bookmarkStart w:id="64" w:name="_Toc148710991"/>
      <w:r>
        <w:t>AD claim 6.a</w:t>
      </w:r>
      <w:bookmarkEnd w:id="62"/>
      <w:bookmarkEnd w:id="63"/>
      <w:bookmarkEnd w:id="64"/>
    </w:p>
    <w:p w14:paraId="77FEC4DE" w14:textId="61ABA873" w:rsidR="00C022A6" w:rsidRDefault="00620C43">
      <w:pPr>
        <w:pStyle w:val="P1-N1Paragraph1-Number1"/>
        <w:spacing w:before="120" w:after="120"/>
        <w:rPr>
          <w:rFonts w:asciiTheme="minorHAnsi" w:hAnsiTheme="minorHAnsi" w:cstheme="minorHAnsi"/>
          <w:color w:val="000000" w:themeColor="text1"/>
        </w:rPr>
      </w:pPr>
      <w:r>
        <w:rPr>
          <w:rFonts w:asciiTheme="minorHAnsi" w:hAnsiTheme="minorHAnsi" w:cstheme="minorHAnsi"/>
        </w:rPr>
        <w:t xml:space="preserve">China alleged that the ADC failed to make </w:t>
      </w:r>
      <w:r w:rsidR="008A629D">
        <w:rPr>
          <w:rFonts w:asciiTheme="minorHAnsi" w:hAnsiTheme="minorHAnsi" w:cstheme="minorHAnsi"/>
        </w:rPr>
        <w:t>"</w:t>
      </w:r>
      <w:r>
        <w:rPr>
          <w:rFonts w:asciiTheme="minorHAnsi" w:hAnsiTheme="minorHAnsi" w:cstheme="minorHAnsi"/>
        </w:rPr>
        <w:t>due allowances</w:t>
      </w:r>
      <w:r w:rsidR="008A629D">
        <w:rPr>
          <w:rFonts w:asciiTheme="minorHAnsi" w:hAnsiTheme="minorHAnsi" w:cstheme="minorHAnsi"/>
        </w:rPr>
        <w:t>"</w:t>
      </w:r>
      <w:r>
        <w:rPr>
          <w:rFonts w:asciiTheme="minorHAnsi" w:hAnsiTheme="minorHAnsi" w:cstheme="minorHAnsi"/>
        </w:rPr>
        <w:t xml:space="preserve"> to ensure a fair comparison between the export price and constructed normal value under Article 2.4 of the Anti-Dumping Agreement, because it did not apply </w:t>
      </w:r>
      <w:r w:rsidR="008A629D">
        <w:rPr>
          <w:rFonts w:asciiTheme="minorHAnsi" w:hAnsiTheme="minorHAnsi" w:cstheme="minorHAnsi"/>
        </w:rPr>
        <w:t>"</w:t>
      </w:r>
      <w:r>
        <w:rPr>
          <w:rFonts w:asciiTheme="minorHAnsi" w:hAnsiTheme="minorHAnsi" w:cstheme="minorHAnsi"/>
        </w:rPr>
        <w:t>allowances</w:t>
      </w:r>
      <w:r w:rsidR="008A629D">
        <w:rPr>
          <w:rFonts w:asciiTheme="minorHAnsi" w:hAnsiTheme="minorHAnsi" w:cstheme="minorHAnsi"/>
        </w:rPr>
        <w:t>"</w:t>
      </w:r>
      <w:r>
        <w:rPr>
          <w:rFonts w:asciiTheme="minorHAnsi" w:hAnsiTheme="minorHAnsi" w:cstheme="minorHAnsi"/>
        </w:rPr>
        <w:t xml:space="preserve"> that would have had the effect of entirely reversing the construction of normal value under Article 2.2 of the Anti-Dumping Agreement.</w:t>
      </w:r>
      <w:r w:rsidR="005A2275">
        <w:rPr>
          <w:rFonts w:asciiTheme="minorHAnsi" w:hAnsiTheme="minorHAnsi" w:cstheme="minorHAnsi"/>
        </w:rPr>
        <w:t xml:space="preserve"> </w:t>
      </w:r>
      <w:r>
        <w:rPr>
          <w:rFonts w:asciiTheme="minorHAnsi" w:hAnsiTheme="minorHAnsi" w:cstheme="minorHAnsi"/>
        </w:rPr>
        <w:t xml:space="preserve">According to China, </w:t>
      </w:r>
      <w:r>
        <w:t>"due allowance that reverses the margin calculation's non-compliance with the requirements of Articles 2.1, 2.2 and 2.4 would be perfectly fitting."</w:t>
      </w:r>
      <w:r>
        <w:rPr>
          <w:rStyle w:val="FootnoteReference"/>
        </w:rPr>
        <w:footnoteReference w:id="78"/>
      </w:r>
    </w:p>
    <w:p w14:paraId="03D35FAE" w14:textId="0DDE252B" w:rsidR="00C022A6" w:rsidRDefault="00620C43">
      <w:pPr>
        <w:pStyle w:val="P1-N1Paragraph1-Number1"/>
        <w:spacing w:before="120" w:after="120"/>
        <w:rPr>
          <w:rFonts w:asciiTheme="minorHAnsi" w:hAnsiTheme="minorHAnsi" w:cstheme="minorHAnsi"/>
          <w:color w:val="000000" w:themeColor="text1"/>
        </w:rPr>
      </w:pPr>
      <w:r>
        <w:rPr>
          <w:rFonts w:asciiTheme="minorHAnsi" w:hAnsiTheme="minorHAnsi" w:cstheme="minorHAnsi"/>
        </w:rPr>
        <w:t xml:space="preserve">China’s complaints about the construction of normal value are the subject of AD claims 3 and 1. To the extent AD Claim 6 reagitates those points, this claim is purely </w:t>
      </w:r>
      <w:r>
        <w:rPr>
          <w:rFonts w:asciiTheme="minorHAnsi" w:hAnsiTheme="minorHAnsi" w:cstheme="minorHAnsi"/>
        </w:rPr>
        <w:lastRenderedPageBreak/>
        <w:t xml:space="preserve">consequential and duplicative of China’s earlier claims. </w:t>
      </w:r>
      <w:proofErr w:type="gramStart"/>
      <w:r>
        <w:rPr>
          <w:rFonts w:asciiTheme="minorHAnsi" w:hAnsiTheme="minorHAnsi" w:cstheme="minorHAnsi"/>
        </w:rPr>
        <w:t>But,</w:t>
      </w:r>
      <w:proofErr w:type="gramEnd"/>
      <w:r>
        <w:rPr>
          <w:rFonts w:asciiTheme="minorHAnsi" w:hAnsiTheme="minorHAnsi" w:cstheme="minorHAnsi"/>
        </w:rPr>
        <w:t xml:space="preserve"> China’s AD Claim 6 also takes the nonsensical further step of arguing that</w:t>
      </w:r>
      <w:r w:rsidR="007E1479">
        <w:rPr>
          <w:rFonts w:asciiTheme="minorHAnsi" w:hAnsiTheme="minorHAnsi" w:cstheme="minorHAnsi"/>
        </w:rPr>
        <w:t>,</w:t>
      </w:r>
      <w:r>
        <w:rPr>
          <w:rFonts w:asciiTheme="minorHAnsi" w:hAnsiTheme="minorHAnsi" w:cstheme="minorHAnsi"/>
        </w:rPr>
        <w:t xml:space="preserve"> even if the Panel finds normal value was properly constructed, the ADC was obliged to apply adjustments to reintroduce the very distortions that the ADC </w:t>
      </w:r>
      <w:r w:rsidR="00320562">
        <w:rPr>
          <w:rFonts w:asciiTheme="minorHAnsi" w:hAnsiTheme="minorHAnsi" w:cstheme="minorHAnsi"/>
        </w:rPr>
        <w:t>deliberately</w:t>
      </w:r>
      <w:r>
        <w:rPr>
          <w:rFonts w:asciiTheme="minorHAnsi" w:hAnsiTheme="minorHAnsi" w:cstheme="minorHAnsi"/>
        </w:rPr>
        <w:t xml:space="preserve"> </w:t>
      </w:r>
      <w:r w:rsidR="007B6C91">
        <w:rPr>
          <w:rFonts w:asciiTheme="minorHAnsi" w:hAnsiTheme="minorHAnsi" w:cstheme="minorHAnsi"/>
        </w:rPr>
        <w:t>remove</w:t>
      </w:r>
      <w:r w:rsidR="00320562">
        <w:rPr>
          <w:rFonts w:asciiTheme="minorHAnsi" w:hAnsiTheme="minorHAnsi" w:cstheme="minorHAnsi"/>
        </w:rPr>
        <w:t>d</w:t>
      </w:r>
      <w:r w:rsidR="007B6C91">
        <w:rPr>
          <w:rFonts w:asciiTheme="minorHAnsi" w:hAnsiTheme="minorHAnsi" w:cstheme="minorHAnsi"/>
        </w:rPr>
        <w:t xml:space="preserve"> from </w:t>
      </w:r>
      <w:r>
        <w:rPr>
          <w:rFonts w:asciiTheme="minorHAnsi" w:hAnsiTheme="minorHAnsi" w:cstheme="minorHAnsi"/>
        </w:rPr>
        <w:t>its normal value calculation.</w:t>
      </w:r>
    </w:p>
    <w:p w14:paraId="1AE02F1D" w14:textId="782E3523" w:rsidR="00320562" w:rsidRDefault="00320562" w:rsidP="00320562">
      <w:pPr>
        <w:pStyle w:val="P1-N1Paragraph1-Number1"/>
        <w:spacing w:before="120" w:after="120"/>
        <w:rPr>
          <w:rFonts w:asciiTheme="minorHAnsi" w:hAnsiTheme="minorHAnsi" w:cstheme="minorHAnsi"/>
        </w:rPr>
      </w:pPr>
      <w:r>
        <w:rPr>
          <w:rFonts w:asciiTheme="minorHAnsi" w:hAnsiTheme="minorHAnsi" w:cstheme="minorHAnsi"/>
        </w:rPr>
        <w:t xml:space="preserve">Article 2.4 requires investigating authorities to </w:t>
      </w:r>
      <w:proofErr w:type="gramStart"/>
      <w:r>
        <w:rPr>
          <w:rFonts w:asciiTheme="minorHAnsi" w:hAnsiTheme="minorHAnsi" w:cstheme="minorHAnsi"/>
        </w:rPr>
        <w:t>make adjustments to</w:t>
      </w:r>
      <w:proofErr w:type="gramEnd"/>
      <w:r>
        <w:rPr>
          <w:rFonts w:asciiTheme="minorHAnsi" w:hAnsiTheme="minorHAnsi" w:cstheme="minorHAnsi"/>
        </w:rPr>
        <w:t xml:space="preserve"> export price and/or normal value to allow for a fair comparison. It is not a mechanism for investigating authorities to re-engineer normal value at the comparison stage of the margin calculation.</w:t>
      </w:r>
      <w:r w:rsidRPr="003B7E86">
        <w:rPr>
          <w:rStyle w:val="FootnoteReference"/>
          <w:rFonts w:asciiTheme="minorHAnsi" w:eastAsiaTheme="majorEastAsia" w:hAnsiTheme="minorHAnsi" w:cstheme="minorHAnsi"/>
        </w:rPr>
        <w:footnoteReference w:id="79"/>
      </w:r>
      <w:r w:rsidRPr="003B7E86">
        <w:rPr>
          <w:rFonts w:asciiTheme="minorHAnsi" w:hAnsiTheme="minorHAnsi" w:cstheme="minorHAnsi"/>
        </w:rPr>
        <w:t xml:space="preserve"> </w:t>
      </w:r>
      <w:r>
        <w:rPr>
          <w:rFonts w:asciiTheme="minorHAnsi" w:hAnsiTheme="minorHAnsi" w:cstheme="minorHAnsi"/>
        </w:rPr>
        <w:t>China's approach is legally impermissible and makes no practical sense.</w:t>
      </w:r>
    </w:p>
    <w:p w14:paraId="275546A6" w14:textId="3E9CBA27" w:rsidR="00C022A6" w:rsidRDefault="00153CBD">
      <w:pPr>
        <w:pStyle w:val="P1-N1Paragraph1-Number1"/>
        <w:spacing w:before="120" w:after="120"/>
        <w:rPr>
          <w:rFonts w:asciiTheme="minorHAnsi" w:hAnsiTheme="minorHAnsi" w:cstheme="minorHAnsi"/>
        </w:rPr>
      </w:pPr>
      <w:r>
        <w:rPr>
          <w:rFonts w:asciiTheme="minorHAnsi" w:hAnsiTheme="minorHAnsi" w:cstheme="minorHAnsi"/>
        </w:rPr>
        <w:t xml:space="preserve">If China fails on AD claims 1 and 3, China must also fail on </w:t>
      </w:r>
      <w:r w:rsidR="00620C43">
        <w:rPr>
          <w:rFonts w:asciiTheme="minorHAnsi" w:hAnsiTheme="minorHAnsi" w:cstheme="minorHAnsi"/>
        </w:rPr>
        <w:t>AD claim 6.a</w:t>
      </w:r>
      <w:r>
        <w:rPr>
          <w:rFonts w:asciiTheme="minorHAnsi" w:hAnsiTheme="minorHAnsi" w:cstheme="minorHAnsi"/>
        </w:rPr>
        <w:t>.</w:t>
      </w:r>
      <w:r>
        <w:rPr>
          <w:rStyle w:val="FootnoteReference"/>
          <w:rFonts w:asciiTheme="minorHAnsi" w:hAnsiTheme="minorHAnsi" w:cstheme="minorHAnsi"/>
        </w:rPr>
        <w:footnoteReference w:id="80"/>
      </w:r>
      <w:r>
        <w:rPr>
          <w:rFonts w:asciiTheme="minorHAnsi" w:hAnsiTheme="minorHAnsi" w:cstheme="minorHAnsi"/>
        </w:rPr>
        <w:t xml:space="preserve"> If China succeeds on AD claims 1 and 3, AD claim 6a is legal impermissible and must nevertheless fail.</w:t>
      </w:r>
      <w:r>
        <w:rPr>
          <w:rStyle w:val="FootnoteReference"/>
          <w:rFonts w:asciiTheme="minorHAnsi" w:hAnsiTheme="minorHAnsi" w:cstheme="minorHAnsi"/>
        </w:rPr>
        <w:footnoteReference w:id="81"/>
      </w:r>
      <w:r w:rsidR="00620C43">
        <w:rPr>
          <w:rFonts w:asciiTheme="minorHAnsi" w:hAnsiTheme="minorHAnsi" w:cstheme="minorHAnsi"/>
        </w:rPr>
        <w:t xml:space="preserve"> </w:t>
      </w:r>
    </w:p>
    <w:p w14:paraId="0D840D9F" w14:textId="77777777" w:rsidR="00C022A6" w:rsidRDefault="00620C43" w:rsidP="00231DD0">
      <w:pPr>
        <w:pStyle w:val="HL2HeadingLevel2"/>
      </w:pPr>
      <w:bookmarkStart w:id="65" w:name="_Toc134774857"/>
      <w:bookmarkStart w:id="66" w:name="_Toc135405946"/>
      <w:bookmarkStart w:id="67" w:name="_Toc148710992"/>
      <w:r>
        <w:t>AD claim 7.b</w:t>
      </w:r>
      <w:bookmarkEnd w:id="65"/>
      <w:bookmarkEnd w:id="66"/>
      <w:bookmarkEnd w:id="67"/>
    </w:p>
    <w:p w14:paraId="1E0B52E6" w14:textId="06AAFD7F" w:rsidR="00C022A6" w:rsidRDefault="00620C43">
      <w:pPr>
        <w:pStyle w:val="P1-N1Paragraph1-Number1"/>
      </w:pPr>
      <w:r>
        <w:t>In AD Claim 7.b China alleges that the ADC did not determine the profit rate on the basis of the exporter's sales in the domestic market; and complains that the profit rate assessed was applied to the exporter’s cost of production as computed by the ADC rather than the Chinese exporter's unadjusted recorded cost of production.</w:t>
      </w:r>
      <w:r>
        <w:rPr>
          <w:rStyle w:val="FootnoteReference"/>
          <w:rFonts w:asciiTheme="minorHAnsi" w:hAnsiTheme="minorHAnsi" w:cstheme="minorHAnsi"/>
        </w:rPr>
        <w:footnoteReference w:id="82"/>
      </w:r>
    </w:p>
    <w:p w14:paraId="3377F5A2" w14:textId="6519E9AE" w:rsidR="00C022A6" w:rsidRDefault="00620C43">
      <w:pPr>
        <w:pStyle w:val="P1-N1Paragraph1-Number1"/>
        <w:spacing w:before="120" w:after="120"/>
        <w:rPr>
          <w:rFonts w:asciiTheme="minorHAnsi" w:hAnsiTheme="minorHAnsi" w:cstheme="minorHAnsi"/>
          <w:color w:val="000000" w:themeColor="text1"/>
        </w:rPr>
      </w:pPr>
      <w:r>
        <w:rPr>
          <w:rFonts w:asciiTheme="minorHAnsi" w:hAnsiTheme="minorHAnsi" w:cstheme="minorHAnsi"/>
        </w:rPr>
        <w:t xml:space="preserve">The ADC used </w:t>
      </w:r>
      <w:proofErr w:type="spellStart"/>
      <w:r>
        <w:rPr>
          <w:rFonts w:asciiTheme="minorHAnsi" w:hAnsiTheme="minorHAnsi" w:cstheme="minorHAnsi"/>
        </w:rPr>
        <w:t>Masteel's</w:t>
      </w:r>
      <w:proofErr w:type="spellEnd"/>
      <w:r>
        <w:rPr>
          <w:rFonts w:asciiTheme="minorHAnsi" w:hAnsiTheme="minorHAnsi" w:cstheme="minorHAnsi"/>
        </w:rPr>
        <w:t xml:space="preserve"> actual sales data to calculate the profit component of the constructed normal value, using as its basis </w:t>
      </w:r>
      <w:proofErr w:type="spellStart"/>
      <w:r>
        <w:rPr>
          <w:rFonts w:asciiTheme="minorHAnsi" w:hAnsiTheme="minorHAnsi" w:cstheme="minorHAnsi"/>
        </w:rPr>
        <w:t>Masteel’s</w:t>
      </w:r>
      <w:proofErr w:type="spellEnd"/>
      <w:r>
        <w:rPr>
          <w:rFonts w:asciiTheme="minorHAnsi" w:hAnsiTheme="minorHAnsi" w:cstheme="minorHAnsi"/>
        </w:rPr>
        <w:t xml:space="preserve"> sales figures from its "Wheels Division".</w:t>
      </w:r>
      <w:r>
        <w:rPr>
          <w:rStyle w:val="FootnoteReference"/>
          <w:rFonts w:asciiTheme="minorHAnsi" w:hAnsiTheme="minorHAnsi" w:cstheme="minorHAnsi"/>
        </w:rPr>
        <w:footnoteReference w:id="83"/>
      </w:r>
      <w:r>
        <w:rPr>
          <w:rFonts w:asciiTheme="minorHAnsi" w:hAnsiTheme="minorHAnsi" w:cstheme="minorHAnsi"/>
        </w:rPr>
        <w:t xml:space="preserve"> This data was the verified information available to the ADC.</w:t>
      </w:r>
      <w:r>
        <w:rPr>
          <w:rStyle w:val="FootnoteReference"/>
          <w:rFonts w:asciiTheme="minorHAnsi" w:hAnsiTheme="minorHAnsi" w:cstheme="minorHAnsi"/>
        </w:rPr>
        <w:footnoteReference w:id="84"/>
      </w:r>
      <w:r>
        <w:rPr>
          <w:rFonts w:asciiTheme="minorHAnsi" w:hAnsiTheme="minorHAnsi" w:cstheme="minorHAnsi"/>
        </w:rPr>
        <w:t xml:space="preserve"> </w:t>
      </w:r>
      <w:r w:rsidR="00320562">
        <w:rPr>
          <w:rFonts w:asciiTheme="minorHAnsi" w:hAnsiTheme="minorHAnsi" w:cstheme="minorHAnsi"/>
        </w:rPr>
        <w:t>T</w:t>
      </w:r>
      <w:r>
        <w:rPr>
          <w:rFonts w:asciiTheme="minorHAnsi" w:hAnsiTheme="minorHAnsi" w:cstheme="minorHAnsi"/>
        </w:rPr>
        <w:t xml:space="preserve">he record shows that </w:t>
      </w:r>
      <w:proofErr w:type="spellStart"/>
      <w:r>
        <w:rPr>
          <w:rFonts w:asciiTheme="minorHAnsi" w:hAnsiTheme="minorHAnsi" w:cstheme="minorHAnsi"/>
        </w:rPr>
        <w:t>Masteel</w:t>
      </w:r>
      <w:proofErr w:type="spellEnd"/>
      <w:r>
        <w:rPr>
          <w:rFonts w:asciiTheme="minorHAnsi" w:hAnsiTheme="minorHAnsi" w:cstheme="minorHAnsi"/>
        </w:rPr>
        <w:t xml:space="preserve"> had positively suggested that the ADC use this data for this purpose.</w:t>
      </w:r>
      <w:r>
        <w:rPr>
          <w:rStyle w:val="FootnoteReference"/>
          <w:rFonts w:asciiTheme="minorHAnsi" w:hAnsiTheme="minorHAnsi" w:cstheme="minorHAnsi"/>
        </w:rPr>
        <w:footnoteReference w:id="85"/>
      </w:r>
      <w:r>
        <w:rPr>
          <w:rFonts w:asciiTheme="minorHAnsi" w:hAnsiTheme="minorHAnsi" w:cstheme="minorHAnsi"/>
        </w:rPr>
        <w:t xml:space="preserve"> </w:t>
      </w:r>
    </w:p>
    <w:p w14:paraId="1C17048C" w14:textId="01A9A59F" w:rsidR="00C022A6" w:rsidRDefault="00620C43">
      <w:pPr>
        <w:pStyle w:val="P1-N1Paragraph1-Number1"/>
        <w:spacing w:before="120" w:after="120"/>
        <w:rPr>
          <w:rFonts w:asciiTheme="minorHAnsi" w:hAnsiTheme="minorHAnsi" w:cstheme="minorHAnsi"/>
          <w:color w:val="000000" w:themeColor="text1"/>
        </w:rPr>
      </w:pPr>
      <w:r>
        <w:rPr>
          <w:rFonts w:asciiTheme="minorHAnsi" w:hAnsiTheme="minorHAnsi" w:cstheme="minorHAnsi"/>
          <w:color w:val="000000" w:themeColor="text1"/>
        </w:rPr>
        <w:t xml:space="preserve">China’s further allegation that Australia improperly applied the profit ratio to an out-of-country cost of production is entirely consequential on China’s earlier claims, in particular AD claim 1. Given that China has failed to make a </w:t>
      </w:r>
      <w:r>
        <w:rPr>
          <w:rFonts w:asciiTheme="minorHAnsi" w:hAnsiTheme="minorHAnsi" w:cstheme="minorHAnsi"/>
          <w:i/>
          <w:iCs/>
          <w:color w:val="000000" w:themeColor="text1"/>
        </w:rPr>
        <w:t>prime facie</w:t>
      </w:r>
      <w:r>
        <w:rPr>
          <w:rFonts w:asciiTheme="minorHAnsi" w:hAnsiTheme="minorHAnsi" w:cstheme="minorHAnsi"/>
          <w:color w:val="000000" w:themeColor="text1"/>
        </w:rPr>
        <w:t xml:space="preserve"> case in support of AD claim 1, China has also failed to make a </w:t>
      </w:r>
      <w:r>
        <w:rPr>
          <w:rFonts w:asciiTheme="minorHAnsi" w:hAnsiTheme="minorHAnsi" w:cstheme="minorHAnsi"/>
          <w:i/>
          <w:iCs/>
          <w:color w:val="000000" w:themeColor="text1"/>
        </w:rPr>
        <w:t>prima facie</w:t>
      </w:r>
      <w:r>
        <w:rPr>
          <w:rFonts w:asciiTheme="minorHAnsi" w:hAnsiTheme="minorHAnsi" w:cstheme="minorHAnsi"/>
          <w:color w:val="000000" w:themeColor="text1"/>
        </w:rPr>
        <w:t xml:space="preserve"> case for AD claim 7.b.</w:t>
      </w:r>
      <w:r>
        <w:rPr>
          <w:rStyle w:val="FootnoteReference"/>
          <w:rFonts w:asciiTheme="minorHAnsi" w:hAnsiTheme="minorHAnsi" w:cstheme="minorHAnsi"/>
        </w:rPr>
        <w:footnoteReference w:id="86"/>
      </w:r>
    </w:p>
    <w:p w14:paraId="3A162748" w14:textId="77777777" w:rsidR="00C022A6" w:rsidRDefault="00620C43" w:rsidP="00231DD0">
      <w:pPr>
        <w:pStyle w:val="HL2HeadingLevel2"/>
      </w:pPr>
      <w:bookmarkStart w:id="68" w:name="_Toc134774858"/>
      <w:bookmarkStart w:id="69" w:name="_Toc135405947"/>
      <w:bookmarkStart w:id="70" w:name="_Toc148710993"/>
      <w:r>
        <w:lastRenderedPageBreak/>
        <w:t>AD claim 8</w:t>
      </w:r>
      <w:bookmarkEnd w:id="68"/>
      <w:bookmarkEnd w:id="69"/>
      <w:bookmarkEnd w:id="70"/>
    </w:p>
    <w:p w14:paraId="7EEDC660" w14:textId="6E1B72A8" w:rsidR="00C022A6" w:rsidRDefault="00620C43">
      <w:pPr>
        <w:pStyle w:val="P1-N1Paragraph1-Number1"/>
        <w:spacing w:before="120" w:after="120"/>
        <w:rPr>
          <w:rFonts w:asciiTheme="minorHAnsi" w:hAnsiTheme="minorHAnsi" w:cstheme="minorHAnsi"/>
        </w:rPr>
      </w:pPr>
      <w:r>
        <w:rPr>
          <w:rFonts w:asciiTheme="minorHAnsi" w:hAnsiTheme="minorHAnsi" w:cstheme="minorHAnsi"/>
        </w:rPr>
        <w:t>China's AD claim 8 under Article 9.3 of the Anti-Dumping Agreement is entirely consequential on China’s other claims.</w:t>
      </w:r>
      <w:r>
        <w:rPr>
          <w:rStyle w:val="FootnoteReference"/>
          <w:rFonts w:asciiTheme="minorHAnsi" w:hAnsiTheme="minorHAnsi" w:cstheme="minorHAnsi"/>
        </w:rPr>
        <w:t xml:space="preserve"> </w:t>
      </w:r>
      <w:r>
        <w:rPr>
          <w:rStyle w:val="FootnoteReference"/>
          <w:rFonts w:asciiTheme="minorHAnsi" w:hAnsiTheme="minorHAnsi" w:cstheme="minorHAnsi"/>
        </w:rPr>
        <w:footnoteReference w:id="87"/>
      </w:r>
      <w:r>
        <w:rPr>
          <w:rFonts w:asciiTheme="minorHAnsi" w:hAnsiTheme="minorHAnsi" w:cstheme="minorHAnsi"/>
        </w:rPr>
        <w:t xml:space="preserve"> Since China’s other claims fail, so too </w:t>
      </w:r>
      <w:r w:rsidR="00BF043F">
        <w:rPr>
          <w:rFonts w:asciiTheme="minorHAnsi" w:hAnsiTheme="minorHAnsi" w:cstheme="minorHAnsi"/>
        </w:rPr>
        <w:t>must</w:t>
      </w:r>
      <w:r>
        <w:rPr>
          <w:rFonts w:asciiTheme="minorHAnsi" w:hAnsiTheme="minorHAnsi" w:cstheme="minorHAnsi"/>
        </w:rPr>
        <w:t xml:space="preserve"> AD claim 8.</w:t>
      </w:r>
    </w:p>
    <w:p w14:paraId="02E04D2F" w14:textId="17BE0D60" w:rsidR="00C022A6" w:rsidRDefault="00620C43">
      <w:pPr>
        <w:pStyle w:val="HL1HeadingLevel1"/>
        <w:numPr>
          <w:ilvl w:val="0"/>
          <w:numId w:val="2"/>
        </w:numPr>
      </w:pPr>
      <w:bookmarkStart w:id="71" w:name="_Toc122345014"/>
      <w:bookmarkStart w:id="72" w:name="_Toc148710994"/>
      <w:r>
        <w:t xml:space="preserve">Conditional </w:t>
      </w:r>
      <w:r w:rsidR="00BA4553">
        <w:t>r</w:t>
      </w:r>
      <w:r>
        <w:t xml:space="preserve">esponses to AD </w:t>
      </w:r>
      <w:r w:rsidR="00BA4553">
        <w:t>c</w:t>
      </w:r>
      <w:r>
        <w:t>laims: Stainless Steel Sinks</w:t>
      </w:r>
      <w:bookmarkEnd w:id="71"/>
      <w:bookmarkEnd w:id="72"/>
    </w:p>
    <w:p w14:paraId="71FDC4BC" w14:textId="6EC79856" w:rsidR="00C022A6" w:rsidRDefault="00620C43">
      <w:pPr>
        <w:pStyle w:val="P1-N1Paragraph1-Number1"/>
      </w:pPr>
      <w:bookmarkStart w:id="73" w:name="_Toc122527490"/>
      <w:r>
        <w:t xml:space="preserve">Even if the AD measures relating to stainless steel sinks – Investigation 238, Interim Reviews 352, 459, 461, and Expiry Review 517 – were within the Panel's terms of reference, all of China's AD claims would fail. China failed to demonstrate that an unbiased and objective investigating authority, considering the evidence that was before the ADC, </w:t>
      </w:r>
      <w:r>
        <w:rPr>
          <w:i/>
          <w:iCs/>
        </w:rPr>
        <w:t>could not</w:t>
      </w:r>
      <w:r>
        <w:t xml:space="preserve"> have reached the ADC's conclusions. Further, China has failed to make a </w:t>
      </w:r>
      <w:r>
        <w:rPr>
          <w:i/>
        </w:rPr>
        <w:t xml:space="preserve">prima facie </w:t>
      </w:r>
      <w:r>
        <w:t>case for AD claims 1, 2, 3, 6.a, 6.b.i, 7.a and 8 for Interim Reviews 3</w:t>
      </w:r>
      <w:r w:rsidR="000A2C43">
        <w:t>5</w:t>
      </w:r>
      <w:r>
        <w:t>2, 459, 461 and Expiry Review 517.</w:t>
      </w:r>
      <w:r>
        <w:rPr>
          <w:rStyle w:val="FootnoteReference"/>
        </w:rPr>
        <w:footnoteReference w:id="88"/>
      </w:r>
    </w:p>
    <w:p w14:paraId="2F715723" w14:textId="77777777" w:rsidR="00C022A6" w:rsidRDefault="00620C43" w:rsidP="00231DD0">
      <w:pPr>
        <w:pStyle w:val="HL2HeadingLevel2"/>
      </w:pPr>
      <w:bookmarkStart w:id="74" w:name="_Toc148710995"/>
      <w:bookmarkEnd w:id="73"/>
      <w:r>
        <w:t>AD claim 3</w:t>
      </w:r>
      <w:bookmarkEnd w:id="74"/>
    </w:p>
    <w:p w14:paraId="2A28A76B" w14:textId="77777777" w:rsidR="00C022A6" w:rsidRDefault="00620C43">
      <w:pPr>
        <w:pStyle w:val="HL3HeadingLevel3"/>
        <w:numPr>
          <w:ilvl w:val="2"/>
          <w:numId w:val="2"/>
        </w:numPr>
        <w:ind w:left="2553"/>
      </w:pPr>
      <w:bookmarkStart w:id="75" w:name="_Toc148710996"/>
      <w:r>
        <w:t>Regulation 180(2) is not the second condition of Article 2.2.1.1</w:t>
      </w:r>
      <w:bookmarkEnd w:id="75"/>
    </w:p>
    <w:p w14:paraId="74AB7535" w14:textId="10A62614" w:rsidR="00C022A6" w:rsidRDefault="00620C43">
      <w:pPr>
        <w:pStyle w:val="P1-N1Paragraph1-Number1"/>
      </w:pPr>
      <w:r>
        <w:t>China</w:t>
      </w:r>
      <w:r w:rsidR="00BF043F">
        <w:t xml:space="preserve">’s </w:t>
      </w:r>
      <w:r>
        <w:t>argu</w:t>
      </w:r>
      <w:r w:rsidR="00BF043F">
        <w:t xml:space="preserve">ment </w:t>
      </w:r>
      <w:r>
        <w:t>that the ADC's findings in Stainless Steel Sinks Investigation 238 Report made for the purposes of regulation 180(2) were also findings to reject records for the purposes of the second condition of Article 2.2.1.1</w:t>
      </w:r>
      <w:r w:rsidR="00BF043F">
        <w:t xml:space="preserve"> </w:t>
      </w:r>
      <w:r>
        <w:t>is without merit.</w:t>
      </w:r>
      <w:r>
        <w:rPr>
          <w:vertAlign w:val="superscript"/>
        </w:rPr>
        <w:footnoteReference w:id="89"/>
      </w:r>
      <w:r>
        <w:t xml:space="preserve"> </w:t>
      </w:r>
    </w:p>
    <w:p w14:paraId="70BC5B13" w14:textId="168F79BF" w:rsidR="00C022A6" w:rsidRDefault="00620C43">
      <w:pPr>
        <w:pStyle w:val="P1-N1Paragraph1-Number1"/>
      </w:pPr>
      <w:r>
        <w:t xml:space="preserve"> In Investigation 238 Report, the ADC found that the criteria in regulation 180(2) were not met.</w:t>
      </w:r>
      <w:r>
        <w:rPr>
          <w:rStyle w:val="FootnoteReference"/>
        </w:rPr>
        <w:footnoteReference w:id="90"/>
      </w:r>
      <w:r>
        <w:t xml:space="preserve"> The ADC therefore conducted a further evaluation of whether to use the exporters' records under Article 2.2.1.1, as discussed further in the following section.</w:t>
      </w:r>
      <w:r>
        <w:rPr>
          <w:rStyle w:val="FootnoteReference"/>
        </w:rPr>
        <w:footnoteReference w:id="91"/>
      </w:r>
      <w:r>
        <w:t xml:space="preserve"> In this further evaluation, the ADC properly departed from the exporters' records with respect to a single cost item – 304 SS CRC – in accordance with the second condition of Article 2.2.1.1.</w:t>
      </w:r>
      <w:r>
        <w:rPr>
          <w:rStyle w:val="FootnoteReference"/>
        </w:rPr>
        <w:footnoteReference w:id="92"/>
      </w:r>
    </w:p>
    <w:p w14:paraId="04FEEC9B" w14:textId="77777777" w:rsidR="00C022A6" w:rsidRDefault="00620C43">
      <w:pPr>
        <w:pStyle w:val="HL3HeadingLevel3"/>
        <w:numPr>
          <w:ilvl w:val="2"/>
          <w:numId w:val="2"/>
        </w:numPr>
        <w:ind w:left="2553"/>
      </w:pPr>
      <w:bookmarkStart w:id="76" w:name="_Toc148710997"/>
      <w:r>
        <w:lastRenderedPageBreak/>
        <w:t xml:space="preserve">The ADC's second condition </w:t>
      </w:r>
      <w:proofErr w:type="gramStart"/>
      <w:r>
        <w:t>finding</w:t>
      </w:r>
      <w:bookmarkEnd w:id="76"/>
      <w:proofErr w:type="gramEnd"/>
    </w:p>
    <w:p w14:paraId="42C79DCC" w14:textId="77777777" w:rsidR="00C022A6" w:rsidRDefault="00620C43">
      <w:pPr>
        <w:pStyle w:val="P1-N1Paragraph1-Number1"/>
      </w:pPr>
      <w:r>
        <w:t>The ADC considered that the exporters' recorded costs for 304 SS CRC did not reasonably reflect the actual costs of 304 SS CRC associated with the production and sale of stainless steel sinks.</w:t>
      </w:r>
      <w:r>
        <w:rPr>
          <w:vertAlign w:val="superscript"/>
        </w:rPr>
        <w:footnoteReference w:id="93"/>
      </w:r>
      <w:r>
        <w:rPr>
          <w:vertAlign w:val="superscript"/>
        </w:rPr>
        <w:t xml:space="preserve"> </w:t>
      </w:r>
      <w:r>
        <w:t>The operative finding is on page 42 of Investigation 238 Report.</w:t>
      </w:r>
      <w:r>
        <w:rPr>
          <w:rStyle w:val="FootnoteReference"/>
        </w:rPr>
        <w:footnoteReference w:id="94"/>
      </w:r>
      <w:r>
        <w:t xml:space="preserve"> A further discussion of the ADC's assessment of the evidence underpinning these findings appears at pages 134 to 136 of Investigation 238 Report.</w:t>
      </w:r>
      <w:r>
        <w:rPr>
          <w:vertAlign w:val="superscript"/>
        </w:rPr>
        <w:footnoteReference w:id="95"/>
      </w:r>
      <w:r>
        <w:t xml:space="preserve"> It is clear from page 146 of the Report that in making that finding the ADC expressly considered the specific terms of the second condition of Article 2.2.1.1, as distinct from its consideration of its obligations under regulation 180(2).</w:t>
      </w:r>
      <w:r>
        <w:rPr>
          <w:vertAlign w:val="superscript"/>
        </w:rPr>
        <w:footnoteReference w:id="96"/>
      </w:r>
    </w:p>
    <w:p w14:paraId="7EFD6A61" w14:textId="246165BF" w:rsidR="00C022A6" w:rsidRDefault="00620C43">
      <w:pPr>
        <w:pStyle w:val="P1-N1Paragraph1-Number1"/>
      </w:pPr>
      <w:r>
        <w:t>The ADC found that the recorded costs in the exporters' records were not an accurate and reliable reflection of the costs of 304 SS CRC actually incurred.</w:t>
      </w:r>
      <w:r>
        <w:rPr>
          <w:rStyle w:val="FootnoteReference"/>
        </w:rPr>
        <w:footnoteReference w:id="97"/>
      </w:r>
      <w:r>
        <w:t xml:space="preserve"> This </w:t>
      </w:r>
      <w:r w:rsidR="00BF043F">
        <w:t>determination</w:t>
      </w:r>
      <w:r>
        <w:t xml:space="preserve"> was based on the ADC's finding that 304 SS CRC prices in China were affected by the Government of China's influence in the iron and steel industry, which had a distorting effect on the 304 SS CRC market.</w:t>
      </w:r>
      <w:r>
        <w:rPr>
          <w:rStyle w:val="FootnoteReference"/>
        </w:rPr>
        <w:footnoteReference w:id="98"/>
      </w:r>
      <w:r>
        <w:t xml:space="preserve"> The record evidence demonstrated that the Government of China's influence in the 304 SS CRC market in China distorted the market overall.</w:t>
      </w:r>
      <w:r>
        <w:rPr>
          <w:rStyle w:val="FootnoteReference"/>
        </w:rPr>
        <w:footnoteReference w:id="99"/>
      </w:r>
    </w:p>
    <w:p w14:paraId="7906F4DB" w14:textId="5DF6BF3A" w:rsidR="00920565" w:rsidRDefault="00920565" w:rsidP="00920565">
      <w:pPr>
        <w:pStyle w:val="P1-N1Paragraph1-Number1"/>
      </w:pPr>
      <w:bookmarkStart w:id="77" w:name="_Hlk148387139"/>
      <w:r>
        <w:t xml:space="preserve">In light of this finding, the ADC concluded that the exporters’ recorded costs for 304 SS CRC did not reasonably reflect the costs associated with the production and sale of the product under consideration and, therefore, could not be relied upon for the construction of normal value. Given the record before the ADC this was </w:t>
      </w:r>
      <w:r w:rsidR="00BE3FEB">
        <w:t xml:space="preserve">a </w:t>
      </w:r>
      <w:r>
        <w:t xml:space="preserve">conclusion that could have been reached by an unbiased and objective investigating authority. </w:t>
      </w:r>
    </w:p>
    <w:bookmarkEnd w:id="77"/>
    <w:p w14:paraId="6DB17428" w14:textId="098256B6" w:rsidR="00C022A6" w:rsidRDefault="00620C43">
      <w:pPr>
        <w:pStyle w:val="P1-N1Paragraph1-Number1"/>
      </w:pPr>
      <w:r>
        <w:t xml:space="preserve">Accordingly, China's AD claim 3 in relation to Investigation 238 </w:t>
      </w:r>
      <w:r w:rsidR="00E53695">
        <w:t>should</w:t>
      </w:r>
      <w:r>
        <w:t xml:space="preserve"> fail.</w:t>
      </w:r>
      <w:r>
        <w:rPr>
          <w:rStyle w:val="FootnoteReference"/>
        </w:rPr>
        <w:footnoteReference w:id="100"/>
      </w:r>
    </w:p>
    <w:p w14:paraId="4BC20FA0" w14:textId="77777777" w:rsidR="00C022A6" w:rsidRDefault="00620C43" w:rsidP="00231DD0">
      <w:pPr>
        <w:pStyle w:val="HL2HeadingLevel2"/>
      </w:pPr>
      <w:bookmarkStart w:id="78" w:name="_Toc148710998"/>
      <w:r>
        <w:lastRenderedPageBreak/>
        <w:t>AD claim 1</w:t>
      </w:r>
      <w:bookmarkEnd w:id="78"/>
    </w:p>
    <w:p w14:paraId="6EDE58F2" w14:textId="1F74A4D7" w:rsidR="00C022A6" w:rsidRDefault="00620C43">
      <w:pPr>
        <w:pStyle w:val="P1-N1Paragraph1-Number1"/>
      </w:pPr>
      <w:r>
        <w:t>China's AD claim 1 is premised on a mischaracterisation of the ADC's analysis and findings in Investigation 238 Report.</w:t>
      </w:r>
      <w:r>
        <w:rPr>
          <w:rStyle w:val="FootnoteReference"/>
        </w:rPr>
        <w:footnoteReference w:id="101"/>
      </w:r>
      <w:r>
        <w:t xml:space="preserve"> China considers there was a "simple substitution" of Chinese data for European data, even though the Report demonstrates that the ADC's analysis resulted in an appropriate and tailored constructed cost.</w:t>
      </w:r>
      <w:r>
        <w:rPr>
          <w:rStyle w:val="FootnoteReference"/>
        </w:rPr>
        <w:footnoteReference w:id="102"/>
      </w:r>
    </w:p>
    <w:p w14:paraId="6307245D" w14:textId="46041687" w:rsidR="00C022A6" w:rsidRDefault="00620C43">
      <w:pPr>
        <w:pStyle w:val="P1-N1Paragraph1-Number1"/>
      </w:pPr>
      <w:r>
        <w:t>First, the ADC considered whether it could use in-country data</w:t>
      </w:r>
      <w:r w:rsidR="00292761">
        <w:t>.</w:t>
      </w:r>
      <w:r>
        <w:rPr>
          <w:rStyle w:val="FootnoteReference"/>
        </w:rPr>
        <w:footnoteReference w:id="103"/>
      </w:r>
      <w:r>
        <w:t xml:space="preserve"> </w:t>
      </w:r>
      <w:r w:rsidR="00920565">
        <w:t>T</w:t>
      </w:r>
      <w:r>
        <w:t xml:space="preserve">he record evidence </w:t>
      </w:r>
      <w:r w:rsidR="00920565">
        <w:t xml:space="preserve">before the ADC </w:t>
      </w:r>
      <w:r>
        <w:t xml:space="preserve">indicated that </w:t>
      </w:r>
      <w:r w:rsidR="00920565">
        <w:t xml:space="preserve">using </w:t>
      </w:r>
      <w:r>
        <w:t>in-country data would have reintroduced the distortions identified in the 304 SS CRC market in China that had informed the ADC's decision to depart from the exporters' recorded 304 SS CRC costs</w:t>
      </w:r>
      <w:r w:rsidR="00292761">
        <w:t xml:space="preserve"> in the first place</w:t>
      </w:r>
      <w:r>
        <w:t>.</w:t>
      </w:r>
      <w:r>
        <w:rPr>
          <w:rStyle w:val="FootnoteReference"/>
        </w:rPr>
        <w:footnoteReference w:id="104"/>
      </w:r>
      <w:r>
        <w:t xml:space="preserve"> As such, in-country data could not be used.</w:t>
      </w:r>
    </w:p>
    <w:p w14:paraId="240AE5B8" w14:textId="77777777" w:rsidR="00C022A6" w:rsidRDefault="00620C43">
      <w:pPr>
        <w:pStyle w:val="P1-N1Paragraph1-Number1"/>
      </w:pPr>
      <w:r>
        <w:t>Second, the ADC considered seven potential out-of-country sources of reference data that were on the record.</w:t>
      </w:r>
      <w:r>
        <w:rPr>
          <w:rStyle w:val="FootnoteReference"/>
        </w:rPr>
        <w:footnoteReference w:id="105"/>
      </w:r>
      <w:r>
        <w:t xml:space="preserve"> The ADC assessed the available data and arrived at an appropriate proxy that was: (a) limited to the steel grade in question (304 SS CRC);</w:t>
      </w:r>
      <w:r>
        <w:rPr>
          <w:rStyle w:val="FootnoteReference"/>
        </w:rPr>
        <w:footnoteReference w:id="106"/>
      </w:r>
      <w:r>
        <w:t xml:space="preserve"> (b) not overly narrow (e.g., sourced from a single buyer purchasing the input predominantly from a single supplier);</w:t>
      </w:r>
      <w:r>
        <w:rPr>
          <w:rStyle w:val="FootnoteReference"/>
        </w:rPr>
        <w:footnoteReference w:id="107"/>
      </w:r>
      <w:r>
        <w:t xml:space="preserve"> (c) derived from independent sources;</w:t>
      </w:r>
      <w:r>
        <w:rPr>
          <w:rStyle w:val="FootnoteReference"/>
        </w:rPr>
        <w:footnoteReference w:id="108"/>
      </w:r>
      <w:r>
        <w:t xml:space="preserve"> and (d) unaffected by distortions in the 304 SS CRC market in China.</w:t>
      </w:r>
      <w:r>
        <w:rPr>
          <w:rStyle w:val="FootnoteReference"/>
        </w:rPr>
        <w:footnoteReference w:id="109"/>
      </w:r>
      <w:r>
        <w:t xml:space="preserve"> Ultimately, the ADC determined that the MEPS-based average price for 304 SS CRC using the monthly reported MEPS North American and European prices was suitable for its purpose.</w:t>
      </w:r>
      <w:r>
        <w:rPr>
          <w:rStyle w:val="FootnoteReference"/>
        </w:rPr>
        <w:footnoteReference w:id="110"/>
      </w:r>
    </w:p>
    <w:p w14:paraId="511B86D4" w14:textId="75328E9B" w:rsidR="00C022A6" w:rsidRDefault="00620C43">
      <w:pPr>
        <w:pStyle w:val="P1-N1Paragraph1-Number1"/>
      </w:pPr>
      <w:r>
        <w:lastRenderedPageBreak/>
        <w:t>Third, the ADC did not "simply substitute" this reference data.</w:t>
      </w:r>
      <w:r>
        <w:rPr>
          <w:rStyle w:val="FootnoteReference"/>
        </w:rPr>
        <w:footnoteReference w:id="111"/>
      </w:r>
      <w:r>
        <w:t xml:space="preserve"> Informed by the record evidence, the ADC adapted the data to arrive at an appropriate proxy for the cost of production in China. It incorporated the verified delivery costs of 304 SS CRC in China and the verified per tonne slitting cost, where that cost had been incurred by exporters when purchasing 304 SS CRC.</w:t>
      </w:r>
      <w:r>
        <w:rPr>
          <w:rStyle w:val="FootnoteReference"/>
        </w:rPr>
        <w:footnoteReference w:id="112"/>
      </w:r>
    </w:p>
    <w:p w14:paraId="28105BB1" w14:textId="77777777" w:rsidR="00C022A6" w:rsidRDefault="00620C43">
      <w:pPr>
        <w:pStyle w:val="P1-N1Paragraph1-Number1"/>
      </w:pPr>
      <w:r>
        <w:t>An unbiased and objective authority could have reached the conclusions of the ADC in Investigation 238.</w:t>
      </w:r>
      <w:r>
        <w:rPr>
          <w:rStyle w:val="FootnoteReference"/>
        </w:rPr>
        <w:footnoteReference w:id="113"/>
      </w:r>
      <w:r>
        <w:t xml:space="preserve"> China's AD claim 1 must, therefore, fail.</w:t>
      </w:r>
      <w:r>
        <w:rPr>
          <w:rStyle w:val="FootnoteReference"/>
        </w:rPr>
        <w:footnoteReference w:id="114"/>
      </w:r>
    </w:p>
    <w:p w14:paraId="169A65A0" w14:textId="77777777" w:rsidR="00C022A6" w:rsidRDefault="00620C43" w:rsidP="00231DD0">
      <w:pPr>
        <w:pStyle w:val="HL2HeadingLevel2"/>
      </w:pPr>
      <w:bookmarkStart w:id="79" w:name="_Toc148710999"/>
      <w:r>
        <w:t>AD claims 2 and 4</w:t>
      </w:r>
      <w:bookmarkEnd w:id="79"/>
    </w:p>
    <w:p w14:paraId="3C397A2D" w14:textId="4DE978E8" w:rsidR="00C022A6" w:rsidRDefault="00620C43">
      <w:pPr>
        <w:pStyle w:val="P1-N1Paragraph1-Number1"/>
      </w:pPr>
      <w:r>
        <w:t xml:space="preserve">There is no factual dispute between the parties regarding the ADC's approach to determining the below-cost sales in the </w:t>
      </w:r>
      <w:r w:rsidR="00AB6F33">
        <w:t>ordinary course of trade (</w:t>
      </w:r>
      <w:r>
        <w:t>OCOT</w:t>
      </w:r>
      <w:r w:rsidR="00AB7B2C">
        <w:t>)</w:t>
      </w:r>
      <w:r>
        <w:t xml:space="preserve"> in Investigation 238 Report.</w:t>
      </w:r>
      <w:r>
        <w:rPr>
          <w:rStyle w:val="FootnoteReference"/>
        </w:rPr>
        <w:footnoteReference w:id="115"/>
      </w:r>
      <w:r>
        <w:t xml:space="preserve"> Further, the parties agree that costs determined under Article 2.2 apply to the OCOT determination in Articles 2.1 and 2.2.1.</w:t>
      </w:r>
      <w:r>
        <w:rPr>
          <w:rStyle w:val="FootnoteReference"/>
        </w:rPr>
        <w:footnoteReference w:id="116"/>
      </w:r>
      <w:r>
        <w:t xml:space="preserve"> Considering this, Australia understands that AD claim 2 is consequential on AD claim 1 with respect to Investigation 238 and, AD claim 4 is consequential on AD claim 3 with respect to Investigation 238.</w:t>
      </w:r>
      <w:r>
        <w:rPr>
          <w:rStyle w:val="FootnoteReference"/>
        </w:rPr>
        <w:footnoteReference w:id="117"/>
      </w:r>
      <w:r>
        <w:t xml:space="preserve"> </w:t>
      </w:r>
    </w:p>
    <w:p w14:paraId="0410DC07" w14:textId="77777777" w:rsidR="00C022A6" w:rsidRDefault="00620C43">
      <w:pPr>
        <w:pStyle w:val="P1-N1Paragraph1-Number1"/>
      </w:pPr>
      <w:r>
        <w:t>Therefore, China's AD claims 2 and 4 must fail because China's AD claims 1 and 3 must fail with respect to Investigation 238.</w:t>
      </w:r>
      <w:r>
        <w:rPr>
          <w:rStyle w:val="FootnoteReference"/>
        </w:rPr>
        <w:footnoteReference w:id="118"/>
      </w:r>
    </w:p>
    <w:p w14:paraId="15D5BD8E" w14:textId="77777777" w:rsidR="00C022A6" w:rsidRDefault="00620C43" w:rsidP="00231DD0">
      <w:pPr>
        <w:pStyle w:val="HL2HeadingLevel2"/>
      </w:pPr>
      <w:bookmarkStart w:id="80" w:name="_Toc148711000"/>
      <w:r>
        <w:t>AD claim 6.a</w:t>
      </w:r>
      <w:bookmarkEnd w:id="80"/>
    </w:p>
    <w:p w14:paraId="43D5AF3A" w14:textId="7D5F2BB7" w:rsidR="00C022A6" w:rsidRDefault="0066015D" w:rsidP="00D57233">
      <w:pPr>
        <w:pStyle w:val="P1-N1Paragraph1-Number1"/>
      </w:pPr>
      <w:r>
        <w:t xml:space="preserve">As in the case of Railway Wheels Investigation 466, </w:t>
      </w:r>
      <w:r w:rsidR="002C5C39">
        <w:t>China</w:t>
      </w:r>
      <w:r>
        <w:t>’s AD claim 6.a in relation to stainless steel sinks impermissibl</w:t>
      </w:r>
      <w:r w:rsidR="00D57233">
        <w:t>y</w:t>
      </w:r>
      <w:r>
        <w:t xml:space="preserve"> conflates the calculation of normal value with fair comparison under Article </w:t>
      </w:r>
      <w:r w:rsidR="00D57233">
        <w:t xml:space="preserve">2.4 of the Anti-Dumping Agreement. It is an attempt to challenge the basis of the cost of production in the </w:t>
      </w:r>
      <w:proofErr w:type="gramStart"/>
      <w:r w:rsidR="00D57233">
        <w:t>Stainless Steel</w:t>
      </w:r>
      <w:proofErr w:type="gramEnd"/>
      <w:r w:rsidR="00D57233">
        <w:t xml:space="preserve"> Sinks Investigation 238 through the </w:t>
      </w:r>
      <w:r w:rsidR="00D57233">
        <w:lastRenderedPageBreak/>
        <w:t>gui</w:t>
      </w:r>
      <w:r w:rsidR="00654EA6">
        <w:t>s</w:t>
      </w:r>
      <w:r w:rsidR="00D57233">
        <w:t>e of Article 2.4 adjustments</w:t>
      </w:r>
      <w:r w:rsidR="00620C43">
        <w:t>.</w:t>
      </w:r>
      <w:r w:rsidR="00620C43">
        <w:rPr>
          <w:rStyle w:val="FootnoteReference"/>
        </w:rPr>
        <w:footnoteReference w:id="119"/>
      </w:r>
      <w:r w:rsidR="00620C43">
        <w:t xml:space="preserve"> If China fails on AD claims 1 and 3, China must also fail on AD claim 6.a. If China succeeds on AD claims 1 and 3, </w:t>
      </w:r>
      <w:r w:rsidR="00654EA6">
        <w:t xml:space="preserve">China’s </w:t>
      </w:r>
      <w:r w:rsidR="00620C43">
        <w:t xml:space="preserve">AD claim 6.a </w:t>
      </w:r>
      <w:r w:rsidR="00231DD0">
        <w:t>should</w:t>
      </w:r>
      <w:r w:rsidR="00620C43">
        <w:t xml:space="preserve"> nevertheless fail.</w:t>
      </w:r>
      <w:r w:rsidR="00D57233">
        <w:rPr>
          <w:rStyle w:val="FootnoteReference"/>
        </w:rPr>
        <w:footnoteReference w:id="120"/>
      </w:r>
      <w:r w:rsidR="00620C43">
        <w:t xml:space="preserve"> </w:t>
      </w:r>
    </w:p>
    <w:p w14:paraId="77B01836" w14:textId="77777777" w:rsidR="00C022A6" w:rsidRDefault="00620C43" w:rsidP="00231DD0">
      <w:pPr>
        <w:pStyle w:val="HL2HeadingLevel2"/>
      </w:pPr>
      <w:bookmarkStart w:id="81" w:name="_Toc148711001"/>
      <w:r>
        <w:t>AD claim 6.b</w:t>
      </w:r>
      <w:bookmarkEnd w:id="81"/>
    </w:p>
    <w:p w14:paraId="534D30F4" w14:textId="77777777" w:rsidR="00A741FC" w:rsidRDefault="00620C43" w:rsidP="00A741FC">
      <w:pPr>
        <w:pStyle w:val="HL3HeadingLevel3"/>
        <w:numPr>
          <w:ilvl w:val="2"/>
          <w:numId w:val="2"/>
        </w:numPr>
        <w:ind w:left="2553"/>
      </w:pPr>
      <w:r>
        <w:t xml:space="preserve"> </w:t>
      </w:r>
      <w:bookmarkStart w:id="82" w:name="_Toc148711002"/>
      <w:r w:rsidR="00A741FC">
        <w:t>AD claim 6.b.i</w:t>
      </w:r>
      <w:bookmarkEnd w:id="82"/>
    </w:p>
    <w:p w14:paraId="535BEA83" w14:textId="7C51FEC8" w:rsidR="00A741FC" w:rsidRDefault="00A741FC" w:rsidP="00A741FC">
      <w:pPr>
        <w:pStyle w:val="P1-N1Paragraph1-Number1"/>
      </w:pPr>
      <w:r>
        <w:t>AD claim 6.b.i focuses on the ADC's calculation of a due allowance for VAT under Article 2.4 with respect to Investigation 238. China made two related submissions. The first was that the ADC did not provide a reasoned and adequate explanation or there was no evidence before the ADC that the difference in the VAT recoverability rate had any impact or any likely impact on price comparability.</w:t>
      </w:r>
      <w:r>
        <w:rPr>
          <w:rStyle w:val="FootnoteReference"/>
        </w:rPr>
        <w:footnoteReference w:id="121"/>
      </w:r>
      <w:r>
        <w:t xml:space="preserve"> The second was that "even if the VAT liability differences did have an impact on price comparability, then the allowance to account for that difference should have been made on its merits"</w:t>
      </w:r>
      <w:r w:rsidR="001B0E9F">
        <w:t xml:space="preserve"> </w:t>
      </w:r>
      <w:r>
        <w:t>i.e., that the adjustment should have been computed based on the exporters’ recorded costs, not on the costs computed by the ADC.</w:t>
      </w:r>
      <w:r>
        <w:rPr>
          <w:rStyle w:val="FootnoteReference"/>
          <w:color w:val="auto"/>
        </w:rPr>
        <w:footnoteReference w:id="122"/>
      </w:r>
      <w:r>
        <w:t xml:space="preserve"> </w:t>
      </w:r>
    </w:p>
    <w:p w14:paraId="084096AF" w14:textId="77777777" w:rsidR="00A741FC" w:rsidRDefault="00A741FC" w:rsidP="00A741FC">
      <w:pPr>
        <w:pStyle w:val="P1-N1Paragraph1-Number1"/>
      </w:pPr>
      <w:r>
        <w:t>Both arguments are without merit. In carrying out the obligation to make a due allowance on its merits under Article 2.4, there is no particular methodology or "specific rules" that an investigating authority must apply.</w:t>
      </w:r>
      <w:r>
        <w:rPr>
          <w:rStyle w:val="FootnoteReference"/>
        </w:rPr>
        <w:footnoteReference w:id="123"/>
      </w:r>
      <w:r>
        <w:t xml:space="preserve"> The issue before the Panel is whether the approach adopted was one which an unbiased and objective authority could have used. </w:t>
      </w:r>
    </w:p>
    <w:p w14:paraId="30E16B0D" w14:textId="47F99999" w:rsidR="00A741FC" w:rsidRDefault="00A741FC" w:rsidP="00A741FC">
      <w:pPr>
        <w:pStyle w:val="P1-N1Paragraph1-Number1"/>
      </w:pPr>
      <w:r>
        <w:t xml:space="preserve">In response to China's first submission, the ADC relied on clear evidence on the record that there was an actual, quantifiable difference in the VAT liability for export sales as compared to domestic sales. Given the evident difference in tax treatment, as reported by the </w:t>
      </w:r>
      <w:r w:rsidR="003C0D04">
        <w:t>investigated companies</w:t>
      </w:r>
      <w:r>
        <w:t xml:space="preserve"> themselves, the ADC determined that this VAT liability difference likely had an impact on price comparability.</w:t>
      </w:r>
      <w:r>
        <w:rPr>
          <w:rStyle w:val="FootnoteReference"/>
        </w:rPr>
        <w:footnoteReference w:id="124"/>
      </w:r>
      <w:r>
        <w:t xml:space="preserve"> In doing so, the ADC adopted a method for calculating due allowance adjustments for taxation that was based on evidence on the record and consistent with Article 2.4.</w:t>
      </w:r>
      <w:r>
        <w:rPr>
          <w:rStyle w:val="FootnoteReference"/>
        </w:rPr>
        <w:footnoteReference w:id="125"/>
      </w:r>
      <w:r>
        <w:t xml:space="preserve"> </w:t>
      </w:r>
    </w:p>
    <w:p w14:paraId="52D4A365" w14:textId="5392518B" w:rsidR="00A741FC" w:rsidRDefault="00292761" w:rsidP="00A741FC">
      <w:pPr>
        <w:pStyle w:val="P1-N1Paragraph1-Number1"/>
      </w:pPr>
      <w:r>
        <w:lastRenderedPageBreak/>
        <w:t>Contrary to</w:t>
      </w:r>
      <w:r w:rsidR="00A741FC">
        <w:t xml:space="preserve"> China's second submission, the ADC's approach to the VAT due allowance was merited. If China's approach was accepted and the adjustment was made by </w:t>
      </w:r>
      <w:r w:rsidR="002F7B3B">
        <w:t>appl</w:t>
      </w:r>
      <w:r w:rsidR="00231DD0">
        <w:t>ication of</w:t>
      </w:r>
      <w:r w:rsidR="00A741FC">
        <w:t xml:space="preserve"> the adjustment rate to the exporters' recorded costs, instead of the constructed costs, there would be a</w:t>
      </w:r>
      <w:r>
        <w:t>n illogical</w:t>
      </w:r>
      <w:r w:rsidR="00A741FC">
        <w:t xml:space="preserve"> dissonance between the adjustment value and the constructed value to which that adjustment would be applied.  </w:t>
      </w:r>
      <w:r w:rsidR="00654EA6">
        <w:t>Under China’s proposed approach, the ADC would effectively be recalculating the cost of production on a different basis.</w:t>
      </w:r>
      <w:r w:rsidR="00654EA6">
        <w:rPr>
          <w:rStyle w:val="FootnoteReference"/>
        </w:rPr>
        <w:footnoteReference w:id="126"/>
      </w:r>
      <w:r w:rsidR="00654EA6">
        <w:t xml:space="preserve"> </w:t>
      </w:r>
      <w:r w:rsidR="00A741FC">
        <w:t>The ADC's approach was consistent with Australia's obligations under Article 2.4 of the Anti-Dumping Agreement.</w:t>
      </w:r>
      <w:r w:rsidR="00A741FC">
        <w:rPr>
          <w:rStyle w:val="FootnoteReference"/>
        </w:rPr>
        <w:footnoteReference w:id="127"/>
      </w:r>
      <w:r w:rsidR="00A741FC">
        <w:t xml:space="preserve"> </w:t>
      </w:r>
    </w:p>
    <w:p w14:paraId="428D3315" w14:textId="77777777" w:rsidR="00A741FC" w:rsidRDefault="00A741FC" w:rsidP="00A741FC">
      <w:pPr>
        <w:pStyle w:val="HL3HeadingLevel3"/>
        <w:numPr>
          <w:ilvl w:val="2"/>
          <w:numId w:val="2"/>
        </w:numPr>
        <w:ind w:left="2553"/>
      </w:pPr>
      <w:bookmarkStart w:id="83" w:name="_Toc146036915"/>
      <w:bookmarkStart w:id="84" w:name="_Toc148711003"/>
      <w:r>
        <w:t>AD claim 6.b.ii</w:t>
      </w:r>
      <w:bookmarkEnd w:id="83"/>
      <w:bookmarkEnd w:id="84"/>
      <w:r>
        <w:t xml:space="preserve"> </w:t>
      </w:r>
    </w:p>
    <w:p w14:paraId="1F1A1879" w14:textId="178962C8" w:rsidR="00231DD0" w:rsidRDefault="00231DD0" w:rsidP="00231DD0">
      <w:pPr>
        <w:pStyle w:val="P1-N1Paragraph1-Number1"/>
      </w:pPr>
      <w:r>
        <w:t xml:space="preserve">China's AD claim 6.b.ii concerns one exporter, </w:t>
      </w:r>
      <w:proofErr w:type="spellStart"/>
      <w:r>
        <w:t>Primy</w:t>
      </w:r>
      <w:proofErr w:type="spellEnd"/>
      <w:r>
        <w:t xml:space="preserve">, and is limited to Expiry Review 517. Even if Expiry Review 517 is within the Panel's terms of reference (which Australia argues it is not), the ADC acted consistently with Article 2.4 in relation to calculating due allowances for differences in accessories by (a) not including an additional amount for profit for externally purchased accessories; and (b) averaging externally sourced domestic accessory costs for each </w:t>
      </w:r>
      <w:r w:rsidR="001D4B98">
        <w:t>MCC</w:t>
      </w:r>
      <w:r>
        <w:t xml:space="preserve"> to calculate the downward adjustment to the normal value</w:t>
      </w:r>
      <w:r w:rsidRPr="0037291E">
        <w:t>.</w:t>
      </w:r>
      <w:r w:rsidRPr="0037291E">
        <w:rPr>
          <w:rStyle w:val="FootnoteReference"/>
          <w:color w:val="auto"/>
        </w:rPr>
        <w:footnoteReference w:id="128"/>
      </w:r>
      <w:r w:rsidRPr="0037291E">
        <w:t xml:space="preserve"> </w:t>
      </w:r>
    </w:p>
    <w:p w14:paraId="4729AE07" w14:textId="4A7B741C" w:rsidR="00231DD0" w:rsidRPr="0037291E" w:rsidRDefault="00231DD0" w:rsidP="00231DD0">
      <w:pPr>
        <w:pStyle w:val="P1-N1Paragraph1-Number1"/>
      </w:pPr>
      <w:r w:rsidRPr="0037291E">
        <w:t>Australia agree</w:t>
      </w:r>
      <w:r>
        <w:t>s</w:t>
      </w:r>
      <w:r w:rsidRPr="0037291E">
        <w:t xml:space="preserve"> with China that differences in physical characteristics between the export and the domestic model should be quantified, and adjustments should be made to prices to account for these differences.</w:t>
      </w:r>
      <w:r w:rsidRPr="0037291E">
        <w:rPr>
          <w:rStyle w:val="FootnoteReference"/>
          <w:color w:val="auto"/>
        </w:rPr>
        <w:footnoteReference w:id="129"/>
      </w:r>
      <w:r w:rsidRPr="0037291E">
        <w:t xml:space="preserve"> </w:t>
      </w:r>
      <w:r>
        <w:t xml:space="preserve">The disagreement between Australia </w:t>
      </w:r>
      <w:r w:rsidR="00654EA6">
        <w:t xml:space="preserve">and China </w:t>
      </w:r>
      <w:r>
        <w:t xml:space="preserve">is with </w:t>
      </w:r>
      <w:r w:rsidR="00654EA6">
        <w:t xml:space="preserve">respect to </w:t>
      </w:r>
      <w:r>
        <w:t>the methodology used to quantify these cost differences.</w:t>
      </w:r>
    </w:p>
    <w:p w14:paraId="250614BE" w14:textId="11C5E56F" w:rsidR="00231DD0" w:rsidRDefault="00231DD0" w:rsidP="00231DD0">
      <w:pPr>
        <w:pStyle w:val="P1-N1Paragraph1-Number1"/>
      </w:pPr>
      <w:r w:rsidRPr="0037291E">
        <w:t xml:space="preserve">The issue raised by the first part of China’s claim is that, as part of determining the </w:t>
      </w:r>
      <w:r>
        <w:t>value</w:t>
      </w:r>
      <w:r w:rsidRPr="0037291E">
        <w:t xml:space="preserve"> of accessories, the ADC assigned a profit margin to accessories that were </w:t>
      </w:r>
      <w:r>
        <w:t>manufactured</w:t>
      </w:r>
      <w:r w:rsidRPr="0037291E">
        <w:t xml:space="preserve"> in-house and did not assign a profit margin to accessories that were purchased from third parties. The ADC took this approach because it assessed that the price paid for third-party sourced accessories would include a profit margin (i.e., the profit of the third party), whereas the cost </w:t>
      </w:r>
      <w:r>
        <w:t>to make for</w:t>
      </w:r>
      <w:r w:rsidRPr="0037291E">
        <w:t xml:space="preserve"> in-house produced accessories </w:t>
      </w:r>
      <w:r>
        <w:t>did</w:t>
      </w:r>
      <w:r w:rsidRPr="0037291E">
        <w:t xml:space="preserve"> not include a profit. The reason for the different </w:t>
      </w:r>
      <w:r>
        <w:t>approaches</w:t>
      </w:r>
      <w:r w:rsidRPr="0037291E">
        <w:t xml:space="preserve"> was fully explained by the ADC as follows: the purchase price of the third-party produced accessories reflect</w:t>
      </w:r>
      <w:r>
        <w:t>ed</w:t>
      </w:r>
      <w:r w:rsidRPr="0037291E">
        <w:t xml:space="preserve"> the market value of the item, and therefore already </w:t>
      </w:r>
      <w:r w:rsidR="00EE5FE3">
        <w:lastRenderedPageBreak/>
        <w:t>included</w:t>
      </w:r>
      <w:r w:rsidRPr="0037291E">
        <w:t xml:space="preserve"> an amount for profit.</w:t>
      </w:r>
      <w:r w:rsidRPr="0037291E">
        <w:rPr>
          <w:rStyle w:val="FootnoteReference"/>
          <w:color w:val="auto"/>
        </w:rPr>
        <w:footnoteReference w:id="130"/>
      </w:r>
      <w:r w:rsidRPr="0037291E">
        <w:t xml:space="preserve"> The ADC reached this position after an extensive dialogue with exporters and taking their views </w:t>
      </w:r>
      <w:r>
        <w:t xml:space="preserve">and the evidence </w:t>
      </w:r>
      <w:r w:rsidRPr="0037291E">
        <w:t>into account.</w:t>
      </w:r>
      <w:r w:rsidRPr="0037291E">
        <w:rPr>
          <w:rStyle w:val="FootnoteReference"/>
          <w:color w:val="auto"/>
        </w:rPr>
        <w:footnoteReference w:id="131"/>
      </w:r>
      <w:r w:rsidRPr="0037291E">
        <w:t xml:space="preserve"> </w:t>
      </w:r>
    </w:p>
    <w:p w14:paraId="7E77CF98" w14:textId="5FB6085A" w:rsidR="00834DFB" w:rsidRPr="00834DFB" w:rsidRDefault="00834DFB" w:rsidP="00834DFB">
      <w:pPr>
        <w:pStyle w:val="P1-N1Paragraph1-Number1"/>
      </w:pPr>
      <w:r w:rsidRPr="00834DFB">
        <w:t>In relation to the second part of China’s claim, the ADC sought and relied on the information from the exporters to develop an MCC structure and assess differences between domestic and export sales.</w:t>
      </w:r>
    </w:p>
    <w:p w14:paraId="75567A76" w14:textId="6A7F7912" w:rsidR="00231DD0" w:rsidRPr="00834DFB" w:rsidRDefault="00834DFB" w:rsidP="00834DFB">
      <w:pPr>
        <w:pStyle w:val="P1-N1Paragraph1-Number1"/>
      </w:pPr>
      <w:r w:rsidRPr="00834DFB">
        <w:t xml:space="preserve">The averaging (and deduction) of domestic accessory costs for each MCC was: (a) based on an MCC structure that was developed </w:t>
      </w:r>
      <w:proofErr w:type="gramStart"/>
      <w:r w:rsidRPr="00834DFB">
        <w:t>taking into account</w:t>
      </w:r>
      <w:proofErr w:type="gramEnd"/>
      <w:r w:rsidRPr="00834DFB">
        <w:t xml:space="preserve"> comments from the exporters; and (b) designed to help generate fair price comparisons across MCCs that were sold with different accessories.</w:t>
      </w:r>
    </w:p>
    <w:p w14:paraId="11A4FEFA" w14:textId="77777777" w:rsidR="00231DD0" w:rsidRPr="00834DFB" w:rsidRDefault="00231DD0" w:rsidP="00231DD0">
      <w:pPr>
        <w:pStyle w:val="P1-N1Paragraph1-Number1"/>
      </w:pPr>
      <w:r w:rsidRPr="00834DFB">
        <w:t xml:space="preserve">The ADC’s quantification of accessory costs incorporated </w:t>
      </w:r>
      <w:proofErr w:type="spellStart"/>
      <w:r w:rsidRPr="00834DFB">
        <w:t>Primy’s</w:t>
      </w:r>
      <w:proofErr w:type="spellEnd"/>
      <w:r w:rsidRPr="00834DFB">
        <w:t xml:space="preserve"> data for its domestic and export sales, was on its merits and was appropriate in the circumstances.</w:t>
      </w:r>
      <w:r w:rsidRPr="00834DFB">
        <w:rPr>
          <w:rStyle w:val="FootnoteReference"/>
          <w:color w:val="auto"/>
        </w:rPr>
        <w:footnoteReference w:id="132"/>
      </w:r>
      <w:r w:rsidRPr="00834DFB">
        <w:t xml:space="preserve"> China’s AD claim 6.b.ii should be rejected by the Panel.</w:t>
      </w:r>
    </w:p>
    <w:p w14:paraId="5A8EEF4F" w14:textId="77777777" w:rsidR="00A741FC" w:rsidRDefault="00A741FC" w:rsidP="00A741FC">
      <w:pPr>
        <w:pStyle w:val="HL3HeadingLevel3"/>
        <w:numPr>
          <w:ilvl w:val="2"/>
          <w:numId w:val="2"/>
        </w:numPr>
        <w:ind w:left="2553"/>
      </w:pPr>
      <w:bookmarkStart w:id="85" w:name="_Toc146036916"/>
      <w:bookmarkStart w:id="86" w:name="_Toc148711004"/>
      <w:r>
        <w:t>AD claim 6.b.iii</w:t>
      </w:r>
      <w:bookmarkEnd w:id="85"/>
      <w:bookmarkEnd w:id="86"/>
    </w:p>
    <w:p w14:paraId="387F9C0A" w14:textId="3143D2A6" w:rsidR="00A741FC" w:rsidRDefault="00A741FC" w:rsidP="00A741FC">
      <w:pPr>
        <w:pStyle w:val="P1-N1Paragraph1-Number1"/>
      </w:pPr>
      <w:r>
        <w:t xml:space="preserve">China's AD claim 6.b.iii concerns a single exporter, Zhuhai Grand, and is limited to Expiry Review 517. </w:t>
      </w:r>
      <w:r w:rsidR="0034018E">
        <w:t>Even if</w:t>
      </w:r>
      <w:r>
        <w:t xml:space="preserve"> Expiry Review 517 is within the Panel's terms of reference</w:t>
      </w:r>
      <w:r w:rsidR="00292761">
        <w:t xml:space="preserve"> (which Australia argues it is not)</w:t>
      </w:r>
      <w:r>
        <w:t xml:space="preserve">, the ADC acted consistently with Article 2.4. </w:t>
      </w:r>
      <w:r w:rsidR="00CE5F16">
        <w:t xml:space="preserve">China’s claim relates to a disagreement with the ADC’s approach to computing the adjustment to account for certain product differences between a domestic and an export sale. </w:t>
      </w:r>
      <w:r w:rsidR="00657EF1">
        <w:t xml:space="preserve">Australia and </w:t>
      </w:r>
      <w:r>
        <w:t xml:space="preserve">China agree </w:t>
      </w:r>
      <w:r w:rsidR="00657EF1">
        <w:t xml:space="preserve">that </w:t>
      </w:r>
      <w:r>
        <w:t>an adjustment is required.</w:t>
      </w:r>
      <w:r w:rsidR="00730280">
        <w:rPr>
          <w:rStyle w:val="FootnoteReference"/>
        </w:rPr>
        <w:footnoteReference w:id="133"/>
      </w:r>
      <w:r>
        <w:t xml:space="preserve"> </w:t>
      </w:r>
      <w:r w:rsidR="00CE5F16">
        <w:t>China disagree</w:t>
      </w:r>
      <w:r w:rsidR="00730280">
        <w:t xml:space="preserve">ment is with the </w:t>
      </w:r>
      <w:r>
        <w:t>ADC’s approach</w:t>
      </w:r>
      <w:r w:rsidR="00730280">
        <w:t xml:space="preserve"> in accounting for certain product differences between export and domestic products</w:t>
      </w:r>
      <w:r>
        <w:t>.</w:t>
      </w:r>
      <w:r>
        <w:rPr>
          <w:rStyle w:val="FootnoteReference"/>
        </w:rPr>
        <w:footnoteReference w:id="134"/>
      </w:r>
      <w:r>
        <w:t xml:space="preserve"> </w:t>
      </w:r>
      <w:r w:rsidR="00657EF1">
        <w:t xml:space="preserve">The ADC’s </w:t>
      </w:r>
      <w:r w:rsidR="00730280">
        <w:t xml:space="preserve">calculations clearly accounted for the differences between export and domestic products and </w:t>
      </w:r>
      <w:r w:rsidR="00657EF1">
        <w:t>was consistent with its obligations under</w:t>
      </w:r>
      <w:r>
        <w:t xml:space="preserve"> Article 2.4</w:t>
      </w:r>
      <w:r w:rsidR="00657EF1">
        <w:t xml:space="preserve"> of the Anti-Dumping Agreement</w:t>
      </w:r>
      <w:r>
        <w:t>.</w:t>
      </w:r>
      <w:r>
        <w:rPr>
          <w:rStyle w:val="FootnoteReference"/>
        </w:rPr>
        <w:footnoteReference w:id="135"/>
      </w:r>
    </w:p>
    <w:p w14:paraId="5C446670" w14:textId="12920C85" w:rsidR="00C022A6" w:rsidRDefault="00620C43" w:rsidP="00A741FC">
      <w:pPr>
        <w:pStyle w:val="HL3HeadingLevel3"/>
        <w:numPr>
          <w:ilvl w:val="2"/>
          <w:numId w:val="2"/>
        </w:numPr>
        <w:ind w:left="2553"/>
      </w:pPr>
      <w:bookmarkStart w:id="87" w:name="_Toc148711005"/>
      <w:r>
        <w:t>AD claim 7.a</w:t>
      </w:r>
      <w:bookmarkEnd w:id="87"/>
    </w:p>
    <w:p w14:paraId="471ACF19" w14:textId="28A5E0FA" w:rsidR="00C022A6" w:rsidRDefault="00620C43">
      <w:pPr>
        <w:pStyle w:val="P1-N1Paragraph1-Number1"/>
      </w:pPr>
      <w:bookmarkStart w:id="88" w:name="_Hlk147933089"/>
      <w:r>
        <w:t xml:space="preserve">China's AD claim 7.a alleges that, in Investigation 238, the ADC failed to determine the profits of exporters based on actual data pertaining to production and sales of </w:t>
      </w:r>
      <w:proofErr w:type="gramStart"/>
      <w:r>
        <w:t xml:space="preserve">stainless </w:t>
      </w:r>
      <w:r>
        <w:lastRenderedPageBreak/>
        <w:t>steel</w:t>
      </w:r>
      <w:proofErr w:type="gramEnd"/>
      <w:r>
        <w:t xml:space="preserve"> sinks. China's AD claim 7.a is derivative of AD claims 1 and 3.</w:t>
      </w:r>
      <w:r>
        <w:rPr>
          <w:rStyle w:val="FootnoteReference"/>
        </w:rPr>
        <w:footnoteReference w:id="136"/>
      </w:r>
      <w:r>
        <w:t xml:space="preserve"> It should be rejected for the reasons set </w:t>
      </w:r>
      <w:r w:rsidR="0037291E">
        <w:t>out</w:t>
      </w:r>
      <w:r>
        <w:t xml:space="preserve"> in Australia's responses to those claims.</w:t>
      </w:r>
      <w:r w:rsidR="00F7461A">
        <w:rPr>
          <w:rStyle w:val="FootnoteReference"/>
        </w:rPr>
        <w:footnoteReference w:id="137"/>
      </w:r>
    </w:p>
    <w:p w14:paraId="1632FE39" w14:textId="77777777" w:rsidR="00497A5D" w:rsidRDefault="00497A5D" w:rsidP="00497A5D">
      <w:pPr>
        <w:pStyle w:val="P1-N1Paragraph1-Number1"/>
      </w:pPr>
      <w:r>
        <w:t>Contrary to China's allegations, the ADC determined a reasonable amount for profits based on actual data pertaining to production and sales, consistent with Articles 2.2 and 2.2.2 of the Anti-Dumping Agreement. Article 2.2.2 does not otherwise provide for any particular methodology in order to determine the amount for profits.</w:t>
      </w:r>
      <w:r>
        <w:rPr>
          <w:rStyle w:val="FootnoteReference"/>
        </w:rPr>
        <w:footnoteReference w:id="138"/>
      </w:r>
    </w:p>
    <w:p w14:paraId="120AA5C2" w14:textId="77777777" w:rsidR="00497A5D" w:rsidRDefault="00497A5D" w:rsidP="00497A5D">
      <w:pPr>
        <w:pStyle w:val="P1-N1Paragraph1-Number1"/>
      </w:pPr>
      <w:r>
        <w:t xml:space="preserve"> Australia considers that the words "based on" in Article 2.2.2 must be given meaning and effect, in the context and in light of the object and purpose of the Anti-Dumping Agreement. Article 2.2.2 does not require the wholesale adoption of the raw data in the exporters records without exception, such that an investigating authority is precluded from assessing or evaluating that raw data consistent with the disciplines of Articles 2.2.1.1 and 2.2.</w:t>
      </w:r>
    </w:p>
    <w:p w14:paraId="720A7BF8" w14:textId="1A71B784" w:rsidR="00497A5D" w:rsidRDefault="00497A5D" w:rsidP="00497A5D">
      <w:pPr>
        <w:pStyle w:val="P1-N1Paragraph1-Number1"/>
      </w:pPr>
      <w:r>
        <w:t xml:space="preserve">An unbiased and objective authority could have reached the conclusions of the ADC in Stainless Steel Sinks Investigation 238 with respect to the profit amount. China's AD claim 7.a should be rejected by the Panel. </w:t>
      </w:r>
    </w:p>
    <w:p w14:paraId="2880F8F8" w14:textId="77777777" w:rsidR="00C022A6" w:rsidRDefault="00620C43" w:rsidP="00231DD0">
      <w:pPr>
        <w:pStyle w:val="HL2HeadingLevel2"/>
      </w:pPr>
      <w:bookmarkStart w:id="89" w:name="_Toc148711006"/>
      <w:bookmarkStart w:id="90" w:name="_Hlk147420764"/>
      <w:bookmarkEnd w:id="88"/>
      <w:r>
        <w:t>AD claim 8</w:t>
      </w:r>
      <w:bookmarkEnd w:id="89"/>
    </w:p>
    <w:p w14:paraId="5B4F18EE" w14:textId="1BDC0A77" w:rsidR="00B05562" w:rsidRDefault="00620C43" w:rsidP="00603919">
      <w:pPr>
        <w:pStyle w:val="P1-N1Paragraph1-Number1"/>
      </w:pPr>
      <w:r>
        <w:t>China's AD claim 8 under Article 9.3 of the Anti-Dumping Agreement is consequential on the Panel finding inconsistency with Article 2 under China's earlier AD claims regarding Investigation 238.</w:t>
      </w:r>
      <w:r>
        <w:rPr>
          <w:rStyle w:val="FootnoteReference"/>
          <w:rFonts w:asciiTheme="minorHAnsi" w:hAnsiTheme="minorHAnsi" w:cstheme="minorHAnsi"/>
        </w:rPr>
        <w:footnoteReference w:id="139"/>
      </w:r>
      <w:r>
        <w:t xml:space="preserve"> As China has not demonstrated any error in its earlier claims, AD claim 8 must fail also.</w:t>
      </w:r>
      <w:r>
        <w:rPr>
          <w:rStyle w:val="FootnoteReference"/>
        </w:rPr>
        <w:footnoteReference w:id="140"/>
      </w:r>
    </w:p>
    <w:p w14:paraId="40113499" w14:textId="116DC384" w:rsidR="00C022A6" w:rsidRDefault="00620C43">
      <w:pPr>
        <w:pStyle w:val="HL1HeadingLevel1"/>
        <w:numPr>
          <w:ilvl w:val="0"/>
          <w:numId w:val="2"/>
        </w:numPr>
      </w:pPr>
      <w:bookmarkStart w:id="91" w:name="_Toc124519761"/>
      <w:bookmarkStart w:id="92" w:name="_Toc148711007"/>
      <w:bookmarkStart w:id="93" w:name="_Toc123657282"/>
      <w:bookmarkStart w:id="94" w:name="_Toc123963196"/>
      <w:bookmarkStart w:id="95" w:name="_Toc122357610"/>
      <w:bookmarkEnd w:id="90"/>
      <w:r>
        <w:t xml:space="preserve">Conditional </w:t>
      </w:r>
      <w:r w:rsidR="00BA4553">
        <w:t>r</w:t>
      </w:r>
      <w:r>
        <w:t xml:space="preserve">esponses to AD </w:t>
      </w:r>
      <w:r w:rsidR="00BA4553">
        <w:t>c</w:t>
      </w:r>
      <w:r>
        <w:t>laims: Wind Towers</w:t>
      </w:r>
      <w:bookmarkEnd w:id="91"/>
      <w:bookmarkEnd w:id="92"/>
    </w:p>
    <w:p w14:paraId="6F1BA9EC" w14:textId="77777777" w:rsidR="00C022A6" w:rsidRDefault="00620C43">
      <w:pPr>
        <w:pStyle w:val="P1-N1Paragraph1-Number1"/>
      </w:pPr>
      <w:bookmarkStart w:id="96" w:name="_Toc133587487"/>
      <w:r>
        <w:t>Australia's primary submission is that all of China's claims regarding the wind towers measures are outside the scope of the Panel's terms of reference.</w:t>
      </w:r>
    </w:p>
    <w:p w14:paraId="1352A27F" w14:textId="77777777" w:rsidR="00C022A6" w:rsidRDefault="00620C43">
      <w:pPr>
        <w:pStyle w:val="P1-N1Paragraph1-Number1"/>
      </w:pPr>
      <w:r>
        <w:t xml:space="preserve">Even if the Panel were to find that Investigation 221 and/or Expiry Review 487 were within the scope of its terms of reference, it should find that China's AD claims fail to make a </w:t>
      </w:r>
      <w:r>
        <w:rPr>
          <w:i/>
          <w:iCs/>
        </w:rPr>
        <w:lastRenderedPageBreak/>
        <w:t>prima facie</w:t>
      </w:r>
      <w:r>
        <w:t xml:space="preserve"> case that the wind towers measures are inconsistent with the Anti‐Dumping Agreement.</w:t>
      </w:r>
      <w:r>
        <w:rPr>
          <w:rStyle w:val="FootnoteReference"/>
        </w:rPr>
        <w:t xml:space="preserve"> </w:t>
      </w:r>
      <w:r>
        <w:rPr>
          <w:rStyle w:val="FootnoteReference"/>
        </w:rPr>
        <w:footnoteReference w:id="141"/>
      </w:r>
      <w:r>
        <w:t xml:space="preserve"> Accordingly, China's claims should be rejected.</w:t>
      </w:r>
    </w:p>
    <w:p w14:paraId="64309B01" w14:textId="77777777" w:rsidR="00C022A6" w:rsidRDefault="00620C43" w:rsidP="00231DD0">
      <w:pPr>
        <w:pStyle w:val="HL2HeadingLevel2"/>
      </w:pPr>
      <w:bookmarkStart w:id="97" w:name="_Toc133587488"/>
      <w:bookmarkStart w:id="98" w:name="_Toc135405985"/>
      <w:bookmarkStart w:id="99" w:name="_Toc148711008"/>
      <w:bookmarkEnd w:id="96"/>
      <w:r>
        <w:t>China has not made a prima facie case that the wind towers measures are inconsistent with the Anti-Dumping Agreement</w:t>
      </w:r>
      <w:bookmarkEnd w:id="97"/>
      <w:bookmarkEnd w:id="98"/>
      <w:bookmarkEnd w:id="99"/>
    </w:p>
    <w:p w14:paraId="37B77065" w14:textId="77777777" w:rsidR="00C022A6" w:rsidRDefault="00620C43">
      <w:pPr>
        <w:pStyle w:val="HL3HeadingLevel3"/>
        <w:numPr>
          <w:ilvl w:val="2"/>
          <w:numId w:val="2"/>
        </w:numPr>
      </w:pPr>
      <w:bookmarkStart w:id="100" w:name="_Toc133587489"/>
      <w:bookmarkStart w:id="101" w:name="_Toc135405986"/>
      <w:bookmarkStart w:id="102" w:name="_Toc148711009"/>
      <w:r>
        <w:t>AD claim 3</w:t>
      </w:r>
      <w:bookmarkEnd w:id="100"/>
      <w:bookmarkEnd w:id="101"/>
      <w:bookmarkEnd w:id="102"/>
    </w:p>
    <w:p w14:paraId="135FB646" w14:textId="7A9AA482" w:rsidR="00C022A6" w:rsidRDefault="00620C43">
      <w:pPr>
        <w:pStyle w:val="P1-N1Paragraph1-Number1"/>
      </w:pPr>
      <w:r>
        <w:t xml:space="preserve">China's argument, under AD claim 3 concerning the ADC's findings in </w:t>
      </w:r>
      <w:r>
        <w:rPr>
          <w:i/>
          <w:iCs/>
        </w:rPr>
        <w:t>Wind Towers Investigation 221 Report</w:t>
      </w:r>
      <w:r>
        <w:t xml:space="preserve"> is based on a misunderstanding of the findings in the report. China treats the references to "competitive market costs" and regulation 180(2) as a finding under the second condition</w:t>
      </w:r>
      <w:r w:rsidR="002F7B3B">
        <w:t xml:space="preserve"> of Article 2.2.1.1</w:t>
      </w:r>
      <w:r>
        <w:t xml:space="preserve">. As </w:t>
      </w:r>
      <w:r w:rsidRPr="00800298">
        <w:t xml:space="preserve">discussed </w:t>
      </w:r>
      <w:r w:rsidR="00812BCF" w:rsidRPr="00800298">
        <w:t>in paragraph 2</w:t>
      </w:r>
      <w:r w:rsidR="00E61E67">
        <w:t>6</w:t>
      </w:r>
      <w:r w:rsidR="00812BCF" w:rsidRPr="00800298">
        <w:t xml:space="preserve"> </w:t>
      </w:r>
      <w:r w:rsidRPr="00800298">
        <w:t xml:space="preserve">above, </w:t>
      </w:r>
      <w:r w:rsidR="00FC7E2D" w:rsidRPr="00800298">
        <w:t>r</w:t>
      </w:r>
      <w:r w:rsidRPr="00800298">
        <w:t>egulation</w:t>
      </w:r>
      <w:r>
        <w:t xml:space="preserve"> 180(2) says nothing about, and provides no basis for, the rejection of </w:t>
      </w:r>
      <w:r w:rsidRPr="0034018E">
        <w:rPr>
          <w:rFonts w:asciiTheme="minorHAnsi" w:hAnsiTheme="minorHAnsi" w:cstheme="minorHAnsi"/>
        </w:rPr>
        <w:t>records, and is not the same as findings made under the second condition.</w:t>
      </w:r>
      <w:r w:rsidRPr="0034018E">
        <w:rPr>
          <w:rStyle w:val="FootnoteReference"/>
          <w:rFonts w:asciiTheme="minorHAnsi" w:hAnsiTheme="minorHAnsi" w:cstheme="minorHAnsi"/>
        </w:rPr>
        <w:footnoteReference w:id="142"/>
      </w:r>
      <w:r w:rsidRPr="0034018E">
        <w:rPr>
          <w:rFonts w:asciiTheme="minorHAnsi" w:hAnsiTheme="minorHAnsi" w:cstheme="minorHAnsi"/>
        </w:rPr>
        <w:t xml:space="preserve"> The references to it serve a different purpose, and do not reflect a finding on the basis of Article 2.2.1.1.</w:t>
      </w:r>
      <w:r w:rsidRPr="0034018E">
        <w:rPr>
          <w:rStyle w:val="FootnoteReference"/>
          <w:rFonts w:asciiTheme="minorHAnsi" w:hAnsiTheme="minorHAnsi" w:cstheme="minorHAnsi"/>
        </w:rPr>
        <w:footnoteReference w:id="143"/>
      </w:r>
      <w:r w:rsidRPr="0034018E">
        <w:rPr>
          <w:rFonts w:asciiTheme="minorHAnsi" w:hAnsiTheme="minorHAnsi" w:cstheme="minorHAnsi"/>
        </w:rPr>
        <w:t xml:space="preserve"> </w:t>
      </w:r>
      <w:r w:rsidR="0034018E" w:rsidRPr="0034018E">
        <w:rPr>
          <w:rFonts w:asciiTheme="minorHAnsi" w:hAnsiTheme="minorHAnsi" w:cstheme="minorHAnsi"/>
        </w:rPr>
        <w:t>T</w:t>
      </w:r>
      <w:r w:rsidR="0034018E" w:rsidRPr="0034018E">
        <w:rPr>
          <w:rStyle w:val="cf01"/>
          <w:rFonts w:asciiTheme="minorHAnsi" w:hAnsiTheme="minorHAnsi" w:cstheme="minorHAnsi"/>
          <w:sz w:val="24"/>
          <w:szCs w:val="24"/>
        </w:rPr>
        <w:t>he ADC’s distinct finding under the second condition is apparent from the investigation report.</w:t>
      </w:r>
      <w:r w:rsidR="0034018E">
        <w:rPr>
          <w:rStyle w:val="FootnoteReference"/>
          <w:rFonts w:asciiTheme="minorHAnsi" w:hAnsiTheme="minorHAnsi" w:cstheme="minorHAnsi"/>
        </w:rPr>
        <w:footnoteReference w:id="144"/>
      </w:r>
    </w:p>
    <w:p w14:paraId="59E05E44" w14:textId="77777777" w:rsidR="00C022A6" w:rsidRDefault="00620C43">
      <w:pPr>
        <w:pStyle w:val="HL3HeadingLevel3"/>
      </w:pPr>
      <w:bookmarkStart w:id="103" w:name="_Toc135405987"/>
      <w:bookmarkStart w:id="104" w:name="_Toc148711010"/>
      <w:r>
        <w:t>AD claim 1</w:t>
      </w:r>
      <w:bookmarkEnd w:id="103"/>
      <w:bookmarkEnd w:id="104"/>
    </w:p>
    <w:p w14:paraId="0F8D3172" w14:textId="77777777" w:rsidR="00C022A6" w:rsidRDefault="00620C43">
      <w:pPr>
        <w:pStyle w:val="P1-N1Paragraph1-Number1"/>
      </w:pPr>
      <w:r>
        <w:t>China’s arguments under claim 1 are predicated on China’s contention that the "uplift ratio" was based on the differences between price values associated with a Chinese plate steel producer in a different investigation and "the values associated with Korean and Chinese Taipei plate steel producers."</w:t>
      </w:r>
      <w:r>
        <w:rPr>
          <w:rStyle w:val="FootnoteReference"/>
        </w:rPr>
        <w:footnoteReference w:id="145"/>
      </w:r>
      <w:r>
        <w:t xml:space="preserve"> But, as the Wind Towers Report makes clear, Korean and Chinese Taipei plate steel prices had no role in the ADC's calculation of the normal value of wind towers in Investigation 221. This is confirmed in </w:t>
      </w:r>
      <w:r>
        <w:rPr>
          <w:i/>
          <w:iCs/>
        </w:rPr>
        <w:t xml:space="preserve">Confidential Appendix 2 – Wind Towers Investigation 221 Report </w:t>
      </w:r>
      <w:r>
        <w:t>which was exhibited in response to Panel question no. 42(a).</w:t>
      </w:r>
      <w:r>
        <w:rPr>
          <w:rStyle w:val="FootnoteReference"/>
        </w:rPr>
        <w:t xml:space="preserve"> </w:t>
      </w:r>
      <w:r>
        <w:rPr>
          <w:rStyle w:val="FootnoteReference"/>
        </w:rPr>
        <w:footnoteReference w:id="146"/>
      </w:r>
      <w:r>
        <w:t xml:space="preserve"> </w:t>
      </w:r>
    </w:p>
    <w:p w14:paraId="36AE949E" w14:textId="77777777" w:rsidR="00C022A6" w:rsidRDefault="00620C43">
      <w:pPr>
        <w:pStyle w:val="HL3HeadingLevel3"/>
      </w:pPr>
      <w:bookmarkStart w:id="105" w:name="_Toc133587491"/>
      <w:bookmarkStart w:id="106" w:name="_Toc135405988"/>
      <w:bookmarkStart w:id="107" w:name="_Toc148711011"/>
      <w:r>
        <w:t>AD claim 5.c</w:t>
      </w:r>
      <w:bookmarkEnd w:id="105"/>
      <w:bookmarkEnd w:id="106"/>
      <w:bookmarkEnd w:id="107"/>
    </w:p>
    <w:p w14:paraId="62883FB2" w14:textId="173EE84A" w:rsidR="00C022A6" w:rsidRDefault="00620C43">
      <w:pPr>
        <w:pStyle w:val="P1-N1Paragraph1-Number1"/>
      </w:pPr>
      <w:r>
        <w:t xml:space="preserve">Under AD claim 5.c, China claims that the "cost difference used for the purposes of the so-called 'uplift' was not and could never be considered to have been unbiased and </w:t>
      </w:r>
      <w:r>
        <w:lastRenderedPageBreak/>
        <w:t>objective."</w:t>
      </w:r>
      <w:r>
        <w:rPr>
          <w:rStyle w:val="FootnoteReference"/>
        </w:rPr>
        <w:footnoteReference w:id="147"/>
      </w:r>
      <w:r>
        <w:t xml:space="preserve"> The legal basis for China's arguments is entirely unclear, even after multiple rounds of submissions.</w:t>
      </w:r>
      <w:r>
        <w:rPr>
          <w:rStyle w:val="FootnoteReference"/>
        </w:rPr>
        <w:footnoteReference w:id="148"/>
      </w:r>
      <w:r>
        <w:t xml:space="preserve"> To the extent that it is predicated on Article 2.2, this claim appears to be wholly subsumed under, and duplicative of, China's AD claim 1.</w:t>
      </w:r>
      <w:r w:rsidR="008D5174">
        <w:rPr>
          <w:rStyle w:val="FootnoteReference"/>
        </w:rPr>
        <w:footnoteReference w:id="149"/>
      </w:r>
      <w:r>
        <w:t xml:space="preserve"> </w:t>
      </w:r>
    </w:p>
    <w:p w14:paraId="200088C0" w14:textId="16511634" w:rsidR="00C022A6" w:rsidRDefault="00620C43">
      <w:pPr>
        <w:pStyle w:val="P1-N1Paragraph1-Number1"/>
      </w:pPr>
      <w:r>
        <w:t xml:space="preserve">To the extent that China's AD claim 5.c is based on the second condition of Article 2.2.1.1, then there may be a separate aspect of the claim, but there </w:t>
      </w:r>
      <w:r w:rsidR="00330424">
        <w:t>is no</w:t>
      </w:r>
      <w:r>
        <w:t xml:space="preserve"> legal basis for it.</w:t>
      </w:r>
      <w:r>
        <w:rPr>
          <w:rStyle w:val="FootnoteReference"/>
        </w:rPr>
        <w:footnoteReference w:id="150"/>
      </w:r>
      <w:r>
        <w:t xml:space="preserve"> </w:t>
      </w:r>
      <w:r>
        <w:rPr>
          <w:rFonts w:asciiTheme="minorHAnsi" w:hAnsiTheme="minorHAnsi" w:cstheme="minorHAnsi"/>
        </w:rPr>
        <w:t>It appears that China's ultimate complaint is that because the second condition of Article 2.2.1.1 uses the phrase</w:t>
      </w:r>
      <w:r w:rsidR="00292761">
        <w:rPr>
          <w:rFonts w:asciiTheme="minorHAnsi" w:hAnsiTheme="minorHAnsi" w:cstheme="minorHAnsi"/>
        </w:rPr>
        <w:t xml:space="preserve"> </w:t>
      </w:r>
      <w:r>
        <w:rPr>
          <w:rFonts w:asciiTheme="minorHAnsi" w:hAnsiTheme="minorHAnsi" w:cstheme="minorHAnsi"/>
        </w:rPr>
        <w:t xml:space="preserve">"the costs associated with the production and sale of the product", that when an investigating authority engages in a construction of normal value it must only — unequivocally, according to China — have regard to costs of the exporter being considered. </w:t>
      </w:r>
      <w:r w:rsidR="00292761">
        <w:rPr>
          <w:rFonts w:asciiTheme="minorHAnsi" w:hAnsiTheme="minorHAnsi" w:cstheme="minorHAnsi"/>
        </w:rPr>
        <w:t xml:space="preserve">This is unsupported by the text of the Anti-Dumping Agreement. China has not established any </w:t>
      </w:r>
      <w:r>
        <w:rPr>
          <w:rFonts w:asciiTheme="minorHAnsi" w:hAnsiTheme="minorHAnsi" w:cstheme="minorHAnsi"/>
        </w:rPr>
        <w:t>legal basis for this purported requirement.</w:t>
      </w:r>
    </w:p>
    <w:p w14:paraId="4F8AF59B" w14:textId="77777777" w:rsidR="00C022A6" w:rsidRDefault="00620C43">
      <w:pPr>
        <w:pStyle w:val="HL3HeadingLevel3"/>
      </w:pPr>
      <w:bookmarkStart w:id="108" w:name="_Toc133587492"/>
      <w:bookmarkStart w:id="109" w:name="_Toc135405989"/>
      <w:bookmarkStart w:id="110" w:name="_Toc148711012"/>
      <w:r>
        <w:t>AD claim 6.a</w:t>
      </w:r>
      <w:bookmarkEnd w:id="108"/>
      <w:bookmarkEnd w:id="109"/>
      <w:bookmarkEnd w:id="110"/>
    </w:p>
    <w:p w14:paraId="20FD1C91" w14:textId="07A2E97D" w:rsidR="00C022A6" w:rsidRDefault="00620C43">
      <w:pPr>
        <w:pStyle w:val="P1-N1Paragraph1-Number1"/>
        <w:spacing w:before="120" w:after="120"/>
      </w:pPr>
      <w:r>
        <w:t>For the same reasons set out above in relation to railway wheels, China AD claim 6.a in relation to wind towers</w:t>
      </w:r>
      <w:r w:rsidR="003F066F">
        <w:t xml:space="preserve"> should</w:t>
      </w:r>
      <w:r>
        <w:t xml:space="preserve"> fail.</w:t>
      </w:r>
      <w:r>
        <w:rPr>
          <w:rStyle w:val="FootnoteReference"/>
        </w:rPr>
        <w:footnoteReference w:id="151"/>
      </w:r>
    </w:p>
    <w:p w14:paraId="293DB7AD" w14:textId="77777777" w:rsidR="00C022A6" w:rsidRDefault="00620C43">
      <w:pPr>
        <w:pStyle w:val="HL3HeadingLevel3"/>
      </w:pPr>
      <w:bookmarkStart w:id="111" w:name="_Toc148711013"/>
      <w:r>
        <w:t>AD claim 7.a</w:t>
      </w:r>
      <w:bookmarkEnd w:id="111"/>
    </w:p>
    <w:p w14:paraId="3FBC28E3" w14:textId="77777777" w:rsidR="00C022A6" w:rsidRDefault="00620C43">
      <w:pPr>
        <w:pStyle w:val="P1-N1Paragraph1-Number1"/>
      </w:pPr>
      <w:r>
        <w:t>Under AD claim 7.a, China challenges the multiplication of the actual profit rate to the "uplifted cost of production" which it alleges was not "the cost of production in the country of origin".</w:t>
      </w:r>
      <w:r>
        <w:rPr>
          <w:rStyle w:val="FootnoteReference"/>
        </w:rPr>
        <w:footnoteReference w:id="152"/>
      </w:r>
      <w:r>
        <w:t xml:space="preserve"> </w:t>
      </w:r>
    </w:p>
    <w:p w14:paraId="3079596B" w14:textId="5B36018B" w:rsidR="00C022A6" w:rsidRDefault="00620C43">
      <w:pPr>
        <w:pStyle w:val="P1-N1Paragraph1-Number1"/>
      </w:pPr>
      <w:r>
        <w:t xml:space="preserve">If the calculated cost of production is the correct amount for a "cost of production in the country of origin", then applying an </w:t>
      </w:r>
      <w:r>
        <w:rPr>
          <w:i/>
          <w:iCs/>
        </w:rPr>
        <w:t>uncontested actual profit rate</w:t>
      </w:r>
      <w:r>
        <w:t xml:space="preserve"> to that amount would result in a "reasonable amount for…profits" that would be consistent with Articles 2.2 and 2.2.2 of the Anti-Dumping Agreement. As such, since China has failed to make a </w:t>
      </w:r>
      <w:r>
        <w:rPr>
          <w:i/>
          <w:iCs/>
        </w:rPr>
        <w:t>prima facie</w:t>
      </w:r>
      <w:r>
        <w:t xml:space="preserve"> </w:t>
      </w:r>
      <w:r w:rsidR="0037291E">
        <w:t xml:space="preserve">case </w:t>
      </w:r>
      <w:r>
        <w:t>under AD claim 1, then this claim must also necessarily fail.</w:t>
      </w:r>
      <w:r>
        <w:rPr>
          <w:rStyle w:val="FootnoteReference"/>
        </w:rPr>
        <w:footnoteReference w:id="153"/>
      </w:r>
    </w:p>
    <w:p w14:paraId="3A682641" w14:textId="77777777" w:rsidR="00C022A6" w:rsidRDefault="00620C43">
      <w:pPr>
        <w:pStyle w:val="HL3HeadingLevel3"/>
      </w:pPr>
      <w:bookmarkStart w:id="112" w:name="_Toc148711014"/>
      <w:r>
        <w:lastRenderedPageBreak/>
        <w:t>AD claim 7.c</w:t>
      </w:r>
      <w:bookmarkEnd w:id="112"/>
    </w:p>
    <w:p w14:paraId="489050EC" w14:textId="7CD92B26" w:rsidR="00C022A6" w:rsidRDefault="00620C43">
      <w:pPr>
        <w:pStyle w:val="P1-N1Paragraph1-Number1"/>
      </w:pPr>
      <w:r>
        <w:t xml:space="preserve">China’s claim 7.c </w:t>
      </w:r>
      <w:r w:rsidR="00071C84">
        <w:t xml:space="preserve">that the ADC’s findings on like products </w:t>
      </w:r>
      <w:r w:rsidR="00535292">
        <w:t>were</w:t>
      </w:r>
      <w:r w:rsidR="00071C84">
        <w:t xml:space="preserve"> inconsistent </w:t>
      </w:r>
      <w:r>
        <w:t>must fail for the reasons set out in Australia’s written submissions.</w:t>
      </w:r>
      <w:r>
        <w:rPr>
          <w:rStyle w:val="FootnoteReference"/>
        </w:rPr>
        <w:footnoteReference w:id="154"/>
      </w:r>
      <w:r>
        <w:t xml:space="preserve"> </w:t>
      </w:r>
      <w:r w:rsidR="00071C84">
        <w:t xml:space="preserve">In both the original investigation and expiry review the ADC found that there were sales of like goods in China. However, the ADC found there was an absence of </w:t>
      </w:r>
      <w:r w:rsidR="00071C84" w:rsidRPr="00071C84">
        <w:rPr>
          <w:i/>
          <w:iCs/>
        </w:rPr>
        <w:t>relevant</w:t>
      </w:r>
      <w:r w:rsidR="00071C84">
        <w:t xml:space="preserve"> sales of like goods for the purpose of determining normal value.</w:t>
      </w:r>
      <w:r w:rsidR="00071C84">
        <w:rPr>
          <w:rStyle w:val="FootnoteReference"/>
        </w:rPr>
        <w:footnoteReference w:id="155"/>
      </w:r>
    </w:p>
    <w:p w14:paraId="637D483F" w14:textId="77777777" w:rsidR="00C022A6" w:rsidRDefault="00620C43">
      <w:pPr>
        <w:pStyle w:val="HL3HeadingLevel3"/>
      </w:pPr>
      <w:bookmarkStart w:id="113" w:name="_Toc148711015"/>
      <w:r>
        <w:t>AD claim 8</w:t>
      </w:r>
      <w:bookmarkEnd w:id="113"/>
    </w:p>
    <w:p w14:paraId="6859A8D9" w14:textId="07571EFC" w:rsidR="00B05562" w:rsidRDefault="00620C43" w:rsidP="00603919">
      <w:pPr>
        <w:pStyle w:val="P1-N1Paragraph1-Number1"/>
      </w:pPr>
      <w:r>
        <w:t>China's AD claim 8 is entirely contingent on the Panel finding that Australia acted inconsistently with Article 2 of the Anti-Dumping Agreement under its earlier claims. As outlined above, there is no basis for such findings in each case.</w:t>
      </w:r>
      <w:r>
        <w:rPr>
          <w:rStyle w:val="FootnoteReference"/>
        </w:rPr>
        <w:footnoteReference w:id="156"/>
      </w:r>
    </w:p>
    <w:p w14:paraId="172FFF50" w14:textId="403AEF91" w:rsidR="00C022A6" w:rsidRDefault="00620C43" w:rsidP="00EB14E0">
      <w:pPr>
        <w:pStyle w:val="HL1HeadingLevel1"/>
        <w:numPr>
          <w:ilvl w:val="0"/>
          <w:numId w:val="2"/>
        </w:numPr>
      </w:pPr>
      <w:bookmarkStart w:id="114" w:name="_Toc148711016"/>
      <w:r>
        <w:t xml:space="preserve">Conditional responses to CVD </w:t>
      </w:r>
      <w:r w:rsidR="00BA4553">
        <w:t>c</w:t>
      </w:r>
      <w:r>
        <w:t>laims</w:t>
      </w:r>
      <w:bookmarkEnd w:id="93"/>
      <w:bookmarkEnd w:id="94"/>
      <w:bookmarkEnd w:id="114"/>
    </w:p>
    <w:bookmarkEnd w:id="95"/>
    <w:p w14:paraId="00EF7509" w14:textId="7BDAD762" w:rsidR="00C022A6" w:rsidRDefault="00620C43">
      <w:pPr>
        <w:pStyle w:val="P1-N1Paragraph1-Number1"/>
      </w:pPr>
      <w:r>
        <w:t xml:space="preserve">Australia's submission is that all of China's claims regarding the </w:t>
      </w:r>
      <w:proofErr w:type="gramStart"/>
      <w:r>
        <w:t>stainless steel</w:t>
      </w:r>
      <w:proofErr w:type="gramEnd"/>
      <w:r>
        <w:t xml:space="preserve"> sinks measures, including China's CVD claims, are outside the scope of the Panel's terms of reference. Specifically, China’s CVD claims under </w:t>
      </w:r>
      <w:r w:rsidR="00EB14E0">
        <w:t>s</w:t>
      </w:r>
      <w:r>
        <w:t xml:space="preserve">ection B.2 of its panel request are </w:t>
      </w:r>
      <w:r w:rsidR="00292761">
        <w:t xml:space="preserve">limited </w:t>
      </w:r>
      <w:r>
        <w:t xml:space="preserve">solely </w:t>
      </w:r>
      <w:r w:rsidR="00292761">
        <w:t>to</w:t>
      </w:r>
      <w:r>
        <w:t xml:space="preserve"> the CVD measures </w:t>
      </w:r>
      <w:r w:rsidR="00EB14E0">
        <w:t>"</w:t>
      </w:r>
      <w:r>
        <w:t>with regard to</w:t>
      </w:r>
      <w:r w:rsidR="00EB14E0">
        <w:t>"</w:t>
      </w:r>
      <w:r>
        <w:t xml:space="preserve"> Program 1. </w:t>
      </w:r>
    </w:p>
    <w:p w14:paraId="7D698640" w14:textId="0D2E5D5A" w:rsidR="00C022A6" w:rsidRDefault="00620C43">
      <w:pPr>
        <w:pStyle w:val="P1-N1Paragraph1-Number1"/>
      </w:pPr>
      <w:r>
        <w:t xml:space="preserve">Even if </w:t>
      </w:r>
      <w:r w:rsidR="00292761">
        <w:t xml:space="preserve">the </w:t>
      </w:r>
      <w:r>
        <w:t>Panel were to find that China's claims involving Program 1 were within its terms of reference, China has failed to demonstrate that ADC acted inconsistently with the SCM Agreement.</w:t>
      </w:r>
      <w:r>
        <w:rPr>
          <w:rStyle w:val="FootnoteReference"/>
        </w:rPr>
        <w:footnoteReference w:id="157"/>
      </w:r>
      <w:r>
        <w:t xml:space="preserve"> Accordingly, China's CVD claims should be rejected.</w:t>
      </w:r>
      <w:r w:rsidR="00F267AE">
        <w:t xml:space="preserve"> Moreover, because any measures relating to Program 1 were terminated with effect </w:t>
      </w:r>
      <w:r w:rsidR="00F267AE" w:rsidRPr="00F267AE">
        <w:t>from 27 March 2020</w:t>
      </w:r>
      <w:r w:rsidR="00F267AE">
        <w:t xml:space="preserve"> there is simply no matter at issue between the parties that</w:t>
      </w:r>
      <w:r w:rsidR="00452D0C">
        <w:t xml:space="preserve"> this Panel could resolve, nor any measure it could recommend Australia bring into compliance </w:t>
      </w:r>
      <w:r w:rsidR="003B69B3">
        <w:t xml:space="preserve">as a result, </w:t>
      </w:r>
      <w:r w:rsidR="00452D0C">
        <w:t>in accordance with Article 19.1 of the DSU.</w:t>
      </w:r>
      <w:r w:rsidR="00E61E67">
        <w:rPr>
          <w:rStyle w:val="FootnoteReference"/>
        </w:rPr>
        <w:footnoteReference w:id="158"/>
      </w:r>
    </w:p>
    <w:p w14:paraId="545036FE" w14:textId="77777777" w:rsidR="00C022A6" w:rsidRDefault="00620C43" w:rsidP="00B134F9">
      <w:pPr>
        <w:pStyle w:val="HL2HeadingLevel2"/>
        <w:numPr>
          <w:ilvl w:val="1"/>
          <w:numId w:val="16"/>
        </w:numPr>
      </w:pPr>
      <w:bookmarkStart w:id="115" w:name="_Toc148711017"/>
      <w:r>
        <w:t>CVD claim 1</w:t>
      </w:r>
      <w:bookmarkEnd w:id="115"/>
      <w:r>
        <w:t xml:space="preserve"> </w:t>
      </w:r>
    </w:p>
    <w:p w14:paraId="41D8A611" w14:textId="68378DE1" w:rsidR="00330424" w:rsidRDefault="00620C43" w:rsidP="00330424">
      <w:pPr>
        <w:pStyle w:val="P1-N1Paragraph1-Number1"/>
      </w:pPr>
      <w:r>
        <w:t xml:space="preserve">China confirmed in bilateral communications with Australia that it would no longer be pursuing any claims related to financial contribution and Article 1.1(a) of the SCM </w:t>
      </w:r>
      <w:r>
        <w:lastRenderedPageBreak/>
        <w:t>Agreement.</w:t>
      </w:r>
      <w:r>
        <w:rPr>
          <w:rStyle w:val="FootnoteReference"/>
        </w:rPr>
        <w:footnoteReference w:id="159"/>
      </w:r>
      <w:r w:rsidR="00F267AE">
        <w:t xml:space="preserve"> Australia notes that China did not advance any arguments with respect to these claims in any of its submissions.</w:t>
      </w:r>
    </w:p>
    <w:p w14:paraId="40529023" w14:textId="77777777" w:rsidR="00C022A6" w:rsidRDefault="00620C43" w:rsidP="00B134F9">
      <w:pPr>
        <w:pStyle w:val="HL2HeadingLevel2"/>
        <w:numPr>
          <w:ilvl w:val="1"/>
          <w:numId w:val="16"/>
        </w:numPr>
      </w:pPr>
      <w:bookmarkStart w:id="116" w:name="_Toc148711018"/>
      <w:r>
        <w:t>CVD claims 2 and 3</w:t>
      </w:r>
      <w:bookmarkEnd w:id="116"/>
      <w:r>
        <w:t xml:space="preserve"> </w:t>
      </w:r>
    </w:p>
    <w:p w14:paraId="292D14EB" w14:textId="77777777" w:rsidR="00F267AE" w:rsidRDefault="00620C43">
      <w:pPr>
        <w:pStyle w:val="P1-N1Paragraph1-Number1"/>
      </w:pPr>
      <w:r>
        <w:t>China contends that the ADC was not entitled, in light of the requirements of the SCM Agreement, to disregard in-country prices of 304 SS CRC and challenges the ADC’s use of an out-of-country benchmark as well as the associated adjustments.</w:t>
      </w:r>
      <w:r>
        <w:rPr>
          <w:rStyle w:val="FootnoteReference"/>
        </w:rPr>
        <w:footnoteReference w:id="160"/>
      </w:r>
      <w:r>
        <w:t xml:space="preserve"> </w:t>
      </w:r>
    </w:p>
    <w:p w14:paraId="3A7072E5" w14:textId="66AA2A7E" w:rsidR="00C022A6" w:rsidRDefault="00620C43">
      <w:pPr>
        <w:pStyle w:val="P1-N1Paragraph1-Number1"/>
      </w:pPr>
      <w:r>
        <w:t>Contrary to China's submission, the ADC:</w:t>
      </w:r>
    </w:p>
    <w:p w14:paraId="06F48F6A" w14:textId="3E6E59A7" w:rsidR="00C022A6" w:rsidRDefault="00620C43" w:rsidP="00B134F9">
      <w:pPr>
        <w:pStyle w:val="P1-N1Paragraph1-Number1"/>
        <w:numPr>
          <w:ilvl w:val="0"/>
          <w:numId w:val="19"/>
        </w:numPr>
      </w:pPr>
      <w:r>
        <w:t xml:space="preserve">in accordance with Article 14(d) </w:t>
      </w:r>
      <w:r w:rsidR="00E61E67">
        <w:t xml:space="preserve">of the SCM Agreement, </w:t>
      </w:r>
      <w:r>
        <w:t xml:space="preserve">and previous decisions of the Appellate Body, </w:t>
      </w:r>
      <w:r w:rsidR="00F267AE">
        <w:t xml:space="preserve">including </w:t>
      </w:r>
      <w:r>
        <w:t xml:space="preserve">in </w:t>
      </w:r>
      <w:r>
        <w:rPr>
          <w:i/>
          <w:iCs/>
        </w:rPr>
        <w:t>US – Carbon Steel (India)</w:t>
      </w:r>
      <w:r>
        <w:t xml:space="preserve">, correctly disregarded in-country prices of </w:t>
      </w:r>
      <w:r>
        <w:rPr>
          <w:lang w:val="en-GB"/>
        </w:rPr>
        <w:t>304 SS CRC</w:t>
      </w:r>
      <w:r>
        <w:t xml:space="preserve"> due to </w:t>
      </w:r>
      <w:r w:rsidR="00F267AE">
        <w:t xml:space="preserve">pervasive intervention by the Government of China </w:t>
      </w:r>
      <w:r w:rsidR="00A479D1">
        <w:t xml:space="preserve">in the market, causing </w:t>
      </w:r>
      <w:r w:rsidR="00F267AE">
        <w:t>distortion</w:t>
      </w:r>
      <w:r w:rsidR="00A479D1">
        <w:t>s</w:t>
      </w:r>
      <w:r>
        <w:rPr>
          <w:lang w:val="en-GB"/>
        </w:rPr>
        <w:t>;</w:t>
      </w:r>
    </w:p>
    <w:p w14:paraId="6F2E8F46" w14:textId="77777777" w:rsidR="00C022A6" w:rsidRDefault="00620C43" w:rsidP="00B134F9">
      <w:pPr>
        <w:pStyle w:val="P1-N1Paragraph1-Number1"/>
        <w:numPr>
          <w:ilvl w:val="0"/>
          <w:numId w:val="19"/>
        </w:numPr>
      </w:pPr>
      <w:r>
        <w:t xml:space="preserve">adopted an out-of-country benchmark that was the best available representation of the market-determined price of </w:t>
      </w:r>
      <w:r>
        <w:rPr>
          <w:lang w:val="en-GB"/>
        </w:rPr>
        <w:t>304 SS CRC in China; and</w:t>
      </w:r>
    </w:p>
    <w:p w14:paraId="683B725A" w14:textId="77777777" w:rsidR="00C022A6" w:rsidRDefault="00620C43" w:rsidP="00B134F9">
      <w:pPr>
        <w:pStyle w:val="P1-N1Paragraph1-Number1"/>
        <w:numPr>
          <w:ilvl w:val="0"/>
          <w:numId w:val="19"/>
        </w:numPr>
      </w:pPr>
      <w:r>
        <w:rPr>
          <w:lang w:val="en-GB"/>
        </w:rPr>
        <w:t>adjusted this benchmark for prevailing market conditions in China.</w:t>
      </w:r>
      <w:r>
        <w:rPr>
          <w:rStyle w:val="FootnoteReference"/>
          <w:lang w:val="en-GB"/>
        </w:rPr>
        <w:footnoteReference w:id="161"/>
      </w:r>
    </w:p>
    <w:p w14:paraId="4B9EE5B3" w14:textId="6E018DED" w:rsidR="00C022A6" w:rsidRDefault="00620C43">
      <w:pPr>
        <w:pStyle w:val="P1-N1Paragraph1-Number1"/>
      </w:pPr>
      <w:r>
        <w:t>The ADC</w:t>
      </w:r>
      <w:r w:rsidR="00E61E67">
        <w:t>,</w:t>
      </w:r>
      <w:r>
        <w:t xml:space="preserve"> </w:t>
      </w:r>
      <w:r w:rsidR="00F267AE">
        <w:t>therefore</w:t>
      </w:r>
      <w:r w:rsidR="00E61E67">
        <w:t>,</w:t>
      </w:r>
      <w:r w:rsidR="00F267AE">
        <w:t xml:space="preserve"> </w:t>
      </w:r>
      <w:r>
        <w:t>acted consistently with the requirements of Articles 1.1(b) and 14(d) of the SCM Agreement, and China's claims should be rejected</w:t>
      </w:r>
      <w:r w:rsidR="00ED31C8">
        <w:t>.</w:t>
      </w:r>
      <w:r w:rsidR="00812BCF">
        <w:rPr>
          <w:rStyle w:val="FootnoteReference"/>
        </w:rPr>
        <w:footnoteReference w:id="162"/>
      </w:r>
      <w:r>
        <w:t xml:space="preserve"> </w:t>
      </w:r>
    </w:p>
    <w:p w14:paraId="29DED94C" w14:textId="77777777" w:rsidR="00C022A6" w:rsidRDefault="00620C43" w:rsidP="00B134F9">
      <w:pPr>
        <w:pStyle w:val="HL2HeadingLevel2"/>
        <w:numPr>
          <w:ilvl w:val="1"/>
          <w:numId w:val="16"/>
        </w:numPr>
      </w:pPr>
      <w:bookmarkStart w:id="117" w:name="_Toc148711019"/>
      <w:r>
        <w:t>CVD claim 4</w:t>
      </w:r>
      <w:bookmarkEnd w:id="117"/>
    </w:p>
    <w:p w14:paraId="65430735" w14:textId="69D6F4C2" w:rsidR="00C022A6" w:rsidRDefault="00620C43">
      <w:pPr>
        <w:pStyle w:val="P1-N1Paragraph1-Number1"/>
      </w:pPr>
      <w:r>
        <w:t xml:space="preserve">China argued that the ADC failed to properly establish that Program 1 was specific in accordance with Articles 1.2 and 2.1(c) of the SCM Agreement. China alleges four separate inconsistencies. </w:t>
      </w:r>
      <w:r w:rsidR="00F267AE">
        <w:t xml:space="preserve">However, </w:t>
      </w:r>
      <w:r>
        <w:t>China's arguments are unsupported by the facts and WTO law.</w:t>
      </w:r>
    </w:p>
    <w:p w14:paraId="57786AD9" w14:textId="053088CF" w:rsidR="00C022A6" w:rsidRDefault="00620C43">
      <w:pPr>
        <w:pStyle w:val="P1-N1Paragraph1-Number1"/>
      </w:pPr>
      <w:r>
        <w:t>First, China argues that the ADC did not identify a subsidy programme as required under Article 2.1(</w:t>
      </w:r>
      <w:r w:rsidR="00F267AE">
        <w:t>c</w:t>
      </w:r>
      <w:r>
        <w:t>) of the SCM Agreement.</w:t>
      </w:r>
      <w:r>
        <w:rPr>
          <w:rStyle w:val="FootnoteReference"/>
        </w:rPr>
        <w:footnoteReference w:id="163"/>
      </w:r>
      <w:r>
        <w:t xml:space="preserve"> But the record shows that the ADC did identify </w:t>
      </w:r>
      <w:r>
        <w:lastRenderedPageBreak/>
        <w:t xml:space="preserve">a subsidy programme. </w:t>
      </w:r>
      <w:r>
        <w:rPr>
          <w:lang w:val="en-US"/>
        </w:rPr>
        <w:t>Specifically, the ADC identified a systematic pattern of 304 SS CRC being provided to Zhuhai Grand for less than adequate remuneration.</w:t>
      </w:r>
      <w:r>
        <w:rPr>
          <w:rStyle w:val="FootnoteReference"/>
          <w:lang w:val="en-US"/>
        </w:rPr>
        <w:footnoteReference w:id="164"/>
      </w:r>
      <w:r>
        <w:rPr>
          <w:lang w:val="en-US"/>
        </w:rPr>
        <w:t xml:space="preserve"> </w:t>
      </w:r>
    </w:p>
    <w:p w14:paraId="41A7E491" w14:textId="77777777" w:rsidR="00C022A6" w:rsidRDefault="00620C43">
      <w:pPr>
        <w:pStyle w:val="P1-N1Paragraph1-Number1"/>
        <w:rPr>
          <w:rFonts w:asciiTheme="minorHAnsi" w:hAnsiTheme="minorHAnsi" w:cstheme="minorHAnsi"/>
        </w:rPr>
      </w:pPr>
      <w:r>
        <w:t>Second, China submits Australia failed to consider whether Program 1 was used by a limited number of certain enterprises.</w:t>
      </w:r>
      <w:r>
        <w:rPr>
          <w:vertAlign w:val="superscript"/>
        </w:rPr>
        <w:footnoteReference w:id="165"/>
      </w:r>
      <w:r>
        <w:rPr>
          <w:vertAlign w:val="superscript"/>
        </w:rPr>
        <w:t xml:space="preserve"> </w:t>
      </w:r>
      <w:r>
        <w:t xml:space="preserve">China is mistaken. </w:t>
      </w:r>
      <w:r>
        <w:rPr>
          <w:rFonts w:asciiTheme="minorHAnsi" w:hAnsiTheme="minorHAnsi" w:cstheme="minorHAnsi"/>
        </w:rPr>
        <w:t>The ADC acted consistently with Article 2.1(c) of the SCM Agreement by showing that access to the subsidy was limited to "certain enterprises" that used 304 SS CRC as a key input. Specifically, the ADC found that access to Program 1 was limited to enterprises engaged in the manufacture of downstream products (including stainless steel sinks) that use 304 SS CRC as a key input.</w:t>
      </w:r>
      <w:r>
        <w:rPr>
          <w:rFonts w:asciiTheme="minorHAnsi" w:hAnsiTheme="minorHAnsi" w:cstheme="minorHAnsi"/>
          <w:vertAlign w:val="superscript"/>
        </w:rPr>
        <w:footnoteReference w:id="166"/>
      </w:r>
      <w:r>
        <w:rPr>
          <w:rFonts w:asciiTheme="minorHAnsi" w:hAnsiTheme="minorHAnsi" w:cstheme="minorHAnsi"/>
        </w:rPr>
        <w:t xml:space="preserve"> </w:t>
      </w:r>
    </w:p>
    <w:p w14:paraId="60F8716E" w14:textId="54284FB6" w:rsidR="00C022A6" w:rsidRDefault="00620C43">
      <w:pPr>
        <w:pStyle w:val="P1-N1Paragraph1-Number1"/>
      </w:pPr>
      <w:r>
        <w:t>Third, China argues Australia failed to expressly or implicitly take account of the two factors listed in the final sentence of Article 2.1(c) of the SCM Agreement.</w:t>
      </w:r>
      <w:r>
        <w:rPr>
          <w:rStyle w:val="FootnoteReference"/>
        </w:rPr>
        <w:footnoteReference w:id="167"/>
      </w:r>
      <w:r>
        <w:t xml:space="preserve"> But the record shows that the ADC complied with the requirements of the final sentence of Article 2.1(c) of the SCM Agreement. </w:t>
      </w:r>
      <w:r w:rsidR="00330424">
        <w:t>T</w:t>
      </w:r>
      <w:r>
        <w:t xml:space="preserve">he ADC </w:t>
      </w:r>
      <w:proofErr w:type="gramStart"/>
      <w:r>
        <w:t>took into account</w:t>
      </w:r>
      <w:proofErr w:type="gramEnd"/>
      <w:r>
        <w:t xml:space="preserve"> both factors, and its consideration of both factors is indicated in Stainless Steel Sinks Investigation 238</w:t>
      </w:r>
      <w:r>
        <w:rPr>
          <w:i/>
          <w:iCs/>
        </w:rPr>
        <w:t xml:space="preserve"> </w:t>
      </w:r>
      <w:r>
        <w:t>Report.</w:t>
      </w:r>
      <w:r>
        <w:rPr>
          <w:rStyle w:val="FootnoteReference"/>
        </w:rPr>
        <w:footnoteReference w:id="168"/>
      </w:r>
    </w:p>
    <w:p w14:paraId="3624723C" w14:textId="56D7CB84" w:rsidR="00C022A6" w:rsidRDefault="00620C43">
      <w:pPr>
        <w:pStyle w:val="P1-N1Paragraph1-Number1"/>
      </w:pPr>
      <w:r>
        <w:t>Finally, China contends that the ADC failed to clearly substantiate its determination of specificity on the basis of positive evidence as required by Article 2.4.</w:t>
      </w:r>
      <w:r>
        <w:rPr>
          <w:rStyle w:val="FootnoteReference"/>
        </w:rPr>
        <w:footnoteReference w:id="169"/>
      </w:r>
      <w:r>
        <w:t xml:space="preserve"> But, China failed to raise a claim under Article 2.4 of the SCM Agreement in its panel request. Accordingly, China's claims with respect to Article 2.4 of the SCM Agreement fall outside the Panel's terms of reference and, in turn, the Panel should not make any findings or recommendations with respect to this claim.</w:t>
      </w:r>
      <w:r>
        <w:rPr>
          <w:rStyle w:val="FootnoteReference"/>
        </w:rPr>
        <w:footnoteReference w:id="170"/>
      </w:r>
    </w:p>
    <w:p w14:paraId="29F3AE4F" w14:textId="77777777" w:rsidR="00C022A6" w:rsidRDefault="00620C43" w:rsidP="00231DD0">
      <w:pPr>
        <w:pStyle w:val="HL2HeadingLevel2"/>
      </w:pPr>
      <w:bookmarkStart w:id="118" w:name="_Toc148711020"/>
      <w:r>
        <w:t>CVD claim 5</w:t>
      </w:r>
      <w:bookmarkEnd w:id="118"/>
    </w:p>
    <w:p w14:paraId="0472DB61" w14:textId="5B8DE3CD" w:rsidR="00C022A6" w:rsidRDefault="00620C43">
      <w:pPr>
        <w:pStyle w:val="P1-N1Paragraph1-Number1"/>
      </w:pPr>
      <w:r>
        <w:t>China makes two allegations under CVD claim 5.</w:t>
      </w:r>
    </w:p>
    <w:p w14:paraId="4556C113" w14:textId="6D16A8CE" w:rsidR="00C022A6" w:rsidRDefault="00620C43">
      <w:pPr>
        <w:pStyle w:val="P1-N1Paragraph1-Number1"/>
      </w:pPr>
      <w:r>
        <w:t>First, China alleges that the ADC did not have sufficient evidence that Program 1 was specific to initiate the investigation.</w:t>
      </w:r>
      <w:r>
        <w:rPr>
          <w:rStyle w:val="FootnoteReference"/>
        </w:rPr>
        <w:footnoteReference w:id="171"/>
      </w:r>
      <w:r>
        <w:t xml:space="preserve"> Contrary to China's submission, the </w:t>
      </w:r>
      <w:r w:rsidR="00330424">
        <w:t xml:space="preserve">record shows the </w:t>
      </w:r>
      <w:r>
        <w:lastRenderedPageBreak/>
        <w:t>application did contain information in relation to the nature of the alleged subsidy. The application provided evidence of the common recipients that used and benefited from a variation of Program 1 investigated by the Canada Border Services Agency.</w:t>
      </w:r>
      <w:r>
        <w:rPr>
          <w:rStyle w:val="FootnoteReference"/>
        </w:rPr>
        <w:footnoteReference w:id="172"/>
      </w:r>
    </w:p>
    <w:p w14:paraId="2C39CF85" w14:textId="7458FC49" w:rsidR="00C022A6" w:rsidRDefault="00620C43">
      <w:pPr>
        <w:pStyle w:val="P1-N1Paragraph1-Number1"/>
        <w:rPr>
          <w:rFonts w:asciiTheme="minorHAnsi" w:hAnsiTheme="minorHAnsi" w:cstheme="minorHAnsi"/>
        </w:rPr>
      </w:pPr>
      <w:r>
        <w:rPr>
          <w:rFonts w:asciiTheme="minorHAnsi" w:hAnsiTheme="minorHAnsi" w:cstheme="minorHAnsi"/>
        </w:rPr>
        <w:t xml:space="preserve">In addition, there was evidence and associated confidential documentation connected with two previous investigations into similar steel products that was not reasonably available to the </w:t>
      </w:r>
      <w:proofErr w:type="gramStart"/>
      <w:r>
        <w:rPr>
          <w:rFonts w:asciiTheme="minorHAnsi" w:hAnsiTheme="minorHAnsi" w:cstheme="minorHAnsi"/>
        </w:rPr>
        <w:t>applicant, but</w:t>
      </w:r>
      <w:proofErr w:type="gramEnd"/>
      <w:r>
        <w:rPr>
          <w:rFonts w:asciiTheme="minorHAnsi" w:hAnsiTheme="minorHAnsi" w:cstheme="minorHAnsi"/>
        </w:rPr>
        <w:t xml:space="preserve"> was available to the ADC.</w:t>
      </w:r>
      <w:r>
        <w:rPr>
          <w:rFonts w:asciiTheme="minorHAnsi" w:hAnsiTheme="minorHAnsi" w:cstheme="minorHAnsi"/>
          <w:vertAlign w:val="superscript"/>
        </w:rPr>
        <w:footnoteReference w:id="173"/>
      </w:r>
      <w:r>
        <w:rPr>
          <w:rFonts w:asciiTheme="minorHAnsi" w:hAnsiTheme="minorHAnsi" w:cstheme="minorHAnsi"/>
        </w:rPr>
        <w:t xml:space="preserve"> The ADC considered this evidence, along with the information provided by the applicant, and concluded that there was a sufficient basis to justify the initiation of an investigation under Article 11.3 of the SCM Agreement. Having regard to all of that evidence, as an objective and unbiased investigating authority, the ADC properly concluded that the evidence was sufficient to justify the initiation of an investigation under Article 11.3 of the SCM Agreement.</w:t>
      </w:r>
      <w:r>
        <w:rPr>
          <w:rStyle w:val="FootnoteReference"/>
          <w:rFonts w:asciiTheme="minorHAnsi" w:hAnsiTheme="minorHAnsi" w:cstheme="minorHAnsi"/>
        </w:rPr>
        <w:footnoteReference w:id="174"/>
      </w:r>
    </w:p>
    <w:p w14:paraId="40DADE15" w14:textId="4507D1BC" w:rsidR="00C022A6" w:rsidRPr="00117980" w:rsidRDefault="00620C43" w:rsidP="00117980">
      <w:pPr>
        <w:pStyle w:val="P1-N1Paragraph1-Number1"/>
        <w:rPr>
          <w:rFonts w:asciiTheme="minorHAnsi" w:hAnsiTheme="minorHAnsi" w:cstheme="minorHAnsi"/>
        </w:rPr>
      </w:pPr>
      <w:r>
        <w:t>Second, China claims that one piece of evidence relied on by the ADC to initiate the investigation was "out-of-date" and did not demonstrate that stainless steel sinks were being "presently" subsidised during the relevant period of review.</w:t>
      </w:r>
      <w:r>
        <w:rPr>
          <w:rStyle w:val="FootnoteReference"/>
        </w:rPr>
        <w:footnoteReference w:id="175"/>
      </w:r>
      <w:r>
        <w:t xml:space="preserve"> </w:t>
      </w:r>
      <w:r w:rsidR="00117980">
        <w:rPr>
          <w:rFonts w:asciiTheme="minorHAnsi" w:hAnsiTheme="minorHAnsi" w:cstheme="minorHAnsi"/>
        </w:rPr>
        <w:t xml:space="preserve">China’s argument is focused on a single piece of evidence relied </w:t>
      </w:r>
      <w:proofErr w:type="gramStart"/>
      <w:r w:rsidR="00117980">
        <w:rPr>
          <w:rFonts w:asciiTheme="minorHAnsi" w:hAnsiTheme="minorHAnsi" w:cstheme="minorHAnsi"/>
        </w:rPr>
        <w:t>upon, and</w:t>
      </w:r>
      <w:proofErr w:type="gramEnd"/>
      <w:r w:rsidR="00117980">
        <w:rPr>
          <w:rFonts w:asciiTheme="minorHAnsi" w:hAnsiTheme="minorHAnsi" w:cstheme="minorHAnsi"/>
        </w:rPr>
        <w:t xml:space="preserve"> ignores the surrounding context of all of the other evidence considered by the ADC that covered the period of investigation.</w:t>
      </w:r>
      <w:r w:rsidR="00117980">
        <w:rPr>
          <w:rFonts w:asciiTheme="minorHAnsi" w:hAnsiTheme="minorHAnsi" w:cstheme="minorHAnsi"/>
          <w:vertAlign w:val="superscript"/>
        </w:rPr>
        <w:footnoteReference w:id="176"/>
      </w:r>
    </w:p>
    <w:p w14:paraId="2786B162" w14:textId="2E9A4225" w:rsidR="00C022A6" w:rsidRDefault="00620C43">
      <w:pPr>
        <w:pStyle w:val="P1-N1Paragraph1-Number1"/>
        <w:rPr>
          <w:rFonts w:asciiTheme="minorHAnsi" w:hAnsiTheme="minorHAnsi" w:cstheme="minorHAnsi"/>
        </w:rPr>
      </w:pPr>
      <w:r>
        <w:rPr>
          <w:rFonts w:asciiTheme="minorHAnsi" w:hAnsiTheme="minorHAnsi" w:cstheme="minorHAnsi"/>
        </w:rPr>
        <w:t xml:space="preserve">The ADC acted consistently with the requirements of Article 11.1, 11.2 and 11.3 of the SCM Agreement. China's claims </w:t>
      </w:r>
      <w:r w:rsidR="0037291E">
        <w:rPr>
          <w:rFonts w:asciiTheme="minorHAnsi" w:hAnsiTheme="minorHAnsi" w:cstheme="minorHAnsi"/>
        </w:rPr>
        <w:t>should</w:t>
      </w:r>
      <w:r>
        <w:rPr>
          <w:rFonts w:asciiTheme="minorHAnsi" w:hAnsiTheme="minorHAnsi" w:cstheme="minorHAnsi"/>
        </w:rPr>
        <w:t xml:space="preserve"> fail.</w:t>
      </w:r>
    </w:p>
    <w:p w14:paraId="754FC9B3" w14:textId="77777777" w:rsidR="00C022A6" w:rsidRDefault="00620C43">
      <w:pPr>
        <w:pStyle w:val="HL1HeadingLevel1"/>
        <w:numPr>
          <w:ilvl w:val="0"/>
          <w:numId w:val="2"/>
        </w:numPr>
        <w:jc w:val="left"/>
      </w:pPr>
      <w:bookmarkStart w:id="119" w:name="_Toc148711021"/>
      <w:r>
        <w:t>Conclusion</w:t>
      </w:r>
      <w:bookmarkEnd w:id="119"/>
    </w:p>
    <w:bookmarkEnd w:id="5"/>
    <w:bookmarkEnd w:id="6"/>
    <w:bookmarkEnd w:id="7"/>
    <w:bookmarkEnd w:id="8"/>
    <w:bookmarkEnd w:id="9"/>
    <w:bookmarkEnd w:id="10"/>
    <w:bookmarkEnd w:id="11"/>
    <w:bookmarkEnd w:id="12"/>
    <w:bookmarkEnd w:id="13"/>
    <w:bookmarkEnd w:id="14"/>
    <w:bookmarkEnd w:id="15"/>
    <w:bookmarkEnd w:id="16"/>
    <w:bookmarkEnd w:id="17"/>
    <w:p w14:paraId="5B62072F" w14:textId="7AE9B56F" w:rsidR="00C022A6" w:rsidRDefault="00620C43" w:rsidP="00117980">
      <w:pPr>
        <w:pStyle w:val="P1-N1Paragraph1-Number1"/>
      </w:pPr>
      <w:r>
        <w:t xml:space="preserve">Australia requests that the Panel find that the entirety of China's claims with respect to the </w:t>
      </w:r>
      <w:proofErr w:type="gramStart"/>
      <w:r>
        <w:t>stainless steel</w:t>
      </w:r>
      <w:proofErr w:type="gramEnd"/>
      <w:r>
        <w:t xml:space="preserve"> sinks and wind towers cases are outside the Panel's terms of reference. In any event</w:t>
      </w:r>
      <w:r w:rsidR="003B785B">
        <w:t>,</w:t>
      </w:r>
      <w:r>
        <w:t xml:space="preserve"> as demonstrated in Australia's submissions and responses to questions from the Panel, the ADC's findings with respect to all three cases are consistent with Australia's obligations under the Anti-Dumping Agreement and the SCM Agreement.</w:t>
      </w:r>
    </w:p>
    <w:sectPr w:rsidR="00C022A6">
      <w:footerReference w:type="first" r:id="rId15"/>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9544" w14:textId="77777777" w:rsidR="00D245FA" w:rsidRDefault="00D245FA">
      <w:pPr>
        <w:spacing w:after="0" w:line="240" w:lineRule="auto"/>
      </w:pPr>
      <w:r>
        <w:separator/>
      </w:r>
    </w:p>
  </w:endnote>
  <w:endnote w:type="continuationSeparator" w:id="0">
    <w:p w14:paraId="5F0E4D71" w14:textId="77777777" w:rsidR="00D245FA" w:rsidRDefault="00D245FA">
      <w:pPr>
        <w:spacing w:after="0" w:line="240" w:lineRule="auto"/>
      </w:pPr>
      <w:r>
        <w:continuationSeparator/>
      </w:r>
    </w:p>
  </w:endnote>
  <w:endnote w:type="continuationNotice" w:id="1">
    <w:p w14:paraId="09BAA057" w14:textId="77777777" w:rsidR="00D245FA" w:rsidRDefault="00D245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ṏ"/>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E2E9" w14:textId="77777777" w:rsidR="00C022A6" w:rsidRDefault="00620C43">
    <w:pPr>
      <w:pStyle w:val="Footer"/>
    </w:pP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187694"/>
      <w:docPartObj>
        <w:docPartGallery w:val="Page Numbers (Bottom of Page)"/>
        <w:docPartUnique/>
      </w:docPartObj>
    </w:sdtPr>
    <w:sdtEndPr>
      <w:rPr>
        <w:noProof/>
      </w:rPr>
    </w:sdtEndPr>
    <w:sdtContent>
      <w:p w14:paraId="3F29D077" w14:textId="77777777" w:rsidR="00C022A6" w:rsidRDefault="00AA7599">
        <w:pPr>
          <w:pStyle w:val="Footer"/>
          <w:jc w:val="right"/>
        </w:pPr>
      </w:p>
    </w:sdtContent>
  </w:sdt>
  <w:p w14:paraId="422F2A64" w14:textId="77777777" w:rsidR="00C022A6" w:rsidRDefault="00C02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50496"/>
      <w:docPartObj>
        <w:docPartGallery w:val="Page Numbers (Bottom of Page)"/>
        <w:docPartUnique/>
      </w:docPartObj>
    </w:sdtPr>
    <w:sdtEndPr>
      <w:rPr>
        <w:noProof/>
      </w:rPr>
    </w:sdtEndPr>
    <w:sdtContent>
      <w:p w14:paraId="10E87CFF" w14:textId="77777777" w:rsidR="00086082" w:rsidRDefault="000860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100061" w14:textId="77777777" w:rsidR="00086082" w:rsidRDefault="00086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890329"/>
      <w:docPartObj>
        <w:docPartGallery w:val="Page Numbers (Bottom of Page)"/>
        <w:docPartUnique/>
      </w:docPartObj>
    </w:sdtPr>
    <w:sdtEndPr>
      <w:rPr>
        <w:noProof/>
      </w:rPr>
    </w:sdtEndPr>
    <w:sdtContent>
      <w:p w14:paraId="3301322F" w14:textId="77777777" w:rsidR="00C022A6" w:rsidRDefault="00620C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EF0EFD" w14:textId="77777777" w:rsidR="00C022A6" w:rsidRDefault="00C0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E8AC" w14:textId="77777777" w:rsidR="00D245FA" w:rsidRDefault="00D245FA">
      <w:pPr>
        <w:spacing w:after="0" w:line="240" w:lineRule="auto"/>
      </w:pPr>
      <w:r>
        <w:separator/>
      </w:r>
    </w:p>
  </w:footnote>
  <w:footnote w:type="continuationSeparator" w:id="0">
    <w:p w14:paraId="76810625" w14:textId="77777777" w:rsidR="00D245FA" w:rsidRDefault="00D245FA">
      <w:pPr>
        <w:spacing w:after="0" w:line="240" w:lineRule="auto"/>
      </w:pPr>
      <w:r>
        <w:continuationSeparator/>
      </w:r>
    </w:p>
  </w:footnote>
  <w:footnote w:type="continuationNotice" w:id="1">
    <w:p w14:paraId="757400F6" w14:textId="77777777" w:rsidR="00D245FA" w:rsidRDefault="00D245FA">
      <w:pPr>
        <w:spacing w:after="0" w:line="240" w:lineRule="auto"/>
      </w:pPr>
    </w:p>
  </w:footnote>
  <w:footnote w:id="2">
    <w:p w14:paraId="5A60791B" w14:textId="3313AC60" w:rsidR="00C022A6" w:rsidRDefault="00620C43">
      <w:pPr>
        <w:pStyle w:val="FootnoteText"/>
        <w:jc w:val="left"/>
        <w:rPr>
          <w:rFonts w:asciiTheme="minorHAnsi" w:hAnsiTheme="minorHAnsi" w:cstheme="minorHAnsi"/>
          <w:szCs w:val="18"/>
        </w:rPr>
      </w:pPr>
      <w:r>
        <w:rPr>
          <w:rStyle w:val="FootnoteReference"/>
          <w:rFonts w:asciiTheme="minorHAnsi" w:hAnsiTheme="minorHAnsi" w:cstheme="minorHAnsi"/>
          <w:szCs w:val="18"/>
        </w:rPr>
        <w:footnoteRef/>
      </w:r>
      <w:r>
        <w:rPr>
          <w:rFonts w:asciiTheme="minorHAnsi" w:hAnsiTheme="minorHAnsi" w:cstheme="minorHAnsi"/>
          <w:szCs w:val="18"/>
        </w:rPr>
        <w:t xml:space="preserve"> </w:t>
      </w:r>
      <w:r w:rsidR="00F45CFB">
        <w:rPr>
          <w:rFonts w:asciiTheme="minorHAnsi" w:hAnsiTheme="minorHAnsi" w:cstheme="minorHAnsi"/>
          <w:szCs w:val="18"/>
        </w:rPr>
        <w:t>Australia's first written submission, para. 9</w:t>
      </w:r>
      <w:r w:rsidR="00153CBD">
        <w:rPr>
          <w:rFonts w:asciiTheme="minorHAnsi" w:hAnsiTheme="minorHAnsi" w:cstheme="minorHAnsi"/>
          <w:szCs w:val="18"/>
        </w:rPr>
        <w:t xml:space="preserve"> citing</w:t>
      </w:r>
      <w:r w:rsidR="00F45CFB">
        <w:rPr>
          <w:rFonts w:asciiTheme="minorHAnsi" w:hAnsiTheme="minorHAnsi" w:cstheme="minorHAnsi"/>
          <w:szCs w:val="18"/>
        </w:rPr>
        <w:t xml:space="preserve"> </w:t>
      </w:r>
      <w:r>
        <w:rPr>
          <w:rFonts w:asciiTheme="minorHAnsi" w:hAnsiTheme="minorHAnsi" w:cstheme="minorHAnsi"/>
          <w:szCs w:val="18"/>
        </w:rPr>
        <w:t>Appellate Body Report</w:t>
      </w:r>
      <w:r w:rsidR="00B54BAE">
        <w:rPr>
          <w:rFonts w:asciiTheme="minorHAnsi" w:hAnsiTheme="minorHAnsi" w:cstheme="minorHAnsi"/>
          <w:szCs w:val="18"/>
        </w:rPr>
        <w:t>s</w:t>
      </w:r>
      <w:r>
        <w:rPr>
          <w:rFonts w:asciiTheme="minorHAnsi" w:hAnsiTheme="minorHAnsi" w:cstheme="minorHAnsi"/>
          <w:szCs w:val="18"/>
        </w:rPr>
        <w:t xml:space="preserve">, </w:t>
      </w:r>
      <w:r>
        <w:rPr>
          <w:rFonts w:asciiTheme="minorHAnsi" w:hAnsiTheme="minorHAnsi" w:cstheme="minorHAnsi"/>
          <w:i/>
          <w:iCs/>
          <w:szCs w:val="18"/>
        </w:rPr>
        <w:t xml:space="preserve">US – Carbon Steel, </w:t>
      </w:r>
      <w:r>
        <w:rPr>
          <w:rFonts w:asciiTheme="minorHAnsi" w:hAnsiTheme="minorHAnsi" w:cstheme="minorHAnsi"/>
          <w:szCs w:val="18"/>
        </w:rPr>
        <w:t xml:space="preserve">para. 157; </w:t>
      </w:r>
      <w:r>
        <w:rPr>
          <w:rFonts w:asciiTheme="minorHAnsi" w:hAnsiTheme="minorHAnsi" w:cstheme="minorHAnsi"/>
          <w:i/>
          <w:iCs/>
          <w:szCs w:val="18"/>
        </w:rPr>
        <w:t xml:space="preserve">EC – Tariff Preferences, </w:t>
      </w:r>
      <w:r>
        <w:rPr>
          <w:rFonts w:asciiTheme="minorHAnsi" w:hAnsiTheme="minorHAnsi" w:cstheme="minorHAnsi"/>
          <w:szCs w:val="18"/>
        </w:rPr>
        <w:t>para. 105</w:t>
      </w:r>
      <w:r w:rsidR="00153CBD">
        <w:rPr>
          <w:rFonts w:asciiTheme="minorHAnsi" w:hAnsiTheme="minorHAnsi" w:cstheme="minorHAnsi"/>
          <w:szCs w:val="18"/>
        </w:rPr>
        <w:t>; Australia’s first written submission, para. 10</w:t>
      </w:r>
      <w:r>
        <w:rPr>
          <w:rFonts w:asciiTheme="minorHAnsi" w:hAnsiTheme="minorHAnsi" w:cstheme="minorHAnsi"/>
          <w:szCs w:val="18"/>
        </w:rPr>
        <w:t>.</w:t>
      </w:r>
    </w:p>
  </w:footnote>
  <w:footnote w:id="3">
    <w:p w14:paraId="4212DE8B" w14:textId="73B0B7D0" w:rsidR="00C022A6" w:rsidRDefault="00620C43">
      <w:pPr>
        <w:pStyle w:val="FootnoteText"/>
        <w:jc w:val="left"/>
        <w:rPr>
          <w:rFonts w:asciiTheme="minorHAnsi" w:hAnsiTheme="minorHAnsi" w:cstheme="minorHAnsi"/>
          <w:i/>
          <w:iCs/>
          <w:szCs w:val="18"/>
        </w:rPr>
      </w:pPr>
      <w:r>
        <w:rPr>
          <w:rStyle w:val="FootnoteReference"/>
          <w:rFonts w:asciiTheme="minorHAnsi" w:hAnsiTheme="minorHAnsi" w:cstheme="minorHAnsi"/>
          <w:szCs w:val="18"/>
        </w:rPr>
        <w:footnoteRef/>
      </w:r>
      <w:r>
        <w:rPr>
          <w:rFonts w:asciiTheme="minorHAnsi" w:hAnsiTheme="minorHAnsi" w:cstheme="minorHAnsi"/>
          <w:szCs w:val="18"/>
        </w:rPr>
        <w:t xml:space="preserve"> </w:t>
      </w:r>
      <w:r w:rsidR="00F30348">
        <w:rPr>
          <w:rFonts w:asciiTheme="minorHAnsi" w:hAnsiTheme="minorHAnsi" w:cstheme="minorHAnsi"/>
          <w:szCs w:val="18"/>
        </w:rPr>
        <w:t xml:space="preserve">Australia's first written submission, para. 9. </w:t>
      </w:r>
      <w:r>
        <w:rPr>
          <w:rFonts w:asciiTheme="minorHAnsi" w:hAnsiTheme="minorHAnsi" w:cstheme="minorHAnsi"/>
          <w:szCs w:val="18"/>
        </w:rPr>
        <w:t xml:space="preserve">Appellate Body Report, </w:t>
      </w:r>
      <w:r>
        <w:rPr>
          <w:rFonts w:asciiTheme="minorHAnsi" w:hAnsiTheme="minorHAnsi" w:cstheme="minorHAnsi"/>
          <w:i/>
          <w:iCs/>
          <w:szCs w:val="18"/>
        </w:rPr>
        <w:t>US – Gambling</w:t>
      </w:r>
      <w:r>
        <w:rPr>
          <w:rFonts w:asciiTheme="minorHAnsi" w:hAnsiTheme="minorHAnsi" w:cstheme="minorHAnsi"/>
          <w:szCs w:val="18"/>
        </w:rPr>
        <w:t xml:space="preserve">, para. 140. See also Appellate Body Report, </w:t>
      </w:r>
      <w:r>
        <w:rPr>
          <w:rFonts w:asciiTheme="minorHAnsi" w:hAnsiTheme="minorHAnsi" w:cstheme="minorHAnsi"/>
          <w:i/>
          <w:iCs/>
          <w:szCs w:val="18"/>
        </w:rPr>
        <w:t xml:space="preserve">US – Zeroing (EC), </w:t>
      </w:r>
      <w:r>
        <w:rPr>
          <w:rFonts w:asciiTheme="minorHAnsi" w:hAnsiTheme="minorHAnsi" w:cstheme="minorHAnsi"/>
          <w:szCs w:val="18"/>
        </w:rPr>
        <w:t>para. 217.</w:t>
      </w:r>
    </w:p>
  </w:footnote>
  <w:footnote w:id="4">
    <w:p w14:paraId="68F05D40" w14:textId="6DE2E71B" w:rsidR="00C022A6" w:rsidRDefault="00620C43">
      <w:pPr>
        <w:pStyle w:val="FootnoteText"/>
        <w:jc w:val="left"/>
        <w:rPr>
          <w:rFonts w:asciiTheme="minorHAnsi" w:hAnsiTheme="minorHAnsi" w:cstheme="minorHAnsi"/>
          <w:szCs w:val="18"/>
        </w:rPr>
      </w:pPr>
      <w:r>
        <w:rPr>
          <w:rStyle w:val="FootnoteReference"/>
          <w:rFonts w:asciiTheme="minorHAnsi" w:hAnsiTheme="minorHAnsi" w:cstheme="minorHAnsi"/>
          <w:szCs w:val="18"/>
        </w:rPr>
        <w:footnoteRef/>
      </w:r>
      <w:r>
        <w:rPr>
          <w:rFonts w:asciiTheme="minorHAnsi" w:hAnsiTheme="minorHAnsi" w:cstheme="minorHAnsi"/>
          <w:szCs w:val="18"/>
        </w:rPr>
        <w:t xml:space="preserve"> </w:t>
      </w:r>
      <w:r w:rsidR="00F30348">
        <w:rPr>
          <w:rFonts w:asciiTheme="minorHAnsi" w:hAnsiTheme="minorHAnsi" w:cstheme="minorHAnsi"/>
          <w:szCs w:val="18"/>
        </w:rPr>
        <w:t xml:space="preserve">Australia's first written submission, paras. 9 – 10; Australia's responses to Panel question no. 107, para. 236. </w:t>
      </w:r>
      <w:r>
        <w:rPr>
          <w:rFonts w:asciiTheme="minorHAnsi" w:hAnsiTheme="minorHAnsi" w:cstheme="minorHAnsi"/>
          <w:szCs w:val="18"/>
        </w:rPr>
        <w:t xml:space="preserve">Appellate Body Report, </w:t>
      </w:r>
      <w:r>
        <w:rPr>
          <w:rFonts w:asciiTheme="minorHAnsi" w:hAnsiTheme="minorHAnsi" w:cstheme="minorHAnsi"/>
          <w:i/>
          <w:szCs w:val="18"/>
        </w:rPr>
        <w:t>Canada – Dairy (Article 21.5 – New Zealand and US II)</w:t>
      </w:r>
      <w:r>
        <w:rPr>
          <w:rFonts w:asciiTheme="minorHAnsi" w:hAnsiTheme="minorHAnsi" w:cstheme="minorHAnsi"/>
          <w:szCs w:val="18"/>
        </w:rPr>
        <w:t xml:space="preserve">, para. 66 (emphasis original). See also Appellate Body Report, </w:t>
      </w:r>
      <w:r>
        <w:rPr>
          <w:rFonts w:asciiTheme="minorHAnsi" w:hAnsiTheme="minorHAnsi" w:cstheme="minorHAnsi"/>
          <w:i/>
          <w:iCs/>
          <w:szCs w:val="18"/>
        </w:rPr>
        <w:t xml:space="preserve">US – Carbon Steel, </w:t>
      </w:r>
      <w:r>
        <w:rPr>
          <w:rFonts w:asciiTheme="minorHAnsi" w:hAnsiTheme="minorHAnsi" w:cstheme="minorHAnsi"/>
          <w:szCs w:val="18"/>
        </w:rPr>
        <w:t xml:space="preserve">para. 157. </w:t>
      </w:r>
    </w:p>
  </w:footnote>
  <w:footnote w:id="5">
    <w:p w14:paraId="62B58A75" w14:textId="77777777" w:rsidR="00F80E3E" w:rsidRDefault="00F80E3E" w:rsidP="00F80E3E">
      <w:pPr>
        <w:pStyle w:val="FootnoteText"/>
      </w:pPr>
      <w:r>
        <w:rPr>
          <w:rStyle w:val="FootnoteReference"/>
        </w:rPr>
        <w:footnoteRef/>
      </w:r>
      <w:r>
        <w:t xml:space="preserve"> </w:t>
      </w:r>
      <w:r>
        <w:rPr>
          <w:rFonts w:eastAsia="Times New Roman"/>
        </w:rPr>
        <w:t>Australia’s first written submission, para.10.</w:t>
      </w:r>
    </w:p>
  </w:footnote>
  <w:footnote w:id="6">
    <w:p w14:paraId="698D9FEA" w14:textId="77777777" w:rsidR="00F80E3E" w:rsidRDefault="00F80E3E" w:rsidP="00F80E3E">
      <w:pPr>
        <w:pStyle w:val="FootnoteText"/>
      </w:pPr>
      <w:r>
        <w:rPr>
          <w:rStyle w:val="FootnoteReference"/>
        </w:rPr>
        <w:footnoteRef/>
      </w:r>
      <w:r>
        <w:t xml:space="preserve"> Australia’s first written submission, </w:t>
      </w:r>
      <w:r>
        <w:rPr>
          <w:rFonts w:eastAsia="Times New Roman"/>
        </w:rPr>
        <w:t>para 10.</w:t>
      </w:r>
    </w:p>
  </w:footnote>
  <w:footnote w:id="7">
    <w:p w14:paraId="68364986" w14:textId="77777777" w:rsidR="00C022A6" w:rsidRDefault="00620C43">
      <w:pPr>
        <w:pStyle w:val="FootnoteText"/>
      </w:pPr>
      <w:r>
        <w:rPr>
          <w:rStyle w:val="FootnoteReference"/>
        </w:rPr>
        <w:footnoteRef/>
      </w:r>
      <w:r>
        <w:t xml:space="preserve"> See, e.g., Australia's comments on China's response to Panel question no. 95, paras. 87-96.</w:t>
      </w:r>
    </w:p>
  </w:footnote>
  <w:footnote w:id="8">
    <w:p w14:paraId="05AF7B64" w14:textId="77777777" w:rsidR="00C022A6" w:rsidRDefault="00620C43">
      <w:pPr>
        <w:pStyle w:val="FootnoteText"/>
      </w:pPr>
      <w:r>
        <w:rPr>
          <w:rStyle w:val="FootnoteReference"/>
        </w:rPr>
        <w:footnoteRef/>
      </w:r>
      <w:r>
        <w:t xml:space="preserve"> See, e.g., Australia's comments on China's response to Panel question no. 95, paras. 87-96. China has </w:t>
      </w:r>
      <w:r>
        <w:rPr>
          <w:rFonts w:asciiTheme="minorHAnsi" w:hAnsiTheme="minorHAnsi" w:cstheme="minorHAnsi"/>
        </w:rPr>
        <w:t xml:space="preserve">failed to make a </w:t>
      </w:r>
      <w:r>
        <w:rPr>
          <w:rFonts w:asciiTheme="minorHAnsi" w:hAnsiTheme="minorHAnsi" w:cstheme="minorHAnsi"/>
          <w:i/>
          <w:iCs/>
        </w:rPr>
        <w:t>prima facie</w:t>
      </w:r>
      <w:r>
        <w:rPr>
          <w:rFonts w:asciiTheme="minorHAnsi" w:hAnsiTheme="minorHAnsi" w:cstheme="minorHAnsi"/>
        </w:rPr>
        <w:t xml:space="preserve"> case with respect to a number of claims directed at the interim and expiry reviews by failing present any argument or evidence as to how that claim applies to the interim or expiry review, independent from the original investigation. See </w:t>
      </w:r>
      <w:r>
        <w:t>Australia's comments on China's response to Panel question no. 95, para. 87.</w:t>
      </w:r>
    </w:p>
  </w:footnote>
  <w:footnote w:id="9">
    <w:p w14:paraId="381D5969" w14:textId="77777777" w:rsidR="00C022A6" w:rsidRDefault="00620C43">
      <w:pPr>
        <w:pStyle w:val="FootnoteText"/>
        <w:rPr>
          <w:rFonts w:asciiTheme="minorHAnsi" w:hAnsiTheme="minorHAnsi" w:cstheme="minorHAnsi"/>
          <w:szCs w:val="18"/>
        </w:rPr>
      </w:pPr>
      <w:r>
        <w:rPr>
          <w:rStyle w:val="FootnoteReference"/>
          <w:rFonts w:asciiTheme="minorHAnsi" w:hAnsiTheme="minorHAnsi" w:cstheme="minorHAnsi"/>
          <w:szCs w:val="18"/>
        </w:rPr>
        <w:footnoteRef/>
      </w:r>
      <w:r>
        <w:rPr>
          <w:rFonts w:asciiTheme="minorHAnsi" w:hAnsiTheme="minorHAnsi" w:cstheme="minorHAnsi"/>
          <w:szCs w:val="18"/>
        </w:rPr>
        <w:t xml:space="preserve"> </w:t>
      </w:r>
      <w:r>
        <w:t xml:space="preserve">See, e.g., Australia's first written submission, para. 12; Australia's second written submission, paras. 8-9. </w:t>
      </w:r>
      <w:r>
        <w:rPr>
          <w:rFonts w:asciiTheme="minorHAnsi" w:hAnsiTheme="minorHAnsi" w:cstheme="minorHAnsi"/>
          <w:szCs w:val="18"/>
        </w:rPr>
        <w:t xml:space="preserve">Panel Report, </w:t>
      </w:r>
      <w:r>
        <w:rPr>
          <w:rFonts w:asciiTheme="minorHAnsi" w:hAnsiTheme="minorHAnsi" w:cstheme="minorHAnsi"/>
          <w:i/>
          <w:iCs/>
          <w:szCs w:val="18"/>
        </w:rPr>
        <w:t xml:space="preserve">US – Softwood Lumber VI, </w:t>
      </w:r>
      <w:r>
        <w:rPr>
          <w:rFonts w:asciiTheme="minorHAnsi" w:hAnsiTheme="minorHAnsi" w:cstheme="minorHAnsi"/>
          <w:szCs w:val="18"/>
        </w:rPr>
        <w:t xml:space="preserve">para. 7.15. The standard of review under Article 11 of the DSU is understood in light of the obligations of the particular covered agreement to derive a more specific standard of review. In this way the standard of review under Article 11 moulds to the relevant covered agreement. See Appellate Body Report, </w:t>
      </w:r>
      <w:r>
        <w:rPr>
          <w:rFonts w:asciiTheme="minorHAnsi" w:hAnsiTheme="minorHAnsi" w:cstheme="minorHAnsi"/>
          <w:i/>
          <w:iCs/>
          <w:szCs w:val="18"/>
        </w:rPr>
        <w:t>US – Countervailing Duty Investigation on DRAMS</w:t>
      </w:r>
      <w:r>
        <w:rPr>
          <w:rFonts w:asciiTheme="minorHAnsi" w:hAnsiTheme="minorHAnsi" w:cstheme="minorHAnsi"/>
          <w:szCs w:val="18"/>
        </w:rPr>
        <w:t xml:space="preserve">, para. 184 (referring to Appellate Body Reports, </w:t>
      </w:r>
      <w:r>
        <w:rPr>
          <w:rFonts w:asciiTheme="minorHAnsi" w:hAnsiTheme="minorHAnsi" w:cstheme="minorHAnsi"/>
          <w:i/>
          <w:iCs/>
          <w:szCs w:val="18"/>
        </w:rPr>
        <w:t>US – Lamb</w:t>
      </w:r>
      <w:r>
        <w:rPr>
          <w:rFonts w:asciiTheme="minorHAnsi" w:hAnsiTheme="minorHAnsi" w:cstheme="minorHAnsi"/>
          <w:szCs w:val="18"/>
        </w:rPr>
        <w:t xml:space="preserve">, para. 105 and </w:t>
      </w:r>
      <w:r>
        <w:rPr>
          <w:rFonts w:asciiTheme="minorHAnsi" w:hAnsiTheme="minorHAnsi" w:cstheme="minorHAnsi"/>
          <w:i/>
          <w:iCs/>
          <w:szCs w:val="18"/>
        </w:rPr>
        <w:t>US – Cotton Yarn</w:t>
      </w:r>
      <w:r>
        <w:rPr>
          <w:rFonts w:asciiTheme="minorHAnsi" w:hAnsiTheme="minorHAnsi" w:cstheme="minorHAnsi"/>
          <w:szCs w:val="18"/>
        </w:rPr>
        <w:t xml:space="preserve">, paras. 75-78). For Article 17.6(i), the Appellate Body has recognised the parallels with the Panel's role under Article 11 of the DSU. See Appellate Body Report, </w:t>
      </w:r>
      <w:r>
        <w:rPr>
          <w:rFonts w:asciiTheme="minorHAnsi" w:hAnsiTheme="minorHAnsi" w:cstheme="minorHAnsi"/>
          <w:i/>
          <w:iCs/>
          <w:szCs w:val="18"/>
        </w:rPr>
        <w:t xml:space="preserve">US - Hot-Rolled Steel, </w:t>
      </w:r>
      <w:r>
        <w:rPr>
          <w:rFonts w:asciiTheme="minorHAnsi" w:hAnsiTheme="minorHAnsi" w:cstheme="minorHAnsi"/>
          <w:szCs w:val="18"/>
        </w:rPr>
        <w:t>para. 55. While Article 11 of the DSU provides the standard of review for claims under the SCM Agreement, this standard also corresponds with claims under the Anti-Dumping Agreement.</w:t>
      </w:r>
    </w:p>
  </w:footnote>
  <w:footnote w:id="10">
    <w:p w14:paraId="63CB4AB7" w14:textId="77777777" w:rsidR="00270ADE" w:rsidRDefault="00620C43">
      <w:pPr>
        <w:pStyle w:val="FootnoteText"/>
        <w:rPr>
          <w:rFonts w:asciiTheme="minorHAnsi" w:hAnsiTheme="minorHAnsi" w:cstheme="minorHAnsi"/>
          <w:szCs w:val="18"/>
        </w:rPr>
      </w:pPr>
      <w:r>
        <w:rPr>
          <w:rStyle w:val="FootnoteReference"/>
          <w:rFonts w:asciiTheme="minorHAnsi" w:hAnsiTheme="minorHAnsi" w:cstheme="minorHAnsi"/>
          <w:szCs w:val="18"/>
        </w:rPr>
        <w:footnoteRef/>
      </w:r>
      <w:r>
        <w:rPr>
          <w:rFonts w:asciiTheme="minorHAnsi" w:hAnsiTheme="minorHAnsi" w:cstheme="minorHAnsi"/>
          <w:szCs w:val="18"/>
        </w:rPr>
        <w:t xml:space="preserve"> </w:t>
      </w:r>
      <w:r w:rsidR="00F30348">
        <w:rPr>
          <w:rFonts w:asciiTheme="minorHAnsi" w:hAnsiTheme="minorHAnsi" w:cstheme="minorHAnsi"/>
          <w:szCs w:val="18"/>
        </w:rPr>
        <w:t>Australia's first written submission, fn. 11</w:t>
      </w:r>
      <w:r w:rsidR="00ED72D3">
        <w:rPr>
          <w:rFonts w:asciiTheme="minorHAnsi" w:hAnsiTheme="minorHAnsi" w:cstheme="minorHAnsi"/>
          <w:szCs w:val="18"/>
        </w:rPr>
        <w:t>:</w:t>
      </w:r>
    </w:p>
    <w:p w14:paraId="51C64A7D" w14:textId="46F28D62" w:rsidR="00C022A6" w:rsidRDefault="00620C43" w:rsidP="00270ADE">
      <w:pPr>
        <w:pStyle w:val="FootnoteText"/>
        <w:ind w:left="720"/>
        <w:rPr>
          <w:rFonts w:asciiTheme="minorHAnsi" w:hAnsiTheme="minorHAnsi" w:cstheme="minorHAnsi"/>
          <w:szCs w:val="18"/>
        </w:rPr>
      </w:pPr>
      <w:r>
        <w:rPr>
          <w:rFonts w:asciiTheme="minorHAnsi" w:hAnsiTheme="minorHAnsi" w:cstheme="minorHAnsi"/>
          <w:szCs w:val="18"/>
        </w:rPr>
        <w:t xml:space="preserve">In considering their standard of review, the arbitrators </w:t>
      </w:r>
      <w:r w:rsidRPr="00094826">
        <w:rPr>
          <w:rFonts w:asciiTheme="minorHAnsi" w:hAnsiTheme="minorHAnsi" w:cstheme="minorHAnsi"/>
          <w:szCs w:val="18"/>
        </w:rPr>
        <w:t xml:space="preserve">in </w:t>
      </w:r>
      <w:r w:rsidRPr="00094826">
        <w:rPr>
          <w:rFonts w:asciiTheme="minorHAnsi" w:hAnsiTheme="minorHAnsi" w:cstheme="minorHAnsi"/>
          <w:i/>
          <w:iCs/>
          <w:szCs w:val="18"/>
        </w:rPr>
        <w:t>Colombia – Frozen Fries</w:t>
      </w:r>
      <w:r>
        <w:rPr>
          <w:rFonts w:asciiTheme="minorHAnsi" w:hAnsiTheme="minorHAnsi" w:cstheme="minorHAnsi"/>
          <w:i/>
          <w:iCs/>
          <w:szCs w:val="18"/>
        </w:rPr>
        <w:t xml:space="preserve"> </w:t>
      </w:r>
      <w:r>
        <w:rPr>
          <w:rFonts w:asciiTheme="minorHAnsi" w:hAnsiTheme="minorHAnsi" w:cstheme="minorHAnsi"/>
          <w:szCs w:val="18"/>
        </w:rPr>
        <w:t>found that</w:t>
      </w:r>
      <w:r w:rsidR="00270ADE">
        <w:rPr>
          <w:rFonts w:asciiTheme="minorHAnsi" w:hAnsiTheme="minorHAnsi" w:cstheme="minorHAnsi"/>
          <w:szCs w:val="18"/>
        </w:rPr>
        <w:t>, "</w:t>
      </w:r>
      <w:r>
        <w:rPr>
          <w:rFonts w:asciiTheme="minorHAnsi" w:hAnsiTheme="minorHAnsi" w:cstheme="minorHAnsi"/>
          <w:szCs w:val="18"/>
        </w:rPr>
        <w:t>… different treaty interpreters applying the same tools of the Vienna Convention may, in good faith and with solid arguments in support, reach different conclusions on the "correct" interpretation of a treaty provision. This may be particularly true for the Anti-Dumping Agreement, which was drafted with the understanding that investigating authorities employ different methodologies and approaches. Treaty interpretation is not an exact science and applying the Vienna Convention's method does not magically and inevitably lead to a single result. In most cases, treaty interpretation involves weighing, balancing, and choice</w:t>
      </w:r>
      <w:r w:rsidR="00270ADE">
        <w:rPr>
          <w:rFonts w:asciiTheme="minorHAnsi" w:hAnsiTheme="minorHAnsi" w:cstheme="minorHAnsi"/>
          <w:szCs w:val="18"/>
        </w:rPr>
        <w:t>"</w:t>
      </w:r>
      <w:r>
        <w:rPr>
          <w:rFonts w:asciiTheme="minorHAnsi" w:hAnsiTheme="minorHAnsi" w:cstheme="minorHAnsi"/>
          <w:szCs w:val="18"/>
        </w:rPr>
        <w:t xml:space="preserve"> (fns. omitted). [Award of the Arbitrator, </w:t>
      </w:r>
      <w:r>
        <w:rPr>
          <w:rFonts w:asciiTheme="minorHAnsi" w:hAnsiTheme="minorHAnsi" w:cstheme="minorHAnsi"/>
          <w:i/>
          <w:iCs/>
          <w:szCs w:val="18"/>
        </w:rPr>
        <w:t xml:space="preserve">Colombia – Frozen Fries, </w:t>
      </w:r>
      <w:r>
        <w:rPr>
          <w:rFonts w:asciiTheme="minorHAnsi" w:hAnsiTheme="minorHAnsi" w:cstheme="minorHAnsi"/>
          <w:szCs w:val="18"/>
        </w:rPr>
        <w:t>para. 4.14].</w:t>
      </w:r>
    </w:p>
  </w:footnote>
  <w:footnote w:id="11">
    <w:p w14:paraId="3F247706" w14:textId="77777777" w:rsidR="00C022A6" w:rsidRDefault="00620C43">
      <w:pPr>
        <w:pStyle w:val="FootnoteText"/>
        <w:rPr>
          <w:lang w:val="en-US"/>
        </w:rPr>
      </w:pPr>
      <w:r>
        <w:rPr>
          <w:rStyle w:val="FootnoteReference"/>
        </w:rPr>
        <w:footnoteRef/>
      </w:r>
      <w:r>
        <w:t xml:space="preserve"> </w:t>
      </w:r>
      <w:r>
        <w:rPr>
          <w:lang w:val="en-US"/>
        </w:rPr>
        <w:t>China's panel request, section B.2.</w:t>
      </w:r>
    </w:p>
  </w:footnote>
  <w:footnote w:id="12">
    <w:p w14:paraId="4F5FAE66" w14:textId="62D3F925" w:rsidR="00F876C4" w:rsidRDefault="00F876C4">
      <w:pPr>
        <w:pStyle w:val="FootnoteText"/>
      </w:pPr>
      <w:r>
        <w:rPr>
          <w:rStyle w:val="FootnoteReference"/>
        </w:rPr>
        <w:footnoteRef/>
      </w:r>
      <w:r>
        <w:t xml:space="preserve"> </w:t>
      </w:r>
      <w:r w:rsidR="00153CBD">
        <w:t>PRR paras. 13, 23 and 25</w:t>
      </w:r>
      <w:r w:rsidR="007A4B05">
        <w:t>; Australia’s second written submission, para. 25</w:t>
      </w:r>
      <w:r w:rsidR="00153CBD">
        <w:t>.</w:t>
      </w:r>
    </w:p>
  </w:footnote>
  <w:footnote w:id="13">
    <w:p w14:paraId="74F7044F" w14:textId="441B563A" w:rsidR="00C022A6" w:rsidRPr="009A4FA7" w:rsidRDefault="00620C43">
      <w:pPr>
        <w:pStyle w:val="FootnoteText"/>
        <w:rPr>
          <w:lang w:val="en-US"/>
        </w:rPr>
      </w:pPr>
      <w:r w:rsidRPr="009A4FA7">
        <w:rPr>
          <w:rStyle w:val="FootnoteReference"/>
        </w:rPr>
        <w:footnoteRef/>
      </w:r>
      <w:r w:rsidRPr="009A4FA7">
        <w:t xml:space="preserve"> </w:t>
      </w:r>
      <w:r w:rsidR="00094826" w:rsidRPr="009A4FA7">
        <w:t xml:space="preserve">Australia's first written submission, paras. 64-73. </w:t>
      </w:r>
      <w:r w:rsidRPr="009A4FA7">
        <w:rPr>
          <w:lang w:val="en-US"/>
        </w:rPr>
        <w:t xml:space="preserve">Appellate Body Report, </w:t>
      </w:r>
      <w:r w:rsidRPr="009A4FA7">
        <w:rPr>
          <w:i/>
          <w:iCs/>
          <w:lang w:val="en-US"/>
        </w:rPr>
        <w:t>EC – Chicken Cuts</w:t>
      </w:r>
      <w:r w:rsidRPr="009A4FA7">
        <w:rPr>
          <w:lang w:val="en-US"/>
        </w:rPr>
        <w:t>, para. 156</w:t>
      </w:r>
      <w:r w:rsidR="009A4FA7" w:rsidRPr="009A4FA7">
        <w:rPr>
          <w:lang w:val="en-US"/>
        </w:rPr>
        <w:t>:</w:t>
      </w:r>
      <w:r w:rsidRPr="009A4FA7">
        <w:rPr>
          <w:lang w:val="en-US"/>
        </w:rPr>
        <w:t xml:space="preserve"> </w:t>
      </w:r>
      <w:r w:rsidR="009A4FA7" w:rsidRPr="009A4FA7">
        <w:rPr>
          <w:lang w:val="en-US"/>
        </w:rPr>
        <w:t>"</w:t>
      </w:r>
      <w:r w:rsidR="009A4FA7" w:rsidRPr="009A4FA7">
        <w:t>[t]</w:t>
      </w:r>
      <w:r w:rsidR="00BB5829" w:rsidRPr="009A4FA7">
        <w:t>he term "specific measures at issue in Article 6.2 suggests that as a general rule, the measures included in a panel's terms of reference must be measures that are in existence at the time of the establishment of the panel"</w:t>
      </w:r>
      <w:r w:rsidR="00094826" w:rsidRPr="009A4FA7">
        <w:t>.</w:t>
      </w:r>
    </w:p>
  </w:footnote>
  <w:footnote w:id="14">
    <w:p w14:paraId="436D3074" w14:textId="0EE0BB18" w:rsidR="00C022A6" w:rsidRDefault="00620C43">
      <w:pPr>
        <w:pStyle w:val="FootnoteText"/>
        <w:rPr>
          <w:rFonts w:asciiTheme="minorHAnsi" w:hAnsiTheme="minorHAnsi" w:cstheme="minorHAnsi"/>
        </w:rPr>
      </w:pPr>
      <w:r w:rsidRPr="009A4FA7">
        <w:rPr>
          <w:rStyle w:val="FootnoteReference"/>
          <w:rFonts w:asciiTheme="minorHAnsi" w:hAnsiTheme="minorHAnsi" w:cstheme="minorHAnsi"/>
        </w:rPr>
        <w:footnoteRef/>
      </w:r>
      <w:r w:rsidRPr="009A4FA7">
        <w:rPr>
          <w:rFonts w:asciiTheme="minorHAnsi" w:hAnsiTheme="minorHAnsi" w:cstheme="minorHAnsi"/>
        </w:rPr>
        <w:t xml:space="preserve"> PRR, paras. 4-12</w:t>
      </w:r>
      <w:r w:rsidR="00094826" w:rsidRPr="009A4FA7">
        <w:rPr>
          <w:rFonts w:asciiTheme="minorHAnsi" w:hAnsiTheme="minorHAnsi" w:cstheme="minorHAnsi"/>
        </w:rPr>
        <w:t>;</w:t>
      </w:r>
      <w:r w:rsidRPr="009A4FA7">
        <w:rPr>
          <w:rFonts w:asciiTheme="minorHAnsi" w:hAnsiTheme="minorHAnsi" w:cstheme="minorHAnsi"/>
        </w:rPr>
        <w:t xml:space="preserve"> Australia's second written submission, paras. 68-72.</w:t>
      </w:r>
    </w:p>
  </w:footnote>
  <w:footnote w:id="15">
    <w:p w14:paraId="4EE89F64" w14:textId="5550008B" w:rsidR="00C022A6" w:rsidRDefault="00620C43">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w:t>
      </w:r>
      <w:r w:rsidR="00094826">
        <w:rPr>
          <w:rFonts w:asciiTheme="minorHAnsi" w:hAnsiTheme="minorHAnsi" w:cstheme="minorHAnsi"/>
        </w:rPr>
        <w:t>Australia’s second written submission, para 25 citing fn 13</w:t>
      </w:r>
      <w:r w:rsidR="00812BCF">
        <w:rPr>
          <w:rFonts w:asciiTheme="minorHAnsi" w:hAnsiTheme="minorHAnsi" w:cstheme="minorHAnsi"/>
        </w:rPr>
        <w:t xml:space="preserve">: </w:t>
      </w:r>
      <w:r w:rsidR="00ED72D3">
        <w:rPr>
          <w:rFonts w:asciiTheme="minorHAnsi" w:hAnsiTheme="minorHAnsi" w:cstheme="minorHAnsi"/>
        </w:rPr>
        <w:t>"</w:t>
      </w:r>
      <w:r>
        <w:rPr>
          <w:rFonts w:asciiTheme="minorHAnsi" w:hAnsiTheme="minorHAnsi" w:cstheme="minorHAnsi"/>
          <w:bCs/>
        </w:rPr>
        <w:t>It is clear, based on a plain reading of China's panel request, that the countervailing measures challenged by China are only those related to Program 1, namely the original determination and any resulting duties</w:t>
      </w:r>
      <w:r w:rsidR="00471F72">
        <w:rPr>
          <w:rFonts w:asciiTheme="minorHAnsi" w:hAnsiTheme="minorHAnsi" w:cstheme="minorHAnsi"/>
          <w:bCs/>
        </w:rPr>
        <w:t>"</w:t>
      </w:r>
      <w:r w:rsidR="00094826">
        <w:rPr>
          <w:rFonts w:asciiTheme="minorHAnsi" w:hAnsiTheme="minorHAnsi" w:cstheme="minorHAnsi"/>
          <w:bCs/>
        </w:rPr>
        <w:t>;</w:t>
      </w:r>
      <w:r>
        <w:rPr>
          <w:rFonts w:asciiTheme="minorHAnsi" w:hAnsiTheme="minorHAnsi" w:cstheme="minorHAnsi"/>
          <w:bCs/>
        </w:rPr>
        <w:t xml:space="preserve"> </w:t>
      </w:r>
      <w:r>
        <w:rPr>
          <w:rFonts w:asciiTheme="minorHAnsi" w:hAnsiTheme="minorHAnsi" w:cstheme="minorHAnsi"/>
        </w:rPr>
        <w:t>Australia's response to Panel question no. 7, paras. 9-14.</w:t>
      </w:r>
    </w:p>
  </w:footnote>
  <w:footnote w:id="16">
    <w:p w14:paraId="4D37A395" w14:textId="77777777" w:rsidR="00C022A6" w:rsidRDefault="00620C43">
      <w:pPr>
        <w:pStyle w:val="FootnoteText"/>
        <w:rPr>
          <w:rFonts w:asciiTheme="minorHAnsi" w:eastAsia="Times New Roman" w:hAnsiTheme="minorHAnsi" w:cstheme="minorHAnsi"/>
        </w:rPr>
      </w:pPr>
      <w:r>
        <w:rPr>
          <w:rStyle w:val="FootnoteReference"/>
          <w:rFonts w:asciiTheme="minorHAnsi" w:hAnsiTheme="minorHAnsi" w:cstheme="minorHAnsi"/>
        </w:rPr>
        <w:footnoteRef/>
      </w:r>
      <w:r>
        <w:rPr>
          <w:rFonts w:asciiTheme="minorHAnsi" w:hAnsiTheme="minorHAnsi" w:cstheme="minorHAnsi"/>
          <w:i/>
          <w:iCs/>
        </w:rPr>
        <w:t xml:space="preserve"> Stainless Steel Sinks Continuation 517 Report</w:t>
      </w:r>
      <w:r>
        <w:rPr>
          <w:rFonts w:asciiTheme="minorHAnsi" w:hAnsiTheme="minorHAnsi" w:cstheme="minorHAnsi"/>
        </w:rPr>
        <w:t xml:space="preserve">, (Exhibit CHN-36), pp. 82-83, 85; </w:t>
      </w:r>
      <w:r>
        <w:rPr>
          <w:rFonts w:asciiTheme="minorHAnsi" w:hAnsiTheme="minorHAnsi" w:cstheme="minorHAnsi"/>
          <w:i/>
          <w:iCs/>
        </w:rPr>
        <w:t>Evidence of Termination of Program 1</w:t>
      </w:r>
      <w:r>
        <w:rPr>
          <w:rFonts w:asciiTheme="minorHAnsi" w:hAnsiTheme="minorHAnsi" w:cstheme="minorHAnsi"/>
        </w:rPr>
        <w:t>, (Exhibit AUS-71).</w:t>
      </w:r>
    </w:p>
  </w:footnote>
  <w:footnote w:id="17">
    <w:p w14:paraId="427A4049" w14:textId="6D04C9D8" w:rsidR="00812BCF" w:rsidRDefault="00812BCF">
      <w:pPr>
        <w:pStyle w:val="FootnoteText"/>
      </w:pPr>
      <w:r>
        <w:rPr>
          <w:rStyle w:val="FootnoteReference"/>
        </w:rPr>
        <w:footnoteRef/>
      </w:r>
      <w:r>
        <w:t xml:space="preserve"> Australia’s second written submission, para 25.</w:t>
      </w:r>
    </w:p>
  </w:footnote>
  <w:footnote w:id="18">
    <w:p w14:paraId="6A8B6650" w14:textId="77777777" w:rsidR="00C022A6" w:rsidRDefault="00620C43">
      <w:pPr>
        <w:pStyle w:val="FootnoteText"/>
      </w:pPr>
      <w:r>
        <w:rPr>
          <w:rStyle w:val="FootnoteReference"/>
        </w:rPr>
        <w:footnoteRef/>
      </w:r>
      <w:r>
        <w:t xml:space="preserve"> Australia’s second written submission, paras. 122-135. </w:t>
      </w:r>
    </w:p>
  </w:footnote>
  <w:footnote w:id="19">
    <w:p w14:paraId="00E10D71" w14:textId="7EE997B1" w:rsidR="00C022A6" w:rsidRDefault="00620C43">
      <w:pPr>
        <w:pStyle w:val="FootnoteText"/>
        <w:rPr>
          <w:lang w:val="en-US"/>
        </w:rPr>
      </w:pPr>
      <w:r>
        <w:rPr>
          <w:rStyle w:val="FootnoteReference"/>
        </w:rPr>
        <w:footnoteRef/>
      </w:r>
      <w:r>
        <w:t xml:space="preserve"> </w:t>
      </w:r>
      <w:bookmarkStart w:id="29" w:name="_Hlk135124274"/>
      <w:r>
        <w:rPr>
          <w:lang w:val="en-US"/>
        </w:rPr>
        <w:t>China's opening statement</w:t>
      </w:r>
      <w:r w:rsidR="00BB5829">
        <w:rPr>
          <w:lang w:val="en-US"/>
        </w:rPr>
        <w:t xml:space="preserve"> </w:t>
      </w:r>
      <w:r w:rsidR="00BB5829" w:rsidRPr="0012195F">
        <w:rPr>
          <w:lang w:val="en-US"/>
        </w:rPr>
        <w:t>at the first Panel meeting</w:t>
      </w:r>
      <w:r>
        <w:rPr>
          <w:lang w:val="en-US"/>
        </w:rPr>
        <w:t>, paras. 12-14.</w:t>
      </w:r>
      <w:bookmarkEnd w:id="29"/>
    </w:p>
  </w:footnote>
  <w:footnote w:id="20">
    <w:p w14:paraId="54CD5DA0" w14:textId="752A467C" w:rsidR="00C022A6" w:rsidRDefault="00620C43">
      <w:pPr>
        <w:pStyle w:val="FootnoteText"/>
        <w:rPr>
          <w:lang w:val="en-US"/>
        </w:rPr>
      </w:pPr>
      <w:r w:rsidRPr="00F30348">
        <w:rPr>
          <w:rStyle w:val="FootnoteReference"/>
        </w:rPr>
        <w:footnoteRef/>
      </w:r>
      <w:r w:rsidRPr="00F30348">
        <w:t xml:space="preserve"> </w:t>
      </w:r>
      <w:r w:rsidR="00BB7838">
        <w:t xml:space="preserve">Australia's second written submission, para. 35 citing </w:t>
      </w:r>
      <w:r w:rsidRPr="00F30348">
        <w:rPr>
          <w:lang w:val="en-US"/>
        </w:rPr>
        <w:t xml:space="preserve">Appellate Body Report, </w:t>
      </w:r>
      <w:r w:rsidRPr="00F30348">
        <w:rPr>
          <w:i/>
          <w:iCs/>
          <w:lang w:val="en-US"/>
        </w:rPr>
        <w:t>Russia – Railway Equipment</w:t>
      </w:r>
      <w:r w:rsidRPr="00F30348">
        <w:rPr>
          <w:lang w:val="en-US"/>
        </w:rPr>
        <w:t>, para. 5.239</w:t>
      </w:r>
      <w:r w:rsidR="004E1EAE" w:rsidRPr="00F30348">
        <w:rPr>
          <w:lang w:val="en-US"/>
        </w:rPr>
        <w:t>.</w:t>
      </w:r>
    </w:p>
  </w:footnote>
  <w:footnote w:id="21">
    <w:p w14:paraId="658D9818" w14:textId="6267C561" w:rsidR="00C022A6" w:rsidRDefault="00620C43">
      <w:pPr>
        <w:pStyle w:val="FootnoteText"/>
        <w:rPr>
          <w:lang w:val="en-US"/>
        </w:rPr>
      </w:pPr>
      <w:r>
        <w:rPr>
          <w:rStyle w:val="FootnoteReference"/>
        </w:rPr>
        <w:footnoteRef/>
      </w:r>
      <w:r>
        <w:t xml:space="preserve"> </w:t>
      </w:r>
      <w:r w:rsidR="0003315D">
        <w:t xml:space="preserve">Australia's second written submission, para. 35 citing </w:t>
      </w:r>
      <w:r>
        <w:rPr>
          <w:lang w:val="en-US"/>
        </w:rPr>
        <w:t xml:space="preserve">Appellate Body Report, </w:t>
      </w:r>
      <w:r>
        <w:rPr>
          <w:i/>
          <w:iCs/>
          <w:lang w:val="en-US"/>
        </w:rPr>
        <w:t>Argentina – Import Measures</w:t>
      </w:r>
      <w:r>
        <w:rPr>
          <w:lang w:val="en-US"/>
        </w:rPr>
        <w:t>, para. 5.108.</w:t>
      </w:r>
    </w:p>
  </w:footnote>
  <w:footnote w:id="22">
    <w:p w14:paraId="2746E34F" w14:textId="71E60880" w:rsidR="007A4B05" w:rsidRDefault="007A4B05">
      <w:pPr>
        <w:pStyle w:val="FootnoteText"/>
      </w:pPr>
      <w:r>
        <w:rPr>
          <w:rStyle w:val="FootnoteReference"/>
        </w:rPr>
        <w:footnoteRef/>
      </w:r>
      <w:r>
        <w:t xml:space="preserve"> Australia’s second written submission para. 35.</w:t>
      </w:r>
    </w:p>
  </w:footnote>
  <w:footnote w:id="23">
    <w:p w14:paraId="0410B547" w14:textId="5176D010" w:rsidR="00C022A6" w:rsidRDefault="00620C43">
      <w:pPr>
        <w:pStyle w:val="FootnoteText"/>
      </w:pPr>
      <w:r>
        <w:rPr>
          <w:rStyle w:val="FootnoteReference"/>
        </w:rPr>
        <w:footnoteRef/>
      </w:r>
      <w:r>
        <w:t xml:space="preserve"> China’s second written submission, paras. 39-40.</w:t>
      </w:r>
    </w:p>
  </w:footnote>
  <w:footnote w:id="24">
    <w:p w14:paraId="10070F21" w14:textId="7C4D1278" w:rsidR="00C022A6" w:rsidRDefault="00620C43">
      <w:pPr>
        <w:pStyle w:val="FootnoteText"/>
      </w:pPr>
      <w:r>
        <w:rPr>
          <w:rStyle w:val="FootnoteReference"/>
        </w:rPr>
        <w:footnoteRef/>
      </w:r>
      <w:r>
        <w:t xml:space="preserve"> China’s second written submission, para. 40; China’s response to the PRR dated 4 January, para. 55.</w:t>
      </w:r>
    </w:p>
  </w:footnote>
  <w:footnote w:id="25">
    <w:p w14:paraId="79DC3083" w14:textId="2CDC0F1F" w:rsidR="00C022A6" w:rsidRDefault="00620C43">
      <w:pPr>
        <w:pStyle w:val="FootnoteText"/>
      </w:pPr>
      <w:r>
        <w:rPr>
          <w:rStyle w:val="FootnoteReference"/>
        </w:rPr>
        <w:footnoteRef/>
      </w:r>
      <w:r>
        <w:t xml:space="preserve"> Australia’s second written submission, paras. 39-43.</w:t>
      </w:r>
    </w:p>
  </w:footnote>
  <w:footnote w:id="26">
    <w:p w14:paraId="0F3E1564" w14:textId="77777777" w:rsidR="00C022A6" w:rsidRDefault="00620C43">
      <w:pPr>
        <w:pStyle w:val="FootnoteText"/>
      </w:pPr>
      <w:r>
        <w:rPr>
          <w:rStyle w:val="FootnoteReference"/>
        </w:rPr>
        <w:footnoteRef/>
      </w:r>
      <w:r>
        <w:t xml:space="preserve"> China’s response to the PRR dated 4 January, paras. 33-48.</w:t>
      </w:r>
    </w:p>
  </w:footnote>
  <w:footnote w:id="27">
    <w:p w14:paraId="5BC76449" w14:textId="5B3EAF8F" w:rsidR="00C022A6" w:rsidRDefault="00620C43">
      <w:pPr>
        <w:pStyle w:val="FootnoteText"/>
      </w:pPr>
      <w:r>
        <w:rPr>
          <w:rStyle w:val="FootnoteReference"/>
        </w:rPr>
        <w:footnoteRef/>
      </w:r>
      <w:r>
        <w:t xml:space="preserve"> Australia’s second written submission, paras. 44-58.</w:t>
      </w:r>
    </w:p>
  </w:footnote>
  <w:footnote w:id="28">
    <w:p w14:paraId="0B5F1EE3" w14:textId="77777777" w:rsidR="00C022A6" w:rsidRDefault="00620C43">
      <w:pPr>
        <w:pStyle w:val="FootnoteText"/>
      </w:pPr>
      <w:r>
        <w:rPr>
          <w:rStyle w:val="FootnoteReference"/>
        </w:rPr>
        <w:footnoteRef/>
      </w:r>
      <w:r>
        <w:t xml:space="preserve"> See Australia's first written submission, paras. 54-79.</w:t>
      </w:r>
    </w:p>
  </w:footnote>
  <w:footnote w:id="29">
    <w:p w14:paraId="5B8F7D43" w14:textId="77777777" w:rsidR="00471F72" w:rsidRDefault="00620C43">
      <w:pPr>
        <w:pStyle w:val="FootnoteText"/>
      </w:pPr>
      <w:r>
        <w:rPr>
          <w:rStyle w:val="FootnoteReference"/>
        </w:rPr>
        <w:footnoteRef/>
      </w:r>
      <w:r>
        <w:t xml:space="preserve"> </w:t>
      </w:r>
      <w:r w:rsidR="00C805DC">
        <w:t xml:space="preserve">Australia's second written submission, para. </w:t>
      </w:r>
      <w:r w:rsidR="00800172">
        <w:t xml:space="preserve">62 and fn. 58 citing </w:t>
      </w:r>
      <w:r w:rsidR="00BB5829" w:rsidRPr="002F51D6">
        <w:t xml:space="preserve">Appellate Body Report, </w:t>
      </w:r>
      <w:r w:rsidR="00BB5829" w:rsidRPr="00DA4BB6">
        <w:rPr>
          <w:i/>
          <w:iCs/>
        </w:rPr>
        <w:t>Korea - Dairy</w:t>
      </w:r>
      <w:r w:rsidR="00BB5829" w:rsidRPr="002F51D6">
        <w:t xml:space="preserve">, para. </w:t>
      </w:r>
      <w:r w:rsidR="00BB5829">
        <w:t>124, in which the Appellate Body found that</w:t>
      </w:r>
      <w:r w:rsidR="00471F72">
        <w:t>:</w:t>
      </w:r>
    </w:p>
    <w:p w14:paraId="5B30A030" w14:textId="4C088537" w:rsidR="00C022A6" w:rsidRDefault="00BB5829" w:rsidP="00471F72">
      <w:pPr>
        <w:pStyle w:val="FootnoteText"/>
        <w:ind w:left="720"/>
      </w:pPr>
      <w:r w:rsidRPr="006C487E">
        <w:t>Identification of the treaty provisions claimed to have been violated by the respondent is always necessary both for purposes of defining the terms of reference of a panel and for informing the respondent and the third parties of the claims made by the complainant; such identification is a minimum prerequisite if the legal basis of the complaint is to be presented at all.</w:t>
      </w:r>
    </w:p>
  </w:footnote>
  <w:footnote w:id="30">
    <w:p w14:paraId="737E3457" w14:textId="77777777" w:rsidR="00C022A6" w:rsidRDefault="00620C43">
      <w:pPr>
        <w:pStyle w:val="FootnoteText"/>
      </w:pPr>
      <w:r>
        <w:rPr>
          <w:rStyle w:val="FootnoteReference"/>
        </w:rPr>
        <w:footnoteRef/>
      </w:r>
      <w:r>
        <w:t xml:space="preserve"> Australia's first written submission, paras. 95-101; Australia's second written submission, paras. 104-113.</w:t>
      </w:r>
    </w:p>
  </w:footnote>
  <w:footnote w:id="31">
    <w:p w14:paraId="4BAAE4D1" w14:textId="56CB9AAD" w:rsidR="00C022A6" w:rsidRDefault="00620C43">
      <w:pPr>
        <w:pStyle w:val="FootnoteText"/>
      </w:pPr>
      <w:r>
        <w:rPr>
          <w:rStyle w:val="FootnoteReference"/>
        </w:rPr>
        <w:footnoteRef/>
      </w:r>
      <w:r>
        <w:t xml:space="preserve"> China’s response to Panel question no. 37, paras. 112-117.</w:t>
      </w:r>
    </w:p>
  </w:footnote>
  <w:footnote w:id="32">
    <w:p w14:paraId="7618FF76" w14:textId="77777777" w:rsidR="00C022A6" w:rsidRPr="006202BC" w:rsidRDefault="00620C43">
      <w:pPr>
        <w:pStyle w:val="FootnoteText"/>
      </w:pPr>
      <w:r>
        <w:rPr>
          <w:rStyle w:val="FootnoteReference"/>
        </w:rPr>
        <w:footnoteRef/>
      </w:r>
      <w:r>
        <w:t xml:space="preserve"> </w:t>
      </w:r>
      <w:r w:rsidRPr="006202BC">
        <w:t xml:space="preserve">Australia's second written submission, paras. 122-129. </w:t>
      </w:r>
    </w:p>
  </w:footnote>
  <w:footnote w:id="33">
    <w:p w14:paraId="6B92FCE6" w14:textId="767D4610" w:rsidR="00B415CE" w:rsidRPr="006202BC" w:rsidRDefault="004A73F6" w:rsidP="004A73F6">
      <w:pPr>
        <w:pStyle w:val="FootnoteText"/>
        <w:rPr>
          <w:szCs w:val="18"/>
        </w:rPr>
      </w:pPr>
      <w:r w:rsidRPr="006202BC">
        <w:rPr>
          <w:rStyle w:val="FootnoteReference"/>
        </w:rPr>
        <w:footnoteRef/>
      </w:r>
      <w:r w:rsidRPr="006202BC">
        <w:t xml:space="preserve"> </w:t>
      </w:r>
      <w:r w:rsidR="00B415CE" w:rsidRPr="006202BC">
        <w:rPr>
          <w:szCs w:val="18"/>
        </w:rPr>
        <w:t>Australia's PRR dated 16 December 2022</w:t>
      </w:r>
      <w:r w:rsidR="006202BC" w:rsidRPr="006202BC">
        <w:rPr>
          <w:szCs w:val="18"/>
        </w:rPr>
        <w:t>;</w:t>
      </w:r>
      <w:r w:rsidR="00B415CE" w:rsidRPr="006202BC">
        <w:rPr>
          <w:szCs w:val="18"/>
        </w:rPr>
        <w:t xml:space="preserve"> Australia's additional PRR comments dated 12 January 2023; Australia's first written submission</w:t>
      </w:r>
      <w:r w:rsidR="006202BC" w:rsidRPr="006202BC">
        <w:rPr>
          <w:szCs w:val="18"/>
        </w:rPr>
        <w:t>, paras. 222-139 and 657-666</w:t>
      </w:r>
      <w:r w:rsidR="00B415CE" w:rsidRPr="006202BC">
        <w:rPr>
          <w:szCs w:val="18"/>
        </w:rPr>
        <w:t xml:space="preserve">; Australia's opening statement at the first </w:t>
      </w:r>
      <w:r w:rsidR="00471F72">
        <w:rPr>
          <w:szCs w:val="18"/>
        </w:rPr>
        <w:t>Panel</w:t>
      </w:r>
      <w:r w:rsidR="00B415CE" w:rsidRPr="006202BC">
        <w:rPr>
          <w:szCs w:val="18"/>
        </w:rPr>
        <w:t xml:space="preserve"> meeting</w:t>
      </w:r>
      <w:r w:rsidR="006202BC" w:rsidRPr="006202BC">
        <w:rPr>
          <w:szCs w:val="18"/>
        </w:rPr>
        <w:t>, paras. 15-41</w:t>
      </w:r>
      <w:r w:rsidR="00B415CE" w:rsidRPr="006202BC">
        <w:rPr>
          <w:szCs w:val="18"/>
        </w:rPr>
        <w:t xml:space="preserve">; Australia's closing statement at the first </w:t>
      </w:r>
      <w:r w:rsidR="00471F72">
        <w:rPr>
          <w:szCs w:val="18"/>
        </w:rPr>
        <w:t>Panel</w:t>
      </w:r>
      <w:r w:rsidR="00B415CE" w:rsidRPr="006202BC">
        <w:rPr>
          <w:szCs w:val="18"/>
        </w:rPr>
        <w:t xml:space="preserve"> meeting</w:t>
      </w:r>
      <w:r w:rsidR="006202BC" w:rsidRPr="006202BC">
        <w:rPr>
          <w:szCs w:val="18"/>
        </w:rPr>
        <w:t>, paras. 4-12</w:t>
      </w:r>
      <w:r w:rsidR="00B415CE" w:rsidRPr="006202BC">
        <w:rPr>
          <w:szCs w:val="18"/>
        </w:rPr>
        <w:t>; Australia's responses to the Panel questions</w:t>
      </w:r>
      <w:r w:rsidR="006202BC" w:rsidRPr="006202BC">
        <w:rPr>
          <w:szCs w:val="18"/>
        </w:rPr>
        <w:t>, particularly Panel questions no. 6-10 and 42-60, as summarised in Australia's second written submission, para. 15.</w:t>
      </w:r>
    </w:p>
  </w:footnote>
  <w:footnote w:id="34">
    <w:p w14:paraId="1DDBD95C" w14:textId="3F5A6E09" w:rsidR="00C022A6" w:rsidRDefault="00620C43">
      <w:pPr>
        <w:pStyle w:val="FootnoteText"/>
      </w:pPr>
      <w:r>
        <w:rPr>
          <w:rStyle w:val="FootnoteReference"/>
        </w:rPr>
        <w:footnoteRef/>
      </w:r>
      <w:r>
        <w:t xml:space="preserve"> This finding was made under section 43(2) of the </w:t>
      </w:r>
      <w:r>
        <w:rPr>
          <w:i/>
          <w:iCs/>
        </w:rPr>
        <w:t>Customs (International Obligations) Regulation 2015</w:t>
      </w:r>
      <w:r>
        <w:t>, which was in effect during the railway wheels investigation.  Th</w:t>
      </w:r>
      <w:r w:rsidR="00BA4685">
        <w:t>e</w:t>
      </w:r>
      <w:r>
        <w:t xml:space="preserve"> previous version of this provision, regulation 180(2) of the </w:t>
      </w:r>
      <w:r>
        <w:rPr>
          <w:i/>
          <w:iCs/>
        </w:rPr>
        <w:t>Customs Regulations 1926</w:t>
      </w:r>
      <w:r>
        <w:t xml:space="preserve">, was in effect during the wind towers and stainless steel sinks investigations. </w:t>
      </w:r>
      <w:r w:rsidRPr="00471F72">
        <w:t>See, e.g.,</w:t>
      </w:r>
      <w:r>
        <w:t xml:space="preserve"> Australia's first written submission, paras. 146-147; Australia's second written submission, paras. 144, 235, 316; Australia's comments on China's responses to Panel question no. 80, para. 66.</w:t>
      </w:r>
    </w:p>
  </w:footnote>
  <w:footnote w:id="35">
    <w:p w14:paraId="0E9201FB" w14:textId="77777777" w:rsidR="00C022A6" w:rsidRDefault="00620C43">
      <w:pPr>
        <w:pStyle w:val="FootnoteText"/>
      </w:pPr>
      <w:r>
        <w:rPr>
          <w:rStyle w:val="FootnoteReference"/>
        </w:rPr>
        <w:footnoteRef/>
      </w:r>
      <w:r>
        <w:t xml:space="preserve"> See, e.g., Australia's first written submission, paras. 146-147; Australia's second written submission, paras. 144, 235, 316; Australia's comments on China's responses to Panel question no. 80, para. 66.</w:t>
      </w:r>
    </w:p>
  </w:footnote>
  <w:footnote w:id="36">
    <w:p w14:paraId="1262C44A" w14:textId="4E0C0106" w:rsidR="00C022A6" w:rsidRDefault="00620C43">
      <w:pPr>
        <w:pStyle w:val="FootnoteText"/>
      </w:pPr>
      <w:r>
        <w:rPr>
          <w:rStyle w:val="FootnoteReference"/>
        </w:rPr>
        <w:footnoteRef/>
      </w:r>
      <w:r>
        <w:t xml:space="preserve"> </w:t>
      </w:r>
      <w:r w:rsidR="00BB5829">
        <w:t xml:space="preserve">See, e.g., Australia's first written submission, para. 148; Australia's second written submission, paras. 144, 235, 316; </w:t>
      </w:r>
      <w:r w:rsidR="00BB5829" w:rsidRPr="009C24E9">
        <w:t>Australia's response to Panel question no. 61, para. 191; Australia's response to Panel question no. 77, paras. 66-67 and Australia's response to Panel question no. 78, paras. 79, 114.</w:t>
      </w:r>
    </w:p>
  </w:footnote>
  <w:footnote w:id="37">
    <w:p w14:paraId="72111702" w14:textId="0F2C6D50" w:rsidR="00C022A6" w:rsidRDefault="00620C43">
      <w:pPr>
        <w:pStyle w:val="FootnoteText"/>
      </w:pPr>
      <w:r>
        <w:rPr>
          <w:rStyle w:val="FootnoteReference"/>
        </w:rPr>
        <w:footnoteRef/>
      </w:r>
      <w:r>
        <w:t xml:space="preserve"> </w:t>
      </w:r>
      <w:r w:rsidR="00BB5829" w:rsidRPr="00A414D8">
        <w:t>See, e.g., Australia's first written submission, paras. 148-149; Australia's second written submission, paras. 144, 235, 316; Australia's response to Panel question no. 61, paras. 188 - 192; Australia's response to Panel questions nos. 77 and 78</w:t>
      </w:r>
      <w:r w:rsidR="00BB5829">
        <w:t>.</w:t>
      </w:r>
    </w:p>
  </w:footnote>
  <w:footnote w:id="38">
    <w:p w14:paraId="14AC968C" w14:textId="23A28B2B" w:rsidR="00C022A6" w:rsidRDefault="00620C43">
      <w:pPr>
        <w:pStyle w:val="FootnoteText"/>
      </w:pPr>
      <w:r>
        <w:rPr>
          <w:rStyle w:val="FootnoteReference"/>
        </w:rPr>
        <w:footnoteRef/>
      </w:r>
      <w:r>
        <w:t xml:space="preserve"> </w:t>
      </w:r>
      <w:r w:rsidR="00BB5829" w:rsidRPr="00A414D8">
        <w:t>Australia's response to Panel question no. 61, paras. 188 - 192; Australia's response to Panel questions nos. 77 and 78</w:t>
      </w:r>
      <w:r w:rsidR="00BB5829">
        <w:t>.</w:t>
      </w:r>
    </w:p>
  </w:footnote>
  <w:footnote w:id="39">
    <w:p w14:paraId="3C184536" w14:textId="1242E4DD" w:rsidR="00C022A6" w:rsidRDefault="00620C43">
      <w:pPr>
        <w:pStyle w:val="FootnoteText"/>
      </w:pPr>
      <w:r>
        <w:rPr>
          <w:rStyle w:val="FootnoteReference"/>
        </w:rPr>
        <w:footnoteRef/>
      </w:r>
      <w:r>
        <w:t xml:space="preserve"> </w:t>
      </w:r>
      <w:r w:rsidR="00BB5829" w:rsidRPr="00A414D8">
        <w:t>Australia's response to Panel question no. 77; Australia's response to Panel question no. 78, para. 78.</w:t>
      </w:r>
    </w:p>
  </w:footnote>
  <w:footnote w:id="40">
    <w:p w14:paraId="0A2405FB" w14:textId="687372D9" w:rsidR="00C022A6" w:rsidRDefault="00620C43">
      <w:pPr>
        <w:pStyle w:val="FootnoteText"/>
      </w:pPr>
      <w:r>
        <w:rPr>
          <w:rStyle w:val="FootnoteReference"/>
        </w:rPr>
        <w:footnoteRef/>
      </w:r>
      <w:r>
        <w:t xml:space="preserve"> </w:t>
      </w:r>
      <w:r w:rsidR="00BB5829">
        <w:t xml:space="preserve">Australia's response to </w:t>
      </w:r>
      <w:r w:rsidR="00BB5829" w:rsidRPr="00A414D8">
        <w:t>Panel's question no. 77, para. 68; Australia's response to Panel question no. 78, para. 78.</w:t>
      </w:r>
    </w:p>
  </w:footnote>
  <w:footnote w:id="41">
    <w:p w14:paraId="23062E19" w14:textId="77777777" w:rsidR="00C022A6" w:rsidRDefault="00620C43">
      <w:pPr>
        <w:pStyle w:val="FootnoteText"/>
        <w:rPr>
          <w:lang w:val="en-US"/>
        </w:rPr>
      </w:pPr>
      <w:r>
        <w:rPr>
          <w:rStyle w:val="FootnoteReference"/>
        </w:rPr>
        <w:footnoteRef/>
      </w:r>
      <w:r>
        <w:t xml:space="preserve"> China's first written submission, paras. 226-228.</w:t>
      </w:r>
    </w:p>
  </w:footnote>
  <w:footnote w:id="42">
    <w:p w14:paraId="3F234C99" w14:textId="77777777" w:rsidR="00C022A6" w:rsidRDefault="00620C43">
      <w:pPr>
        <w:pStyle w:val="FootnoteText"/>
        <w:rPr>
          <w:szCs w:val="18"/>
        </w:rPr>
      </w:pPr>
      <w:r w:rsidRPr="000533A2">
        <w:rPr>
          <w:rStyle w:val="FootnoteReference"/>
          <w:szCs w:val="18"/>
        </w:rPr>
        <w:footnoteRef/>
      </w:r>
      <w:r w:rsidRPr="000533A2">
        <w:rPr>
          <w:szCs w:val="18"/>
        </w:rPr>
        <w:t xml:space="preserve"> See, e.g., </w:t>
      </w:r>
      <w:r w:rsidRPr="000533A2">
        <w:rPr>
          <w:szCs w:val="18"/>
          <w:lang w:val="en-US"/>
        </w:rPr>
        <w:t>Australia's closing statement at the first Panel meeting, para. 24.</w:t>
      </w:r>
    </w:p>
  </w:footnote>
  <w:footnote w:id="43">
    <w:p w14:paraId="1D5EED90" w14:textId="77777777" w:rsidR="00C022A6" w:rsidRDefault="00620C43">
      <w:pPr>
        <w:pStyle w:val="FootnoteText"/>
      </w:pPr>
      <w:r>
        <w:rPr>
          <w:rStyle w:val="FootnoteReference"/>
        </w:rPr>
        <w:footnoteRef/>
      </w:r>
      <w:r>
        <w:t xml:space="preserve"> </w:t>
      </w:r>
      <w:r>
        <w:rPr>
          <w:i/>
          <w:iCs/>
        </w:rPr>
        <w:t>Railway Wheels Investigation 466 Report</w:t>
      </w:r>
      <w:r>
        <w:t>, (Exhibit CHN-3), pp. 24, 80 and 95. Australia's first written submission, paras. 192 -246; Australia's second written submission, paras. 181- 186; Australia's response to Panel question no. 61, para. 193. Australia's response to Panel question no. 78, paras. 81 – 84.</w:t>
      </w:r>
    </w:p>
  </w:footnote>
  <w:footnote w:id="44">
    <w:p w14:paraId="5DCC6FEC" w14:textId="77777777" w:rsidR="00C022A6" w:rsidRDefault="00620C43">
      <w:pPr>
        <w:pStyle w:val="FootnoteText"/>
        <w:rPr>
          <w:szCs w:val="18"/>
        </w:rPr>
      </w:pPr>
      <w:r>
        <w:rPr>
          <w:rStyle w:val="FootnoteReference"/>
          <w:szCs w:val="18"/>
        </w:rPr>
        <w:footnoteRef/>
      </w:r>
      <w:r>
        <w:rPr>
          <w:szCs w:val="18"/>
        </w:rPr>
        <w:t xml:space="preserve"> </w:t>
      </w:r>
      <w:r>
        <w:rPr>
          <w:i/>
          <w:iCs/>
          <w:szCs w:val="18"/>
        </w:rPr>
        <w:t>Railway Wheels Investigation 466 Report</w:t>
      </w:r>
      <w:r>
        <w:rPr>
          <w:szCs w:val="18"/>
        </w:rPr>
        <w:t>, (Exhibit CHN-3), pp. 24, 80, 95.</w:t>
      </w:r>
    </w:p>
  </w:footnote>
  <w:footnote w:id="45">
    <w:p w14:paraId="06EE9CEF" w14:textId="77777777" w:rsidR="00C022A6" w:rsidRDefault="00620C43">
      <w:pPr>
        <w:pStyle w:val="FootnoteText"/>
        <w:rPr>
          <w:szCs w:val="18"/>
        </w:rPr>
      </w:pPr>
      <w:r>
        <w:rPr>
          <w:rStyle w:val="FootnoteReference"/>
          <w:szCs w:val="18"/>
        </w:rPr>
        <w:footnoteRef/>
      </w:r>
      <w:r>
        <w:rPr>
          <w:szCs w:val="18"/>
        </w:rPr>
        <w:t xml:space="preserve"> </w:t>
      </w:r>
      <w:r>
        <w:rPr>
          <w:i/>
          <w:iCs/>
          <w:szCs w:val="18"/>
        </w:rPr>
        <w:t>Railway Wheels Investigation 466 Report</w:t>
      </w:r>
      <w:r>
        <w:rPr>
          <w:szCs w:val="18"/>
        </w:rPr>
        <w:t>, (Exhibit CHN-3), pp. 24, 80, 95.</w:t>
      </w:r>
    </w:p>
  </w:footnote>
  <w:footnote w:id="46">
    <w:p w14:paraId="0B073B65" w14:textId="1B35DC95" w:rsidR="00C022A6" w:rsidRDefault="00620C43">
      <w:pPr>
        <w:pStyle w:val="FootnoteText"/>
      </w:pPr>
      <w:r>
        <w:rPr>
          <w:rStyle w:val="FootnoteReference"/>
        </w:rPr>
        <w:footnoteRef/>
      </w:r>
      <w:r>
        <w:t xml:space="preserve"> See</w:t>
      </w:r>
      <w:r w:rsidR="0067384A">
        <w:t xml:space="preserve"> </w:t>
      </w:r>
      <w:r>
        <w:t>Australia's first written submission, paras. 192- 246.</w:t>
      </w:r>
    </w:p>
  </w:footnote>
  <w:footnote w:id="47">
    <w:p w14:paraId="2F7E3881" w14:textId="77777777" w:rsidR="00C022A6" w:rsidRDefault="00620C43">
      <w:pPr>
        <w:pStyle w:val="FootnoteText"/>
        <w:rPr>
          <w:rFonts w:asciiTheme="minorHAnsi" w:hAnsiTheme="minorHAnsi" w:cstheme="minorHAnsi"/>
          <w:szCs w:val="18"/>
        </w:rPr>
      </w:pPr>
      <w:r>
        <w:rPr>
          <w:rStyle w:val="FootnoteReference"/>
          <w:szCs w:val="18"/>
        </w:rPr>
        <w:footnoteRef/>
      </w:r>
      <w:r>
        <w:rPr>
          <w:szCs w:val="18"/>
        </w:rPr>
        <w:t xml:space="preserve"> </w:t>
      </w:r>
      <w:r>
        <w:rPr>
          <w:color w:val="000000" w:themeColor="text1"/>
        </w:rPr>
        <w:t>Article 11 of the DSU, and Articles 17.5(ii) and 17.6(i) of the Anti-Dumping Agreement</w:t>
      </w:r>
      <w:r>
        <w:rPr>
          <w:szCs w:val="18"/>
        </w:rPr>
        <w:t xml:space="preserve">; Panel Report, </w:t>
      </w:r>
      <w:r>
        <w:rPr>
          <w:i/>
          <w:iCs/>
          <w:szCs w:val="18"/>
        </w:rPr>
        <w:t xml:space="preserve">US – Softwood Lumber VI, </w:t>
      </w:r>
      <w:r>
        <w:rPr>
          <w:szCs w:val="18"/>
        </w:rPr>
        <w:t>para. 7.15.</w:t>
      </w:r>
      <w:r>
        <w:t xml:space="preserve"> Further, where the Panel finds that a relevant provision of the Anti-Dumping Agreement admits of more than one permissible interpretation, the Panel shall find the authorities' measure to be in conformity with the Agreement if it rests upon one of those permissible interpretations. </w:t>
      </w:r>
      <w:r w:rsidRPr="00471F72">
        <w:t>See</w:t>
      </w:r>
      <w:r>
        <w:t xml:space="preserve"> Article 17.6(ii) of the Anti-Dumping Agreement.</w:t>
      </w:r>
    </w:p>
  </w:footnote>
  <w:footnote w:id="48">
    <w:p w14:paraId="00DEB6F8" w14:textId="0EF6D0C6" w:rsidR="0067384A" w:rsidRDefault="0067384A" w:rsidP="0067384A">
      <w:pPr>
        <w:pStyle w:val="FootnoteText"/>
      </w:pPr>
      <w:r>
        <w:rPr>
          <w:rStyle w:val="FootnoteReference"/>
        </w:rPr>
        <w:footnoteRef/>
      </w:r>
      <w:r>
        <w:t xml:space="preserve"> See Australia's first written submission, paras. 192- 249.</w:t>
      </w:r>
    </w:p>
  </w:footnote>
  <w:footnote w:id="49">
    <w:p w14:paraId="184A8A27" w14:textId="3FD672DF" w:rsidR="00C022A6" w:rsidRDefault="00620C43">
      <w:pPr>
        <w:pStyle w:val="FootnoteText"/>
        <w:rPr>
          <w:lang w:val="en-US"/>
        </w:rPr>
      </w:pPr>
      <w:r>
        <w:rPr>
          <w:rStyle w:val="FootnoteReference"/>
        </w:rPr>
        <w:footnoteRef/>
      </w:r>
      <w:r>
        <w:t xml:space="preserve"> China's opening statement</w:t>
      </w:r>
      <w:r w:rsidR="00BB5829">
        <w:t xml:space="preserve"> </w:t>
      </w:r>
      <w:r w:rsidR="00BB5829" w:rsidRPr="00E41D4C">
        <w:rPr>
          <w:szCs w:val="18"/>
          <w:lang w:val="en-US"/>
        </w:rPr>
        <w:t>at the first Panel meeting</w:t>
      </w:r>
      <w:r>
        <w:t>, para. 71. See also China's closing statement</w:t>
      </w:r>
      <w:r w:rsidR="00BB5829">
        <w:t xml:space="preserve"> </w:t>
      </w:r>
      <w:r w:rsidR="00BB5829" w:rsidRPr="00E41D4C">
        <w:rPr>
          <w:szCs w:val="18"/>
          <w:lang w:val="en-US"/>
        </w:rPr>
        <w:t>at the first Panel meeting</w:t>
      </w:r>
      <w:r>
        <w:t>, paras. 11-12.</w:t>
      </w:r>
    </w:p>
  </w:footnote>
  <w:footnote w:id="50">
    <w:p w14:paraId="0F86AD3F" w14:textId="05E2655A" w:rsidR="0067384A" w:rsidRDefault="0067384A">
      <w:pPr>
        <w:pStyle w:val="FootnoteText"/>
      </w:pPr>
      <w:r>
        <w:rPr>
          <w:rStyle w:val="FootnoteReference"/>
        </w:rPr>
        <w:footnoteRef/>
      </w:r>
      <w:r>
        <w:t xml:space="preserve"> </w:t>
      </w:r>
      <w:r w:rsidR="003C1954">
        <w:t>Australia's second written submission, paras. 146-180; Australia's opening statement at the second Panel meeting, paras. 43-49</w:t>
      </w:r>
      <w:r>
        <w:t>.</w:t>
      </w:r>
    </w:p>
  </w:footnote>
  <w:footnote w:id="51">
    <w:p w14:paraId="7EA2B31C" w14:textId="7E3A2F44" w:rsidR="00C022A6" w:rsidRDefault="00620C43">
      <w:pPr>
        <w:pStyle w:val="FootnoteText"/>
      </w:pPr>
      <w:r>
        <w:rPr>
          <w:rStyle w:val="FootnoteReference"/>
        </w:rPr>
        <w:footnoteRef/>
      </w:r>
      <w:r>
        <w:t xml:space="preserve"> </w:t>
      </w:r>
      <w:r w:rsidRPr="00F30348">
        <w:t>See</w:t>
      </w:r>
      <w:r w:rsidR="00F30348" w:rsidRPr="00F30348">
        <w:rPr>
          <w:i/>
          <w:iCs/>
        </w:rPr>
        <w:t xml:space="preserve"> </w:t>
      </w:r>
      <w:r w:rsidRPr="00F30348">
        <w:t xml:space="preserve">China’s second written submission, para. 201 citing </w:t>
      </w:r>
      <w:r w:rsidRPr="00F30348">
        <w:rPr>
          <w:rFonts w:asciiTheme="minorHAnsi" w:hAnsiTheme="minorHAnsi" w:cstheme="minorHAnsi"/>
          <w:szCs w:val="18"/>
        </w:rPr>
        <w:t xml:space="preserve">Panel Report, </w:t>
      </w:r>
      <w:r w:rsidRPr="00F30348">
        <w:rPr>
          <w:rFonts w:asciiTheme="minorHAnsi" w:hAnsiTheme="minorHAnsi" w:cstheme="minorHAnsi"/>
          <w:i/>
          <w:szCs w:val="18"/>
        </w:rPr>
        <w:t>Australia – Anti-Dumping Measures on Paper</w:t>
      </w:r>
      <w:r w:rsidRPr="00F30348">
        <w:rPr>
          <w:rFonts w:asciiTheme="minorHAnsi" w:hAnsiTheme="minorHAnsi" w:cstheme="minorHAnsi"/>
          <w:szCs w:val="18"/>
        </w:rPr>
        <w:t>, para</w:t>
      </w:r>
      <w:r w:rsidR="00471F72">
        <w:rPr>
          <w:rFonts w:asciiTheme="minorHAnsi" w:hAnsiTheme="minorHAnsi" w:cstheme="minorHAnsi"/>
          <w:szCs w:val="18"/>
        </w:rPr>
        <w:t>.</w:t>
      </w:r>
      <w:r w:rsidRPr="00F30348">
        <w:rPr>
          <w:rFonts w:asciiTheme="minorHAnsi" w:hAnsiTheme="minorHAnsi" w:cstheme="minorHAnsi"/>
          <w:szCs w:val="18"/>
        </w:rPr>
        <w:t xml:space="preserve"> 7.117.</w:t>
      </w:r>
    </w:p>
  </w:footnote>
  <w:footnote w:id="52">
    <w:p w14:paraId="578234A4" w14:textId="4145BD20" w:rsidR="0067384A" w:rsidRDefault="0067384A" w:rsidP="0067384A">
      <w:pPr>
        <w:pStyle w:val="FootnoteText"/>
      </w:pPr>
      <w:r>
        <w:rPr>
          <w:rStyle w:val="FootnoteReference"/>
        </w:rPr>
        <w:footnoteRef/>
      </w:r>
      <w:r>
        <w:t xml:space="preserve"> </w:t>
      </w:r>
      <w:r w:rsidR="003C1954">
        <w:t>Australia's second written submission, paras. 146-180; Australia's opening statement at the second Panel meeting, paras. 43-49.</w:t>
      </w:r>
    </w:p>
  </w:footnote>
  <w:footnote w:id="53">
    <w:p w14:paraId="16F0E685" w14:textId="6BA43B47" w:rsidR="00C022A6" w:rsidRDefault="00620C43">
      <w:pPr>
        <w:pStyle w:val="FootnoteText"/>
      </w:pPr>
      <w:r>
        <w:rPr>
          <w:rStyle w:val="FootnoteReference"/>
        </w:rPr>
        <w:footnoteRef/>
      </w:r>
      <w:r>
        <w:t xml:space="preserve"> </w:t>
      </w:r>
      <w:r w:rsidR="003C1954">
        <w:t>Australia's second written submission, paras. 146-180; Australia's opening statement at the second Panel meeting, paras. 43-49</w:t>
      </w:r>
      <w:r>
        <w:t>.</w:t>
      </w:r>
    </w:p>
  </w:footnote>
  <w:footnote w:id="54">
    <w:p w14:paraId="4662B5C9" w14:textId="09A5C478" w:rsidR="0067384A" w:rsidRPr="0067384A" w:rsidRDefault="0067384A">
      <w:pPr>
        <w:pStyle w:val="FootnoteText"/>
      </w:pPr>
      <w:r>
        <w:rPr>
          <w:rStyle w:val="FootnoteReference"/>
        </w:rPr>
        <w:footnoteRef/>
      </w:r>
      <w:r>
        <w:t xml:space="preserve"> See Australia's second written submission, paras. 146-180.</w:t>
      </w:r>
    </w:p>
  </w:footnote>
  <w:footnote w:id="55">
    <w:p w14:paraId="32B10346" w14:textId="38E4270F" w:rsidR="0067384A" w:rsidRDefault="0067384A">
      <w:pPr>
        <w:pStyle w:val="FootnoteText"/>
      </w:pPr>
      <w:r>
        <w:rPr>
          <w:rStyle w:val="FootnoteReference"/>
        </w:rPr>
        <w:footnoteRef/>
      </w:r>
      <w:r>
        <w:t xml:space="preserve"> See Australia's second written submission, paras. 146-180.</w:t>
      </w:r>
    </w:p>
  </w:footnote>
  <w:footnote w:id="56">
    <w:p w14:paraId="32C8467F" w14:textId="77777777" w:rsidR="00C022A6" w:rsidRDefault="00620C43">
      <w:pPr>
        <w:pStyle w:val="FootnoteText"/>
        <w:rPr>
          <w:szCs w:val="18"/>
        </w:rPr>
      </w:pPr>
      <w:r>
        <w:rPr>
          <w:rStyle w:val="FootnoteReference"/>
          <w:szCs w:val="18"/>
        </w:rPr>
        <w:footnoteRef/>
      </w:r>
      <w:r>
        <w:rPr>
          <w:szCs w:val="18"/>
        </w:rPr>
        <w:t xml:space="preserve"> China's second written submission, para. 247(a).</w:t>
      </w:r>
    </w:p>
  </w:footnote>
  <w:footnote w:id="57">
    <w:p w14:paraId="4845493B" w14:textId="5836B8F7" w:rsidR="00C022A6" w:rsidRDefault="00620C43">
      <w:pPr>
        <w:pStyle w:val="FootnoteText"/>
        <w:rPr>
          <w:szCs w:val="18"/>
        </w:rPr>
      </w:pPr>
      <w:r>
        <w:rPr>
          <w:rStyle w:val="FootnoteReference"/>
          <w:szCs w:val="18"/>
        </w:rPr>
        <w:footnoteRef/>
      </w:r>
      <w:r>
        <w:rPr>
          <w:szCs w:val="18"/>
        </w:rPr>
        <w:t xml:space="preserve"> </w:t>
      </w:r>
      <w:r w:rsidR="00BC2C6E" w:rsidRPr="00380AEB">
        <w:rPr>
          <w:rFonts w:cs="Calibri"/>
          <w:szCs w:val="18"/>
        </w:rPr>
        <w:t xml:space="preserve">Australia's first written submission, paras. 185-188 citing Appellate Body Reports, </w:t>
      </w:r>
      <w:r w:rsidR="00BC2C6E" w:rsidRPr="00380AEB">
        <w:rPr>
          <w:rFonts w:cs="Calibri"/>
          <w:i/>
          <w:color w:val="000000"/>
          <w:szCs w:val="18"/>
        </w:rPr>
        <w:t>US – Clove Cigarettes</w:t>
      </w:r>
      <w:r w:rsidR="00BC2C6E" w:rsidRPr="00380AEB">
        <w:rPr>
          <w:rFonts w:cs="Calibri"/>
          <w:szCs w:val="18"/>
        </w:rPr>
        <w:t xml:space="preserve">, para. 273, </w:t>
      </w:r>
      <w:r w:rsidR="00BC2C6E" w:rsidRPr="00380AEB">
        <w:rPr>
          <w:rFonts w:cs="Calibri"/>
          <w:i/>
          <w:color w:val="000000"/>
          <w:szCs w:val="18"/>
        </w:rPr>
        <w:t>EU – Biodiesel (Argentina)</w:t>
      </w:r>
      <w:r w:rsidR="00BC2C6E" w:rsidRPr="00380AEB">
        <w:rPr>
          <w:rFonts w:cs="Calibri"/>
          <w:szCs w:val="18"/>
        </w:rPr>
        <w:t xml:space="preserve">, para. 6.71; Panel Reports, </w:t>
      </w:r>
      <w:r w:rsidR="00BC2C6E" w:rsidRPr="00380AEB">
        <w:rPr>
          <w:rFonts w:cs="Calibri"/>
          <w:i/>
          <w:color w:val="000000"/>
          <w:szCs w:val="18"/>
        </w:rPr>
        <w:t>China – Broiler Products</w:t>
      </w:r>
      <w:r w:rsidR="00BC2C6E" w:rsidRPr="00380AEB">
        <w:rPr>
          <w:rFonts w:cs="Calibri"/>
          <w:szCs w:val="18"/>
        </w:rPr>
        <w:t xml:space="preserve">, para. 7.161, </w:t>
      </w:r>
      <w:r w:rsidR="00BC2C6E" w:rsidRPr="00380AEB">
        <w:rPr>
          <w:rFonts w:cs="Calibri"/>
          <w:i/>
          <w:color w:val="000000"/>
          <w:szCs w:val="18"/>
        </w:rPr>
        <w:t>EU – Biodiesel (Argentina)</w:t>
      </w:r>
      <w:r w:rsidR="00BC2C6E" w:rsidRPr="00380AEB">
        <w:rPr>
          <w:rFonts w:cs="Calibri"/>
          <w:szCs w:val="18"/>
        </w:rPr>
        <w:t xml:space="preserve">, para. 7.227, </w:t>
      </w:r>
      <w:r w:rsidR="00BC2C6E" w:rsidRPr="00380AEB">
        <w:rPr>
          <w:rFonts w:cs="Calibri"/>
          <w:i/>
          <w:color w:val="000000"/>
          <w:szCs w:val="18"/>
        </w:rPr>
        <w:t>EU – Biodiesel (Indonesia)</w:t>
      </w:r>
      <w:r w:rsidR="00BC2C6E" w:rsidRPr="00380AEB">
        <w:rPr>
          <w:rFonts w:cs="Calibri"/>
          <w:szCs w:val="18"/>
        </w:rPr>
        <w:t xml:space="preserve">, para. 7.65, </w:t>
      </w:r>
      <w:r w:rsidR="00BC2C6E" w:rsidRPr="00380AEB">
        <w:rPr>
          <w:rFonts w:cs="Calibri"/>
          <w:i/>
          <w:color w:val="000000"/>
          <w:szCs w:val="18"/>
        </w:rPr>
        <w:t>Australia – Anti-Dumping Measures on Paper</w:t>
      </w:r>
      <w:r w:rsidR="00BC2C6E" w:rsidRPr="00380AEB">
        <w:rPr>
          <w:rFonts w:cs="Calibri"/>
          <w:szCs w:val="18"/>
        </w:rPr>
        <w:t>, paras. 7.111, 7.115.</w:t>
      </w:r>
    </w:p>
  </w:footnote>
  <w:footnote w:id="58">
    <w:p w14:paraId="25174722" w14:textId="77777777" w:rsidR="00C022A6" w:rsidRDefault="00620C43">
      <w:pPr>
        <w:pStyle w:val="FootnoteText"/>
        <w:rPr>
          <w:szCs w:val="18"/>
        </w:rPr>
      </w:pPr>
      <w:r>
        <w:rPr>
          <w:rStyle w:val="FootnoteReference"/>
          <w:szCs w:val="18"/>
        </w:rPr>
        <w:footnoteRef/>
      </w:r>
      <w:r>
        <w:rPr>
          <w:szCs w:val="18"/>
        </w:rPr>
        <w:t xml:space="preserve"> China's second written submission, paras. 247(b).</w:t>
      </w:r>
    </w:p>
  </w:footnote>
  <w:footnote w:id="59">
    <w:p w14:paraId="0910B002" w14:textId="77777777" w:rsidR="00C022A6" w:rsidRDefault="00620C43">
      <w:pPr>
        <w:pStyle w:val="FootnoteText"/>
        <w:rPr>
          <w:rFonts w:cs="Calibri"/>
          <w:szCs w:val="18"/>
        </w:rPr>
      </w:pPr>
      <w:r>
        <w:rPr>
          <w:rStyle w:val="FootnoteReference"/>
          <w:rFonts w:cs="Calibri"/>
          <w:szCs w:val="18"/>
        </w:rPr>
        <w:footnoteRef/>
      </w:r>
      <w:r>
        <w:rPr>
          <w:rFonts w:cs="Calibri"/>
          <w:szCs w:val="18"/>
        </w:rPr>
        <w:t xml:space="preserve"> </w:t>
      </w:r>
      <w:r>
        <w:rPr>
          <w:rFonts w:asciiTheme="minorHAnsi" w:hAnsiTheme="minorHAnsi" w:cstheme="minorHAnsi"/>
          <w:szCs w:val="18"/>
        </w:rPr>
        <w:t>China's second written submission, para. 234.</w:t>
      </w:r>
    </w:p>
  </w:footnote>
  <w:footnote w:id="60">
    <w:p w14:paraId="603CE93B" w14:textId="77777777" w:rsidR="00C022A6" w:rsidRDefault="00620C43">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China's response to Panel question no. 106, para. 224.</w:t>
      </w:r>
    </w:p>
  </w:footnote>
  <w:footnote w:id="61">
    <w:p w14:paraId="1BCC7898" w14:textId="77777777" w:rsidR="00C022A6" w:rsidRDefault="00620C43">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China's response to Panel question no. 106, para. 224.</w:t>
      </w:r>
    </w:p>
  </w:footnote>
  <w:footnote w:id="62">
    <w:p w14:paraId="0E3B11E0" w14:textId="5FB1642A" w:rsidR="00C022A6" w:rsidRDefault="00620C43">
      <w:pPr>
        <w:pStyle w:val="FootnoteText"/>
        <w:rPr>
          <w:rFonts w:asciiTheme="minorHAnsi" w:hAnsiTheme="minorHAnsi" w:cstheme="minorHAnsi"/>
          <w:szCs w:val="18"/>
        </w:rPr>
      </w:pPr>
      <w:r>
        <w:rPr>
          <w:rStyle w:val="FootnoteReference"/>
          <w:rFonts w:asciiTheme="minorHAnsi" w:hAnsiTheme="minorHAnsi" w:cstheme="minorHAnsi"/>
          <w:szCs w:val="18"/>
        </w:rPr>
        <w:footnoteRef/>
      </w:r>
      <w:r>
        <w:rPr>
          <w:rFonts w:asciiTheme="minorHAnsi" w:hAnsiTheme="minorHAnsi" w:cstheme="minorHAnsi"/>
          <w:szCs w:val="18"/>
        </w:rPr>
        <w:t xml:space="preserve"> </w:t>
      </w:r>
      <w:r w:rsidR="00642BEA">
        <w:rPr>
          <w:rFonts w:asciiTheme="minorHAnsi" w:hAnsiTheme="minorHAnsi" w:cstheme="minorHAnsi"/>
          <w:szCs w:val="18"/>
        </w:rPr>
        <w:t xml:space="preserve">Australia's first written submission, para. 184 citing </w:t>
      </w:r>
      <w:r>
        <w:rPr>
          <w:rFonts w:asciiTheme="minorHAnsi" w:hAnsiTheme="minorHAnsi" w:cstheme="minorHAnsi"/>
          <w:szCs w:val="18"/>
        </w:rPr>
        <w:t xml:space="preserve">Panel Report, </w:t>
      </w:r>
      <w:r>
        <w:rPr>
          <w:rFonts w:asciiTheme="minorHAnsi" w:hAnsiTheme="minorHAnsi" w:cstheme="minorHAnsi"/>
          <w:i/>
          <w:szCs w:val="18"/>
        </w:rPr>
        <w:t>Australia – Anti-Dumping Measures on Paper</w:t>
      </w:r>
      <w:r>
        <w:rPr>
          <w:rFonts w:asciiTheme="minorHAnsi" w:hAnsiTheme="minorHAnsi" w:cstheme="minorHAnsi"/>
          <w:szCs w:val="18"/>
        </w:rPr>
        <w:t>, para. 7.111.</w:t>
      </w:r>
    </w:p>
  </w:footnote>
  <w:footnote w:id="63">
    <w:p w14:paraId="0B2969C3" w14:textId="77777777" w:rsidR="00C022A6" w:rsidRDefault="00620C43">
      <w:pPr>
        <w:pStyle w:val="FootnoteText"/>
      </w:pPr>
      <w:r>
        <w:rPr>
          <w:rStyle w:val="FootnoteReference"/>
        </w:rPr>
        <w:footnoteRef/>
      </w:r>
      <w:r>
        <w:t xml:space="preserve"> Australia's response to Panel question no. 79, para. 121.</w:t>
      </w:r>
    </w:p>
  </w:footnote>
  <w:footnote w:id="64">
    <w:p w14:paraId="4ECB17D5" w14:textId="77777777" w:rsidR="00C022A6" w:rsidRDefault="00620C43">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See Australia's first written submission, para. 191; Australia's second written submission, para. 186.</w:t>
      </w:r>
    </w:p>
  </w:footnote>
  <w:footnote w:id="65">
    <w:p w14:paraId="5433797E" w14:textId="77777777" w:rsidR="00471F72" w:rsidRDefault="00620C43">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See, e.g., Australia's first written submission, para. 191; Australia's second written submission, para. 186; </w:t>
      </w:r>
      <w:r w:rsidR="00ED72D3">
        <w:rPr>
          <w:rFonts w:asciiTheme="minorHAnsi" w:hAnsiTheme="minorHAnsi" w:cstheme="minorHAnsi"/>
        </w:rPr>
        <w:t xml:space="preserve">Australia's response to Panel question no. 106, para. 232; </w:t>
      </w:r>
      <w:r>
        <w:rPr>
          <w:rFonts w:asciiTheme="minorHAnsi" w:hAnsiTheme="minorHAnsi" w:cstheme="minorHAnsi"/>
        </w:rPr>
        <w:t>Australia's response to Panel question no. 79, para. 140</w:t>
      </w:r>
      <w:r w:rsidR="00ED72D3">
        <w:rPr>
          <w:rFonts w:asciiTheme="minorHAnsi" w:hAnsiTheme="minorHAnsi" w:cstheme="minorHAnsi"/>
        </w:rPr>
        <w:t>, fn. 126:</w:t>
      </w:r>
    </w:p>
    <w:p w14:paraId="605E36D8" w14:textId="33F2376C" w:rsidR="00C022A6" w:rsidRDefault="00ED72D3" w:rsidP="00471F72">
      <w:pPr>
        <w:pStyle w:val="FootnoteText"/>
        <w:ind w:left="720"/>
        <w:rPr>
          <w:rFonts w:asciiTheme="minorHAnsi" w:hAnsiTheme="minorHAnsi" w:cstheme="minorHAnsi"/>
        </w:rPr>
      </w:pPr>
      <w:r>
        <w:rPr>
          <w:rFonts w:asciiTheme="minorHAnsi" w:hAnsiTheme="minorHAnsi" w:cstheme="minorHAnsi"/>
        </w:rPr>
        <w:t xml:space="preserve">Australia </w:t>
      </w:r>
      <w:r w:rsidR="00620C43">
        <w:rPr>
          <w:rFonts w:asciiTheme="minorHAnsi" w:hAnsiTheme="minorHAnsi" w:cstheme="minorHAnsi"/>
        </w:rPr>
        <w:t xml:space="preserve">notes that this fact and circumstance-specific interpretation of </w:t>
      </w:r>
      <w:r w:rsidR="00BC2C6E">
        <w:rPr>
          <w:rFonts w:asciiTheme="minorHAnsi" w:hAnsiTheme="minorHAnsi" w:cstheme="minorHAnsi"/>
        </w:rPr>
        <w:t>"</w:t>
      </w:r>
      <w:r w:rsidR="00620C43">
        <w:rPr>
          <w:rFonts w:asciiTheme="minorHAnsi" w:hAnsiTheme="minorHAnsi" w:cstheme="minorHAnsi"/>
        </w:rPr>
        <w:t>normally</w:t>
      </w:r>
      <w:r w:rsidR="00BC2C6E">
        <w:rPr>
          <w:rFonts w:asciiTheme="minorHAnsi" w:hAnsiTheme="minorHAnsi" w:cstheme="minorHAnsi"/>
        </w:rPr>
        <w:t>"</w:t>
      </w:r>
      <w:r w:rsidR="00620C43">
        <w:rPr>
          <w:rFonts w:asciiTheme="minorHAnsi" w:hAnsiTheme="minorHAnsi" w:cstheme="minorHAnsi"/>
        </w:rPr>
        <w:t xml:space="preserve"> was adopted by the panel in </w:t>
      </w:r>
      <w:r w:rsidR="00620C43">
        <w:rPr>
          <w:rFonts w:asciiTheme="minorHAnsi" w:hAnsiTheme="minorHAnsi" w:cstheme="minorHAnsi"/>
          <w:i/>
        </w:rPr>
        <w:t>Pakistan — BOPP Film (UAE)</w:t>
      </w:r>
      <w:r w:rsidR="00620C43">
        <w:rPr>
          <w:rFonts w:asciiTheme="minorHAnsi" w:hAnsiTheme="minorHAnsi" w:cstheme="minorHAnsi"/>
        </w:rPr>
        <w:t>. While that panel's focus was on the use of the term "normally" in the different context of Article 11.4 of the Anti-Dumping Agreement, it is clear from the panel's reasoning that an analogy was to be drawn with the use of "normally" in Article 2.2.1.1. That panel report has been appealed by Pakistan, but the notice of appeal (as far as Australia is aware) does not refer to the panel's findings relating to the interpretation of Article 11.4 of the Anti-Dumping Agreement.</w:t>
      </w:r>
    </w:p>
  </w:footnote>
  <w:footnote w:id="66">
    <w:p w14:paraId="38E432BD" w14:textId="77777777" w:rsidR="00B91D4D" w:rsidRDefault="00B91D4D" w:rsidP="00B91D4D">
      <w:pPr>
        <w:pStyle w:val="FootnoteText"/>
      </w:pPr>
      <w:r>
        <w:rPr>
          <w:rStyle w:val="FootnoteReference"/>
        </w:rPr>
        <w:footnoteRef/>
      </w:r>
      <w:r>
        <w:t xml:space="preserve"> China's opening statement </w:t>
      </w:r>
      <w:r w:rsidRPr="00E41D4C">
        <w:t>at the first Panel meeting</w:t>
      </w:r>
      <w:r>
        <w:t>, paras. 45-46.</w:t>
      </w:r>
    </w:p>
  </w:footnote>
  <w:footnote w:id="67">
    <w:p w14:paraId="257B4EDC" w14:textId="4DE91AE7" w:rsidR="00B91D4D" w:rsidRDefault="00B91D4D" w:rsidP="00B91D4D">
      <w:pPr>
        <w:pStyle w:val="FootnoteText"/>
      </w:pPr>
      <w:r>
        <w:rPr>
          <w:rStyle w:val="FootnoteReference"/>
        </w:rPr>
        <w:footnoteRef/>
      </w:r>
      <w:r>
        <w:t xml:space="preserve"> Australia's first written submission, paras. 279-283; Australia's opening statement </w:t>
      </w:r>
      <w:r w:rsidRPr="00E41D4C">
        <w:t>at the first Panel meeting</w:t>
      </w:r>
      <w:r>
        <w:t xml:space="preserve"> paras. 61-63; Australia's closing statement </w:t>
      </w:r>
      <w:r w:rsidRPr="00E41D4C">
        <w:t>at the first Panel meeting</w:t>
      </w:r>
      <w:r>
        <w:t xml:space="preserve">, paras. 17-21; Appellate Body Report, </w:t>
      </w:r>
      <w:r>
        <w:rPr>
          <w:i/>
          <w:iCs/>
        </w:rPr>
        <w:t>EU – Biodiesel (Argentina)</w:t>
      </w:r>
      <w:r>
        <w:t>, para. 6.70</w:t>
      </w:r>
      <w:r w:rsidR="00471F72">
        <w:t>:</w:t>
      </w:r>
    </w:p>
    <w:p w14:paraId="068D0B5E" w14:textId="77777777" w:rsidR="00B91D4D" w:rsidRDefault="00B91D4D" w:rsidP="00B91D4D">
      <w:pPr>
        <w:pStyle w:val="FootnoteText"/>
        <w:ind w:left="720"/>
      </w:pPr>
      <w:r>
        <w:t>We observe that Article 2.2 of the Anti‐Dumping Agreement and Article VI:1(b)(ii) of the GATT 1994 do not contain additional words or qualifying language specifying the type of evidence that must be used, or limiting the sources of information or evidence to only those sources inside the country of origin. An investigating authority will naturally look for information on the cost of production "in the country of origin" from sources inside the country. At the same time, these provisions do not preclude the possibility that the authority may also need to look for such information from sources outside the country.</w:t>
      </w:r>
    </w:p>
  </w:footnote>
  <w:footnote w:id="68">
    <w:p w14:paraId="4C1E616E" w14:textId="48DC7F73" w:rsidR="0022783D" w:rsidRDefault="0022783D">
      <w:pPr>
        <w:pStyle w:val="FootnoteText"/>
      </w:pPr>
      <w:r>
        <w:rPr>
          <w:rStyle w:val="FootnoteReference"/>
        </w:rPr>
        <w:footnoteRef/>
      </w:r>
      <w:r>
        <w:t xml:space="preserve"> </w:t>
      </w:r>
      <w:r w:rsidR="00F80E3E">
        <w:t>Australia’s second written submission, paras. 196-198.</w:t>
      </w:r>
    </w:p>
  </w:footnote>
  <w:footnote w:id="69">
    <w:p w14:paraId="6F797B33" w14:textId="55FA91EA" w:rsidR="00F80E3E" w:rsidRDefault="00F80E3E">
      <w:pPr>
        <w:pStyle w:val="FootnoteText"/>
      </w:pPr>
      <w:r>
        <w:rPr>
          <w:rStyle w:val="FootnoteReference"/>
        </w:rPr>
        <w:footnoteRef/>
      </w:r>
      <w:r>
        <w:t xml:space="preserve"> Australia’s second written submission, para. 200.</w:t>
      </w:r>
    </w:p>
  </w:footnote>
  <w:footnote w:id="70">
    <w:p w14:paraId="769A5F6C" w14:textId="695E6C00" w:rsidR="00902E4D" w:rsidRDefault="00902E4D">
      <w:pPr>
        <w:pStyle w:val="FootnoteText"/>
      </w:pPr>
      <w:r>
        <w:rPr>
          <w:rStyle w:val="FootnoteReference"/>
        </w:rPr>
        <w:footnoteRef/>
      </w:r>
      <w:r>
        <w:t xml:space="preserve"> Australia’s first written submission, para</w:t>
      </w:r>
      <w:r w:rsidR="00F80E3E">
        <w:t>s.</w:t>
      </w:r>
      <w:r>
        <w:t xml:space="preserve"> 298-300; Australia’s second written submission, paras</w:t>
      </w:r>
      <w:r w:rsidR="009A634D">
        <w:t xml:space="preserve">. </w:t>
      </w:r>
      <w:r>
        <w:t xml:space="preserve">199 to 201. </w:t>
      </w:r>
    </w:p>
  </w:footnote>
  <w:footnote w:id="71">
    <w:p w14:paraId="1EC45C5D" w14:textId="41163690" w:rsidR="00C022A6" w:rsidRDefault="00620C43">
      <w:pPr>
        <w:pStyle w:val="FootnoteText"/>
      </w:pPr>
      <w:r>
        <w:rPr>
          <w:rStyle w:val="FootnoteReference"/>
        </w:rPr>
        <w:footnoteRef/>
      </w:r>
      <w:r>
        <w:t xml:space="preserve"> Panel question no. 21</w:t>
      </w:r>
      <w:r w:rsidR="00471F72">
        <w:t>:</w:t>
      </w:r>
    </w:p>
    <w:p w14:paraId="6E1818C6" w14:textId="77777777" w:rsidR="00C022A6" w:rsidRDefault="00620C43">
      <w:pPr>
        <w:pStyle w:val="FootnoteText"/>
        <w:ind w:left="720"/>
      </w:pPr>
      <w:r w:rsidRPr="00812BCF">
        <w:t>To both parties - If</w:t>
      </w:r>
      <w:r>
        <w:t xml:space="preserve"> non-Chinese surrogate costs were properly used by the ADC to construct normal values, consistent with Articles 2.2.1.1 and 2.2, would the adjustments that China advocates have led the ADC to essentially revert back to the exporters' actual costs to construct normal values? Would such a result make legal or practical sense? Please explain.</w:t>
      </w:r>
    </w:p>
  </w:footnote>
  <w:footnote w:id="72">
    <w:p w14:paraId="4827712B" w14:textId="1EF598B2" w:rsidR="00721F42" w:rsidRDefault="00721F42">
      <w:pPr>
        <w:pStyle w:val="FootnoteText"/>
      </w:pPr>
      <w:r w:rsidRPr="002A1CA2">
        <w:rPr>
          <w:rStyle w:val="FootnoteReference"/>
        </w:rPr>
        <w:footnoteRef/>
      </w:r>
      <w:r w:rsidRPr="002A1CA2">
        <w:t xml:space="preserve"> </w:t>
      </w:r>
      <w:r w:rsidR="002A1CA2" w:rsidRPr="002A1CA2">
        <w:t>Australia's second written submission, para. 197.</w:t>
      </w:r>
    </w:p>
  </w:footnote>
  <w:footnote w:id="73">
    <w:p w14:paraId="2D7B5E97" w14:textId="77777777" w:rsidR="00C022A6" w:rsidRDefault="00620C43">
      <w:pPr>
        <w:pStyle w:val="FootnoteText"/>
      </w:pPr>
      <w:r>
        <w:rPr>
          <w:rStyle w:val="FootnoteReference"/>
        </w:rPr>
        <w:footnoteRef/>
      </w:r>
      <w:r>
        <w:t xml:space="preserve"> </w:t>
      </w:r>
      <w:r>
        <w:rPr>
          <w:rFonts w:asciiTheme="minorHAnsi" w:hAnsiTheme="minorHAnsi" w:cstheme="minorHAnsi"/>
          <w:szCs w:val="18"/>
        </w:rPr>
        <w:t>China's panel request, section B.1.5.</w:t>
      </w:r>
    </w:p>
  </w:footnote>
  <w:footnote w:id="74">
    <w:p w14:paraId="70E887AA" w14:textId="73FF2B5E" w:rsidR="00C022A6" w:rsidRDefault="00620C43">
      <w:pPr>
        <w:pStyle w:val="FootnoteText"/>
      </w:pPr>
      <w:r>
        <w:rPr>
          <w:rStyle w:val="FootnoteReference"/>
        </w:rPr>
        <w:footnoteRef/>
      </w:r>
      <w:r>
        <w:t xml:space="preserve"> Australia’s second written submission at paras. 209 – 214.</w:t>
      </w:r>
    </w:p>
  </w:footnote>
  <w:footnote w:id="75">
    <w:p w14:paraId="23A98988" w14:textId="77777777" w:rsidR="00C022A6" w:rsidRDefault="00620C43">
      <w:pPr>
        <w:pStyle w:val="FootnoteText"/>
      </w:pPr>
      <w:r>
        <w:rPr>
          <w:rStyle w:val="FootnoteReference"/>
        </w:rPr>
        <w:footnoteRef/>
      </w:r>
      <w:r>
        <w:t xml:space="preserve"> China's first written submission, para. 308.</w:t>
      </w:r>
    </w:p>
  </w:footnote>
  <w:footnote w:id="76">
    <w:p w14:paraId="3A0DFB27" w14:textId="77777777" w:rsidR="00C022A6" w:rsidRDefault="00620C43">
      <w:pPr>
        <w:pStyle w:val="FootnoteText"/>
      </w:pPr>
      <w:r>
        <w:rPr>
          <w:rStyle w:val="FootnoteReference"/>
        </w:rPr>
        <w:footnoteRef/>
      </w:r>
      <w:r>
        <w:t xml:space="preserve"> China's response to Panel's question no. 15, paras. 49-54.</w:t>
      </w:r>
    </w:p>
  </w:footnote>
  <w:footnote w:id="77">
    <w:p w14:paraId="4568CB5A" w14:textId="77777777" w:rsidR="00C022A6" w:rsidRPr="00BA4685" w:rsidRDefault="00620C43">
      <w:pPr>
        <w:pStyle w:val="FootnoteText"/>
        <w:rPr>
          <w:lang w:val="en-US"/>
        </w:rPr>
      </w:pPr>
      <w:r>
        <w:rPr>
          <w:rStyle w:val="FootnoteReference"/>
        </w:rPr>
        <w:footnoteRef/>
      </w:r>
      <w:r>
        <w:t xml:space="preserve"> Australia's first written submission, paras. </w:t>
      </w:r>
      <w:r w:rsidRPr="00BA4685">
        <w:rPr>
          <w:lang w:val="en-US"/>
        </w:rPr>
        <w:t>260-265.</w:t>
      </w:r>
    </w:p>
  </w:footnote>
  <w:footnote w:id="78">
    <w:p w14:paraId="604E20C6" w14:textId="50889948" w:rsidR="00C022A6" w:rsidRPr="00BA4685" w:rsidRDefault="00620C43">
      <w:pPr>
        <w:pStyle w:val="FootnoteText"/>
        <w:rPr>
          <w:lang w:val="fr-CH"/>
        </w:rPr>
      </w:pPr>
      <w:r w:rsidRPr="00642BEA">
        <w:rPr>
          <w:rStyle w:val="FootnoteReference"/>
        </w:rPr>
        <w:footnoteRef/>
      </w:r>
      <w:r w:rsidRPr="00642BEA">
        <w:rPr>
          <w:lang w:val="en-US"/>
        </w:rPr>
        <w:t xml:space="preserve"> </w:t>
      </w:r>
      <w:r w:rsidRPr="00642BEA">
        <w:t>China's opening statement</w:t>
      </w:r>
      <w:r w:rsidR="0001723E" w:rsidRPr="00642BEA">
        <w:t xml:space="preserve"> at the first Panel meeting</w:t>
      </w:r>
      <w:r w:rsidRPr="00642BEA">
        <w:t xml:space="preserve">, para. </w:t>
      </w:r>
      <w:r w:rsidRPr="00642BEA">
        <w:rPr>
          <w:lang w:val="fr-CH"/>
        </w:rPr>
        <w:t>93.</w:t>
      </w:r>
    </w:p>
  </w:footnote>
  <w:footnote w:id="79">
    <w:p w14:paraId="257C1D5D" w14:textId="77777777" w:rsidR="00320562" w:rsidRDefault="00320562" w:rsidP="00320562">
      <w:pPr>
        <w:pStyle w:val="FootnoteText"/>
      </w:pPr>
      <w:r>
        <w:rPr>
          <w:rStyle w:val="FootnoteReference"/>
          <w:rFonts w:eastAsiaTheme="majorEastAsia"/>
        </w:rPr>
        <w:footnoteRef/>
      </w:r>
      <w:r w:rsidRPr="00BA4685">
        <w:rPr>
          <w:lang w:val="fr-CH"/>
        </w:rPr>
        <w:t xml:space="preserve"> Panel Report, </w:t>
      </w:r>
      <w:r w:rsidRPr="00BA4685">
        <w:rPr>
          <w:i/>
          <w:iCs/>
          <w:lang w:val="fr-CH"/>
        </w:rPr>
        <w:t>EU – Biodiesel (Argentina),</w:t>
      </w:r>
      <w:r w:rsidRPr="00BA4685">
        <w:rPr>
          <w:lang w:val="fr-CH"/>
        </w:rPr>
        <w:t xml:space="preserve"> para. </w:t>
      </w:r>
      <w:r>
        <w:t xml:space="preserve">7.296; Panel Report, </w:t>
      </w:r>
      <w:r>
        <w:rPr>
          <w:i/>
          <w:iCs/>
        </w:rPr>
        <w:t>Egypt – Steel Rebar,</w:t>
      </w:r>
      <w:r>
        <w:t xml:space="preserve"> para. 7.333; Panel Report, </w:t>
      </w:r>
      <w:r>
        <w:rPr>
          <w:i/>
          <w:iCs/>
        </w:rPr>
        <w:t>EU – Footwear (China)</w:t>
      </w:r>
      <w:r>
        <w:t>, para. 7.263.</w:t>
      </w:r>
    </w:p>
  </w:footnote>
  <w:footnote w:id="80">
    <w:p w14:paraId="2C9FB9B1" w14:textId="76660D2A" w:rsidR="00153CBD" w:rsidRDefault="00153CBD">
      <w:pPr>
        <w:pStyle w:val="FootnoteText"/>
      </w:pPr>
      <w:r>
        <w:rPr>
          <w:rStyle w:val="FootnoteReference"/>
        </w:rPr>
        <w:footnoteRef/>
      </w:r>
      <w:r>
        <w:t xml:space="preserve"> Australia’s second written submission, para.</w:t>
      </w:r>
      <w:r w:rsidR="00471F72">
        <w:t xml:space="preserve"> </w:t>
      </w:r>
      <w:r>
        <w:t>268.</w:t>
      </w:r>
    </w:p>
  </w:footnote>
  <w:footnote w:id="81">
    <w:p w14:paraId="1D9E2F2E" w14:textId="502BD20D" w:rsidR="00153CBD" w:rsidRDefault="00153CBD">
      <w:pPr>
        <w:pStyle w:val="FootnoteText"/>
      </w:pPr>
      <w:r>
        <w:rPr>
          <w:rStyle w:val="FootnoteReference"/>
        </w:rPr>
        <w:footnoteRef/>
      </w:r>
      <w:r>
        <w:t xml:space="preserve"> Australia’s second written submission, para. 268.</w:t>
      </w:r>
    </w:p>
  </w:footnote>
  <w:footnote w:id="82">
    <w:p w14:paraId="7482A609" w14:textId="77777777" w:rsidR="00C022A6" w:rsidRDefault="00620C43">
      <w:pPr>
        <w:pStyle w:val="FootnoteText"/>
        <w:rPr>
          <w:rFonts w:asciiTheme="minorHAnsi" w:hAnsiTheme="minorHAnsi" w:cstheme="minorHAnsi"/>
          <w:szCs w:val="18"/>
        </w:rPr>
      </w:pPr>
      <w:r>
        <w:rPr>
          <w:rStyle w:val="FootnoteReference"/>
          <w:rFonts w:asciiTheme="minorHAnsi" w:hAnsiTheme="minorHAnsi" w:cstheme="minorHAnsi"/>
          <w:color w:val="auto"/>
          <w:szCs w:val="18"/>
        </w:rPr>
        <w:footnoteRef/>
      </w:r>
      <w:r>
        <w:rPr>
          <w:rFonts w:asciiTheme="minorHAnsi" w:hAnsiTheme="minorHAnsi" w:cstheme="minorHAnsi"/>
          <w:szCs w:val="18"/>
        </w:rPr>
        <w:t xml:space="preserve"> China's first written submission, paras. 431-432.</w:t>
      </w:r>
    </w:p>
  </w:footnote>
  <w:footnote w:id="83">
    <w:p w14:paraId="5328ADB1" w14:textId="77777777" w:rsidR="00C022A6" w:rsidRDefault="00620C43">
      <w:pPr>
        <w:pStyle w:val="FootnoteText"/>
      </w:pPr>
      <w:r>
        <w:rPr>
          <w:rStyle w:val="FootnoteReference"/>
        </w:rPr>
        <w:footnoteRef/>
      </w:r>
      <w:r>
        <w:t xml:space="preserve"> Australia's first written submission, paras. 337-341.</w:t>
      </w:r>
    </w:p>
  </w:footnote>
  <w:footnote w:id="84">
    <w:p w14:paraId="5A9C340B" w14:textId="77777777" w:rsidR="00C022A6" w:rsidRDefault="00620C43">
      <w:pPr>
        <w:pStyle w:val="FootnoteText"/>
      </w:pPr>
      <w:r>
        <w:rPr>
          <w:rStyle w:val="FootnoteReference"/>
        </w:rPr>
        <w:footnoteRef/>
      </w:r>
      <w:r>
        <w:t xml:space="preserve"> Australia's response to Panel question no. 31, paras. 88-93.</w:t>
      </w:r>
    </w:p>
  </w:footnote>
  <w:footnote w:id="85">
    <w:p w14:paraId="3585748C" w14:textId="77777777" w:rsidR="00C022A6" w:rsidRDefault="00620C43">
      <w:pPr>
        <w:pStyle w:val="FootnoteText"/>
      </w:pPr>
      <w:r>
        <w:rPr>
          <w:rStyle w:val="FootnoteReference"/>
        </w:rPr>
        <w:footnoteRef/>
      </w:r>
      <w:r>
        <w:t xml:space="preserve"> See </w:t>
      </w:r>
      <w:r>
        <w:rPr>
          <w:i/>
          <w:iCs/>
        </w:rPr>
        <w:t>Emails from Percival Legal to ADC, dated 9 June 2018 to 11 June 2018</w:t>
      </w:r>
      <w:r>
        <w:t>, (Exhibit AUS-77).</w:t>
      </w:r>
    </w:p>
  </w:footnote>
  <w:footnote w:id="86">
    <w:p w14:paraId="5BD4DD93" w14:textId="77777777" w:rsidR="00C022A6" w:rsidRDefault="00620C43">
      <w:pPr>
        <w:pStyle w:val="FootnoteText"/>
      </w:pPr>
      <w:r>
        <w:rPr>
          <w:rStyle w:val="FootnoteReference"/>
        </w:rPr>
        <w:footnoteRef/>
      </w:r>
      <w:r>
        <w:t xml:space="preserve"> Australia’s first written submission, para 343; Australia’s second written submission, para 229.</w:t>
      </w:r>
    </w:p>
  </w:footnote>
  <w:footnote w:id="87">
    <w:p w14:paraId="10452B85" w14:textId="77777777" w:rsidR="00C022A6" w:rsidRDefault="00620C43">
      <w:pPr>
        <w:pStyle w:val="FootnoteText"/>
      </w:pPr>
      <w:r>
        <w:rPr>
          <w:rStyle w:val="FootnoteReference"/>
        </w:rPr>
        <w:footnoteRef/>
      </w:r>
      <w:r>
        <w:t xml:space="preserve"> Australia's first written submission, para. 344.</w:t>
      </w:r>
    </w:p>
  </w:footnote>
  <w:footnote w:id="88">
    <w:p w14:paraId="48A33BFF" w14:textId="77777777" w:rsidR="00C022A6" w:rsidRDefault="00620C43">
      <w:pPr>
        <w:pStyle w:val="FootnoteText"/>
      </w:pPr>
      <w:r>
        <w:rPr>
          <w:rStyle w:val="FootnoteReference"/>
        </w:rPr>
        <w:footnoteRef/>
      </w:r>
      <w:r>
        <w:t xml:space="preserve"> Australia's comments on China's response to Panel question no. 95, paras. 87-96.</w:t>
      </w:r>
    </w:p>
  </w:footnote>
  <w:footnote w:id="89">
    <w:p w14:paraId="394185B2" w14:textId="6BE8C206" w:rsidR="00C022A6" w:rsidRDefault="00620C43">
      <w:pPr>
        <w:pStyle w:val="FootnoteText"/>
      </w:pPr>
      <w:r>
        <w:rPr>
          <w:rStyle w:val="FootnoteReference"/>
        </w:rPr>
        <w:footnoteRef/>
      </w:r>
      <w:r>
        <w:t xml:space="preserve"> Australia's first written submission, para. 149; Australia's second written submission, paras. 144-145, 235; Australia's closing statement</w:t>
      </w:r>
      <w:r w:rsidR="0001723E">
        <w:t xml:space="preserve"> </w:t>
      </w:r>
      <w:r w:rsidR="0001723E" w:rsidRPr="0002538B">
        <w:t>at the first Panel meeting</w:t>
      </w:r>
      <w:r>
        <w:t xml:space="preserve">, para. 24; Panel Report, </w:t>
      </w:r>
      <w:r>
        <w:rPr>
          <w:i/>
          <w:iCs/>
        </w:rPr>
        <w:t>Australia – Anti-Dumping Measures on Paper</w:t>
      </w:r>
      <w:r>
        <w:t xml:space="preserve">, paras. 7.102-7.103. See </w:t>
      </w:r>
      <w:r>
        <w:rPr>
          <w:i/>
          <w:iCs/>
        </w:rPr>
        <w:t>Customs (International Obligations) Regulation 2015</w:t>
      </w:r>
      <w:r>
        <w:t>, (Exhibit CHN-41), pp. 36-37.</w:t>
      </w:r>
    </w:p>
  </w:footnote>
  <w:footnote w:id="90">
    <w:p w14:paraId="21B2D243" w14:textId="77777777" w:rsidR="00C022A6" w:rsidRDefault="00620C43">
      <w:pPr>
        <w:pStyle w:val="FootnoteText"/>
      </w:pPr>
      <w:r>
        <w:rPr>
          <w:rStyle w:val="FootnoteReference"/>
        </w:rPr>
        <w:footnoteRef/>
      </w:r>
      <w:r>
        <w:t xml:space="preserve"> Australia's second written submission, para. 240; see also para. 145; </w:t>
      </w:r>
      <w:r>
        <w:rPr>
          <w:i/>
          <w:iCs/>
        </w:rPr>
        <w:t>Stainless Steel Sinks Investigation 238 Report</w:t>
      </w:r>
      <w:r>
        <w:t>, (Exhibit CHN-2), p. 42.</w:t>
      </w:r>
    </w:p>
  </w:footnote>
  <w:footnote w:id="91">
    <w:p w14:paraId="64390A96" w14:textId="77777777" w:rsidR="00C022A6" w:rsidRDefault="00620C43">
      <w:pPr>
        <w:pStyle w:val="FootnoteText"/>
      </w:pPr>
      <w:r>
        <w:rPr>
          <w:rStyle w:val="FootnoteReference"/>
        </w:rPr>
        <w:footnoteRef/>
      </w:r>
      <w:r>
        <w:t xml:space="preserve"> Australia's second written submission, para. 240; </w:t>
      </w:r>
      <w:r>
        <w:rPr>
          <w:i/>
          <w:iCs/>
        </w:rPr>
        <w:t>Stainless Steel Sinks Investigation 238 Report</w:t>
      </w:r>
      <w:r>
        <w:t>, (Exhibit CHN-2), pp. 42, 134-136, 146-147.</w:t>
      </w:r>
    </w:p>
  </w:footnote>
  <w:footnote w:id="92">
    <w:p w14:paraId="7B5809CF" w14:textId="28459A20" w:rsidR="00C022A6" w:rsidRDefault="00620C43">
      <w:pPr>
        <w:pStyle w:val="FootnoteText"/>
      </w:pPr>
      <w:r>
        <w:rPr>
          <w:rStyle w:val="FootnoteReference"/>
        </w:rPr>
        <w:footnoteRef/>
      </w:r>
      <w:r>
        <w:t xml:space="preserve"> </w:t>
      </w:r>
      <w:r w:rsidR="001915F1" w:rsidRPr="007A2D12">
        <w:t>Australia's first written submission, paras. 362 -381; Australia's second written submission, paras. 237, 241-243</w:t>
      </w:r>
      <w:r w:rsidR="001915F1">
        <w:t xml:space="preserve">; </w:t>
      </w:r>
      <w:r w:rsidR="001915F1" w:rsidRPr="007A2D12">
        <w:t>Australia's response to Panel question no. 61, paras. 194. Australia's response to Panel question no. 78, paras. 85-91.</w:t>
      </w:r>
    </w:p>
  </w:footnote>
  <w:footnote w:id="93">
    <w:p w14:paraId="7B7D4AEC" w14:textId="1D929EBD" w:rsidR="00C022A6" w:rsidRDefault="00620C43">
      <w:pPr>
        <w:pStyle w:val="FootnoteText"/>
      </w:pPr>
      <w:r>
        <w:rPr>
          <w:rStyle w:val="FootnoteReference"/>
        </w:rPr>
        <w:footnoteRef/>
      </w:r>
      <w:r>
        <w:t xml:space="preserve"> </w:t>
      </w:r>
      <w:r w:rsidR="001915F1" w:rsidRPr="007A2D12">
        <w:t xml:space="preserve">Australia's first written submission, paras. 362 -381; </w:t>
      </w:r>
      <w:r w:rsidR="001915F1">
        <w:t xml:space="preserve">Australia's second written submission, para. 241; </w:t>
      </w:r>
      <w:r w:rsidR="001915F1" w:rsidRPr="007A2D12">
        <w:t>Australia's response to Panel question no. 61, paras. 194. Australia's response to Panel question no. 78, paras. 85-91.</w:t>
      </w:r>
    </w:p>
  </w:footnote>
  <w:footnote w:id="94">
    <w:p w14:paraId="10B04256" w14:textId="148C6999" w:rsidR="00C022A6" w:rsidRDefault="00620C43">
      <w:pPr>
        <w:pStyle w:val="FootnoteText"/>
      </w:pPr>
      <w:r>
        <w:rPr>
          <w:rStyle w:val="FootnoteReference"/>
        </w:rPr>
        <w:footnoteRef/>
      </w:r>
      <w:r>
        <w:t xml:space="preserve"> </w:t>
      </w:r>
      <w:r w:rsidR="001915F1">
        <w:t>Australia's first written submission, para. 374 – 380; Australia's second written submission, para. 241; Australia's response to Panel question no.61, para. 194; Australia's response to Panel question nos. 85-91.</w:t>
      </w:r>
    </w:p>
  </w:footnote>
  <w:footnote w:id="95">
    <w:p w14:paraId="54EDA7CB" w14:textId="4D551870" w:rsidR="00C022A6" w:rsidRDefault="00620C43">
      <w:pPr>
        <w:pStyle w:val="FootnoteText"/>
      </w:pPr>
      <w:r>
        <w:rPr>
          <w:rStyle w:val="FootnoteReference"/>
        </w:rPr>
        <w:footnoteRef/>
      </w:r>
      <w:r>
        <w:t xml:space="preserve"> </w:t>
      </w:r>
      <w:r w:rsidR="001915F1" w:rsidRPr="00544092">
        <w:rPr>
          <w:i/>
          <w:iCs/>
        </w:rPr>
        <w:t>Stainless Steel Sinks Investigation 238 Report</w:t>
      </w:r>
      <w:r w:rsidR="001915F1" w:rsidRPr="0075246C">
        <w:t>, (Exhibit CHN-2), pp. 134-136.</w:t>
      </w:r>
      <w:r w:rsidR="001915F1">
        <w:t xml:space="preserve"> See also </w:t>
      </w:r>
      <w:r w:rsidR="001915F1" w:rsidRPr="007A2D12">
        <w:t xml:space="preserve">Australia's first written submission, paras. 362 -381; </w:t>
      </w:r>
      <w:r w:rsidR="001915F1">
        <w:t xml:space="preserve">Australia's second written submission, para. 241; </w:t>
      </w:r>
      <w:r w:rsidR="001915F1" w:rsidRPr="007A2D12">
        <w:t>Australia's response to Panel question no. 61, paras. 194. Australia's response to Panel question no. 78, paras. 85-91.</w:t>
      </w:r>
    </w:p>
  </w:footnote>
  <w:footnote w:id="96">
    <w:p w14:paraId="3C4B0CAF" w14:textId="5F8FDA90" w:rsidR="00C022A6" w:rsidRDefault="00620C43">
      <w:pPr>
        <w:pStyle w:val="FootnoteText"/>
      </w:pPr>
      <w:r>
        <w:rPr>
          <w:rStyle w:val="FootnoteReference"/>
        </w:rPr>
        <w:footnoteRef/>
      </w:r>
      <w:r>
        <w:t xml:space="preserve"> </w:t>
      </w:r>
      <w:r w:rsidR="001915F1" w:rsidRPr="00544092">
        <w:rPr>
          <w:i/>
          <w:iCs/>
        </w:rPr>
        <w:t>Stainless Steel Sinks Investigation 238 Report</w:t>
      </w:r>
      <w:r w:rsidR="001915F1" w:rsidRPr="0075246C">
        <w:t>, (Exhibit CHN-2), p. 146.</w:t>
      </w:r>
      <w:r w:rsidR="001915F1">
        <w:t xml:space="preserve"> See also </w:t>
      </w:r>
      <w:r w:rsidR="001915F1" w:rsidRPr="007A2D12">
        <w:t xml:space="preserve">Australia's first written submission, paras. 362 -381; </w:t>
      </w:r>
      <w:r w:rsidR="001915F1">
        <w:t>Australia's second written submission, para. 241.</w:t>
      </w:r>
    </w:p>
  </w:footnote>
  <w:footnote w:id="97">
    <w:p w14:paraId="26326BAB" w14:textId="300E4DD1" w:rsidR="00C022A6" w:rsidRDefault="00620C43">
      <w:pPr>
        <w:pStyle w:val="FootnoteText"/>
      </w:pPr>
      <w:r>
        <w:rPr>
          <w:rStyle w:val="FootnoteReference"/>
        </w:rPr>
        <w:footnoteRef/>
      </w:r>
      <w:r>
        <w:t xml:space="preserve"> </w:t>
      </w:r>
      <w:r w:rsidR="001915F1" w:rsidRPr="009E6D2E">
        <w:rPr>
          <w:rFonts w:asciiTheme="minorHAnsi" w:hAnsiTheme="minorHAnsi" w:cstheme="minorHAnsi"/>
          <w:szCs w:val="18"/>
          <w:lang w:val="fr-CH"/>
        </w:rPr>
        <w:t xml:space="preserve">Panel Reports, </w:t>
      </w:r>
      <w:r w:rsidR="001915F1" w:rsidRPr="009E6D2E">
        <w:rPr>
          <w:rFonts w:asciiTheme="minorHAnsi" w:hAnsiTheme="minorHAnsi" w:cstheme="minorHAnsi"/>
          <w:i/>
          <w:szCs w:val="18"/>
          <w:lang w:val="fr-CH"/>
        </w:rPr>
        <w:t>EU – Biodiesel (Argentina)</w:t>
      </w:r>
      <w:r w:rsidR="001915F1" w:rsidRPr="009E6D2E">
        <w:rPr>
          <w:rFonts w:asciiTheme="minorHAnsi" w:hAnsiTheme="minorHAnsi" w:cstheme="minorHAnsi"/>
          <w:szCs w:val="18"/>
          <w:lang w:val="fr-CH"/>
        </w:rPr>
        <w:t xml:space="preserve">, fn. 400, </w:t>
      </w:r>
      <w:r w:rsidR="001915F1" w:rsidRPr="009E6D2E">
        <w:rPr>
          <w:rFonts w:asciiTheme="minorHAnsi" w:hAnsiTheme="minorHAnsi" w:cstheme="minorHAnsi"/>
          <w:i/>
          <w:szCs w:val="18"/>
          <w:lang w:val="fr-CH"/>
        </w:rPr>
        <w:t>EU – Biodiesel (Argentina)</w:t>
      </w:r>
      <w:r w:rsidR="001915F1" w:rsidRPr="009E6D2E">
        <w:rPr>
          <w:rFonts w:asciiTheme="minorHAnsi" w:hAnsiTheme="minorHAnsi" w:cstheme="minorHAnsi"/>
          <w:szCs w:val="18"/>
          <w:lang w:val="fr-CH"/>
        </w:rPr>
        <w:t xml:space="preserve">, para. 7.232; see also Appellate Body Report, </w:t>
      </w:r>
      <w:r w:rsidR="001915F1" w:rsidRPr="009E6D2E">
        <w:rPr>
          <w:rFonts w:asciiTheme="minorHAnsi" w:hAnsiTheme="minorHAnsi" w:cstheme="minorHAnsi"/>
          <w:i/>
          <w:szCs w:val="18"/>
          <w:lang w:val="fr-CH"/>
        </w:rPr>
        <w:t>EU – Biodiesel (Argentina)</w:t>
      </w:r>
      <w:r w:rsidR="001915F1" w:rsidRPr="009E6D2E">
        <w:rPr>
          <w:rFonts w:asciiTheme="minorHAnsi" w:hAnsiTheme="minorHAnsi" w:cstheme="minorHAnsi"/>
          <w:szCs w:val="18"/>
          <w:lang w:val="fr-CH"/>
        </w:rPr>
        <w:t>, para. 6.33.</w:t>
      </w:r>
      <w:r w:rsidR="001915F1" w:rsidRPr="009E6D2E">
        <w:t xml:space="preserve"> See also Australia's first written submission, paras, 374-380; Australia's second written submission, paras. 245-246</w:t>
      </w:r>
      <w:r w:rsidR="001915F1" w:rsidRPr="001915F1">
        <w:t>.</w:t>
      </w:r>
      <w:r w:rsidRPr="001915F1">
        <w:t xml:space="preserve"> Australia's</w:t>
      </w:r>
      <w:r w:rsidRPr="00603919">
        <w:t xml:space="preserve"> second written submission,</w:t>
      </w:r>
      <w:r>
        <w:t xml:space="preserve"> paras. 245-246.</w:t>
      </w:r>
    </w:p>
  </w:footnote>
  <w:footnote w:id="98">
    <w:p w14:paraId="77594DA5" w14:textId="63A5AD96" w:rsidR="00C022A6" w:rsidRDefault="00620C43">
      <w:pPr>
        <w:pStyle w:val="FootnoteText"/>
      </w:pPr>
      <w:r>
        <w:rPr>
          <w:rStyle w:val="FootnoteReference"/>
          <w:color w:val="auto"/>
        </w:rPr>
        <w:footnoteRef/>
      </w:r>
      <w:r>
        <w:t xml:space="preserve"> </w:t>
      </w:r>
      <w:r>
        <w:rPr>
          <w:i/>
          <w:iCs/>
        </w:rPr>
        <w:t>Stainless Steel Sinks Investigation 238 Report</w:t>
      </w:r>
      <w:r>
        <w:t xml:space="preserve">, (Exhibit CHN-2), pp. 40-42, 134-136. Australia's second written submission, para. 241. </w:t>
      </w:r>
      <w:r w:rsidR="00761567" w:rsidRPr="009E6D2E">
        <w:t>Australia's first written submission, paras. 362 -381; Australia's response to Panel question no. 78, paras. 85 – 109.</w:t>
      </w:r>
    </w:p>
  </w:footnote>
  <w:footnote w:id="99">
    <w:p w14:paraId="38049A91" w14:textId="77777777" w:rsidR="00C022A6" w:rsidRDefault="00620C43">
      <w:pPr>
        <w:pStyle w:val="FootnoteText"/>
      </w:pPr>
      <w:r>
        <w:rPr>
          <w:rStyle w:val="FootnoteReference"/>
          <w:color w:val="auto"/>
        </w:rPr>
        <w:footnoteRef/>
      </w:r>
      <w:r>
        <w:t xml:space="preserve"> Australia's first written submission, paras. 376-378; Australia's second written submission, para. 249.</w:t>
      </w:r>
    </w:p>
  </w:footnote>
  <w:footnote w:id="100">
    <w:p w14:paraId="23AA8E9C" w14:textId="77777777" w:rsidR="00C022A6" w:rsidRDefault="00620C43">
      <w:pPr>
        <w:pStyle w:val="FootnoteText"/>
      </w:pPr>
      <w:r>
        <w:rPr>
          <w:rStyle w:val="FootnoteReference"/>
          <w:color w:val="auto"/>
        </w:rPr>
        <w:footnoteRef/>
      </w:r>
      <w:r>
        <w:t xml:space="preserve"> Australia's second written submission, para. 251.</w:t>
      </w:r>
    </w:p>
  </w:footnote>
  <w:footnote w:id="101">
    <w:p w14:paraId="612DB9A8" w14:textId="77777777" w:rsidR="00C022A6" w:rsidRDefault="00620C43">
      <w:pPr>
        <w:pStyle w:val="FootnoteText"/>
      </w:pPr>
      <w:r>
        <w:rPr>
          <w:rStyle w:val="FootnoteReference"/>
          <w:color w:val="auto"/>
        </w:rPr>
        <w:footnoteRef/>
      </w:r>
      <w:r>
        <w:t xml:space="preserve"> Australia's second written submission, paras. 254-255.</w:t>
      </w:r>
    </w:p>
  </w:footnote>
  <w:footnote w:id="102">
    <w:p w14:paraId="32384AB5" w14:textId="5D5C5A2A" w:rsidR="00C022A6" w:rsidRDefault="00620C43">
      <w:pPr>
        <w:pStyle w:val="FootnoteText"/>
      </w:pPr>
      <w:r>
        <w:rPr>
          <w:rStyle w:val="FootnoteReference"/>
          <w:color w:val="auto"/>
        </w:rPr>
        <w:footnoteRef/>
      </w:r>
      <w:r>
        <w:t xml:space="preserve"> Australia's second written submission, para. 255; Australia's first written submission, paras. 383-386.; c.f. China's opening statement</w:t>
      </w:r>
      <w:r w:rsidR="0001723E">
        <w:t xml:space="preserve"> </w:t>
      </w:r>
      <w:r w:rsidR="0001723E" w:rsidRPr="0002538B">
        <w:t>at the first Panel meeting</w:t>
      </w:r>
      <w:r>
        <w:t>, paras. 55-59.</w:t>
      </w:r>
    </w:p>
  </w:footnote>
  <w:footnote w:id="103">
    <w:p w14:paraId="3496D214" w14:textId="77777777" w:rsidR="00C022A6" w:rsidRDefault="00620C43">
      <w:pPr>
        <w:pStyle w:val="FootnoteText"/>
      </w:pPr>
      <w:r>
        <w:rPr>
          <w:rStyle w:val="FootnoteReference"/>
          <w:color w:val="auto"/>
        </w:rPr>
        <w:footnoteRef/>
      </w:r>
      <w:r>
        <w:t xml:space="preserve"> Australia's second written submission, para. 259; Australia's first written submission, paras. 387-391.</w:t>
      </w:r>
    </w:p>
  </w:footnote>
  <w:footnote w:id="104">
    <w:p w14:paraId="19061851" w14:textId="47DC98F9" w:rsidR="00C022A6" w:rsidRDefault="00620C43">
      <w:pPr>
        <w:pStyle w:val="FootnoteText"/>
      </w:pPr>
      <w:r>
        <w:rPr>
          <w:rStyle w:val="FootnoteReference"/>
          <w:color w:val="auto"/>
        </w:rPr>
        <w:footnoteRef/>
      </w:r>
      <w:r>
        <w:t xml:space="preserve"> Australia's second written submission, paras. 254-255, 258-259; Australia's first written submission, paras. 387-391. See </w:t>
      </w:r>
      <w:r>
        <w:rPr>
          <w:i/>
          <w:iCs/>
        </w:rPr>
        <w:t>Stainless Steel Sinks Investigation 238 Report</w:t>
      </w:r>
      <w:r>
        <w:t xml:space="preserve">, (Exhibit CHN-2), pp. 42, 207-208; </w:t>
      </w:r>
      <w:r>
        <w:rPr>
          <w:rFonts w:asciiTheme="minorHAnsi" w:hAnsiTheme="minorHAnsi" w:cstheme="minorHAnsi"/>
          <w:i/>
          <w:iCs/>
          <w:szCs w:val="18"/>
        </w:rPr>
        <w:t xml:space="preserve">Stainless Steel Sinks Investigation 238 – PAD, </w:t>
      </w:r>
      <w:r>
        <w:rPr>
          <w:rFonts w:asciiTheme="minorHAnsi" w:hAnsiTheme="minorHAnsi" w:cstheme="minorHAnsi"/>
          <w:szCs w:val="18"/>
        </w:rPr>
        <w:t>(Exhibit AUS-48)</w:t>
      </w:r>
      <w:r>
        <w:rPr>
          <w:rFonts w:asciiTheme="minorHAnsi" w:hAnsiTheme="minorHAnsi" w:cstheme="minorHAnsi"/>
          <w:szCs w:val="18"/>
          <w:lang w:val="en-US"/>
        </w:rPr>
        <w:t xml:space="preserve">, p. 28; </w:t>
      </w:r>
      <w:r>
        <w:rPr>
          <w:rFonts w:asciiTheme="minorHAnsi" w:hAnsiTheme="minorHAnsi" w:cstheme="minorHAnsi"/>
          <w:i/>
          <w:iCs/>
          <w:szCs w:val="18"/>
        </w:rPr>
        <w:t>Stainless Steel Sinks Investigation 238 – SEF</w:t>
      </w:r>
      <w:r>
        <w:rPr>
          <w:rFonts w:asciiTheme="minorHAnsi" w:hAnsiTheme="minorHAnsi" w:cstheme="minorHAnsi"/>
          <w:szCs w:val="18"/>
        </w:rPr>
        <w:t>, (Exhibit AUS-49)</w:t>
      </w:r>
      <w:r>
        <w:rPr>
          <w:rFonts w:asciiTheme="minorHAnsi" w:hAnsiTheme="minorHAnsi" w:cstheme="minorHAnsi"/>
          <w:szCs w:val="18"/>
          <w:lang w:val="en-US"/>
        </w:rPr>
        <w:t>, pp. 182-183</w:t>
      </w:r>
      <w:r>
        <w:rPr>
          <w:rFonts w:asciiTheme="minorHAnsi" w:hAnsiTheme="minorHAnsi" w:cstheme="minorHAnsi"/>
          <w:szCs w:val="18"/>
        </w:rPr>
        <w:t xml:space="preserve">; </w:t>
      </w:r>
      <w:r>
        <w:rPr>
          <w:rFonts w:asciiTheme="minorHAnsi" w:hAnsiTheme="minorHAnsi" w:cstheme="minorHAnsi"/>
          <w:i/>
          <w:iCs/>
          <w:szCs w:val="18"/>
        </w:rPr>
        <w:t>Stainless Steel Sinks Investigation 238 – SEF</w:t>
      </w:r>
      <w:r>
        <w:rPr>
          <w:rFonts w:asciiTheme="minorHAnsi" w:hAnsiTheme="minorHAnsi" w:cstheme="minorHAnsi"/>
          <w:szCs w:val="18"/>
        </w:rPr>
        <w:t>, (Exhibit AUS-49)</w:t>
      </w:r>
      <w:r>
        <w:rPr>
          <w:rFonts w:asciiTheme="minorHAnsi" w:hAnsiTheme="minorHAnsi" w:cstheme="minorHAnsi"/>
          <w:szCs w:val="18"/>
          <w:lang w:val="en-US"/>
        </w:rPr>
        <w:t>, pp. 182-183</w:t>
      </w:r>
      <w:r>
        <w:rPr>
          <w:rFonts w:asciiTheme="minorHAnsi" w:hAnsiTheme="minorHAnsi" w:cstheme="minorHAnsi"/>
          <w:szCs w:val="18"/>
        </w:rPr>
        <w:t>; [[</w:t>
      </w:r>
      <w:r w:rsidR="00EE2DCD" w:rsidRPr="00EE2DCD">
        <w:rPr>
          <w:rFonts w:asciiTheme="minorHAnsi" w:hAnsiTheme="minorHAnsi" w:cstheme="minorHAnsi"/>
          <w:i/>
          <w:iCs/>
          <w:szCs w:val="18"/>
          <w:highlight w:val="black"/>
        </w:rPr>
        <w:t>xxxxxxxxxxxx</w:t>
      </w:r>
      <w:r w:rsidRPr="00EE2DCD">
        <w:rPr>
          <w:rFonts w:asciiTheme="minorHAnsi" w:hAnsiTheme="minorHAnsi" w:cstheme="minorHAnsi"/>
          <w:i/>
          <w:iCs/>
          <w:szCs w:val="18"/>
          <w:highlight w:val="black"/>
        </w:rPr>
        <w:t xml:space="preserve"> </w:t>
      </w:r>
      <w:r w:rsidR="00EE2DCD" w:rsidRPr="00EE2DCD">
        <w:rPr>
          <w:rFonts w:asciiTheme="minorHAnsi" w:hAnsiTheme="minorHAnsi" w:cstheme="minorHAnsi"/>
          <w:i/>
          <w:iCs/>
          <w:szCs w:val="18"/>
          <w:highlight w:val="black"/>
        </w:rPr>
        <w:t>xxxxxxxxxxxx xxxxxxxxxxxx</w:t>
      </w:r>
      <w:r w:rsidRPr="00EE2DCD">
        <w:rPr>
          <w:rFonts w:asciiTheme="minorHAnsi" w:hAnsiTheme="minorHAnsi" w:cstheme="minorHAnsi"/>
          <w:i/>
          <w:iCs/>
          <w:szCs w:val="18"/>
          <w:highlight w:val="black"/>
        </w:rPr>
        <w:t xml:space="preserve"> </w:t>
      </w:r>
      <w:r w:rsidR="00EE2DCD" w:rsidRPr="00EE2DCD">
        <w:rPr>
          <w:rFonts w:asciiTheme="minorHAnsi" w:hAnsiTheme="minorHAnsi" w:cstheme="minorHAnsi"/>
          <w:i/>
          <w:iCs/>
          <w:szCs w:val="18"/>
          <w:highlight w:val="black"/>
        </w:rPr>
        <w:t>xxxxxxxx</w:t>
      </w:r>
      <w:r w:rsidRPr="00EE2DCD">
        <w:rPr>
          <w:rFonts w:asciiTheme="minorHAnsi" w:hAnsiTheme="minorHAnsi" w:cstheme="minorHAnsi"/>
          <w:i/>
          <w:iCs/>
          <w:szCs w:val="18"/>
          <w:highlight w:val="black"/>
        </w:rPr>
        <w:t xml:space="preserve"> </w:t>
      </w:r>
      <w:r w:rsidR="00EE2DCD" w:rsidRPr="00EE2DCD">
        <w:rPr>
          <w:rFonts w:asciiTheme="minorHAnsi" w:hAnsiTheme="minorHAnsi" w:cstheme="minorHAnsi"/>
          <w:i/>
          <w:iCs/>
          <w:szCs w:val="18"/>
          <w:highlight w:val="black"/>
        </w:rPr>
        <w:t>xxxxx</w:t>
      </w:r>
      <w:r w:rsidRPr="00EE2DCD">
        <w:rPr>
          <w:rFonts w:asciiTheme="minorHAnsi" w:hAnsiTheme="minorHAnsi" w:cstheme="minorHAnsi"/>
          <w:i/>
          <w:iCs/>
          <w:szCs w:val="18"/>
          <w:highlight w:val="black"/>
        </w:rPr>
        <w:t xml:space="preserve"> </w:t>
      </w:r>
      <w:r w:rsidR="00EE2DCD" w:rsidRPr="00EE2DCD">
        <w:rPr>
          <w:rFonts w:asciiTheme="minorHAnsi" w:hAnsiTheme="minorHAnsi" w:cstheme="minorHAnsi"/>
          <w:i/>
          <w:iCs/>
          <w:szCs w:val="18"/>
          <w:highlight w:val="black"/>
        </w:rPr>
        <w:t>xxxxxxxx</w:t>
      </w:r>
      <w:r w:rsidRPr="00EE2DCD">
        <w:rPr>
          <w:rFonts w:asciiTheme="minorHAnsi" w:hAnsiTheme="minorHAnsi" w:cstheme="minorHAnsi"/>
          <w:i/>
          <w:iCs/>
          <w:szCs w:val="18"/>
          <w:highlight w:val="black"/>
        </w:rPr>
        <w:t xml:space="preserve"> </w:t>
      </w:r>
      <w:r w:rsidR="00EE2DCD" w:rsidRPr="00EE2DCD">
        <w:rPr>
          <w:rFonts w:asciiTheme="minorHAnsi" w:hAnsiTheme="minorHAnsi" w:cstheme="minorHAnsi"/>
          <w:i/>
          <w:iCs/>
          <w:szCs w:val="18"/>
          <w:highlight w:val="black"/>
        </w:rPr>
        <w:t>xxxxxxxxx</w:t>
      </w:r>
      <w:r w:rsidRPr="00EE2DCD">
        <w:rPr>
          <w:rFonts w:asciiTheme="minorHAnsi" w:hAnsiTheme="minorHAnsi" w:cstheme="minorHAnsi"/>
          <w:i/>
          <w:iCs/>
          <w:szCs w:val="18"/>
          <w:highlight w:val="black"/>
        </w:rPr>
        <w:t xml:space="preserve"> </w:t>
      </w:r>
      <w:r w:rsidR="00EE2DCD" w:rsidRPr="00EE2DCD">
        <w:rPr>
          <w:rFonts w:asciiTheme="minorHAnsi" w:hAnsiTheme="minorHAnsi" w:cstheme="minorHAnsi"/>
          <w:i/>
          <w:iCs/>
          <w:szCs w:val="18"/>
          <w:highlight w:val="black"/>
        </w:rPr>
        <w:t>xxxxx</w:t>
      </w:r>
      <w:r w:rsidRPr="00EE2DCD">
        <w:rPr>
          <w:rFonts w:asciiTheme="minorHAnsi" w:hAnsiTheme="minorHAnsi" w:cstheme="minorHAnsi"/>
          <w:i/>
          <w:iCs/>
          <w:szCs w:val="18"/>
          <w:highlight w:val="black"/>
        </w:rPr>
        <w:t xml:space="preserve"> </w:t>
      </w:r>
      <w:r w:rsidR="00EE2DCD" w:rsidRPr="00EE2DCD">
        <w:rPr>
          <w:rFonts w:asciiTheme="minorHAnsi" w:hAnsiTheme="minorHAnsi" w:cstheme="minorHAnsi"/>
          <w:i/>
          <w:iCs/>
          <w:szCs w:val="18"/>
          <w:highlight w:val="black"/>
        </w:rPr>
        <w:t>xxxxx</w:t>
      </w:r>
      <w:r w:rsidRPr="00EE2DCD">
        <w:rPr>
          <w:rFonts w:asciiTheme="minorHAnsi" w:hAnsiTheme="minorHAnsi" w:cstheme="minorHAnsi"/>
          <w:i/>
          <w:iCs/>
          <w:szCs w:val="18"/>
          <w:highlight w:val="black"/>
        </w:rPr>
        <w:t xml:space="preserve"> </w:t>
      </w:r>
      <w:r w:rsidR="00EE2DCD" w:rsidRPr="00EE2DCD">
        <w:rPr>
          <w:rFonts w:asciiTheme="minorHAnsi" w:hAnsiTheme="minorHAnsi" w:cstheme="minorHAnsi"/>
          <w:i/>
          <w:iCs/>
          <w:szCs w:val="18"/>
          <w:highlight w:val="black"/>
        </w:rPr>
        <w:t>xxxxxxxxx</w:t>
      </w:r>
      <w:r w:rsidRPr="00EE2DCD">
        <w:rPr>
          <w:rFonts w:asciiTheme="minorHAnsi" w:hAnsiTheme="minorHAnsi" w:cstheme="minorHAnsi"/>
          <w:i/>
          <w:iCs/>
          <w:szCs w:val="18"/>
          <w:highlight w:val="black"/>
        </w:rPr>
        <w:t xml:space="preserve"> </w:t>
      </w:r>
      <w:r w:rsidR="00EE2DCD" w:rsidRPr="00EE2DCD">
        <w:rPr>
          <w:rFonts w:asciiTheme="minorHAnsi" w:hAnsiTheme="minorHAnsi" w:cstheme="minorHAnsi"/>
          <w:i/>
          <w:iCs/>
          <w:szCs w:val="18"/>
          <w:highlight w:val="black"/>
        </w:rPr>
        <w:t>xxxxx</w:t>
      </w:r>
      <w:r w:rsidRPr="00EE2DCD">
        <w:rPr>
          <w:rFonts w:asciiTheme="minorHAnsi" w:hAnsiTheme="minorHAnsi" w:cstheme="minorHAnsi"/>
          <w:i/>
          <w:iCs/>
          <w:szCs w:val="18"/>
          <w:highlight w:val="black"/>
        </w:rPr>
        <w:t xml:space="preserve"> </w:t>
      </w:r>
      <w:r w:rsidR="00EE2DCD" w:rsidRPr="00EE2DCD">
        <w:rPr>
          <w:rFonts w:asciiTheme="minorHAnsi" w:hAnsiTheme="minorHAnsi" w:cstheme="minorHAnsi"/>
          <w:i/>
          <w:iCs/>
          <w:szCs w:val="18"/>
          <w:highlight w:val="black"/>
        </w:rPr>
        <w:t>xxxxxx</w:t>
      </w:r>
      <w:r w:rsidRPr="00EE2DCD">
        <w:rPr>
          <w:rFonts w:asciiTheme="minorHAnsi" w:hAnsiTheme="minorHAnsi" w:cstheme="minorHAnsi"/>
          <w:i/>
          <w:iCs/>
          <w:szCs w:val="18"/>
          <w:highlight w:val="black"/>
        </w:rPr>
        <w:t xml:space="preserve"> </w:t>
      </w:r>
      <w:r w:rsidR="00EE2DCD" w:rsidRPr="00EE2DCD">
        <w:rPr>
          <w:rFonts w:asciiTheme="minorHAnsi" w:hAnsiTheme="minorHAnsi" w:cstheme="minorHAnsi"/>
          <w:i/>
          <w:iCs/>
          <w:szCs w:val="18"/>
          <w:highlight w:val="black"/>
        </w:rPr>
        <w:t>xxxxxxx</w:t>
      </w:r>
      <w:r w:rsidR="00EE2DCD" w:rsidRPr="00EE2DCD">
        <w:rPr>
          <w:rFonts w:asciiTheme="minorHAnsi" w:hAnsiTheme="minorHAnsi" w:cstheme="minorHAnsi"/>
          <w:szCs w:val="18"/>
          <w:highlight w:val="black"/>
        </w:rPr>
        <w:t>x</w:t>
      </w:r>
      <w:r w:rsidR="00EE2DCD">
        <w:rPr>
          <w:rFonts w:asciiTheme="minorHAnsi" w:hAnsiTheme="minorHAnsi" w:cstheme="minorHAnsi"/>
          <w:szCs w:val="18"/>
        </w:rPr>
        <w:t>]]</w:t>
      </w:r>
      <w:r>
        <w:rPr>
          <w:rFonts w:asciiTheme="minorHAnsi" w:hAnsiTheme="minorHAnsi" w:cstheme="minorHAnsi"/>
          <w:szCs w:val="18"/>
        </w:rPr>
        <w:t xml:space="preserve"> (Exhibit AUS-52 (BCI)) p. 9.</w:t>
      </w:r>
    </w:p>
  </w:footnote>
  <w:footnote w:id="105">
    <w:p w14:paraId="19DFA71B" w14:textId="77777777" w:rsidR="00C022A6" w:rsidRDefault="00620C43">
      <w:pPr>
        <w:pStyle w:val="FootnoteText"/>
      </w:pPr>
      <w:r>
        <w:rPr>
          <w:rStyle w:val="FootnoteReference"/>
          <w:color w:val="auto"/>
        </w:rPr>
        <w:footnoteRef/>
      </w:r>
      <w:r>
        <w:t xml:space="preserve"> Australia's second written submission, paras. 254-255, 258, 260; Australia's first written submission, paras. 392-393. See </w:t>
      </w:r>
      <w:r>
        <w:rPr>
          <w:i/>
          <w:iCs/>
        </w:rPr>
        <w:t>Stainless Steel Sinks Investigation 238 Report</w:t>
      </w:r>
      <w:r>
        <w:t>, (Exhibit CHN-2), pp. 42, 209-217.</w:t>
      </w:r>
    </w:p>
  </w:footnote>
  <w:footnote w:id="106">
    <w:p w14:paraId="341A7BD2" w14:textId="77777777" w:rsidR="00C022A6" w:rsidRDefault="00620C43">
      <w:pPr>
        <w:pStyle w:val="FootnoteText"/>
      </w:pPr>
      <w:r>
        <w:rPr>
          <w:rStyle w:val="FootnoteReference"/>
        </w:rPr>
        <w:footnoteRef/>
      </w:r>
      <w:r>
        <w:t xml:space="preserve"> Australia's second written submission, paras. 254-255, 258, 260; Australia's first written submission, para. 394. See </w:t>
      </w:r>
      <w:r>
        <w:rPr>
          <w:i/>
          <w:iCs/>
        </w:rPr>
        <w:t>Stainless Steel Sinks Investigation 238 Report</w:t>
      </w:r>
      <w:r>
        <w:t>, (Exhibit CHN-2), pp. 42, 213.</w:t>
      </w:r>
    </w:p>
  </w:footnote>
  <w:footnote w:id="107">
    <w:p w14:paraId="770CE5ED" w14:textId="77777777" w:rsidR="00C022A6" w:rsidRDefault="00620C43">
      <w:pPr>
        <w:pStyle w:val="FootnoteText"/>
      </w:pPr>
      <w:r>
        <w:rPr>
          <w:rStyle w:val="FootnoteReference"/>
        </w:rPr>
        <w:footnoteRef/>
      </w:r>
      <w:r>
        <w:t xml:space="preserve"> Australia's second written submission, paras. 254-255, 258, 260; Australia's first written submission, para. 394. See </w:t>
      </w:r>
      <w:r>
        <w:rPr>
          <w:i/>
          <w:iCs/>
        </w:rPr>
        <w:t>Stainless Steel Sinks Investigation 238 Report</w:t>
      </w:r>
      <w:r>
        <w:t>, (Exhibit CHN-2), pp. 42, 215.</w:t>
      </w:r>
    </w:p>
  </w:footnote>
  <w:footnote w:id="108">
    <w:p w14:paraId="44DDAF9B" w14:textId="77777777" w:rsidR="00C022A6" w:rsidRDefault="00620C43">
      <w:pPr>
        <w:pStyle w:val="FootnoteText"/>
      </w:pPr>
      <w:r>
        <w:rPr>
          <w:rStyle w:val="FootnoteReference"/>
        </w:rPr>
        <w:footnoteRef/>
      </w:r>
      <w:r>
        <w:t xml:space="preserve"> Australia's second written submission, paras. 254-255, 258, 260; Australia's first written submission, para. 394. See </w:t>
      </w:r>
      <w:r>
        <w:rPr>
          <w:i/>
          <w:iCs/>
        </w:rPr>
        <w:t>Stainless Steel Sinks Investigation 238 Report</w:t>
      </w:r>
      <w:r>
        <w:t>, (Exhibit CHN-2), pp. 42, 216.</w:t>
      </w:r>
    </w:p>
  </w:footnote>
  <w:footnote w:id="109">
    <w:p w14:paraId="07A6A68D" w14:textId="77777777" w:rsidR="00C022A6" w:rsidRDefault="00620C43">
      <w:pPr>
        <w:pStyle w:val="FootnoteText"/>
      </w:pPr>
      <w:r>
        <w:rPr>
          <w:rStyle w:val="FootnoteReference"/>
        </w:rPr>
        <w:footnoteRef/>
      </w:r>
      <w:r>
        <w:t xml:space="preserve"> Australia's second written submission, paras. 254-255, 258, 260; Australia's first written submission, para. 394. See </w:t>
      </w:r>
      <w:r>
        <w:rPr>
          <w:i/>
          <w:iCs/>
        </w:rPr>
        <w:t>Stainless Steel Sinks Investigation 238 Report</w:t>
      </w:r>
      <w:r>
        <w:t>, (Exhibit CHN-2), pp. 42, 213.</w:t>
      </w:r>
    </w:p>
  </w:footnote>
  <w:footnote w:id="110">
    <w:p w14:paraId="1F502F83" w14:textId="77777777" w:rsidR="00C022A6" w:rsidRDefault="00620C43">
      <w:pPr>
        <w:pStyle w:val="FootnoteText"/>
      </w:pPr>
      <w:r>
        <w:rPr>
          <w:rStyle w:val="FootnoteReference"/>
        </w:rPr>
        <w:footnoteRef/>
      </w:r>
      <w:r>
        <w:t xml:space="preserve"> Australia's second written submission, paras. 254-255, 258, 260; Australia's first written submission, paras. 395-397. See </w:t>
      </w:r>
      <w:r>
        <w:rPr>
          <w:i/>
          <w:iCs/>
        </w:rPr>
        <w:t>Stainless Steel Sinks Investigation 238 Report</w:t>
      </w:r>
      <w:r>
        <w:t>, (Exhibit CHN-2), pp. 42, 217.</w:t>
      </w:r>
    </w:p>
  </w:footnote>
  <w:footnote w:id="111">
    <w:p w14:paraId="623B8895" w14:textId="77777777" w:rsidR="00C022A6" w:rsidRDefault="00620C43">
      <w:pPr>
        <w:pStyle w:val="FootnoteText"/>
      </w:pPr>
      <w:r>
        <w:rPr>
          <w:rStyle w:val="FootnoteReference"/>
        </w:rPr>
        <w:footnoteRef/>
      </w:r>
      <w:r>
        <w:t xml:space="preserve"> Australia's second written submission, paras. 254-255, 261.</w:t>
      </w:r>
    </w:p>
  </w:footnote>
  <w:footnote w:id="112">
    <w:p w14:paraId="20F3ADB9" w14:textId="77777777" w:rsidR="00C022A6" w:rsidRDefault="00620C43">
      <w:pPr>
        <w:pStyle w:val="FootnoteText"/>
      </w:pPr>
      <w:r>
        <w:rPr>
          <w:rStyle w:val="FootnoteReference"/>
        </w:rPr>
        <w:footnoteRef/>
      </w:r>
      <w:r>
        <w:t xml:space="preserve"> Australia's second written submission, paras. 254-255, 258, 261; Australia's first written submission, paras. 398-405. See </w:t>
      </w:r>
      <w:r>
        <w:rPr>
          <w:i/>
          <w:iCs/>
        </w:rPr>
        <w:t>Stainless Steel Sinks Investigation 238 Report</w:t>
      </w:r>
      <w:r>
        <w:t>, (Exhibit CHN-2), pp. 42, 217-219.</w:t>
      </w:r>
    </w:p>
  </w:footnote>
  <w:footnote w:id="113">
    <w:p w14:paraId="3F5C53C5" w14:textId="01BED7CE" w:rsidR="00C022A6" w:rsidRDefault="00620C43">
      <w:pPr>
        <w:pStyle w:val="FootnoteText"/>
      </w:pPr>
      <w:r>
        <w:rPr>
          <w:rStyle w:val="FootnoteReference"/>
        </w:rPr>
        <w:footnoteRef/>
      </w:r>
      <w:r>
        <w:t xml:space="preserve"> </w:t>
      </w:r>
      <w:r w:rsidR="001915F1">
        <w:t>Australia's first written submission, para. 406; Australia's second written submission, para. 262.</w:t>
      </w:r>
    </w:p>
  </w:footnote>
  <w:footnote w:id="114">
    <w:p w14:paraId="540683EF" w14:textId="75FB2802" w:rsidR="00C022A6" w:rsidRDefault="00620C43">
      <w:pPr>
        <w:pStyle w:val="FootnoteText"/>
      </w:pPr>
      <w:r>
        <w:rPr>
          <w:rStyle w:val="FootnoteReference"/>
        </w:rPr>
        <w:footnoteRef/>
      </w:r>
      <w:r>
        <w:t xml:space="preserve"> </w:t>
      </w:r>
      <w:r w:rsidR="001915F1">
        <w:t>Australia's first written submission, para. 406; Australia's second written submission, para. 262.</w:t>
      </w:r>
    </w:p>
  </w:footnote>
  <w:footnote w:id="115">
    <w:p w14:paraId="190039B9" w14:textId="048C72AA" w:rsidR="00C022A6" w:rsidRDefault="00620C43">
      <w:pPr>
        <w:pStyle w:val="FootnoteText"/>
      </w:pPr>
      <w:r>
        <w:rPr>
          <w:rStyle w:val="FootnoteReference"/>
        </w:rPr>
        <w:footnoteRef/>
      </w:r>
      <w:r>
        <w:t xml:space="preserve"> </w:t>
      </w:r>
      <w:r w:rsidR="001915F1">
        <w:t>Australia's second written submission, para. 265. See also Australia's first written submission, paras. 407-411.</w:t>
      </w:r>
    </w:p>
  </w:footnote>
  <w:footnote w:id="116">
    <w:p w14:paraId="38B33624" w14:textId="75A30938" w:rsidR="00C022A6" w:rsidRDefault="00620C43">
      <w:pPr>
        <w:pStyle w:val="FootnoteText"/>
      </w:pPr>
      <w:r>
        <w:rPr>
          <w:rStyle w:val="FootnoteReference"/>
        </w:rPr>
        <w:footnoteRef/>
      </w:r>
      <w:r>
        <w:t xml:space="preserve"> </w:t>
      </w:r>
      <w:r w:rsidR="001915F1">
        <w:t>Australia's second written submission, para. 265. See also Australia's first written submission, paras. 407-411.</w:t>
      </w:r>
    </w:p>
  </w:footnote>
  <w:footnote w:id="117">
    <w:p w14:paraId="4E30C4F1" w14:textId="63A33E82" w:rsidR="00C022A6" w:rsidRDefault="00620C43">
      <w:pPr>
        <w:pStyle w:val="FootnoteText"/>
      </w:pPr>
      <w:r>
        <w:rPr>
          <w:rStyle w:val="FootnoteReference"/>
        </w:rPr>
        <w:footnoteRef/>
      </w:r>
      <w:r>
        <w:t xml:space="preserve"> Australia's first written submission, paras. 407-411; Australia's response to Panel question no. 2, para. 2. In the interests of clarity, Australia uses the descriptions consequential and dependent to mean the same thing: that if no contravention were established under one claim, then the other claim must likewise fail as it depends on the success of the anterior claim. See Australia's response to Panel question no. 12, para. 29.</w:t>
      </w:r>
    </w:p>
  </w:footnote>
  <w:footnote w:id="118">
    <w:p w14:paraId="40001E6D" w14:textId="0CF64EAF" w:rsidR="00C022A6" w:rsidRDefault="00620C43">
      <w:pPr>
        <w:pStyle w:val="FootnoteText"/>
      </w:pPr>
      <w:r>
        <w:rPr>
          <w:rStyle w:val="FootnoteReference"/>
        </w:rPr>
        <w:footnoteRef/>
      </w:r>
      <w:r>
        <w:t xml:space="preserve"> </w:t>
      </w:r>
      <w:r w:rsidR="001915F1">
        <w:t>Australia's second written submission, paras. 263-266. See also Australia's first written submission, paras. 407-411.</w:t>
      </w:r>
    </w:p>
  </w:footnote>
  <w:footnote w:id="119">
    <w:p w14:paraId="5F9C235F" w14:textId="46499DAB" w:rsidR="00C022A6" w:rsidRDefault="00620C43">
      <w:pPr>
        <w:pStyle w:val="FootnoteText"/>
      </w:pPr>
      <w:r>
        <w:rPr>
          <w:rStyle w:val="FootnoteReference"/>
        </w:rPr>
        <w:footnoteRef/>
      </w:r>
      <w:r>
        <w:t xml:space="preserve"> </w:t>
      </w:r>
      <w:r w:rsidR="00730B22">
        <w:t>Australia’s second written submission, para. 267.</w:t>
      </w:r>
    </w:p>
  </w:footnote>
  <w:footnote w:id="120">
    <w:p w14:paraId="42B25F85" w14:textId="312105CE" w:rsidR="00D57233" w:rsidRDefault="00D57233">
      <w:pPr>
        <w:pStyle w:val="FootnoteText"/>
      </w:pPr>
      <w:r>
        <w:rPr>
          <w:rStyle w:val="FootnoteReference"/>
        </w:rPr>
        <w:footnoteRef/>
      </w:r>
      <w:r>
        <w:t xml:space="preserve"> Australia’s second written submission, para. 268.</w:t>
      </w:r>
    </w:p>
  </w:footnote>
  <w:footnote w:id="121">
    <w:p w14:paraId="07F6F87A" w14:textId="77777777" w:rsidR="00A741FC" w:rsidRDefault="00A741FC" w:rsidP="00A741FC">
      <w:pPr>
        <w:pStyle w:val="FootnoteText"/>
      </w:pPr>
      <w:r>
        <w:rPr>
          <w:rStyle w:val="FootnoteReference"/>
        </w:rPr>
        <w:footnoteRef/>
      </w:r>
      <w:r>
        <w:t xml:space="preserve"> Australia's first written submission, para. 415; Australia’s second written submission, para. 272.</w:t>
      </w:r>
    </w:p>
  </w:footnote>
  <w:footnote w:id="122">
    <w:p w14:paraId="28A70F9A" w14:textId="77777777" w:rsidR="00A741FC" w:rsidRDefault="00A741FC" w:rsidP="00A741FC">
      <w:pPr>
        <w:pStyle w:val="FootnoteText"/>
      </w:pPr>
      <w:r>
        <w:rPr>
          <w:rStyle w:val="FootnoteReference"/>
        </w:rPr>
        <w:footnoteRef/>
      </w:r>
      <w:r>
        <w:t xml:space="preserve"> Australia's first written submission, para. 415.</w:t>
      </w:r>
    </w:p>
  </w:footnote>
  <w:footnote w:id="123">
    <w:p w14:paraId="2C0E5206" w14:textId="77777777" w:rsidR="00A741FC" w:rsidRPr="00A24EE6" w:rsidRDefault="00A741FC" w:rsidP="00A741FC">
      <w:pPr>
        <w:pStyle w:val="FootnoteText"/>
        <w:rPr>
          <w:lang w:val="fr-CH"/>
        </w:rPr>
      </w:pPr>
      <w:r>
        <w:rPr>
          <w:rStyle w:val="FootnoteReference"/>
        </w:rPr>
        <w:footnoteRef/>
      </w:r>
      <w:r>
        <w:t xml:space="preserve"> Australia's first written submission, paras. </w:t>
      </w:r>
      <w:r w:rsidRPr="00A24EE6">
        <w:rPr>
          <w:lang w:val="fr-CH"/>
        </w:rPr>
        <w:t>417-423.</w:t>
      </w:r>
    </w:p>
  </w:footnote>
  <w:footnote w:id="124">
    <w:p w14:paraId="3C6D8A2B" w14:textId="77777777" w:rsidR="00A741FC" w:rsidRPr="00A539E1" w:rsidRDefault="00A741FC" w:rsidP="00A741FC">
      <w:pPr>
        <w:pStyle w:val="FootnoteText"/>
      </w:pPr>
      <w:r>
        <w:rPr>
          <w:rStyle w:val="FootnoteReference"/>
        </w:rPr>
        <w:footnoteRef/>
      </w:r>
      <w:r w:rsidRPr="00A24EE6">
        <w:rPr>
          <w:lang w:val="fr-CH"/>
        </w:rPr>
        <w:t xml:space="preserve"> </w:t>
      </w:r>
      <w:r w:rsidRPr="000D1307">
        <w:t xml:space="preserve">Australia's first written </w:t>
      </w:r>
      <w:r w:rsidRPr="00A539E1">
        <w:t>submission, paras. 42</w:t>
      </w:r>
      <w:r>
        <w:t>4</w:t>
      </w:r>
      <w:r w:rsidRPr="00A539E1">
        <w:t>-431; Australia's second written submission, paras. 272-273.</w:t>
      </w:r>
    </w:p>
  </w:footnote>
  <w:footnote w:id="125">
    <w:p w14:paraId="515A733B" w14:textId="77777777" w:rsidR="00A741FC" w:rsidRPr="00A539E1" w:rsidRDefault="00A741FC" w:rsidP="00A741FC">
      <w:pPr>
        <w:pStyle w:val="FootnoteText"/>
      </w:pPr>
      <w:r w:rsidRPr="00A539E1">
        <w:rPr>
          <w:rStyle w:val="FootnoteReference"/>
        </w:rPr>
        <w:footnoteRef/>
      </w:r>
      <w:r w:rsidRPr="00A539E1">
        <w:t xml:space="preserve"> Australia's second written submission, paras</w:t>
      </w:r>
      <w:r>
        <w:t>.</w:t>
      </w:r>
      <w:r w:rsidRPr="00A539E1">
        <w:t xml:space="preserve"> </w:t>
      </w:r>
      <w:r>
        <w:t>272-274</w:t>
      </w:r>
      <w:r w:rsidRPr="00A539E1">
        <w:t xml:space="preserve">. </w:t>
      </w:r>
    </w:p>
  </w:footnote>
  <w:footnote w:id="126">
    <w:p w14:paraId="0FF767FC" w14:textId="77777777" w:rsidR="00654EA6" w:rsidRPr="00A539E1" w:rsidRDefault="00654EA6" w:rsidP="00654EA6">
      <w:pPr>
        <w:pStyle w:val="FootnoteText"/>
      </w:pPr>
      <w:r w:rsidRPr="00A539E1">
        <w:rPr>
          <w:rStyle w:val="FootnoteReference"/>
        </w:rPr>
        <w:footnoteRef/>
      </w:r>
      <w:r w:rsidRPr="00A539E1">
        <w:t xml:space="preserve"> Australia's second written submission, paras. 275-279.</w:t>
      </w:r>
    </w:p>
  </w:footnote>
  <w:footnote w:id="127">
    <w:p w14:paraId="1CDC761B" w14:textId="77777777" w:rsidR="00A741FC" w:rsidRDefault="00A741FC" w:rsidP="00A741FC">
      <w:pPr>
        <w:pStyle w:val="FootnoteText"/>
      </w:pPr>
      <w:r w:rsidRPr="00A539E1">
        <w:rPr>
          <w:rStyle w:val="FootnoteReference"/>
        </w:rPr>
        <w:footnoteRef/>
      </w:r>
      <w:r w:rsidRPr="00A539E1">
        <w:t xml:space="preserve"> Australia's first written submission, paras</w:t>
      </w:r>
      <w:r>
        <w:t>.</w:t>
      </w:r>
      <w:r w:rsidRPr="00A539E1">
        <w:t xml:space="preserve"> 4</w:t>
      </w:r>
      <w:r>
        <w:t>32</w:t>
      </w:r>
      <w:r w:rsidRPr="00A539E1">
        <w:t>-435.</w:t>
      </w:r>
    </w:p>
  </w:footnote>
  <w:footnote w:id="128">
    <w:p w14:paraId="01D664E9" w14:textId="77777777" w:rsidR="00231DD0" w:rsidRDefault="00231DD0" w:rsidP="00231DD0">
      <w:pPr>
        <w:pStyle w:val="FootnoteText"/>
      </w:pPr>
      <w:r>
        <w:rPr>
          <w:rStyle w:val="FootnoteReference"/>
        </w:rPr>
        <w:footnoteRef/>
      </w:r>
      <w:r>
        <w:t xml:space="preserve"> Australia's first written submission, paras. 436-455; </w:t>
      </w:r>
      <w:r w:rsidRPr="000D1307">
        <w:t>Australia's second written submission, paras</w:t>
      </w:r>
      <w:r>
        <w:t>. 280-290.</w:t>
      </w:r>
    </w:p>
  </w:footnote>
  <w:footnote w:id="129">
    <w:p w14:paraId="18E9F8F1" w14:textId="77777777" w:rsidR="00231DD0" w:rsidRPr="008D7E07" w:rsidRDefault="00231DD0" w:rsidP="00231DD0">
      <w:pPr>
        <w:pStyle w:val="FootnoteText"/>
        <w:rPr>
          <w:rFonts w:asciiTheme="minorHAnsi" w:hAnsiTheme="minorHAnsi" w:cstheme="minorHAnsi"/>
        </w:rPr>
      </w:pPr>
      <w:r w:rsidRPr="008D7E07">
        <w:rPr>
          <w:rStyle w:val="FootnoteReference"/>
          <w:rFonts w:asciiTheme="minorHAnsi" w:hAnsiTheme="minorHAnsi" w:cstheme="minorHAnsi"/>
        </w:rPr>
        <w:footnoteRef/>
      </w:r>
      <w:r w:rsidRPr="008D7E07">
        <w:rPr>
          <w:rFonts w:asciiTheme="minorHAnsi" w:hAnsiTheme="minorHAnsi" w:cstheme="minorHAnsi"/>
        </w:rPr>
        <w:t xml:space="preserve"> Australia’s first written submission, para 417-418. </w:t>
      </w:r>
    </w:p>
  </w:footnote>
  <w:footnote w:id="130">
    <w:p w14:paraId="62FFF52A" w14:textId="2DCF86C8" w:rsidR="00231DD0" w:rsidRDefault="00231DD0" w:rsidP="00231DD0">
      <w:pPr>
        <w:pStyle w:val="FootnoteText"/>
      </w:pPr>
      <w:r>
        <w:rPr>
          <w:rStyle w:val="FootnoteReference"/>
        </w:rPr>
        <w:footnoteRef/>
      </w:r>
      <w:r>
        <w:t xml:space="preserve"> Australia's first written submission, para 440; </w:t>
      </w:r>
      <w:r w:rsidRPr="00A479D1">
        <w:rPr>
          <w:i/>
          <w:iCs/>
        </w:rPr>
        <w:t>Stainless Steel Sinks Continuation 517 Report</w:t>
      </w:r>
      <w:r>
        <w:t>, (</w:t>
      </w:r>
      <w:r w:rsidR="00A479D1">
        <w:t>E</w:t>
      </w:r>
      <w:r>
        <w:t>xhibit CHN-36), p 59.</w:t>
      </w:r>
    </w:p>
  </w:footnote>
  <w:footnote w:id="131">
    <w:p w14:paraId="106D4545" w14:textId="77777777" w:rsidR="00231DD0" w:rsidRDefault="00231DD0" w:rsidP="00231DD0">
      <w:pPr>
        <w:pStyle w:val="FootnoteText"/>
      </w:pPr>
      <w:r>
        <w:rPr>
          <w:rStyle w:val="FootnoteReference"/>
        </w:rPr>
        <w:footnoteRef/>
      </w:r>
      <w:r>
        <w:t xml:space="preserve"> Australia's first written submission, para. 441.</w:t>
      </w:r>
    </w:p>
  </w:footnote>
  <w:footnote w:id="132">
    <w:p w14:paraId="4B0728F4" w14:textId="77777777" w:rsidR="00231DD0" w:rsidRPr="008D7E07" w:rsidRDefault="00231DD0" w:rsidP="00231DD0">
      <w:pPr>
        <w:pStyle w:val="FootnoteText"/>
        <w:rPr>
          <w:rFonts w:asciiTheme="minorHAnsi" w:hAnsiTheme="minorHAnsi" w:cstheme="minorHAnsi"/>
        </w:rPr>
      </w:pPr>
      <w:r w:rsidRPr="008D7E07">
        <w:rPr>
          <w:rStyle w:val="FootnoteReference"/>
          <w:rFonts w:asciiTheme="minorHAnsi" w:hAnsiTheme="minorHAnsi" w:cstheme="minorHAnsi"/>
        </w:rPr>
        <w:footnoteRef/>
      </w:r>
      <w:r w:rsidRPr="008D7E07">
        <w:rPr>
          <w:rFonts w:asciiTheme="minorHAnsi" w:hAnsiTheme="minorHAnsi" w:cstheme="minorHAnsi"/>
        </w:rPr>
        <w:t xml:space="preserve"> Australia’s first written submission, paras. 444 -445; </w:t>
      </w:r>
      <w:r w:rsidRPr="008D7E07">
        <w:rPr>
          <w:rStyle w:val="cf01"/>
          <w:rFonts w:asciiTheme="minorHAnsi" w:hAnsiTheme="minorHAnsi" w:cstheme="minorHAnsi"/>
        </w:rPr>
        <w:t>Australia’s second written submission, paras. 287-289; Australia’s response to Panel’s question no. 26.</w:t>
      </w:r>
    </w:p>
  </w:footnote>
  <w:footnote w:id="133">
    <w:p w14:paraId="0629F1FB" w14:textId="6C2CA64E" w:rsidR="00730280" w:rsidRDefault="00730280">
      <w:pPr>
        <w:pStyle w:val="FootnoteText"/>
      </w:pPr>
      <w:r>
        <w:rPr>
          <w:rStyle w:val="FootnoteReference"/>
        </w:rPr>
        <w:footnoteRef/>
      </w:r>
      <w:r>
        <w:t xml:space="preserve"> Australia’s second written submission, para. 292.</w:t>
      </w:r>
    </w:p>
  </w:footnote>
  <w:footnote w:id="134">
    <w:p w14:paraId="6552ED72" w14:textId="77777777" w:rsidR="00A741FC" w:rsidRPr="008D7E07" w:rsidRDefault="00A741FC" w:rsidP="00A741FC">
      <w:pPr>
        <w:pStyle w:val="FootnoteText"/>
        <w:rPr>
          <w:rFonts w:asciiTheme="minorHAnsi" w:hAnsiTheme="minorHAnsi" w:cstheme="minorHAnsi"/>
        </w:rPr>
      </w:pPr>
      <w:r w:rsidRPr="008D7E07">
        <w:rPr>
          <w:rStyle w:val="FootnoteReference"/>
          <w:rFonts w:asciiTheme="minorHAnsi" w:hAnsiTheme="minorHAnsi" w:cstheme="minorHAnsi"/>
          <w:color w:val="auto"/>
        </w:rPr>
        <w:footnoteRef/>
      </w:r>
      <w:r w:rsidRPr="008D7E07">
        <w:rPr>
          <w:rFonts w:asciiTheme="minorHAnsi" w:hAnsiTheme="minorHAnsi" w:cstheme="minorHAnsi"/>
        </w:rPr>
        <w:t xml:space="preserve"> Australia's first written submission, para. 459.</w:t>
      </w:r>
    </w:p>
  </w:footnote>
  <w:footnote w:id="135">
    <w:p w14:paraId="396C130B" w14:textId="77777777" w:rsidR="00A741FC" w:rsidRPr="008D7E07" w:rsidRDefault="00A741FC" w:rsidP="00A741FC">
      <w:pPr>
        <w:pStyle w:val="FootnoteText"/>
        <w:rPr>
          <w:rFonts w:asciiTheme="minorHAnsi" w:hAnsiTheme="minorHAnsi" w:cstheme="minorHAnsi"/>
        </w:rPr>
      </w:pPr>
      <w:r w:rsidRPr="008D7E07">
        <w:rPr>
          <w:rStyle w:val="FootnoteReference"/>
          <w:rFonts w:asciiTheme="minorHAnsi" w:hAnsiTheme="minorHAnsi" w:cstheme="minorHAnsi"/>
        </w:rPr>
        <w:footnoteRef/>
      </w:r>
      <w:r w:rsidRPr="008D7E07">
        <w:rPr>
          <w:rFonts w:asciiTheme="minorHAnsi" w:hAnsiTheme="minorHAnsi" w:cstheme="minorHAnsi"/>
        </w:rPr>
        <w:t xml:space="preserve"> Australia's first written submission, paras. 456-463; Australia's second written submission, paras. 291-297.</w:t>
      </w:r>
    </w:p>
  </w:footnote>
  <w:footnote w:id="136">
    <w:p w14:paraId="647AC720" w14:textId="07C73C7D" w:rsidR="00C022A6" w:rsidRDefault="00620C43">
      <w:pPr>
        <w:pStyle w:val="FootnoteText"/>
      </w:pPr>
      <w:r w:rsidRPr="008D7E07">
        <w:rPr>
          <w:rStyle w:val="FootnoteReference"/>
          <w:rFonts w:asciiTheme="minorHAnsi" w:hAnsiTheme="minorHAnsi" w:cstheme="minorHAnsi"/>
        </w:rPr>
        <w:footnoteRef/>
      </w:r>
      <w:r w:rsidRPr="008D7E07">
        <w:rPr>
          <w:rFonts w:asciiTheme="minorHAnsi" w:hAnsiTheme="minorHAnsi" w:cstheme="minorHAnsi"/>
        </w:rPr>
        <w:t xml:space="preserve"> Australia's first written submission, para</w:t>
      </w:r>
      <w:r w:rsidR="00A741FC" w:rsidRPr="008D7E07">
        <w:rPr>
          <w:rFonts w:asciiTheme="minorHAnsi" w:hAnsiTheme="minorHAnsi" w:cstheme="minorHAnsi"/>
        </w:rPr>
        <w:t>.</w:t>
      </w:r>
      <w:r w:rsidRPr="008D7E07">
        <w:rPr>
          <w:rFonts w:asciiTheme="minorHAnsi" w:hAnsiTheme="minorHAnsi" w:cstheme="minorHAnsi"/>
        </w:rPr>
        <w:t xml:space="preserve"> 473.</w:t>
      </w:r>
    </w:p>
  </w:footnote>
  <w:footnote w:id="137">
    <w:p w14:paraId="0733578F" w14:textId="11A0A1A7" w:rsidR="00F7461A" w:rsidRDefault="00F7461A">
      <w:pPr>
        <w:pStyle w:val="FootnoteText"/>
      </w:pPr>
      <w:r w:rsidRPr="00471F72">
        <w:rPr>
          <w:rStyle w:val="FootnoteReference"/>
        </w:rPr>
        <w:footnoteRef/>
      </w:r>
      <w:r w:rsidRPr="00471F72">
        <w:t xml:space="preserve"> </w:t>
      </w:r>
      <w:r w:rsidR="008D7E07" w:rsidRPr="00471F72">
        <w:t xml:space="preserve">Australia’s </w:t>
      </w:r>
      <w:r w:rsidR="008F5430" w:rsidRPr="00471F72">
        <w:t>second</w:t>
      </w:r>
      <w:r w:rsidR="008D7E07" w:rsidRPr="00471F72">
        <w:t xml:space="preserve"> written submission, para</w:t>
      </w:r>
      <w:r w:rsidR="008F5430" w:rsidRPr="00471F72">
        <w:t>. 298.</w:t>
      </w:r>
    </w:p>
  </w:footnote>
  <w:footnote w:id="138">
    <w:p w14:paraId="6AD38FB8" w14:textId="02EA1FDB" w:rsidR="00497A5D" w:rsidRDefault="00497A5D" w:rsidP="00497A5D">
      <w:pPr>
        <w:pStyle w:val="FootnoteText"/>
      </w:pPr>
      <w:r>
        <w:rPr>
          <w:rStyle w:val="FootnoteReference"/>
        </w:rPr>
        <w:footnoteRef/>
      </w:r>
      <w:r>
        <w:t xml:space="preserve"> Australia’s first written submission, para. 465; Panel Report, </w:t>
      </w:r>
      <w:r w:rsidRPr="00471F72">
        <w:rPr>
          <w:i/>
          <w:iCs/>
        </w:rPr>
        <w:t>US – Softwood Lumber V</w:t>
      </w:r>
      <w:r>
        <w:t>, para 7.263.</w:t>
      </w:r>
    </w:p>
  </w:footnote>
  <w:footnote w:id="139">
    <w:p w14:paraId="15FFC13C" w14:textId="1F37E186" w:rsidR="00C022A6" w:rsidRDefault="00620C43">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w:t>
      </w:r>
      <w:r w:rsidR="00403D99">
        <w:rPr>
          <w:rFonts w:asciiTheme="minorHAnsi" w:hAnsiTheme="minorHAnsi" w:cstheme="minorHAnsi"/>
        </w:rPr>
        <w:t xml:space="preserve">Australia's second written submission, para. 311; Australia's first written submission, paras. 550-553. See </w:t>
      </w:r>
      <w:r w:rsidR="00403D99" w:rsidRPr="0075246C">
        <w:rPr>
          <w:rFonts w:asciiTheme="minorHAnsi" w:hAnsiTheme="minorHAnsi" w:cstheme="minorHAnsi"/>
        </w:rPr>
        <w:t>China</w:t>
      </w:r>
      <w:r w:rsidR="00403D99">
        <w:rPr>
          <w:rFonts w:asciiTheme="minorHAnsi" w:hAnsiTheme="minorHAnsi" w:cstheme="minorHAnsi"/>
        </w:rPr>
        <w:t>'</w:t>
      </w:r>
      <w:r w:rsidR="00403D99" w:rsidRPr="0075246C">
        <w:rPr>
          <w:rFonts w:asciiTheme="minorHAnsi" w:hAnsiTheme="minorHAnsi" w:cstheme="minorHAnsi"/>
        </w:rPr>
        <w:t>s first written submission, paras. 465, 469, 474-475, 477-479.</w:t>
      </w:r>
    </w:p>
  </w:footnote>
  <w:footnote w:id="140">
    <w:p w14:paraId="0FA4DDF0" w14:textId="7E425A11" w:rsidR="00C022A6" w:rsidRDefault="00620C43">
      <w:pPr>
        <w:pStyle w:val="FootnoteText"/>
      </w:pPr>
      <w:r>
        <w:rPr>
          <w:rStyle w:val="FootnoteReference"/>
        </w:rPr>
        <w:footnoteRef/>
      </w:r>
      <w:r>
        <w:t xml:space="preserve"> </w:t>
      </w:r>
      <w:r w:rsidR="00403D99">
        <w:rPr>
          <w:rFonts w:asciiTheme="minorHAnsi" w:hAnsiTheme="minorHAnsi" w:cstheme="minorHAnsi"/>
        </w:rPr>
        <w:t>Australia's second written submission, para. 311; Australia's first written submission, paras. 550-553.</w:t>
      </w:r>
    </w:p>
  </w:footnote>
  <w:footnote w:id="141">
    <w:p w14:paraId="42E2EA13" w14:textId="77777777" w:rsidR="00C022A6" w:rsidRDefault="00620C43">
      <w:pPr>
        <w:pStyle w:val="FootnoteText"/>
      </w:pPr>
      <w:r>
        <w:rPr>
          <w:rStyle w:val="FootnoteReference"/>
        </w:rPr>
        <w:footnoteRef/>
      </w:r>
      <w:r>
        <w:t xml:space="preserve"> Australia's first written submission, paras. 475-562.</w:t>
      </w:r>
    </w:p>
  </w:footnote>
  <w:footnote w:id="142">
    <w:p w14:paraId="163AA2FC" w14:textId="55C81F92" w:rsidR="00C022A6" w:rsidRDefault="00620C43">
      <w:pPr>
        <w:pStyle w:val="FootnoteText"/>
      </w:pPr>
      <w:r>
        <w:rPr>
          <w:rStyle w:val="FootnoteReference"/>
        </w:rPr>
        <w:footnoteRef/>
      </w:r>
      <w:r>
        <w:t xml:space="preserve"> Australia's second written submission, paras. </w:t>
      </w:r>
      <w:r w:rsidR="00403D99">
        <w:t xml:space="preserve">145, 235, </w:t>
      </w:r>
      <w:r>
        <w:t>313, 315-316</w:t>
      </w:r>
      <w:r w:rsidR="00403D99">
        <w:t>.</w:t>
      </w:r>
    </w:p>
  </w:footnote>
  <w:footnote w:id="143">
    <w:p w14:paraId="628B6D58" w14:textId="77777777" w:rsidR="00C022A6" w:rsidRDefault="00620C43">
      <w:pPr>
        <w:pStyle w:val="FootnoteText"/>
      </w:pPr>
      <w:r>
        <w:rPr>
          <w:rStyle w:val="FootnoteReference"/>
        </w:rPr>
        <w:footnoteRef/>
      </w:r>
      <w:r>
        <w:t xml:space="preserve"> Australia’s second written submission, paras. 315-317; Australia’s response to Panel question no. 61, para. 195; Australia’s response to Panel question no. 78, paras. 110-115. </w:t>
      </w:r>
    </w:p>
  </w:footnote>
  <w:footnote w:id="144">
    <w:p w14:paraId="7A889C4B" w14:textId="0FD85CFC" w:rsidR="0034018E" w:rsidRDefault="0034018E">
      <w:pPr>
        <w:pStyle w:val="FootnoteText"/>
      </w:pPr>
      <w:r w:rsidRPr="008D7E07">
        <w:rPr>
          <w:rStyle w:val="FootnoteReference"/>
          <w:color w:val="auto"/>
        </w:rPr>
        <w:footnoteRef/>
      </w:r>
      <w:r w:rsidRPr="008D7E07">
        <w:t xml:space="preserve"> </w:t>
      </w:r>
      <w:r w:rsidR="008D7E07" w:rsidRPr="008D7E07">
        <w:t xml:space="preserve">Australia’s </w:t>
      </w:r>
      <w:r>
        <w:t xml:space="preserve">response to </w:t>
      </w:r>
      <w:r w:rsidR="008D7E07">
        <w:t xml:space="preserve">Panel </w:t>
      </w:r>
      <w:r>
        <w:t>question</w:t>
      </w:r>
      <w:r w:rsidR="008D7E07">
        <w:t xml:space="preserve"> 78, para. 88.</w:t>
      </w:r>
    </w:p>
  </w:footnote>
  <w:footnote w:id="145">
    <w:p w14:paraId="19EEB3F8" w14:textId="2A36DFEE" w:rsidR="00C022A6" w:rsidRDefault="00620C43">
      <w:pPr>
        <w:pStyle w:val="FootnoteText"/>
      </w:pPr>
      <w:r>
        <w:rPr>
          <w:rStyle w:val="FootnoteReference"/>
        </w:rPr>
        <w:footnoteRef/>
      </w:r>
      <w:r>
        <w:t xml:space="preserve"> China's response to Panel</w:t>
      </w:r>
      <w:r>
        <w:rPr>
          <w:rFonts w:asciiTheme="minorHAnsi" w:hAnsiTheme="minorHAnsi" w:cstheme="minorHAnsi"/>
        </w:rPr>
        <w:t xml:space="preserve"> question no. 11</w:t>
      </w:r>
      <w:r>
        <w:t>, para. 31. See also China's opening statement</w:t>
      </w:r>
      <w:r w:rsidR="00403D99">
        <w:t xml:space="preserve"> </w:t>
      </w:r>
      <w:r w:rsidR="00403D99" w:rsidRPr="00AA7AB9">
        <w:t>at the first Panel meeting</w:t>
      </w:r>
      <w:r>
        <w:t>, paras. 48-49.</w:t>
      </w:r>
    </w:p>
  </w:footnote>
  <w:footnote w:id="146">
    <w:p w14:paraId="757AF341" w14:textId="4F9A438B" w:rsidR="00C022A6" w:rsidRDefault="00620C43">
      <w:pPr>
        <w:pStyle w:val="FootnoteText"/>
      </w:pPr>
      <w:r>
        <w:rPr>
          <w:rStyle w:val="FootnoteReference"/>
        </w:rPr>
        <w:footnoteRef/>
      </w:r>
      <w:r>
        <w:t xml:space="preserve"> [[</w:t>
      </w:r>
      <w:r w:rsidR="0081405B" w:rsidRPr="0081405B">
        <w:rPr>
          <w:i/>
          <w:iCs/>
          <w:highlight w:val="black"/>
        </w:rPr>
        <w:t>xxxx</w:t>
      </w:r>
      <w:r w:rsidRPr="0081405B">
        <w:rPr>
          <w:i/>
          <w:iCs/>
          <w:highlight w:val="black"/>
        </w:rPr>
        <w:t xml:space="preserve"> </w:t>
      </w:r>
      <w:r w:rsidR="0081405B" w:rsidRPr="0081405B">
        <w:rPr>
          <w:i/>
          <w:iCs/>
          <w:highlight w:val="black"/>
        </w:rPr>
        <w:t>xxxxxx</w:t>
      </w:r>
      <w:r w:rsidRPr="0081405B">
        <w:rPr>
          <w:i/>
          <w:iCs/>
          <w:highlight w:val="black"/>
        </w:rPr>
        <w:t xml:space="preserve"> </w:t>
      </w:r>
      <w:r w:rsidR="0081405B" w:rsidRPr="0081405B">
        <w:rPr>
          <w:i/>
          <w:iCs/>
          <w:highlight w:val="black"/>
        </w:rPr>
        <w:t>xxxxxxxxxxxxx</w:t>
      </w:r>
      <w:r w:rsidRPr="0081405B">
        <w:rPr>
          <w:i/>
          <w:iCs/>
          <w:highlight w:val="black"/>
        </w:rPr>
        <w:t xml:space="preserve"> </w:t>
      </w:r>
      <w:r w:rsidR="0081405B" w:rsidRPr="0081405B">
        <w:rPr>
          <w:i/>
          <w:iCs/>
          <w:highlight w:val="black"/>
        </w:rPr>
        <w:t>xxx</w:t>
      </w:r>
      <w:r w:rsidRPr="0081405B">
        <w:rPr>
          <w:highlight w:val="black"/>
        </w:rPr>
        <w:t xml:space="preserve"> </w:t>
      </w:r>
      <w:r w:rsidR="0081405B" w:rsidRPr="0081405B">
        <w:rPr>
          <w:i/>
          <w:iCs/>
          <w:highlight w:val="black"/>
        </w:rPr>
        <w:t>x</w:t>
      </w:r>
      <w:r w:rsidRPr="0081405B">
        <w:rPr>
          <w:i/>
          <w:iCs/>
          <w:highlight w:val="black"/>
        </w:rPr>
        <w:t xml:space="preserve"> </w:t>
      </w:r>
      <w:r w:rsidR="0081405B" w:rsidRPr="0081405B">
        <w:rPr>
          <w:i/>
          <w:iCs/>
          <w:highlight w:val="black"/>
        </w:rPr>
        <w:t>xxxxxxxxxxxx</w:t>
      </w:r>
      <w:r w:rsidRPr="0081405B">
        <w:rPr>
          <w:i/>
          <w:iCs/>
          <w:highlight w:val="black"/>
        </w:rPr>
        <w:t xml:space="preserve"> </w:t>
      </w:r>
      <w:r w:rsidR="0081405B" w:rsidRPr="0081405B">
        <w:rPr>
          <w:i/>
          <w:iCs/>
          <w:highlight w:val="black"/>
        </w:rPr>
        <w:t>xxxxxxxx</w:t>
      </w:r>
      <w:r w:rsidRPr="0081405B">
        <w:rPr>
          <w:i/>
          <w:iCs/>
          <w:highlight w:val="black"/>
        </w:rPr>
        <w:t xml:space="preserve"> </w:t>
      </w:r>
      <w:r w:rsidR="0081405B" w:rsidRPr="0081405B">
        <w:rPr>
          <w:i/>
          <w:iCs/>
          <w:highlight w:val="black"/>
        </w:rPr>
        <w:t>xx</w:t>
      </w:r>
      <w:r w:rsidR="0081405B">
        <w:t>]]</w:t>
      </w:r>
      <w:r>
        <w:t xml:space="preserve"> (Exhibit AUS-75 (BCI)).</w:t>
      </w:r>
    </w:p>
  </w:footnote>
  <w:footnote w:id="147">
    <w:p w14:paraId="08D2ED5E" w14:textId="77777777" w:rsidR="00C022A6" w:rsidRDefault="00620C43">
      <w:pPr>
        <w:pStyle w:val="FootnoteText"/>
        <w:rPr>
          <w:rFonts w:asciiTheme="minorHAnsi" w:hAnsiTheme="minorHAnsi" w:cstheme="minorHAnsi"/>
          <w:szCs w:val="18"/>
        </w:rPr>
      </w:pPr>
      <w:r>
        <w:rPr>
          <w:rStyle w:val="FootnoteReference"/>
          <w:rFonts w:asciiTheme="minorHAnsi" w:hAnsiTheme="minorHAnsi" w:cstheme="minorHAnsi"/>
          <w:szCs w:val="18"/>
        </w:rPr>
        <w:footnoteRef/>
      </w:r>
      <w:r>
        <w:rPr>
          <w:rFonts w:asciiTheme="minorHAnsi" w:hAnsiTheme="minorHAnsi" w:cstheme="minorHAnsi"/>
          <w:szCs w:val="18"/>
        </w:rPr>
        <w:t xml:space="preserve"> China's first written submission, para. 261.</w:t>
      </w:r>
    </w:p>
  </w:footnote>
  <w:footnote w:id="148">
    <w:p w14:paraId="1EE8E03B" w14:textId="77777777" w:rsidR="00C022A6" w:rsidRDefault="00620C43">
      <w:pPr>
        <w:pStyle w:val="FootnoteText"/>
      </w:pPr>
      <w:r>
        <w:rPr>
          <w:rStyle w:val="FootnoteReference"/>
        </w:rPr>
        <w:footnoteRef/>
      </w:r>
      <w:r>
        <w:t xml:space="preserve"> Australia’s second written submission, paras. 319-320.</w:t>
      </w:r>
    </w:p>
  </w:footnote>
  <w:footnote w:id="149">
    <w:p w14:paraId="63622BAF" w14:textId="693D75EE" w:rsidR="008D5174" w:rsidRDefault="008D5174">
      <w:pPr>
        <w:pStyle w:val="FootnoteText"/>
      </w:pPr>
      <w:r>
        <w:rPr>
          <w:rStyle w:val="FootnoteReference"/>
        </w:rPr>
        <w:footnoteRef/>
      </w:r>
      <w:r>
        <w:t xml:space="preserve"> </w:t>
      </w:r>
      <w:r w:rsidR="005B740D">
        <w:t>Australia’s second written submission, para 320.</w:t>
      </w:r>
    </w:p>
  </w:footnote>
  <w:footnote w:id="150">
    <w:p w14:paraId="66EEE9EF" w14:textId="77777777" w:rsidR="00C022A6" w:rsidRDefault="00620C43">
      <w:pPr>
        <w:pStyle w:val="FootnoteText"/>
      </w:pPr>
      <w:r>
        <w:rPr>
          <w:rStyle w:val="FootnoteReference"/>
        </w:rPr>
        <w:footnoteRef/>
      </w:r>
      <w:r>
        <w:t xml:space="preserve"> Australia's response to Panel question no. 16, paras. 35-36. </w:t>
      </w:r>
    </w:p>
  </w:footnote>
  <w:footnote w:id="151">
    <w:p w14:paraId="76915FFF" w14:textId="77777777" w:rsidR="00C022A6" w:rsidRDefault="00620C43">
      <w:pPr>
        <w:pStyle w:val="FootnoteText"/>
      </w:pPr>
      <w:r>
        <w:rPr>
          <w:rStyle w:val="FootnoteReference"/>
        </w:rPr>
        <w:footnoteRef/>
      </w:r>
      <w:r>
        <w:t xml:space="preserve"> Australia's first written submission, paras. 531-536. Australia’s second written submission, paras. 323-326.</w:t>
      </w:r>
    </w:p>
  </w:footnote>
  <w:footnote w:id="152">
    <w:p w14:paraId="421CA23D" w14:textId="77777777" w:rsidR="00C022A6" w:rsidRDefault="00620C43">
      <w:pPr>
        <w:pStyle w:val="FootnoteText"/>
        <w:rPr>
          <w:rFonts w:asciiTheme="minorHAnsi" w:hAnsiTheme="minorHAnsi" w:cstheme="minorHAnsi"/>
          <w:szCs w:val="18"/>
        </w:rPr>
      </w:pPr>
      <w:r>
        <w:rPr>
          <w:rStyle w:val="FootnoteReference"/>
          <w:rFonts w:asciiTheme="minorHAnsi" w:hAnsiTheme="minorHAnsi" w:cstheme="minorHAnsi"/>
          <w:szCs w:val="18"/>
        </w:rPr>
        <w:footnoteRef/>
      </w:r>
      <w:r>
        <w:rPr>
          <w:rFonts w:asciiTheme="minorHAnsi" w:hAnsiTheme="minorHAnsi" w:cstheme="minorHAnsi"/>
          <w:szCs w:val="18"/>
        </w:rPr>
        <w:t xml:space="preserve"> China's first written submission, paras. 412-416. </w:t>
      </w:r>
    </w:p>
  </w:footnote>
  <w:footnote w:id="153">
    <w:p w14:paraId="5F88C783" w14:textId="77777777" w:rsidR="00C022A6" w:rsidRDefault="00620C43">
      <w:pPr>
        <w:pStyle w:val="FootnoteText"/>
      </w:pPr>
      <w:r>
        <w:rPr>
          <w:rStyle w:val="FootnoteReference"/>
        </w:rPr>
        <w:footnoteRef/>
      </w:r>
      <w:r>
        <w:t xml:space="preserve"> Australia’s second written submission, paras. 327-329.</w:t>
      </w:r>
    </w:p>
  </w:footnote>
  <w:footnote w:id="154">
    <w:p w14:paraId="1D5AE620" w14:textId="77777777" w:rsidR="00C022A6" w:rsidRDefault="00620C43">
      <w:pPr>
        <w:pStyle w:val="FootnoteText"/>
      </w:pPr>
      <w:r>
        <w:rPr>
          <w:rStyle w:val="FootnoteReference"/>
        </w:rPr>
        <w:footnoteRef/>
      </w:r>
      <w:r>
        <w:t xml:space="preserve"> Australia's first written submission, paras. 545-549; Australia’s second written submission, para. 330.</w:t>
      </w:r>
    </w:p>
  </w:footnote>
  <w:footnote w:id="155">
    <w:p w14:paraId="3C06DEB0" w14:textId="0FF84C4D" w:rsidR="00071C84" w:rsidRDefault="00071C84">
      <w:pPr>
        <w:pStyle w:val="FootnoteText"/>
      </w:pPr>
      <w:r>
        <w:rPr>
          <w:rStyle w:val="FootnoteReference"/>
        </w:rPr>
        <w:footnoteRef/>
      </w:r>
      <w:r>
        <w:t xml:space="preserve"> Australia’s response to Panel question no. 29, paras. 83-84.</w:t>
      </w:r>
    </w:p>
  </w:footnote>
  <w:footnote w:id="156">
    <w:p w14:paraId="433B24EE" w14:textId="77777777" w:rsidR="00C022A6" w:rsidRDefault="00620C43">
      <w:pPr>
        <w:pStyle w:val="FootnoteText"/>
      </w:pPr>
      <w:r>
        <w:rPr>
          <w:rStyle w:val="FootnoteReference"/>
        </w:rPr>
        <w:footnoteRef/>
      </w:r>
      <w:r>
        <w:t xml:space="preserve"> Australia’s second written submission, para. 331.</w:t>
      </w:r>
    </w:p>
  </w:footnote>
  <w:footnote w:id="157">
    <w:p w14:paraId="4F0486FE" w14:textId="77777777" w:rsidR="00C022A6" w:rsidRDefault="00620C43">
      <w:pPr>
        <w:pStyle w:val="FootnoteText"/>
      </w:pPr>
      <w:r>
        <w:rPr>
          <w:rStyle w:val="FootnoteReference"/>
        </w:rPr>
        <w:footnoteRef/>
      </w:r>
      <w:r>
        <w:t xml:space="preserve"> Australia's first written submission, paras. 563-707.</w:t>
      </w:r>
    </w:p>
  </w:footnote>
  <w:footnote w:id="158">
    <w:p w14:paraId="5B02D516" w14:textId="4E145E5E" w:rsidR="00E61E67" w:rsidRDefault="00E61E67">
      <w:pPr>
        <w:pStyle w:val="FootnoteText"/>
      </w:pPr>
      <w:r>
        <w:rPr>
          <w:rStyle w:val="FootnoteReference"/>
        </w:rPr>
        <w:footnoteRef/>
      </w:r>
      <w:r>
        <w:t xml:space="preserve"> PRR, para. 25.</w:t>
      </w:r>
    </w:p>
  </w:footnote>
  <w:footnote w:id="159">
    <w:p w14:paraId="7BBB9184" w14:textId="77777777" w:rsidR="00C022A6" w:rsidRDefault="00620C43">
      <w:pPr>
        <w:pStyle w:val="FootnoteText"/>
      </w:pPr>
      <w:r>
        <w:rPr>
          <w:rStyle w:val="FootnoteReference"/>
        </w:rPr>
        <w:footnoteRef/>
      </w:r>
      <w:r>
        <w:t xml:space="preserve"> </w:t>
      </w:r>
      <w:r>
        <w:rPr>
          <w:rFonts w:asciiTheme="minorHAnsi" w:hAnsiTheme="minorHAnsi" w:cstheme="minorHAnsi"/>
          <w:szCs w:val="18"/>
        </w:rPr>
        <w:t>Australia's first written submission, para. 570.</w:t>
      </w:r>
    </w:p>
  </w:footnote>
  <w:footnote w:id="160">
    <w:p w14:paraId="65CA6D96" w14:textId="77777777" w:rsidR="00C022A6" w:rsidRDefault="00620C43">
      <w:pPr>
        <w:pStyle w:val="FootnoteText"/>
      </w:pPr>
      <w:r>
        <w:rPr>
          <w:rStyle w:val="FootnoteReference"/>
        </w:rPr>
        <w:footnoteRef/>
      </w:r>
      <w:r>
        <w:t xml:space="preserve"> China's first written submission, paras. 481-534.</w:t>
      </w:r>
    </w:p>
  </w:footnote>
  <w:footnote w:id="161">
    <w:p w14:paraId="21DAFE6B" w14:textId="77777777" w:rsidR="00C022A6" w:rsidRDefault="00620C43">
      <w:pPr>
        <w:pStyle w:val="FootnoteText"/>
      </w:pPr>
      <w:r>
        <w:rPr>
          <w:rStyle w:val="FootnoteReference"/>
        </w:rPr>
        <w:footnoteRef/>
      </w:r>
      <w:r>
        <w:t xml:space="preserve"> Australia's second written submission, para. 337. See also Australia's first written submission, paras. 607-617.</w:t>
      </w:r>
    </w:p>
  </w:footnote>
  <w:footnote w:id="162">
    <w:p w14:paraId="302B8C09" w14:textId="1CFFAF6E" w:rsidR="00812BCF" w:rsidRDefault="00812BCF">
      <w:pPr>
        <w:pStyle w:val="FootnoteText"/>
      </w:pPr>
      <w:r>
        <w:rPr>
          <w:rStyle w:val="FootnoteReference"/>
        </w:rPr>
        <w:footnoteRef/>
      </w:r>
      <w:r>
        <w:t xml:space="preserve"> </w:t>
      </w:r>
      <w:r w:rsidR="009D454D">
        <w:t>Australia’s second written submission, paras. 336-364.</w:t>
      </w:r>
    </w:p>
  </w:footnote>
  <w:footnote w:id="163">
    <w:p w14:paraId="695F0A10" w14:textId="77777777" w:rsidR="00C022A6" w:rsidRDefault="00620C43">
      <w:pPr>
        <w:pStyle w:val="FootnoteText"/>
      </w:pPr>
      <w:r>
        <w:rPr>
          <w:rStyle w:val="FootnoteReference"/>
        </w:rPr>
        <w:footnoteRef/>
      </w:r>
      <w:r>
        <w:t xml:space="preserve"> China's first written submission, paras. 554-558.</w:t>
      </w:r>
    </w:p>
  </w:footnote>
  <w:footnote w:id="164">
    <w:p w14:paraId="7E11F4AE" w14:textId="27B5D135" w:rsidR="00C022A6" w:rsidRDefault="00620C43">
      <w:pPr>
        <w:pStyle w:val="FootnoteText"/>
      </w:pPr>
      <w:r>
        <w:rPr>
          <w:rStyle w:val="FootnoteReference"/>
        </w:rPr>
        <w:footnoteRef/>
      </w:r>
      <w:r>
        <w:t xml:space="preserve"> Australia's first written submission, paras. 638, 652-653; Australia's second written submission, paras. 367-371; Australia's response to Panel question no. 91, para</w:t>
      </w:r>
      <w:r w:rsidR="00774329">
        <w:t>s</w:t>
      </w:r>
      <w:r>
        <w:t>. 175-178.</w:t>
      </w:r>
    </w:p>
  </w:footnote>
  <w:footnote w:id="165">
    <w:p w14:paraId="11E4B47F" w14:textId="77777777" w:rsidR="00C022A6" w:rsidRDefault="00620C43">
      <w:pPr>
        <w:pStyle w:val="FootnoteText"/>
      </w:pPr>
      <w:r>
        <w:rPr>
          <w:rStyle w:val="FootnoteReference"/>
        </w:rPr>
        <w:footnoteRef/>
      </w:r>
      <w:r>
        <w:t xml:space="preserve"> China's first written submission, paras. 559-560.</w:t>
      </w:r>
    </w:p>
  </w:footnote>
  <w:footnote w:id="166">
    <w:p w14:paraId="0DED143A" w14:textId="3E1450F7" w:rsidR="00C022A6" w:rsidRDefault="00620C43">
      <w:pPr>
        <w:pStyle w:val="FootnoteText"/>
      </w:pPr>
      <w:r>
        <w:rPr>
          <w:rStyle w:val="FootnoteReference"/>
          <w:rFonts w:asciiTheme="minorHAnsi" w:hAnsiTheme="minorHAnsi" w:cstheme="minorHAnsi"/>
        </w:rPr>
        <w:footnoteRef/>
      </w:r>
      <w:r>
        <w:rPr>
          <w:rFonts w:asciiTheme="minorHAnsi" w:hAnsiTheme="minorHAnsi" w:cstheme="minorHAnsi"/>
        </w:rPr>
        <w:t xml:space="preserve"> Australia</w:t>
      </w:r>
      <w:r>
        <w:rPr>
          <w:rFonts w:asciiTheme="minorHAnsi" w:hAnsiTheme="minorHAnsi" w:cstheme="minorHAnsi"/>
          <w:lang w:val="en-GB"/>
        </w:rPr>
        <w:t>'</w:t>
      </w:r>
      <w:r>
        <w:rPr>
          <w:rFonts w:asciiTheme="minorHAnsi" w:hAnsiTheme="minorHAnsi" w:cstheme="minorHAnsi"/>
        </w:rPr>
        <w:t>s first written submission, para. 639;</w:t>
      </w:r>
      <w:r>
        <w:t xml:space="preserve"> Australia's response to Panel question no. 92, para</w:t>
      </w:r>
      <w:r w:rsidR="00774329">
        <w:t>s</w:t>
      </w:r>
      <w:r>
        <w:t>. 179-182.</w:t>
      </w:r>
    </w:p>
  </w:footnote>
  <w:footnote w:id="167">
    <w:p w14:paraId="5B2DAF5D" w14:textId="77777777" w:rsidR="00C022A6" w:rsidRDefault="00620C43">
      <w:pPr>
        <w:pStyle w:val="FootnoteText"/>
      </w:pPr>
      <w:r>
        <w:rPr>
          <w:rStyle w:val="FootnoteReference"/>
        </w:rPr>
        <w:footnoteRef/>
      </w:r>
      <w:r>
        <w:t xml:space="preserve"> China's first written submission, paras. 561-565.</w:t>
      </w:r>
    </w:p>
  </w:footnote>
  <w:footnote w:id="168">
    <w:p w14:paraId="02AD68C4" w14:textId="77777777" w:rsidR="00C022A6" w:rsidRDefault="00620C43">
      <w:pPr>
        <w:pStyle w:val="FootnoteText"/>
      </w:pPr>
      <w:r>
        <w:rPr>
          <w:rStyle w:val="FootnoteReference"/>
        </w:rPr>
        <w:footnoteRef/>
      </w:r>
      <w:r>
        <w:t xml:space="preserve"> Australia's first written submission, paras. 640-641; Australia's second written submission, paras. 372-379.</w:t>
      </w:r>
    </w:p>
  </w:footnote>
  <w:footnote w:id="169">
    <w:p w14:paraId="5198E2D8" w14:textId="77777777" w:rsidR="00C022A6" w:rsidRDefault="00620C43">
      <w:pPr>
        <w:pStyle w:val="FootnoteText"/>
      </w:pPr>
      <w:r>
        <w:rPr>
          <w:rStyle w:val="FootnoteReference"/>
        </w:rPr>
        <w:footnoteRef/>
      </w:r>
      <w:r>
        <w:t xml:space="preserve"> China's first written submission, para. 566.</w:t>
      </w:r>
    </w:p>
  </w:footnote>
  <w:footnote w:id="170">
    <w:p w14:paraId="714368C9" w14:textId="77777777" w:rsidR="00C022A6" w:rsidRDefault="00620C43">
      <w:pPr>
        <w:pStyle w:val="FootnoteText"/>
      </w:pPr>
      <w:r>
        <w:rPr>
          <w:rStyle w:val="FootnoteReference"/>
        </w:rPr>
        <w:footnoteRef/>
      </w:r>
      <w:r>
        <w:t xml:space="preserve"> Australia's first written submission, paras. 657-666.</w:t>
      </w:r>
    </w:p>
  </w:footnote>
  <w:footnote w:id="171">
    <w:p w14:paraId="4217E294" w14:textId="77777777" w:rsidR="00C022A6" w:rsidRPr="00ED31C8" w:rsidRDefault="00620C43">
      <w:pPr>
        <w:pStyle w:val="FootnoteText"/>
        <w:rPr>
          <w:rFonts w:asciiTheme="minorHAnsi" w:hAnsiTheme="minorHAnsi" w:cstheme="minorHAnsi"/>
          <w:szCs w:val="18"/>
          <w:lang w:val="en-US"/>
        </w:rPr>
      </w:pPr>
      <w:r>
        <w:rPr>
          <w:rStyle w:val="FootnoteReference"/>
          <w:rFonts w:asciiTheme="minorHAnsi" w:hAnsiTheme="minorHAnsi" w:cstheme="minorHAnsi"/>
          <w:szCs w:val="18"/>
        </w:rPr>
        <w:footnoteRef/>
      </w:r>
      <w:r w:rsidRPr="00ED31C8">
        <w:rPr>
          <w:rFonts w:asciiTheme="minorHAnsi" w:hAnsiTheme="minorHAnsi" w:cstheme="minorHAnsi"/>
          <w:szCs w:val="18"/>
          <w:lang w:val="en-US"/>
        </w:rPr>
        <w:t xml:space="preserve"> </w:t>
      </w:r>
      <w:r>
        <w:t>China's first written submission</w:t>
      </w:r>
      <w:r w:rsidRPr="00ED31C8">
        <w:rPr>
          <w:rFonts w:asciiTheme="minorHAnsi" w:hAnsiTheme="minorHAnsi" w:cstheme="minorHAnsi"/>
          <w:szCs w:val="18"/>
          <w:lang w:val="en-US"/>
        </w:rPr>
        <w:t xml:space="preserve">, paras. 580-582, 587-588. </w:t>
      </w:r>
    </w:p>
  </w:footnote>
  <w:footnote w:id="172">
    <w:p w14:paraId="295C0F79" w14:textId="6487AFD4" w:rsidR="00C022A6" w:rsidRDefault="00620C43">
      <w:pPr>
        <w:pStyle w:val="FootnoteText"/>
      </w:pPr>
      <w:r>
        <w:rPr>
          <w:rStyle w:val="FootnoteReference"/>
        </w:rPr>
        <w:footnoteRef/>
      </w:r>
      <w:r>
        <w:t xml:space="preserve"> Australia's response to Panel question no. 94, para</w:t>
      </w:r>
      <w:r w:rsidR="00774329">
        <w:t>s</w:t>
      </w:r>
      <w:r>
        <w:t>. 184-188.</w:t>
      </w:r>
    </w:p>
  </w:footnote>
  <w:footnote w:id="173">
    <w:p w14:paraId="4BCA6847" w14:textId="400AA294" w:rsidR="00C022A6" w:rsidRDefault="00620C43">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w:t>
      </w:r>
      <w:r w:rsidR="003552FD">
        <w:rPr>
          <w:rFonts w:asciiTheme="minorHAnsi" w:hAnsiTheme="minorHAnsi" w:cstheme="minorHAnsi"/>
        </w:rPr>
        <w:t xml:space="preserve">Australia's second written submission, para. 390; </w:t>
      </w:r>
      <w:r>
        <w:rPr>
          <w:rFonts w:asciiTheme="minorHAnsi" w:hAnsiTheme="minorHAnsi" w:cstheme="minorHAnsi"/>
          <w:i/>
          <w:iCs/>
        </w:rPr>
        <w:t>Hot Rolled Plate Steel Investigation 198 Report</w:t>
      </w:r>
      <w:r>
        <w:rPr>
          <w:rFonts w:asciiTheme="minorHAnsi" w:hAnsiTheme="minorHAnsi" w:cstheme="minorHAnsi"/>
        </w:rPr>
        <w:t xml:space="preserve">, (Exhibit CHN-33); </w:t>
      </w:r>
      <w:r>
        <w:rPr>
          <w:rFonts w:asciiTheme="minorHAnsi" w:hAnsiTheme="minorHAnsi" w:cstheme="minorHAnsi"/>
          <w:i/>
          <w:iCs/>
        </w:rPr>
        <w:t>Aluminium Zinc Coated Steel Investigation 193 Report</w:t>
      </w:r>
      <w:r>
        <w:rPr>
          <w:rFonts w:asciiTheme="minorHAnsi" w:hAnsiTheme="minorHAnsi" w:cstheme="minorHAnsi"/>
        </w:rPr>
        <w:t>, (Exhibit AUS-70).</w:t>
      </w:r>
    </w:p>
  </w:footnote>
  <w:footnote w:id="174">
    <w:p w14:paraId="2F0F4509" w14:textId="21D968C3" w:rsidR="00C022A6" w:rsidRDefault="00620C43">
      <w:pPr>
        <w:pStyle w:val="FootnoteText"/>
      </w:pPr>
      <w:r>
        <w:rPr>
          <w:rStyle w:val="FootnoteReference"/>
        </w:rPr>
        <w:footnoteRef/>
      </w:r>
      <w:r>
        <w:t xml:space="preserve"> Australia's first written submission, paras. 690-697; Australia's second written submission, paras. 386-400; Australia's response to Panel question no. 35, para</w:t>
      </w:r>
      <w:r w:rsidR="00774329">
        <w:t>s</w:t>
      </w:r>
      <w:r>
        <w:t>. 99-103; Australia's response to Panel question no. 94, para</w:t>
      </w:r>
      <w:r w:rsidR="00774329">
        <w:t>s</w:t>
      </w:r>
      <w:r>
        <w:t>. 184-188.</w:t>
      </w:r>
    </w:p>
  </w:footnote>
  <w:footnote w:id="175">
    <w:p w14:paraId="77D82A8E" w14:textId="77777777" w:rsidR="00C022A6" w:rsidRDefault="00620C43">
      <w:pPr>
        <w:pStyle w:val="FootnoteText"/>
        <w:rPr>
          <w:rFonts w:asciiTheme="minorHAnsi" w:hAnsiTheme="minorHAnsi" w:cstheme="minorHAnsi"/>
          <w:szCs w:val="18"/>
        </w:rPr>
      </w:pPr>
      <w:r>
        <w:rPr>
          <w:rStyle w:val="FootnoteReference"/>
          <w:rFonts w:asciiTheme="minorHAnsi" w:hAnsiTheme="minorHAnsi" w:cstheme="minorHAnsi"/>
          <w:szCs w:val="18"/>
        </w:rPr>
        <w:footnoteRef/>
      </w:r>
      <w:r w:rsidRPr="005A2275">
        <w:rPr>
          <w:rFonts w:asciiTheme="minorHAnsi" w:hAnsiTheme="minorHAnsi" w:cstheme="minorHAnsi"/>
          <w:szCs w:val="18"/>
          <w:lang w:val="en-US"/>
        </w:rPr>
        <w:t xml:space="preserve"> </w:t>
      </w:r>
      <w:r>
        <w:t>China's first written submission</w:t>
      </w:r>
      <w:r w:rsidRPr="005A2275">
        <w:rPr>
          <w:rFonts w:asciiTheme="minorHAnsi" w:hAnsiTheme="minorHAnsi" w:cstheme="minorHAnsi"/>
          <w:szCs w:val="18"/>
          <w:lang w:val="en-US"/>
        </w:rPr>
        <w:t xml:space="preserve">, paras. </w:t>
      </w:r>
      <w:r>
        <w:rPr>
          <w:rFonts w:asciiTheme="minorHAnsi" w:hAnsiTheme="minorHAnsi" w:cstheme="minorHAnsi"/>
          <w:szCs w:val="18"/>
        </w:rPr>
        <w:t>583-586, 589.</w:t>
      </w:r>
    </w:p>
  </w:footnote>
  <w:footnote w:id="176">
    <w:p w14:paraId="137763D2" w14:textId="77777777" w:rsidR="00117980" w:rsidRDefault="00117980" w:rsidP="00117980">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Australia's first written submission, paras. 698-704; Australia's second written submission, paras.401-402; </w:t>
      </w:r>
      <w:r>
        <w:t>Australia's response to Panel question no. 115, paras. 259-260.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6E62" w14:textId="393A84E5" w:rsidR="00C022A6" w:rsidRDefault="00620C43">
    <w:pPr>
      <w:pStyle w:val="Header"/>
      <w:pBdr>
        <w:top w:val="single" w:sz="4" w:space="1" w:color="auto"/>
        <w:left w:val="single" w:sz="4" w:space="4" w:color="auto"/>
        <w:bottom w:val="single" w:sz="4" w:space="1" w:color="auto"/>
        <w:right w:val="single" w:sz="4" w:space="4" w:color="auto"/>
      </w:pBdr>
      <w:jc w:val="center"/>
      <w:rPr>
        <w:szCs w:val="22"/>
      </w:rPr>
    </w:pPr>
    <w:r>
      <w:rPr>
        <w:szCs w:val="22"/>
      </w:rPr>
      <w:t>Contains Business Confidential Information</w:t>
    </w:r>
  </w:p>
  <w:p w14:paraId="66189B3D" w14:textId="0685A55D" w:rsidR="00C022A6" w:rsidRDefault="00620C43">
    <w:pPr>
      <w:pStyle w:val="Header"/>
      <w:tabs>
        <w:tab w:val="clear" w:pos="4536"/>
        <w:tab w:val="clear" w:pos="9072"/>
      </w:tabs>
      <w:jc w:val="right"/>
      <w:rPr>
        <w:szCs w:val="22"/>
      </w:rPr>
    </w:pPr>
    <w:r>
      <w:rPr>
        <w:i/>
        <w:iCs/>
        <w:szCs w:val="22"/>
      </w:rPr>
      <w:t>Australia – Anti-Dumping and Countervailing Duty</w:t>
    </w:r>
    <w:r>
      <w:rPr>
        <w:szCs w:val="22"/>
      </w:rPr>
      <w:ptab w:relativeTo="margin" w:alignment="right" w:leader="none"/>
    </w:r>
    <w:r>
      <w:rPr>
        <w:szCs w:val="22"/>
      </w:rPr>
      <w:fldChar w:fldCharType="begin"/>
    </w:r>
    <w:r>
      <w:rPr>
        <w:szCs w:val="22"/>
      </w:rPr>
      <w:instrText xml:space="preserve"> STYLEREF  "[DT] Document Title"  \* MERGEFORMAT </w:instrText>
    </w:r>
    <w:r>
      <w:rPr>
        <w:noProof/>
        <w:szCs w:val="22"/>
      </w:rPr>
      <w:fldChar w:fldCharType="end"/>
    </w:r>
  </w:p>
  <w:p w14:paraId="590853BE" w14:textId="7B073744" w:rsidR="00C022A6" w:rsidRDefault="00620C43">
    <w:pPr>
      <w:pStyle w:val="Header"/>
      <w:spacing w:after="120"/>
      <w:rPr>
        <w:noProof/>
        <w:szCs w:val="22"/>
      </w:rPr>
    </w:pPr>
    <w:r>
      <w:rPr>
        <w:i/>
        <w:iCs/>
        <w:szCs w:val="22"/>
      </w:rPr>
      <w:t xml:space="preserve">Measures on Certain Products from China </w:t>
    </w:r>
    <w:r>
      <w:rPr>
        <w:szCs w:val="22"/>
      </w:rPr>
      <w:fldChar w:fldCharType="begin"/>
    </w:r>
    <w:r>
      <w:rPr>
        <w:szCs w:val="22"/>
      </w:rPr>
      <w:instrText xml:space="preserve"> STYLEREF  "[DSN] DS Number"  \* MERGEFORMAT </w:instrText>
    </w:r>
    <w:r>
      <w:rPr>
        <w:szCs w:val="22"/>
      </w:rPr>
      <w:fldChar w:fldCharType="separate"/>
    </w:r>
    <w:r w:rsidR="00AA7599">
      <w:rPr>
        <w:noProof/>
        <w:szCs w:val="22"/>
      </w:rPr>
      <w:t>(DS603)</w:t>
    </w:r>
    <w:r>
      <w:rPr>
        <w:noProof/>
        <w:szCs w:val="22"/>
      </w:rPr>
      <w:fldChar w:fldCharType="end"/>
    </w:r>
    <w:r>
      <w:rPr>
        <w:szCs w:val="22"/>
      </w:rPr>
      <w:ptab w:relativeTo="margin" w:alignment="right" w:leader="none"/>
    </w:r>
    <w:r>
      <w:rPr>
        <w:szCs w:val="22"/>
      </w:rPr>
      <w:fldChar w:fldCharType="begin"/>
    </w:r>
    <w:r>
      <w:rPr>
        <w:szCs w:val="22"/>
      </w:rPr>
      <w:instrText xml:space="preserve"> STYLEREF  "[DD] Document Date"  \* MERGEFORMAT </w:instrText>
    </w:r>
    <w:r>
      <w:rPr>
        <w:szCs w:val="22"/>
      </w:rPr>
      <w:fldChar w:fldCharType="separate"/>
    </w:r>
    <w:r w:rsidR="00AA7599">
      <w:rPr>
        <w:noProof/>
        <w:szCs w:val="22"/>
      </w:rPr>
      <w:t>20 October 2023</w:t>
    </w:r>
    <w:r>
      <w:rPr>
        <w:noProof/>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1B25" w14:textId="77777777" w:rsidR="00C022A6" w:rsidRDefault="00C022A6">
    <w:pPr>
      <w:pStyle w:val="Header"/>
      <w:jc w:val="right"/>
    </w:pPr>
  </w:p>
  <w:p w14:paraId="1AE4497D" w14:textId="77777777" w:rsidR="00C022A6" w:rsidRDefault="00C0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565B"/>
    <w:multiLevelType w:val="hybridMultilevel"/>
    <w:tmpl w:val="3AA43294"/>
    <w:lvl w:ilvl="0" w:tplc="9926DED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9AC8862">
      <w:start w:val="1"/>
      <w:numFmt w:val="bullet"/>
      <w:pStyle w:val="A4BulletPoint2"/>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A4596"/>
    <w:multiLevelType w:val="multilevel"/>
    <w:tmpl w:val="1BD2BAF2"/>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844"/>
        </w:tabs>
        <w:ind w:left="1844" w:hanging="851"/>
      </w:pPr>
    </w:lvl>
    <w:lvl w:ilvl="2">
      <w:start w:val="1"/>
      <w:numFmt w:val="decimal"/>
      <w:pStyle w:val="HL3HeadingLevel3"/>
      <w:lvlText w:val="%3."/>
      <w:lvlJc w:val="left"/>
      <w:pPr>
        <w:tabs>
          <w:tab w:val="num" w:pos="3262"/>
        </w:tabs>
        <w:ind w:left="3262"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6"/>
        </w:tabs>
        <w:ind w:left="5106" w:hanging="851"/>
      </w:pPr>
      <w:rPr>
        <w:rFonts w:hint="default"/>
      </w:rPr>
    </w:lvl>
    <w:lvl w:ilvl="6">
      <w:start w:val="1"/>
      <w:numFmt w:val="decimal"/>
      <w:pStyle w:val="HL7HeadingLevel7"/>
      <w:lvlText w:val="(%7)"/>
      <w:lvlJc w:val="left"/>
      <w:pPr>
        <w:tabs>
          <w:tab w:val="num" w:pos="5957"/>
        </w:tabs>
        <w:ind w:left="5957" w:hanging="851"/>
      </w:pPr>
      <w:rPr>
        <w:rFonts w:hint="default"/>
      </w:rPr>
    </w:lvl>
    <w:lvl w:ilvl="7">
      <w:start w:val="1"/>
      <w:numFmt w:val="lowerLetter"/>
      <w:pStyle w:val="HL8HeadingLevel8"/>
      <w:lvlText w:val="%8."/>
      <w:lvlJc w:val="left"/>
      <w:pPr>
        <w:tabs>
          <w:tab w:val="num" w:pos="6808"/>
        </w:tabs>
        <w:ind w:left="6808" w:hanging="851"/>
      </w:pPr>
      <w:rPr>
        <w:rFonts w:hint="default"/>
      </w:rPr>
    </w:lvl>
    <w:lvl w:ilvl="8">
      <w:start w:val="1"/>
      <w:numFmt w:val="lowerRoman"/>
      <w:pStyle w:val="HL9HeadingLevel9"/>
      <w:lvlText w:val="%9)"/>
      <w:lvlJc w:val="left"/>
      <w:pPr>
        <w:tabs>
          <w:tab w:val="num" w:pos="7659"/>
        </w:tabs>
        <w:ind w:left="7659" w:hanging="851"/>
      </w:pPr>
      <w:rPr>
        <w:rFonts w:hint="default"/>
      </w:rPr>
    </w:lvl>
  </w:abstractNum>
  <w:abstractNum w:abstractNumId="3" w15:restartNumberingAfterBreak="0">
    <w:nsid w:val="0DA94A6E"/>
    <w:multiLevelType w:val="hybridMultilevel"/>
    <w:tmpl w:val="ABE28A36"/>
    <w:lvl w:ilvl="0" w:tplc="01D46AB6">
      <w:start w:val="1"/>
      <w:numFmt w:val="decimal"/>
      <w:pStyle w:val="A4BodyText"/>
      <w:lvlText w:val="%1."/>
      <w:lvlJc w:val="left"/>
      <w:pPr>
        <w:ind w:left="291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DA5CA4"/>
    <w:multiLevelType w:val="hybridMultilevel"/>
    <w:tmpl w:val="CB200BA4"/>
    <w:lvl w:ilvl="0" w:tplc="E342ECD0">
      <w:start w:val="1"/>
      <w:numFmt w:val="lowerLetter"/>
      <w:pStyle w:val="Barley-HeadingLevel6"/>
      <w:lvlText w:val="%1."/>
      <w:lvlJc w:val="left"/>
      <w:pPr>
        <w:ind w:left="5466" w:hanging="360"/>
      </w:pPr>
    </w:lvl>
    <w:lvl w:ilvl="1" w:tplc="0C090019" w:tentative="1">
      <w:start w:val="1"/>
      <w:numFmt w:val="lowerLetter"/>
      <w:lvlText w:val="%2."/>
      <w:lvlJc w:val="left"/>
      <w:pPr>
        <w:ind w:left="6186" w:hanging="360"/>
      </w:pPr>
    </w:lvl>
    <w:lvl w:ilvl="2" w:tplc="0C09001B" w:tentative="1">
      <w:start w:val="1"/>
      <w:numFmt w:val="lowerRoman"/>
      <w:lvlText w:val="%3."/>
      <w:lvlJc w:val="right"/>
      <w:pPr>
        <w:ind w:left="6906" w:hanging="180"/>
      </w:pPr>
    </w:lvl>
    <w:lvl w:ilvl="3" w:tplc="0C09000F" w:tentative="1">
      <w:start w:val="1"/>
      <w:numFmt w:val="decimal"/>
      <w:lvlText w:val="%4."/>
      <w:lvlJc w:val="left"/>
      <w:pPr>
        <w:ind w:left="7626" w:hanging="360"/>
      </w:pPr>
    </w:lvl>
    <w:lvl w:ilvl="4" w:tplc="0C090019" w:tentative="1">
      <w:start w:val="1"/>
      <w:numFmt w:val="lowerLetter"/>
      <w:lvlText w:val="%5."/>
      <w:lvlJc w:val="left"/>
      <w:pPr>
        <w:ind w:left="8346" w:hanging="360"/>
      </w:pPr>
    </w:lvl>
    <w:lvl w:ilvl="5" w:tplc="0C09001B" w:tentative="1">
      <w:start w:val="1"/>
      <w:numFmt w:val="lowerRoman"/>
      <w:lvlText w:val="%6."/>
      <w:lvlJc w:val="right"/>
      <w:pPr>
        <w:ind w:left="9066" w:hanging="180"/>
      </w:pPr>
    </w:lvl>
    <w:lvl w:ilvl="6" w:tplc="0C09000F" w:tentative="1">
      <w:start w:val="1"/>
      <w:numFmt w:val="decimal"/>
      <w:lvlText w:val="%7."/>
      <w:lvlJc w:val="left"/>
      <w:pPr>
        <w:ind w:left="9786" w:hanging="360"/>
      </w:pPr>
    </w:lvl>
    <w:lvl w:ilvl="7" w:tplc="0C090019" w:tentative="1">
      <w:start w:val="1"/>
      <w:numFmt w:val="lowerLetter"/>
      <w:lvlText w:val="%8."/>
      <w:lvlJc w:val="left"/>
      <w:pPr>
        <w:ind w:left="10506" w:hanging="360"/>
      </w:pPr>
    </w:lvl>
    <w:lvl w:ilvl="8" w:tplc="0C09001B" w:tentative="1">
      <w:start w:val="1"/>
      <w:numFmt w:val="lowerRoman"/>
      <w:lvlText w:val="%9."/>
      <w:lvlJc w:val="right"/>
      <w:pPr>
        <w:ind w:left="11226" w:hanging="180"/>
      </w:pPr>
    </w:lvl>
  </w:abstractNum>
  <w:abstractNum w:abstractNumId="5" w15:restartNumberingAfterBreak="0">
    <w:nsid w:val="1D4D4603"/>
    <w:multiLevelType w:val="multilevel"/>
    <w:tmpl w:val="7908CB38"/>
    <w:lvl w:ilvl="0">
      <w:start w:val="1"/>
      <w:numFmt w:val="decimal"/>
      <w:pStyle w:val="ListNumber"/>
      <w:lvlText w:val="%1."/>
      <w:lvlJc w:val="left"/>
      <w:pPr>
        <w:ind w:left="737" w:hanging="737"/>
      </w:pPr>
      <w:rPr>
        <w:rFonts w:hint="default"/>
        <w:i w:val="0"/>
      </w:rPr>
    </w:lvl>
    <w:lvl w:ilvl="1">
      <w:start w:val="1"/>
      <w:numFmt w:val="lowerLetter"/>
      <w:pStyle w:val="ListNumber2"/>
      <w:lvlText w:val="(%2)"/>
      <w:lvlJc w:val="left"/>
      <w:pPr>
        <w:ind w:left="1474" w:hanging="737"/>
      </w:pPr>
      <w:rPr>
        <w:rFonts w:hint="default"/>
      </w:rPr>
    </w:lvl>
    <w:lvl w:ilvl="2">
      <w:start w:val="1"/>
      <w:numFmt w:val="decimal"/>
      <w:pStyle w:val="ListNumber3"/>
      <w:lvlText w:val="(%3)"/>
      <w:lvlJc w:val="left"/>
      <w:pPr>
        <w:ind w:left="2211" w:hanging="737"/>
      </w:pPr>
      <w:rPr>
        <w:rFonts w:hint="default"/>
      </w:rPr>
    </w:lvl>
    <w:lvl w:ilvl="3">
      <w:start w:val="1"/>
      <w:numFmt w:val="decimal"/>
      <w:pStyle w:val="ListNumber4"/>
      <w:lvlText w:val="%4."/>
      <w:lvlJc w:val="left"/>
      <w:pPr>
        <w:ind w:left="2948" w:hanging="737"/>
      </w:pPr>
      <w:rPr>
        <w:rFonts w:hint="default"/>
      </w:rPr>
    </w:lvl>
    <w:lvl w:ilvl="4">
      <w:start w:val="1"/>
      <w:numFmt w:val="lowerLetter"/>
      <w:pStyle w:val="ListNumber2"/>
      <w:lvlText w:val="%5."/>
      <w:lvlJc w:val="left"/>
      <w:pPr>
        <w:ind w:left="3685" w:hanging="737"/>
      </w:pPr>
      <w:rPr>
        <w:rFonts w:hint="default"/>
      </w:rPr>
    </w:lvl>
    <w:lvl w:ilvl="5">
      <w:start w:val="1"/>
      <w:numFmt w:val="lowerRoman"/>
      <w:lvlText w:val="%6."/>
      <w:lvlJc w:val="righ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right"/>
      <w:pPr>
        <w:ind w:left="6633" w:hanging="737"/>
      </w:pPr>
      <w:rPr>
        <w:rFonts w:hint="default"/>
      </w:rPr>
    </w:lvl>
  </w:abstractNum>
  <w:abstractNum w:abstractNumId="6" w15:restartNumberingAfterBreak="0">
    <w:nsid w:val="28243105"/>
    <w:multiLevelType w:val="hybridMultilevel"/>
    <w:tmpl w:val="BA6E932E"/>
    <w:lvl w:ilvl="0" w:tplc="6F0E0E40">
      <w:start w:val="1"/>
      <w:numFmt w:val="decimal"/>
      <w:pStyle w:val="P1-N1Paragraph1-Number1"/>
      <w:lvlText w:val="%1."/>
      <w:lvlJc w:val="left"/>
      <w:pPr>
        <w:tabs>
          <w:tab w:val="num" w:pos="851"/>
        </w:tabs>
        <w:ind w:left="0" w:firstLine="0"/>
      </w:pPr>
      <w:rPr>
        <w:rFonts w:ascii="Calibri" w:eastAsiaTheme="minorHAnsi" w:hAnsi="Calibri" w:cstheme="minorBid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5A6057E">
      <w:start w:val="1"/>
      <w:numFmt w:val="lowerLetter"/>
      <w:pStyle w:val="P2-B1Paragraph2-Bullet1"/>
      <w:lvlText w:val="%2)"/>
      <w:lvlJc w:val="left"/>
      <w:pPr>
        <w:ind w:left="121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376C538">
      <w:start w:val="1"/>
      <w:numFmt w:val="lowerRoman"/>
      <w:pStyle w:val="P3-B2Paragraph3-Bullet2"/>
      <w:lvlText w:val="(%3)"/>
      <w:lvlJc w:val="left"/>
      <w:pPr>
        <w:tabs>
          <w:tab w:val="num" w:pos="2552"/>
        </w:tabs>
        <w:ind w:left="2552" w:hanging="851"/>
      </w:pPr>
      <w:rPr>
        <w:rFonts w:ascii="Calibri" w:eastAsiaTheme="minorHAnsi" w:hAnsi="Calibri" w:cstheme="minorBidi"/>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7" w15:restartNumberingAfterBreak="0">
    <w:nsid w:val="377A7666"/>
    <w:multiLevelType w:val="hybridMultilevel"/>
    <w:tmpl w:val="09E29E6C"/>
    <w:lvl w:ilvl="0" w:tplc="FFFFFFFF">
      <w:start w:val="1"/>
      <w:numFmt w:val="decimal"/>
      <w:lvlText w:val="%1."/>
      <w:lvlJc w:val="left"/>
      <w:pPr>
        <w:tabs>
          <w:tab w:val="num" w:pos="851"/>
        </w:tabs>
        <w:ind w:left="0" w:firstLine="0"/>
      </w:pPr>
      <w:rPr>
        <w:rFonts w:ascii="Calibri" w:eastAsiaTheme="minorHAnsi" w:hAnsi="Calibri"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211" w:hanging="360"/>
      </w:pPr>
    </w:lvl>
    <w:lvl w:ilvl="2" w:tplc="FFFFFFFF">
      <w:start w:val="1"/>
      <w:numFmt w:val="lowerRoman"/>
      <w:lvlText w:val="(%3)"/>
      <w:lvlJc w:val="left"/>
      <w:pPr>
        <w:tabs>
          <w:tab w:val="num" w:pos="2552"/>
        </w:tabs>
        <w:ind w:left="2552" w:hanging="851"/>
      </w:pPr>
      <w:rPr>
        <w:rFonts w:ascii="Calibri" w:eastAsiaTheme="minorHAnsi" w:hAnsi="Calibri" w:cstheme="minorBidi"/>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abstractNum w:abstractNumId="8" w15:restartNumberingAfterBreak="0">
    <w:nsid w:val="3B1017D8"/>
    <w:multiLevelType w:val="hybridMultilevel"/>
    <w:tmpl w:val="FFB6B6B2"/>
    <w:lvl w:ilvl="0" w:tplc="AF249BA2">
      <w:start w:val="1"/>
      <w:numFmt w:val="bullet"/>
      <w:pStyle w:val="A4Bulle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B55603"/>
    <w:multiLevelType w:val="multilevel"/>
    <w:tmpl w:val="ED6CC600"/>
    <w:lvl w:ilvl="0">
      <w:start w:val="1"/>
      <w:numFmt w:val="decimal"/>
      <w:pStyle w:val="Panelquestionheading"/>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3EF6EFC"/>
    <w:multiLevelType w:val="hybridMultilevel"/>
    <w:tmpl w:val="94806D7E"/>
    <w:lvl w:ilvl="0" w:tplc="0C090017">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1" w15:restartNumberingAfterBreak="0">
    <w:nsid w:val="4BBF24CC"/>
    <w:multiLevelType w:val="hybridMultilevel"/>
    <w:tmpl w:val="7DF8220C"/>
    <w:lvl w:ilvl="0" w:tplc="37402584">
      <w:start w:val="1"/>
      <w:numFmt w:val="decimal"/>
      <w:pStyle w:val="A4Heading3"/>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88405B"/>
    <w:multiLevelType w:val="multilevel"/>
    <w:tmpl w:val="8A1E3D3E"/>
    <w:lvl w:ilvl="0">
      <w:start w:val="1"/>
      <w:numFmt w:val="decimal"/>
      <w:pStyle w:val="Panelquestionnumbered"/>
      <w:lvlText w:val="%1."/>
      <w:lvlJc w:val="left"/>
      <w:pPr>
        <w:ind w:left="720" w:hanging="360"/>
      </w:pPr>
      <w:rPr>
        <w:b w:val="0"/>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7551E12"/>
    <w:multiLevelType w:val="multilevel"/>
    <w:tmpl w:val="075A666C"/>
    <w:styleLink w:val="LegalHeadings"/>
    <w:lvl w:ilvl="0">
      <w:start w:val="1"/>
      <w:numFmt w:val="decimal"/>
      <w:isLgl/>
      <w:suff w:val="nothing"/>
      <w:lvlText w:val="%1  "/>
      <w:lvlJc w:val="left"/>
      <w:pPr>
        <w:ind w:left="0" w:firstLine="0"/>
      </w:pPr>
    </w:lvl>
    <w:lvl w:ilvl="1">
      <w:start w:val="1"/>
      <w:numFmt w:val="decimal"/>
      <w:isLgl/>
      <w:suff w:val="nothing"/>
      <w:lvlText w:val="%1.%2  "/>
      <w:lvlJc w:val="left"/>
      <w:pPr>
        <w:ind w:left="0" w:firstLine="0"/>
      </w:pPr>
    </w:lvl>
    <w:lvl w:ilvl="2">
      <w:start w:val="1"/>
      <w:numFmt w:val="decimal"/>
      <w:isLgl/>
      <w:suff w:val="nothing"/>
      <w:lvlText w:val="%1.%2.%3  "/>
      <w:lvlJc w:val="left"/>
      <w:pPr>
        <w:ind w:left="0" w:firstLine="0"/>
      </w:pPr>
    </w:lvl>
    <w:lvl w:ilvl="3">
      <w:start w:val="1"/>
      <w:numFmt w:val="decimal"/>
      <w:isLgl/>
      <w:suff w:val="nothing"/>
      <w:lvlText w:val="%1.%2.%3.%4  "/>
      <w:lvlJc w:val="left"/>
      <w:pPr>
        <w:ind w:left="0" w:firstLine="0"/>
      </w:pPr>
    </w:lvl>
    <w:lvl w:ilvl="4">
      <w:start w:val="1"/>
      <w:numFmt w:val="decimal"/>
      <w:isLgl/>
      <w:suff w:val="nothing"/>
      <w:lvlText w:val="%1.%2.%3.%4.%5  "/>
      <w:lvlJc w:val="left"/>
      <w:pPr>
        <w:ind w:left="0" w:firstLine="0"/>
      </w:pPr>
    </w:lvl>
    <w:lvl w:ilvl="5">
      <w:start w:val="1"/>
      <w:numFmt w:val="decimal"/>
      <w:isLgl/>
      <w:suff w:val="nothing"/>
      <w:lvlText w:val="%1.%2.%3.%4.%5.%6  "/>
      <w:lvlJc w:val="left"/>
      <w:pPr>
        <w:ind w:left="0" w:firstLine="0"/>
      </w:pPr>
    </w:lvl>
    <w:lvl w:ilvl="6">
      <w:start w:val="1"/>
      <w:numFmt w:val="decimal"/>
      <w:lvlRestart w:val="1"/>
      <w:isLgl/>
      <w:suff w:val="nothing"/>
      <w:lvlText w:val="%1.%7.  "/>
      <w:lvlJc w:val="left"/>
      <w:pPr>
        <w:ind w:left="0" w:firstLine="0"/>
      </w:pPr>
    </w:lvl>
    <w:lvl w:ilvl="7">
      <w:start w:val="1"/>
      <w:numFmt w:val="lowerLetter"/>
      <w:lvlText w:val="%8."/>
      <w:lvlJc w:val="left"/>
      <w:pPr>
        <w:tabs>
          <w:tab w:val="num" w:pos="907"/>
        </w:tabs>
        <w:ind w:left="907" w:hanging="340"/>
      </w:pPr>
    </w:lvl>
    <w:lvl w:ilvl="8">
      <w:start w:val="1"/>
      <w:numFmt w:val="lowerRoman"/>
      <w:lvlText w:val="%9."/>
      <w:lvlJc w:val="left"/>
      <w:pPr>
        <w:tabs>
          <w:tab w:val="num" w:pos="1247"/>
        </w:tabs>
        <w:ind w:left="1247" w:hanging="340"/>
      </w:pPr>
    </w:lvl>
  </w:abstractNum>
  <w:abstractNum w:abstractNumId="14"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15"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F85719"/>
    <w:multiLevelType w:val="multilevel"/>
    <w:tmpl w:val="C2F84B82"/>
    <w:lvl w:ilvl="0">
      <w:start w:val="1"/>
      <w:numFmt w:val="upperRoman"/>
      <w:pStyle w:val="A4Heading1"/>
      <w:lvlText w:val="%1."/>
      <w:lvlJc w:val="left"/>
      <w:pPr>
        <w:tabs>
          <w:tab w:val="num" w:pos="720"/>
        </w:tabs>
        <w:ind w:left="720" w:hanging="720"/>
      </w:pPr>
      <w:rPr>
        <w:rFonts w:ascii="Times New Roman" w:hAnsi="Times New Roman" w:hint="default"/>
        <w:b/>
        <w:i w:val="0"/>
        <w:sz w:val="28"/>
        <w:szCs w:val="28"/>
      </w:rPr>
    </w:lvl>
    <w:lvl w:ilvl="1">
      <w:start w:val="1"/>
      <w:numFmt w:val="upperLetter"/>
      <w:pStyle w:val="A4Heading2"/>
      <w:lvlText w:val="%2."/>
      <w:lvlJc w:val="left"/>
      <w:pPr>
        <w:tabs>
          <w:tab w:val="num" w:pos="720"/>
        </w:tabs>
        <w:ind w:left="0" w:firstLine="0"/>
      </w:pPr>
      <w:rPr>
        <w:rFonts w:ascii="Times" w:hAnsi="Times" w:hint="default"/>
        <w:b/>
        <w:i w:val="0"/>
        <w:sz w:val="28"/>
        <w:szCs w:val="28"/>
      </w:rPr>
    </w:lvl>
    <w:lvl w:ilvl="2">
      <w:start w:val="1"/>
      <w:numFmt w:val="decimal"/>
      <w:lvlText w:val="%3."/>
      <w:lvlJc w:val="left"/>
      <w:pPr>
        <w:tabs>
          <w:tab w:val="num" w:pos="720"/>
        </w:tabs>
        <w:ind w:left="0" w:firstLine="0"/>
      </w:pPr>
      <w:rPr>
        <w:rFonts w:ascii="Times New Roman" w:hAnsi="Times New Roman" w:hint="default"/>
        <w:b/>
        <w:i w:val="0"/>
        <w:sz w:val="24"/>
        <w:szCs w:val="24"/>
      </w:rPr>
    </w:lvl>
    <w:lvl w:ilvl="3">
      <w:start w:val="1"/>
      <w:numFmt w:val="lowerLetter"/>
      <w:pStyle w:val="A4Heading4"/>
      <w:lvlText w:val="(%4)"/>
      <w:lvlJc w:val="left"/>
      <w:pPr>
        <w:tabs>
          <w:tab w:val="num" w:pos="720"/>
        </w:tabs>
        <w:ind w:left="720" w:firstLine="0"/>
      </w:pPr>
      <w:rPr>
        <w:rFonts w:ascii="Times" w:hAnsi="Times" w:hint="default"/>
        <w:b/>
        <w:i w:val="0"/>
        <w:sz w:val="24"/>
        <w:szCs w:val="24"/>
      </w:rPr>
    </w:lvl>
    <w:lvl w:ilvl="4">
      <w:start w:val="1"/>
      <w:numFmt w:val="lowerRoman"/>
      <w:lvlText w:val="%5."/>
      <w:lvlJc w:val="left"/>
      <w:pPr>
        <w:tabs>
          <w:tab w:val="num" w:pos="1134"/>
        </w:tabs>
        <w:ind w:left="1440" w:firstLine="0"/>
      </w:pPr>
      <w:rPr>
        <w:rFonts w:ascii="Times" w:hAnsi="Times" w:hint="default"/>
        <w:b w:val="0"/>
        <w:i w:val="0"/>
        <w:sz w:val="24"/>
        <w:szCs w:val="24"/>
      </w:rPr>
    </w:lvl>
    <w:lvl w:ilvl="5">
      <w:start w:val="1"/>
      <w:numFmt w:val="lowerLetter"/>
      <w:lvlText w:val="%6."/>
      <w:lvlJc w:val="left"/>
      <w:pPr>
        <w:tabs>
          <w:tab w:val="num" w:pos="2160"/>
        </w:tabs>
        <w:ind w:left="2835" w:hanging="675"/>
      </w:pPr>
      <w:rPr>
        <w:rFonts w:hint="default"/>
        <w:b w:val="0"/>
        <w:i/>
        <w:sz w:val="24"/>
        <w:szCs w:val="24"/>
      </w:rPr>
    </w:lvl>
    <w:lvl w:ilvl="6">
      <w:start w:val="1"/>
      <w:numFmt w:val="decimal"/>
      <w:lvlText w:val="%7."/>
      <w:lvlJc w:val="left"/>
      <w:pPr>
        <w:tabs>
          <w:tab w:val="num" w:pos="1244"/>
        </w:tabs>
        <w:ind w:left="1244" w:hanging="360"/>
      </w:pPr>
      <w:rPr>
        <w:rFonts w:hint="default"/>
      </w:rPr>
    </w:lvl>
    <w:lvl w:ilvl="7">
      <w:start w:val="1"/>
      <w:numFmt w:val="lowerLetter"/>
      <w:lvlText w:val="%8."/>
      <w:lvlJc w:val="left"/>
      <w:pPr>
        <w:tabs>
          <w:tab w:val="num" w:pos="1604"/>
        </w:tabs>
        <w:ind w:left="1604" w:hanging="360"/>
      </w:pPr>
      <w:rPr>
        <w:rFonts w:hint="default"/>
      </w:rPr>
    </w:lvl>
    <w:lvl w:ilvl="8">
      <w:start w:val="1"/>
      <w:numFmt w:val="lowerRoman"/>
      <w:lvlText w:val="%9."/>
      <w:lvlJc w:val="left"/>
      <w:pPr>
        <w:tabs>
          <w:tab w:val="num" w:pos="1964"/>
        </w:tabs>
        <w:ind w:left="1964" w:hanging="360"/>
      </w:pPr>
      <w:rPr>
        <w:rFonts w:hint="default"/>
      </w:rPr>
    </w:lvl>
  </w:abstractNum>
  <w:num w:numId="1" w16cid:durableId="1864322132">
    <w:abstractNumId w:val="6"/>
  </w:num>
  <w:num w:numId="2" w16cid:durableId="1049573430">
    <w:abstractNumId w:val="2"/>
  </w:num>
  <w:num w:numId="3" w16cid:durableId="602693297">
    <w:abstractNumId w:val="1"/>
  </w:num>
  <w:num w:numId="4" w16cid:durableId="1517580045">
    <w:abstractNumId w:val="15"/>
  </w:num>
  <w:num w:numId="5" w16cid:durableId="509217301">
    <w:abstractNumId w:val="14"/>
  </w:num>
  <w:num w:numId="6" w16cid:durableId="769354113">
    <w:abstractNumId w:val="4"/>
  </w:num>
  <w:num w:numId="7" w16cid:durableId="1030303529">
    <w:abstractNumId w:val="13"/>
  </w:num>
  <w:num w:numId="8" w16cid:durableId="62725502">
    <w:abstractNumId w:val="16"/>
  </w:num>
  <w:num w:numId="9" w16cid:durableId="374306973">
    <w:abstractNumId w:val="8"/>
  </w:num>
  <w:num w:numId="10" w16cid:durableId="1934388211">
    <w:abstractNumId w:val="11"/>
  </w:num>
  <w:num w:numId="11" w16cid:durableId="648707200">
    <w:abstractNumId w:val="3"/>
  </w:num>
  <w:num w:numId="12" w16cid:durableId="1774351575">
    <w:abstractNumId w:val="0"/>
  </w:num>
  <w:num w:numId="13" w16cid:durableId="230772623">
    <w:abstractNumId w:val="2"/>
  </w:num>
  <w:num w:numId="14" w16cid:durableId="1533376807">
    <w:abstractNumId w:val="5"/>
  </w:num>
  <w:num w:numId="15" w16cid:durableId="343094296">
    <w:abstractNumId w:val="12"/>
  </w:num>
  <w:num w:numId="16" w16cid:durableId="2091585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0270637">
    <w:abstractNumId w:val="9"/>
  </w:num>
  <w:num w:numId="18" w16cid:durableId="1737360385">
    <w:abstractNumId w:val="7"/>
  </w:num>
  <w:num w:numId="19" w16cid:durableId="1004434084">
    <w:abstractNumId w:val="10"/>
  </w:num>
  <w:num w:numId="20" w16cid:durableId="91365684">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A6"/>
    <w:rsid w:val="0001723E"/>
    <w:rsid w:val="000306A2"/>
    <w:rsid w:val="0003315D"/>
    <w:rsid w:val="00047F39"/>
    <w:rsid w:val="000533A2"/>
    <w:rsid w:val="00071C84"/>
    <w:rsid w:val="0008013F"/>
    <w:rsid w:val="00086082"/>
    <w:rsid w:val="00094826"/>
    <w:rsid w:val="00097F66"/>
    <w:rsid w:val="000A2C43"/>
    <w:rsid w:val="000A6F0D"/>
    <w:rsid w:val="000B1F8F"/>
    <w:rsid w:val="00117890"/>
    <w:rsid w:val="00117980"/>
    <w:rsid w:val="001414FB"/>
    <w:rsid w:val="00153CBD"/>
    <w:rsid w:val="0015684F"/>
    <w:rsid w:val="00156D19"/>
    <w:rsid w:val="00160209"/>
    <w:rsid w:val="001915F1"/>
    <w:rsid w:val="001B0E9F"/>
    <w:rsid w:val="001B1F26"/>
    <w:rsid w:val="001B5F12"/>
    <w:rsid w:val="001C0CBC"/>
    <w:rsid w:val="001D1E7A"/>
    <w:rsid w:val="001D4B98"/>
    <w:rsid w:val="001F5F85"/>
    <w:rsid w:val="0022783D"/>
    <w:rsid w:val="00231DD0"/>
    <w:rsid w:val="00262841"/>
    <w:rsid w:val="00266FA8"/>
    <w:rsid w:val="00270ADE"/>
    <w:rsid w:val="00292761"/>
    <w:rsid w:val="002A1CA2"/>
    <w:rsid w:val="002C5C39"/>
    <w:rsid w:val="002D2627"/>
    <w:rsid w:val="002F7B3B"/>
    <w:rsid w:val="00320562"/>
    <w:rsid w:val="003267EB"/>
    <w:rsid w:val="00330424"/>
    <w:rsid w:val="0033231E"/>
    <w:rsid w:val="0034018E"/>
    <w:rsid w:val="003552FD"/>
    <w:rsid w:val="0037291E"/>
    <w:rsid w:val="00382D40"/>
    <w:rsid w:val="003B69B3"/>
    <w:rsid w:val="003B785B"/>
    <w:rsid w:val="003B7E86"/>
    <w:rsid w:val="003C0D04"/>
    <w:rsid w:val="003C1446"/>
    <w:rsid w:val="003C1954"/>
    <w:rsid w:val="003D6ECD"/>
    <w:rsid w:val="003E3670"/>
    <w:rsid w:val="003F066F"/>
    <w:rsid w:val="00400922"/>
    <w:rsid w:val="00403D99"/>
    <w:rsid w:val="00415575"/>
    <w:rsid w:val="00436E40"/>
    <w:rsid w:val="00441E10"/>
    <w:rsid w:val="00452D0C"/>
    <w:rsid w:val="00463965"/>
    <w:rsid w:val="00463C9D"/>
    <w:rsid w:val="00471F72"/>
    <w:rsid w:val="00497A5D"/>
    <w:rsid w:val="004A73F6"/>
    <w:rsid w:val="004E1EAE"/>
    <w:rsid w:val="004F452E"/>
    <w:rsid w:val="004F66DF"/>
    <w:rsid w:val="004F7087"/>
    <w:rsid w:val="00517327"/>
    <w:rsid w:val="00535292"/>
    <w:rsid w:val="0053771A"/>
    <w:rsid w:val="00553358"/>
    <w:rsid w:val="005711C4"/>
    <w:rsid w:val="005848B3"/>
    <w:rsid w:val="00585430"/>
    <w:rsid w:val="005A2275"/>
    <w:rsid w:val="005A2CD1"/>
    <w:rsid w:val="005B740D"/>
    <w:rsid w:val="005C1923"/>
    <w:rsid w:val="005C3ED4"/>
    <w:rsid w:val="005C3EED"/>
    <w:rsid w:val="005D6744"/>
    <w:rsid w:val="005E4350"/>
    <w:rsid w:val="005E56F1"/>
    <w:rsid w:val="005E5F67"/>
    <w:rsid w:val="00603919"/>
    <w:rsid w:val="00617608"/>
    <w:rsid w:val="006202BC"/>
    <w:rsid w:val="00620C43"/>
    <w:rsid w:val="00634D0A"/>
    <w:rsid w:val="00642967"/>
    <w:rsid w:val="00642BEA"/>
    <w:rsid w:val="00654EA6"/>
    <w:rsid w:val="00657EF1"/>
    <w:rsid w:val="0066015D"/>
    <w:rsid w:val="0067384A"/>
    <w:rsid w:val="006C1751"/>
    <w:rsid w:val="006D2AF1"/>
    <w:rsid w:val="006E4EB8"/>
    <w:rsid w:val="007074B3"/>
    <w:rsid w:val="00721F42"/>
    <w:rsid w:val="007270E0"/>
    <w:rsid w:val="00730280"/>
    <w:rsid w:val="00730B22"/>
    <w:rsid w:val="007318D8"/>
    <w:rsid w:val="00731A0D"/>
    <w:rsid w:val="00753122"/>
    <w:rsid w:val="007549D7"/>
    <w:rsid w:val="00761567"/>
    <w:rsid w:val="00764138"/>
    <w:rsid w:val="00774329"/>
    <w:rsid w:val="0078085A"/>
    <w:rsid w:val="007A4B05"/>
    <w:rsid w:val="007B56A0"/>
    <w:rsid w:val="007B6C91"/>
    <w:rsid w:val="007D2AFC"/>
    <w:rsid w:val="007E13BA"/>
    <w:rsid w:val="007E1479"/>
    <w:rsid w:val="007E4AAD"/>
    <w:rsid w:val="007F3F88"/>
    <w:rsid w:val="007F7A70"/>
    <w:rsid w:val="00800172"/>
    <w:rsid w:val="00800298"/>
    <w:rsid w:val="00803C4D"/>
    <w:rsid w:val="00812BCF"/>
    <w:rsid w:val="0081405B"/>
    <w:rsid w:val="00834DFB"/>
    <w:rsid w:val="00867C33"/>
    <w:rsid w:val="0087270F"/>
    <w:rsid w:val="008739F5"/>
    <w:rsid w:val="008A629D"/>
    <w:rsid w:val="008B368C"/>
    <w:rsid w:val="008B5178"/>
    <w:rsid w:val="008D5174"/>
    <w:rsid w:val="008D7E07"/>
    <w:rsid w:val="008F5430"/>
    <w:rsid w:val="00900035"/>
    <w:rsid w:val="00902E4D"/>
    <w:rsid w:val="00920565"/>
    <w:rsid w:val="009236A5"/>
    <w:rsid w:val="00997BE3"/>
    <w:rsid w:val="009A4FA7"/>
    <w:rsid w:val="009A634D"/>
    <w:rsid w:val="009B6513"/>
    <w:rsid w:val="009D454D"/>
    <w:rsid w:val="009F1A2D"/>
    <w:rsid w:val="009F3EBA"/>
    <w:rsid w:val="00A24EE6"/>
    <w:rsid w:val="00A479D1"/>
    <w:rsid w:val="00A5485D"/>
    <w:rsid w:val="00A741FC"/>
    <w:rsid w:val="00A76ADC"/>
    <w:rsid w:val="00A829CC"/>
    <w:rsid w:val="00A84937"/>
    <w:rsid w:val="00A96D3A"/>
    <w:rsid w:val="00AA1314"/>
    <w:rsid w:val="00AA5A1B"/>
    <w:rsid w:val="00AA7599"/>
    <w:rsid w:val="00AB1326"/>
    <w:rsid w:val="00AB6F33"/>
    <w:rsid w:val="00AB7B2C"/>
    <w:rsid w:val="00AE1C1E"/>
    <w:rsid w:val="00AF324E"/>
    <w:rsid w:val="00AF6F20"/>
    <w:rsid w:val="00B05562"/>
    <w:rsid w:val="00B134F9"/>
    <w:rsid w:val="00B415CE"/>
    <w:rsid w:val="00B54BAE"/>
    <w:rsid w:val="00B91D4D"/>
    <w:rsid w:val="00BA4553"/>
    <w:rsid w:val="00BA4685"/>
    <w:rsid w:val="00BB5829"/>
    <w:rsid w:val="00BB7838"/>
    <w:rsid w:val="00BC2C6E"/>
    <w:rsid w:val="00BE2DC1"/>
    <w:rsid w:val="00BE3FEB"/>
    <w:rsid w:val="00BF043F"/>
    <w:rsid w:val="00BF2741"/>
    <w:rsid w:val="00C022A6"/>
    <w:rsid w:val="00C07446"/>
    <w:rsid w:val="00C11785"/>
    <w:rsid w:val="00C20215"/>
    <w:rsid w:val="00C55610"/>
    <w:rsid w:val="00C805DC"/>
    <w:rsid w:val="00C83729"/>
    <w:rsid w:val="00C93234"/>
    <w:rsid w:val="00CA10AD"/>
    <w:rsid w:val="00CB176C"/>
    <w:rsid w:val="00CB6C3B"/>
    <w:rsid w:val="00CE5F16"/>
    <w:rsid w:val="00D07466"/>
    <w:rsid w:val="00D07AB8"/>
    <w:rsid w:val="00D16180"/>
    <w:rsid w:val="00D17B0E"/>
    <w:rsid w:val="00D245FA"/>
    <w:rsid w:val="00D26D6B"/>
    <w:rsid w:val="00D278F8"/>
    <w:rsid w:val="00D4455C"/>
    <w:rsid w:val="00D46104"/>
    <w:rsid w:val="00D5026A"/>
    <w:rsid w:val="00D52F3A"/>
    <w:rsid w:val="00D57233"/>
    <w:rsid w:val="00D63E54"/>
    <w:rsid w:val="00D7530D"/>
    <w:rsid w:val="00D9251B"/>
    <w:rsid w:val="00DC5F1E"/>
    <w:rsid w:val="00DD1D11"/>
    <w:rsid w:val="00E03071"/>
    <w:rsid w:val="00E06BB9"/>
    <w:rsid w:val="00E307D6"/>
    <w:rsid w:val="00E53695"/>
    <w:rsid w:val="00E54559"/>
    <w:rsid w:val="00E61E67"/>
    <w:rsid w:val="00EA0F74"/>
    <w:rsid w:val="00EB14E0"/>
    <w:rsid w:val="00EC75F1"/>
    <w:rsid w:val="00ED31C8"/>
    <w:rsid w:val="00ED72D3"/>
    <w:rsid w:val="00EE2882"/>
    <w:rsid w:val="00EE2DCD"/>
    <w:rsid w:val="00EE5FE3"/>
    <w:rsid w:val="00EF56B0"/>
    <w:rsid w:val="00F00983"/>
    <w:rsid w:val="00F05162"/>
    <w:rsid w:val="00F267AE"/>
    <w:rsid w:val="00F30348"/>
    <w:rsid w:val="00F34AFE"/>
    <w:rsid w:val="00F45CFB"/>
    <w:rsid w:val="00F64954"/>
    <w:rsid w:val="00F732FD"/>
    <w:rsid w:val="00F7461A"/>
    <w:rsid w:val="00F80E3E"/>
    <w:rsid w:val="00F83988"/>
    <w:rsid w:val="00F876C4"/>
    <w:rsid w:val="00F91CF1"/>
    <w:rsid w:val="00FC7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C1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21" w:qFormat="1"/>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BTBodyText"/>
    <w:link w:val="Heading1Char"/>
    <w:uiPriority w:val="9"/>
    <w:qFormat/>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2"/>
    <w:unhideWhenUsed/>
    <w:qFormat/>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2"/>
    <w:unhideWhenUsed/>
    <w:qFormat/>
    <w:pPr>
      <w:keepNext/>
      <w:keepLines/>
      <w:outlineLvl w:val="2"/>
    </w:pPr>
    <w:rPr>
      <w:rFonts w:eastAsiaTheme="majorEastAsia" w:cstheme="majorBidi"/>
      <w:b/>
    </w:rPr>
  </w:style>
  <w:style w:type="paragraph" w:styleId="Heading4">
    <w:name w:val="heading 4"/>
    <w:basedOn w:val="Normal"/>
    <w:next w:val="BTBodyText"/>
    <w:link w:val="Heading4Char"/>
    <w:uiPriority w:val="2"/>
    <w:unhideWhenUsed/>
    <w:qFormat/>
    <w:pPr>
      <w:keepNext/>
      <w:keepLines/>
      <w:outlineLvl w:val="3"/>
    </w:pPr>
    <w:rPr>
      <w:rFonts w:eastAsiaTheme="majorEastAsia" w:cstheme="majorBidi"/>
      <w:iCs/>
      <w:u w:val="single"/>
    </w:rPr>
  </w:style>
  <w:style w:type="paragraph" w:styleId="Heading5">
    <w:name w:val="heading 5"/>
    <w:basedOn w:val="Normal"/>
    <w:next w:val="BTBodyText"/>
    <w:link w:val="Heading5Char"/>
    <w:uiPriority w:val="2"/>
    <w:unhideWhenUsed/>
    <w:qFormat/>
    <w:pPr>
      <w:keepNext/>
      <w:keepLines/>
      <w:outlineLvl w:val="4"/>
    </w:pPr>
    <w:rPr>
      <w:rFonts w:eastAsiaTheme="majorEastAsia" w:cstheme="majorBidi"/>
      <w:i/>
    </w:rPr>
  </w:style>
  <w:style w:type="paragraph" w:styleId="Heading6">
    <w:name w:val="heading 6"/>
    <w:basedOn w:val="Normal"/>
    <w:next w:val="BTBodyText"/>
    <w:link w:val="Heading6Char"/>
    <w:uiPriority w:val="2"/>
    <w:unhideWhenUsed/>
    <w:qFormat/>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qFormat/>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qFormat/>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qFormat/>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TBodyText">
    <w:name w:val="[BT] Body Text"/>
    <w:basedOn w:val="Normal"/>
    <w:link w:val="BTBodyTextChar"/>
    <w:uiPriority w:val="2"/>
    <w:qFormat/>
  </w:style>
  <w:style w:type="paragraph" w:customStyle="1" w:styleId="BTIBodyTextIndented">
    <w:name w:val="[BTI] Body Text Indented"/>
    <w:basedOn w:val="BTBodyText"/>
    <w:link w:val="BTIBodyTextIndentedChar"/>
    <w:uiPriority w:val="2"/>
    <w:qFormat/>
    <w:pPr>
      <w:ind w:left="851"/>
    </w:pPr>
  </w:style>
  <w:style w:type="character" w:customStyle="1" w:styleId="BTBodyTextChar">
    <w:name w:val="[BT] Body Text Char"/>
    <w:basedOn w:val="DefaultParagraphFont"/>
    <w:link w:val="BTBodyText"/>
    <w:uiPriority w:val="2"/>
  </w:style>
  <w:style w:type="paragraph" w:customStyle="1" w:styleId="BTIIBodyTextTwiceIndented">
    <w:name w:val="[BTII] Body Text Twice Indented"/>
    <w:basedOn w:val="BTBodyText"/>
    <w:link w:val="BTIIBodyTextTwiceIndentedChar"/>
    <w:uiPriority w:val="2"/>
    <w:qFormat/>
    <w:pPr>
      <w:ind w:left="1702"/>
    </w:pPr>
  </w:style>
  <w:style w:type="character" w:customStyle="1" w:styleId="BTIBodyTextIndentedChar">
    <w:name w:val="[BTI] Body Text Indented Char"/>
    <w:basedOn w:val="BTBodyTextChar"/>
    <w:link w:val="BTIBodyTextIndented"/>
    <w:uiPriority w:val="2"/>
  </w:style>
  <w:style w:type="paragraph" w:styleId="ListParagraph">
    <w:name w:val="List Paragraph"/>
    <w:aliases w:val="List Paragraph1,Recommendation"/>
    <w:basedOn w:val="Normal"/>
    <w:link w:val="ListParagraphChar"/>
    <w:uiPriority w:val="34"/>
    <w:qFormat/>
    <w:pPr>
      <w:ind w:left="851"/>
    </w:pPr>
  </w:style>
  <w:style w:type="character" w:customStyle="1" w:styleId="BTIIBodyTextTwiceIndentedChar">
    <w:name w:val="[BTII] Body Text Twice Indented Char"/>
    <w:basedOn w:val="BTBodyTextChar"/>
    <w:link w:val="BTIIBodyTextTwiceIndented"/>
    <w:uiPriority w:val="2"/>
  </w:style>
  <w:style w:type="paragraph" w:styleId="NoSpacing">
    <w:name w:val="No Spacing"/>
    <w:link w:val="NoSpacingChar"/>
    <w:uiPriority w:val="1"/>
    <w:qFormat/>
    <w:pPr>
      <w:spacing w:after="0" w:line="240" w:lineRule="auto"/>
    </w:pPr>
  </w:style>
  <w:style w:type="paragraph" w:customStyle="1" w:styleId="BTNSBodyTextNoSpacing">
    <w:name w:val="[BTNS] Body Text No Spacing"/>
    <w:basedOn w:val="NoSpacing"/>
    <w:link w:val="BTNSBodyTextNoSpacingChar"/>
    <w:uiPriority w:val="2"/>
    <w:qFormat/>
  </w:style>
  <w:style w:type="paragraph" w:customStyle="1" w:styleId="BTNSSBodyTextNoSpacingSmall">
    <w:name w:val="[BTNSS] Body Text No Spacing Small"/>
    <w:basedOn w:val="BTNSBodyTextNoSpacing"/>
    <w:link w:val="BTNSSBodyTextNoSpacingSmallChar"/>
    <w:uiPriority w:val="2"/>
    <w:rPr>
      <w:sz w:val="8"/>
      <w:szCs w:val="8"/>
    </w:rPr>
  </w:style>
  <w:style w:type="character" w:customStyle="1" w:styleId="NoSpacingChar">
    <w:name w:val="No Spacing Char"/>
    <w:basedOn w:val="DefaultParagraphFont"/>
    <w:link w:val="NoSpacing"/>
    <w:uiPriority w:val="1"/>
  </w:style>
  <w:style w:type="character" w:customStyle="1" w:styleId="BTNSBodyTextNoSpacingChar">
    <w:name w:val="[BTNS] Body Text No Spacing Char"/>
    <w:basedOn w:val="NoSpacingChar"/>
    <w:link w:val="BTNSBodyTextNoSpacing"/>
    <w:uiPriority w:val="2"/>
  </w:style>
  <w:style w:type="character" w:customStyle="1" w:styleId="BTNSSBodyTextNoSpacingSmallChar">
    <w:name w:val="[BTNSS] Body Text No Spacing Small Char"/>
    <w:basedOn w:val="BTNSBodyTextNoSpacingChar"/>
    <w:link w:val="BTNSSBodyTextNoSpacingSmall"/>
    <w:uiPriority w:val="2"/>
    <w:rPr>
      <w:sz w:val="8"/>
      <w:szCs w:val="8"/>
    </w:rPr>
  </w:style>
  <w:style w:type="paragraph" w:customStyle="1" w:styleId="P1-N1Paragraph1-Number1">
    <w:name w:val="[P1-N1] Paragraph 1 - Number 1"/>
    <w:basedOn w:val="BTBodyText"/>
    <w:link w:val="P1-N1Paragraph1-Number1Char"/>
    <w:uiPriority w:val="6"/>
    <w:qFormat/>
    <w:pPr>
      <w:numPr>
        <w:numId w:val="1"/>
      </w:numPr>
    </w:pPr>
  </w:style>
  <w:style w:type="paragraph" w:customStyle="1" w:styleId="P2-B1Paragraph2-Bullet1">
    <w:name w:val="[P2-B1] Paragraph 2 - Bullet 1"/>
    <w:basedOn w:val="BTBodyText"/>
    <w:link w:val="P2-B1Paragraph2-Bullet1Char"/>
    <w:uiPriority w:val="6"/>
    <w:qFormat/>
    <w:pPr>
      <w:numPr>
        <w:ilvl w:val="1"/>
        <w:numId w:val="1"/>
      </w:numPr>
      <w:spacing w:after="120"/>
    </w:pPr>
    <w:rPr>
      <w:rFonts w:asciiTheme="minorHAnsi" w:hAnsiTheme="minorHAnsi" w:cstheme="minorHAnsi"/>
    </w:rPr>
  </w:style>
  <w:style w:type="character" w:customStyle="1" w:styleId="P1-N1Paragraph1-Number1Char">
    <w:name w:val="[P1-N1] Paragraph 1 - Number 1 Char"/>
    <w:basedOn w:val="BTBodyTextChar"/>
    <w:link w:val="P1-N1Paragraph1-Number1"/>
    <w:uiPriority w:val="6"/>
  </w:style>
  <w:style w:type="paragraph" w:customStyle="1" w:styleId="P3-B2Paragraph3-Bullet2">
    <w:name w:val="[P3-B2] Paragraph 3 - Bullet 2"/>
    <w:basedOn w:val="BTBodyText"/>
    <w:link w:val="P3-B2Paragraph3-Bullet2Char"/>
    <w:uiPriority w:val="6"/>
    <w:qFormat/>
    <w:pPr>
      <w:numPr>
        <w:ilvl w:val="2"/>
        <w:numId w:val="1"/>
      </w:numPr>
      <w:spacing w:after="120"/>
    </w:pPr>
  </w:style>
  <w:style w:type="character" w:customStyle="1" w:styleId="P2-B1Paragraph2-Bullet1Char">
    <w:name w:val="[P2-B1] Paragraph 2 - Bullet 1 Char"/>
    <w:basedOn w:val="BTBodyTextChar"/>
    <w:link w:val="P2-B1Paragraph2-Bullet1"/>
    <w:uiPriority w:val="6"/>
    <w:rPr>
      <w:rFonts w:asciiTheme="minorHAnsi" w:hAnsiTheme="minorHAnsi" w:cstheme="minorHAnsi"/>
    </w:rPr>
  </w:style>
  <w:style w:type="paragraph" w:customStyle="1" w:styleId="P4-B3Paragraph4-Bullet3">
    <w:name w:val="[P4-B3] Paragraph 4 - Bullet 3"/>
    <w:basedOn w:val="BTBodyText"/>
    <w:link w:val="P4-B3Paragraph4-Bullet3Char"/>
    <w:uiPriority w:val="6"/>
    <w:qFormat/>
    <w:pPr>
      <w:numPr>
        <w:ilvl w:val="3"/>
        <w:numId w:val="1"/>
      </w:numPr>
      <w:tabs>
        <w:tab w:val="clear" w:pos="3402"/>
        <w:tab w:val="num" w:pos="3544"/>
      </w:tabs>
      <w:spacing w:after="120"/>
      <w:ind w:left="3403" w:hanging="851"/>
    </w:pPr>
  </w:style>
  <w:style w:type="character" w:customStyle="1" w:styleId="P3-B2Paragraph3-Bullet2Char">
    <w:name w:val="[P3-B2] Paragraph 3 - Bullet 2 Char"/>
    <w:basedOn w:val="BTBodyTextChar"/>
    <w:link w:val="P3-B2Paragraph3-Bullet2"/>
    <w:uiPriority w:val="6"/>
  </w:style>
  <w:style w:type="paragraph" w:customStyle="1" w:styleId="P5-B4Paragraph5-Bullet4">
    <w:name w:val="[P5-B4] Paragraph 5 - Bullet 4"/>
    <w:basedOn w:val="BTBodyText"/>
    <w:link w:val="P5-B4Paragraph5-Bullet4Char"/>
    <w:uiPriority w:val="6"/>
    <w:qFormat/>
    <w:pPr>
      <w:numPr>
        <w:ilvl w:val="4"/>
        <w:numId w:val="1"/>
      </w:numPr>
      <w:tabs>
        <w:tab w:val="clear" w:pos="4253"/>
        <w:tab w:val="num" w:pos="4395"/>
      </w:tabs>
      <w:spacing w:after="120"/>
      <w:ind w:left="4395"/>
    </w:pPr>
  </w:style>
  <w:style w:type="character" w:customStyle="1" w:styleId="P4-B3Paragraph4-Bullet3Char">
    <w:name w:val="[P4-B3] Paragraph 4 - Bullet 3 Char"/>
    <w:basedOn w:val="BTBodyTextChar"/>
    <w:link w:val="P4-B3Paragraph4-Bullet3"/>
    <w:uiPriority w:val="6"/>
  </w:style>
  <w:style w:type="paragraph" w:customStyle="1" w:styleId="P6-B5Paragraph6-Bullet5">
    <w:name w:val="[P6-B5] Paragraph 6 - Bullet 5"/>
    <w:basedOn w:val="BTBodyText"/>
    <w:link w:val="P6-B5Paragraph6-Bullet5Char"/>
    <w:uiPriority w:val="6"/>
    <w:qFormat/>
    <w:pPr>
      <w:numPr>
        <w:ilvl w:val="5"/>
        <w:numId w:val="1"/>
      </w:numPr>
      <w:tabs>
        <w:tab w:val="clear" w:pos="5103"/>
        <w:tab w:val="num" w:pos="5245"/>
      </w:tabs>
      <w:spacing w:after="120"/>
      <w:ind w:left="5104" w:hanging="851"/>
    </w:pPr>
  </w:style>
  <w:style w:type="character" w:customStyle="1" w:styleId="P5-B4Paragraph5-Bullet4Char">
    <w:name w:val="[P5-B4] Paragraph 5 - Bullet 4 Char"/>
    <w:basedOn w:val="BTBodyTextChar"/>
    <w:link w:val="P5-B4Paragraph5-Bullet4"/>
    <w:uiPriority w:val="6"/>
  </w:style>
  <w:style w:type="paragraph" w:customStyle="1" w:styleId="P7-B6Paragraph7-Bullet6">
    <w:name w:val="[P7-B6] Paragraph 7 - Bullet 6"/>
    <w:basedOn w:val="BTBodyText"/>
    <w:link w:val="P7-B6Paragraph7-Bullet6Char"/>
    <w:uiPriority w:val="6"/>
    <w:qFormat/>
    <w:pPr>
      <w:numPr>
        <w:ilvl w:val="6"/>
        <w:numId w:val="1"/>
      </w:numPr>
      <w:tabs>
        <w:tab w:val="clear" w:pos="5954"/>
        <w:tab w:val="num" w:pos="6096"/>
      </w:tabs>
      <w:spacing w:after="120"/>
      <w:ind w:left="6096"/>
    </w:pPr>
  </w:style>
  <w:style w:type="character" w:customStyle="1" w:styleId="P6-B5Paragraph6-Bullet5Char">
    <w:name w:val="[P6-B5] Paragraph 6 - Bullet 5 Char"/>
    <w:basedOn w:val="BTBodyTextChar"/>
    <w:link w:val="P6-B5Paragraph6-Bullet5"/>
    <w:uiPriority w:val="6"/>
  </w:style>
  <w:style w:type="paragraph" w:customStyle="1" w:styleId="P8-B7Paragraph8-Bullet7">
    <w:name w:val="[P8-B7] Paragraph 8 - Bullet 7"/>
    <w:basedOn w:val="BTBodyText"/>
    <w:link w:val="P8-B7Paragraph8-Bullet7Char"/>
    <w:uiPriority w:val="6"/>
    <w:qFormat/>
    <w:pPr>
      <w:numPr>
        <w:ilvl w:val="7"/>
        <w:numId w:val="1"/>
      </w:numPr>
      <w:tabs>
        <w:tab w:val="clear" w:pos="6804"/>
        <w:tab w:val="num" w:pos="6946"/>
      </w:tabs>
      <w:spacing w:after="120"/>
      <w:ind w:left="6805" w:hanging="851"/>
    </w:pPr>
  </w:style>
  <w:style w:type="character" w:customStyle="1" w:styleId="P7-B6Paragraph7-Bullet6Char">
    <w:name w:val="[P7-B6] Paragraph 7 - Bullet 6 Char"/>
    <w:basedOn w:val="BTBodyTextChar"/>
    <w:link w:val="P7-B6Paragraph7-Bullet6"/>
    <w:uiPriority w:val="6"/>
  </w:style>
  <w:style w:type="paragraph" w:customStyle="1" w:styleId="P9-B8Paragraph9-Bullet8">
    <w:name w:val="[P9-B8] Paragraph 9 - Bullet 8"/>
    <w:basedOn w:val="BTBodyText"/>
    <w:link w:val="P9-B8Paragraph9-Bullet8Char"/>
    <w:uiPriority w:val="6"/>
    <w:qFormat/>
    <w:pPr>
      <w:numPr>
        <w:ilvl w:val="8"/>
        <w:numId w:val="1"/>
      </w:numPr>
      <w:tabs>
        <w:tab w:val="clear" w:pos="7655"/>
        <w:tab w:val="num" w:pos="7797"/>
      </w:tabs>
      <w:spacing w:after="120"/>
      <w:ind w:left="7797"/>
    </w:pPr>
  </w:style>
  <w:style w:type="character" w:customStyle="1" w:styleId="P8-B7Paragraph8-Bullet7Char">
    <w:name w:val="[P8-B7] Paragraph 8 - Bullet 7 Char"/>
    <w:basedOn w:val="BTBodyTextChar"/>
    <w:link w:val="P8-B7Paragraph8-Bullet7"/>
    <w:uiPriority w:val="6"/>
  </w:style>
  <w:style w:type="paragraph" w:customStyle="1" w:styleId="QQuotation">
    <w:name w:val="[Q] Quotation"/>
    <w:basedOn w:val="BTIBodyTextIndented"/>
    <w:next w:val="P1-N1Paragraph1-Number1"/>
    <w:link w:val="QQuotationChar"/>
    <w:uiPriority w:val="8"/>
    <w:qFormat/>
    <w:pPr>
      <w:spacing w:after="240" w:line="240" w:lineRule="auto"/>
    </w:pPr>
    <w:rPr>
      <w:sz w:val="22"/>
    </w:rPr>
  </w:style>
  <w:style w:type="character" w:customStyle="1" w:styleId="P9-B8Paragraph9-Bullet8Char">
    <w:name w:val="[P9-B8] Paragraph 9 - Bullet 8 Char"/>
    <w:basedOn w:val="BTBodyTextChar"/>
    <w:link w:val="P9-B8Paragraph9-Bullet8"/>
    <w:uiPriority w:val="6"/>
  </w:style>
  <w:style w:type="character" w:customStyle="1" w:styleId="Heading1Char">
    <w:name w:val="Heading 1 Char"/>
    <w:basedOn w:val="DefaultParagraphFont"/>
    <w:link w:val="Heading1"/>
    <w:uiPriority w:val="9"/>
    <w:rPr>
      <w:rFonts w:eastAsiaTheme="majorEastAsia" w:cstheme="majorBidi"/>
      <w:b/>
      <w:caps/>
      <w:sz w:val="28"/>
      <w:szCs w:val="32"/>
    </w:rPr>
  </w:style>
  <w:style w:type="character" w:customStyle="1" w:styleId="QQuotationChar">
    <w:name w:val="[Q] Quotation Char"/>
    <w:basedOn w:val="BTIBodyTextIndentedChar"/>
    <w:link w:val="QQuotation"/>
    <w:uiPriority w:val="8"/>
    <w:rPr>
      <w:sz w:val="22"/>
    </w:rPr>
  </w:style>
  <w:style w:type="character" w:customStyle="1" w:styleId="Heading2Char">
    <w:name w:val="Heading 2 Char"/>
    <w:basedOn w:val="DefaultParagraphFont"/>
    <w:link w:val="Heading2"/>
    <w:uiPriority w:val="2"/>
    <w:rPr>
      <w:rFonts w:eastAsiaTheme="majorEastAsia" w:cstheme="majorBidi"/>
      <w:b/>
      <w:smallCaps/>
      <w:sz w:val="28"/>
      <w:szCs w:val="26"/>
    </w:rPr>
  </w:style>
  <w:style w:type="character" w:customStyle="1" w:styleId="Heading3Char">
    <w:name w:val="Heading 3 Char"/>
    <w:basedOn w:val="DefaultParagraphFont"/>
    <w:link w:val="Heading3"/>
    <w:uiPriority w:val="2"/>
    <w:rPr>
      <w:rFonts w:eastAsiaTheme="majorEastAsia" w:cstheme="majorBidi"/>
      <w:b/>
    </w:rPr>
  </w:style>
  <w:style w:type="character" w:customStyle="1" w:styleId="Heading4Char">
    <w:name w:val="Heading 4 Char"/>
    <w:basedOn w:val="DefaultParagraphFont"/>
    <w:link w:val="Heading4"/>
    <w:uiPriority w:val="2"/>
    <w:rPr>
      <w:rFonts w:eastAsiaTheme="majorEastAsia" w:cstheme="majorBidi"/>
      <w:iCs/>
      <w:u w:val="single"/>
    </w:rPr>
  </w:style>
  <w:style w:type="character" w:customStyle="1" w:styleId="Heading5Char">
    <w:name w:val="Heading 5 Char"/>
    <w:basedOn w:val="DefaultParagraphFont"/>
    <w:link w:val="Heading5"/>
    <w:uiPriority w:val="2"/>
    <w:rPr>
      <w:rFonts w:eastAsiaTheme="majorEastAsia" w:cstheme="majorBidi"/>
      <w:i/>
    </w:rPr>
  </w:style>
  <w:style w:type="character" w:customStyle="1" w:styleId="Heading6Char">
    <w:name w:val="Heading 6 Char"/>
    <w:basedOn w:val="DefaultParagraphFont"/>
    <w:link w:val="Heading6"/>
    <w:uiPriority w:val="2"/>
    <w:rPr>
      <w:rFonts w:eastAsiaTheme="majorEastAsia" w:cstheme="majorBidi"/>
      <w:u w:val="single"/>
    </w:rPr>
  </w:style>
  <w:style w:type="character" w:customStyle="1" w:styleId="Heading7Char">
    <w:name w:val="Heading 7 Char"/>
    <w:basedOn w:val="DefaultParagraphFont"/>
    <w:link w:val="Heading7"/>
    <w:uiPriority w:val="33"/>
    <w:rPr>
      <w:rFonts w:eastAsiaTheme="majorEastAsia" w:cstheme="majorBidi"/>
      <w:i/>
      <w:iCs/>
    </w:rPr>
  </w:style>
  <w:style w:type="character" w:customStyle="1" w:styleId="Heading8Char">
    <w:name w:val="Heading 8 Char"/>
    <w:basedOn w:val="DefaultParagraphFont"/>
    <w:link w:val="Heading8"/>
    <w:uiPriority w:val="33"/>
    <w:rPr>
      <w:rFonts w:eastAsiaTheme="majorEastAsia" w:cstheme="majorBidi"/>
      <w:szCs w:val="21"/>
      <w:u w:val="single"/>
    </w:rPr>
  </w:style>
  <w:style w:type="character" w:customStyle="1" w:styleId="Heading9Char">
    <w:name w:val="Heading 9 Char"/>
    <w:basedOn w:val="DefaultParagraphFont"/>
    <w:link w:val="Heading9"/>
    <w:uiPriority w:val="33"/>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pPr>
      <w:numPr>
        <w:numId w:val="13"/>
      </w:numPr>
      <w:spacing w:line="240" w:lineRule="auto"/>
    </w:pPr>
  </w:style>
  <w:style w:type="paragraph" w:customStyle="1" w:styleId="HL2HeadingLevel2">
    <w:name w:val="[HL2] Heading Level 2"/>
    <w:basedOn w:val="Heading2"/>
    <w:next w:val="P1-N1Paragraph1-Number1"/>
    <w:link w:val="HL2HeadingLevel2Char"/>
    <w:autoRedefine/>
    <w:uiPriority w:val="4"/>
    <w:qFormat/>
    <w:rsid w:val="00231DD0"/>
    <w:pPr>
      <w:numPr>
        <w:ilvl w:val="1"/>
        <w:numId w:val="2"/>
      </w:numPr>
      <w:spacing w:after="384" w:line="240" w:lineRule="auto"/>
    </w:pPr>
    <w:rPr>
      <w:rFonts w:eastAsia="Times New Roman"/>
    </w:rPr>
  </w:style>
  <w:style w:type="character" w:customStyle="1" w:styleId="HL1HeadingLevel1Char">
    <w:name w:val="[HL1] Heading Level 1 Char"/>
    <w:basedOn w:val="BTBodyTextChar"/>
    <w:link w:val="HL1HeadingLevel1"/>
    <w:uiPriority w:val="4"/>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pPr>
      <w:numPr>
        <w:ilvl w:val="2"/>
        <w:numId w:val="13"/>
      </w:numPr>
      <w:spacing w:line="240" w:lineRule="auto"/>
    </w:pPr>
  </w:style>
  <w:style w:type="character" w:customStyle="1" w:styleId="HL2HeadingLevel2Char">
    <w:name w:val="[HL2] Heading Level 2 Char"/>
    <w:basedOn w:val="BTBodyTextChar"/>
    <w:link w:val="HL2HeadingLevel2"/>
    <w:uiPriority w:val="4"/>
    <w:rsid w:val="00231DD0"/>
    <w:rPr>
      <w:rFonts w:eastAsia="Times New Roman" w:cstheme="majorBidi"/>
      <w:b/>
      <w:smallCaps/>
      <w:sz w:val="28"/>
      <w:szCs w:val="26"/>
    </w:rPr>
  </w:style>
  <w:style w:type="paragraph" w:customStyle="1" w:styleId="HL4HeadingLevel4">
    <w:name w:val="[HL4] Heading Level 4"/>
    <w:basedOn w:val="Heading4"/>
    <w:next w:val="P1-N1Paragraph1-Number1"/>
    <w:link w:val="HL4HeadingLevel4Char"/>
    <w:uiPriority w:val="4"/>
    <w:qFormat/>
    <w:pPr>
      <w:numPr>
        <w:ilvl w:val="3"/>
        <w:numId w:val="13"/>
      </w:numPr>
    </w:pPr>
  </w:style>
  <w:style w:type="character" w:customStyle="1" w:styleId="HL3HeadingLevel3Char">
    <w:name w:val="[HL3] Heading Level 3 Char"/>
    <w:basedOn w:val="BTBodyTextChar"/>
    <w:link w:val="HL3HeadingLevel3"/>
    <w:uiPriority w:val="4"/>
    <w:rPr>
      <w:rFonts w:eastAsiaTheme="majorEastAsia" w:cstheme="majorBidi"/>
      <w:b/>
    </w:rPr>
  </w:style>
  <w:style w:type="paragraph" w:customStyle="1" w:styleId="HL5HeadingLevel5">
    <w:name w:val="[HL5] Heading Level 5"/>
    <w:basedOn w:val="Heading5"/>
    <w:next w:val="P1-N1Paragraph1-Number1"/>
    <w:link w:val="HL5HeadingLevel5Char"/>
    <w:uiPriority w:val="4"/>
    <w:qFormat/>
    <w:pPr>
      <w:numPr>
        <w:ilvl w:val="4"/>
        <w:numId w:val="13"/>
      </w:numPr>
    </w:pPr>
  </w:style>
  <w:style w:type="character" w:customStyle="1" w:styleId="HL4HeadingLevel4Char">
    <w:name w:val="[HL4] Heading Level 4 Char"/>
    <w:basedOn w:val="BTBodyTextChar"/>
    <w:link w:val="HL4HeadingLevel4"/>
    <w:uiPriority w:val="4"/>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pPr>
      <w:numPr>
        <w:ilvl w:val="5"/>
        <w:numId w:val="13"/>
      </w:numPr>
      <w:tabs>
        <w:tab w:val="clear" w:pos="5106"/>
        <w:tab w:val="num" w:pos="360"/>
        <w:tab w:val="num" w:pos="5103"/>
      </w:tabs>
      <w:ind w:left="5103" w:hanging="848"/>
    </w:pPr>
  </w:style>
  <w:style w:type="character" w:customStyle="1" w:styleId="HL5HeadingLevel5Char">
    <w:name w:val="[HL5] Heading Level 5 Char"/>
    <w:basedOn w:val="BTBodyTextChar"/>
    <w:link w:val="HL5HeadingLevel5"/>
    <w:uiPriority w:val="4"/>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pPr>
      <w:numPr>
        <w:ilvl w:val="6"/>
        <w:numId w:val="13"/>
      </w:numPr>
      <w:tabs>
        <w:tab w:val="clear" w:pos="5957"/>
        <w:tab w:val="num" w:pos="360"/>
        <w:tab w:val="num" w:pos="5954"/>
      </w:tabs>
      <w:ind w:left="5954" w:firstLine="0"/>
    </w:pPr>
  </w:style>
  <w:style w:type="character" w:customStyle="1" w:styleId="HL6HeadingLevel6Char">
    <w:name w:val="[HL6] Heading Level 6 Char"/>
    <w:basedOn w:val="BTBodyTextChar"/>
    <w:link w:val="HL6HeadingLevel6"/>
    <w:uiPriority w:val="4"/>
    <w:semiHidden/>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pPr>
      <w:numPr>
        <w:ilvl w:val="7"/>
        <w:numId w:val="13"/>
      </w:numPr>
      <w:tabs>
        <w:tab w:val="clear" w:pos="6808"/>
        <w:tab w:val="num" w:pos="360"/>
        <w:tab w:val="num" w:pos="6804"/>
      </w:tabs>
      <w:ind w:left="6804" w:hanging="850"/>
    </w:pPr>
  </w:style>
  <w:style w:type="character" w:customStyle="1" w:styleId="HL7HeadingLevel7Char">
    <w:name w:val="[HL7] Heading Level 7 Char"/>
    <w:basedOn w:val="BTBodyTextChar"/>
    <w:link w:val="HL7HeadingLevel7"/>
    <w:uiPriority w:val="4"/>
    <w:semiHidden/>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pPr>
      <w:numPr>
        <w:ilvl w:val="8"/>
        <w:numId w:val="13"/>
      </w:numPr>
      <w:tabs>
        <w:tab w:val="clear" w:pos="7659"/>
        <w:tab w:val="num" w:pos="360"/>
        <w:tab w:val="num" w:pos="7655"/>
      </w:tabs>
      <w:ind w:left="7655" w:firstLine="0"/>
    </w:pPr>
  </w:style>
  <w:style w:type="character" w:customStyle="1" w:styleId="HL8HeadingLevel8Char">
    <w:name w:val="[HL8] Heading Level 8 Char"/>
    <w:basedOn w:val="BTBodyTextChar"/>
    <w:link w:val="HL8HeadingLevel8"/>
    <w:uiPriority w:val="4"/>
    <w:semiHidden/>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pPr>
      <w:spacing w:before="240" w:after="0"/>
      <w:jc w:val="center"/>
    </w:pPr>
    <w:rPr>
      <w:sz w:val="24"/>
    </w:rPr>
  </w:style>
  <w:style w:type="character" w:customStyle="1" w:styleId="HL9HeadingLevel9Char">
    <w:name w:val="[HL9] Heading Level 9 Char"/>
    <w:basedOn w:val="BTBodyTextChar"/>
    <w:link w:val="HL9HeadingLevel9"/>
    <w:uiPriority w:val="4"/>
    <w:semiHidden/>
    <w:rPr>
      <w:rFonts w:eastAsiaTheme="majorEastAsia" w:cstheme="majorBidi"/>
      <w:i/>
      <w:iCs/>
      <w:szCs w:val="21"/>
    </w:rPr>
  </w:style>
  <w:style w:type="paragraph" w:styleId="TOCHeading">
    <w:name w:val="TOC Heading"/>
    <w:basedOn w:val="Normal"/>
    <w:next w:val="Normal"/>
    <w:uiPriority w:val="39"/>
    <w:unhideWhenUsed/>
    <w:qFormat/>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Pr>
      <w:rFonts w:eastAsiaTheme="majorEastAsia" w:cstheme="majorBidi"/>
      <w:b/>
      <w:caps/>
      <w:sz w:val="28"/>
      <w:szCs w:val="32"/>
    </w:rPr>
  </w:style>
  <w:style w:type="paragraph" w:styleId="TOC1">
    <w:name w:val="toc 1"/>
    <w:basedOn w:val="Normal"/>
    <w:next w:val="Normal"/>
    <w:autoRedefine/>
    <w:uiPriority w:val="39"/>
    <w:unhideWhenUsed/>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pPr>
      <w:tabs>
        <w:tab w:val="left" w:pos="1276"/>
        <w:tab w:val="right" w:leader="dot" w:pos="9070"/>
      </w:tabs>
      <w:spacing w:before="120" w:after="100" w:line="240" w:lineRule="auto"/>
      <w:ind w:left="1276" w:hanging="851"/>
    </w:pPr>
    <w:rPr>
      <w:b/>
      <w:smallCaps/>
    </w:rPr>
  </w:style>
  <w:style w:type="paragraph" w:styleId="TOC3">
    <w:name w:val="toc 3"/>
    <w:basedOn w:val="Normal"/>
    <w:next w:val="Normal"/>
    <w:autoRedefine/>
    <w:uiPriority w:val="39"/>
    <w:unhideWhenUsed/>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Pr>
      <w:color w:val="0563C1" w:themeColor="hyperlink"/>
      <w:u w:val="single"/>
    </w:rPr>
  </w:style>
  <w:style w:type="paragraph" w:styleId="TOC4">
    <w:name w:val="toc 4"/>
    <w:basedOn w:val="Normal"/>
    <w:next w:val="Normal"/>
    <w:autoRedefine/>
    <w:uiPriority w:val="39"/>
    <w:unhideWhenUsed/>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pPr>
      <w:spacing w:before="120" w:after="100" w:line="240" w:lineRule="auto"/>
      <w:ind w:left="3403" w:hanging="851"/>
    </w:pPr>
  </w:style>
  <w:style w:type="paragraph" w:styleId="TOC8">
    <w:name w:val="toc 8"/>
    <w:basedOn w:val="Normal"/>
    <w:next w:val="Normal"/>
    <w:autoRedefine/>
    <w:uiPriority w:val="39"/>
    <w:unhideWhenUsed/>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pPr>
      <w:keepNext/>
      <w:numPr>
        <w:numId w:val="3"/>
      </w:numPr>
      <w:spacing w:before="240" w:after="0"/>
      <w:jc w:val="center"/>
      <w:outlineLvl w:val="7"/>
    </w:pPr>
    <w:rPr>
      <w:b/>
    </w:rPr>
  </w:style>
  <w:style w:type="character" w:customStyle="1" w:styleId="FCFigureCaptionChar">
    <w:name w:val="[FC] Figure Caption Char"/>
    <w:basedOn w:val="BTBodyTextChar"/>
    <w:link w:val="FCFigureCaption"/>
    <w:uiPriority w:val="10"/>
    <w:rPr>
      <w:b/>
    </w:rPr>
  </w:style>
  <w:style w:type="paragraph" w:customStyle="1" w:styleId="TCTableCaption">
    <w:name w:val="[TC] Table Caption"/>
    <w:basedOn w:val="FCFigureCaption"/>
    <w:next w:val="BTBodyText"/>
    <w:link w:val="TCTableCaptionChar"/>
    <w:uiPriority w:val="10"/>
    <w:qFormat/>
    <w:pPr>
      <w:numPr>
        <w:numId w:val="4"/>
      </w:numPr>
      <w:outlineLvl w:val="8"/>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Pr>
      <w:b/>
    </w:rPr>
  </w:style>
  <w:style w:type="paragraph" w:customStyle="1" w:styleId="TTTableText">
    <w:name w:val="[TT] Table Text"/>
    <w:basedOn w:val="BTBodyText"/>
    <w:link w:val="TTTableTextChar"/>
    <w:uiPriority w:val="19"/>
    <w:qFormat/>
    <w:pPr>
      <w:spacing w:before="40" w:after="40" w:line="240" w:lineRule="auto"/>
      <w:jc w:val="left"/>
    </w:pPr>
  </w:style>
  <w:style w:type="paragraph" w:customStyle="1" w:styleId="THTableHeading">
    <w:name w:val="[TH] Table Heading"/>
    <w:basedOn w:val="TTTableText"/>
    <w:link w:val="THTableHeadingChar"/>
    <w:uiPriority w:val="19"/>
    <w:qFormat/>
    <w:rPr>
      <w:b/>
    </w:rPr>
  </w:style>
  <w:style w:type="character" w:customStyle="1" w:styleId="TTTableTextChar">
    <w:name w:val="[TT] Table Text Char"/>
    <w:basedOn w:val="BTBodyTextChar"/>
    <w:link w:val="TTTableText"/>
    <w:uiPriority w:val="19"/>
  </w:style>
  <w:style w:type="paragraph" w:customStyle="1" w:styleId="AHL1AnnexHeadingLevel1">
    <w:name w:val="[AHL1] Annex Heading Level 1"/>
    <w:basedOn w:val="Heading1"/>
    <w:next w:val="P1-N1Paragraph1-Number1"/>
    <w:link w:val="AHL1AnnexHeadingLevel1Char"/>
    <w:uiPriority w:val="15"/>
    <w:qFormat/>
    <w:pPr>
      <w:numPr>
        <w:numId w:val="5"/>
      </w:numPr>
    </w:pPr>
    <w:rPr>
      <w:caps w:val="0"/>
      <w:sz w:val="24"/>
    </w:rPr>
  </w:style>
  <w:style w:type="character" w:customStyle="1" w:styleId="THTableHeadingChar">
    <w:name w:val="[TH] Table Heading Char"/>
    <w:basedOn w:val="TTTableTextChar"/>
    <w:link w:val="THTableHeading"/>
    <w:uiPriority w:val="19"/>
    <w:rPr>
      <w:b/>
    </w:rPr>
  </w:style>
  <w:style w:type="paragraph" w:customStyle="1" w:styleId="AHL2AnnexHeadingLevel2">
    <w:name w:val="[AHL2] Annex Heading Level 2"/>
    <w:basedOn w:val="Heading2"/>
    <w:next w:val="P1-N1Paragraph1-Number1"/>
    <w:link w:val="AHL2AnnexHeadingLevel2Char"/>
    <w:uiPriority w:val="15"/>
    <w:qFormat/>
    <w:pPr>
      <w:numPr>
        <w:ilvl w:val="1"/>
        <w:numId w:val="5"/>
      </w:numPr>
    </w:pPr>
    <w:rPr>
      <w:sz w:val="24"/>
    </w:rPr>
  </w:style>
  <w:style w:type="character" w:customStyle="1" w:styleId="AHL1AnnexHeadingLevel1Char">
    <w:name w:val="[AHL1] Annex Heading Level 1 Char"/>
    <w:basedOn w:val="BTBodyTextChar"/>
    <w:link w:val="AHL1AnnexHeadingLevel1"/>
    <w:uiPriority w:val="15"/>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pPr>
      <w:numPr>
        <w:ilvl w:val="2"/>
        <w:numId w:val="5"/>
      </w:numPr>
    </w:pPr>
  </w:style>
  <w:style w:type="character" w:customStyle="1" w:styleId="AHL2AnnexHeadingLevel2Char">
    <w:name w:val="[AHL2] Annex Heading Level 2 Char"/>
    <w:basedOn w:val="BTBodyTextChar"/>
    <w:link w:val="AHL2AnnexHeadingLevel2"/>
    <w:uiPriority w:val="15"/>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pPr>
      <w:numPr>
        <w:ilvl w:val="3"/>
        <w:numId w:val="5"/>
      </w:numPr>
    </w:pPr>
  </w:style>
  <w:style w:type="character" w:customStyle="1" w:styleId="AHL3AnnexHeadingLevel3Char">
    <w:name w:val="[AHL3] Annex Heading Level 3 Char"/>
    <w:basedOn w:val="BTBodyTextChar"/>
    <w:link w:val="AHL3AnnexHeadingLevel3"/>
    <w:uiPriority w:val="15"/>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pPr>
      <w:numPr>
        <w:ilvl w:val="4"/>
        <w:numId w:val="5"/>
      </w:numPr>
    </w:pPr>
    <w:rPr>
      <w:b/>
      <w:i w:val="0"/>
    </w:rPr>
  </w:style>
  <w:style w:type="character" w:customStyle="1" w:styleId="AHL4AnnexHeadingLevel4Char">
    <w:name w:val="[AHL4] Annex Heading Level 4 Char"/>
    <w:basedOn w:val="BTBodyTextChar"/>
    <w:link w:val="AHL4AnnexHeadingLevel4"/>
    <w:uiPriority w:val="15"/>
    <w:semiHidden/>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pPr>
      <w:numPr>
        <w:ilvl w:val="5"/>
        <w:numId w:val="5"/>
      </w:numPr>
    </w:pPr>
  </w:style>
  <w:style w:type="character" w:customStyle="1" w:styleId="AHL5AnnexHeadingLevel5Char">
    <w:name w:val="[AHL5] Annex Heading Level 5 Char"/>
    <w:basedOn w:val="BTBodyTextChar"/>
    <w:link w:val="AHL5AnnexHeadingLevel5"/>
    <w:uiPriority w:val="15"/>
    <w:semiHidden/>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pPr>
      <w:numPr>
        <w:ilvl w:val="6"/>
        <w:numId w:val="5"/>
      </w:numPr>
    </w:pPr>
  </w:style>
  <w:style w:type="character" w:customStyle="1" w:styleId="AHL6AnnexHeadingLevel6Char">
    <w:name w:val="[AHL6] Annex Heading Level 6 Char"/>
    <w:basedOn w:val="BTBodyTextChar"/>
    <w:link w:val="AHL6AnnexHeadingLevel6"/>
    <w:uiPriority w:val="15"/>
    <w:semiHidden/>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pPr>
      <w:numPr>
        <w:ilvl w:val="7"/>
        <w:numId w:val="5"/>
      </w:numPr>
    </w:pPr>
  </w:style>
  <w:style w:type="character" w:customStyle="1" w:styleId="AHL7AnnexHeadingLevel7Char">
    <w:name w:val="[AHL7] Annex Heading Level 7 Char"/>
    <w:basedOn w:val="BTBodyTextChar"/>
    <w:link w:val="AHL7AnnexHeadingLevel7"/>
    <w:uiPriority w:val="15"/>
    <w:semiHidden/>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pPr>
      <w:numPr>
        <w:ilvl w:val="8"/>
        <w:numId w:val="5"/>
      </w:numPr>
    </w:pPr>
  </w:style>
  <w:style w:type="character" w:customStyle="1" w:styleId="AHL8AnnexHeadingLevel8Char">
    <w:name w:val="[AHL8] Annex Heading Level 8 Char"/>
    <w:basedOn w:val="BTBodyTextChar"/>
    <w:link w:val="AHL8AnnexHeadingLevel8"/>
    <w:uiPriority w:val="15"/>
    <w:semiHidden/>
    <w:rPr>
      <w:rFonts w:eastAsiaTheme="majorEastAsia" w:cstheme="majorBidi"/>
      <w:szCs w:val="21"/>
      <w:u w:val="single"/>
    </w:rPr>
  </w:style>
  <w:style w:type="paragraph" w:styleId="Header">
    <w:name w:val="header"/>
    <w:basedOn w:val="Normal"/>
    <w:link w:val="HeaderChar"/>
    <w:uiPriority w:val="99"/>
    <w:unhideWhenUsed/>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Pr>
      <w:rFonts w:eastAsiaTheme="majorEastAsia" w:cstheme="majorBidi"/>
      <w:i/>
      <w:iCs/>
      <w:szCs w:val="21"/>
    </w:r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Car,Cha"/>
    <w:basedOn w:val="Normal"/>
    <w:link w:val="FootnoteTextChar"/>
    <w:uiPriority w:val="5"/>
    <w:qFormat/>
    <w:pPr>
      <w:tabs>
        <w:tab w:val="left" w:pos="720"/>
      </w:tabs>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5"/>
    <w:qFormat/>
    <w:rPr>
      <w:sz w:val="18"/>
      <w:szCs w:val="20"/>
    </w:rPr>
  </w:style>
  <w:style w:type="character" w:styleId="FootnoteReference">
    <w:name w:val="footnote reference"/>
    <w:aliases w:val="A4 Footnote Reference,Ref,de nota al pie,註腳內容,de nota al pie + (Asian) MS Mincho,11 pt,Footnote Reference1,Ref1,de nota al pie1,????,註??腳內—e,11,註?腳Ò®é»,11 p,註?腳內—e,?????—e,-E Fußnotenzeichen,16 Point,Superscript 6 Point,註?腳內Ñe,fr,f?"/>
    <w:basedOn w:val="DefaultParagraphFont"/>
    <w:link w:val="CharChar6CharCharCharCharCharChar"/>
    <w:uiPriority w:val="5"/>
    <w:qFormat/>
    <w:rPr>
      <w:color w:val="000000"/>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WTODTWTODisputeTitle">
    <w:name w:val="[WTODT] WTO Dispute Title"/>
    <w:basedOn w:val="BTBodyText"/>
    <w:link w:val="WTODTWTODisputeTitleChar"/>
    <w:uiPriority w:val="27"/>
    <w:pPr>
      <w:spacing w:line="240" w:lineRule="auto"/>
      <w:jc w:val="center"/>
    </w:pPr>
    <w:rPr>
      <w:b/>
      <w:bCs/>
      <w:smallCaps/>
      <w:sz w:val="40"/>
      <w:szCs w:val="40"/>
    </w:rPr>
  </w:style>
  <w:style w:type="paragraph" w:customStyle="1" w:styleId="DSNDSNumber">
    <w:name w:val="[DSN] DS Number"/>
    <w:basedOn w:val="BTBodyText"/>
    <w:link w:val="DSNDSNumberChar"/>
    <w:uiPriority w:val="27"/>
    <w:pPr>
      <w:spacing w:line="240" w:lineRule="auto"/>
      <w:jc w:val="center"/>
    </w:pPr>
  </w:style>
  <w:style w:type="character" w:customStyle="1" w:styleId="WTODTWTODisputeTitleChar">
    <w:name w:val="[WTODT] WTO Dispute Title Char"/>
    <w:basedOn w:val="BTBodyTextChar"/>
    <w:link w:val="WTODTWTODisputeTitle"/>
    <w:uiPriority w:val="27"/>
    <w:rPr>
      <w:b/>
      <w:bCs/>
      <w:smallCaps/>
      <w:sz w:val="40"/>
      <w:szCs w:val="40"/>
    </w:rPr>
  </w:style>
  <w:style w:type="paragraph" w:customStyle="1" w:styleId="DTDocumentTitle">
    <w:name w:val="[DT] Document Title"/>
    <w:basedOn w:val="BTBodyText"/>
    <w:link w:val="DTDocumentTitleChar"/>
    <w:uiPriority w:val="27"/>
    <w:pPr>
      <w:spacing w:line="240" w:lineRule="auto"/>
      <w:jc w:val="center"/>
    </w:pPr>
    <w:rPr>
      <w:b/>
      <w:bCs/>
      <w:smallCaps/>
      <w:sz w:val="36"/>
      <w:szCs w:val="36"/>
    </w:rPr>
  </w:style>
  <w:style w:type="character" w:customStyle="1" w:styleId="DSNDSNumberChar">
    <w:name w:val="[DSN] DS Number Char"/>
    <w:basedOn w:val="BTBodyTextChar"/>
    <w:link w:val="DSNDSNumber"/>
    <w:uiPriority w:val="27"/>
  </w:style>
  <w:style w:type="paragraph" w:customStyle="1" w:styleId="DDDocumentDate">
    <w:name w:val="[DD] Document Date"/>
    <w:basedOn w:val="BTBodyText"/>
    <w:link w:val="DDDocumentDateChar"/>
    <w:uiPriority w:val="27"/>
    <w:pPr>
      <w:spacing w:line="240" w:lineRule="auto"/>
      <w:jc w:val="center"/>
    </w:pPr>
    <w:rPr>
      <w:sz w:val="32"/>
      <w:szCs w:val="32"/>
    </w:rPr>
  </w:style>
  <w:style w:type="character" w:customStyle="1" w:styleId="DTDocumentTitleChar">
    <w:name w:val="[DT] Document Title Char"/>
    <w:basedOn w:val="BTBodyTextChar"/>
    <w:link w:val="DTDocumentTitle"/>
    <w:uiPriority w:val="27"/>
    <w:rPr>
      <w:b/>
      <w:bCs/>
      <w:smallCaps/>
      <w:sz w:val="36"/>
      <w:szCs w:val="36"/>
    </w:rPr>
  </w:style>
  <w:style w:type="character" w:customStyle="1" w:styleId="DDDocumentDateChar">
    <w:name w:val="[DD] Document Date Char"/>
    <w:basedOn w:val="BTBodyTextChar"/>
    <w:link w:val="DDDocumentDate"/>
    <w:uiPriority w:val="27"/>
    <w:rPr>
      <w:sz w:val="32"/>
      <w:szCs w:val="32"/>
    </w:rPr>
  </w:style>
  <w:style w:type="character" w:styleId="PlaceholderText">
    <w:name w:val="Placeholder Text"/>
    <w:basedOn w:val="DefaultParagraphFont"/>
    <w:uiPriority w:val="99"/>
    <w:semiHidden/>
    <w:rPr>
      <w:color w:val="808080"/>
    </w:rPr>
  </w:style>
  <w:style w:type="paragraph" w:styleId="CommentText">
    <w:name w:val="annotation text"/>
    <w:basedOn w:val="Normal"/>
    <w:link w:val="CommentTextChar"/>
    <w:uiPriority w:val="99"/>
    <w:unhideWhenUsed/>
    <w:qFormat/>
    <w:pPr>
      <w:spacing w:line="240" w:lineRule="auto"/>
    </w:pPr>
    <w:rPr>
      <w:sz w:val="20"/>
      <w:szCs w:val="20"/>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
    <w:uiPriority w:val="99"/>
    <w:semiHidden/>
    <w:rPr>
      <w:b/>
      <w:bCs/>
      <w:sz w:val="20"/>
      <w:szCs w:val="20"/>
    </w:rPr>
  </w:style>
  <w:style w:type="paragraph" w:customStyle="1" w:styleId="Barley-HeadingLevel6">
    <w:name w:val="Barley - Heading Level 6"/>
    <w:basedOn w:val="HL5HeadingLevel5"/>
    <w:link w:val="Barley-HeadingLevel6Char"/>
    <w:qFormat/>
    <w:pPr>
      <w:numPr>
        <w:ilvl w:val="0"/>
        <w:numId w:val="6"/>
      </w:numPr>
    </w:pPr>
    <w:rPr>
      <w:i w:val="0"/>
      <w:iCs/>
    </w:rPr>
  </w:style>
  <w:style w:type="character" w:styleId="CommentReference">
    <w:name w:val="annotation reference"/>
    <w:basedOn w:val="DefaultParagraphFont"/>
    <w:uiPriority w:val="99"/>
    <w:unhideWhenUsed/>
    <w:qFormat/>
    <w:rPr>
      <w:sz w:val="16"/>
      <w:szCs w:val="16"/>
    </w:rPr>
  </w:style>
  <w:style w:type="character" w:customStyle="1" w:styleId="Barley-HeadingLevel6Char">
    <w:name w:val="Barley - Heading Level 6 Char"/>
    <w:basedOn w:val="HL5HeadingLevel5Char"/>
    <w:link w:val="Barley-HeadingLevel6"/>
    <w:rPr>
      <w:rFonts w:eastAsiaTheme="majorEastAsia" w:cstheme="majorBidi"/>
      <w:i w:val="0"/>
      <w:iCs/>
    </w:rPr>
  </w:style>
  <w:style w:type="paragraph" w:styleId="BodyText">
    <w:name w:val="Body Text"/>
    <w:basedOn w:val="Normal"/>
    <w:link w:val="BodyTextChar"/>
    <w:uiPriority w:val="1"/>
    <w:unhideWhenUsed/>
    <w:pPr>
      <w:spacing w:after="120"/>
    </w:pPr>
  </w:style>
  <w:style w:type="character" w:customStyle="1" w:styleId="BodyTextChar">
    <w:name w:val="Body Text Char"/>
    <w:basedOn w:val="DefaultParagraphFont"/>
    <w:link w:val="BodyText"/>
    <w:uiPriority w:val="1"/>
  </w:style>
  <w:style w:type="table" w:customStyle="1" w:styleId="TableNormal1">
    <w:name w:val="Table Normal1"/>
    <w:uiPriority w:val="2"/>
    <w:semiHidden/>
    <w:unhideWhenUsed/>
    <w:qFormat/>
    <w:pPr>
      <w:widowControl w:val="0"/>
      <w:spacing w:after="0" w:line="240" w:lineRule="auto"/>
      <w:jc w:val="left"/>
    </w:pPr>
    <w:rPr>
      <w:rFonts w:asciiTheme="minorHAnsi" w:eastAsiaTheme="minorEastAsia"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pPr>
      <w:widowControl w:val="0"/>
      <w:spacing w:after="0" w:line="240" w:lineRule="auto"/>
      <w:jc w:val="left"/>
    </w:pPr>
    <w:rPr>
      <w:rFonts w:asciiTheme="minorHAnsi" w:eastAsiaTheme="minorEastAsia" w:hAnsiTheme="minorHAnsi"/>
      <w:sz w:val="22"/>
      <w:szCs w:val="22"/>
      <w:lang w:val="en-US"/>
    </w:rPr>
  </w:style>
  <w:style w:type="character" w:customStyle="1" w:styleId="ListParagraphChar">
    <w:name w:val="List Paragraph Char"/>
    <w:aliases w:val="List Paragraph1 Char,Recommendation Char"/>
    <w:basedOn w:val="DefaultParagraphFont"/>
    <w:link w:val="ListParagraph"/>
    <w:uiPriority w:val="34"/>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A4Footnote">
    <w:name w:val="A4 Footnote"/>
    <w:basedOn w:val="Normal"/>
    <w:link w:val="A4FootnoteChar"/>
    <w:autoRedefine/>
    <w:qFormat/>
    <w:pPr>
      <w:spacing w:after="0" w:line="240" w:lineRule="auto"/>
      <w:jc w:val="left"/>
    </w:pPr>
    <w:rPr>
      <w:rFonts w:ascii="Times New Roman" w:eastAsia="Times New Roman" w:hAnsi="Times New Roman" w:cs="Times New Roman"/>
      <w:sz w:val="20"/>
      <w:szCs w:val="20"/>
      <w:lang w:eastAsia="en-AU"/>
    </w:rPr>
  </w:style>
  <w:style w:type="character" w:customStyle="1" w:styleId="A4FootnoteChar">
    <w:name w:val="A4 Footnote Char"/>
    <w:link w:val="A4Footnote"/>
    <w:rPr>
      <w:rFonts w:ascii="Times New Roman" w:eastAsia="Times New Roman" w:hAnsi="Times New Roman" w:cs="Times New Roman"/>
      <w:sz w:val="20"/>
      <w:szCs w:val="20"/>
      <w:lang w:eastAsia="en-AU"/>
    </w:rPr>
  </w:style>
  <w:style w:type="paragraph" w:customStyle="1" w:styleId="Default">
    <w:name w:val="Default"/>
    <w:pPr>
      <w:autoSpaceDE w:val="0"/>
      <w:autoSpaceDN w:val="0"/>
      <w:adjustRightInd w:val="0"/>
      <w:spacing w:after="0" w:line="240" w:lineRule="auto"/>
      <w:jc w:val="left"/>
    </w:pPr>
    <w:rPr>
      <w:rFonts w:ascii="Verdana" w:hAnsi="Verdana" w:cs="Verdana"/>
      <w:color w:val="000000"/>
    </w:rPr>
  </w:style>
  <w:style w:type="character" w:styleId="Emphasis">
    <w:name w:val="Emphasis"/>
    <w:basedOn w:val="DefaultParagraphFont"/>
    <w:uiPriority w:val="20"/>
    <w:qFormat/>
    <w:rPr>
      <w:i/>
      <w:iCs/>
    </w:rPr>
  </w:style>
  <w:style w:type="table" w:styleId="ListTable7Colorful">
    <w:name w:val="List Table 7 Colorful"/>
    <w:basedOn w:val="TableNormal"/>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Revision">
    <w:name w:val="Revision"/>
    <w:hidden/>
    <w:uiPriority w:val="99"/>
    <w:semiHidden/>
    <w:pPr>
      <w:spacing w:after="0" w:line="240" w:lineRule="auto"/>
      <w:jc w:val="left"/>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2">
    <w:name w:val="Body Text 2"/>
    <w:basedOn w:val="Normal"/>
    <w:link w:val="BodyText2Char"/>
    <w:uiPriority w:val="1"/>
    <w:semiHidden/>
    <w:unhideWhenUsed/>
    <w:qFormat/>
    <w:pPr>
      <w:tabs>
        <w:tab w:val="num" w:pos="907"/>
      </w:tabs>
      <w:spacing w:after="240" w:line="240" w:lineRule="auto"/>
      <w:ind w:left="907" w:hanging="340"/>
    </w:pPr>
    <w:rPr>
      <w:rFonts w:ascii="Verdana" w:eastAsia="Calibri" w:hAnsi="Verdana" w:cs="Times New Roman"/>
      <w:sz w:val="18"/>
      <w:szCs w:val="20"/>
      <w:lang w:val="en-GB" w:eastAsia="en-GB"/>
    </w:rPr>
  </w:style>
  <w:style w:type="character" w:customStyle="1" w:styleId="BodyText2Char">
    <w:name w:val="Body Text 2 Char"/>
    <w:basedOn w:val="DefaultParagraphFont"/>
    <w:link w:val="BodyText2"/>
    <w:uiPriority w:val="1"/>
    <w:semiHidden/>
    <w:rPr>
      <w:rFonts w:ascii="Verdana" w:eastAsia="Calibri" w:hAnsi="Verdana" w:cs="Times New Roman"/>
      <w:sz w:val="18"/>
      <w:szCs w:val="20"/>
      <w:lang w:val="en-GB" w:eastAsia="en-GB"/>
    </w:rPr>
  </w:style>
  <w:style w:type="paragraph" w:styleId="BodyText3">
    <w:name w:val="Body Text 3"/>
    <w:basedOn w:val="Normal"/>
    <w:link w:val="BodyText3Char"/>
    <w:uiPriority w:val="1"/>
    <w:semiHidden/>
    <w:unhideWhenUsed/>
    <w:qFormat/>
    <w:pPr>
      <w:tabs>
        <w:tab w:val="num" w:pos="1247"/>
      </w:tabs>
      <w:spacing w:after="240" w:line="240" w:lineRule="auto"/>
      <w:ind w:left="1247" w:hanging="340"/>
    </w:pPr>
    <w:rPr>
      <w:rFonts w:ascii="Verdana" w:eastAsia="Calibri" w:hAnsi="Verdana" w:cs="Times New Roman"/>
      <w:sz w:val="18"/>
      <w:szCs w:val="16"/>
      <w:lang w:val="en-GB" w:eastAsia="en-GB"/>
    </w:rPr>
  </w:style>
  <w:style w:type="character" w:customStyle="1" w:styleId="BodyText3Char">
    <w:name w:val="Body Text 3 Char"/>
    <w:basedOn w:val="DefaultParagraphFont"/>
    <w:link w:val="BodyText3"/>
    <w:uiPriority w:val="1"/>
    <w:semiHidden/>
    <w:rPr>
      <w:rFonts w:ascii="Verdana" w:eastAsia="Calibri" w:hAnsi="Verdana" w:cs="Times New Roman"/>
      <w:sz w:val="18"/>
      <w:szCs w:val="16"/>
      <w:lang w:val="en-GB" w:eastAsia="en-GB"/>
    </w:rPr>
  </w:style>
  <w:style w:type="numbering" w:customStyle="1" w:styleId="LegalHeadings">
    <w:name w:val="LegalHeadings"/>
    <w:uiPriority w:val="99"/>
    <w:pPr>
      <w:numPr>
        <w:numId w:val="7"/>
      </w:numPr>
    </w:pPr>
  </w:style>
  <w:style w:type="paragraph" w:customStyle="1" w:styleId="A4Heading1">
    <w:name w:val="A4 Heading 1"/>
    <w:basedOn w:val="Normal"/>
    <w:link w:val="A4Heading1Char"/>
    <w:autoRedefine/>
    <w:qFormat/>
    <w:pPr>
      <w:numPr>
        <w:numId w:val="8"/>
      </w:numPr>
      <w:tabs>
        <w:tab w:val="clear" w:pos="720"/>
      </w:tabs>
      <w:outlineLvl w:val="0"/>
    </w:pPr>
    <w:rPr>
      <w:rFonts w:ascii="Times New Roman" w:eastAsia="Times New Roman" w:hAnsi="Times New Roman" w:cs="Times New Roman"/>
      <w:b/>
      <w:caps/>
      <w:sz w:val="28"/>
      <w:szCs w:val="28"/>
      <w:lang w:eastAsia="en-AU"/>
    </w:rPr>
  </w:style>
  <w:style w:type="character" w:customStyle="1" w:styleId="A4Heading1Char">
    <w:name w:val="A4 Heading 1 Char"/>
    <w:basedOn w:val="DefaultParagraphFont"/>
    <w:link w:val="A4Heading1"/>
    <w:rPr>
      <w:rFonts w:ascii="Times New Roman" w:eastAsia="Times New Roman" w:hAnsi="Times New Roman" w:cs="Times New Roman"/>
      <w:b/>
      <w:caps/>
      <w:sz w:val="28"/>
      <w:szCs w:val="28"/>
      <w:lang w:eastAsia="en-AU"/>
    </w:rPr>
  </w:style>
  <w:style w:type="paragraph" w:customStyle="1" w:styleId="A4Heading2">
    <w:name w:val="A4 Heading 2"/>
    <w:basedOn w:val="Normal"/>
    <w:link w:val="A4Heading2Char"/>
    <w:autoRedefine/>
    <w:qFormat/>
    <w:pPr>
      <w:numPr>
        <w:ilvl w:val="1"/>
        <w:numId w:val="8"/>
      </w:numPr>
      <w:outlineLvl w:val="1"/>
    </w:pPr>
    <w:rPr>
      <w:rFonts w:ascii="Times New Roman" w:eastAsia="Times New Roman" w:hAnsi="Times New Roman" w:cs="Times New Roman"/>
      <w:b/>
      <w:smallCaps/>
      <w:sz w:val="28"/>
      <w:szCs w:val="28"/>
      <w:lang w:eastAsia="en-AU"/>
    </w:rPr>
  </w:style>
  <w:style w:type="character" w:customStyle="1" w:styleId="A4Heading2Char">
    <w:name w:val="A4 Heading 2 Char"/>
    <w:basedOn w:val="DefaultParagraphFont"/>
    <w:link w:val="A4Heading2"/>
    <w:rPr>
      <w:rFonts w:ascii="Times New Roman" w:eastAsia="Times New Roman" w:hAnsi="Times New Roman" w:cs="Times New Roman"/>
      <w:b/>
      <w:smallCaps/>
      <w:sz w:val="28"/>
      <w:szCs w:val="28"/>
      <w:lang w:eastAsia="en-AU"/>
    </w:rPr>
  </w:style>
  <w:style w:type="paragraph" w:customStyle="1" w:styleId="A4Heading3">
    <w:name w:val="A4 Heading 3"/>
    <w:basedOn w:val="Normal"/>
    <w:link w:val="A4Heading3Char"/>
    <w:qFormat/>
    <w:pPr>
      <w:numPr>
        <w:numId w:val="10"/>
      </w:numPr>
      <w:jc w:val="left"/>
      <w:outlineLvl w:val="2"/>
    </w:pPr>
    <w:rPr>
      <w:rFonts w:ascii="Times New Roman" w:eastAsia="Times New Roman" w:hAnsi="Times New Roman" w:cs="Times New Roman"/>
      <w:b/>
      <w:lang w:eastAsia="en-AU"/>
    </w:rPr>
  </w:style>
  <w:style w:type="character" w:customStyle="1" w:styleId="A4Heading3Char">
    <w:name w:val="A4 Heading 3 Char"/>
    <w:basedOn w:val="DefaultParagraphFont"/>
    <w:link w:val="A4Heading3"/>
    <w:rPr>
      <w:rFonts w:ascii="Times New Roman" w:eastAsia="Times New Roman" w:hAnsi="Times New Roman" w:cs="Times New Roman"/>
      <w:b/>
      <w:lang w:eastAsia="en-AU"/>
    </w:rPr>
  </w:style>
  <w:style w:type="paragraph" w:customStyle="1" w:styleId="A4Heading4">
    <w:name w:val="A4 Heading 4"/>
    <w:basedOn w:val="Normal"/>
    <w:link w:val="A4Heading4Char"/>
    <w:qFormat/>
    <w:pPr>
      <w:numPr>
        <w:ilvl w:val="3"/>
        <w:numId w:val="8"/>
      </w:numPr>
      <w:jc w:val="left"/>
      <w:outlineLvl w:val="3"/>
    </w:pPr>
    <w:rPr>
      <w:rFonts w:ascii="Times New Roman" w:eastAsia="Times New Roman" w:hAnsi="Times New Roman" w:cs="Times New Roman"/>
      <w:b/>
      <w:lang w:eastAsia="en-AU"/>
    </w:rPr>
  </w:style>
  <w:style w:type="paragraph" w:customStyle="1" w:styleId="A4BodyText">
    <w:name w:val="A4 Body Text"/>
    <w:link w:val="A4BodyTextChar"/>
    <w:autoRedefine/>
    <w:qFormat/>
    <w:pPr>
      <w:numPr>
        <w:numId w:val="11"/>
      </w:numPr>
      <w:ind w:left="0" w:firstLine="0"/>
    </w:pPr>
    <w:rPr>
      <w:rFonts w:ascii="Times New Roman" w:eastAsia="Times New Roman" w:hAnsi="Times New Roman" w:cs="Times New Roman"/>
      <w:lang w:eastAsia="en-AU"/>
    </w:rPr>
  </w:style>
  <w:style w:type="character" w:customStyle="1" w:styleId="A4BodyTextChar">
    <w:name w:val="A4 Body Text Char"/>
    <w:basedOn w:val="DefaultParagraphFont"/>
    <w:link w:val="A4BodyText"/>
    <w:rPr>
      <w:rFonts w:ascii="Times New Roman" w:eastAsia="Times New Roman" w:hAnsi="Times New Roman" w:cs="Times New Roman"/>
      <w:lang w:eastAsia="en-AU"/>
    </w:rPr>
  </w:style>
  <w:style w:type="paragraph" w:customStyle="1" w:styleId="A4BulletPoint1">
    <w:name w:val="A4 Bullet Point 1"/>
    <w:basedOn w:val="Normal"/>
    <w:link w:val="A4BulletPoint1Char"/>
    <w:qFormat/>
    <w:pPr>
      <w:numPr>
        <w:numId w:val="9"/>
      </w:numPr>
      <w:jc w:val="left"/>
    </w:pPr>
    <w:rPr>
      <w:rFonts w:ascii="Times New Roman" w:eastAsia="Times New Roman" w:hAnsi="Times New Roman" w:cs="Times New Roman"/>
      <w:lang w:eastAsia="en-AU"/>
    </w:rPr>
  </w:style>
  <w:style w:type="character" w:customStyle="1" w:styleId="A4BulletPoint1Char">
    <w:name w:val="A4 Bullet Point 1 Char"/>
    <w:basedOn w:val="DefaultParagraphFont"/>
    <w:link w:val="A4BulletPoint1"/>
    <w:rPr>
      <w:rFonts w:ascii="Times New Roman" w:eastAsia="Times New Roman" w:hAnsi="Times New Roman" w:cs="Times New Roman"/>
      <w:lang w:eastAsia="en-AU"/>
    </w:rPr>
  </w:style>
  <w:style w:type="paragraph" w:styleId="EndnoteText">
    <w:name w:val="endnote text"/>
    <w:basedOn w:val="Normal"/>
    <w:link w:val="EndnoteTextChar"/>
    <w:uiPriority w:val="99"/>
    <w:semiHidden/>
    <w:unhideWhenUsed/>
    <w:pPr>
      <w:spacing w:after="0" w:line="240" w:lineRule="auto"/>
      <w:jc w:val="left"/>
    </w:pPr>
    <w:rPr>
      <w:rFonts w:asciiTheme="minorHAnsi" w:hAnsiTheme="minorHAnsi"/>
      <w:sz w:val="20"/>
      <w:szCs w:val="20"/>
    </w:rPr>
  </w:style>
  <w:style w:type="character" w:customStyle="1" w:styleId="EndnoteTextChar">
    <w:name w:val="Endnote Text Char"/>
    <w:basedOn w:val="DefaultParagraphFont"/>
    <w:link w:val="EndnoteText"/>
    <w:uiPriority w:val="99"/>
    <w:semiHidden/>
    <w:rPr>
      <w:rFonts w:asciiTheme="minorHAnsi" w:hAnsiTheme="minorHAns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harChar6CharCharCharCharCharChar">
    <w:name w:val="Char Char6 Char Char Char Char Char Char"/>
    <w:aliases w:val="Char6 Char Char Char Char Char Char Char"/>
    <w:basedOn w:val="Normal"/>
    <w:link w:val="FootnoteReference"/>
    <w:uiPriority w:val="5"/>
    <w:qFormat/>
    <w:pPr>
      <w:spacing w:after="0"/>
      <w:jc w:val="center"/>
    </w:pPr>
    <w:rPr>
      <w:color w:val="000000"/>
      <w:vertAlign w:val="superscript"/>
    </w:rPr>
  </w:style>
  <w:style w:type="character" w:customStyle="1" w:styleId="A4Heading4Char">
    <w:name w:val="A4 Heading 4 Char"/>
    <w:basedOn w:val="DefaultParagraphFont"/>
    <w:link w:val="A4Heading4"/>
    <w:rPr>
      <w:rFonts w:ascii="Times New Roman" w:eastAsia="Times New Roman" w:hAnsi="Times New Roman" w:cs="Times New Roman"/>
      <w:b/>
      <w:lang w:eastAsia="en-AU"/>
    </w:rPr>
  </w:style>
  <w:style w:type="paragraph" w:customStyle="1" w:styleId="A4BulletPoint2">
    <w:name w:val="A4 Bullet Point 2"/>
    <w:basedOn w:val="Normal"/>
    <w:next w:val="A4BulletPoint1"/>
    <w:link w:val="A4BulletPoint2Char"/>
    <w:pPr>
      <w:numPr>
        <w:ilvl w:val="2"/>
        <w:numId w:val="12"/>
      </w:numPr>
      <w:ind w:left="2154" w:hanging="357"/>
      <w:jc w:val="left"/>
    </w:pPr>
    <w:rPr>
      <w:rFonts w:ascii="Times New Roman" w:eastAsia="Times New Roman" w:hAnsi="Times New Roman" w:cs="Times New Roman"/>
      <w:lang w:eastAsia="en-AU"/>
    </w:rPr>
  </w:style>
  <w:style w:type="character" w:customStyle="1" w:styleId="A4BulletPoint2Char">
    <w:name w:val="A4 Bullet Point 2 Char"/>
    <w:link w:val="A4BulletPoint2"/>
    <w:rPr>
      <w:rFonts w:ascii="Times New Roman" w:eastAsia="Times New Roman" w:hAnsi="Times New Roman" w:cs="Times New Roman"/>
      <w:lang w:eastAsia="en-AU"/>
    </w:rPr>
  </w:style>
  <w:style w:type="character" w:customStyle="1" w:styleId="QuoteChar">
    <w:name w:val="Quote Char"/>
    <w:aliases w:val="A4 Quotation Char"/>
    <w:basedOn w:val="DefaultParagraphFont"/>
    <w:link w:val="Quote"/>
    <w:uiPriority w:val="29"/>
    <w:locked/>
    <w:rPr>
      <w:rFonts w:eastAsia="Times New Roman" w:cs="Calibri"/>
      <w:noProof/>
      <w:sz w:val="22"/>
      <w:szCs w:val="22"/>
      <w:lang w:eastAsia="en-AU"/>
    </w:rPr>
  </w:style>
  <w:style w:type="paragraph" w:styleId="Quote">
    <w:name w:val="Quote"/>
    <w:aliases w:val="A4 Quotation"/>
    <w:basedOn w:val="Normal"/>
    <w:next w:val="Normal"/>
    <w:link w:val="QuoteChar"/>
    <w:autoRedefine/>
    <w:uiPriority w:val="29"/>
    <w:qFormat/>
    <w:pPr>
      <w:tabs>
        <w:tab w:val="left" w:pos="1100"/>
        <w:tab w:val="right" w:leader="dot" w:pos="9344"/>
      </w:tabs>
      <w:spacing w:after="240" w:line="240" w:lineRule="auto"/>
      <w:ind w:left="850"/>
    </w:pPr>
    <w:rPr>
      <w:rFonts w:eastAsia="Times New Roman" w:cs="Calibri"/>
      <w:noProof/>
      <w:sz w:val="22"/>
      <w:szCs w:val="22"/>
      <w:lang w:eastAsia="en-AU"/>
    </w:rPr>
  </w:style>
  <w:style w:type="character" w:customStyle="1" w:styleId="QuoteChar1">
    <w:name w:val="Quote Char1"/>
    <w:basedOn w:val="DefaultParagraphFont"/>
    <w:uiPriority w:val="98"/>
    <w:rPr>
      <w:i/>
      <w:iCs/>
      <w:color w:val="404040" w:themeColor="text1" w:themeTint="BF"/>
    </w:rPr>
  </w:style>
  <w:style w:type="paragraph" w:customStyle="1" w:styleId="acthead5">
    <w:name w:val="acthead5"/>
    <w:basedOn w:val="Normal"/>
    <w:pPr>
      <w:spacing w:before="100" w:beforeAutospacing="1" w:after="100" w:afterAutospacing="1" w:line="240" w:lineRule="auto"/>
      <w:jc w:val="left"/>
    </w:pPr>
    <w:rPr>
      <w:rFonts w:ascii="Times New Roman" w:eastAsia="Times New Roman" w:hAnsi="Times New Roman" w:cs="Times New Roman"/>
      <w:lang w:eastAsia="en-AU"/>
    </w:rPr>
  </w:style>
  <w:style w:type="character" w:customStyle="1" w:styleId="charsectno">
    <w:name w:val="charsectno"/>
    <w:basedOn w:val="DefaultParagraphFont"/>
  </w:style>
  <w:style w:type="paragraph" w:customStyle="1" w:styleId="subsection">
    <w:name w:val="subsection"/>
    <w:basedOn w:val="Normal"/>
    <w:pPr>
      <w:spacing w:before="100" w:beforeAutospacing="1" w:after="100" w:afterAutospacing="1" w:line="240" w:lineRule="auto"/>
      <w:jc w:val="left"/>
    </w:pPr>
    <w:rPr>
      <w:rFonts w:ascii="Times New Roman" w:eastAsia="Times New Roman" w:hAnsi="Times New Roman" w:cs="Times New Roman"/>
      <w:lang w:eastAsia="en-AU"/>
    </w:rPr>
  </w:style>
  <w:style w:type="paragraph" w:customStyle="1" w:styleId="paragraph">
    <w:name w:val="paragraph"/>
    <w:aliases w:val="a"/>
    <w:basedOn w:val="Normal"/>
    <w:link w:val="paragraphChar"/>
    <w:pPr>
      <w:spacing w:before="100" w:beforeAutospacing="1" w:after="100" w:afterAutospacing="1" w:line="240" w:lineRule="auto"/>
      <w:jc w:val="left"/>
    </w:pPr>
    <w:rPr>
      <w:rFonts w:ascii="Times New Roman" w:eastAsia="Times New Roman" w:hAnsi="Times New Roman" w:cs="Times New Roman"/>
      <w:lang w:eastAsia="en-AU"/>
    </w:rPr>
  </w:style>
  <w:style w:type="paragraph" w:customStyle="1" w:styleId="paragraphsub">
    <w:name w:val="paragraphsub"/>
    <w:basedOn w:val="Normal"/>
    <w:pPr>
      <w:spacing w:before="100" w:beforeAutospacing="1" w:after="100" w:afterAutospacing="1" w:line="240" w:lineRule="auto"/>
      <w:jc w:val="left"/>
    </w:pPr>
    <w:rPr>
      <w:rFonts w:ascii="Times New Roman" w:eastAsia="Times New Roman" w:hAnsi="Times New Roman" w:cs="Times New Roman"/>
      <w:lang w:eastAsia="en-AU"/>
    </w:rPr>
  </w:style>
  <w:style w:type="paragraph" w:customStyle="1" w:styleId="subsection2">
    <w:name w:val="subsection2"/>
    <w:basedOn w:val="Normal"/>
    <w:pPr>
      <w:spacing w:before="100" w:beforeAutospacing="1" w:after="100" w:afterAutospacing="1" w:line="240" w:lineRule="auto"/>
      <w:jc w:val="left"/>
    </w:pPr>
    <w:rPr>
      <w:rFonts w:ascii="Times New Roman" w:eastAsia="Times New Roman" w:hAnsi="Times New Roman" w:cs="Times New Roman"/>
      <w:lang w:eastAsia="en-AU"/>
    </w:rPr>
  </w:style>
  <w:style w:type="character" w:customStyle="1" w:styleId="paragraphChar">
    <w:name w:val="paragraph Char"/>
    <w:aliases w:val="a Char"/>
    <w:basedOn w:val="DefaultParagraphFont"/>
    <w:link w:val="paragraph"/>
    <w:locked/>
    <w:rPr>
      <w:rFonts w:ascii="Times New Roman" w:eastAsia="Times New Roman" w:hAnsi="Times New Roman" w:cs="Times New Roman"/>
      <w:lang w:eastAsia="en-AU"/>
    </w:rPr>
  </w:style>
  <w:style w:type="paragraph" w:customStyle="1" w:styleId="A4Heading5">
    <w:name w:val="A4 Heading 5"/>
    <w:basedOn w:val="A4Heading4"/>
    <w:link w:val="A4Heading5Char"/>
    <w:qFormat/>
    <w:pPr>
      <w:numPr>
        <w:ilvl w:val="0"/>
        <w:numId w:val="0"/>
      </w:numPr>
      <w:tabs>
        <w:tab w:val="num" w:pos="1134"/>
      </w:tabs>
      <w:ind w:left="1440"/>
    </w:pPr>
  </w:style>
  <w:style w:type="character" w:customStyle="1" w:styleId="A4Heading5Char">
    <w:name w:val="A4 Heading 5 Char"/>
    <w:basedOn w:val="A4Heading4Char"/>
    <w:link w:val="A4Heading5"/>
    <w:rPr>
      <w:rFonts w:ascii="Times New Roman" w:eastAsia="Times New Roman" w:hAnsi="Times New Roman" w:cs="Times New Roman"/>
      <w:b/>
      <w:lang w:eastAsia="en-AU"/>
    </w:rPr>
  </w:style>
  <w:style w:type="paragraph" w:customStyle="1" w:styleId="BlockIndent">
    <w:name w:val="Block Indent"/>
    <w:basedOn w:val="Normal"/>
    <w:uiPriority w:val="6"/>
    <w:qFormat/>
    <w:pPr>
      <w:spacing w:after="210" w:line="264" w:lineRule="auto"/>
      <w:ind w:left="1440" w:right="1440"/>
    </w:pPr>
    <w:rPr>
      <w:rFonts w:ascii="Arial" w:eastAsia="SimSun" w:hAnsi="Arial" w:cs="Arial"/>
      <w:sz w:val="21"/>
      <w:szCs w:val="21"/>
      <w:lang w:val="en-US"/>
    </w:rPr>
  </w:style>
  <w:style w:type="paragraph" w:customStyle="1" w:styleId="QuoteIndent2">
    <w:name w:val="Quote Indent 2"/>
    <w:basedOn w:val="Normal"/>
    <w:qFormat/>
    <w:pPr>
      <w:spacing w:before="120" w:after="240" w:line="276" w:lineRule="auto"/>
      <w:ind w:left="1474"/>
      <w:jc w:val="left"/>
    </w:pPr>
    <w:rPr>
      <w:rFonts w:asciiTheme="minorHAnsi" w:eastAsiaTheme="minorEastAsia" w:hAnsiTheme="minorHAnsi"/>
      <w:i/>
      <w:sz w:val="20"/>
      <w:szCs w:val="20"/>
    </w:rPr>
  </w:style>
  <w:style w:type="paragraph" w:styleId="ListNumber2">
    <w:name w:val="List Number 2"/>
    <w:basedOn w:val="Normal"/>
    <w:uiPriority w:val="99"/>
    <w:unhideWhenUsed/>
    <w:qFormat/>
    <w:pPr>
      <w:numPr>
        <w:ilvl w:val="4"/>
        <w:numId w:val="14"/>
      </w:numPr>
      <w:spacing w:before="120" w:after="240" w:line="276" w:lineRule="auto"/>
      <w:ind w:left="1474"/>
      <w:jc w:val="left"/>
    </w:pPr>
    <w:rPr>
      <w:rFonts w:asciiTheme="minorHAnsi" w:eastAsiaTheme="minorEastAsia" w:hAnsiTheme="minorHAnsi"/>
      <w:sz w:val="20"/>
      <w:szCs w:val="20"/>
    </w:rPr>
  </w:style>
  <w:style w:type="paragraph" w:styleId="ListNumber">
    <w:name w:val="List Number"/>
    <w:basedOn w:val="Normal"/>
    <w:uiPriority w:val="99"/>
    <w:unhideWhenUsed/>
    <w:qFormat/>
    <w:pPr>
      <w:numPr>
        <w:numId w:val="14"/>
      </w:numPr>
      <w:spacing w:before="120" w:after="240" w:line="276" w:lineRule="auto"/>
      <w:jc w:val="left"/>
    </w:pPr>
    <w:rPr>
      <w:rFonts w:asciiTheme="minorHAnsi" w:eastAsiaTheme="minorEastAsia" w:hAnsiTheme="minorHAnsi"/>
      <w:sz w:val="20"/>
      <w:szCs w:val="20"/>
    </w:rPr>
  </w:style>
  <w:style w:type="paragraph" w:styleId="ListNumber3">
    <w:name w:val="List Number 3"/>
    <w:basedOn w:val="Normal"/>
    <w:uiPriority w:val="99"/>
    <w:unhideWhenUsed/>
    <w:qFormat/>
    <w:pPr>
      <w:numPr>
        <w:ilvl w:val="2"/>
        <w:numId w:val="14"/>
      </w:numPr>
      <w:spacing w:before="120" w:after="240" w:line="276" w:lineRule="auto"/>
      <w:jc w:val="left"/>
    </w:pPr>
    <w:rPr>
      <w:rFonts w:asciiTheme="minorHAnsi" w:eastAsiaTheme="minorEastAsia" w:hAnsiTheme="minorHAnsi"/>
      <w:sz w:val="20"/>
      <w:szCs w:val="20"/>
    </w:rPr>
  </w:style>
  <w:style w:type="paragraph" w:styleId="ListNumber4">
    <w:name w:val="List Number 4"/>
    <w:basedOn w:val="Normal"/>
    <w:uiPriority w:val="99"/>
    <w:unhideWhenUsed/>
    <w:qFormat/>
    <w:pPr>
      <w:numPr>
        <w:ilvl w:val="3"/>
        <w:numId w:val="14"/>
      </w:numPr>
      <w:spacing w:before="120" w:after="240" w:line="276" w:lineRule="auto"/>
      <w:contextualSpacing/>
      <w:jc w:val="left"/>
    </w:pPr>
    <w:rPr>
      <w:rFonts w:asciiTheme="minorHAnsi" w:eastAsiaTheme="minorEastAsia" w:hAnsiTheme="minorHAnsi"/>
      <w:sz w:val="20"/>
      <w:szCs w:val="20"/>
    </w:rPr>
  </w:style>
  <w:style w:type="paragraph" w:styleId="NormalWeb">
    <w:name w:val="Normal (Web)"/>
    <w:basedOn w:val="Normal"/>
    <w:uiPriority w:val="99"/>
    <w:semiHidden/>
    <w:unhideWhenUsed/>
    <w:rPr>
      <w:rFonts w:ascii="Times New Roman" w:hAnsi="Times New Roman" w:cs="Times New Roman"/>
    </w:rPr>
  </w:style>
  <w:style w:type="paragraph" w:customStyle="1" w:styleId="Panelquestionnumbered">
    <w:name w:val="Panel question numbered"/>
    <w:basedOn w:val="Normal"/>
    <w:pPr>
      <w:numPr>
        <w:numId w:val="15"/>
      </w:numPr>
      <w:jc w:val="left"/>
    </w:pPr>
    <w:rPr>
      <w:rFonts w:ascii="Times New Roman" w:eastAsia="Times New Roman" w:hAnsi="Times New Roman" w:cs="Times New Roman"/>
      <w:i/>
      <w:lang w:eastAsia="en-AU"/>
    </w:rPr>
  </w:style>
  <w:style w:type="paragraph" w:customStyle="1" w:styleId="Panelquestionheading">
    <w:name w:val="Panel question heading"/>
    <w:basedOn w:val="A4Heading1"/>
    <w:pPr>
      <w:numPr>
        <w:numId w:val="17"/>
      </w:numPr>
    </w:pPr>
    <w:rPr>
      <w:rFonts w:asciiTheme="minorHAnsi" w:hAnsiTheme="minorHAnsi" w:cstheme="minorHAnsi"/>
      <w:sz w:val="24"/>
      <w:lang w:val="en-GB"/>
    </w:rPr>
  </w:style>
  <w:style w:type="character" w:styleId="IntenseEmphasis">
    <w:name w:val="Intense Emphasis"/>
    <w:basedOn w:val="DefaultParagraphFont"/>
    <w:uiPriority w:val="21"/>
    <w:qFormat/>
    <w:rPr>
      <w:i/>
      <w:iCs/>
      <w:color w:val="4472C4" w:themeColor="accent1"/>
    </w:rPr>
  </w:style>
  <w:style w:type="character" w:customStyle="1" w:styleId="ui-provider">
    <w:name w:val="ui-provider"/>
    <w:basedOn w:val="DefaultParagraphFont"/>
  </w:style>
  <w:style w:type="character" w:customStyle="1" w:styleId="cf01">
    <w:name w:val="cf01"/>
    <w:basedOn w:val="DefaultParagraphFont"/>
    <w:rPr>
      <w:rFonts w:ascii="Segoe UI" w:hAnsi="Segoe UI" w:cs="Segoe UI" w:hint="default"/>
      <w:sz w:val="18"/>
      <w:szCs w:val="18"/>
    </w:rPr>
  </w:style>
  <w:style w:type="character" w:styleId="LineNumber">
    <w:name w:val="line number"/>
    <w:basedOn w:val="DefaultParagraphFont"/>
    <w:uiPriority w:val="99"/>
    <w:semiHidden/>
    <w:unhideWhenUsed/>
  </w:style>
  <w:style w:type="paragraph" w:customStyle="1" w:styleId="pf0">
    <w:name w:val="pf0"/>
    <w:basedOn w:val="Normal"/>
    <w:rsid w:val="00DD1D11"/>
    <w:pPr>
      <w:spacing w:before="100" w:beforeAutospacing="1" w:after="100" w:afterAutospacing="1" w:line="240" w:lineRule="auto"/>
      <w:jc w:val="left"/>
    </w:pPr>
    <w:rPr>
      <w:rFonts w:ascii="Times New Roman" w:eastAsia="Times New Roman" w:hAnsi="Times New Roman" w:cs="Times New Roman"/>
      <w:lang w:eastAsia="en-AU"/>
    </w:rPr>
  </w:style>
  <w:style w:type="paragraph" w:customStyle="1" w:styleId="p1-n1paragraph1-number10">
    <w:name w:val="p1-n1paragraph1-number1"/>
    <w:basedOn w:val="Normal"/>
    <w:rsid w:val="00B134F9"/>
    <w:rPr>
      <w:rFonts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377">
      <w:bodyDiv w:val="1"/>
      <w:marLeft w:val="0"/>
      <w:marRight w:val="0"/>
      <w:marTop w:val="0"/>
      <w:marBottom w:val="0"/>
      <w:divBdr>
        <w:top w:val="none" w:sz="0" w:space="0" w:color="auto"/>
        <w:left w:val="none" w:sz="0" w:space="0" w:color="auto"/>
        <w:bottom w:val="none" w:sz="0" w:space="0" w:color="auto"/>
        <w:right w:val="none" w:sz="0" w:space="0" w:color="auto"/>
      </w:divBdr>
    </w:div>
    <w:div w:id="20400474">
      <w:bodyDiv w:val="1"/>
      <w:marLeft w:val="0"/>
      <w:marRight w:val="0"/>
      <w:marTop w:val="0"/>
      <w:marBottom w:val="0"/>
      <w:divBdr>
        <w:top w:val="none" w:sz="0" w:space="0" w:color="auto"/>
        <w:left w:val="none" w:sz="0" w:space="0" w:color="auto"/>
        <w:bottom w:val="none" w:sz="0" w:space="0" w:color="auto"/>
        <w:right w:val="none" w:sz="0" w:space="0" w:color="auto"/>
      </w:divBdr>
    </w:div>
    <w:div w:id="21983584">
      <w:bodyDiv w:val="1"/>
      <w:marLeft w:val="0"/>
      <w:marRight w:val="0"/>
      <w:marTop w:val="0"/>
      <w:marBottom w:val="0"/>
      <w:divBdr>
        <w:top w:val="none" w:sz="0" w:space="0" w:color="auto"/>
        <w:left w:val="none" w:sz="0" w:space="0" w:color="auto"/>
        <w:bottom w:val="none" w:sz="0" w:space="0" w:color="auto"/>
        <w:right w:val="none" w:sz="0" w:space="0" w:color="auto"/>
      </w:divBdr>
    </w:div>
    <w:div w:id="28800221">
      <w:bodyDiv w:val="1"/>
      <w:marLeft w:val="0"/>
      <w:marRight w:val="0"/>
      <w:marTop w:val="0"/>
      <w:marBottom w:val="0"/>
      <w:divBdr>
        <w:top w:val="none" w:sz="0" w:space="0" w:color="auto"/>
        <w:left w:val="none" w:sz="0" w:space="0" w:color="auto"/>
        <w:bottom w:val="none" w:sz="0" w:space="0" w:color="auto"/>
        <w:right w:val="none" w:sz="0" w:space="0" w:color="auto"/>
      </w:divBdr>
    </w:div>
    <w:div w:id="29114929">
      <w:bodyDiv w:val="1"/>
      <w:marLeft w:val="0"/>
      <w:marRight w:val="0"/>
      <w:marTop w:val="0"/>
      <w:marBottom w:val="0"/>
      <w:divBdr>
        <w:top w:val="none" w:sz="0" w:space="0" w:color="auto"/>
        <w:left w:val="none" w:sz="0" w:space="0" w:color="auto"/>
        <w:bottom w:val="none" w:sz="0" w:space="0" w:color="auto"/>
        <w:right w:val="none" w:sz="0" w:space="0" w:color="auto"/>
      </w:divBdr>
    </w:div>
    <w:div w:id="31273187">
      <w:bodyDiv w:val="1"/>
      <w:marLeft w:val="0"/>
      <w:marRight w:val="0"/>
      <w:marTop w:val="0"/>
      <w:marBottom w:val="0"/>
      <w:divBdr>
        <w:top w:val="none" w:sz="0" w:space="0" w:color="auto"/>
        <w:left w:val="none" w:sz="0" w:space="0" w:color="auto"/>
        <w:bottom w:val="none" w:sz="0" w:space="0" w:color="auto"/>
        <w:right w:val="none" w:sz="0" w:space="0" w:color="auto"/>
      </w:divBdr>
    </w:div>
    <w:div w:id="38432305">
      <w:bodyDiv w:val="1"/>
      <w:marLeft w:val="0"/>
      <w:marRight w:val="0"/>
      <w:marTop w:val="0"/>
      <w:marBottom w:val="0"/>
      <w:divBdr>
        <w:top w:val="none" w:sz="0" w:space="0" w:color="auto"/>
        <w:left w:val="none" w:sz="0" w:space="0" w:color="auto"/>
        <w:bottom w:val="none" w:sz="0" w:space="0" w:color="auto"/>
        <w:right w:val="none" w:sz="0" w:space="0" w:color="auto"/>
      </w:divBdr>
    </w:div>
    <w:div w:id="40060340">
      <w:bodyDiv w:val="1"/>
      <w:marLeft w:val="0"/>
      <w:marRight w:val="0"/>
      <w:marTop w:val="0"/>
      <w:marBottom w:val="0"/>
      <w:divBdr>
        <w:top w:val="none" w:sz="0" w:space="0" w:color="auto"/>
        <w:left w:val="none" w:sz="0" w:space="0" w:color="auto"/>
        <w:bottom w:val="none" w:sz="0" w:space="0" w:color="auto"/>
        <w:right w:val="none" w:sz="0" w:space="0" w:color="auto"/>
      </w:divBdr>
    </w:div>
    <w:div w:id="57872511">
      <w:bodyDiv w:val="1"/>
      <w:marLeft w:val="0"/>
      <w:marRight w:val="0"/>
      <w:marTop w:val="0"/>
      <w:marBottom w:val="0"/>
      <w:divBdr>
        <w:top w:val="none" w:sz="0" w:space="0" w:color="auto"/>
        <w:left w:val="none" w:sz="0" w:space="0" w:color="auto"/>
        <w:bottom w:val="none" w:sz="0" w:space="0" w:color="auto"/>
        <w:right w:val="none" w:sz="0" w:space="0" w:color="auto"/>
      </w:divBdr>
    </w:div>
    <w:div w:id="67578841">
      <w:bodyDiv w:val="1"/>
      <w:marLeft w:val="0"/>
      <w:marRight w:val="0"/>
      <w:marTop w:val="0"/>
      <w:marBottom w:val="0"/>
      <w:divBdr>
        <w:top w:val="none" w:sz="0" w:space="0" w:color="auto"/>
        <w:left w:val="none" w:sz="0" w:space="0" w:color="auto"/>
        <w:bottom w:val="none" w:sz="0" w:space="0" w:color="auto"/>
        <w:right w:val="none" w:sz="0" w:space="0" w:color="auto"/>
      </w:divBdr>
    </w:div>
    <w:div w:id="77219435">
      <w:bodyDiv w:val="1"/>
      <w:marLeft w:val="0"/>
      <w:marRight w:val="0"/>
      <w:marTop w:val="0"/>
      <w:marBottom w:val="0"/>
      <w:divBdr>
        <w:top w:val="none" w:sz="0" w:space="0" w:color="auto"/>
        <w:left w:val="none" w:sz="0" w:space="0" w:color="auto"/>
        <w:bottom w:val="none" w:sz="0" w:space="0" w:color="auto"/>
        <w:right w:val="none" w:sz="0" w:space="0" w:color="auto"/>
      </w:divBdr>
    </w:div>
    <w:div w:id="89815381">
      <w:bodyDiv w:val="1"/>
      <w:marLeft w:val="0"/>
      <w:marRight w:val="0"/>
      <w:marTop w:val="0"/>
      <w:marBottom w:val="0"/>
      <w:divBdr>
        <w:top w:val="none" w:sz="0" w:space="0" w:color="auto"/>
        <w:left w:val="none" w:sz="0" w:space="0" w:color="auto"/>
        <w:bottom w:val="none" w:sz="0" w:space="0" w:color="auto"/>
        <w:right w:val="none" w:sz="0" w:space="0" w:color="auto"/>
      </w:divBdr>
    </w:div>
    <w:div w:id="109204500">
      <w:bodyDiv w:val="1"/>
      <w:marLeft w:val="0"/>
      <w:marRight w:val="0"/>
      <w:marTop w:val="0"/>
      <w:marBottom w:val="0"/>
      <w:divBdr>
        <w:top w:val="none" w:sz="0" w:space="0" w:color="auto"/>
        <w:left w:val="none" w:sz="0" w:space="0" w:color="auto"/>
        <w:bottom w:val="none" w:sz="0" w:space="0" w:color="auto"/>
        <w:right w:val="none" w:sz="0" w:space="0" w:color="auto"/>
      </w:divBdr>
    </w:div>
    <w:div w:id="115611834">
      <w:bodyDiv w:val="1"/>
      <w:marLeft w:val="0"/>
      <w:marRight w:val="0"/>
      <w:marTop w:val="0"/>
      <w:marBottom w:val="0"/>
      <w:divBdr>
        <w:top w:val="none" w:sz="0" w:space="0" w:color="auto"/>
        <w:left w:val="none" w:sz="0" w:space="0" w:color="auto"/>
        <w:bottom w:val="none" w:sz="0" w:space="0" w:color="auto"/>
        <w:right w:val="none" w:sz="0" w:space="0" w:color="auto"/>
      </w:divBdr>
    </w:div>
    <w:div w:id="130558140">
      <w:bodyDiv w:val="1"/>
      <w:marLeft w:val="0"/>
      <w:marRight w:val="0"/>
      <w:marTop w:val="0"/>
      <w:marBottom w:val="0"/>
      <w:divBdr>
        <w:top w:val="none" w:sz="0" w:space="0" w:color="auto"/>
        <w:left w:val="none" w:sz="0" w:space="0" w:color="auto"/>
        <w:bottom w:val="none" w:sz="0" w:space="0" w:color="auto"/>
        <w:right w:val="none" w:sz="0" w:space="0" w:color="auto"/>
      </w:divBdr>
    </w:div>
    <w:div w:id="140192951">
      <w:bodyDiv w:val="1"/>
      <w:marLeft w:val="0"/>
      <w:marRight w:val="0"/>
      <w:marTop w:val="0"/>
      <w:marBottom w:val="0"/>
      <w:divBdr>
        <w:top w:val="none" w:sz="0" w:space="0" w:color="auto"/>
        <w:left w:val="none" w:sz="0" w:space="0" w:color="auto"/>
        <w:bottom w:val="none" w:sz="0" w:space="0" w:color="auto"/>
        <w:right w:val="none" w:sz="0" w:space="0" w:color="auto"/>
      </w:divBdr>
    </w:div>
    <w:div w:id="143864648">
      <w:bodyDiv w:val="1"/>
      <w:marLeft w:val="0"/>
      <w:marRight w:val="0"/>
      <w:marTop w:val="0"/>
      <w:marBottom w:val="0"/>
      <w:divBdr>
        <w:top w:val="none" w:sz="0" w:space="0" w:color="auto"/>
        <w:left w:val="none" w:sz="0" w:space="0" w:color="auto"/>
        <w:bottom w:val="none" w:sz="0" w:space="0" w:color="auto"/>
        <w:right w:val="none" w:sz="0" w:space="0" w:color="auto"/>
      </w:divBdr>
    </w:div>
    <w:div w:id="152306491">
      <w:bodyDiv w:val="1"/>
      <w:marLeft w:val="0"/>
      <w:marRight w:val="0"/>
      <w:marTop w:val="0"/>
      <w:marBottom w:val="0"/>
      <w:divBdr>
        <w:top w:val="none" w:sz="0" w:space="0" w:color="auto"/>
        <w:left w:val="none" w:sz="0" w:space="0" w:color="auto"/>
        <w:bottom w:val="none" w:sz="0" w:space="0" w:color="auto"/>
        <w:right w:val="none" w:sz="0" w:space="0" w:color="auto"/>
      </w:divBdr>
    </w:div>
    <w:div w:id="170800436">
      <w:bodyDiv w:val="1"/>
      <w:marLeft w:val="0"/>
      <w:marRight w:val="0"/>
      <w:marTop w:val="0"/>
      <w:marBottom w:val="0"/>
      <w:divBdr>
        <w:top w:val="none" w:sz="0" w:space="0" w:color="auto"/>
        <w:left w:val="none" w:sz="0" w:space="0" w:color="auto"/>
        <w:bottom w:val="none" w:sz="0" w:space="0" w:color="auto"/>
        <w:right w:val="none" w:sz="0" w:space="0" w:color="auto"/>
      </w:divBdr>
    </w:div>
    <w:div w:id="176116944">
      <w:bodyDiv w:val="1"/>
      <w:marLeft w:val="0"/>
      <w:marRight w:val="0"/>
      <w:marTop w:val="0"/>
      <w:marBottom w:val="0"/>
      <w:divBdr>
        <w:top w:val="none" w:sz="0" w:space="0" w:color="auto"/>
        <w:left w:val="none" w:sz="0" w:space="0" w:color="auto"/>
        <w:bottom w:val="none" w:sz="0" w:space="0" w:color="auto"/>
        <w:right w:val="none" w:sz="0" w:space="0" w:color="auto"/>
      </w:divBdr>
    </w:div>
    <w:div w:id="180901306">
      <w:bodyDiv w:val="1"/>
      <w:marLeft w:val="0"/>
      <w:marRight w:val="0"/>
      <w:marTop w:val="0"/>
      <w:marBottom w:val="0"/>
      <w:divBdr>
        <w:top w:val="none" w:sz="0" w:space="0" w:color="auto"/>
        <w:left w:val="none" w:sz="0" w:space="0" w:color="auto"/>
        <w:bottom w:val="none" w:sz="0" w:space="0" w:color="auto"/>
        <w:right w:val="none" w:sz="0" w:space="0" w:color="auto"/>
      </w:divBdr>
    </w:div>
    <w:div w:id="193738767">
      <w:bodyDiv w:val="1"/>
      <w:marLeft w:val="0"/>
      <w:marRight w:val="0"/>
      <w:marTop w:val="0"/>
      <w:marBottom w:val="0"/>
      <w:divBdr>
        <w:top w:val="none" w:sz="0" w:space="0" w:color="auto"/>
        <w:left w:val="none" w:sz="0" w:space="0" w:color="auto"/>
        <w:bottom w:val="none" w:sz="0" w:space="0" w:color="auto"/>
        <w:right w:val="none" w:sz="0" w:space="0" w:color="auto"/>
      </w:divBdr>
    </w:div>
    <w:div w:id="197400143">
      <w:bodyDiv w:val="1"/>
      <w:marLeft w:val="0"/>
      <w:marRight w:val="0"/>
      <w:marTop w:val="0"/>
      <w:marBottom w:val="0"/>
      <w:divBdr>
        <w:top w:val="none" w:sz="0" w:space="0" w:color="auto"/>
        <w:left w:val="none" w:sz="0" w:space="0" w:color="auto"/>
        <w:bottom w:val="none" w:sz="0" w:space="0" w:color="auto"/>
        <w:right w:val="none" w:sz="0" w:space="0" w:color="auto"/>
      </w:divBdr>
    </w:div>
    <w:div w:id="209263961">
      <w:bodyDiv w:val="1"/>
      <w:marLeft w:val="0"/>
      <w:marRight w:val="0"/>
      <w:marTop w:val="0"/>
      <w:marBottom w:val="0"/>
      <w:divBdr>
        <w:top w:val="none" w:sz="0" w:space="0" w:color="auto"/>
        <w:left w:val="none" w:sz="0" w:space="0" w:color="auto"/>
        <w:bottom w:val="none" w:sz="0" w:space="0" w:color="auto"/>
        <w:right w:val="none" w:sz="0" w:space="0" w:color="auto"/>
      </w:divBdr>
    </w:div>
    <w:div w:id="212154189">
      <w:bodyDiv w:val="1"/>
      <w:marLeft w:val="0"/>
      <w:marRight w:val="0"/>
      <w:marTop w:val="0"/>
      <w:marBottom w:val="0"/>
      <w:divBdr>
        <w:top w:val="none" w:sz="0" w:space="0" w:color="auto"/>
        <w:left w:val="none" w:sz="0" w:space="0" w:color="auto"/>
        <w:bottom w:val="none" w:sz="0" w:space="0" w:color="auto"/>
        <w:right w:val="none" w:sz="0" w:space="0" w:color="auto"/>
      </w:divBdr>
    </w:div>
    <w:div w:id="214902341">
      <w:bodyDiv w:val="1"/>
      <w:marLeft w:val="0"/>
      <w:marRight w:val="0"/>
      <w:marTop w:val="0"/>
      <w:marBottom w:val="0"/>
      <w:divBdr>
        <w:top w:val="none" w:sz="0" w:space="0" w:color="auto"/>
        <w:left w:val="none" w:sz="0" w:space="0" w:color="auto"/>
        <w:bottom w:val="none" w:sz="0" w:space="0" w:color="auto"/>
        <w:right w:val="none" w:sz="0" w:space="0" w:color="auto"/>
      </w:divBdr>
    </w:div>
    <w:div w:id="246116850">
      <w:bodyDiv w:val="1"/>
      <w:marLeft w:val="0"/>
      <w:marRight w:val="0"/>
      <w:marTop w:val="0"/>
      <w:marBottom w:val="0"/>
      <w:divBdr>
        <w:top w:val="none" w:sz="0" w:space="0" w:color="auto"/>
        <w:left w:val="none" w:sz="0" w:space="0" w:color="auto"/>
        <w:bottom w:val="none" w:sz="0" w:space="0" w:color="auto"/>
        <w:right w:val="none" w:sz="0" w:space="0" w:color="auto"/>
      </w:divBdr>
    </w:div>
    <w:div w:id="246354094">
      <w:bodyDiv w:val="1"/>
      <w:marLeft w:val="0"/>
      <w:marRight w:val="0"/>
      <w:marTop w:val="0"/>
      <w:marBottom w:val="0"/>
      <w:divBdr>
        <w:top w:val="none" w:sz="0" w:space="0" w:color="auto"/>
        <w:left w:val="none" w:sz="0" w:space="0" w:color="auto"/>
        <w:bottom w:val="none" w:sz="0" w:space="0" w:color="auto"/>
        <w:right w:val="none" w:sz="0" w:space="0" w:color="auto"/>
      </w:divBdr>
    </w:div>
    <w:div w:id="265894042">
      <w:bodyDiv w:val="1"/>
      <w:marLeft w:val="0"/>
      <w:marRight w:val="0"/>
      <w:marTop w:val="0"/>
      <w:marBottom w:val="0"/>
      <w:divBdr>
        <w:top w:val="none" w:sz="0" w:space="0" w:color="auto"/>
        <w:left w:val="none" w:sz="0" w:space="0" w:color="auto"/>
        <w:bottom w:val="none" w:sz="0" w:space="0" w:color="auto"/>
        <w:right w:val="none" w:sz="0" w:space="0" w:color="auto"/>
      </w:divBdr>
    </w:div>
    <w:div w:id="268851293">
      <w:bodyDiv w:val="1"/>
      <w:marLeft w:val="0"/>
      <w:marRight w:val="0"/>
      <w:marTop w:val="0"/>
      <w:marBottom w:val="0"/>
      <w:divBdr>
        <w:top w:val="none" w:sz="0" w:space="0" w:color="auto"/>
        <w:left w:val="none" w:sz="0" w:space="0" w:color="auto"/>
        <w:bottom w:val="none" w:sz="0" w:space="0" w:color="auto"/>
        <w:right w:val="none" w:sz="0" w:space="0" w:color="auto"/>
      </w:divBdr>
    </w:div>
    <w:div w:id="272441104">
      <w:bodyDiv w:val="1"/>
      <w:marLeft w:val="0"/>
      <w:marRight w:val="0"/>
      <w:marTop w:val="0"/>
      <w:marBottom w:val="0"/>
      <w:divBdr>
        <w:top w:val="none" w:sz="0" w:space="0" w:color="auto"/>
        <w:left w:val="none" w:sz="0" w:space="0" w:color="auto"/>
        <w:bottom w:val="none" w:sz="0" w:space="0" w:color="auto"/>
        <w:right w:val="none" w:sz="0" w:space="0" w:color="auto"/>
      </w:divBdr>
    </w:div>
    <w:div w:id="276957492">
      <w:bodyDiv w:val="1"/>
      <w:marLeft w:val="0"/>
      <w:marRight w:val="0"/>
      <w:marTop w:val="0"/>
      <w:marBottom w:val="0"/>
      <w:divBdr>
        <w:top w:val="none" w:sz="0" w:space="0" w:color="auto"/>
        <w:left w:val="none" w:sz="0" w:space="0" w:color="auto"/>
        <w:bottom w:val="none" w:sz="0" w:space="0" w:color="auto"/>
        <w:right w:val="none" w:sz="0" w:space="0" w:color="auto"/>
      </w:divBdr>
    </w:div>
    <w:div w:id="298263345">
      <w:bodyDiv w:val="1"/>
      <w:marLeft w:val="0"/>
      <w:marRight w:val="0"/>
      <w:marTop w:val="0"/>
      <w:marBottom w:val="0"/>
      <w:divBdr>
        <w:top w:val="none" w:sz="0" w:space="0" w:color="auto"/>
        <w:left w:val="none" w:sz="0" w:space="0" w:color="auto"/>
        <w:bottom w:val="none" w:sz="0" w:space="0" w:color="auto"/>
        <w:right w:val="none" w:sz="0" w:space="0" w:color="auto"/>
      </w:divBdr>
    </w:div>
    <w:div w:id="308024482">
      <w:bodyDiv w:val="1"/>
      <w:marLeft w:val="0"/>
      <w:marRight w:val="0"/>
      <w:marTop w:val="0"/>
      <w:marBottom w:val="0"/>
      <w:divBdr>
        <w:top w:val="none" w:sz="0" w:space="0" w:color="auto"/>
        <w:left w:val="none" w:sz="0" w:space="0" w:color="auto"/>
        <w:bottom w:val="none" w:sz="0" w:space="0" w:color="auto"/>
        <w:right w:val="none" w:sz="0" w:space="0" w:color="auto"/>
      </w:divBdr>
    </w:div>
    <w:div w:id="312636648">
      <w:bodyDiv w:val="1"/>
      <w:marLeft w:val="0"/>
      <w:marRight w:val="0"/>
      <w:marTop w:val="0"/>
      <w:marBottom w:val="0"/>
      <w:divBdr>
        <w:top w:val="none" w:sz="0" w:space="0" w:color="auto"/>
        <w:left w:val="none" w:sz="0" w:space="0" w:color="auto"/>
        <w:bottom w:val="none" w:sz="0" w:space="0" w:color="auto"/>
        <w:right w:val="none" w:sz="0" w:space="0" w:color="auto"/>
      </w:divBdr>
    </w:div>
    <w:div w:id="313990431">
      <w:bodyDiv w:val="1"/>
      <w:marLeft w:val="0"/>
      <w:marRight w:val="0"/>
      <w:marTop w:val="0"/>
      <w:marBottom w:val="0"/>
      <w:divBdr>
        <w:top w:val="none" w:sz="0" w:space="0" w:color="auto"/>
        <w:left w:val="none" w:sz="0" w:space="0" w:color="auto"/>
        <w:bottom w:val="none" w:sz="0" w:space="0" w:color="auto"/>
        <w:right w:val="none" w:sz="0" w:space="0" w:color="auto"/>
      </w:divBdr>
    </w:div>
    <w:div w:id="330989006">
      <w:bodyDiv w:val="1"/>
      <w:marLeft w:val="0"/>
      <w:marRight w:val="0"/>
      <w:marTop w:val="0"/>
      <w:marBottom w:val="0"/>
      <w:divBdr>
        <w:top w:val="none" w:sz="0" w:space="0" w:color="auto"/>
        <w:left w:val="none" w:sz="0" w:space="0" w:color="auto"/>
        <w:bottom w:val="none" w:sz="0" w:space="0" w:color="auto"/>
        <w:right w:val="none" w:sz="0" w:space="0" w:color="auto"/>
      </w:divBdr>
    </w:div>
    <w:div w:id="351497090">
      <w:bodyDiv w:val="1"/>
      <w:marLeft w:val="0"/>
      <w:marRight w:val="0"/>
      <w:marTop w:val="0"/>
      <w:marBottom w:val="0"/>
      <w:divBdr>
        <w:top w:val="none" w:sz="0" w:space="0" w:color="auto"/>
        <w:left w:val="none" w:sz="0" w:space="0" w:color="auto"/>
        <w:bottom w:val="none" w:sz="0" w:space="0" w:color="auto"/>
        <w:right w:val="none" w:sz="0" w:space="0" w:color="auto"/>
      </w:divBdr>
    </w:div>
    <w:div w:id="362822904">
      <w:bodyDiv w:val="1"/>
      <w:marLeft w:val="0"/>
      <w:marRight w:val="0"/>
      <w:marTop w:val="0"/>
      <w:marBottom w:val="0"/>
      <w:divBdr>
        <w:top w:val="none" w:sz="0" w:space="0" w:color="auto"/>
        <w:left w:val="none" w:sz="0" w:space="0" w:color="auto"/>
        <w:bottom w:val="none" w:sz="0" w:space="0" w:color="auto"/>
        <w:right w:val="none" w:sz="0" w:space="0" w:color="auto"/>
      </w:divBdr>
    </w:div>
    <w:div w:id="362943658">
      <w:bodyDiv w:val="1"/>
      <w:marLeft w:val="0"/>
      <w:marRight w:val="0"/>
      <w:marTop w:val="0"/>
      <w:marBottom w:val="0"/>
      <w:divBdr>
        <w:top w:val="none" w:sz="0" w:space="0" w:color="auto"/>
        <w:left w:val="none" w:sz="0" w:space="0" w:color="auto"/>
        <w:bottom w:val="none" w:sz="0" w:space="0" w:color="auto"/>
        <w:right w:val="none" w:sz="0" w:space="0" w:color="auto"/>
      </w:divBdr>
    </w:div>
    <w:div w:id="375352658">
      <w:bodyDiv w:val="1"/>
      <w:marLeft w:val="0"/>
      <w:marRight w:val="0"/>
      <w:marTop w:val="0"/>
      <w:marBottom w:val="0"/>
      <w:divBdr>
        <w:top w:val="none" w:sz="0" w:space="0" w:color="auto"/>
        <w:left w:val="none" w:sz="0" w:space="0" w:color="auto"/>
        <w:bottom w:val="none" w:sz="0" w:space="0" w:color="auto"/>
        <w:right w:val="none" w:sz="0" w:space="0" w:color="auto"/>
      </w:divBdr>
    </w:div>
    <w:div w:id="377634301">
      <w:bodyDiv w:val="1"/>
      <w:marLeft w:val="0"/>
      <w:marRight w:val="0"/>
      <w:marTop w:val="0"/>
      <w:marBottom w:val="0"/>
      <w:divBdr>
        <w:top w:val="none" w:sz="0" w:space="0" w:color="auto"/>
        <w:left w:val="none" w:sz="0" w:space="0" w:color="auto"/>
        <w:bottom w:val="none" w:sz="0" w:space="0" w:color="auto"/>
        <w:right w:val="none" w:sz="0" w:space="0" w:color="auto"/>
      </w:divBdr>
    </w:div>
    <w:div w:id="386103958">
      <w:bodyDiv w:val="1"/>
      <w:marLeft w:val="0"/>
      <w:marRight w:val="0"/>
      <w:marTop w:val="0"/>
      <w:marBottom w:val="0"/>
      <w:divBdr>
        <w:top w:val="none" w:sz="0" w:space="0" w:color="auto"/>
        <w:left w:val="none" w:sz="0" w:space="0" w:color="auto"/>
        <w:bottom w:val="none" w:sz="0" w:space="0" w:color="auto"/>
        <w:right w:val="none" w:sz="0" w:space="0" w:color="auto"/>
      </w:divBdr>
    </w:div>
    <w:div w:id="386805907">
      <w:bodyDiv w:val="1"/>
      <w:marLeft w:val="0"/>
      <w:marRight w:val="0"/>
      <w:marTop w:val="0"/>
      <w:marBottom w:val="0"/>
      <w:divBdr>
        <w:top w:val="none" w:sz="0" w:space="0" w:color="auto"/>
        <w:left w:val="none" w:sz="0" w:space="0" w:color="auto"/>
        <w:bottom w:val="none" w:sz="0" w:space="0" w:color="auto"/>
        <w:right w:val="none" w:sz="0" w:space="0" w:color="auto"/>
      </w:divBdr>
    </w:div>
    <w:div w:id="386883302">
      <w:bodyDiv w:val="1"/>
      <w:marLeft w:val="0"/>
      <w:marRight w:val="0"/>
      <w:marTop w:val="0"/>
      <w:marBottom w:val="0"/>
      <w:divBdr>
        <w:top w:val="none" w:sz="0" w:space="0" w:color="auto"/>
        <w:left w:val="none" w:sz="0" w:space="0" w:color="auto"/>
        <w:bottom w:val="none" w:sz="0" w:space="0" w:color="auto"/>
        <w:right w:val="none" w:sz="0" w:space="0" w:color="auto"/>
      </w:divBdr>
    </w:div>
    <w:div w:id="389770328">
      <w:bodyDiv w:val="1"/>
      <w:marLeft w:val="0"/>
      <w:marRight w:val="0"/>
      <w:marTop w:val="0"/>
      <w:marBottom w:val="0"/>
      <w:divBdr>
        <w:top w:val="none" w:sz="0" w:space="0" w:color="auto"/>
        <w:left w:val="none" w:sz="0" w:space="0" w:color="auto"/>
        <w:bottom w:val="none" w:sz="0" w:space="0" w:color="auto"/>
        <w:right w:val="none" w:sz="0" w:space="0" w:color="auto"/>
      </w:divBdr>
    </w:div>
    <w:div w:id="400636485">
      <w:bodyDiv w:val="1"/>
      <w:marLeft w:val="0"/>
      <w:marRight w:val="0"/>
      <w:marTop w:val="0"/>
      <w:marBottom w:val="0"/>
      <w:divBdr>
        <w:top w:val="none" w:sz="0" w:space="0" w:color="auto"/>
        <w:left w:val="none" w:sz="0" w:space="0" w:color="auto"/>
        <w:bottom w:val="none" w:sz="0" w:space="0" w:color="auto"/>
        <w:right w:val="none" w:sz="0" w:space="0" w:color="auto"/>
      </w:divBdr>
    </w:div>
    <w:div w:id="404572136">
      <w:bodyDiv w:val="1"/>
      <w:marLeft w:val="0"/>
      <w:marRight w:val="0"/>
      <w:marTop w:val="0"/>
      <w:marBottom w:val="0"/>
      <w:divBdr>
        <w:top w:val="none" w:sz="0" w:space="0" w:color="auto"/>
        <w:left w:val="none" w:sz="0" w:space="0" w:color="auto"/>
        <w:bottom w:val="none" w:sz="0" w:space="0" w:color="auto"/>
        <w:right w:val="none" w:sz="0" w:space="0" w:color="auto"/>
      </w:divBdr>
    </w:div>
    <w:div w:id="409809770">
      <w:bodyDiv w:val="1"/>
      <w:marLeft w:val="0"/>
      <w:marRight w:val="0"/>
      <w:marTop w:val="0"/>
      <w:marBottom w:val="0"/>
      <w:divBdr>
        <w:top w:val="none" w:sz="0" w:space="0" w:color="auto"/>
        <w:left w:val="none" w:sz="0" w:space="0" w:color="auto"/>
        <w:bottom w:val="none" w:sz="0" w:space="0" w:color="auto"/>
        <w:right w:val="none" w:sz="0" w:space="0" w:color="auto"/>
      </w:divBdr>
    </w:div>
    <w:div w:id="413933820">
      <w:bodyDiv w:val="1"/>
      <w:marLeft w:val="0"/>
      <w:marRight w:val="0"/>
      <w:marTop w:val="0"/>
      <w:marBottom w:val="0"/>
      <w:divBdr>
        <w:top w:val="none" w:sz="0" w:space="0" w:color="auto"/>
        <w:left w:val="none" w:sz="0" w:space="0" w:color="auto"/>
        <w:bottom w:val="none" w:sz="0" w:space="0" w:color="auto"/>
        <w:right w:val="none" w:sz="0" w:space="0" w:color="auto"/>
      </w:divBdr>
    </w:div>
    <w:div w:id="414402544">
      <w:bodyDiv w:val="1"/>
      <w:marLeft w:val="0"/>
      <w:marRight w:val="0"/>
      <w:marTop w:val="0"/>
      <w:marBottom w:val="0"/>
      <w:divBdr>
        <w:top w:val="none" w:sz="0" w:space="0" w:color="auto"/>
        <w:left w:val="none" w:sz="0" w:space="0" w:color="auto"/>
        <w:bottom w:val="none" w:sz="0" w:space="0" w:color="auto"/>
        <w:right w:val="none" w:sz="0" w:space="0" w:color="auto"/>
      </w:divBdr>
    </w:div>
    <w:div w:id="420443974">
      <w:bodyDiv w:val="1"/>
      <w:marLeft w:val="0"/>
      <w:marRight w:val="0"/>
      <w:marTop w:val="0"/>
      <w:marBottom w:val="0"/>
      <w:divBdr>
        <w:top w:val="none" w:sz="0" w:space="0" w:color="auto"/>
        <w:left w:val="none" w:sz="0" w:space="0" w:color="auto"/>
        <w:bottom w:val="none" w:sz="0" w:space="0" w:color="auto"/>
        <w:right w:val="none" w:sz="0" w:space="0" w:color="auto"/>
      </w:divBdr>
    </w:div>
    <w:div w:id="430588009">
      <w:bodyDiv w:val="1"/>
      <w:marLeft w:val="0"/>
      <w:marRight w:val="0"/>
      <w:marTop w:val="0"/>
      <w:marBottom w:val="0"/>
      <w:divBdr>
        <w:top w:val="none" w:sz="0" w:space="0" w:color="auto"/>
        <w:left w:val="none" w:sz="0" w:space="0" w:color="auto"/>
        <w:bottom w:val="none" w:sz="0" w:space="0" w:color="auto"/>
        <w:right w:val="none" w:sz="0" w:space="0" w:color="auto"/>
      </w:divBdr>
    </w:div>
    <w:div w:id="432867219">
      <w:bodyDiv w:val="1"/>
      <w:marLeft w:val="0"/>
      <w:marRight w:val="0"/>
      <w:marTop w:val="0"/>
      <w:marBottom w:val="0"/>
      <w:divBdr>
        <w:top w:val="none" w:sz="0" w:space="0" w:color="auto"/>
        <w:left w:val="none" w:sz="0" w:space="0" w:color="auto"/>
        <w:bottom w:val="none" w:sz="0" w:space="0" w:color="auto"/>
        <w:right w:val="none" w:sz="0" w:space="0" w:color="auto"/>
      </w:divBdr>
    </w:div>
    <w:div w:id="441996608">
      <w:bodyDiv w:val="1"/>
      <w:marLeft w:val="0"/>
      <w:marRight w:val="0"/>
      <w:marTop w:val="0"/>
      <w:marBottom w:val="0"/>
      <w:divBdr>
        <w:top w:val="none" w:sz="0" w:space="0" w:color="auto"/>
        <w:left w:val="none" w:sz="0" w:space="0" w:color="auto"/>
        <w:bottom w:val="none" w:sz="0" w:space="0" w:color="auto"/>
        <w:right w:val="none" w:sz="0" w:space="0" w:color="auto"/>
      </w:divBdr>
    </w:div>
    <w:div w:id="446387319">
      <w:bodyDiv w:val="1"/>
      <w:marLeft w:val="0"/>
      <w:marRight w:val="0"/>
      <w:marTop w:val="0"/>
      <w:marBottom w:val="0"/>
      <w:divBdr>
        <w:top w:val="none" w:sz="0" w:space="0" w:color="auto"/>
        <w:left w:val="none" w:sz="0" w:space="0" w:color="auto"/>
        <w:bottom w:val="none" w:sz="0" w:space="0" w:color="auto"/>
        <w:right w:val="none" w:sz="0" w:space="0" w:color="auto"/>
      </w:divBdr>
    </w:div>
    <w:div w:id="447119055">
      <w:bodyDiv w:val="1"/>
      <w:marLeft w:val="0"/>
      <w:marRight w:val="0"/>
      <w:marTop w:val="0"/>
      <w:marBottom w:val="0"/>
      <w:divBdr>
        <w:top w:val="none" w:sz="0" w:space="0" w:color="auto"/>
        <w:left w:val="none" w:sz="0" w:space="0" w:color="auto"/>
        <w:bottom w:val="none" w:sz="0" w:space="0" w:color="auto"/>
        <w:right w:val="none" w:sz="0" w:space="0" w:color="auto"/>
      </w:divBdr>
    </w:div>
    <w:div w:id="447892098">
      <w:bodyDiv w:val="1"/>
      <w:marLeft w:val="0"/>
      <w:marRight w:val="0"/>
      <w:marTop w:val="0"/>
      <w:marBottom w:val="0"/>
      <w:divBdr>
        <w:top w:val="none" w:sz="0" w:space="0" w:color="auto"/>
        <w:left w:val="none" w:sz="0" w:space="0" w:color="auto"/>
        <w:bottom w:val="none" w:sz="0" w:space="0" w:color="auto"/>
        <w:right w:val="none" w:sz="0" w:space="0" w:color="auto"/>
      </w:divBdr>
    </w:div>
    <w:div w:id="450519453">
      <w:bodyDiv w:val="1"/>
      <w:marLeft w:val="0"/>
      <w:marRight w:val="0"/>
      <w:marTop w:val="0"/>
      <w:marBottom w:val="0"/>
      <w:divBdr>
        <w:top w:val="none" w:sz="0" w:space="0" w:color="auto"/>
        <w:left w:val="none" w:sz="0" w:space="0" w:color="auto"/>
        <w:bottom w:val="none" w:sz="0" w:space="0" w:color="auto"/>
        <w:right w:val="none" w:sz="0" w:space="0" w:color="auto"/>
      </w:divBdr>
    </w:div>
    <w:div w:id="474222833">
      <w:bodyDiv w:val="1"/>
      <w:marLeft w:val="0"/>
      <w:marRight w:val="0"/>
      <w:marTop w:val="0"/>
      <w:marBottom w:val="0"/>
      <w:divBdr>
        <w:top w:val="none" w:sz="0" w:space="0" w:color="auto"/>
        <w:left w:val="none" w:sz="0" w:space="0" w:color="auto"/>
        <w:bottom w:val="none" w:sz="0" w:space="0" w:color="auto"/>
        <w:right w:val="none" w:sz="0" w:space="0" w:color="auto"/>
      </w:divBdr>
    </w:div>
    <w:div w:id="484931221">
      <w:bodyDiv w:val="1"/>
      <w:marLeft w:val="0"/>
      <w:marRight w:val="0"/>
      <w:marTop w:val="0"/>
      <w:marBottom w:val="0"/>
      <w:divBdr>
        <w:top w:val="none" w:sz="0" w:space="0" w:color="auto"/>
        <w:left w:val="none" w:sz="0" w:space="0" w:color="auto"/>
        <w:bottom w:val="none" w:sz="0" w:space="0" w:color="auto"/>
        <w:right w:val="none" w:sz="0" w:space="0" w:color="auto"/>
      </w:divBdr>
    </w:div>
    <w:div w:id="503134656">
      <w:bodyDiv w:val="1"/>
      <w:marLeft w:val="0"/>
      <w:marRight w:val="0"/>
      <w:marTop w:val="0"/>
      <w:marBottom w:val="0"/>
      <w:divBdr>
        <w:top w:val="none" w:sz="0" w:space="0" w:color="auto"/>
        <w:left w:val="none" w:sz="0" w:space="0" w:color="auto"/>
        <w:bottom w:val="none" w:sz="0" w:space="0" w:color="auto"/>
        <w:right w:val="none" w:sz="0" w:space="0" w:color="auto"/>
      </w:divBdr>
    </w:div>
    <w:div w:id="506871311">
      <w:bodyDiv w:val="1"/>
      <w:marLeft w:val="0"/>
      <w:marRight w:val="0"/>
      <w:marTop w:val="0"/>
      <w:marBottom w:val="0"/>
      <w:divBdr>
        <w:top w:val="none" w:sz="0" w:space="0" w:color="auto"/>
        <w:left w:val="none" w:sz="0" w:space="0" w:color="auto"/>
        <w:bottom w:val="none" w:sz="0" w:space="0" w:color="auto"/>
        <w:right w:val="none" w:sz="0" w:space="0" w:color="auto"/>
      </w:divBdr>
    </w:div>
    <w:div w:id="512492864">
      <w:bodyDiv w:val="1"/>
      <w:marLeft w:val="0"/>
      <w:marRight w:val="0"/>
      <w:marTop w:val="0"/>
      <w:marBottom w:val="0"/>
      <w:divBdr>
        <w:top w:val="none" w:sz="0" w:space="0" w:color="auto"/>
        <w:left w:val="none" w:sz="0" w:space="0" w:color="auto"/>
        <w:bottom w:val="none" w:sz="0" w:space="0" w:color="auto"/>
        <w:right w:val="none" w:sz="0" w:space="0" w:color="auto"/>
      </w:divBdr>
    </w:div>
    <w:div w:id="523372851">
      <w:bodyDiv w:val="1"/>
      <w:marLeft w:val="0"/>
      <w:marRight w:val="0"/>
      <w:marTop w:val="0"/>
      <w:marBottom w:val="0"/>
      <w:divBdr>
        <w:top w:val="none" w:sz="0" w:space="0" w:color="auto"/>
        <w:left w:val="none" w:sz="0" w:space="0" w:color="auto"/>
        <w:bottom w:val="none" w:sz="0" w:space="0" w:color="auto"/>
        <w:right w:val="none" w:sz="0" w:space="0" w:color="auto"/>
      </w:divBdr>
    </w:div>
    <w:div w:id="529494023">
      <w:bodyDiv w:val="1"/>
      <w:marLeft w:val="0"/>
      <w:marRight w:val="0"/>
      <w:marTop w:val="0"/>
      <w:marBottom w:val="0"/>
      <w:divBdr>
        <w:top w:val="none" w:sz="0" w:space="0" w:color="auto"/>
        <w:left w:val="none" w:sz="0" w:space="0" w:color="auto"/>
        <w:bottom w:val="none" w:sz="0" w:space="0" w:color="auto"/>
        <w:right w:val="none" w:sz="0" w:space="0" w:color="auto"/>
      </w:divBdr>
    </w:div>
    <w:div w:id="530340914">
      <w:bodyDiv w:val="1"/>
      <w:marLeft w:val="0"/>
      <w:marRight w:val="0"/>
      <w:marTop w:val="0"/>
      <w:marBottom w:val="0"/>
      <w:divBdr>
        <w:top w:val="none" w:sz="0" w:space="0" w:color="auto"/>
        <w:left w:val="none" w:sz="0" w:space="0" w:color="auto"/>
        <w:bottom w:val="none" w:sz="0" w:space="0" w:color="auto"/>
        <w:right w:val="none" w:sz="0" w:space="0" w:color="auto"/>
      </w:divBdr>
    </w:div>
    <w:div w:id="534197955">
      <w:bodyDiv w:val="1"/>
      <w:marLeft w:val="0"/>
      <w:marRight w:val="0"/>
      <w:marTop w:val="0"/>
      <w:marBottom w:val="0"/>
      <w:divBdr>
        <w:top w:val="none" w:sz="0" w:space="0" w:color="auto"/>
        <w:left w:val="none" w:sz="0" w:space="0" w:color="auto"/>
        <w:bottom w:val="none" w:sz="0" w:space="0" w:color="auto"/>
        <w:right w:val="none" w:sz="0" w:space="0" w:color="auto"/>
      </w:divBdr>
    </w:div>
    <w:div w:id="537861806">
      <w:bodyDiv w:val="1"/>
      <w:marLeft w:val="0"/>
      <w:marRight w:val="0"/>
      <w:marTop w:val="0"/>
      <w:marBottom w:val="0"/>
      <w:divBdr>
        <w:top w:val="none" w:sz="0" w:space="0" w:color="auto"/>
        <w:left w:val="none" w:sz="0" w:space="0" w:color="auto"/>
        <w:bottom w:val="none" w:sz="0" w:space="0" w:color="auto"/>
        <w:right w:val="none" w:sz="0" w:space="0" w:color="auto"/>
      </w:divBdr>
    </w:div>
    <w:div w:id="538470421">
      <w:bodyDiv w:val="1"/>
      <w:marLeft w:val="0"/>
      <w:marRight w:val="0"/>
      <w:marTop w:val="0"/>
      <w:marBottom w:val="0"/>
      <w:divBdr>
        <w:top w:val="none" w:sz="0" w:space="0" w:color="auto"/>
        <w:left w:val="none" w:sz="0" w:space="0" w:color="auto"/>
        <w:bottom w:val="none" w:sz="0" w:space="0" w:color="auto"/>
        <w:right w:val="none" w:sz="0" w:space="0" w:color="auto"/>
      </w:divBdr>
    </w:div>
    <w:div w:id="545877436">
      <w:bodyDiv w:val="1"/>
      <w:marLeft w:val="0"/>
      <w:marRight w:val="0"/>
      <w:marTop w:val="0"/>
      <w:marBottom w:val="0"/>
      <w:divBdr>
        <w:top w:val="none" w:sz="0" w:space="0" w:color="auto"/>
        <w:left w:val="none" w:sz="0" w:space="0" w:color="auto"/>
        <w:bottom w:val="none" w:sz="0" w:space="0" w:color="auto"/>
        <w:right w:val="none" w:sz="0" w:space="0" w:color="auto"/>
      </w:divBdr>
    </w:div>
    <w:div w:id="558395286">
      <w:bodyDiv w:val="1"/>
      <w:marLeft w:val="0"/>
      <w:marRight w:val="0"/>
      <w:marTop w:val="0"/>
      <w:marBottom w:val="0"/>
      <w:divBdr>
        <w:top w:val="none" w:sz="0" w:space="0" w:color="auto"/>
        <w:left w:val="none" w:sz="0" w:space="0" w:color="auto"/>
        <w:bottom w:val="none" w:sz="0" w:space="0" w:color="auto"/>
        <w:right w:val="none" w:sz="0" w:space="0" w:color="auto"/>
      </w:divBdr>
    </w:div>
    <w:div w:id="564144544">
      <w:bodyDiv w:val="1"/>
      <w:marLeft w:val="0"/>
      <w:marRight w:val="0"/>
      <w:marTop w:val="0"/>
      <w:marBottom w:val="0"/>
      <w:divBdr>
        <w:top w:val="none" w:sz="0" w:space="0" w:color="auto"/>
        <w:left w:val="none" w:sz="0" w:space="0" w:color="auto"/>
        <w:bottom w:val="none" w:sz="0" w:space="0" w:color="auto"/>
        <w:right w:val="none" w:sz="0" w:space="0" w:color="auto"/>
      </w:divBdr>
    </w:div>
    <w:div w:id="570121344">
      <w:bodyDiv w:val="1"/>
      <w:marLeft w:val="0"/>
      <w:marRight w:val="0"/>
      <w:marTop w:val="0"/>
      <w:marBottom w:val="0"/>
      <w:divBdr>
        <w:top w:val="none" w:sz="0" w:space="0" w:color="auto"/>
        <w:left w:val="none" w:sz="0" w:space="0" w:color="auto"/>
        <w:bottom w:val="none" w:sz="0" w:space="0" w:color="auto"/>
        <w:right w:val="none" w:sz="0" w:space="0" w:color="auto"/>
      </w:divBdr>
    </w:div>
    <w:div w:id="622690095">
      <w:bodyDiv w:val="1"/>
      <w:marLeft w:val="0"/>
      <w:marRight w:val="0"/>
      <w:marTop w:val="0"/>
      <w:marBottom w:val="0"/>
      <w:divBdr>
        <w:top w:val="none" w:sz="0" w:space="0" w:color="auto"/>
        <w:left w:val="none" w:sz="0" w:space="0" w:color="auto"/>
        <w:bottom w:val="none" w:sz="0" w:space="0" w:color="auto"/>
        <w:right w:val="none" w:sz="0" w:space="0" w:color="auto"/>
      </w:divBdr>
    </w:div>
    <w:div w:id="639463017">
      <w:bodyDiv w:val="1"/>
      <w:marLeft w:val="0"/>
      <w:marRight w:val="0"/>
      <w:marTop w:val="0"/>
      <w:marBottom w:val="0"/>
      <w:divBdr>
        <w:top w:val="none" w:sz="0" w:space="0" w:color="auto"/>
        <w:left w:val="none" w:sz="0" w:space="0" w:color="auto"/>
        <w:bottom w:val="none" w:sz="0" w:space="0" w:color="auto"/>
        <w:right w:val="none" w:sz="0" w:space="0" w:color="auto"/>
      </w:divBdr>
    </w:div>
    <w:div w:id="640497408">
      <w:bodyDiv w:val="1"/>
      <w:marLeft w:val="0"/>
      <w:marRight w:val="0"/>
      <w:marTop w:val="0"/>
      <w:marBottom w:val="0"/>
      <w:divBdr>
        <w:top w:val="none" w:sz="0" w:space="0" w:color="auto"/>
        <w:left w:val="none" w:sz="0" w:space="0" w:color="auto"/>
        <w:bottom w:val="none" w:sz="0" w:space="0" w:color="auto"/>
        <w:right w:val="none" w:sz="0" w:space="0" w:color="auto"/>
      </w:divBdr>
    </w:div>
    <w:div w:id="645088417">
      <w:bodyDiv w:val="1"/>
      <w:marLeft w:val="0"/>
      <w:marRight w:val="0"/>
      <w:marTop w:val="0"/>
      <w:marBottom w:val="0"/>
      <w:divBdr>
        <w:top w:val="none" w:sz="0" w:space="0" w:color="auto"/>
        <w:left w:val="none" w:sz="0" w:space="0" w:color="auto"/>
        <w:bottom w:val="none" w:sz="0" w:space="0" w:color="auto"/>
        <w:right w:val="none" w:sz="0" w:space="0" w:color="auto"/>
      </w:divBdr>
    </w:div>
    <w:div w:id="647367524">
      <w:bodyDiv w:val="1"/>
      <w:marLeft w:val="0"/>
      <w:marRight w:val="0"/>
      <w:marTop w:val="0"/>
      <w:marBottom w:val="0"/>
      <w:divBdr>
        <w:top w:val="none" w:sz="0" w:space="0" w:color="auto"/>
        <w:left w:val="none" w:sz="0" w:space="0" w:color="auto"/>
        <w:bottom w:val="none" w:sz="0" w:space="0" w:color="auto"/>
        <w:right w:val="none" w:sz="0" w:space="0" w:color="auto"/>
      </w:divBdr>
    </w:div>
    <w:div w:id="654182732">
      <w:bodyDiv w:val="1"/>
      <w:marLeft w:val="0"/>
      <w:marRight w:val="0"/>
      <w:marTop w:val="0"/>
      <w:marBottom w:val="0"/>
      <w:divBdr>
        <w:top w:val="none" w:sz="0" w:space="0" w:color="auto"/>
        <w:left w:val="none" w:sz="0" w:space="0" w:color="auto"/>
        <w:bottom w:val="none" w:sz="0" w:space="0" w:color="auto"/>
        <w:right w:val="none" w:sz="0" w:space="0" w:color="auto"/>
      </w:divBdr>
    </w:div>
    <w:div w:id="657268566">
      <w:bodyDiv w:val="1"/>
      <w:marLeft w:val="0"/>
      <w:marRight w:val="0"/>
      <w:marTop w:val="0"/>
      <w:marBottom w:val="0"/>
      <w:divBdr>
        <w:top w:val="none" w:sz="0" w:space="0" w:color="auto"/>
        <w:left w:val="none" w:sz="0" w:space="0" w:color="auto"/>
        <w:bottom w:val="none" w:sz="0" w:space="0" w:color="auto"/>
        <w:right w:val="none" w:sz="0" w:space="0" w:color="auto"/>
      </w:divBdr>
    </w:div>
    <w:div w:id="670909717">
      <w:bodyDiv w:val="1"/>
      <w:marLeft w:val="0"/>
      <w:marRight w:val="0"/>
      <w:marTop w:val="0"/>
      <w:marBottom w:val="0"/>
      <w:divBdr>
        <w:top w:val="none" w:sz="0" w:space="0" w:color="auto"/>
        <w:left w:val="none" w:sz="0" w:space="0" w:color="auto"/>
        <w:bottom w:val="none" w:sz="0" w:space="0" w:color="auto"/>
        <w:right w:val="none" w:sz="0" w:space="0" w:color="auto"/>
      </w:divBdr>
    </w:div>
    <w:div w:id="689456173">
      <w:bodyDiv w:val="1"/>
      <w:marLeft w:val="0"/>
      <w:marRight w:val="0"/>
      <w:marTop w:val="0"/>
      <w:marBottom w:val="0"/>
      <w:divBdr>
        <w:top w:val="none" w:sz="0" w:space="0" w:color="auto"/>
        <w:left w:val="none" w:sz="0" w:space="0" w:color="auto"/>
        <w:bottom w:val="none" w:sz="0" w:space="0" w:color="auto"/>
        <w:right w:val="none" w:sz="0" w:space="0" w:color="auto"/>
      </w:divBdr>
    </w:div>
    <w:div w:id="698630531">
      <w:bodyDiv w:val="1"/>
      <w:marLeft w:val="0"/>
      <w:marRight w:val="0"/>
      <w:marTop w:val="0"/>
      <w:marBottom w:val="0"/>
      <w:divBdr>
        <w:top w:val="none" w:sz="0" w:space="0" w:color="auto"/>
        <w:left w:val="none" w:sz="0" w:space="0" w:color="auto"/>
        <w:bottom w:val="none" w:sz="0" w:space="0" w:color="auto"/>
        <w:right w:val="none" w:sz="0" w:space="0" w:color="auto"/>
      </w:divBdr>
    </w:div>
    <w:div w:id="710887587">
      <w:bodyDiv w:val="1"/>
      <w:marLeft w:val="0"/>
      <w:marRight w:val="0"/>
      <w:marTop w:val="0"/>
      <w:marBottom w:val="0"/>
      <w:divBdr>
        <w:top w:val="none" w:sz="0" w:space="0" w:color="auto"/>
        <w:left w:val="none" w:sz="0" w:space="0" w:color="auto"/>
        <w:bottom w:val="none" w:sz="0" w:space="0" w:color="auto"/>
        <w:right w:val="none" w:sz="0" w:space="0" w:color="auto"/>
      </w:divBdr>
    </w:div>
    <w:div w:id="711660115">
      <w:bodyDiv w:val="1"/>
      <w:marLeft w:val="0"/>
      <w:marRight w:val="0"/>
      <w:marTop w:val="0"/>
      <w:marBottom w:val="0"/>
      <w:divBdr>
        <w:top w:val="none" w:sz="0" w:space="0" w:color="auto"/>
        <w:left w:val="none" w:sz="0" w:space="0" w:color="auto"/>
        <w:bottom w:val="none" w:sz="0" w:space="0" w:color="auto"/>
        <w:right w:val="none" w:sz="0" w:space="0" w:color="auto"/>
      </w:divBdr>
    </w:div>
    <w:div w:id="715471408">
      <w:bodyDiv w:val="1"/>
      <w:marLeft w:val="0"/>
      <w:marRight w:val="0"/>
      <w:marTop w:val="0"/>
      <w:marBottom w:val="0"/>
      <w:divBdr>
        <w:top w:val="none" w:sz="0" w:space="0" w:color="auto"/>
        <w:left w:val="none" w:sz="0" w:space="0" w:color="auto"/>
        <w:bottom w:val="none" w:sz="0" w:space="0" w:color="auto"/>
        <w:right w:val="none" w:sz="0" w:space="0" w:color="auto"/>
      </w:divBdr>
    </w:div>
    <w:div w:id="749498649">
      <w:bodyDiv w:val="1"/>
      <w:marLeft w:val="0"/>
      <w:marRight w:val="0"/>
      <w:marTop w:val="0"/>
      <w:marBottom w:val="0"/>
      <w:divBdr>
        <w:top w:val="none" w:sz="0" w:space="0" w:color="auto"/>
        <w:left w:val="none" w:sz="0" w:space="0" w:color="auto"/>
        <w:bottom w:val="none" w:sz="0" w:space="0" w:color="auto"/>
        <w:right w:val="none" w:sz="0" w:space="0" w:color="auto"/>
      </w:divBdr>
    </w:div>
    <w:div w:id="751926497">
      <w:bodyDiv w:val="1"/>
      <w:marLeft w:val="0"/>
      <w:marRight w:val="0"/>
      <w:marTop w:val="0"/>
      <w:marBottom w:val="0"/>
      <w:divBdr>
        <w:top w:val="none" w:sz="0" w:space="0" w:color="auto"/>
        <w:left w:val="none" w:sz="0" w:space="0" w:color="auto"/>
        <w:bottom w:val="none" w:sz="0" w:space="0" w:color="auto"/>
        <w:right w:val="none" w:sz="0" w:space="0" w:color="auto"/>
      </w:divBdr>
    </w:div>
    <w:div w:id="754204263">
      <w:bodyDiv w:val="1"/>
      <w:marLeft w:val="0"/>
      <w:marRight w:val="0"/>
      <w:marTop w:val="0"/>
      <w:marBottom w:val="0"/>
      <w:divBdr>
        <w:top w:val="none" w:sz="0" w:space="0" w:color="auto"/>
        <w:left w:val="none" w:sz="0" w:space="0" w:color="auto"/>
        <w:bottom w:val="none" w:sz="0" w:space="0" w:color="auto"/>
        <w:right w:val="none" w:sz="0" w:space="0" w:color="auto"/>
      </w:divBdr>
    </w:div>
    <w:div w:id="777944988">
      <w:bodyDiv w:val="1"/>
      <w:marLeft w:val="0"/>
      <w:marRight w:val="0"/>
      <w:marTop w:val="0"/>
      <w:marBottom w:val="0"/>
      <w:divBdr>
        <w:top w:val="none" w:sz="0" w:space="0" w:color="auto"/>
        <w:left w:val="none" w:sz="0" w:space="0" w:color="auto"/>
        <w:bottom w:val="none" w:sz="0" w:space="0" w:color="auto"/>
        <w:right w:val="none" w:sz="0" w:space="0" w:color="auto"/>
      </w:divBdr>
    </w:div>
    <w:div w:id="789319943">
      <w:bodyDiv w:val="1"/>
      <w:marLeft w:val="0"/>
      <w:marRight w:val="0"/>
      <w:marTop w:val="0"/>
      <w:marBottom w:val="0"/>
      <w:divBdr>
        <w:top w:val="none" w:sz="0" w:space="0" w:color="auto"/>
        <w:left w:val="none" w:sz="0" w:space="0" w:color="auto"/>
        <w:bottom w:val="none" w:sz="0" w:space="0" w:color="auto"/>
        <w:right w:val="none" w:sz="0" w:space="0" w:color="auto"/>
      </w:divBdr>
    </w:div>
    <w:div w:id="800613535">
      <w:bodyDiv w:val="1"/>
      <w:marLeft w:val="0"/>
      <w:marRight w:val="0"/>
      <w:marTop w:val="0"/>
      <w:marBottom w:val="0"/>
      <w:divBdr>
        <w:top w:val="none" w:sz="0" w:space="0" w:color="auto"/>
        <w:left w:val="none" w:sz="0" w:space="0" w:color="auto"/>
        <w:bottom w:val="none" w:sz="0" w:space="0" w:color="auto"/>
        <w:right w:val="none" w:sz="0" w:space="0" w:color="auto"/>
      </w:divBdr>
    </w:div>
    <w:div w:id="802888653">
      <w:bodyDiv w:val="1"/>
      <w:marLeft w:val="0"/>
      <w:marRight w:val="0"/>
      <w:marTop w:val="0"/>
      <w:marBottom w:val="0"/>
      <w:divBdr>
        <w:top w:val="none" w:sz="0" w:space="0" w:color="auto"/>
        <w:left w:val="none" w:sz="0" w:space="0" w:color="auto"/>
        <w:bottom w:val="none" w:sz="0" w:space="0" w:color="auto"/>
        <w:right w:val="none" w:sz="0" w:space="0" w:color="auto"/>
      </w:divBdr>
    </w:div>
    <w:div w:id="803163133">
      <w:bodyDiv w:val="1"/>
      <w:marLeft w:val="0"/>
      <w:marRight w:val="0"/>
      <w:marTop w:val="0"/>
      <w:marBottom w:val="0"/>
      <w:divBdr>
        <w:top w:val="none" w:sz="0" w:space="0" w:color="auto"/>
        <w:left w:val="none" w:sz="0" w:space="0" w:color="auto"/>
        <w:bottom w:val="none" w:sz="0" w:space="0" w:color="auto"/>
        <w:right w:val="none" w:sz="0" w:space="0" w:color="auto"/>
      </w:divBdr>
    </w:div>
    <w:div w:id="810514799">
      <w:bodyDiv w:val="1"/>
      <w:marLeft w:val="0"/>
      <w:marRight w:val="0"/>
      <w:marTop w:val="0"/>
      <w:marBottom w:val="0"/>
      <w:divBdr>
        <w:top w:val="none" w:sz="0" w:space="0" w:color="auto"/>
        <w:left w:val="none" w:sz="0" w:space="0" w:color="auto"/>
        <w:bottom w:val="none" w:sz="0" w:space="0" w:color="auto"/>
        <w:right w:val="none" w:sz="0" w:space="0" w:color="auto"/>
      </w:divBdr>
    </w:div>
    <w:div w:id="818183239">
      <w:bodyDiv w:val="1"/>
      <w:marLeft w:val="0"/>
      <w:marRight w:val="0"/>
      <w:marTop w:val="0"/>
      <w:marBottom w:val="0"/>
      <w:divBdr>
        <w:top w:val="none" w:sz="0" w:space="0" w:color="auto"/>
        <w:left w:val="none" w:sz="0" w:space="0" w:color="auto"/>
        <w:bottom w:val="none" w:sz="0" w:space="0" w:color="auto"/>
        <w:right w:val="none" w:sz="0" w:space="0" w:color="auto"/>
      </w:divBdr>
    </w:div>
    <w:div w:id="820073646">
      <w:bodyDiv w:val="1"/>
      <w:marLeft w:val="0"/>
      <w:marRight w:val="0"/>
      <w:marTop w:val="0"/>
      <w:marBottom w:val="0"/>
      <w:divBdr>
        <w:top w:val="none" w:sz="0" w:space="0" w:color="auto"/>
        <w:left w:val="none" w:sz="0" w:space="0" w:color="auto"/>
        <w:bottom w:val="none" w:sz="0" w:space="0" w:color="auto"/>
        <w:right w:val="none" w:sz="0" w:space="0" w:color="auto"/>
      </w:divBdr>
    </w:div>
    <w:div w:id="825515918">
      <w:bodyDiv w:val="1"/>
      <w:marLeft w:val="0"/>
      <w:marRight w:val="0"/>
      <w:marTop w:val="0"/>
      <w:marBottom w:val="0"/>
      <w:divBdr>
        <w:top w:val="none" w:sz="0" w:space="0" w:color="auto"/>
        <w:left w:val="none" w:sz="0" w:space="0" w:color="auto"/>
        <w:bottom w:val="none" w:sz="0" w:space="0" w:color="auto"/>
        <w:right w:val="none" w:sz="0" w:space="0" w:color="auto"/>
      </w:divBdr>
    </w:div>
    <w:div w:id="831212597">
      <w:bodyDiv w:val="1"/>
      <w:marLeft w:val="0"/>
      <w:marRight w:val="0"/>
      <w:marTop w:val="0"/>
      <w:marBottom w:val="0"/>
      <w:divBdr>
        <w:top w:val="none" w:sz="0" w:space="0" w:color="auto"/>
        <w:left w:val="none" w:sz="0" w:space="0" w:color="auto"/>
        <w:bottom w:val="none" w:sz="0" w:space="0" w:color="auto"/>
        <w:right w:val="none" w:sz="0" w:space="0" w:color="auto"/>
      </w:divBdr>
    </w:div>
    <w:div w:id="839731231">
      <w:bodyDiv w:val="1"/>
      <w:marLeft w:val="0"/>
      <w:marRight w:val="0"/>
      <w:marTop w:val="0"/>
      <w:marBottom w:val="0"/>
      <w:divBdr>
        <w:top w:val="none" w:sz="0" w:space="0" w:color="auto"/>
        <w:left w:val="none" w:sz="0" w:space="0" w:color="auto"/>
        <w:bottom w:val="none" w:sz="0" w:space="0" w:color="auto"/>
        <w:right w:val="none" w:sz="0" w:space="0" w:color="auto"/>
      </w:divBdr>
    </w:div>
    <w:div w:id="841044078">
      <w:bodyDiv w:val="1"/>
      <w:marLeft w:val="0"/>
      <w:marRight w:val="0"/>
      <w:marTop w:val="0"/>
      <w:marBottom w:val="0"/>
      <w:divBdr>
        <w:top w:val="none" w:sz="0" w:space="0" w:color="auto"/>
        <w:left w:val="none" w:sz="0" w:space="0" w:color="auto"/>
        <w:bottom w:val="none" w:sz="0" w:space="0" w:color="auto"/>
        <w:right w:val="none" w:sz="0" w:space="0" w:color="auto"/>
      </w:divBdr>
    </w:div>
    <w:div w:id="851919570">
      <w:bodyDiv w:val="1"/>
      <w:marLeft w:val="0"/>
      <w:marRight w:val="0"/>
      <w:marTop w:val="0"/>
      <w:marBottom w:val="0"/>
      <w:divBdr>
        <w:top w:val="none" w:sz="0" w:space="0" w:color="auto"/>
        <w:left w:val="none" w:sz="0" w:space="0" w:color="auto"/>
        <w:bottom w:val="none" w:sz="0" w:space="0" w:color="auto"/>
        <w:right w:val="none" w:sz="0" w:space="0" w:color="auto"/>
      </w:divBdr>
    </w:div>
    <w:div w:id="857741336">
      <w:bodyDiv w:val="1"/>
      <w:marLeft w:val="0"/>
      <w:marRight w:val="0"/>
      <w:marTop w:val="0"/>
      <w:marBottom w:val="0"/>
      <w:divBdr>
        <w:top w:val="none" w:sz="0" w:space="0" w:color="auto"/>
        <w:left w:val="none" w:sz="0" w:space="0" w:color="auto"/>
        <w:bottom w:val="none" w:sz="0" w:space="0" w:color="auto"/>
        <w:right w:val="none" w:sz="0" w:space="0" w:color="auto"/>
      </w:divBdr>
    </w:div>
    <w:div w:id="858741932">
      <w:bodyDiv w:val="1"/>
      <w:marLeft w:val="0"/>
      <w:marRight w:val="0"/>
      <w:marTop w:val="0"/>
      <w:marBottom w:val="0"/>
      <w:divBdr>
        <w:top w:val="none" w:sz="0" w:space="0" w:color="auto"/>
        <w:left w:val="none" w:sz="0" w:space="0" w:color="auto"/>
        <w:bottom w:val="none" w:sz="0" w:space="0" w:color="auto"/>
        <w:right w:val="none" w:sz="0" w:space="0" w:color="auto"/>
      </w:divBdr>
    </w:div>
    <w:div w:id="885725374">
      <w:bodyDiv w:val="1"/>
      <w:marLeft w:val="0"/>
      <w:marRight w:val="0"/>
      <w:marTop w:val="0"/>
      <w:marBottom w:val="0"/>
      <w:divBdr>
        <w:top w:val="none" w:sz="0" w:space="0" w:color="auto"/>
        <w:left w:val="none" w:sz="0" w:space="0" w:color="auto"/>
        <w:bottom w:val="none" w:sz="0" w:space="0" w:color="auto"/>
        <w:right w:val="none" w:sz="0" w:space="0" w:color="auto"/>
      </w:divBdr>
    </w:div>
    <w:div w:id="889457317">
      <w:bodyDiv w:val="1"/>
      <w:marLeft w:val="0"/>
      <w:marRight w:val="0"/>
      <w:marTop w:val="0"/>
      <w:marBottom w:val="0"/>
      <w:divBdr>
        <w:top w:val="none" w:sz="0" w:space="0" w:color="auto"/>
        <w:left w:val="none" w:sz="0" w:space="0" w:color="auto"/>
        <w:bottom w:val="none" w:sz="0" w:space="0" w:color="auto"/>
        <w:right w:val="none" w:sz="0" w:space="0" w:color="auto"/>
      </w:divBdr>
    </w:div>
    <w:div w:id="905189778">
      <w:bodyDiv w:val="1"/>
      <w:marLeft w:val="0"/>
      <w:marRight w:val="0"/>
      <w:marTop w:val="0"/>
      <w:marBottom w:val="0"/>
      <w:divBdr>
        <w:top w:val="none" w:sz="0" w:space="0" w:color="auto"/>
        <w:left w:val="none" w:sz="0" w:space="0" w:color="auto"/>
        <w:bottom w:val="none" w:sz="0" w:space="0" w:color="auto"/>
        <w:right w:val="none" w:sz="0" w:space="0" w:color="auto"/>
      </w:divBdr>
    </w:div>
    <w:div w:id="911933702">
      <w:bodyDiv w:val="1"/>
      <w:marLeft w:val="0"/>
      <w:marRight w:val="0"/>
      <w:marTop w:val="0"/>
      <w:marBottom w:val="0"/>
      <w:divBdr>
        <w:top w:val="none" w:sz="0" w:space="0" w:color="auto"/>
        <w:left w:val="none" w:sz="0" w:space="0" w:color="auto"/>
        <w:bottom w:val="none" w:sz="0" w:space="0" w:color="auto"/>
        <w:right w:val="none" w:sz="0" w:space="0" w:color="auto"/>
      </w:divBdr>
    </w:div>
    <w:div w:id="934436684">
      <w:bodyDiv w:val="1"/>
      <w:marLeft w:val="0"/>
      <w:marRight w:val="0"/>
      <w:marTop w:val="0"/>
      <w:marBottom w:val="0"/>
      <w:divBdr>
        <w:top w:val="none" w:sz="0" w:space="0" w:color="auto"/>
        <w:left w:val="none" w:sz="0" w:space="0" w:color="auto"/>
        <w:bottom w:val="none" w:sz="0" w:space="0" w:color="auto"/>
        <w:right w:val="none" w:sz="0" w:space="0" w:color="auto"/>
      </w:divBdr>
    </w:div>
    <w:div w:id="950476914">
      <w:bodyDiv w:val="1"/>
      <w:marLeft w:val="0"/>
      <w:marRight w:val="0"/>
      <w:marTop w:val="0"/>
      <w:marBottom w:val="0"/>
      <w:divBdr>
        <w:top w:val="none" w:sz="0" w:space="0" w:color="auto"/>
        <w:left w:val="none" w:sz="0" w:space="0" w:color="auto"/>
        <w:bottom w:val="none" w:sz="0" w:space="0" w:color="auto"/>
        <w:right w:val="none" w:sz="0" w:space="0" w:color="auto"/>
      </w:divBdr>
    </w:div>
    <w:div w:id="984090746">
      <w:bodyDiv w:val="1"/>
      <w:marLeft w:val="0"/>
      <w:marRight w:val="0"/>
      <w:marTop w:val="0"/>
      <w:marBottom w:val="0"/>
      <w:divBdr>
        <w:top w:val="none" w:sz="0" w:space="0" w:color="auto"/>
        <w:left w:val="none" w:sz="0" w:space="0" w:color="auto"/>
        <w:bottom w:val="none" w:sz="0" w:space="0" w:color="auto"/>
        <w:right w:val="none" w:sz="0" w:space="0" w:color="auto"/>
      </w:divBdr>
    </w:div>
    <w:div w:id="1006785817">
      <w:bodyDiv w:val="1"/>
      <w:marLeft w:val="0"/>
      <w:marRight w:val="0"/>
      <w:marTop w:val="0"/>
      <w:marBottom w:val="0"/>
      <w:divBdr>
        <w:top w:val="none" w:sz="0" w:space="0" w:color="auto"/>
        <w:left w:val="none" w:sz="0" w:space="0" w:color="auto"/>
        <w:bottom w:val="none" w:sz="0" w:space="0" w:color="auto"/>
        <w:right w:val="none" w:sz="0" w:space="0" w:color="auto"/>
      </w:divBdr>
    </w:div>
    <w:div w:id="1070035705">
      <w:bodyDiv w:val="1"/>
      <w:marLeft w:val="0"/>
      <w:marRight w:val="0"/>
      <w:marTop w:val="0"/>
      <w:marBottom w:val="0"/>
      <w:divBdr>
        <w:top w:val="none" w:sz="0" w:space="0" w:color="auto"/>
        <w:left w:val="none" w:sz="0" w:space="0" w:color="auto"/>
        <w:bottom w:val="none" w:sz="0" w:space="0" w:color="auto"/>
        <w:right w:val="none" w:sz="0" w:space="0" w:color="auto"/>
      </w:divBdr>
    </w:div>
    <w:div w:id="1086073635">
      <w:bodyDiv w:val="1"/>
      <w:marLeft w:val="0"/>
      <w:marRight w:val="0"/>
      <w:marTop w:val="0"/>
      <w:marBottom w:val="0"/>
      <w:divBdr>
        <w:top w:val="none" w:sz="0" w:space="0" w:color="auto"/>
        <w:left w:val="none" w:sz="0" w:space="0" w:color="auto"/>
        <w:bottom w:val="none" w:sz="0" w:space="0" w:color="auto"/>
        <w:right w:val="none" w:sz="0" w:space="0" w:color="auto"/>
      </w:divBdr>
    </w:div>
    <w:div w:id="1094663469">
      <w:bodyDiv w:val="1"/>
      <w:marLeft w:val="0"/>
      <w:marRight w:val="0"/>
      <w:marTop w:val="0"/>
      <w:marBottom w:val="0"/>
      <w:divBdr>
        <w:top w:val="none" w:sz="0" w:space="0" w:color="auto"/>
        <w:left w:val="none" w:sz="0" w:space="0" w:color="auto"/>
        <w:bottom w:val="none" w:sz="0" w:space="0" w:color="auto"/>
        <w:right w:val="none" w:sz="0" w:space="0" w:color="auto"/>
      </w:divBdr>
    </w:div>
    <w:div w:id="1104351277">
      <w:bodyDiv w:val="1"/>
      <w:marLeft w:val="0"/>
      <w:marRight w:val="0"/>
      <w:marTop w:val="0"/>
      <w:marBottom w:val="0"/>
      <w:divBdr>
        <w:top w:val="none" w:sz="0" w:space="0" w:color="auto"/>
        <w:left w:val="none" w:sz="0" w:space="0" w:color="auto"/>
        <w:bottom w:val="none" w:sz="0" w:space="0" w:color="auto"/>
        <w:right w:val="none" w:sz="0" w:space="0" w:color="auto"/>
      </w:divBdr>
    </w:div>
    <w:div w:id="1119110951">
      <w:bodyDiv w:val="1"/>
      <w:marLeft w:val="0"/>
      <w:marRight w:val="0"/>
      <w:marTop w:val="0"/>
      <w:marBottom w:val="0"/>
      <w:divBdr>
        <w:top w:val="none" w:sz="0" w:space="0" w:color="auto"/>
        <w:left w:val="none" w:sz="0" w:space="0" w:color="auto"/>
        <w:bottom w:val="none" w:sz="0" w:space="0" w:color="auto"/>
        <w:right w:val="none" w:sz="0" w:space="0" w:color="auto"/>
      </w:divBdr>
    </w:div>
    <w:div w:id="1151605378">
      <w:bodyDiv w:val="1"/>
      <w:marLeft w:val="0"/>
      <w:marRight w:val="0"/>
      <w:marTop w:val="0"/>
      <w:marBottom w:val="0"/>
      <w:divBdr>
        <w:top w:val="none" w:sz="0" w:space="0" w:color="auto"/>
        <w:left w:val="none" w:sz="0" w:space="0" w:color="auto"/>
        <w:bottom w:val="none" w:sz="0" w:space="0" w:color="auto"/>
        <w:right w:val="none" w:sz="0" w:space="0" w:color="auto"/>
      </w:divBdr>
    </w:div>
    <w:div w:id="1168521859">
      <w:bodyDiv w:val="1"/>
      <w:marLeft w:val="0"/>
      <w:marRight w:val="0"/>
      <w:marTop w:val="0"/>
      <w:marBottom w:val="0"/>
      <w:divBdr>
        <w:top w:val="none" w:sz="0" w:space="0" w:color="auto"/>
        <w:left w:val="none" w:sz="0" w:space="0" w:color="auto"/>
        <w:bottom w:val="none" w:sz="0" w:space="0" w:color="auto"/>
        <w:right w:val="none" w:sz="0" w:space="0" w:color="auto"/>
      </w:divBdr>
    </w:div>
    <w:div w:id="1176967016">
      <w:bodyDiv w:val="1"/>
      <w:marLeft w:val="0"/>
      <w:marRight w:val="0"/>
      <w:marTop w:val="0"/>
      <w:marBottom w:val="0"/>
      <w:divBdr>
        <w:top w:val="none" w:sz="0" w:space="0" w:color="auto"/>
        <w:left w:val="none" w:sz="0" w:space="0" w:color="auto"/>
        <w:bottom w:val="none" w:sz="0" w:space="0" w:color="auto"/>
        <w:right w:val="none" w:sz="0" w:space="0" w:color="auto"/>
      </w:divBdr>
    </w:div>
    <w:div w:id="1190991809">
      <w:bodyDiv w:val="1"/>
      <w:marLeft w:val="0"/>
      <w:marRight w:val="0"/>
      <w:marTop w:val="0"/>
      <w:marBottom w:val="0"/>
      <w:divBdr>
        <w:top w:val="none" w:sz="0" w:space="0" w:color="auto"/>
        <w:left w:val="none" w:sz="0" w:space="0" w:color="auto"/>
        <w:bottom w:val="none" w:sz="0" w:space="0" w:color="auto"/>
        <w:right w:val="none" w:sz="0" w:space="0" w:color="auto"/>
      </w:divBdr>
    </w:div>
    <w:div w:id="1201671955">
      <w:bodyDiv w:val="1"/>
      <w:marLeft w:val="0"/>
      <w:marRight w:val="0"/>
      <w:marTop w:val="0"/>
      <w:marBottom w:val="0"/>
      <w:divBdr>
        <w:top w:val="none" w:sz="0" w:space="0" w:color="auto"/>
        <w:left w:val="none" w:sz="0" w:space="0" w:color="auto"/>
        <w:bottom w:val="none" w:sz="0" w:space="0" w:color="auto"/>
        <w:right w:val="none" w:sz="0" w:space="0" w:color="auto"/>
      </w:divBdr>
    </w:div>
    <w:div w:id="1231695017">
      <w:bodyDiv w:val="1"/>
      <w:marLeft w:val="0"/>
      <w:marRight w:val="0"/>
      <w:marTop w:val="0"/>
      <w:marBottom w:val="0"/>
      <w:divBdr>
        <w:top w:val="none" w:sz="0" w:space="0" w:color="auto"/>
        <w:left w:val="none" w:sz="0" w:space="0" w:color="auto"/>
        <w:bottom w:val="none" w:sz="0" w:space="0" w:color="auto"/>
        <w:right w:val="none" w:sz="0" w:space="0" w:color="auto"/>
      </w:divBdr>
    </w:div>
    <w:div w:id="1286539646">
      <w:bodyDiv w:val="1"/>
      <w:marLeft w:val="0"/>
      <w:marRight w:val="0"/>
      <w:marTop w:val="0"/>
      <w:marBottom w:val="0"/>
      <w:divBdr>
        <w:top w:val="none" w:sz="0" w:space="0" w:color="auto"/>
        <w:left w:val="none" w:sz="0" w:space="0" w:color="auto"/>
        <w:bottom w:val="none" w:sz="0" w:space="0" w:color="auto"/>
        <w:right w:val="none" w:sz="0" w:space="0" w:color="auto"/>
      </w:divBdr>
    </w:div>
    <w:div w:id="1287199954">
      <w:bodyDiv w:val="1"/>
      <w:marLeft w:val="0"/>
      <w:marRight w:val="0"/>
      <w:marTop w:val="0"/>
      <w:marBottom w:val="0"/>
      <w:divBdr>
        <w:top w:val="none" w:sz="0" w:space="0" w:color="auto"/>
        <w:left w:val="none" w:sz="0" w:space="0" w:color="auto"/>
        <w:bottom w:val="none" w:sz="0" w:space="0" w:color="auto"/>
        <w:right w:val="none" w:sz="0" w:space="0" w:color="auto"/>
      </w:divBdr>
    </w:div>
    <w:div w:id="1292635760">
      <w:bodyDiv w:val="1"/>
      <w:marLeft w:val="0"/>
      <w:marRight w:val="0"/>
      <w:marTop w:val="0"/>
      <w:marBottom w:val="0"/>
      <w:divBdr>
        <w:top w:val="none" w:sz="0" w:space="0" w:color="auto"/>
        <w:left w:val="none" w:sz="0" w:space="0" w:color="auto"/>
        <w:bottom w:val="none" w:sz="0" w:space="0" w:color="auto"/>
        <w:right w:val="none" w:sz="0" w:space="0" w:color="auto"/>
      </w:divBdr>
    </w:div>
    <w:div w:id="1293293754">
      <w:bodyDiv w:val="1"/>
      <w:marLeft w:val="0"/>
      <w:marRight w:val="0"/>
      <w:marTop w:val="0"/>
      <w:marBottom w:val="0"/>
      <w:divBdr>
        <w:top w:val="none" w:sz="0" w:space="0" w:color="auto"/>
        <w:left w:val="none" w:sz="0" w:space="0" w:color="auto"/>
        <w:bottom w:val="none" w:sz="0" w:space="0" w:color="auto"/>
        <w:right w:val="none" w:sz="0" w:space="0" w:color="auto"/>
      </w:divBdr>
    </w:div>
    <w:div w:id="1302004813">
      <w:bodyDiv w:val="1"/>
      <w:marLeft w:val="0"/>
      <w:marRight w:val="0"/>
      <w:marTop w:val="0"/>
      <w:marBottom w:val="0"/>
      <w:divBdr>
        <w:top w:val="none" w:sz="0" w:space="0" w:color="auto"/>
        <w:left w:val="none" w:sz="0" w:space="0" w:color="auto"/>
        <w:bottom w:val="none" w:sz="0" w:space="0" w:color="auto"/>
        <w:right w:val="none" w:sz="0" w:space="0" w:color="auto"/>
      </w:divBdr>
    </w:div>
    <w:div w:id="1314528849">
      <w:bodyDiv w:val="1"/>
      <w:marLeft w:val="0"/>
      <w:marRight w:val="0"/>
      <w:marTop w:val="0"/>
      <w:marBottom w:val="0"/>
      <w:divBdr>
        <w:top w:val="none" w:sz="0" w:space="0" w:color="auto"/>
        <w:left w:val="none" w:sz="0" w:space="0" w:color="auto"/>
        <w:bottom w:val="none" w:sz="0" w:space="0" w:color="auto"/>
        <w:right w:val="none" w:sz="0" w:space="0" w:color="auto"/>
      </w:divBdr>
    </w:div>
    <w:div w:id="1318264184">
      <w:bodyDiv w:val="1"/>
      <w:marLeft w:val="0"/>
      <w:marRight w:val="0"/>
      <w:marTop w:val="0"/>
      <w:marBottom w:val="0"/>
      <w:divBdr>
        <w:top w:val="none" w:sz="0" w:space="0" w:color="auto"/>
        <w:left w:val="none" w:sz="0" w:space="0" w:color="auto"/>
        <w:bottom w:val="none" w:sz="0" w:space="0" w:color="auto"/>
        <w:right w:val="none" w:sz="0" w:space="0" w:color="auto"/>
      </w:divBdr>
    </w:div>
    <w:div w:id="1324549091">
      <w:bodyDiv w:val="1"/>
      <w:marLeft w:val="0"/>
      <w:marRight w:val="0"/>
      <w:marTop w:val="0"/>
      <w:marBottom w:val="0"/>
      <w:divBdr>
        <w:top w:val="none" w:sz="0" w:space="0" w:color="auto"/>
        <w:left w:val="none" w:sz="0" w:space="0" w:color="auto"/>
        <w:bottom w:val="none" w:sz="0" w:space="0" w:color="auto"/>
        <w:right w:val="none" w:sz="0" w:space="0" w:color="auto"/>
      </w:divBdr>
    </w:div>
    <w:div w:id="1336110979">
      <w:bodyDiv w:val="1"/>
      <w:marLeft w:val="0"/>
      <w:marRight w:val="0"/>
      <w:marTop w:val="0"/>
      <w:marBottom w:val="0"/>
      <w:divBdr>
        <w:top w:val="none" w:sz="0" w:space="0" w:color="auto"/>
        <w:left w:val="none" w:sz="0" w:space="0" w:color="auto"/>
        <w:bottom w:val="none" w:sz="0" w:space="0" w:color="auto"/>
        <w:right w:val="none" w:sz="0" w:space="0" w:color="auto"/>
      </w:divBdr>
    </w:div>
    <w:div w:id="1340810449">
      <w:bodyDiv w:val="1"/>
      <w:marLeft w:val="0"/>
      <w:marRight w:val="0"/>
      <w:marTop w:val="0"/>
      <w:marBottom w:val="0"/>
      <w:divBdr>
        <w:top w:val="none" w:sz="0" w:space="0" w:color="auto"/>
        <w:left w:val="none" w:sz="0" w:space="0" w:color="auto"/>
        <w:bottom w:val="none" w:sz="0" w:space="0" w:color="auto"/>
        <w:right w:val="none" w:sz="0" w:space="0" w:color="auto"/>
      </w:divBdr>
    </w:div>
    <w:div w:id="1346204179">
      <w:bodyDiv w:val="1"/>
      <w:marLeft w:val="0"/>
      <w:marRight w:val="0"/>
      <w:marTop w:val="0"/>
      <w:marBottom w:val="0"/>
      <w:divBdr>
        <w:top w:val="none" w:sz="0" w:space="0" w:color="auto"/>
        <w:left w:val="none" w:sz="0" w:space="0" w:color="auto"/>
        <w:bottom w:val="none" w:sz="0" w:space="0" w:color="auto"/>
        <w:right w:val="none" w:sz="0" w:space="0" w:color="auto"/>
      </w:divBdr>
    </w:div>
    <w:div w:id="1362129902">
      <w:bodyDiv w:val="1"/>
      <w:marLeft w:val="0"/>
      <w:marRight w:val="0"/>
      <w:marTop w:val="0"/>
      <w:marBottom w:val="0"/>
      <w:divBdr>
        <w:top w:val="none" w:sz="0" w:space="0" w:color="auto"/>
        <w:left w:val="none" w:sz="0" w:space="0" w:color="auto"/>
        <w:bottom w:val="none" w:sz="0" w:space="0" w:color="auto"/>
        <w:right w:val="none" w:sz="0" w:space="0" w:color="auto"/>
      </w:divBdr>
    </w:div>
    <w:div w:id="1365666752">
      <w:bodyDiv w:val="1"/>
      <w:marLeft w:val="0"/>
      <w:marRight w:val="0"/>
      <w:marTop w:val="0"/>
      <w:marBottom w:val="0"/>
      <w:divBdr>
        <w:top w:val="none" w:sz="0" w:space="0" w:color="auto"/>
        <w:left w:val="none" w:sz="0" w:space="0" w:color="auto"/>
        <w:bottom w:val="none" w:sz="0" w:space="0" w:color="auto"/>
        <w:right w:val="none" w:sz="0" w:space="0" w:color="auto"/>
      </w:divBdr>
    </w:div>
    <w:div w:id="1373268002">
      <w:bodyDiv w:val="1"/>
      <w:marLeft w:val="0"/>
      <w:marRight w:val="0"/>
      <w:marTop w:val="0"/>
      <w:marBottom w:val="0"/>
      <w:divBdr>
        <w:top w:val="none" w:sz="0" w:space="0" w:color="auto"/>
        <w:left w:val="none" w:sz="0" w:space="0" w:color="auto"/>
        <w:bottom w:val="none" w:sz="0" w:space="0" w:color="auto"/>
        <w:right w:val="none" w:sz="0" w:space="0" w:color="auto"/>
      </w:divBdr>
    </w:div>
    <w:div w:id="1383284983">
      <w:bodyDiv w:val="1"/>
      <w:marLeft w:val="0"/>
      <w:marRight w:val="0"/>
      <w:marTop w:val="0"/>
      <w:marBottom w:val="0"/>
      <w:divBdr>
        <w:top w:val="none" w:sz="0" w:space="0" w:color="auto"/>
        <w:left w:val="none" w:sz="0" w:space="0" w:color="auto"/>
        <w:bottom w:val="none" w:sz="0" w:space="0" w:color="auto"/>
        <w:right w:val="none" w:sz="0" w:space="0" w:color="auto"/>
      </w:divBdr>
    </w:div>
    <w:div w:id="1386371498">
      <w:bodyDiv w:val="1"/>
      <w:marLeft w:val="0"/>
      <w:marRight w:val="0"/>
      <w:marTop w:val="0"/>
      <w:marBottom w:val="0"/>
      <w:divBdr>
        <w:top w:val="none" w:sz="0" w:space="0" w:color="auto"/>
        <w:left w:val="none" w:sz="0" w:space="0" w:color="auto"/>
        <w:bottom w:val="none" w:sz="0" w:space="0" w:color="auto"/>
        <w:right w:val="none" w:sz="0" w:space="0" w:color="auto"/>
      </w:divBdr>
    </w:div>
    <w:div w:id="1397633146">
      <w:bodyDiv w:val="1"/>
      <w:marLeft w:val="0"/>
      <w:marRight w:val="0"/>
      <w:marTop w:val="0"/>
      <w:marBottom w:val="0"/>
      <w:divBdr>
        <w:top w:val="none" w:sz="0" w:space="0" w:color="auto"/>
        <w:left w:val="none" w:sz="0" w:space="0" w:color="auto"/>
        <w:bottom w:val="none" w:sz="0" w:space="0" w:color="auto"/>
        <w:right w:val="none" w:sz="0" w:space="0" w:color="auto"/>
      </w:divBdr>
    </w:div>
    <w:div w:id="1406999613">
      <w:bodyDiv w:val="1"/>
      <w:marLeft w:val="0"/>
      <w:marRight w:val="0"/>
      <w:marTop w:val="0"/>
      <w:marBottom w:val="0"/>
      <w:divBdr>
        <w:top w:val="none" w:sz="0" w:space="0" w:color="auto"/>
        <w:left w:val="none" w:sz="0" w:space="0" w:color="auto"/>
        <w:bottom w:val="none" w:sz="0" w:space="0" w:color="auto"/>
        <w:right w:val="none" w:sz="0" w:space="0" w:color="auto"/>
      </w:divBdr>
    </w:div>
    <w:div w:id="1413508396">
      <w:bodyDiv w:val="1"/>
      <w:marLeft w:val="0"/>
      <w:marRight w:val="0"/>
      <w:marTop w:val="0"/>
      <w:marBottom w:val="0"/>
      <w:divBdr>
        <w:top w:val="none" w:sz="0" w:space="0" w:color="auto"/>
        <w:left w:val="none" w:sz="0" w:space="0" w:color="auto"/>
        <w:bottom w:val="none" w:sz="0" w:space="0" w:color="auto"/>
        <w:right w:val="none" w:sz="0" w:space="0" w:color="auto"/>
      </w:divBdr>
    </w:div>
    <w:div w:id="1437093207">
      <w:bodyDiv w:val="1"/>
      <w:marLeft w:val="0"/>
      <w:marRight w:val="0"/>
      <w:marTop w:val="0"/>
      <w:marBottom w:val="0"/>
      <w:divBdr>
        <w:top w:val="none" w:sz="0" w:space="0" w:color="auto"/>
        <w:left w:val="none" w:sz="0" w:space="0" w:color="auto"/>
        <w:bottom w:val="none" w:sz="0" w:space="0" w:color="auto"/>
        <w:right w:val="none" w:sz="0" w:space="0" w:color="auto"/>
      </w:divBdr>
    </w:div>
    <w:div w:id="1438870384">
      <w:bodyDiv w:val="1"/>
      <w:marLeft w:val="0"/>
      <w:marRight w:val="0"/>
      <w:marTop w:val="0"/>
      <w:marBottom w:val="0"/>
      <w:divBdr>
        <w:top w:val="none" w:sz="0" w:space="0" w:color="auto"/>
        <w:left w:val="none" w:sz="0" w:space="0" w:color="auto"/>
        <w:bottom w:val="none" w:sz="0" w:space="0" w:color="auto"/>
        <w:right w:val="none" w:sz="0" w:space="0" w:color="auto"/>
      </w:divBdr>
    </w:div>
    <w:div w:id="1462380030">
      <w:bodyDiv w:val="1"/>
      <w:marLeft w:val="0"/>
      <w:marRight w:val="0"/>
      <w:marTop w:val="0"/>
      <w:marBottom w:val="0"/>
      <w:divBdr>
        <w:top w:val="none" w:sz="0" w:space="0" w:color="auto"/>
        <w:left w:val="none" w:sz="0" w:space="0" w:color="auto"/>
        <w:bottom w:val="none" w:sz="0" w:space="0" w:color="auto"/>
        <w:right w:val="none" w:sz="0" w:space="0" w:color="auto"/>
      </w:divBdr>
    </w:div>
    <w:div w:id="1462768314">
      <w:bodyDiv w:val="1"/>
      <w:marLeft w:val="0"/>
      <w:marRight w:val="0"/>
      <w:marTop w:val="0"/>
      <w:marBottom w:val="0"/>
      <w:divBdr>
        <w:top w:val="none" w:sz="0" w:space="0" w:color="auto"/>
        <w:left w:val="none" w:sz="0" w:space="0" w:color="auto"/>
        <w:bottom w:val="none" w:sz="0" w:space="0" w:color="auto"/>
        <w:right w:val="none" w:sz="0" w:space="0" w:color="auto"/>
      </w:divBdr>
    </w:div>
    <w:div w:id="1473477892">
      <w:bodyDiv w:val="1"/>
      <w:marLeft w:val="0"/>
      <w:marRight w:val="0"/>
      <w:marTop w:val="0"/>
      <w:marBottom w:val="0"/>
      <w:divBdr>
        <w:top w:val="none" w:sz="0" w:space="0" w:color="auto"/>
        <w:left w:val="none" w:sz="0" w:space="0" w:color="auto"/>
        <w:bottom w:val="none" w:sz="0" w:space="0" w:color="auto"/>
        <w:right w:val="none" w:sz="0" w:space="0" w:color="auto"/>
      </w:divBdr>
    </w:div>
    <w:div w:id="1475021486">
      <w:bodyDiv w:val="1"/>
      <w:marLeft w:val="0"/>
      <w:marRight w:val="0"/>
      <w:marTop w:val="0"/>
      <w:marBottom w:val="0"/>
      <w:divBdr>
        <w:top w:val="none" w:sz="0" w:space="0" w:color="auto"/>
        <w:left w:val="none" w:sz="0" w:space="0" w:color="auto"/>
        <w:bottom w:val="none" w:sz="0" w:space="0" w:color="auto"/>
        <w:right w:val="none" w:sz="0" w:space="0" w:color="auto"/>
      </w:divBdr>
    </w:div>
    <w:div w:id="1504316462">
      <w:bodyDiv w:val="1"/>
      <w:marLeft w:val="0"/>
      <w:marRight w:val="0"/>
      <w:marTop w:val="0"/>
      <w:marBottom w:val="0"/>
      <w:divBdr>
        <w:top w:val="none" w:sz="0" w:space="0" w:color="auto"/>
        <w:left w:val="none" w:sz="0" w:space="0" w:color="auto"/>
        <w:bottom w:val="none" w:sz="0" w:space="0" w:color="auto"/>
        <w:right w:val="none" w:sz="0" w:space="0" w:color="auto"/>
      </w:divBdr>
    </w:div>
    <w:div w:id="1504853110">
      <w:bodyDiv w:val="1"/>
      <w:marLeft w:val="0"/>
      <w:marRight w:val="0"/>
      <w:marTop w:val="0"/>
      <w:marBottom w:val="0"/>
      <w:divBdr>
        <w:top w:val="none" w:sz="0" w:space="0" w:color="auto"/>
        <w:left w:val="none" w:sz="0" w:space="0" w:color="auto"/>
        <w:bottom w:val="none" w:sz="0" w:space="0" w:color="auto"/>
        <w:right w:val="none" w:sz="0" w:space="0" w:color="auto"/>
      </w:divBdr>
    </w:div>
    <w:div w:id="1520969865">
      <w:bodyDiv w:val="1"/>
      <w:marLeft w:val="0"/>
      <w:marRight w:val="0"/>
      <w:marTop w:val="0"/>
      <w:marBottom w:val="0"/>
      <w:divBdr>
        <w:top w:val="none" w:sz="0" w:space="0" w:color="auto"/>
        <w:left w:val="none" w:sz="0" w:space="0" w:color="auto"/>
        <w:bottom w:val="none" w:sz="0" w:space="0" w:color="auto"/>
        <w:right w:val="none" w:sz="0" w:space="0" w:color="auto"/>
      </w:divBdr>
    </w:div>
    <w:div w:id="1527594386">
      <w:bodyDiv w:val="1"/>
      <w:marLeft w:val="0"/>
      <w:marRight w:val="0"/>
      <w:marTop w:val="0"/>
      <w:marBottom w:val="0"/>
      <w:divBdr>
        <w:top w:val="none" w:sz="0" w:space="0" w:color="auto"/>
        <w:left w:val="none" w:sz="0" w:space="0" w:color="auto"/>
        <w:bottom w:val="none" w:sz="0" w:space="0" w:color="auto"/>
        <w:right w:val="none" w:sz="0" w:space="0" w:color="auto"/>
      </w:divBdr>
    </w:div>
    <w:div w:id="1528715477">
      <w:bodyDiv w:val="1"/>
      <w:marLeft w:val="0"/>
      <w:marRight w:val="0"/>
      <w:marTop w:val="0"/>
      <w:marBottom w:val="0"/>
      <w:divBdr>
        <w:top w:val="none" w:sz="0" w:space="0" w:color="auto"/>
        <w:left w:val="none" w:sz="0" w:space="0" w:color="auto"/>
        <w:bottom w:val="none" w:sz="0" w:space="0" w:color="auto"/>
        <w:right w:val="none" w:sz="0" w:space="0" w:color="auto"/>
      </w:divBdr>
    </w:div>
    <w:div w:id="1530222584">
      <w:bodyDiv w:val="1"/>
      <w:marLeft w:val="0"/>
      <w:marRight w:val="0"/>
      <w:marTop w:val="0"/>
      <w:marBottom w:val="0"/>
      <w:divBdr>
        <w:top w:val="none" w:sz="0" w:space="0" w:color="auto"/>
        <w:left w:val="none" w:sz="0" w:space="0" w:color="auto"/>
        <w:bottom w:val="none" w:sz="0" w:space="0" w:color="auto"/>
        <w:right w:val="none" w:sz="0" w:space="0" w:color="auto"/>
      </w:divBdr>
    </w:div>
    <w:div w:id="1542789205">
      <w:bodyDiv w:val="1"/>
      <w:marLeft w:val="0"/>
      <w:marRight w:val="0"/>
      <w:marTop w:val="0"/>
      <w:marBottom w:val="0"/>
      <w:divBdr>
        <w:top w:val="none" w:sz="0" w:space="0" w:color="auto"/>
        <w:left w:val="none" w:sz="0" w:space="0" w:color="auto"/>
        <w:bottom w:val="none" w:sz="0" w:space="0" w:color="auto"/>
        <w:right w:val="none" w:sz="0" w:space="0" w:color="auto"/>
      </w:divBdr>
    </w:div>
    <w:div w:id="1555116335">
      <w:bodyDiv w:val="1"/>
      <w:marLeft w:val="0"/>
      <w:marRight w:val="0"/>
      <w:marTop w:val="0"/>
      <w:marBottom w:val="0"/>
      <w:divBdr>
        <w:top w:val="none" w:sz="0" w:space="0" w:color="auto"/>
        <w:left w:val="none" w:sz="0" w:space="0" w:color="auto"/>
        <w:bottom w:val="none" w:sz="0" w:space="0" w:color="auto"/>
        <w:right w:val="none" w:sz="0" w:space="0" w:color="auto"/>
      </w:divBdr>
    </w:div>
    <w:div w:id="1560939423">
      <w:bodyDiv w:val="1"/>
      <w:marLeft w:val="0"/>
      <w:marRight w:val="0"/>
      <w:marTop w:val="0"/>
      <w:marBottom w:val="0"/>
      <w:divBdr>
        <w:top w:val="none" w:sz="0" w:space="0" w:color="auto"/>
        <w:left w:val="none" w:sz="0" w:space="0" w:color="auto"/>
        <w:bottom w:val="none" w:sz="0" w:space="0" w:color="auto"/>
        <w:right w:val="none" w:sz="0" w:space="0" w:color="auto"/>
      </w:divBdr>
    </w:div>
    <w:div w:id="1568690701">
      <w:bodyDiv w:val="1"/>
      <w:marLeft w:val="0"/>
      <w:marRight w:val="0"/>
      <w:marTop w:val="0"/>
      <w:marBottom w:val="0"/>
      <w:divBdr>
        <w:top w:val="none" w:sz="0" w:space="0" w:color="auto"/>
        <w:left w:val="none" w:sz="0" w:space="0" w:color="auto"/>
        <w:bottom w:val="none" w:sz="0" w:space="0" w:color="auto"/>
        <w:right w:val="none" w:sz="0" w:space="0" w:color="auto"/>
      </w:divBdr>
    </w:div>
    <w:div w:id="1570774748">
      <w:bodyDiv w:val="1"/>
      <w:marLeft w:val="0"/>
      <w:marRight w:val="0"/>
      <w:marTop w:val="0"/>
      <w:marBottom w:val="0"/>
      <w:divBdr>
        <w:top w:val="none" w:sz="0" w:space="0" w:color="auto"/>
        <w:left w:val="none" w:sz="0" w:space="0" w:color="auto"/>
        <w:bottom w:val="none" w:sz="0" w:space="0" w:color="auto"/>
        <w:right w:val="none" w:sz="0" w:space="0" w:color="auto"/>
      </w:divBdr>
    </w:div>
    <w:div w:id="1575433546">
      <w:bodyDiv w:val="1"/>
      <w:marLeft w:val="0"/>
      <w:marRight w:val="0"/>
      <w:marTop w:val="0"/>
      <w:marBottom w:val="0"/>
      <w:divBdr>
        <w:top w:val="none" w:sz="0" w:space="0" w:color="auto"/>
        <w:left w:val="none" w:sz="0" w:space="0" w:color="auto"/>
        <w:bottom w:val="none" w:sz="0" w:space="0" w:color="auto"/>
        <w:right w:val="none" w:sz="0" w:space="0" w:color="auto"/>
      </w:divBdr>
    </w:div>
    <w:div w:id="1585842983">
      <w:bodyDiv w:val="1"/>
      <w:marLeft w:val="0"/>
      <w:marRight w:val="0"/>
      <w:marTop w:val="0"/>
      <w:marBottom w:val="0"/>
      <w:divBdr>
        <w:top w:val="none" w:sz="0" w:space="0" w:color="auto"/>
        <w:left w:val="none" w:sz="0" w:space="0" w:color="auto"/>
        <w:bottom w:val="none" w:sz="0" w:space="0" w:color="auto"/>
        <w:right w:val="none" w:sz="0" w:space="0" w:color="auto"/>
      </w:divBdr>
    </w:div>
    <w:div w:id="1590195945">
      <w:bodyDiv w:val="1"/>
      <w:marLeft w:val="0"/>
      <w:marRight w:val="0"/>
      <w:marTop w:val="0"/>
      <w:marBottom w:val="0"/>
      <w:divBdr>
        <w:top w:val="none" w:sz="0" w:space="0" w:color="auto"/>
        <w:left w:val="none" w:sz="0" w:space="0" w:color="auto"/>
        <w:bottom w:val="none" w:sz="0" w:space="0" w:color="auto"/>
        <w:right w:val="none" w:sz="0" w:space="0" w:color="auto"/>
      </w:divBdr>
    </w:div>
    <w:div w:id="1591156850">
      <w:bodyDiv w:val="1"/>
      <w:marLeft w:val="0"/>
      <w:marRight w:val="0"/>
      <w:marTop w:val="0"/>
      <w:marBottom w:val="0"/>
      <w:divBdr>
        <w:top w:val="none" w:sz="0" w:space="0" w:color="auto"/>
        <w:left w:val="none" w:sz="0" w:space="0" w:color="auto"/>
        <w:bottom w:val="none" w:sz="0" w:space="0" w:color="auto"/>
        <w:right w:val="none" w:sz="0" w:space="0" w:color="auto"/>
      </w:divBdr>
    </w:div>
    <w:div w:id="1601447544">
      <w:bodyDiv w:val="1"/>
      <w:marLeft w:val="0"/>
      <w:marRight w:val="0"/>
      <w:marTop w:val="0"/>
      <w:marBottom w:val="0"/>
      <w:divBdr>
        <w:top w:val="none" w:sz="0" w:space="0" w:color="auto"/>
        <w:left w:val="none" w:sz="0" w:space="0" w:color="auto"/>
        <w:bottom w:val="none" w:sz="0" w:space="0" w:color="auto"/>
        <w:right w:val="none" w:sz="0" w:space="0" w:color="auto"/>
      </w:divBdr>
    </w:div>
    <w:div w:id="1601452609">
      <w:bodyDiv w:val="1"/>
      <w:marLeft w:val="0"/>
      <w:marRight w:val="0"/>
      <w:marTop w:val="0"/>
      <w:marBottom w:val="0"/>
      <w:divBdr>
        <w:top w:val="none" w:sz="0" w:space="0" w:color="auto"/>
        <w:left w:val="none" w:sz="0" w:space="0" w:color="auto"/>
        <w:bottom w:val="none" w:sz="0" w:space="0" w:color="auto"/>
        <w:right w:val="none" w:sz="0" w:space="0" w:color="auto"/>
      </w:divBdr>
    </w:div>
    <w:div w:id="1607612460">
      <w:bodyDiv w:val="1"/>
      <w:marLeft w:val="0"/>
      <w:marRight w:val="0"/>
      <w:marTop w:val="0"/>
      <w:marBottom w:val="0"/>
      <w:divBdr>
        <w:top w:val="none" w:sz="0" w:space="0" w:color="auto"/>
        <w:left w:val="none" w:sz="0" w:space="0" w:color="auto"/>
        <w:bottom w:val="none" w:sz="0" w:space="0" w:color="auto"/>
        <w:right w:val="none" w:sz="0" w:space="0" w:color="auto"/>
      </w:divBdr>
    </w:div>
    <w:div w:id="1610308082">
      <w:bodyDiv w:val="1"/>
      <w:marLeft w:val="0"/>
      <w:marRight w:val="0"/>
      <w:marTop w:val="0"/>
      <w:marBottom w:val="0"/>
      <w:divBdr>
        <w:top w:val="none" w:sz="0" w:space="0" w:color="auto"/>
        <w:left w:val="none" w:sz="0" w:space="0" w:color="auto"/>
        <w:bottom w:val="none" w:sz="0" w:space="0" w:color="auto"/>
        <w:right w:val="none" w:sz="0" w:space="0" w:color="auto"/>
      </w:divBdr>
    </w:div>
    <w:div w:id="1626695526">
      <w:bodyDiv w:val="1"/>
      <w:marLeft w:val="0"/>
      <w:marRight w:val="0"/>
      <w:marTop w:val="0"/>
      <w:marBottom w:val="0"/>
      <w:divBdr>
        <w:top w:val="none" w:sz="0" w:space="0" w:color="auto"/>
        <w:left w:val="none" w:sz="0" w:space="0" w:color="auto"/>
        <w:bottom w:val="none" w:sz="0" w:space="0" w:color="auto"/>
        <w:right w:val="none" w:sz="0" w:space="0" w:color="auto"/>
      </w:divBdr>
    </w:div>
    <w:div w:id="1632978698">
      <w:bodyDiv w:val="1"/>
      <w:marLeft w:val="0"/>
      <w:marRight w:val="0"/>
      <w:marTop w:val="0"/>
      <w:marBottom w:val="0"/>
      <w:divBdr>
        <w:top w:val="none" w:sz="0" w:space="0" w:color="auto"/>
        <w:left w:val="none" w:sz="0" w:space="0" w:color="auto"/>
        <w:bottom w:val="none" w:sz="0" w:space="0" w:color="auto"/>
        <w:right w:val="none" w:sz="0" w:space="0" w:color="auto"/>
      </w:divBdr>
    </w:div>
    <w:div w:id="1632981779">
      <w:bodyDiv w:val="1"/>
      <w:marLeft w:val="0"/>
      <w:marRight w:val="0"/>
      <w:marTop w:val="0"/>
      <w:marBottom w:val="0"/>
      <w:divBdr>
        <w:top w:val="none" w:sz="0" w:space="0" w:color="auto"/>
        <w:left w:val="none" w:sz="0" w:space="0" w:color="auto"/>
        <w:bottom w:val="none" w:sz="0" w:space="0" w:color="auto"/>
        <w:right w:val="none" w:sz="0" w:space="0" w:color="auto"/>
      </w:divBdr>
    </w:div>
    <w:div w:id="1641886287">
      <w:bodyDiv w:val="1"/>
      <w:marLeft w:val="0"/>
      <w:marRight w:val="0"/>
      <w:marTop w:val="0"/>
      <w:marBottom w:val="0"/>
      <w:divBdr>
        <w:top w:val="none" w:sz="0" w:space="0" w:color="auto"/>
        <w:left w:val="none" w:sz="0" w:space="0" w:color="auto"/>
        <w:bottom w:val="none" w:sz="0" w:space="0" w:color="auto"/>
        <w:right w:val="none" w:sz="0" w:space="0" w:color="auto"/>
      </w:divBdr>
    </w:div>
    <w:div w:id="1678115381">
      <w:bodyDiv w:val="1"/>
      <w:marLeft w:val="0"/>
      <w:marRight w:val="0"/>
      <w:marTop w:val="0"/>
      <w:marBottom w:val="0"/>
      <w:divBdr>
        <w:top w:val="none" w:sz="0" w:space="0" w:color="auto"/>
        <w:left w:val="none" w:sz="0" w:space="0" w:color="auto"/>
        <w:bottom w:val="none" w:sz="0" w:space="0" w:color="auto"/>
        <w:right w:val="none" w:sz="0" w:space="0" w:color="auto"/>
      </w:divBdr>
    </w:div>
    <w:div w:id="1682194508">
      <w:bodyDiv w:val="1"/>
      <w:marLeft w:val="0"/>
      <w:marRight w:val="0"/>
      <w:marTop w:val="0"/>
      <w:marBottom w:val="0"/>
      <w:divBdr>
        <w:top w:val="none" w:sz="0" w:space="0" w:color="auto"/>
        <w:left w:val="none" w:sz="0" w:space="0" w:color="auto"/>
        <w:bottom w:val="none" w:sz="0" w:space="0" w:color="auto"/>
        <w:right w:val="none" w:sz="0" w:space="0" w:color="auto"/>
      </w:divBdr>
    </w:div>
    <w:div w:id="1688866190">
      <w:bodyDiv w:val="1"/>
      <w:marLeft w:val="0"/>
      <w:marRight w:val="0"/>
      <w:marTop w:val="0"/>
      <w:marBottom w:val="0"/>
      <w:divBdr>
        <w:top w:val="none" w:sz="0" w:space="0" w:color="auto"/>
        <w:left w:val="none" w:sz="0" w:space="0" w:color="auto"/>
        <w:bottom w:val="none" w:sz="0" w:space="0" w:color="auto"/>
        <w:right w:val="none" w:sz="0" w:space="0" w:color="auto"/>
      </w:divBdr>
    </w:div>
    <w:div w:id="1712344618">
      <w:bodyDiv w:val="1"/>
      <w:marLeft w:val="0"/>
      <w:marRight w:val="0"/>
      <w:marTop w:val="0"/>
      <w:marBottom w:val="0"/>
      <w:divBdr>
        <w:top w:val="none" w:sz="0" w:space="0" w:color="auto"/>
        <w:left w:val="none" w:sz="0" w:space="0" w:color="auto"/>
        <w:bottom w:val="none" w:sz="0" w:space="0" w:color="auto"/>
        <w:right w:val="none" w:sz="0" w:space="0" w:color="auto"/>
      </w:divBdr>
    </w:div>
    <w:div w:id="1719472832">
      <w:bodyDiv w:val="1"/>
      <w:marLeft w:val="0"/>
      <w:marRight w:val="0"/>
      <w:marTop w:val="0"/>
      <w:marBottom w:val="0"/>
      <w:divBdr>
        <w:top w:val="none" w:sz="0" w:space="0" w:color="auto"/>
        <w:left w:val="none" w:sz="0" w:space="0" w:color="auto"/>
        <w:bottom w:val="none" w:sz="0" w:space="0" w:color="auto"/>
        <w:right w:val="none" w:sz="0" w:space="0" w:color="auto"/>
      </w:divBdr>
    </w:div>
    <w:div w:id="1728913888">
      <w:bodyDiv w:val="1"/>
      <w:marLeft w:val="0"/>
      <w:marRight w:val="0"/>
      <w:marTop w:val="0"/>
      <w:marBottom w:val="0"/>
      <w:divBdr>
        <w:top w:val="none" w:sz="0" w:space="0" w:color="auto"/>
        <w:left w:val="none" w:sz="0" w:space="0" w:color="auto"/>
        <w:bottom w:val="none" w:sz="0" w:space="0" w:color="auto"/>
        <w:right w:val="none" w:sz="0" w:space="0" w:color="auto"/>
      </w:divBdr>
    </w:div>
    <w:div w:id="1731348472">
      <w:bodyDiv w:val="1"/>
      <w:marLeft w:val="0"/>
      <w:marRight w:val="0"/>
      <w:marTop w:val="0"/>
      <w:marBottom w:val="0"/>
      <w:divBdr>
        <w:top w:val="none" w:sz="0" w:space="0" w:color="auto"/>
        <w:left w:val="none" w:sz="0" w:space="0" w:color="auto"/>
        <w:bottom w:val="none" w:sz="0" w:space="0" w:color="auto"/>
        <w:right w:val="none" w:sz="0" w:space="0" w:color="auto"/>
      </w:divBdr>
    </w:div>
    <w:div w:id="1731734931">
      <w:bodyDiv w:val="1"/>
      <w:marLeft w:val="0"/>
      <w:marRight w:val="0"/>
      <w:marTop w:val="0"/>
      <w:marBottom w:val="0"/>
      <w:divBdr>
        <w:top w:val="none" w:sz="0" w:space="0" w:color="auto"/>
        <w:left w:val="none" w:sz="0" w:space="0" w:color="auto"/>
        <w:bottom w:val="none" w:sz="0" w:space="0" w:color="auto"/>
        <w:right w:val="none" w:sz="0" w:space="0" w:color="auto"/>
      </w:divBdr>
    </w:div>
    <w:div w:id="1735158636">
      <w:bodyDiv w:val="1"/>
      <w:marLeft w:val="0"/>
      <w:marRight w:val="0"/>
      <w:marTop w:val="0"/>
      <w:marBottom w:val="0"/>
      <w:divBdr>
        <w:top w:val="none" w:sz="0" w:space="0" w:color="auto"/>
        <w:left w:val="none" w:sz="0" w:space="0" w:color="auto"/>
        <w:bottom w:val="none" w:sz="0" w:space="0" w:color="auto"/>
        <w:right w:val="none" w:sz="0" w:space="0" w:color="auto"/>
      </w:divBdr>
    </w:div>
    <w:div w:id="1751927164">
      <w:bodyDiv w:val="1"/>
      <w:marLeft w:val="0"/>
      <w:marRight w:val="0"/>
      <w:marTop w:val="0"/>
      <w:marBottom w:val="0"/>
      <w:divBdr>
        <w:top w:val="none" w:sz="0" w:space="0" w:color="auto"/>
        <w:left w:val="none" w:sz="0" w:space="0" w:color="auto"/>
        <w:bottom w:val="none" w:sz="0" w:space="0" w:color="auto"/>
        <w:right w:val="none" w:sz="0" w:space="0" w:color="auto"/>
      </w:divBdr>
    </w:div>
    <w:div w:id="1752241512">
      <w:bodyDiv w:val="1"/>
      <w:marLeft w:val="0"/>
      <w:marRight w:val="0"/>
      <w:marTop w:val="0"/>
      <w:marBottom w:val="0"/>
      <w:divBdr>
        <w:top w:val="none" w:sz="0" w:space="0" w:color="auto"/>
        <w:left w:val="none" w:sz="0" w:space="0" w:color="auto"/>
        <w:bottom w:val="none" w:sz="0" w:space="0" w:color="auto"/>
        <w:right w:val="none" w:sz="0" w:space="0" w:color="auto"/>
      </w:divBdr>
    </w:div>
    <w:div w:id="1765950623">
      <w:bodyDiv w:val="1"/>
      <w:marLeft w:val="0"/>
      <w:marRight w:val="0"/>
      <w:marTop w:val="0"/>
      <w:marBottom w:val="0"/>
      <w:divBdr>
        <w:top w:val="none" w:sz="0" w:space="0" w:color="auto"/>
        <w:left w:val="none" w:sz="0" w:space="0" w:color="auto"/>
        <w:bottom w:val="none" w:sz="0" w:space="0" w:color="auto"/>
        <w:right w:val="none" w:sz="0" w:space="0" w:color="auto"/>
      </w:divBdr>
    </w:div>
    <w:div w:id="1765951322">
      <w:bodyDiv w:val="1"/>
      <w:marLeft w:val="0"/>
      <w:marRight w:val="0"/>
      <w:marTop w:val="0"/>
      <w:marBottom w:val="0"/>
      <w:divBdr>
        <w:top w:val="none" w:sz="0" w:space="0" w:color="auto"/>
        <w:left w:val="none" w:sz="0" w:space="0" w:color="auto"/>
        <w:bottom w:val="none" w:sz="0" w:space="0" w:color="auto"/>
        <w:right w:val="none" w:sz="0" w:space="0" w:color="auto"/>
      </w:divBdr>
    </w:div>
    <w:div w:id="1770586421">
      <w:bodyDiv w:val="1"/>
      <w:marLeft w:val="0"/>
      <w:marRight w:val="0"/>
      <w:marTop w:val="0"/>
      <w:marBottom w:val="0"/>
      <w:divBdr>
        <w:top w:val="none" w:sz="0" w:space="0" w:color="auto"/>
        <w:left w:val="none" w:sz="0" w:space="0" w:color="auto"/>
        <w:bottom w:val="none" w:sz="0" w:space="0" w:color="auto"/>
        <w:right w:val="none" w:sz="0" w:space="0" w:color="auto"/>
      </w:divBdr>
    </w:div>
    <w:div w:id="1785687532">
      <w:bodyDiv w:val="1"/>
      <w:marLeft w:val="0"/>
      <w:marRight w:val="0"/>
      <w:marTop w:val="0"/>
      <w:marBottom w:val="0"/>
      <w:divBdr>
        <w:top w:val="none" w:sz="0" w:space="0" w:color="auto"/>
        <w:left w:val="none" w:sz="0" w:space="0" w:color="auto"/>
        <w:bottom w:val="none" w:sz="0" w:space="0" w:color="auto"/>
        <w:right w:val="none" w:sz="0" w:space="0" w:color="auto"/>
      </w:divBdr>
    </w:div>
    <w:div w:id="1793937119">
      <w:bodyDiv w:val="1"/>
      <w:marLeft w:val="0"/>
      <w:marRight w:val="0"/>
      <w:marTop w:val="0"/>
      <w:marBottom w:val="0"/>
      <w:divBdr>
        <w:top w:val="none" w:sz="0" w:space="0" w:color="auto"/>
        <w:left w:val="none" w:sz="0" w:space="0" w:color="auto"/>
        <w:bottom w:val="none" w:sz="0" w:space="0" w:color="auto"/>
        <w:right w:val="none" w:sz="0" w:space="0" w:color="auto"/>
      </w:divBdr>
    </w:div>
    <w:div w:id="1794715509">
      <w:bodyDiv w:val="1"/>
      <w:marLeft w:val="0"/>
      <w:marRight w:val="0"/>
      <w:marTop w:val="0"/>
      <w:marBottom w:val="0"/>
      <w:divBdr>
        <w:top w:val="none" w:sz="0" w:space="0" w:color="auto"/>
        <w:left w:val="none" w:sz="0" w:space="0" w:color="auto"/>
        <w:bottom w:val="none" w:sz="0" w:space="0" w:color="auto"/>
        <w:right w:val="none" w:sz="0" w:space="0" w:color="auto"/>
      </w:divBdr>
    </w:div>
    <w:div w:id="1796677210">
      <w:bodyDiv w:val="1"/>
      <w:marLeft w:val="0"/>
      <w:marRight w:val="0"/>
      <w:marTop w:val="0"/>
      <w:marBottom w:val="0"/>
      <w:divBdr>
        <w:top w:val="none" w:sz="0" w:space="0" w:color="auto"/>
        <w:left w:val="none" w:sz="0" w:space="0" w:color="auto"/>
        <w:bottom w:val="none" w:sz="0" w:space="0" w:color="auto"/>
        <w:right w:val="none" w:sz="0" w:space="0" w:color="auto"/>
      </w:divBdr>
    </w:div>
    <w:div w:id="1796830868">
      <w:bodyDiv w:val="1"/>
      <w:marLeft w:val="0"/>
      <w:marRight w:val="0"/>
      <w:marTop w:val="0"/>
      <w:marBottom w:val="0"/>
      <w:divBdr>
        <w:top w:val="none" w:sz="0" w:space="0" w:color="auto"/>
        <w:left w:val="none" w:sz="0" w:space="0" w:color="auto"/>
        <w:bottom w:val="none" w:sz="0" w:space="0" w:color="auto"/>
        <w:right w:val="none" w:sz="0" w:space="0" w:color="auto"/>
      </w:divBdr>
    </w:div>
    <w:div w:id="1804342771">
      <w:bodyDiv w:val="1"/>
      <w:marLeft w:val="0"/>
      <w:marRight w:val="0"/>
      <w:marTop w:val="0"/>
      <w:marBottom w:val="0"/>
      <w:divBdr>
        <w:top w:val="none" w:sz="0" w:space="0" w:color="auto"/>
        <w:left w:val="none" w:sz="0" w:space="0" w:color="auto"/>
        <w:bottom w:val="none" w:sz="0" w:space="0" w:color="auto"/>
        <w:right w:val="none" w:sz="0" w:space="0" w:color="auto"/>
      </w:divBdr>
    </w:div>
    <w:div w:id="1804732569">
      <w:bodyDiv w:val="1"/>
      <w:marLeft w:val="0"/>
      <w:marRight w:val="0"/>
      <w:marTop w:val="0"/>
      <w:marBottom w:val="0"/>
      <w:divBdr>
        <w:top w:val="none" w:sz="0" w:space="0" w:color="auto"/>
        <w:left w:val="none" w:sz="0" w:space="0" w:color="auto"/>
        <w:bottom w:val="none" w:sz="0" w:space="0" w:color="auto"/>
        <w:right w:val="none" w:sz="0" w:space="0" w:color="auto"/>
      </w:divBdr>
    </w:div>
    <w:div w:id="1806704460">
      <w:bodyDiv w:val="1"/>
      <w:marLeft w:val="0"/>
      <w:marRight w:val="0"/>
      <w:marTop w:val="0"/>
      <w:marBottom w:val="0"/>
      <w:divBdr>
        <w:top w:val="none" w:sz="0" w:space="0" w:color="auto"/>
        <w:left w:val="none" w:sz="0" w:space="0" w:color="auto"/>
        <w:bottom w:val="none" w:sz="0" w:space="0" w:color="auto"/>
        <w:right w:val="none" w:sz="0" w:space="0" w:color="auto"/>
      </w:divBdr>
    </w:div>
    <w:div w:id="1808356624">
      <w:bodyDiv w:val="1"/>
      <w:marLeft w:val="0"/>
      <w:marRight w:val="0"/>
      <w:marTop w:val="0"/>
      <w:marBottom w:val="0"/>
      <w:divBdr>
        <w:top w:val="none" w:sz="0" w:space="0" w:color="auto"/>
        <w:left w:val="none" w:sz="0" w:space="0" w:color="auto"/>
        <w:bottom w:val="none" w:sz="0" w:space="0" w:color="auto"/>
        <w:right w:val="none" w:sz="0" w:space="0" w:color="auto"/>
      </w:divBdr>
    </w:div>
    <w:div w:id="1831020615">
      <w:bodyDiv w:val="1"/>
      <w:marLeft w:val="0"/>
      <w:marRight w:val="0"/>
      <w:marTop w:val="0"/>
      <w:marBottom w:val="0"/>
      <w:divBdr>
        <w:top w:val="none" w:sz="0" w:space="0" w:color="auto"/>
        <w:left w:val="none" w:sz="0" w:space="0" w:color="auto"/>
        <w:bottom w:val="none" w:sz="0" w:space="0" w:color="auto"/>
        <w:right w:val="none" w:sz="0" w:space="0" w:color="auto"/>
      </w:divBdr>
    </w:div>
    <w:div w:id="1836653708">
      <w:bodyDiv w:val="1"/>
      <w:marLeft w:val="0"/>
      <w:marRight w:val="0"/>
      <w:marTop w:val="0"/>
      <w:marBottom w:val="0"/>
      <w:divBdr>
        <w:top w:val="none" w:sz="0" w:space="0" w:color="auto"/>
        <w:left w:val="none" w:sz="0" w:space="0" w:color="auto"/>
        <w:bottom w:val="none" w:sz="0" w:space="0" w:color="auto"/>
        <w:right w:val="none" w:sz="0" w:space="0" w:color="auto"/>
      </w:divBdr>
    </w:div>
    <w:div w:id="1838770109">
      <w:bodyDiv w:val="1"/>
      <w:marLeft w:val="0"/>
      <w:marRight w:val="0"/>
      <w:marTop w:val="0"/>
      <w:marBottom w:val="0"/>
      <w:divBdr>
        <w:top w:val="none" w:sz="0" w:space="0" w:color="auto"/>
        <w:left w:val="none" w:sz="0" w:space="0" w:color="auto"/>
        <w:bottom w:val="none" w:sz="0" w:space="0" w:color="auto"/>
        <w:right w:val="none" w:sz="0" w:space="0" w:color="auto"/>
      </w:divBdr>
    </w:div>
    <w:div w:id="1840078230">
      <w:bodyDiv w:val="1"/>
      <w:marLeft w:val="0"/>
      <w:marRight w:val="0"/>
      <w:marTop w:val="0"/>
      <w:marBottom w:val="0"/>
      <w:divBdr>
        <w:top w:val="none" w:sz="0" w:space="0" w:color="auto"/>
        <w:left w:val="none" w:sz="0" w:space="0" w:color="auto"/>
        <w:bottom w:val="none" w:sz="0" w:space="0" w:color="auto"/>
        <w:right w:val="none" w:sz="0" w:space="0" w:color="auto"/>
      </w:divBdr>
    </w:div>
    <w:div w:id="1859345857">
      <w:bodyDiv w:val="1"/>
      <w:marLeft w:val="0"/>
      <w:marRight w:val="0"/>
      <w:marTop w:val="0"/>
      <w:marBottom w:val="0"/>
      <w:divBdr>
        <w:top w:val="none" w:sz="0" w:space="0" w:color="auto"/>
        <w:left w:val="none" w:sz="0" w:space="0" w:color="auto"/>
        <w:bottom w:val="none" w:sz="0" w:space="0" w:color="auto"/>
        <w:right w:val="none" w:sz="0" w:space="0" w:color="auto"/>
      </w:divBdr>
    </w:div>
    <w:div w:id="1861049328">
      <w:bodyDiv w:val="1"/>
      <w:marLeft w:val="0"/>
      <w:marRight w:val="0"/>
      <w:marTop w:val="0"/>
      <w:marBottom w:val="0"/>
      <w:divBdr>
        <w:top w:val="none" w:sz="0" w:space="0" w:color="auto"/>
        <w:left w:val="none" w:sz="0" w:space="0" w:color="auto"/>
        <w:bottom w:val="none" w:sz="0" w:space="0" w:color="auto"/>
        <w:right w:val="none" w:sz="0" w:space="0" w:color="auto"/>
      </w:divBdr>
    </w:div>
    <w:div w:id="1872718799">
      <w:bodyDiv w:val="1"/>
      <w:marLeft w:val="0"/>
      <w:marRight w:val="0"/>
      <w:marTop w:val="0"/>
      <w:marBottom w:val="0"/>
      <w:divBdr>
        <w:top w:val="none" w:sz="0" w:space="0" w:color="auto"/>
        <w:left w:val="none" w:sz="0" w:space="0" w:color="auto"/>
        <w:bottom w:val="none" w:sz="0" w:space="0" w:color="auto"/>
        <w:right w:val="none" w:sz="0" w:space="0" w:color="auto"/>
      </w:divBdr>
    </w:div>
    <w:div w:id="1874925755">
      <w:bodyDiv w:val="1"/>
      <w:marLeft w:val="0"/>
      <w:marRight w:val="0"/>
      <w:marTop w:val="0"/>
      <w:marBottom w:val="0"/>
      <w:divBdr>
        <w:top w:val="none" w:sz="0" w:space="0" w:color="auto"/>
        <w:left w:val="none" w:sz="0" w:space="0" w:color="auto"/>
        <w:bottom w:val="none" w:sz="0" w:space="0" w:color="auto"/>
        <w:right w:val="none" w:sz="0" w:space="0" w:color="auto"/>
      </w:divBdr>
    </w:div>
    <w:div w:id="1876498435">
      <w:bodyDiv w:val="1"/>
      <w:marLeft w:val="0"/>
      <w:marRight w:val="0"/>
      <w:marTop w:val="0"/>
      <w:marBottom w:val="0"/>
      <w:divBdr>
        <w:top w:val="none" w:sz="0" w:space="0" w:color="auto"/>
        <w:left w:val="none" w:sz="0" w:space="0" w:color="auto"/>
        <w:bottom w:val="none" w:sz="0" w:space="0" w:color="auto"/>
        <w:right w:val="none" w:sz="0" w:space="0" w:color="auto"/>
      </w:divBdr>
    </w:div>
    <w:div w:id="1883446104">
      <w:bodyDiv w:val="1"/>
      <w:marLeft w:val="0"/>
      <w:marRight w:val="0"/>
      <w:marTop w:val="0"/>
      <w:marBottom w:val="0"/>
      <w:divBdr>
        <w:top w:val="none" w:sz="0" w:space="0" w:color="auto"/>
        <w:left w:val="none" w:sz="0" w:space="0" w:color="auto"/>
        <w:bottom w:val="none" w:sz="0" w:space="0" w:color="auto"/>
        <w:right w:val="none" w:sz="0" w:space="0" w:color="auto"/>
      </w:divBdr>
    </w:div>
    <w:div w:id="1894537796">
      <w:bodyDiv w:val="1"/>
      <w:marLeft w:val="0"/>
      <w:marRight w:val="0"/>
      <w:marTop w:val="0"/>
      <w:marBottom w:val="0"/>
      <w:divBdr>
        <w:top w:val="none" w:sz="0" w:space="0" w:color="auto"/>
        <w:left w:val="none" w:sz="0" w:space="0" w:color="auto"/>
        <w:bottom w:val="none" w:sz="0" w:space="0" w:color="auto"/>
        <w:right w:val="none" w:sz="0" w:space="0" w:color="auto"/>
      </w:divBdr>
    </w:div>
    <w:div w:id="1902449328">
      <w:bodyDiv w:val="1"/>
      <w:marLeft w:val="0"/>
      <w:marRight w:val="0"/>
      <w:marTop w:val="0"/>
      <w:marBottom w:val="0"/>
      <w:divBdr>
        <w:top w:val="none" w:sz="0" w:space="0" w:color="auto"/>
        <w:left w:val="none" w:sz="0" w:space="0" w:color="auto"/>
        <w:bottom w:val="none" w:sz="0" w:space="0" w:color="auto"/>
        <w:right w:val="none" w:sz="0" w:space="0" w:color="auto"/>
      </w:divBdr>
    </w:div>
    <w:div w:id="1907108048">
      <w:bodyDiv w:val="1"/>
      <w:marLeft w:val="0"/>
      <w:marRight w:val="0"/>
      <w:marTop w:val="0"/>
      <w:marBottom w:val="0"/>
      <w:divBdr>
        <w:top w:val="none" w:sz="0" w:space="0" w:color="auto"/>
        <w:left w:val="none" w:sz="0" w:space="0" w:color="auto"/>
        <w:bottom w:val="none" w:sz="0" w:space="0" w:color="auto"/>
        <w:right w:val="none" w:sz="0" w:space="0" w:color="auto"/>
      </w:divBdr>
    </w:div>
    <w:div w:id="1911650200">
      <w:bodyDiv w:val="1"/>
      <w:marLeft w:val="0"/>
      <w:marRight w:val="0"/>
      <w:marTop w:val="0"/>
      <w:marBottom w:val="0"/>
      <w:divBdr>
        <w:top w:val="none" w:sz="0" w:space="0" w:color="auto"/>
        <w:left w:val="none" w:sz="0" w:space="0" w:color="auto"/>
        <w:bottom w:val="none" w:sz="0" w:space="0" w:color="auto"/>
        <w:right w:val="none" w:sz="0" w:space="0" w:color="auto"/>
      </w:divBdr>
    </w:div>
    <w:div w:id="1919440966">
      <w:bodyDiv w:val="1"/>
      <w:marLeft w:val="0"/>
      <w:marRight w:val="0"/>
      <w:marTop w:val="0"/>
      <w:marBottom w:val="0"/>
      <w:divBdr>
        <w:top w:val="none" w:sz="0" w:space="0" w:color="auto"/>
        <w:left w:val="none" w:sz="0" w:space="0" w:color="auto"/>
        <w:bottom w:val="none" w:sz="0" w:space="0" w:color="auto"/>
        <w:right w:val="none" w:sz="0" w:space="0" w:color="auto"/>
      </w:divBdr>
    </w:div>
    <w:div w:id="1931623576">
      <w:bodyDiv w:val="1"/>
      <w:marLeft w:val="0"/>
      <w:marRight w:val="0"/>
      <w:marTop w:val="0"/>
      <w:marBottom w:val="0"/>
      <w:divBdr>
        <w:top w:val="none" w:sz="0" w:space="0" w:color="auto"/>
        <w:left w:val="none" w:sz="0" w:space="0" w:color="auto"/>
        <w:bottom w:val="none" w:sz="0" w:space="0" w:color="auto"/>
        <w:right w:val="none" w:sz="0" w:space="0" w:color="auto"/>
      </w:divBdr>
    </w:div>
    <w:div w:id="1954439499">
      <w:bodyDiv w:val="1"/>
      <w:marLeft w:val="0"/>
      <w:marRight w:val="0"/>
      <w:marTop w:val="0"/>
      <w:marBottom w:val="0"/>
      <w:divBdr>
        <w:top w:val="none" w:sz="0" w:space="0" w:color="auto"/>
        <w:left w:val="none" w:sz="0" w:space="0" w:color="auto"/>
        <w:bottom w:val="none" w:sz="0" w:space="0" w:color="auto"/>
        <w:right w:val="none" w:sz="0" w:space="0" w:color="auto"/>
      </w:divBdr>
    </w:div>
    <w:div w:id="1960405174">
      <w:bodyDiv w:val="1"/>
      <w:marLeft w:val="0"/>
      <w:marRight w:val="0"/>
      <w:marTop w:val="0"/>
      <w:marBottom w:val="0"/>
      <w:divBdr>
        <w:top w:val="none" w:sz="0" w:space="0" w:color="auto"/>
        <w:left w:val="none" w:sz="0" w:space="0" w:color="auto"/>
        <w:bottom w:val="none" w:sz="0" w:space="0" w:color="auto"/>
        <w:right w:val="none" w:sz="0" w:space="0" w:color="auto"/>
      </w:divBdr>
    </w:div>
    <w:div w:id="1963807952">
      <w:bodyDiv w:val="1"/>
      <w:marLeft w:val="0"/>
      <w:marRight w:val="0"/>
      <w:marTop w:val="0"/>
      <w:marBottom w:val="0"/>
      <w:divBdr>
        <w:top w:val="none" w:sz="0" w:space="0" w:color="auto"/>
        <w:left w:val="none" w:sz="0" w:space="0" w:color="auto"/>
        <w:bottom w:val="none" w:sz="0" w:space="0" w:color="auto"/>
        <w:right w:val="none" w:sz="0" w:space="0" w:color="auto"/>
      </w:divBdr>
    </w:div>
    <w:div w:id="1980183088">
      <w:bodyDiv w:val="1"/>
      <w:marLeft w:val="0"/>
      <w:marRight w:val="0"/>
      <w:marTop w:val="0"/>
      <w:marBottom w:val="0"/>
      <w:divBdr>
        <w:top w:val="none" w:sz="0" w:space="0" w:color="auto"/>
        <w:left w:val="none" w:sz="0" w:space="0" w:color="auto"/>
        <w:bottom w:val="none" w:sz="0" w:space="0" w:color="auto"/>
        <w:right w:val="none" w:sz="0" w:space="0" w:color="auto"/>
      </w:divBdr>
    </w:div>
    <w:div w:id="1995796649">
      <w:bodyDiv w:val="1"/>
      <w:marLeft w:val="0"/>
      <w:marRight w:val="0"/>
      <w:marTop w:val="0"/>
      <w:marBottom w:val="0"/>
      <w:divBdr>
        <w:top w:val="none" w:sz="0" w:space="0" w:color="auto"/>
        <w:left w:val="none" w:sz="0" w:space="0" w:color="auto"/>
        <w:bottom w:val="none" w:sz="0" w:space="0" w:color="auto"/>
        <w:right w:val="none" w:sz="0" w:space="0" w:color="auto"/>
      </w:divBdr>
    </w:div>
    <w:div w:id="1998342361">
      <w:bodyDiv w:val="1"/>
      <w:marLeft w:val="0"/>
      <w:marRight w:val="0"/>
      <w:marTop w:val="0"/>
      <w:marBottom w:val="0"/>
      <w:divBdr>
        <w:top w:val="none" w:sz="0" w:space="0" w:color="auto"/>
        <w:left w:val="none" w:sz="0" w:space="0" w:color="auto"/>
        <w:bottom w:val="none" w:sz="0" w:space="0" w:color="auto"/>
        <w:right w:val="none" w:sz="0" w:space="0" w:color="auto"/>
      </w:divBdr>
    </w:div>
    <w:div w:id="1999576739">
      <w:bodyDiv w:val="1"/>
      <w:marLeft w:val="0"/>
      <w:marRight w:val="0"/>
      <w:marTop w:val="0"/>
      <w:marBottom w:val="0"/>
      <w:divBdr>
        <w:top w:val="none" w:sz="0" w:space="0" w:color="auto"/>
        <w:left w:val="none" w:sz="0" w:space="0" w:color="auto"/>
        <w:bottom w:val="none" w:sz="0" w:space="0" w:color="auto"/>
        <w:right w:val="none" w:sz="0" w:space="0" w:color="auto"/>
      </w:divBdr>
    </w:div>
    <w:div w:id="2001303271">
      <w:bodyDiv w:val="1"/>
      <w:marLeft w:val="0"/>
      <w:marRight w:val="0"/>
      <w:marTop w:val="0"/>
      <w:marBottom w:val="0"/>
      <w:divBdr>
        <w:top w:val="none" w:sz="0" w:space="0" w:color="auto"/>
        <w:left w:val="none" w:sz="0" w:space="0" w:color="auto"/>
        <w:bottom w:val="none" w:sz="0" w:space="0" w:color="auto"/>
        <w:right w:val="none" w:sz="0" w:space="0" w:color="auto"/>
      </w:divBdr>
    </w:div>
    <w:div w:id="2015064135">
      <w:bodyDiv w:val="1"/>
      <w:marLeft w:val="0"/>
      <w:marRight w:val="0"/>
      <w:marTop w:val="0"/>
      <w:marBottom w:val="0"/>
      <w:divBdr>
        <w:top w:val="none" w:sz="0" w:space="0" w:color="auto"/>
        <w:left w:val="none" w:sz="0" w:space="0" w:color="auto"/>
        <w:bottom w:val="none" w:sz="0" w:space="0" w:color="auto"/>
        <w:right w:val="none" w:sz="0" w:space="0" w:color="auto"/>
      </w:divBdr>
    </w:div>
    <w:div w:id="2029603144">
      <w:bodyDiv w:val="1"/>
      <w:marLeft w:val="0"/>
      <w:marRight w:val="0"/>
      <w:marTop w:val="0"/>
      <w:marBottom w:val="0"/>
      <w:divBdr>
        <w:top w:val="none" w:sz="0" w:space="0" w:color="auto"/>
        <w:left w:val="none" w:sz="0" w:space="0" w:color="auto"/>
        <w:bottom w:val="none" w:sz="0" w:space="0" w:color="auto"/>
        <w:right w:val="none" w:sz="0" w:space="0" w:color="auto"/>
      </w:divBdr>
    </w:div>
    <w:div w:id="2036348551">
      <w:bodyDiv w:val="1"/>
      <w:marLeft w:val="0"/>
      <w:marRight w:val="0"/>
      <w:marTop w:val="0"/>
      <w:marBottom w:val="0"/>
      <w:divBdr>
        <w:top w:val="none" w:sz="0" w:space="0" w:color="auto"/>
        <w:left w:val="none" w:sz="0" w:space="0" w:color="auto"/>
        <w:bottom w:val="none" w:sz="0" w:space="0" w:color="auto"/>
        <w:right w:val="none" w:sz="0" w:space="0" w:color="auto"/>
      </w:divBdr>
    </w:div>
    <w:div w:id="2056737009">
      <w:bodyDiv w:val="1"/>
      <w:marLeft w:val="0"/>
      <w:marRight w:val="0"/>
      <w:marTop w:val="0"/>
      <w:marBottom w:val="0"/>
      <w:divBdr>
        <w:top w:val="none" w:sz="0" w:space="0" w:color="auto"/>
        <w:left w:val="none" w:sz="0" w:space="0" w:color="auto"/>
        <w:bottom w:val="none" w:sz="0" w:space="0" w:color="auto"/>
        <w:right w:val="none" w:sz="0" w:space="0" w:color="auto"/>
      </w:divBdr>
    </w:div>
    <w:div w:id="2082946136">
      <w:bodyDiv w:val="1"/>
      <w:marLeft w:val="0"/>
      <w:marRight w:val="0"/>
      <w:marTop w:val="0"/>
      <w:marBottom w:val="0"/>
      <w:divBdr>
        <w:top w:val="none" w:sz="0" w:space="0" w:color="auto"/>
        <w:left w:val="none" w:sz="0" w:space="0" w:color="auto"/>
        <w:bottom w:val="none" w:sz="0" w:space="0" w:color="auto"/>
        <w:right w:val="none" w:sz="0" w:space="0" w:color="auto"/>
      </w:divBdr>
    </w:div>
    <w:div w:id="2098165210">
      <w:bodyDiv w:val="1"/>
      <w:marLeft w:val="0"/>
      <w:marRight w:val="0"/>
      <w:marTop w:val="0"/>
      <w:marBottom w:val="0"/>
      <w:divBdr>
        <w:top w:val="none" w:sz="0" w:space="0" w:color="auto"/>
        <w:left w:val="none" w:sz="0" w:space="0" w:color="auto"/>
        <w:bottom w:val="none" w:sz="0" w:space="0" w:color="auto"/>
        <w:right w:val="none" w:sz="0" w:space="0" w:color="auto"/>
      </w:divBdr>
    </w:div>
    <w:div w:id="2122604325">
      <w:bodyDiv w:val="1"/>
      <w:marLeft w:val="0"/>
      <w:marRight w:val="0"/>
      <w:marTop w:val="0"/>
      <w:marBottom w:val="0"/>
      <w:divBdr>
        <w:top w:val="none" w:sz="0" w:space="0" w:color="auto"/>
        <w:left w:val="none" w:sz="0" w:space="0" w:color="auto"/>
        <w:bottom w:val="none" w:sz="0" w:space="0" w:color="auto"/>
        <w:right w:val="none" w:sz="0" w:space="0" w:color="auto"/>
      </w:divBdr>
    </w:div>
    <w:div w:id="2123917508">
      <w:bodyDiv w:val="1"/>
      <w:marLeft w:val="0"/>
      <w:marRight w:val="0"/>
      <w:marTop w:val="0"/>
      <w:marBottom w:val="0"/>
      <w:divBdr>
        <w:top w:val="none" w:sz="0" w:space="0" w:color="auto"/>
        <w:left w:val="none" w:sz="0" w:space="0" w:color="auto"/>
        <w:bottom w:val="none" w:sz="0" w:space="0" w:color="auto"/>
        <w:right w:val="none" w:sz="0" w:space="0" w:color="auto"/>
      </w:divBdr>
    </w:div>
    <w:div w:id="2133355375">
      <w:bodyDiv w:val="1"/>
      <w:marLeft w:val="0"/>
      <w:marRight w:val="0"/>
      <w:marTop w:val="0"/>
      <w:marBottom w:val="0"/>
      <w:divBdr>
        <w:top w:val="none" w:sz="0" w:space="0" w:color="auto"/>
        <w:left w:val="none" w:sz="0" w:space="0" w:color="auto"/>
        <w:bottom w:val="none" w:sz="0" w:space="0" w:color="auto"/>
        <w:right w:val="none" w:sz="0" w:space="0" w:color="auto"/>
      </w:divBdr>
    </w:div>
    <w:div w:id="2140953818">
      <w:bodyDiv w:val="1"/>
      <w:marLeft w:val="0"/>
      <w:marRight w:val="0"/>
      <w:marTop w:val="0"/>
      <w:marBottom w:val="0"/>
      <w:divBdr>
        <w:top w:val="none" w:sz="0" w:space="0" w:color="auto"/>
        <w:left w:val="none" w:sz="0" w:space="0" w:color="auto"/>
        <w:bottom w:val="none" w:sz="0" w:space="0" w:color="auto"/>
        <w:right w:val="none" w:sz="0" w:space="0" w:color="auto"/>
      </w:divBdr>
    </w:div>
    <w:div w:id="2144075777">
      <w:bodyDiv w:val="1"/>
      <w:marLeft w:val="0"/>
      <w:marRight w:val="0"/>
      <w:marTop w:val="0"/>
      <w:marBottom w:val="0"/>
      <w:divBdr>
        <w:top w:val="none" w:sz="0" w:space="0" w:color="auto"/>
        <w:left w:val="none" w:sz="0" w:space="0" w:color="auto"/>
        <w:bottom w:val="none" w:sz="0" w:space="0" w:color="auto"/>
        <w:right w:val="none" w:sz="0" w:space="0" w:color="auto"/>
      </w:divBdr>
    </w:div>
    <w:div w:id="2144998005">
      <w:bodyDiv w:val="1"/>
      <w:marLeft w:val="0"/>
      <w:marRight w:val="0"/>
      <w:marTop w:val="0"/>
      <w:marBottom w:val="0"/>
      <w:divBdr>
        <w:top w:val="none" w:sz="0" w:space="0" w:color="auto"/>
        <w:left w:val="none" w:sz="0" w:space="0" w:color="auto"/>
        <w:bottom w:val="none" w:sz="0" w:space="0" w:color="auto"/>
        <w:right w:val="none" w:sz="0" w:space="0" w:color="auto"/>
      </w:divBdr>
    </w:div>
    <w:div w:id="214630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wto.org/dol2fe/Pages/FE_Search/FE_S_S006.aspx?DataSource=Cat&amp;query=@Symbol=WT/DS445/AB/R&amp;Language=English&amp;Context=ScriptedSearches&amp;languageUIChanged=tru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wto.org/dol2fe/Pages/FE_Search/FE_S_S006.aspx?DataSource=Cat&amp;query=@Symbol=WT/DS444/AB/R%20&amp;Language=English&amp;Context=ScriptedSearches&amp;languageUIChanged=tr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wto.org/dol2fe/Pages/FE_Search/FE_S_S006.aspx?DataSource=Cat&amp;query=@Symbol=WT/DS438/AB/R%20&amp;Language=English&amp;Context=ScriptedSearches&amp;languageUIChanged=true"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9821</Words>
  <Characters>51950</Characters>
  <Application>Microsoft Office Word</Application>
  <DocSecurity>0</DocSecurity>
  <Lines>969</Lines>
  <Paragraphs>346</Paragraphs>
  <ScaleCrop>false</ScaleCrop>
  <HeadingPairs>
    <vt:vector size="2" baseType="variant">
      <vt:variant>
        <vt:lpstr>Title</vt:lpstr>
      </vt:variant>
      <vt:variant>
        <vt:i4>1</vt:i4>
      </vt:variant>
    </vt:vector>
  </HeadingPairs>
  <TitlesOfParts>
    <vt:vector size="1" baseType="lpstr">
      <vt:lpstr>DS603 Australia's Integrated Executive Summary</vt:lpstr>
    </vt:vector>
  </TitlesOfParts>
  <Manager/>
  <Company/>
  <LinksUpToDate>false</LinksUpToDate>
  <CharactersWithSpaces>61526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DS603 Australia's Integrated Executive Summary</dc:title>
  <dc:subject/>
  <dc:creator/>
  <cp:keywords>[SEC=OFFICIAL:Sensitive]</cp:keywords>
  <dc:description/>
  <cp:lastModifiedBy/>
  <cp:revision>1</cp:revision>
  <dcterms:created xsi:type="dcterms:W3CDTF">2024-04-03T02:08:00Z</dcterms:created>
  <dcterms:modified xsi:type="dcterms:W3CDTF">2024-04-03T02:09:00Z</dcterms:modified>
  <cp:category/>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OFFICIAL:Sensitive</vt:lpwstr>
  </property>
  <property fmtid="{D5CDD505-2E9C-101B-9397-08002B2CF9AE}" pid="5" name="PMHMAC">
    <vt:lpwstr>v=2022.1;a=SHA256;h=0A46ACCFB90350F3609440E8809181FC7AB170821B02BD2A2CC4C950EC658C71</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 Sensitive_x000d_
Legal privilege</vt:lpwstr>
  </property>
  <property fmtid="{D5CDD505-2E9C-101B-9397-08002B2CF9AE}" pid="9" name="PM_OriginationTimeStamp">
    <vt:lpwstr>2023-10-08T22:10:13Z</vt:lpwstr>
  </property>
  <property fmtid="{D5CDD505-2E9C-101B-9397-08002B2CF9AE}" pid="10" name="PM_Markers">
    <vt:lpwstr>Legal-Privilege</vt:lpwstr>
  </property>
  <property fmtid="{D5CDD505-2E9C-101B-9397-08002B2CF9AE}" pid="11" name="PM_InsertionValue">
    <vt:lpwstr>OFFICIAL: Sensitive</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 Sensitive Legal privilege</vt:lpwstr>
  </property>
  <property fmtid="{D5CDD505-2E9C-101B-9397-08002B2CF9AE}" pid="14" name="PM_ProtectiveMarkingValue_Footer">
    <vt:lpwstr>Legal privilege_x000d_
OFFICIAL: Sensitive</vt:lpwstr>
  </property>
  <property fmtid="{D5CDD505-2E9C-101B-9397-08002B2CF9AE}" pid="15" name="PM_Originating_FileId">
    <vt:lpwstr>FEDE96A167D8445091F445E457D1C0DA</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 Sensitive Legal privilege</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v=2022.2;d=gov.au;g=9838020E-D8A2-5FB0-ACAD-24AFC21961EB</vt:lpwstr>
  </property>
  <property fmtid="{D5CDD505-2E9C-101B-9397-08002B2CF9AE}" pid="22" name="PM_Hash_Version">
    <vt:lpwstr>2022.1</vt:lpwstr>
  </property>
  <property fmtid="{D5CDD505-2E9C-101B-9397-08002B2CF9AE}" pid="23" name="PM_Hash_Salt_Prev">
    <vt:lpwstr>2479CEB81D7A021403CE330266E43A71</vt:lpwstr>
  </property>
  <property fmtid="{D5CDD505-2E9C-101B-9397-08002B2CF9AE}" pid="24" name="PM_Hash_Salt">
    <vt:lpwstr>2C3D8AC2497EB77FF61F0EE6020E2496</vt:lpwstr>
  </property>
  <property fmtid="{D5CDD505-2E9C-101B-9397-08002B2CF9AE}" pid="25" name="PM_Hash_SHA1">
    <vt:lpwstr>D2E4052060E3A815DF6CA1E3E8195506B6698A50</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PM_Caveats_Count">
    <vt:lpwstr>0</vt:lpwstr>
  </property>
</Properties>
</file>