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46BF" w14:textId="77777777" w:rsidR="008E5D7A" w:rsidRDefault="008E5D7A" w:rsidP="008E5D7A">
      <w:pPr>
        <w:pStyle w:val="BTNSSBodyTextNoSpacingSmall"/>
        <w:rPr>
          <w:rFonts w:asciiTheme="minorHAnsi" w:hAnsiTheme="minorHAnsi" w:cstheme="minorHAnsi"/>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8E5D7A" w14:paraId="338A2E96" w14:textId="77777777" w:rsidTr="00B756A1">
        <w:trPr>
          <w:trHeight w:val="4365"/>
        </w:trPr>
        <w:tc>
          <w:tcPr>
            <w:tcW w:w="9060" w:type="dxa"/>
          </w:tcPr>
          <w:p w14:paraId="59E8F96F" w14:textId="77777777" w:rsidR="008E5D7A" w:rsidRDefault="008E5D7A" w:rsidP="00B756A1">
            <w:pPr>
              <w:pStyle w:val="BTBodyText"/>
              <w:spacing w:after="240"/>
              <w:jc w:val="center"/>
              <w:rPr>
                <w:rFonts w:asciiTheme="minorHAnsi" w:hAnsiTheme="minorHAnsi" w:cstheme="minorHAnsi"/>
                <w:b/>
                <w:bCs/>
                <w:sz w:val="32"/>
                <w:szCs w:val="32"/>
              </w:rPr>
            </w:pPr>
            <w:r>
              <w:rPr>
                <w:rFonts w:asciiTheme="minorHAnsi" w:hAnsiTheme="minorHAnsi" w:cstheme="minorHAnsi"/>
                <w:b/>
                <w:bCs/>
                <w:sz w:val="32"/>
                <w:szCs w:val="32"/>
              </w:rPr>
              <w:t>Before the World Trade Organization</w:t>
            </w:r>
          </w:p>
          <w:p w14:paraId="59B5EE77" w14:textId="77777777" w:rsidR="008E5D7A" w:rsidRDefault="008E5D7A" w:rsidP="00B756A1">
            <w:pPr>
              <w:pStyle w:val="BTBodyText"/>
              <w:spacing w:after="240"/>
              <w:jc w:val="center"/>
              <w:rPr>
                <w:rFonts w:asciiTheme="minorHAnsi" w:hAnsiTheme="minorHAnsi" w:cstheme="minorHAnsi"/>
                <w:b/>
                <w:bCs/>
                <w:sz w:val="32"/>
                <w:szCs w:val="32"/>
              </w:rPr>
            </w:pPr>
            <w:r>
              <w:rPr>
                <w:rFonts w:asciiTheme="minorHAnsi" w:hAnsiTheme="minorHAnsi" w:cstheme="minorHAnsi"/>
                <w:b/>
                <w:bCs/>
                <w:sz w:val="32"/>
                <w:szCs w:val="32"/>
              </w:rPr>
              <w:t>Panel Proceedings</w:t>
            </w:r>
          </w:p>
        </w:tc>
      </w:tr>
      <w:tr w:rsidR="008E5D7A" w14:paraId="02067A20" w14:textId="77777777" w:rsidTr="00B756A1">
        <w:trPr>
          <w:trHeight w:val="737"/>
        </w:trPr>
        <w:tc>
          <w:tcPr>
            <w:tcW w:w="9060" w:type="dxa"/>
          </w:tcPr>
          <w:p w14:paraId="572A04C9" w14:textId="77777777" w:rsidR="008E5D7A" w:rsidRDefault="008E5D7A" w:rsidP="00B756A1">
            <w:pPr>
              <w:pStyle w:val="WTODTWTODisputeTitle"/>
              <w:rPr>
                <w:rFonts w:asciiTheme="minorHAnsi" w:hAnsiTheme="minorHAnsi" w:cstheme="minorHAnsi"/>
              </w:rPr>
            </w:pPr>
            <w:r>
              <w:rPr>
                <w:rFonts w:asciiTheme="minorHAnsi" w:hAnsiTheme="minorHAnsi" w:cstheme="minorHAnsi"/>
              </w:rPr>
              <w:t>Australia – Anti-Dumping and Countervailing Duty Measures on Certain Products from China</w:t>
            </w:r>
          </w:p>
        </w:tc>
      </w:tr>
      <w:tr w:rsidR="008E5D7A" w14:paraId="6E11A841" w14:textId="77777777" w:rsidTr="00B756A1">
        <w:trPr>
          <w:trHeight w:val="3175"/>
        </w:trPr>
        <w:tc>
          <w:tcPr>
            <w:tcW w:w="9060" w:type="dxa"/>
          </w:tcPr>
          <w:p w14:paraId="4D87CEB4" w14:textId="77777777" w:rsidR="008E5D7A" w:rsidRDefault="008E5D7A" w:rsidP="00B756A1">
            <w:pPr>
              <w:pStyle w:val="DSNDSNumber"/>
              <w:rPr>
                <w:rFonts w:asciiTheme="minorHAnsi" w:hAnsiTheme="minorHAnsi" w:cstheme="minorHAnsi"/>
              </w:rPr>
            </w:pPr>
            <w:r>
              <w:rPr>
                <w:rFonts w:asciiTheme="minorHAnsi" w:hAnsiTheme="minorHAnsi" w:cstheme="minorHAnsi"/>
              </w:rPr>
              <w:t>(DS603)</w:t>
            </w:r>
          </w:p>
        </w:tc>
      </w:tr>
      <w:tr w:rsidR="008E5D7A" w14:paraId="5ACC3C13" w14:textId="77777777" w:rsidTr="00B756A1">
        <w:trPr>
          <w:trHeight w:val="3798"/>
        </w:trPr>
        <w:tc>
          <w:tcPr>
            <w:tcW w:w="9060" w:type="dxa"/>
          </w:tcPr>
          <w:p w14:paraId="1BED8B8D" w14:textId="3BECC1E5" w:rsidR="008E5D7A" w:rsidRDefault="007943B8" w:rsidP="00B756A1">
            <w:pPr>
              <w:pStyle w:val="DTDocumentTitle"/>
              <w:rPr>
                <w:rFonts w:asciiTheme="minorHAnsi" w:hAnsiTheme="minorHAnsi" w:cstheme="minorHAnsi"/>
              </w:rPr>
            </w:pPr>
            <w:r>
              <w:rPr>
                <w:rFonts w:asciiTheme="minorHAnsi" w:hAnsiTheme="minorHAnsi" w:cstheme="minorHAnsi"/>
              </w:rPr>
              <w:t xml:space="preserve">Australia’s Request for a preliminary ruling </w:t>
            </w:r>
          </w:p>
          <w:p w14:paraId="030F7352" w14:textId="77777777" w:rsidR="008E5D7A" w:rsidRDefault="008E5D7A" w:rsidP="00B756A1">
            <w:pPr>
              <w:pStyle w:val="DTDocumentTitle"/>
              <w:rPr>
                <w:rFonts w:asciiTheme="minorHAnsi" w:hAnsiTheme="minorHAnsi" w:cstheme="minorHAnsi"/>
              </w:rPr>
            </w:pPr>
          </w:p>
          <w:p w14:paraId="02C7D521" w14:textId="77777777" w:rsidR="008E5D7A" w:rsidRDefault="008E5D7A" w:rsidP="00B756A1">
            <w:pPr>
              <w:pStyle w:val="DTDocumentTitle"/>
              <w:rPr>
                <w:rFonts w:asciiTheme="minorHAnsi" w:hAnsiTheme="minorHAnsi" w:cstheme="minorHAnsi"/>
              </w:rPr>
            </w:pPr>
          </w:p>
          <w:tbl>
            <w:tblPr>
              <w:tblStyle w:val="TableGrid"/>
              <w:tblW w:w="0" w:type="auto"/>
              <w:tblLook w:val="04A0" w:firstRow="1" w:lastRow="0" w:firstColumn="1" w:lastColumn="0" w:noHBand="0" w:noVBand="1"/>
            </w:tblPr>
            <w:tblGrid>
              <w:gridCol w:w="9060"/>
            </w:tblGrid>
            <w:tr w:rsidR="008E5D7A" w14:paraId="2F3302AA" w14:textId="77777777" w:rsidTr="00B756A1">
              <w:tc>
                <w:tcPr>
                  <w:tcW w:w="9060" w:type="dxa"/>
                </w:tcPr>
                <w:p w14:paraId="4747F947" w14:textId="77777777" w:rsidR="008E5D7A" w:rsidRPr="00562E8F" w:rsidRDefault="008E5D7A" w:rsidP="00B756A1">
                  <w:pPr>
                    <w:pStyle w:val="AdviceNumLevel1"/>
                    <w:numPr>
                      <w:ilvl w:val="0"/>
                      <w:numId w:val="0"/>
                    </w:numPr>
                    <w:jc w:val="center"/>
                    <w:rPr>
                      <w:rFonts w:asciiTheme="minorHAnsi" w:hAnsiTheme="minorHAnsi" w:cstheme="minorHAnsi"/>
                      <w:b/>
                      <w:bCs/>
                      <w:sz w:val="28"/>
                      <w:szCs w:val="28"/>
                    </w:rPr>
                  </w:pPr>
                  <w:r w:rsidRPr="00562E8F">
                    <w:rPr>
                      <w:rFonts w:asciiTheme="minorHAnsi" w:hAnsiTheme="minorHAnsi" w:cstheme="minorHAnsi"/>
                      <w:b/>
                      <w:bCs/>
                      <w:sz w:val="28"/>
                      <w:szCs w:val="28"/>
                    </w:rPr>
                    <w:t>Business Confidential Information REDACTED</w:t>
                  </w:r>
                </w:p>
              </w:tc>
            </w:tr>
          </w:tbl>
          <w:p w14:paraId="52F9F8D7" w14:textId="77777777" w:rsidR="008E5D7A" w:rsidRPr="00B957A5" w:rsidRDefault="008E5D7A" w:rsidP="00B756A1">
            <w:pPr>
              <w:pStyle w:val="AdviceNumLevel1"/>
              <w:numPr>
                <w:ilvl w:val="0"/>
                <w:numId w:val="0"/>
              </w:numPr>
              <w:pBdr>
                <w:right w:val="single" w:sz="4" w:space="4" w:color="auto"/>
              </w:pBdr>
              <w:jc w:val="center"/>
              <w:rPr>
                <w:rFonts w:asciiTheme="minorHAnsi" w:hAnsiTheme="minorHAnsi" w:cstheme="minorHAnsi"/>
                <w:b/>
                <w:bCs/>
                <w:sz w:val="28"/>
                <w:szCs w:val="28"/>
              </w:rPr>
            </w:pPr>
          </w:p>
        </w:tc>
      </w:tr>
      <w:tr w:rsidR="008E5D7A" w14:paraId="1F373F6D" w14:textId="77777777" w:rsidTr="00B756A1">
        <w:trPr>
          <w:trHeight w:val="624"/>
        </w:trPr>
        <w:tc>
          <w:tcPr>
            <w:tcW w:w="9060" w:type="dxa"/>
          </w:tcPr>
          <w:p w14:paraId="68299B49" w14:textId="77777777" w:rsidR="008E5D7A" w:rsidRDefault="008E5D7A" w:rsidP="00B756A1">
            <w:pPr>
              <w:pStyle w:val="DDDocumentDate"/>
              <w:rPr>
                <w:rFonts w:asciiTheme="minorHAnsi" w:hAnsiTheme="minorHAnsi" w:cstheme="minorHAnsi"/>
              </w:rPr>
            </w:pPr>
            <w:r w:rsidRPr="00DB22B7">
              <w:rPr>
                <w:rFonts w:asciiTheme="minorHAnsi" w:hAnsiTheme="minorHAnsi" w:cstheme="minorHAnsi"/>
              </w:rPr>
              <w:t>16 December</w:t>
            </w:r>
            <w:r>
              <w:rPr>
                <w:rFonts w:asciiTheme="minorHAnsi" w:hAnsiTheme="minorHAnsi" w:cstheme="minorHAnsi"/>
              </w:rPr>
              <w:t xml:space="preserve"> 2022</w:t>
            </w:r>
          </w:p>
        </w:tc>
      </w:tr>
    </w:tbl>
    <w:p w14:paraId="2588EE66" w14:textId="77777777" w:rsidR="008E5D7A" w:rsidRDefault="008E5D7A" w:rsidP="008E5D7A">
      <w:pPr>
        <w:pStyle w:val="BTNSSBodyTextNoSpacingSmall"/>
        <w:rPr>
          <w:rFonts w:asciiTheme="minorHAnsi" w:hAnsiTheme="minorHAnsi" w:cstheme="minorHAnsi"/>
        </w:rPr>
      </w:pPr>
    </w:p>
    <w:p w14:paraId="112E8291" w14:textId="77777777" w:rsidR="008E5D7A" w:rsidRDefault="008E5D7A" w:rsidP="008E5D7A">
      <w:pPr>
        <w:pStyle w:val="BTNSSBodyTextNoSpacingSmall"/>
        <w:rPr>
          <w:rFonts w:asciiTheme="minorHAnsi" w:hAnsiTheme="minorHAnsi" w:cstheme="minorHAnsi"/>
        </w:rPr>
      </w:pPr>
      <w:r>
        <w:rPr>
          <w:rFonts w:asciiTheme="minorHAnsi" w:hAnsiTheme="minorHAnsi" w:cstheme="minorHAnsi"/>
        </w:rPr>
        <w:br w:type="page"/>
      </w:r>
    </w:p>
    <w:p w14:paraId="4053C167" w14:textId="77777777" w:rsidR="008E5D7A" w:rsidRDefault="008E5D7A" w:rsidP="008E5D7A">
      <w:pPr>
        <w:pStyle w:val="BTNSSBodyTextNoSpacingSmall"/>
        <w:rPr>
          <w:rFonts w:asciiTheme="minorHAnsi" w:hAnsiTheme="minorHAnsi" w:cstheme="minorHAnsi"/>
          <w:sz w:val="2"/>
          <w:szCs w:val="2"/>
        </w:rPr>
      </w:pPr>
    </w:p>
    <w:sdt>
      <w:sdtPr>
        <w:rPr>
          <w:rFonts w:asciiTheme="minorHAnsi" w:hAnsiTheme="minorHAnsi" w:cstheme="minorHAnsi"/>
          <w:b w:val="0"/>
          <w:caps w:val="0"/>
          <w:sz w:val="8"/>
          <w:szCs w:val="8"/>
          <w:lang w:val="en-AU"/>
        </w:rPr>
        <w:id w:val="-1730524273"/>
        <w:docPartObj>
          <w:docPartGallery w:val="Table of Contents"/>
          <w:docPartUnique/>
        </w:docPartObj>
      </w:sdtPr>
      <w:sdtEndPr>
        <w:rPr>
          <w:bCs/>
        </w:rPr>
      </w:sdtEndPr>
      <w:sdtContent>
        <w:p w14:paraId="682F6641" w14:textId="77777777" w:rsidR="008E5D7A" w:rsidRDefault="008E5D7A" w:rsidP="008E5D7A">
          <w:pPr>
            <w:pStyle w:val="TOCHeading"/>
            <w:rPr>
              <w:rFonts w:asciiTheme="minorHAnsi" w:hAnsiTheme="minorHAnsi" w:cstheme="minorHAnsi"/>
              <w:lang w:val="en-AU"/>
            </w:rPr>
          </w:pPr>
          <w:r>
            <w:rPr>
              <w:rFonts w:asciiTheme="minorHAnsi" w:hAnsiTheme="minorHAnsi" w:cstheme="minorHAnsi"/>
              <w:lang w:val="en-AU"/>
            </w:rPr>
            <w:t>Table of Contents</w:t>
          </w:r>
        </w:p>
        <w:p w14:paraId="7D72C3A5" w14:textId="24F5A1D6" w:rsidR="008E5D7A" w:rsidRDefault="008E5D7A" w:rsidP="008E5D7A">
          <w:pPr>
            <w:pStyle w:val="TOC1"/>
            <w:rPr>
              <w:rFonts w:asciiTheme="minorHAnsi" w:eastAsiaTheme="minorEastAsia" w:hAnsiTheme="minorHAnsi"/>
              <w:b w:val="0"/>
              <w:caps w:val="0"/>
              <w:noProof/>
              <w:sz w:val="22"/>
              <w:szCs w:val="22"/>
              <w:lang w:eastAsia="en-AU"/>
            </w:rPr>
          </w:pPr>
          <w:r>
            <w:rPr>
              <w:rFonts w:asciiTheme="minorHAnsi" w:hAnsiTheme="minorHAnsi" w:cstheme="minorHAnsi"/>
            </w:rPr>
            <w:fldChar w:fldCharType="begin"/>
          </w:r>
          <w:r>
            <w:rPr>
              <w:rFonts w:asciiTheme="minorHAnsi" w:hAnsiTheme="minorHAnsi" w:cstheme="minorHAnsi"/>
            </w:rPr>
            <w:instrText xml:space="preserve"> TOC \o "1-5" \h \z \u </w:instrText>
          </w:r>
          <w:r>
            <w:rPr>
              <w:rFonts w:asciiTheme="minorHAnsi" w:hAnsiTheme="minorHAnsi" w:cstheme="minorHAnsi"/>
            </w:rPr>
            <w:fldChar w:fldCharType="separate"/>
          </w:r>
          <w:hyperlink w:anchor="_Toc122009488" w:history="1">
            <w:r w:rsidRPr="00B41377">
              <w:rPr>
                <w:rStyle w:val="Hyperlink"/>
                <w:rFonts w:cstheme="minorHAnsi"/>
                <w:noProof/>
              </w:rPr>
              <w:t>Table of Cases</w:t>
            </w:r>
            <w:r>
              <w:rPr>
                <w:noProof/>
                <w:webHidden/>
              </w:rPr>
              <w:tab/>
            </w:r>
            <w:r>
              <w:rPr>
                <w:noProof/>
                <w:webHidden/>
              </w:rPr>
              <w:fldChar w:fldCharType="begin"/>
            </w:r>
            <w:r>
              <w:rPr>
                <w:noProof/>
                <w:webHidden/>
              </w:rPr>
              <w:instrText xml:space="preserve"> PAGEREF _Toc122009488 \h </w:instrText>
            </w:r>
            <w:r>
              <w:rPr>
                <w:noProof/>
                <w:webHidden/>
              </w:rPr>
            </w:r>
            <w:r>
              <w:rPr>
                <w:noProof/>
                <w:webHidden/>
              </w:rPr>
              <w:fldChar w:fldCharType="separate"/>
            </w:r>
            <w:r w:rsidR="002A2241">
              <w:rPr>
                <w:noProof/>
                <w:webHidden/>
              </w:rPr>
              <w:t>3</w:t>
            </w:r>
            <w:r>
              <w:rPr>
                <w:noProof/>
                <w:webHidden/>
              </w:rPr>
              <w:fldChar w:fldCharType="end"/>
            </w:r>
          </w:hyperlink>
        </w:p>
        <w:p w14:paraId="36C890B2" w14:textId="58F76133" w:rsidR="008E5D7A" w:rsidRDefault="00570B7E" w:rsidP="008E5D7A">
          <w:pPr>
            <w:pStyle w:val="TOC1"/>
            <w:rPr>
              <w:rFonts w:asciiTheme="minorHAnsi" w:eastAsiaTheme="minorEastAsia" w:hAnsiTheme="minorHAnsi"/>
              <w:b w:val="0"/>
              <w:caps w:val="0"/>
              <w:noProof/>
              <w:sz w:val="22"/>
              <w:szCs w:val="22"/>
              <w:lang w:eastAsia="en-AU"/>
            </w:rPr>
          </w:pPr>
          <w:hyperlink w:anchor="_Toc122009489" w:history="1">
            <w:r w:rsidR="008E5D7A" w:rsidRPr="00B41377">
              <w:rPr>
                <w:rStyle w:val="Hyperlink"/>
                <w:rFonts w:cstheme="minorHAnsi"/>
                <w:noProof/>
              </w:rPr>
              <w:t>Table of EXHIBITS</w:t>
            </w:r>
            <w:r w:rsidR="008E5D7A">
              <w:rPr>
                <w:noProof/>
                <w:webHidden/>
              </w:rPr>
              <w:tab/>
            </w:r>
            <w:r w:rsidR="008E5D7A">
              <w:rPr>
                <w:noProof/>
                <w:webHidden/>
              </w:rPr>
              <w:fldChar w:fldCharType="begin"/>
            </w:r>
            <w:r w:rsidR="008E5D7A">
              <w:rPr>
                <w:noProof/>
                <w:webHidden/>
              </w:rPr>
              <w:instrText xml:space="preserve"> PAGEREF _Toc122009489 \h </w:instrText>
            </w:r>
            <w:r w:rsidR="008E5D7A">
              <w:rPr>
                <w:noProof/>
                <w:webHidden/>
              </w:rPr>
            </w:r>
            <w:r w:rsidR="008E5D7A">
              <w:rPr>
                <w:noProof/>
                <w:webHidden/>
              </w:rPr>
              <w:fldChar w:fldCharType="separate"/>
            </w:r>
            <w:r w:rsidR="002A2241">
              <w:rPr>
                <w:noProof/>
                <w:webHidden/>
              </w:rPr>
              <w:t>5</w:t>
            </w:r>
            <w:r w:rsidR="008E5D7A">
              <w:rPr>
                <w:noProof/>
                <w:webHidden/>
              </w:rPr>
              <w:fldChar w:fldCharType="end"/>
            </w:r>
          </w:hyperlink>
        </w:p>
        <w:p w14:paraId="4763CAF7" w14:textId="59D382E7" w:rsidR="008E5D7A" w:rsidRDefault="00570B7E" w:rsidP="008E5D7A">
          <w:pPr>
            <w:pStyle w:val="TOC1"/>
            <w:rPr>
              <w:rFonts w:asciiTheme="minorHAnsi" w:eastAsiaTheme="minorEastAsia" w:hAnsiTheme="minorHAnsi"/>
              <w:b w:val="0"/>
              <w:caps w:val="0"/>
              <w:noProof/>
              <w:sz w:val="22"/>
              <w:szCs w:val="22"/>
              <w:lang w:eastAsia="en-AU"/>
            </w:rPr>
          </w:pPr>
          <w:hyperlink w:anchor="_Toc122009490" w:history="1">
            <w:r w:rsidR="008E5D7A" w:rsidRPr="00B41377">
              <w:rPr>
                <w:rStyle w:val="Hyperlink"/>
                <w:rFonts w:cstheme="minorHAnsi"/>
                <w:noProof/>
              </w:rPr>
              <w:t>List of Acronyms, Abbreviations and Short Forms</w:t>
            </w:r>
            <w:r w:rsidR="008E5D7A">
              <w:rPr>
                <w:noProof/>
                <w:webHidden/>
              </w:rPr>
              <w:tab/>
            </w:r>
            <w:r w:rsidR="008E5D7A">
              <w:rPr>
                <w:noProof/>
                <w:webHidden/>
              </w:rPr>
              <w:fldChar w:fldCharType="begin"/>
            </w:r>
            <w:r w:rsidR="008E5D7A">
              <w:rPr>
                <w:noProof/>
                <w:webHidden/>
              </w:rPr>
              <w:instrText xml:space="preserve"> PAGEREF _Toc122009490 \h </w:instrText>
            </w:r>
            <w:r w:rsidR="008E5D7A">
              <w:rPr>
                <w:noProof/>
                <w:webHidden/>
              </w:rPr>
            </w:r>
            <w:r w:rsidR="008E5D7A">
              <w:rPr>
                <w:noProof/>
                <w:webHidden/>
              </w:rPr>
              <w:fldChar w:fldCharType="separate"/>
            </w:r>
            <w:r w:rsidR="002A2241">
              <w:rPr>
                <w:noProof/>
                <w:webHidden/>
              </w:rPr>
              <w:t>6</w:t>
            </w:r>
            <w:r w:rsidR="008E5D7A">
              <w:rPr>
                <w:noProof/>
                <w:webHidden/>
              </w:rPr>
              <w:fldChar w:fldCharType="end"/>
            </w:r>
          </w:hyperlink>
        </w:p>
        <w:p w14:paraId="5A6E3873" w14:textId="35AC93AA" w:rsidR="008E5D7A" w:rsidRDefault="00570B7E" w:rsidP="008E5D7A">
          <w:pPr>
            <w:pStyle w:val="TOC1"/>
            <w:rPr>
              <w:rFonts w:asciiTheme="minorHAnsi" w:eastAsiaTheme="minorEastAsia" w:hAnsiTheme="minorHAnsi"/>
              <w:b w:val="0"/>
              <w:caps w:val="0"/>
              <w:noProof/>
              <w:sz w:val="22"/>
              <w:szCs w:val="22"/>
              <w:lang w:eastAsia="en-AU"/>
            </w:rPr>
          </w:pPr>
          <w:hyperlink w:anchor="_Toc122009491" w:history="1">
            <w:r w:rsidR="008E5D7A" w:rsidRPr="00B41377">
              <w:rPr>
                <w:rStyle w:val="Hyperlink"/>
                <w:rFonts w:cstheme="minorHAnsi"/>
                <w:noProof/>
              </w:rPr>
              <w:t>I.</w:t>
            </w:r>
            <w:r w:rsidR="008E5D7A">
              <w:rPr>
                <w:rFonts w:asciiTheme="minorHAnsi" w:eastAsiaTheme="minorEastAsia" w:hAnsiTheme="minorHAnsi"/>
                <w:b w:val="0"/>
                <w:caps w:val="0"/>
                <w:noProof/>
                <w:sz w:val="22"/>
                <w:szCs w:val="22"/>
                <w:lang w:eastAsia="en-AU"/>
              </w:rPr>
              <w:tab/>
            </w:r>
            <w:r w:rsidR="008E5D7A" w:rsidRPr="00B41377">
              <w:rPr>
                <w:rStyle w:val="Hyperlink"/>
                <w:rFonts w:cstheme="minorHAnsi"/>
                <w:noProof/>
              </w:rPr>
              <w:t>Introduction</w:t>
            </w:r>
            <w:r w:rsidR="008E5D7A">
              <w:rPr>
                <w:noProof/>
                <w:webHidden/>
              </w:rPr>
              <w:tab/>
            </w:r>
            <w:r w:rsidR="008E5D7A">
              <w:rPr>
                <w:noProof/>
                <w:webHidden/>
              </w:rPr>
              <w:fldChar w:fldCharType="begin"/>
            </w:r>
            <w:r w:rsidR="008E5D7A">
              <w:rPr>
                <w:noProof/>
                <w:webHidden/>
              </w:rPr>
              <w:instrText xml:space="preserve"> PAGEREF _Toc122009491 \h </w:instrText>
            </w:r>
            <w:r w:rsidR="008E5D7A">
              <w:rPr>
                <w:noProof/>
                <w:webHidden/>
              </w:rPr>
            </w:r>
            <w:r w:rsidR="008E5D7A">
              <w:rPr>
                <w:noProof/>
                <w:webHidden/>
              </w:rPr>
              <w:fldChar w:fldCharType="separate"/>
            </w:r>
            <w:r w:rsidR="002A2241">
              <w:rPr>
                <w:noProof/>
                <w:webHidden/>
              </w:rPr>
              <w:t>7</w:t>
            </w:r>
            <w:r w:rsidR="008E5D7A">
              <w:rPr>
                <w:noProof/>
                <w:webHidden/>
              </w:rPr>
              <w:fldChar w:fldCharType="end"/>
            </w:r>
          </w:hyperlink>
        </w:p>
        <w:p w14:paraId="517881FF" w14:textId="5F82B29E" w:rsidR="008E5D7A" w:rsidRDefault="00570B7E" w:rsidP="008E5D7A">
          <w:pPr>
            <w:pStyle w:val="TOC1"/>
            <w:rPr>
              <w:rFonts w:asciiTheme="minorHAnsi" w:eastAsiaTheme="minorEastAsia" w:hAnsiTheme="minorHAnsi"/>
              <w:b w:val="0"/>
              <w:caps w:val="0"/>
              <w:noProof/>
              <w:sz w:val="22"/>
              <w:szCs w:val="22"/>
              <w:lang w:eastAsia="en-AU"/>
            </w:rPr>
          </w:pPr>
          <w:hyperlink w:anchor="_Toc122009492" w:history="1">
            <w:r w:rsidR="008E5D7A" w:rsidRPr="00B41377">
              <w:rPr>
                <w:rStyle w:val="Hyperlink"/>
                <w:rFonts w:cstheme="minorHAnsi"/>
                <w:noProof/>
              </w:rPr>
              <w:t>II.</w:t>
            </w:r>
            <w:r w:rsidR="008E5D7A">
              <w:rPr>
                <w:rFonts w:asciiTheme="minorHAnsi" w:eastAsiaTheme="minorEastAsia" w:hAnsiTheme="minorHAnsi"/>
                <w:b w:val="0"/>
                <w:caps w:val="0"/>
                <w:noProof/>
                <w:sz w:val="22"/>
                <w:szCs w:val="22"/>
                <w:lang w:eastAsia="en-AU"/>
              </w:rPr>
              <w:tab/>
            </w:r>
            <w:r w:rsidR="008E5D7A" w:rsidRPr="00B41377">
              <w:rPr>
                <w:rStyle w:val="Hyperlink"/>
                <w:rFonts w:cstheme="minorHAnsi"/>
                <w:noProof/>
              </w:rPr>
              <w:t>The legal framework</w:t>
            </w:r>
            <w:r w:rsidR="008E5D7A">
              <w:rPr>
                <w:noProof/>
                <w:webHidden/>
              </w:rPr>
              <w:tab/>
            </w:r>
            <w:r w:rsidR="008E5D7A">
              <w:rPr>
                <w:noProof/>
                <w:webHidden/>
              </w:rPr>
              <w:fldChar w:fldCharType="begin"/>
            </w:r>
            <w:r w:rsidR="008E5D7A">
              <w:rPr>
                <w:noProof/>
                <w:webHidden/>
              </w:rPr>
              <w:instrText xml:space="preserve"> PAGEREF _Toc122009492 \h </w:instrText>
            </w:r>
            <w:r w:rsidR="008E5D7A">
              <w:rPr>
                <w:noProof/>
                <w:webHidden/>
              </w:rPr>
            </w:r>
            <w:r w:rsidR="008E5D7A">
              <w:rPr>
                <w:noProof/>
                <w:webHidden/>
              </w:rPr>
              <w:fldChar w:fldCharType="separate"/>
            </w:r>
            <w:r w:rsidR="002A2241">
              <w:rPr>
                <w:noProof/>
                <w:webHidden/>
              </w:rPr>
              <w:t>8</w:t>
            </w:r>
            <w:r w:rsidR="008E5D7A">
              <w:rPr>
                <w:noProof/>
                <w:webHidden/>
              </w:rPr>
              <w:fldChar w:fldCharType="end"/>
            </w:r>
          </w:hyperlink>
        </w:p>
        <w:p w14:paraId="171FF4E5" w14:textId="30779447" w:rsidR="008E5D7A" w:rsidRDefault="00570B7E" w:rsidP="008E5D7A">
          <w:pPr>
            <w:pStyle w:val="TOC1"/>
            <w:rPr>
              <w:rFonts w:asciiTheme="minorHAnsi" w:eastAsiaTheme="minorEastAsia" w:hAnsiTheme="minorHAnsi"/>
              <w:b w:val="0"/>
              <w:caps w:val="0"/>
              <w:noProof/>
              <w:sz w:val="22"/>
              <w:szCs w:val="22"/>
              <w:lang w:eastAsia="en-AU"/>
            </w:rPr>
          </w:pPr>
          <w:hyperlink w:anchor="_Toc122009493" w:history="1">
            <w:r w:rsidR="008E5D7A" w:rsidRPr="00B41377">
              <w:rPr>
                <w:rStyle w:val="Hyperlink"/>
                <w:rFonts w:cstheme="minorHAnsi"/>
                <w:noProof/>
              </w:rPr>
              <w:t>III.</w:t>
            </w:r>
            <w:r w:rsidR="008E5D7A">
              <w:rPr>
                <w:rFonts w:asciiTheme="minorHAnsi" w:eastAsiaTheme="minorEastAsia" w:hAnsiTheme="minorHAnsi"/>
                <w:b w:val="0"/>
                <w:caps w:val="0"/>
                <w:noProof/>
                <w:sz w:val="22"/>
                <w:szCs w:val="22"/>
                <w:lang w:eastAsia="en-AU"/>
              </w:rPr>
              <w:tab/>
            </w:r>
            <w:r w:rsidR="008E5D7A" w:rsidRPr="00B41377">
              <w:rPr>
                <w:rStyle w:val="Hyperlink"/>
                <w:rFonts w:cstheme="minorHAnsi"/>
                <w:noProof/>
              </w:rPr>
              <w:t>THE COUNTERVAILING MEASURES CHALLENGED BY CHINA WERE terminated TWO YEARS prior to the date of the panel’s establishment</w:t>
            </w:r>
            <w:r w:rsidR="008E5D7A">
              <w:rPr>
                <w:noProof/>
                <w:webHidden/>
              </w:rPr>
              <w:tab/>
            </w:r>
            <w:r w:rsidR="008E5D7A">
              <w:rPr>
                <w:noProof/>
                <w:webHidden/>
              </w:rPr>
              <w:fldChar w:fldCharType="begin"/>
            </w:r>
            <w:r w:rsidR="008E5D7A">
              <w:rPr>
                <w:noProof/>
                <w:webHidden/>
              </w:rPr>
              <w:instrText xml:space="preserve"> PAGEREF _Toc122009493 \h </w:instrText>
            </w:r>
            <w:r w:rsidR="008E5D7A">
              <w:rPr>
                <w:noProof/>
                <w:webHidden/>
              </w:rPr>
            </w:r>
            <w:r w:rsidR="008E5D7A">
              <w:rPr>
                <w:noProof/>
                <w:webHidden/>
              </w:rPr>
              <w:fldChar w:fldCharType="separate"/>
            </w:r>
            <w:r w:rsidR="002A2241">
              <w:rPr>
                <w:noProof/>
                <w:webHidden/>
              </w:rPr>
              <w:t>11</w:t>
            </w:r>
            <w:r w:rsidR="008E5D7A">
              <w:rPr>
                <w:noProof/>
                <w:webHidden/>
              </w:rPr>
              <w:fldChar w:fldCharType="end"/>
            </w:r>
          </w:hyperlink>
        </w:p>
        <w:p w14:paraId="4002C630" w14:textId="2D74A2CA" w:rsidR="008E5D7A" w:rsidRDefault="00570B7E" w:rsidP="008E5D7A">
          <w:pPr>
            <w:pStyle w:val="TOC1"/>
            <w:rPr>
              <w:rFonts w:asciiTheme="minorHAnsi" w:eastAsiaTheme="minorEastAsia" w:hAnsiTheme="minorHAnsi"/>
              <w:b w:val="0"/>
              <w:caps w:val="0"/>
              <w:noProof/>
              <w:sz w:val="22"/>
              <w:szCs w:val="22"/>
              <w:lang w:eastAsia="en-AU"/>
            </w:rPr>
          </w:pPr>
          <w:hyperlink w:anchor="_Toc122009494" w:history="1">
            <w:r w:rsidR="008E5D7A" w:rsidRPr="00B41377">
              <w:rPr>
                <w:rStyle w:val="Hyperlink"/>
                <w:rFonts w:cstheme="minorHAnsi"/>
                <w:noProof/>
              </w:rPr>
              <w:t>IV.</w:t>
            </w:r>
            <w:r w:rsidR="008E5D7A">
              <w:rPr>
                <w:rFonts w:asciiTheme="minorHAnsi" w:eastAsiaTheme="minorEastAsia" w:hAnsiTheme="minorHAnsi"/>
                <w:b w:val="0"/>
                <w:caps w:val="0"/>
                <w:noProof/>
                <w:sz w:val="22"/>
                <w:szCs w:val="22"/>
                <w:lang w:eastAsia="en-AU"/>
              </w:rPr>
              <w:tab/>
            </w:r>
            <w:r w:rsidR="008E5D7A" w:rsidRPr="00B41377">
              <w:rPr>
                <w:rStyle w:val="Hyperlink"/>
                <w:rFonts w:cstheme="minorHAnsi"/>
                <w:noProof/>
              </w:rPr>
              <w:t>Relief sought</w:t>
            </w:r>
            <w:r w:rsidR="008E5D7A">
              <w:rPr>
                <w:noProof/>
                <w:webHidden/>
              </w:rPr>
              <w:tab/>
            </w:r>
            <w:r w:rsidR="008E5D7A">
              <w:rPr>
                <w:noProof/>
                <w:webHidden/>
              </w:rPr>
              <w:fldChar w:fldCharType="begin"/>
            </w:r>
            <w:r w:rsidR="008E5D7A">
              <w:rPr>
                <w:noProof/>
                <w:webHidden/>
              </w:rPr>
              <w:instrText xml:space="preserve"> PAGEREF _Toc122009494 \h </w:instrText>
            </w:r>
            <w:r w:rsidR="008E5D7A">
              <w:rPr>
                <w:noProof/>
                <w:webHidden/>
              </w:rPr>
            </w:r>
            <w:r w:rsidR="008E5D7A">
              <w:rPr>
                <w:noProof/>
                <w:webHidden/>
              </w:rPr>
              <w:fldChar w:fldCharType="separate"/>
            </w:r>
            <w:r w:rsidR="002A2241">
              <w:rPr>
                <w:noProof/>
                <w:webHidden/>
              </w:rPr>
              <w:t>18</w:t>
            </w:r>
            <w:r w:rsidR="008E5D7A">
              <w:rPr>
                <w:noProof/>
                <w:webHidden/>
              </w:rPr>
              <w:fldChar w:fldCharType="end"/>
            </w:r>
          </w:hyperlink>
        </w:p>
        <w:p w14:paraId="457A06D7" w14:textId="77777777" w:rsidR="008E5D7A" w:rsidRDefault="008E5D7A" w:rsidP="008E5D7A">
          <w:pPr>
            <w:pStyle w:val="BTNSSBodyTextNoSpacingSmall"/>
            <w:rPr>
              <w:rFonts w:asciiTheme="minorHAnsi" w:eastAsiaTheme="majorEastAsia" w:hAnsiTheme="minorHAnsi" w:cstheme="minorHAnsi"/>
              <w:sz w:val="24"/>
              <w:szCs w:val="32"/>
            </w:rPr>
          </w:pPr>
          <w:r>
            <w:rPr>
              <w:rFonts w:asciiTheme="minorHAnsi" w:eastAsiaTheme="majorEastAsia" w:hAnsiTheme="minorHAnsi" w:cstheme="minorHAnsi"/>
              <w:sz w:val="24"/>
              <w:szCs w:val="32"/>
            </w:rPr>
            <w:fldChar w:fldCharType="end"/>
          </w:r>
        </w:p>
      </w:sdtContent>
    </w:sdt>
    <w:p w14:paraId="7565330E" w14:textId="77777777" w:rsidR="008E5D7A" w:rsidRDefault="008E5D7A" w:rsidP="008E5D7A">
      <w:pPr>
        <w:pStyle w:val="BTNSSBodyTextNoSpacingSmall"/>
        <w:rPr>
          <w:rFonts w:asciiTheme="minorHAnsi" w:hAnsiTheme="minorHAnsi" w:cstheme="minorHAnsi"/>
        </w:rPr>
      </w:pPr>
    </w:p>
    <w:p w14:paraId="46648ED4" w14:textId="77777777" w:rsidR="008E5D7A" w:rsidRDefault="008E5D7A" w:rsidP="008E5D7A">
      <w:pPr>
        <w:rPr>
          <w:rFonts w:asciiTheme="minorHAnsi" w:eastAsiaTheme="majorEastAsia" w:hAnsiTheme="minorHAnsi" w:cstheme="minorHAnsi"/>
          <w:b/>
          <w:caps/>
          <w:szCs w:val="32"/>
        </w:rPr>
      </w:pPr>
      <w:r>
        <w:rPr>
          <w:rFonts w:asciiTheme="minorHAnsi" w:hAnsiTheme="minorHAnsi" w:cstheme="minorHAnsi"/>
        </w:rPr>
        <w:br w:type="page"/>
      </w:r>
    </w:p>
    <w:p w14:paraId="1AC846D7" w14:textId="77777777" w:rsidR="008E5D7A" w:rsidRPr="007C37D2" w:rsidRDefault="008E5D7A" w:rsidP="008E5D7A">
      <w:pPr>
        <w:pStyle w:val="SHSectionHeading"/>
        <w:rPr>
          <w:rFonts w:asciiTheme="minorHAnsi" w:hAnsiTheme="minorHAnsi" w:cstheme="minorHAnsi"/>
        </w:rPr>
      </w:pPr>
      <w:bookmarkStart w:id="0" w:name="_Toc121253011"/>
      <w:bookmarkStart w:id="1" w:name="_Toc122009488"/>
      <w:r w:rsidRPr="007C37D2">
        <w:rPr>
          <w:rFonts w:asciiTheme="minorHAnsi" w:hAnsiTheme="minorHAnsi" w:cstheme="minorHAnsi"/>
        </w:rPr>
        <w:lastRenderedPageBreak/>
        <w:t>Table of Cases</w:t>
      </w:r>
      <w:bookmarkEnd w:id="0"/>
      <w:bookmarkEnd w:id="1"/>
    </w:p>
    <w:p w14:paraId="10526832" w14:textId="77777777" w:rsidR="008E5D7A" w:rsidRPr="00580945" w:rsidRDefault="008E5D7A" w:rsidP="008E5D7A">
      <w:pPr>
        <w:pStyle w:val="BTNSSBodyTextNoSpacingSmall"/>
        <w:rPr>
          <w:rFonts w:asciiTheme="minorHAnsi" w:hAnsiTheme="minorHAnsi" w:cstheme="minorHAnsi"/>
        </w:rPr>
      </w:pPr>
    </w:p>
    <w:tbl>
      <w:tblPr>
        <w:tblStyle w:val="TableGrid"/>
        <w:tblW w:w="5000" w:type="pct"/>
        <w:tblLook w:val="04A0" w:firstRow="1" w:lastRow="0" w:firstColumn="1" w:lastColumn="0" w:noHBand="0" w:noVBand="1"/>
      </w:tblPr>
      <w:tblGrid>
        <w:gridCol w:w="2265"/>
        <w:gridCol w:w="6795"/>
      </w:tblGrid>
      <w:tr w:rsidR="008E5D7A" w:rsidRPr="00AD514D" w14:paraId="52B57B0D" w14:textId="77777777" w:rsidTr="00B756A1">
        <w:trPr>
          <w:cantSplit/>
          <w:trHeight w:val="397"/>
          <w:tblHeader/>
        </w:trPr>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40195" w14:textId="77777777" w:rsidR="008E5D7A" w:rsidRPr="00AD514D" w:rsidRDefault="008E5D7A" w:rsidP="00B756A1">
            <w:pPr>
              <w:pStyle w:val="THTableHeading"/>
              <w:rPr>
                <w:rFonts w:asciiTheme="minorHAnsi" w:hAnsiTheme="minorHAnsi" w:cstheme="minorHAnsi"/>
              </w:rPr>
            </w:pPr>
            <w:r w:rsidRPr="00AD514D">
              <w:rPr>
                <w:rFonts w:asciiTheme="minorHAnsi" w:hAnsiTheme="minorHAnsi" w:cstheme="minorHAnsi"/>
              </w:rPr>
              <w:t>Short Title</w:t>
            </w:r>
          </w:p>
        </w:tc>
        <w:tc>
          <w:tcPr>
            <w:tcW w:w="6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D8C8B" w14:textId="77777777" w:rsidR="008E5D7A" w:rsidRPr="00AD514D" w:rsidRDefault="008E5D7A" w:rsidP="00B756A1">
            <w:pPr>
              <w:pStyle w:val="THTableHeading"/>
              <w:jc w:val="center"/>
              <w:rPr>
                <w:rFonts w:asciiTheme="minorHAnsi" w:hAnsiTheme="minorHAnsi" w:cstheme="minorHAnsi"/>
              </w:rPr>
            </w:pPr>
            <w:r w:rsidRPr="00AD514D">
              <w:rPr>
                <w:rFonts w:asciiTheme="minorHAnsi" w:hAnsiTheme="minorHAnsi" w:cstheme="minorHAnsi"/>
              </w:rPr>
              <w:t>Full Case Title and Citation</w:t>
            </w:r>
          </w:p>
        </w:tc>
      </w:tr>
      <w:tr w:rsidR="008E5D7A" w:rsidRPr="00AD514D" w14:paraId="33DE35EB"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173E714D" w14:textId="77777777" w:rsidR="008E5D7A" w:rsidRPr="00AD514D" w:rsidRDefault="008E5D7A" w:rsidP="00B756A1">
            <w:pPr>
              <w:pStyle w:val="TTTableText"/>
              <w:rPr>
                <w:i/>
              </w:rPr>
            </w:pPr>
            <w:r w:rsidRPr="008124DD">
              <w:rPr>
                <w:i/>
              </w:rPr>
              <w:t>Argentina – Textiles and Apparel</w:t>
            </w:r>
          </w:p>
        </w:tc>
        <w:tc>
          <w:tcPr>
            <w:tcW w:w="6795" w:type="dxa"/>
            <w:tcBorders>
              <w:top w:val="single" w:sz="4" w:space="0" w:color="auto"/>
              <w:left w:val="single" w:sz="4" w:space="0" w:color="auto"/>
              <w:bottom w:val="single" w:sz="4" w:space="0" w:color="auto"/>
              <w:right w:val="single" w:sz="4" w:space="0" w:color="auto"/>
            </w:tcBorders>
            <w:shd w:val="clear" w:color="auto" w:fill="auto"/>
            <w:hideMark/>
          </w:tcPr>
          <w:p w14:paraId="518D46B4" w14:textId="77777777" w:rsidR="008E5D7A" w:rsidRPr="00AD514D" w:rsidRDefault="008E5D7A" w:rsidP="00B756A1">
            <w:pPr>
              <w:spacing w:line="240" w:lineRule="auto"/>
              <w:rPr>
                <w:i/>
              </w:rPr>
            </w:pPr>
            <w:r w:rsidRPr="008124DD">
              <w:rPr>
                <w:iCs/>
              </w:rPr>
              <w:t xml:space="preserve">Panel Report, Argentina – </w:t>
            </w:r>
            <w:r w:rsidRPr="008124DD">
              <w:rPr>
                <w:i/>
              </w:rPr>
              <w:t>Measures Affecting Imports of Footwear, Textiles, Apparel and Other Items</w:t>
            </w:r>
            <w:r w:rsidRPr="008124DD">
              <w:rPr>
                <w:iCs/>
              </w:rPr>
              <w:t>, WT/DS56/R, adopted 22 April 1998, as modified by Appellate Body Report WT/DS56/AB/R, DSR 1998:III, p. 1033</w:t>
            </w:r>
          </w:p>
        </w:tc>
      </w:tr>
      <w:tr w:rsidR="008E5D7A" w:rsidRPr="00AD514D" w14:paraId="12184B4A"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6EC739A2" w14:textId="77777777" w:rsidR="008E5D7A" w:rsidRPr="00580945" w:rsidRDefault="008E5D7A" w:rsidP="00B756A1">
            <w:pPr>
              <w:pStyle w:val="TTTableText"/>
              <w:rPr>
                <w:i/>
              </w:rPr>
            </w:pPr>
            <w:r w:rsidRPr="003E5FBD">
              <w:rPr>
                <w:i/>
              </w:rPr>
              <w:t>Australia – Apples</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6BFADDB5" w14:textId="77777777" w:rsidR="008E5D7A" w:rsidRPr="00580945" w:rsidRDefault="008E5D7A" w:rsidP="00B756A1">
            <w:pPr>
              <w:spacing w:line="240" w:lineRule="auto"/>
              <w:rPr>
                <w:iCs/>
              </w:rPr>
            </w:pPr>
            <w:r w:rsidRPr="003E5FBD">
              <w:rPr>
                <w:iCs/>
              </w:rPr>
              <w:t xml:space="preserve">Appellate Body Report, </w:t>
            </w:r>
            <w:r w:rsidRPr="00AD514D">
              <w:rPr>
                <w:i/>
              </w:rPr>
              <w:t>Australia – Measures Affecting the Importation of Apples from New Zealand</w:t>
            </w:r>
            <w:r w:rsidRPr="003E5FBD">
              <w:rPr>
                <w:iCs/>
              </w:rPr>
              <w:t>, WT/DS367/AB/R, adopted 17 December 2010, DSR 2010:V, p. 2175</w:t>
            </w:r>
          </w:p>
        </w:tc>
      </w:tr>
      <w:tr w:rsidR="008E5D7A" w:rsidRPr="00AD514D" w14:paraId="14D009FC"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490D03F7" w14:textId="77777777" w:rsidR="008E5D7A" w:rsidRPr="00AD514D" w:rsidRDefault="008E5D7A" w:rsidP="00B756A1">
            <w:pPr>
              <w:pStyle w:val="TTTableText"/>
              <w:rPr>
                <w:i/>
              </w:rPr>
            </w:pPr>
            <w:r w:rsidRPr="00327566">
              <w:rPr>
                <w:i/>
                <w:iCs/>
              </w:rPr>
              <w:t>China – Agricultural Producers</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135DE969" w14:textId="77777777" w:rsidR="008E5D7A" w:rsidRPr="00AD514D" w:rsidRDefault="008E5D7A" w:rsidP="00B756A1">
            <w:pPr>
              <w:spacing w:line="240" w:lineRule="auto"/>
            </w:pPr>
            <w:r w:rsidRPr="00327566">
              <w:t xml:space="preserve">Panel Report, </w:t>
            </w:r>
            <w:r w:rsidRPr="00327566">
              <w:rPr>
                <w:i/>
                <w:iCs/>
              </w:rPr>
              <w:t>China – Domestic Support for Agricultural Producers</w:t>
            </w:r>
            <w:r w:rsidRPr="00327566">
              <w:t>, WT/DS511/R and Add.1, adopted 26 April 2019, DSR 2019:VI, p. 3297</w:t>
            </w:r>
          </w:p>
        </w:tc>
      </w:tr>
      <w:tr w:rsidR="008E5D7A" w:rsidRPr="00AD514D" w14:paraId="6D125DE9"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0C1BBBCD" w14:textId="77777777" w:rsidR="008E5D7A" w:rsidRPr="00327566" w:rsidRDefault="008E5D7A" w:rsidP="00B756A1">
            <w:pPr>
              <w:pStyle w:val="TTTableText"/>
              <w:rPr>
                <w:i/>
                <w:iCs/>
              </w:rPr>
            </w:pPr>
            <w:r>
              <w:rPr>
                <w:i/>
                <w:iCs/>
              </w:rPr>
              <w:t>China – Raw Materials</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1F00643E" w14:textId="77777777" w:rsidR="008E5D7A" w:rsidRPr="00395DB6" w:rsidRDefault="008E5D7A" w:rsidP="00B756A1">
            <w:pPr>
              <w:spacing w:line="240" w:lineRule="auto"/>
            </w:pPr>
            <w:r w:rsidRPr="00DB58E6">
              <w:t>Appellate Body Reports, China – Measures Related to the Exportation of Various Raw Materials, WT/DS394/AB/R / WT/DS395/AB/R / WT/DS398/AB/R, adopted 22 February 2012, DSR 2012:VII, p. 3295</w:t>
            </w:r>
          </w:p>
        </w:tc>
      </w:tr>
      <w:tr w:rsidR="008E5D7A" w:rsidRPr="00AD514D" w14:paraId="6A0185C9"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74A9A71B" w14:textId="77777777" w:rsidR="008E5D7A" w:rsidRPr="00580945" w:rsidRDefault="008E5D7A" w:rsidP="00B756A1">
            <w:pPr>
              <w:pStyle w:val="TTTableText"/>
              <w:rPr>
                <w:i/>
              </w:rPr>
            </w:pPr>
            <w:r w:rsidRPr="003E5FBD">
              <w:rPr>
                <w:i/>
                <w:iCs/>
                <w:lang w:val="en-US"/>
              </w:rPr>
              <w:t>EC – Chicken Cuts</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2B7CB391" w14:textId="77777777" w:rsidR="008E5D7A" w:rsidRPr="00580945" w:rsidRDefault="008E5D7A" w:rsidP="00B756A1">
            <w:pPr>
              <w:spacing w:line="240" w:lineRule="auto"/>
            </w:pPr>
            <w:r w:rsidRPr="003E5FBD">
              <w:t xml:space="preserve">Appellate Body Report, </w:t>
            </w:r>
            <w:r w:rsidRPr="00AD514D">
              <w:rPr>
                <w:i/>
                <w:iCs/>
              </w:rPr>
              <w:t>European Communities – Customs Classification of Frozen Boneless Chicken Cuts</w:t>
            </w:r>
            <w:r w:rsidRPr="003E5FBD">
              <w:t>, WT/DS269/AB/R, WT/DS286/AB/R, adopted 27 September 2005, and Corr.1, DSR 2005:XIX, p. 9157</w:t>
            </w:r>
          </w:p>
        </w:tc>
      </w:tr>
      <w:tr w:rsidR="008E5D7A" w:rsidRPr="00AD514D" w14:paraId="4B0D8A60"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57764E21" w14:textId="77777777" w:rsidR="008E5D7A" w:rsidRPr="00580945" w:rsidRDefault="008E5D7A" w:rsidP="00B756A1">
            <w:pPr>
              <w:pStyle w:val="TTTableText"/>
              <w:rPr>
                <w:i/>
              </w:rPr>
            </w:pPr>
            <w:r w:rsidRPr="00B2784F">
              <w:rPr>
                <w:i/>
              </w:rPr>
              <w:t>Mexico – Corn Syrup (Article 21.5 – US)</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70A02738" w14:textId="77777777" w:rsidR="008E5D7A" w:rsidRPr="00580945" w:rsidRDefault="008E5D7A" w:rsidP="00B756A1">
            <w:pPr>
              <w:spacing w:line="240" w:lineRule="auto"/>
            </w:pPr>
            <w:r w:rsidRPr="00B2784F">
              <w:t xml:space="preserve">Appellate Body Report, </w:t>
            </w:r>
            <w:r w:rsidRPr="00AD514D">
              <w:rPr>
                <w:i/>
                <w:iCs/>
              </w:rPr>
              <w:t>Mexico – Anti-Dumping Investigation of High Fructose Corn Syrup (HFCS) from the United States – Recourse to Article 21.5 of the DSU by the United States</w:t>
            </w:r>
            <w:r w:rsidRPr="00B2784F">
              <w:t>, WT/DS132/AB/RW, adopted 21 November 2001, DSR 2001:XIII, p. 6675</w:t>
            </w:r>
          </w:p>
        </w:tc>
      </w:tr>
      <w:tr w:rsidR="008E5D7A" w:rsidRPr="00AD514D" w14:paraId="3EF59F20"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6182689A" w14:textId="77777777" w:rsidR="008E5D7A" w:rsidRPr="00B2784F" w:rsidRDefault="008E5D7A" w:rsidP="00B756A1">
            <w:pPr>
              <w:pStyle w:val="TTTableText"/>
              <w:rPr>
                <w:i/>
              </w:rPr>
            </w:pPr>
            <w:r w:rsidRPr="00327566">
              <w:rPr>
                <w:i/>
              </w:rPr>
              <w:t>India – Sugar and Sugarcane (Australia)</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62F3D314" w14:textId="77777777" w:rsidR="008E5D7A" w:rsidRPr="00B2784F" w:rsidRDefault="008E5D7A" w:rsidP="00B756A1">
            <w:pPr>
              <w:spacing w:line="240" w:lineRule="auto"/>
            </w:pPr>
            <w:r>
              <w:t xml:space="preserve">Panel Report, </w:t>
            </w:r>
            <w:r w:rsidRPr="00327566">
              <w:rPr>
                <w:i/>
                <w:iCs/>
              </w:rPr>
              <w:t>India – Measures Concerning Sugar and Sugarcane</w:t>
            </w:r>
            <w:r>
              <w:t>, WT/DS580/R and Add.1, circulated to WTO Members 14 December 2021, appealed on 24 December 2021</w:t>
            </w:r>
          </w:p>
        </w:tc>
      </w:tr>
      <w:tr w:rsidR="008E5D7A" w:rsidRPr="00AD514D" w14:paraId="0CB88827"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6FE667F0" w14:textId="77777777" w:rsidR="008E5D7A" w:rsidRPr="00B2784F" w:rsidRDefault="008E5D7A" w:rsidP="00B756A1">
            <w:pPr>
              <w:pStyle w:val="TTTableText"/>
              <w:rPr>
                <w:i/>
              </w:rPr>
            </w:pPr>
            <w:r w:rsidRPr="00B2784F">
              <w:rPr>
                <w:i/>
              </w:rPr>
              <w:t>Thailand – Cigarettes (Philippines) (Article 21.5 – Philippines)</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752E4FCE" w14:textId="77777777" w:rsidR="008E5D7A" w:rsidRPr="00B2784F" w:rsidRDefault="008E5D7A" w:rsidP="00B756A1">
            <w:pPr>
              <w:spacing w:line="240" w:lineRule="auto"/>
            </w:pPr>
            <w:r w:rsidRPr="00B2784F">
              <w:t xml:space="preserve">Panel Report, Thailand – </w:t>
            </w:r>
            <w:r w:rsidRPr="00AD514D">
              <w:rPr>
                <w:i/>
                <w:iCs/>
              </w:rPr>
              <w:t>Customs and Fiscal Measures on Cigarettes from the Philippines – Recourse to Article 21.5 of the DSU by the Philippines</w:t>
            </w:r>
            <w:r w:rsidRPr="00B2784F">
              <w:t>, WT/DS371/RW and Add.1, circulated to WTO Members 12 November 2018, appealed on 9 January 2019</w:t>
            </w:r>
          </w:p>
        </w:tc>
      </w:tr>
      <w:tr w:rsidR="008E5D7A" w:rsidRPr="00AD514D" w14:paraId="590AF4EB"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1E4BEC74" w14:textId="77777777" w:rsidR="008E5D7A" w:rsidRPr="00580945" w:rsidRDefault="008E5D7A" w:rsidP="00B756A1">
            <w:pPr>
              <w:pStyle w:val="TTTableText"/>
              <w:rPr>
                <w:i/>
              </w:rPr>
            </w:pPr>
            <w:r w:rsidRPr="00EB0FCA">
              <w:rPr>
                <w:i/>
                <w:iCs/>
              </w:rPr>
              <w:t>US – Carbon Steel</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61BADF07" w14:textId="77777777" w:rsidR="008E5D7A" w:rsidRPr="00AD514D" w:rsidRDefault="008E5D7A" w:rsidP="00B756A1">
            <w:pPr>
              <w:spacing w:line="240" w:lineRule="auto"/>
            </w:pPr>
            <w:r w:rsidRPr="00B2784F">
              <w:t xml:space="preserve">Appellate Body Report, </w:t>
            </w:r>
            <w:r w:rsidRPr="00AD514D">
              <w:rPr>
                <w:i/>
                <w:iCs/>
              </w:rPr>
              <w:t>United States – Countervailing Duties on Certain Corrosion-Resistant Carbon Steel Flat Products from Germany</w:t>
            </w:r>
            <w:r w:rsidRPr="00B2784F">
              <w:t>, WT/DS213/AB/R and Corr.1, adopted 19 December 2002, DSR 2002:IX, p. 3779</w:t>
            </w:r>
            <w:r w:rsidRPr="00580945">
              <w:t xml:space="preserve"> </w:t>
            </w:r>
          </w:p>
        </w:tc>
      </w:tr>
      <w:tr w:rsidR="008E5D7A" w:rsidRPr="00AD514D" w14:paraId="096699BE"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1462D25C" w14:textId="77777777" w:rsidR="008E5D7A" w:rsidRPr="00EB0FCA" w:rsidRDefault="008E5D7A" w:rsidP="00B756A1">
            <w:pPr>
              <w:pStyle w:val="TTTableText"/>
              <w:rPr>
                <w:i/>
                <w:iCs/>
              </w:rPr>
            </w:pPr>
            <w:r w:rsidRPr="008124DD">
              <w:rPr>
                <w:i/>
                <w:iCs/>
                <w:lang w:val="en-US"/>
              </w:rPr>
              <w:t>US – Certain EC Products</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2E2CD7FC" w14:textId="77777777" w:rsidR="008E5D7A" w:rsidRPr="00B2784F" w:rsidRDefault="008E5D7A" w:rsidP="00B756A1">
            <w:pPr>
              <w:spacing w:line="240" w:lineRule="auto"/>
            </w:pPr>
            <w:r w:rsidRPr="008124DD">
              <w:t xml:space="preserve">Appellate Body Report, United States – </w:t>
            </w:r>
            <w:r w:rsidRPr="008124DD">
              <w:rPr>
                <w:i/>
                <w:iCs/>
              </w:rPr>
              <w:t>Import Measures on Certain Products from the European Communities</w:t>
            </w:r>
            <w:r w:rsidRPr="008124DD">
              <w:t>, WT/DS165/AB/R, adopted 10 January 2001, DSR 2001:I, p. 373</w:t>
            </w:r>
          </w:p>
        </w:tc>
      </w:tr>
      <w:tr w:rsidR="008E5D7A" w:rsidRPr="00AD514D" w14:paraId="1DE90A9B"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4024D488" w14:textId="77777777" w:rsidR="008E5D7A" w:rsidRPr="00EB0FCA" w:rsidRDefault="008E5D7A" w:rsidP="00B756A1">
            <w:pPr>
              <w:pStyle w:val="TTTableText"/>
              <w:rPr>
                <w:i/>
                <w:iCs/>
              </w:rPr>
            </w:pPr>
            <w:r w:rsidRPr="003E5FBD">
              <w:rPr>
                <w:i/>
                <w:iCs/>
              </w:rPr>
              <w:t>US – Gasoline</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5FFA3C52" w14:textId="77777777" w:rsidR="008E5D7A" w:rsidRPr="00B2784F" w:rsidRDefault="008E5D7A" w:rsidP="00B756A1">
            <w:pPr>
              <w:spacing w:line="240" w:lineRule="auto"/>
            </w:pPr>
            <w:r w:rsidRPr="003E5FBD">
              <w:t xml:space="preserve">Panel Report, </w:t>
            </w:r>
            <w:r w:rsidRPr="00AD514D">
              <w:rPr>
                <w:i/>
                <w:iCs/>
              </w:rPr>
              <w:t>United States – Standards for Reformulated and Conventional Gasoline</w:t>
            </w:r>
            <w:r w:rsidRPr="003E5FBD">
              <w:t>, WT/DS2/R, adopted 20 May 1996, as modified by Appellate Body Report WT/DS2/AB/R, DSR 1996:I, p. 29</w:t>
            </w:r>
          </w:p>
        </w:tc>
      </w:tr>
      <w:tr w:rsidR="008E5D7A" w14:paraId="17F37ABE"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1048969B" w14:textId="77777777" w:rsidR="008E5D7A" w:rsidRPr="00AD514D" w:rsidRDefault="008E5D7A" w:rsidP="00B756A1">
            <w:pPr>
              <w:pStyle w:val="TTTableText"/>
              <w:rPr>
                <w:i/>
              </w:rPr>
            </w:pPr>
            <w:r w:rsidRPr="00253380">
              <w:rPr>
                <w:i/>
              </w:rPr>
              <w:lastRenderedPageBreak/>
              <w:t>US – Pipes and Tubes (Turkey)</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4BC677EC" w14:textId="77777777" w:rsidR="008E5D7A" w:rsidRPr="00AD514D" w:rsidRDefault="008E5D7A" w:rsidP="00B756A1">
            <w:pPr>
              <w:spacing w:line="240" w:lineRule="auto"/>
            </w:pPr>
            <w:r w:rsidRPr="00253380">
              <w:rPr>
                <w:rFonts w:cstheme="minorHAnsi"/>
                <w:lang w:eastAsia="en-AU"/>
              </w:rPr>
              <w:t xml:space="preserve">Panel Report, </w:t>
            </w:r>
            <w:r w:rsidRPr="00AD514D">
              <w:rPr>
                <w:rFonts w:cstheme="minorHAnsi"/>
                <w:i/>
                <w:iCs/>
                <w:lang w:eastAsia="en-AU"/>
              </w:rPr>
              <w:t>United States – Countervailing Measures on Certain Pipe and Tube Products from Turkey</w:t>
            </w:r>
            <w:r w:rsidRPr="00253380">
              <w:rPr>
                <w:rFonts w:cstheme="minorHAnsi"/>
                <w:lang w:eastAsia="en-AU"/>
              </w:rPr>
              <w:t>, WT/DS523/R and Add.1, circulated to WTO Members 18 December 2018, appealed on 25 January 2019</w:t>
            </w:r>
          </w:p>
        </w:tc>
      </w:tr>
      <w:tr w:rsidR="008E5D7A" w14:paraId="3A1876B9"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72B894FA" w14:textId="77777777" w:rsidR="008E5D7A" w:rsidRPr="00253380" w:rsidRDefault="008E5D7A" w:rsidP="00B756A1">
            <w:pPr>
              <w:pStyle w:val="TTTableText"/>
              <w:rPr>
                <w:i/>
              </w:rPr>
            </w:pPr>
            <w:bookmarkStart w:id="2" w:name="_Hlk121907964"/>
            <w:r w:rsidRPr="008124DD">
              <w:rPr>
                <w:i/>
              </w:rPr>
              <w:t>US – Tuna II (Mexico)</w:t>
            </w:r>
            <w:r>
              <w:rPr>
                <w:i/>
              </w:rPr>
              <w:t xml:space="preserve"> (Article 21.5 – Mexico)</w:t>
            </w:r>
            <w:bookmarkEnd w:id="2"/>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2E381F60" w14:textId="77777777" w:rsidR="008E5D7A" w:rsidRPr="00253380" w:rsidRDefault="008E5D7A" w:rsidP="00B756A1">
            <w:pPr>
              <w:spacing w:line="240" w:lineRule="auto"/>
              <w:rPr>
                <w:rFonts w:cstheme="minorHAnsi"/>
                <w:lang w:eastAsia="en-AU"/>
              </w:rPr>
            </w:pPr>
            <w:r w:rsidRPr="00736897">
              <w:rPr>
                <w:rFonts w:cstheme="minorHAnsi"/>
                <w:lang w:eastAsia="en-AU"/>
              </w:rPr>
              <w:t xml:space="preserve">Panel Report, </w:t>
            </w:r>
            <w:r w:rsidRPr="00736897">
              <w:rPr>
                <w:rFonts w:cstheme="minorHAnsi"/>
                <w:i/>
                <w:iCs/>
                <w:lang w:eastAsia="en-AU"/>
              </w:rPr>
              <w:t>United States – Measures Concerning the Importation, Marketing and Sale of Tuna and Tuna Products – Recourse to Article 21.5 of the DSU by Mexico</w:t>
            </w:r>
            <w:r w:rsidRPr="00736897">
              <w:rPr>
                <w:rFonts w:cstheme="minorHAnsi"/>
                <w:lang w:eastAsia="en-AU"/>
              </w:rPr>
              <w:t xml:space="preserve">, WT/DS381/RW, Add.1 and Corr.1, adopted 3 December 2015, as modified by Appellate Body Report WT/DS381/AB/RW, DSR 2015:X, p. 5409 and DSR </w:t>
            </w:r>
            <w:proofErr w:type="gramStart"/>
            <w:r w:rsidRPr="00736897">
              <w:rPr>
                <w:rFonts w:cstheme="minorHAnsi"/>
                <w:lang w:eastAsia="en-AU"/>
              </w:rPr>
              <w:t>2015:XI</w:t>
            </w:r>
            <w:proofErr w:type="gramEnd"/>
            <w:r w:rsidRPr="00736897">
              <w:rPr>
                <w:rFonts w:cstheme="minorHAnsi"/>
                <w:lang w:eastAsia="en-AU"/>
              </w:rPr>
              <w:t>, p. 5653</w:t>
            </w:r>
          </w:p>
        </w:tc>
      </w:tr>
      <w:tr w:rsidR="008E5D7A" w14:paraId="687E19D7"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578F70AC" w14:textId="77777777" w:rsidR="008E5D7A" w:rsidRPr="00253380" w:rsidRDefault="008E5D7A" w:rsidP="00B756A1">
            <w:pPr>
              <w:pStyle w:val="TTTableText"/>
              <w:rPr>
                <w:i/>
              </w:rPr>
            </w:pPr>
            <w:r w:rsidRPr="00A4008A">
              <w:rPr>
                <w:i/>
              </w:rPr>
              <w:t>US – Wool Shirts and Blouses</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34E24BAE" w14:textId="77777777" w:rsidR="008E5D7A" w:rsidRPr="00253380" w:rsidRDefault="008E5D7A" w:rsidP="00B756A1">
            <w:pPr>
              <w:spacing w:line="240" w:lineRule="auto"/>
              <w:rPr>
                <w:rFonts w:cstheme="minorHAnsi"/>
                <w:lang w:eastAsia="en-AU"/>
              </w:rPr>
            </w:pPr>
            <w:r w:rsidRPr="008124DD">
              <w:rPr>
                <w:rFonts w:cstheme="minorHAnsi"/>
                <w:lang w:eastAsia="en-AU"/>
              </w:rPr>
              <w:t xml:space="preserve">Appellate Body Report, </w:t>
            </w:r>
            <w:r w:rsidRPr="008124DD">
              <w:rPr>
                <w:rFonts w:cstheme="minorHAnsi"/>
                <w:i/>
                <w:iCs/>
                <w:lang w:eastAsia="en-AU"/>
              </w:rPr>
              <w:t>United States – Measure Affecting Imports of Woven Wool Shirts and Blouses from India</w:t>
            </w:r>
            <w:r w:rsidRPr="008124DD">
              <w:rPr>
                <w:rFonts w:cstheme="minorHAnsi"/>
                <w:lang w:eastAsia="en-AU"/>
              </w:rPr>
              <w:t>, WT/DS33/AB/R, adopted 23 May 1997, and Corr.1, DSR 1997:I, p. 323</w:t>
            </w:r>
          </w:p>
        </w:tc>
      </w:tr>
      <w:tr w:rsidR="008E5D7A" w14:paraId="3C551E95"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shd w:val="clear" w:color="auto" w:fill="auto"/>
          </w:tcPr>
          <w:p w14:paraId="48B23FD2" w14:textId="77777777" w:rsidR="008E5D7A" w:rsidRPr="00580945" w:rsidRDefault="008E5D7A" w:rsidP="00B756A1">
            <w:pPr>
              <w:pStyle w:val="TTTableText"/>
              <w:rPr>
                <w:i/>
                <w:highlight w:val="cyan"/>
              </w:rPr>
            </w:pPr>
            <w:r w:rsidRPr="00572C9A">
              <w:rPr>
                <w:i/>
                <w:iCs/>
              </w:rPr>
              <w:t>US – Upland Cotton</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794738A6" w14:textId="77777777" w:rsidR="008E5D7A" w:rsidRPr="00AD514D" w:rsidRDefault="008E5D7A" w:rsidP="00B756A1">
            <w:pPr>
              <w:spacing w:line="240" w:lineRule="auto"/>
              <w:rPr>
                <w:rFonts w:cstheme="minorHAnsi"/>
                <w:lang w:eastAsia="en-AU"/>
              </w:rPr>
            </w:pPr>
            <w:r w:rsidRPr="00AD514D">
              <w:rPr>
                <w:rFonts w:cstheme="minorHAnsi"/>
                <w:lang w:eastAsia="en-AU"/>
              </w:rPr>
              <w:t xml:space="preserve">Appellate Body Report, </w:t>
            </w:r>
            <w:r w:rsidRPr="00AD514D">
              <w:rPr>
                <w:rFonts w:cstheme="minorHAnsi"/>
                <w:i/>
                <w:iCs/>
                <w:lang w:eastAsia="en-AU"/>
              </w:rPr>
              <w:t>United States – Subsidies on Upland Cotton</w:t>
            </w:r>
            <w:r w:rsidRPr="00AD514D">
              <w:rPr>
                <w:rFonts w:cstheme="minorHAnsi"/>
                <w:lang w:eastAsia="en-AU"/>
              </w:rPr>
              <w:t>, WT/DS267/AB/R, adopted 21 March 2005, DSR 2005:I, p. 3</w:t>
            </w:r>
          </w:p>
        </w:tc>
      </w:tr>
    </w:tbl>
    <w:p w14:paraId="288311B9" w14:textId="77777777" w:rsidR="008E5D7A" w:rsidRDefault="008E5D7A" w:rsidP="008E5D7A">
      <w:pPr>
        <w:pStyle w:val="SHSectionHeading"/>
        <w:rPr>
          <w:rFonts w:asciiTheme="minorHAnsi" w:hAnsiTheme="minorHAnsi" w:cstheme="minorHAnsi"/>
          <w:color w:val="FF0000"/>
          <w:highlight w:val="cyan"/>
        </w:rPr>
      </w:pPr>
      <w:r>
        <w:rPr>
          <w:rFonts w:asciiTheme="minorHAnsi" w:hAnsiTheme="minorHAnsi" w:cstheme="minorHAnsi"/>
          <w:color w:val="FF0000"/>
          <w:highlight w:val="cyan"/>
        </w:rPr>
        <w:br/>
      </w:r>
    </w:p>
    <w:p w14:paraId="474BA6A5" w14:textId="77777777" w:rsidR="008E5D7A" w:rsidRDefault="008E5D7A" w:rsidP="008E5D7A">
      <w:pPr>
        <w:spacing w:line="259" w:lineRule="auto"/>
        <w:jc w:val="left"/>
        <w:rPr>
          <w:rFonts w:asciiTheme="minorHAnsi" w:eastAsiaTheme="majorEastAsia" w:hAnsiTheme="minorHAnsi" w:cstheme="minorHAnsi"/>
          <w:b/>
          <w:caps/>
          <w:color w:val="FF0000"/>
          <w:szCs w:val="32"/>
          <w:highlight w:val="cyan"/>
        </w:rPr>
      </w:pPr>
      <w:r>
        <w:rPr>
          <w:rFonts w:asciiTheme="minorHAnsi" w:hAnsiTheme="minorHAnsi" w:cstheme="minorHAnsi"/>
          <w:color w:val="FF0000"/>
          <w:highlight w:val="cyan"/>
        </w:rPr>
        <w:br w:type="page"/>
      </w:r>
    </w:p>
    <w:p w14:paraId="3C44E9E0" w14:textId="77777777" w:rsidR="008E5D7A" w:rsidRPr="007C37D2" w:rsidRDefault="008E5D7A" w:rsidP="008E5D7A">
      <w:pPr>
        <w:pStyle w:val="SHSectionHeading"/>
        <w:rPr>
          <w:rFonts w:asciiTheme="minorHAnsi" w:hAnsiTheme="minorHAnsi" w:cstheme="minorHAnsi"/>
        </w:rPr>
      </w:pPr>
      <w:bookmarkStart w:id="3" w:name="_Toc121253012"/>
      <w:bookmarkStart w:id="4" w:name="_Toc122009489"/>
      <w:r w:rsidRPr="007C37D2">
        <w:rPr>
          <w:rFonts w:asciiTheme="minorHAnsi" w:hAnsiTheme="minorHAnsi" w:cstheme="minorHAnsi"/>
        </w:rPr>
        <w:lastRenderedPageBreak/>
        <w:t>Table of EXHIBITS</w:t>
      </w:r>
      <w:bookmarkEnd w:id="3"/>
      <w:bookmarkEnd w:id="4"/>
    </w:p>
    <w:p w14:paraId="3ACCF95D" w14:textId="77777777" w:rsidR="008E5D7A" w:rsidRPr="00AD514D" w:rsidRDefault="008E5D7A" w:rsidP="008E5D7A">
      <w:pPr>
        <w:pStyle w:val="BTNSSBodyTextNoSpacingSmall"/>
        <w:rPr>
          <w:rFonts w:asciiTheme="minorHAnsi" w:hAnsiTheme="minorHAnsi" w:cstheme="minorHAnsi"/>
        </w:rPr>
      </w:pPr>
    </w:p>
    <w:tbl>
      <w:tblPr>
        <w:tblStyle w:val="TableGrid"/>
        <w:tblW w:w="5000" w:type="pct"/>
        <w:tblLook w:val="04A0" w:firstRow="1" w:lastRow="0" w:firstColumn="1" w:lastColumn="0" w:noHBand="0" w:noVBand="1"/>
      </w:tblPr>
      <w:tblGrid>
        <w:gridCol w:w="2265"/>
        <w:gridCol w:w="6795"/>
      </w:tblGrid>
      <w:tr w:rsidR="008E5D7A" w:rsidRPr="00AD514D" w14:paraId="3442F6D5" w14:textId="77777777" w:rsidTr="00B756A1">
        <w:trPr>
          <w:cantSplit/>
          <w:trHeight w:val="397"/>
          <w:tblHeader/>
        </w:trPr>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72718" w14:textId="77777777" w:rsidR="008E5D7A" w:rsidRPr="00AD514D" w:rsidRDefault="008E5D7A" w:rsidP="00B756A1">
            <w:pPr>
              <w:pStyle w:val="THTableHeading"/>
              <w:rPr>
                <w:rFonts w:asciiTheme="minorHAnsi" w:hAnsiTheme="minorHAnsi" w:cstheme="minorHAnsi"/>
              </w:rPr>
            </w:pPr>
            <w:r w:rsidRPr="00AD514D">
              <w:rPr>
                <w:rFonts w:asciiTheme="minorHAnsi" w:hAnsiTheme="minorHAnsi" w:cstheme="minorHAnsi"/>
              </w:rPr>
              <w:t>Exhibit No.</w:t>
            </w:r>
          </w:p>
        </w:tc>
        <w:tc>
          <w:tcPr>
            <w:tcW w:w="6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3BA68" w14:textId="77777777" w:rsidR="008E5D7A" w:rsidRPr="00AD514D" w:rsidRDefault="008E5D7A" w:rsidP="00B756A1">
            <w:pPr>
              <w:pStyle w:val="THTableHeading"/>
              <w:jc w:val="center"/>
              <w:rPr>
                <w:rFonts w:asciiTheme="minorHAnsi" w:hAnsiTheme="minorHAnsi" w:cstheme="minorHAnsi"/>
              </w:rPr>
            </w:pPr>
            <w:r w:rsidRPr="00AD514D">
              <w:rPr>
                <w:rFonts w:asciiTheme="minorHAnsi" w:hAnsiTheme="minorHAnsi" w:cstheme="minorHAnsi"/>
              </w:rPr>
              <w:t>Description</w:t>
            </w:r>
          </w:p>
        </w:tc>
      </w:tr>
      <w:tr w:rsidR="008E5D7A" w:rsidRPr="00AD514D" w14:paraId="7196755E" w14:textId="77777777" w:rsidTr="00B756A1">
        <w:trPr>
          <w:cantSplit/>
          <w:trHeight w:val="397"/>
        </w:trPr>
        <w:tc>
          <w:tcPr>
            <w:tcW w:w="2265" w:type="dxa"/>
            <w:tcBorders>
              <w:top w:val="single" w:sz="4" w:space="0" w:color="auto"/>
              <w:left w:val="single" w:sz="4" w:space="0" w:color="auto"/>
              <w:bottom w:val="single" w:sz="4" w:space="0" w:color="auto"/>
              <w:right w:val="single" w:sz="4" w:space="0" w:color="auto"/>
            </w:tcBorders>
            <w:hideMark/>
          </w:tcPr>
          <w:p w14:paraId="0804150F" w14:textId="77777777" w:rsidR="008E5D7A" w:rsidRDefault="008E5D7A" w:rsidP="00B756A1">
            <w:pPr>
              <w:pStyle w:val="TTTableText"/>
              <w:rPr>
                <w:iCs/>
              </w:rPr>
            </w:pPr>
            <w:r w:rsidRPr="00AD514D">
              <w:rPr>
                <w:iCs/>
              </w:rPr>
              <w:t>AU – 1</w:t>
            </w:r>
          </w:p>
          <w:p w14:paraId="1FA8A576" w14:textId="77777777" w:rsidR="008E5D7A" w:rsidRPr="00AD514D" w:rsidRDefault="008E5D7A" w:rsidP="00B756A1">
            <w:pPr>
              <w:pStyle w:val="TTTableText"/>
              <w:rPr>
                <w:iCs/>
              </w:rPr>
            </w:pPr>
            <w:r>
              <w:rPr>
                <w:iCs/>
              </w:rPr>
              <w:t>(BCI)</w:t>
            </w:r>
          </w:p>
        </w:tc>
        <w:tc>
          <w:tcPr>
            <w:tcW w:w="6795" w:type="dxa"/>
            <w:tcBorders>
              <w:top w:val="single" w:sz="4" w:space="0" w:color="auto"/>
              <w:left w:val="single" w:sz="4" w:space="0" w:color="auto"/>
              <w:bottom w:val="single" w:sz="4" w:space="0" w:color="auto"/>
              <w:right w:val="single" w:sz="4" w:space="0" w:color="auto"/>
            </w:tcBorders>
            <w:hideMark/>
          </w:tcPr>
          <w:p w14:paraId="23E05E82" w14:textId="77777777" w:rsidR="008E5D7A" w:rsidRPr="00AD514D" w:rsidRDefault="008E5D7A" w:rsidP="00B756A1">
            <w:pPr>
              <w:spacing w:line="240" w:lineRule="auto"/>
              <w:rPr>
                <w:iCs/>
              </w:rPr>
            </w:pPr>
            <w:r w:rsidRPr="00AD514D">
              <w:rPr>
                <w:i/>
              </w:rPr>
              <w:t xml:space="preserve">Stainless Steel Sinks </w:t>
            </w:r>
            <w:r>
              <w:rPr>
                <w:i/>
              </w:rPr>
              <w:t>Continuation</w:t>
            </w:r>
            <w:r w:rsidRPr="00AD514D">
              <w:rPr>
                <w:i/>
              </w:rPr>
              <w:t xml:space="preserve"> Report </w:t>
            </w:r>
            <w:r>
              <w:rPr>
                <w:i/>
              </w:rPr>
              <w:t>517,</w:t>
            </w:r>
            <w:r w:rsidRPr="00AD514D">
              <w:rPr>
                <w:iCs/>
              </w:rPr>
              <w:t xml:space="preserve"> Confidential Attachment 33</w:t>
            </w:r>
            <w:r>
              <w:rPr>
                <w:iCs/>
              </w:rPr>
              <w:t xml:space="preserve"> – Residual, uncooperative subsidy margin (extract)</w:t>
            </w:r>
            <w:r w:rsidRPr="00AD514D">
              <w:rPr>
                <w:iCs/>
              </w:rPr>
              <w:t>.</w:t>
            </w:r>
          </w:p>
        </w:tc>
      </w:tr>
    </w:tbl>
    <w:p w14:paraId="342196AD" w14:textId="77777777" w:rsidR="008E5D7A" w:rsidRDefault="008E5D7A" w:rsidP="008E5D7A">
      <w:pPr>
        <w:pStyle w:val="SHSectionHeading"/>
        <w:rPr>
          <w:rFonts w:asciiTheme="minorHAnsi" w:hAnsiTheme="minorHAnsi" w:cstheme="minorHAnsi"/>
        </w:rPr>
      </w:pPr>
    </w:p>
    <w:p w14:paraId="079E4AAF" w14:textId="77777777" w:rsidR="008E5D7A" w:rsidRDefault="008E5D7A" w:rsidP="008E5D7A">
      <w:pPr>
        <w:spacing w:line="259" w:lineRule="auto"/>
        <w:jc w:val="left"/>
        <w:rPr>
          <w:rFonts w:asciiTheme="minorHAnsi" w:eastAsiaTheme="majorEastAsia" w:hAnsiTheme="minorHAnsi" w:cstheme="minorHAnsi"/>
          <w:b/>
          <w:caps/>
          <w:szCs w:val="32"/>
        </w:rPr>
      </w:pPr>
      <w:r>
        <w:rPr>
          <w:rFonts w:asciiTheme="minorHAnsi" w:hAnsiTheme="minorHAnsi" w:cstheme="minorHAnsi"/>
        </w:rPr>
        <w:br w:type="page"/>
      </w:r>
    </w:p>
    <w:p w14:paraId="5EA3DB43" w14:textId="77777777" w:rsidR="008E5D7A" w:rsidRDefault="008E5D7A" w:rsidP="008E5D7A">
      <w:pPr>
        <w:pStyle w:val="SHSectionHeading"/>
        <w:rPr>
          <w:rFonts w:asciiTheme="minorHAnsi" w:hAnsiTheme="minorHAnsi" w:cstheme="minorHAnsi"/>
        </w:rPr>
      </w:pPr>
      <w:bookmarkStart w:id="5" w:name="_Toc121253013"/>
      <w:bookmarkStart w:id="6" w:name="_Toc122009490"/>
      <w:r>
        <w:rPr>
          <w:rFonts w:asciiTheme="minorHAnsi" w:hAnsiTheme="minorHAnsi" w:cstheme="minorHAnsi"/>
        </w:rPr>
        <w:lastRenderedPageBreak/>
        <w:t>List of Acronyms, Abbreviations and Short Forms</w:t>
      </w:r>
      <w:bookmarkEnd w:id="5"/>
      <w:bookmarkEnd w:id="6"/>
    </w:p>
    <w:tbl>
      <w:tblPr>
        <w:tblStyle w:val="TableGrid"/>
        <w:tblW w:w="5000" w:type="pct"/>
        <w:tblLook w:val="04A0" w:firstRow="1" w:lastRow="0" w:firstColumn="1" w:lastColumn="0" w:noHBand="0" w:noVBand="1"/>
      </w:tblPr>
      <w:tblGrid>
        <w:gridCol w:w="2263"/>
        <w:gridCol w:w="6797"/>
      </w:tblGrid>
      <w:tr w:rsidR="008E5D7A" w14:paraId="06707FE9" w14:textId="77777777" w:rsidTr="00B756A1">
        <w:trPr>
          <w:cantSplit/>
          <w:trHeight w:val="397"/>
          <w:tblHeader/>
        </w:trPr>
        <w:tc>
          <w:tcPr>
            <w:tcW w:w="2263" w:type="dxa"/>
            <w:shd w:val="clear" w:color="auto" w:fill="D9D9D9" w:themeFill="background1" w:themeFillShade="D9"/>
          </w:tcPr>
          <w:p w14:paraId="4F1F8250" w14:textId="77777777" w:rsidR="008E5D7A" w:rsidRDefault="008E5D7A" w:rsidP="00B756A1">
            <w:pPr>
              <w:pStyle w:val="THTableHeading"/>
              <w:jc w:val="center"/>
              <w:rPr>
                <w:rFonts w:asciiTheme="minorHAnsi" w:hAnsiTheme="minorHAnsi" w:cstheme="minorHAnsi"/>
              </w:rPr>
            </w:pPr>
            <w:r>
              <w:rPr>
                <w:rFonts w:asciiTheme="minorHAnsi" w:hAnsiTheme="minorHAnsi" w:cstheme="minorHAnsi"/>
              </w:rPr>
              <w:t>Abbreviation</w:t>
            </w:r>
          </w:p>
        </w:tc>
        <w:tc>
          <w:tcPr>
            <w:tcW w:w="6797" w:type="dxa"/>
            <w:shd w:val="clear" w:color="auto" w:fill="D9D9D9" w:themeFill="background1" w:themeFillShade="D9"/>
          </w:tcPr>
          <w:p w14:paraId="06D72343" w14:textId="77777777" w:rsidR="008E5D7A" w:rsidRDefault="008E5D7A" w:rsidP="00B756A1">
            <w:pPr>
              <w:pStyle w:val="THTableHeading"/>
              <w:jc w:val="center"/>
              <w:rPr>
                <w:rFonts w:asciiTheme="minorHAnsi" w:hAnsiTheme="minorHAnsi" w:cstheme="minorHAnsi"/>
              </w:rPr>
            </w:pPr>
            <w:r>
              <w:rPr>
                <w:rFonts w:asciiTheme="minorHAnsi" w:hAnsiTheme="minorHAnsi" w:cstheme="minorHAnsi"/>
              </w:rPr>
              <w:t>Full Form or Description</w:t>
            </w:r>
          </w:p>
        </w:tc>
      </w:tr>
      <w:tr w:rsidR="008E5D7A" w14:paraId="4E0429B1" w14:textId="77777777" w:rsidTr="00B756A1">
        <w:trPr>
          <w:cantSplit/>
          <w:trHeight w:val="397"/>
        </w:trPr>
        <w:tc>
          <w:tcPr>
            <w:tcW w:w="2263" w:type="dxa"/>
          </w:tcPr>
          <w:p w14:paraId="24E7B476" w14:textId="77777777" w:rsidR="008E5D7A" w:rsidRPr="00AD514D" w:rsidRDefault="008E5D7A" w:rsidP="00B756A1">
            <w:pPr>
              <w:pStyle w:val="TTTableText"/>
              <w:jc w:val="both"/>
              <w:rPr>
                <w:rFonts w:asciiTheme="minorHAnsi" w:hAnsiTheme="minorHAnsi" w:cstheme="minorHAnsi"/>
              </w:rPr>
            </w:pPr>
            <w:r w:rsidRPr="00AD514D">
              <w:rPr>
                <w:rFonts w:asciiTheme="minorHAnsi" w:hAnsiTheme="minorHAnsi" w:cstheme="minorHAnsi"/>
              </w:rPr>
              <w:t>Anti-Dumping Agreement</w:t>
            </w:r>
          </w:p>
        </w:tc>
        <w:tc>
          <w:tcPr>
            <w:tcW w:w="6797" w:type="dxa"/>
          </w:tcPr>
          <w:p w14:paraId="6802C9CA" w14:textId="77777777" w:rsidR="008E5D7A" w:rsidRPr="00AD514D" w:rsidRDefault="008E5D7A" w:rsidP="00B756A1">
            <w:pPr>
              <w:pStyle w:val="TTTableText"/>
              <w:jc w:val="both"/>
              <w:rPr>
                <w:rFonts w:asciiTheme="minorHAnsi" w:hAnsiTheme="minorHAnsi" w:cstheme="minorHAnsi"/>
              </w:rPr>
            </w:pPr>
            <w:r w:rsidRPr="00AD514D">
              <w:rPr>
                <w:rFonts w:asciiTheme="minorHAnsi" w:hAnsiTheme="minorHAnsi" w:cstheme="minorHAnsi"/>
              </w:rPr>
              <w:t>Agreement on Implementation of Article VI of the General Agreement on Tariffs and Trade 1994, Apr. 15, 1994, Marrakesh Agreement Establishing the World Trade Organization, Annex 1A, 1868 U.N.T.S. 201</w:t>
            </w:r>
          </w:p>
        </w:tc>
      </w:tr>
      <w:tr w:rsidR="008E5D7A" w14:paraId="104C5785" w14:textId="77777777" w:rsidTr="00B756A1">
        <w:trPr>
          <w:cantSplit/>
          <w:trHeight w:val="397"/>
        </w:trPr>
        <w:tc>
          <w:tcPr>
            <w:tcW w:w="2263" w:type="dxa"/>
          </w:tcPr>
          <w:p w14:paraId="10C046F1" w14:textId="77777777" w:rsidR="008E5D7A" w:rsidRPr="00AD514D" w:rsidRDefault="008E5D7A" w:rsidP="00B756A1">
            <w:pPr>
              <w:pStyle w:val="TTTableText"/>
              <w:jc w:val="both"/>
              <w:rPr>
                <w:rFonts w:asciiTheme="minorHAnsi" w:hAnsiTheme="minorHAnsi" w:cstheme="minorHAnsi"/>
              </w:rPr>
            </w:pPr>
            <w:r w:rsidRPr="00AD514D">
              <w:rPr>
                <w:rFonts w:asciiTheme="minorHAnsi" w:hAnsiTheme="minorHAnsi" w:cstheme="minorHAnsi"/>
              </w:rPr>
              <w:t>ADC</w:t>
            </w:r>
          </w:p>
        </w:tc>
        <w:tc>
          <w:tcPr>
            <w:tcW w:w="6797" w:type="dxa"/>
          </w:tcPr>
          <w:p w14:paraId="3B6E44A6" w14:textId="77777777" w:rsidR="008E5D7A" w:rsidRPr="00AD514D" w:rsidRDefault="008E5D7A" w:rsidP="00B756A1">
            <w:pPr>
              <w:pStyle w:val="TTTableText"/>
              <w:jc w:val="both"/>
              <w:rPr>
                <w:rFonts w:asciiTheme="minorHAnsi" w:hAnsiTheme="minorHAnsi" w:cstheme="minorHAnsi"/>
              </w:rPr>
            </w:pPr>
            <w:r w:rsidRPr="00AD514D">
              <w:rPr>
                <w:rFonts w:asciiTheme="minorHAnsi" w:hAnsiTheme="minorHAnsi" w:cstheme="minorHAnsi"/>
              </w:rPr>
              <w:t>Anti-Dumping Commission</w:t>
            </w:r>
          </w:p>
        </w:tc>
      </w:tr>
      <w:tr w:rsidR="008E5D7A" w14:paraId="7E30AD15" w14:textId="77777777" w:rsidTr="00B756A1">
        <w:trPr>
          <w:cantSplit/>
          <w:trHeight w:val="397"/>
        </w:trPr>
        <w:tc>
          <w:tcPr>
            <w:tcW w:w="2263" w:type="dxa"/>
          </w:tcPr>
          <w:p w14:paraId="5BC63A2B" w14:textId="77777777" w:rsidR="008E5D7A" w:rsidRPr="00AD514D" w:rsidRDefault="008E5D7A" w:rsidP="00B756A1">
            <w:pPr>
              <w:pStyle w:val="TTTableText"/>
              <w:jc w:val="both"/>
              <w:rPr>
                <w:rFonts w:asciiTheme="minorHAnsi" w:hAnsiTheme="minorHAnsi" w:cstheme="minorHAnsi"/>
              </w:rPr>
            </w:pPr>
            <w:r w:rsidRPr="00AD514D">
              <w:rPr>
                <w:rFonts w:asciiTheme="minorHAnsi" w:hAnsiTheme="minorHAnsi" w:cstheme="minorHAnsi"/>
              </w:rPr>
              <w:t>DSB</w:t>
            </w:r>
          </w:p>
        </w:tc>
        <w:tc>
          <w:tcPr>
            <w:tcW w:w="6797" w:type="dxa"/>
          </w:tcPr>
          <w:p w14:paraId="5EB26DF1" w14:textId="77777777" w:rsidR="008E5D7A" w:rsidRPr="00AD514D" w:rsidRDefault="008E5D7A" w:rsidP="00B756A1">
            <w:pPr>
              <w:pStyle w:val="TTTableText"/>
              <w:jc w:val="both"/>
              <w:rPr>
                <w:rFonts w:asciiTheme="minorHAnsi" w:hAnsiTheme="minorHAnsi" w:cstheme="minorHAnsi"/>
              </w:rPr>
            </w:pPr>
            <w:r w:rsidRPr="00AD514D">
              <w:rPr>
                <w:rFonts w:asciiTheme="minorHAnsi" w:hAnsiTheme="minorHAnsi" w:cstheme="minorHAnsi"/>
              </w:rPr>
              <w:t>Dispute Settlement Body</w:t>
            </w:r>
          </w:p>
        </w:tc>
      </w:tr>
      <w:tr w:rsidR="008E5D7A" w14:paraId="5F890B15" w14:textId="77777777" w:rsidTr="00B756A1">
        <w:trPr>
          <w:cantSplit/>
          <w:trHeight w:val="397"/>
        </w:trPr>
        <w:tc>
          <w:tcPr>
            <w:tcW w:w="2263" w:type="dxa"/>
          </w:tcPr>
          <w:p w14:paraId="2C6D0C78" w14:textId="77777777" w:rsidR="008E5D7A" w:rsidRPr="00AD514D" w:rsidRDefault="008E5D7A" w:rsidP="00B756A1">
            <w:pPr>
              <w:pStyle w:val="TTTableText"/>
              <w:jc w:val="both"/>
              <w:rPr>
                <w:rFonts w:asciiTheme="minorHAnsi" w:hAnsiTheme="minorHAnsi" w:cstheme="minorHAnsi"/>
              </w:rPr>
            </w:pPr>
            <w:r>
              <w:rPr>
                <w:rFonts w:asciiTheme="minorHAnsi" w:hAnsiTheme="minorHAnsi" w:cstheme="minorHAnsi"/>
              </w:rPr>
              <w:t>DSU</w:t>
            </w:r>
          </w:p>
        </w:tc>
        <w:tc>
          <w:tcPr>
            <w:tcW w:w="6797" w:type="dxa"/>
          </w:tcPr>
          <w:p w14:paraId="6E842B96" w14:textId="77777777" w:rsidR="008E5D7A" w:rsidRPr="00AD514D" w:rsidRDefault="008E5D7A" w:rsidP="00B756A1">
            <w:pPr>
              <w:pStyle w:val="TTTableText"/>
              <w:jc w:val="both"/>
              <w:rPr>
                <w:rFonts w:asciiTheme="minorHAnsi" w:hAnsiTheme="minorHAnsi" w:cstheme="minorHAnsi"/>
              </w:rPr>
            </w:pPr>
            <w:r w:rsidRPr="00CC68D0">
              <w:rPr>
                <w:rFonts w:asciiTheme="minorHAnsi" w:hAnsiTheme="minorHAnsi" w:cstheme="minorHAnsi"/>
              </w:rPr>
              <w:t>Understanding on Rules and Procedures Governing the Settlement of Disputes, Apr. 15, 1994, Marrakesh Agreement Establishing the World Trade Organization, Annex 2, 1869 U.N.T.S. 401</w:t>
            </w:r>
          </w:p>
        </w:tc>
      </w:tr>
      <w:tr w:rsidR="008E5D7A" w14:paraId="5282B489" w14:textId="77777777" w:rsidTr="00B756A1">
        <w:trPr>
          <w:cantSplit/>
          <w:trHeight w:val="397"/>
        </w:trPr>
        <w:tc>
          <w:tcPr>
            <w:tcW w:w="2263" w:type="dxa"/>
          </w:tcPr>
          <w:p w14:paraId="277B0C8E" w14:textId="77777777" w:rsidR="008E5D7A" w:rsidRPr="00AD514D" w:rsidRDefault="008E5D7A" w:rsidP="00B756A1">
            <w:pPr>
              <w:pStyle w:val="TTTableText"/>
              <w:jc w:val="both"/>
              <w:rPr>
                <w:rFonts w:asciiTheme="minorHAnsi" w:hAnsiTheme="minorHAnsi" w:cstheme="minorHAnsi"/>
              </w:rPr>
            </w:pPr>
            <w:r>
              <w:rPr>
                <w:rFonts w:asciiTheme="minorHAnsi" w:hAnsiTheme="minorHAnsi" w:cstheme="minorHAnsi"/>
              </w:rPr>
              <w:t>FWS</w:t>
            </w:r>
          </w:p>
        </w:tc>
        <w:tc>
          <w:tcPr>
            <w:tcW w:w="6797" w:type="dxa"/>
          </w:tcPr>
          <w:p w14:paraId="369D7AF4" w14:textId="77777777" w:rsidR="008E5D7A" w:rsidRPr="00AD514D" w:rsidRDefault="008E5D7A" w:rsidP="00B756A1">
            <w:pPr>
              <w:pStyle w:val="TTTableText"/>
              <w:jc w:val="both"/>
              <w:rPr>
                <w:rFonts w:asciiTheme="minorHAnsi" w:hAnsiTheme="minorHAnsi" w:cstheme="minorHAnsi"/>
              </w:rPr>
            </w:pPr>
            <w:r>
              <w:rPr>
                <w:rFonts w:asciiTheme="minorHAnsi" w:hAnsiTheme="minorHAnsi" w:cstheme="minorHAnsi"/>
              </w:rPr>
              <w:t>First Written Submission</w:t>
            </w:r>
          </w:p>
        </w:tc>
      </w:tr>
      <w:tr w:rsidR="008E5D7A" w14:paraId="55C2CC95" w14:textId="77777777" w:rsidTr="00B756A1">
        <w:trPr>
          <w:cantSplit/>
          <w:trHeight w:val="397"/>
        </w:trPr>
        <w:tc>
          <w:tcPr>
            <w:tcW w:w="2263" w:type="dxa"/>
          </w:tcPr>
          <w:p w14:paraId="7B54DA10" w14:textId="77777777" w:rsidR="008E5D7A" w:rsidRPr="00AD514D" w:rsidRDefault="008E5D7A" w:rsidP="00B756A1">
            <w:pPr>
              <w:pStyle w:val="TTTableText"/>
              <w:jc w:val="both"/>
              <w:rPr>
                <w:rFonts w:asciiTheme="minorHAnsi" w:hAnsiTheme="minorHAnsi" w:cstheme="minorHAnsi"/>
              </w:rPr>
            </w:pPr>
            <w:r w:rsidRPr="00EB0FCA">
              <w:rPr>
                <w:rFonts w:asciiTheme="minorHAnsi" w:hAnsiTheme="minorHAnsi" w:cstheme="minorHAnsi"/>
              </w:rPr>
              <w:t>RFE</w:t>
            </w:r>
          </w:p>
        </w:tc>
        <w:tc>
          <w:tcPr>
            <w:tcW w:w="6797" w:type="dxa"/>
          </w:tcPr>
          <w:p w14:paraId="013E800B" w14:textId="77777777" w:rsidR="008E5D7A" w:rsidRPr="00AD514D" w:rsidRDefault="008E5D7A" w:rsidP="00B756A1">
            <w:pPr>
              <w:pStyle w:val="TTTableText"/>
              <w:jc w:val="both"/>
              <w:rPr>
                <w:rFonts w:asciiTheme="minorHAnsi" w:hAnsiTheme="minorHAnsi" w:cstheme="minorHAnsi"/>
              </w:rPr>
            </w:pPr>
            <w:r w:rsidRPr="00EB0FCA">
              <w:rPr>
                <w:rFonts w:asciiTheme="minorHAnsi" w:hAnsiTheme="minorHAnsi" w:cstheme="minorHAnsi"/>
              </w:rPr>
              <w:t>Request for the establishment of a panel by China, WT/DS603/2</w:t>
            </w:r>
          </w:p>
        </w:tc>
      </w:tr>
      <w:tr w:rsidR="008E5D7A" w14:paraId="720EEC4C" w14:textId="77777777" w:rsidTr="00B756A1">
        <w:trPr>
          <w:cantSplit/>
          <w:trHeight w:val="397"/>
        </w:trPr>
        <w:tc>
          <w:tcPr>
            <w:tcW w:w="2263" w:type="dxa"/>
          </w:tcPr>
          <w:p w14:paraId="2D2F5EE0" w14:textId="77777777" w:rsidR="008E5D7A" w:rsidRPr="00AD514D" w:rsidRDefault="008E5D7A" w:rsidP="00B756A1">
            <w:pPr>
              <w:pStyle w:val="TTTableText"/>
              <w:jc w:val="both"/>
              <w:rPr>
                <w:rFonts w:asciiTheme="minorHAnsi" w:hAnsiTheme="minorHAnsi" w:cstheme="minorHAnsi"/>
              </w:rPr>
            </w:pPr>
            <w:r w:rsidRPr="00AD514D">
              <w:rPr>
                <w:rFonts w:asciiTheme="minorHAnsi" w:hAnsiTheme="minorHAnsi" w:cstheme="minorHAnsi"/>
              </w:rPr>
              <w:t>SCM Agreement</w:t>
            </w:r>
          </w:p>
        </w:tc>
        <w:tc>
          <w:tcPr>
            <w:tcW w:w="6797" w:type="dxa"/>
          </w:tcPr>
          <w:p w14:paraId="0D578827" w14:textId="77777777" w:rsidR="008E5D7A" w:rsidRPr="00AD514D" w:rsidRDefault="008E5D7A" w:rsidP="00B756A1">
            <w:pPr>
              <w:pStyle w:val="TTTableText"/>
              <w:jc w:val="both"/>
              <w:rPr>
                <w:rFonts w:asciiTheme="minorHAnsi" w:hAnsiTheme="minorHAnsi" w:cstheme="minorHAnsi"/>
              </w:rPr>
            </w:pPr>
            <w:r w:rsidRPr="00AD514D">
              <w:rPr>
                <w:rFonts w:asciiTheme="minorHAnsi" w:hAnsiTheme="minorHAnsi" w:cstheme="minorHAnsi"/>
              </w:rPr>
              <w:t>Agreement on Subsidies and Countervailing Measures, Apr. 15, 1994, Marrakesh Agreement Establishing the World Trade Organization, Annex 1A, 1869 U.N.T.S. 14</w:t>
            </w:r>
          </w:p>
        </w:tc>
      </w:tr>
      <w:tr w:rsidR="008E5D7A" w14:paraId="089931F5" w14:textId="77777777" w:rsidTr="00B756A1">
        <w:trPr>
          <w:cantSplit/>
          <w:trHeight w:val="397"/>
        </w:trPr>
        <w:tc>
          <w:tcPr>
            <w:tcW w:w="2263" w:type="dxa"/>
          </w:tcPr>
          <w:p w14:paraId="418C1F4A" w14:textId="77777777" w:rsidR="008E5D7A" w:rsidRPr="00AD514D" w:rsidRDefault="008E5D7A" w:rsidP="00B756A1">
            <w:pPr>
              <w:pStyle w:val="TTTableText"/>
              <w:rPr>
                <w:rFonts w:asciiTheme="minorHAnsi" w:hAnsiTheme="minorHAnsi" w:cstheme="minorHAnsi"/>
              </w:rPr>
            </w:pPr>
            <w:r w:rsidRPr="00AD514D">
              <w:rPr>
                <w:rFonts w:asciiTheme="minorHAnsi" w:hAnsiTheme="minorHAnsi" w:cstheme="minorHAnsi"/>
              </w:rPr>
              <w:t>WTO</w:t>
            </w:r>
          </w:p>
        </w:tc>
        <w:tc>
          <w:tcPr>
            <w:tcW w:w="6797" w:type="dxa"/>
          </w:tcPr>
          <w:p w14:paraId="37992124" w14:textId="77777777" w:rsidR="008E5D7A" w:rsidRPr="00AD514D" w:rsidRDefault="008E5D7A" w:rsidP="00B756A1">
            <w:pPr>
              <w:pStyle w:val="TTTableText"/>
              <w:rPr>
                <w:rFonts w:asciiTheme="minorHAnsi" w:hAnsiTheme="minorHAnsi" w:cstheme="minorHAnsi"/>
              </w:rPr>
            </w:pPr>
            <w:r w:rsidRPr="00AD514D">
              <w:rPr>
                <w:rFonts w:asciiTheme="minorHAnsi" w:hAnsiTheme="minorHAnsi" w:cstheme="minorHAnsi"/>
              </w:rPr>
              <w:t>World Trade Organization</w:t>
            </w:r>
          </w:p>
        </w:tc>
      </w:tr>
    </w:tbl>
    <w:p w14:paraId="781E293D" w14:textId="77777777" w:rsidR="008E5D7A" w:rsidRDefault="008E5D7A" w:rsidP="008E5D7A">
      <w:pPr>
        <w:pStyle w:val="BTNSSBodyTextNoSpacingSmall"/>
        <w:rPr>
          <w:rFonts w:asciiTheme="minorHAnsi" w:hAnsiTheme="minorHAnsi" w:cstheme="minorHAnsi"/>
        </w:rPr>
      </w:pPr>
    </w:p>
    <w:p w14:paraId="382113EE" w14:textId="77777777" w:rsidR="008E5D7A" w:rsidRDefault="008E5D7A" w:rsidP="008E5D7A">
      <w:pPr>
        <w:pStyle w:val="BTNSSBodyTextNoSpacingSmall"/>
        <w:rPr>
          <w:rFonts w:asciiTheme="minorHAnsi" w:hAnsiTheme="minorHAnsi" w:cstheme="minorHAnsi"/>
        </w:rPr>
      </w:pPr>
    </w:p>
    <w:p w14:paraId="68065438" w14:textId="77777777" w:rsidR="008E5D7A" w:rsidRDefault="008E5D7A" w:rsidP="008E5D7A">
      <w:pPr>
        <w:pStyle w:val="BTBodyText"/>
        <w:rPr>
          <w:rFonts w:asciiTheme="minorHAnsi" w:hAnsiTheme="minorHAnsi" w:cstheme="minorHAnsi"/>
        </w:rPr>
      </w:pPr>
    </w:p>
    <w:p w14:paraId="55D9E27A" w14:textId="77777777" w:rsidR="008E5D7A" w:rsidRDefault="008E5D7A" w:rsidP="008E5D7A">
      <w:pPr>
        <w:pStyle w:val="BTNSSBodyTextNoSpacingSmall"/>
        <w:rPr>
          <w:rFonts w:asciiTheme="minorHAnsi" w:hAnsiTheme="minorHAnsi" w:cstheme="minorHAnsi"/>
        </w:rPr>
      </w:pPr>
    </w:p>
    <w:p w14:paraId="22D23F02" w14:textId="77777777" w:rsidR="008E5D7A" w:rsidRDefault="008E5D7A" w:rsidP="008E5D7A">
      <w:pPr>
        <w:pStyle w:val="BTBodyText"/>
        <w:rPr>
          <w:rFonts w:asciiTheme="minorHAnsi" w:hAnsiTheme="minorHAnsi" w:cstheme="minorHAnsi"/>
        </w:rPr>
      </w:pPr>
      <w:r>
        <w:rPr>
          <w:rFonts w:asciiTheme="minorHAnsi" w:hAnsiTheme="minorHAnsi" w:cstheme="minorHAnsi"/>
        </w:rPr>
        <w:br w:type="page"/>
      </w:r>
    </w:p>
    <w:p w14:paraId="76C7FDA6" w14:textId="77777777" w:rsidR="008E5D7A" w:rsidRDefault="008E5D7A" w:rsidP="008E5D7A">
      <w:pPr>
        <w:pStyle w:val="HL1HeadingLevel1"/>
        <w:rPr>
          <w:rFonts w:asciiTheme="minorHAnsi" w:hAnsiTheme="minorHAnsi" w:cstheme="minorHAnsi"/>
        </w:rPr>
      </w:pPr>
      <w:bookmarkStart w:id="7" w:name="_Toc121253014"/>
      <w:bookmarkStart w:id="8" w:name="_Toc122009491"/>
      <w:r>
        <w:rPr>
          <w:rFonts w:asciiTheme="minorHAnsi" w:hAnsiTheme="minorHAnsi" w:cstheme="minorHAnsi"/>
        </w:rPr>
        <w:lastRenderedPageBreak/>
        <w:t>Introduction</w:t>
      </w:r>
      <w:bookmarkEnd w:id="7"/>
      <w:bookmarkEnd w:id="8"/>
    </w:p>
    <w:p w14:paraId="715AC5E8" w14:textId="77777777" w:rsidR="008E5D7A" w:rsidRPr="007C37D2" w:rsidRDefault="008E5D7A" w:rsidP="008E5D7A">
      <w:pPr>
        <w:pStyle w:val="P1-N1Paragraph1-Number1"/>
        <w:rPr>
          <w:rFonts w:cstheme="minorHAnsi"/>
        </w:rPr>
      </w:pPr>
      <w:r w:rsidRPr="007C37D2">
        <w:rPr>
          <w:rFonts w:cstheme="minorHAnsi"/>
        </w:rPr>
        <w:t>Pursuant to</w:t>
      </w:r>
      <w:r w:rsidRPr="007C37D2">
        <w:rPr>
          <w:rFonts w:cstheme="minorHAnsi"/>
          <w:bCs/>
        </w:rPr>
        <w:t xml:space="preserve"> Articles 3.2, 3.4, 3.7, 6.2, 7.1 and 19.1 of t</w:t>
      </w:r>
      <w:r w:rsidRPr="007C37D2">
        <w:rPr>
          <w:rFonts w:cstheme="minorHAnsi"/>
        </w:rPr>
        <w:t>he Dispute Settlement Understanding ("DSU"), and paragraph 4 of the Panel’s Working Procedures, Australia requests that the Panel issue a preliminary ruling that all of China’s claims contained in Section B.2 of its request for the establishment of a panel ("RFE"), concerning "countervailing measures," fall outside the Panel’s terms of reference.</w:t>
      </w:r>
      <w:r w:rsidRPr="007C37D2">
        <w:rPr>
          <w:rStyle w:val="FootnoteReference"/>
          <w:rFonts w:cstheme="minorHAnsi"/>
        </w:rPr>
        <w:footnoteReference w:id="1"/>
      </w:r>
      <w:r w:rsidRPr="007C37D2">
        <w:rPr>
          <w:rFonts w:cstheme="minorHAnsi"/>
        </w:rPr>
        <w:t xml:space="preserve">  </w:t>
      </w:r>
    </w:p>
    <w:p w14:paraId="4267582E" w14:textId="2DC6AFBD" w:rsidR="008E5D7A" w:rsidRDefault="008E5D7A" w:rsidP="008E5D7A">
      <w:pPr>
        <w:pStyle w:val="P1-N1Paragraph1-Number1"/>
        <w:rPr>
          <w:rFonts w:cstheme="minorHAnsi"/>
        </w:rPr>
      </w:pPr>
      <w:r w:rsidRPr="007C37D2">
        <w:rPr>
          <w:rFonts w:cstheme="minorHAnsi"/>
        </w:rPr>
        <w:t xml:space="preserve">Section B.2 of China’s RFE states </w:t>
      </w:r>
      <w:r>
        <w:rPr>
          <w:rFonts w:cstheme="minorHAnsi"/>
        </w:rPr>
        <w:t xml:space="preserve">that </w:t>
      </w:r>
      <w:r w:rsidRPr="007C37D2">
        <w:rPr>
          <w:rFonts w:cstheme="minorHAnsi"/>
        </w:rPr>
        <w:t xml:space="preserve">the legal claims, related to countervailing measures, are focused </w:t>
      </w:r>
      <w:r w:rsidRPr="007C37D2">
        <w:rPr>
          <w:rFonts w:cstheme="minorHAnsi"/>
          <w:i/>
          <w:iCs/>
        </w:rPr>
        <w:t xml:space="preserve">exclusively </w:t>
      </w:r>
      <w:r w:rsidRPr="007C37D2">
        <w:rPr>
          <w:rFonts w:cstheme="minorHAnsi"/>
        </w:rPr>
        <w:t xml:space="preserve">on "the countervailing measures… only with regard to alleged </w:t>
      </w:r>
      <w:r w:rsidRPr="007C37D2">
        <w:rPr>
          <w:rFonts w:cstheme="minorHAnsi"/>
          <w:i/>
          <w:iCs/>
        </w:rPr>
        <w:t>Program 1 – Raw Materials Provided by the Government at Less than Fair Market Value</w:t>
      </w:r>
      <w:r w:rsidRPr="007C37D2">
        <w:rPr>
          <w:rFonts w:cstheme="minorHAnsi"/>
        </w:rPr>
        <w:t xml:space="preserve">" in the </w:t>
      </w:r>
      <w:proofErr w:type="gramStart"/>
      <w:r w:rsidRPr="007C37D2">
        <w:rPr>
          <w:rFonts w:cstheme="minorHAnsi"/>
          <w:i/>
          <w:iCs/>
        </w:rPr>
        <w:t>Stainless Steel</w:t>
      </w:r>
      <w:proofErr w:type="gramEnd"/>
      <w:r w:rsidRPr="007C37D2">
        <w:rPr>
          <w:rFonts w:cstheme="minorHAnsi"/>
          <w:i/>
          <w:iCs/>
        </w:rPr>
        <w:t xml:space="preserve"> Sinks investigation</w:t>
      </w:r>
      <w:r w:rsidRPr="007C37D2">
        <w:rPr>
          <w:rFonts w:cstheme="minorHAnsi"/>
        </w:rPr>
        <w:t xml:space="preserve">. However, the countervailing measures challenged by China </w:t>
      </w:r>
      <w:r>
        <w:rPr>
          <w:rFonts w:cstheme="minorHAnsi"/>
        </w:rPr>
        <w:t>associated with</w:t>
      </w:r>
      <w:r w:rsidRPr="007C37D2">
        <w:rPr>
          <w:rFonts w:cstheme="minorHAnsi"/>
        </w:rPr>
        <w:t xml:space="preserve"> "Program 1" were terminated on 27 March 2020—two years prior to the establishment of this Panel on 28 February 2022. </w:t>
      </w:r>
      <w:r w:rsidR="007E6F5E">
        <w:rPr>
          <w:rFonts w:cstheme="minorHAnsi"/>
        </w:rPr>
        <w:t>For the purposes</w:t>
      </w:r>
      <w:r w:rsidRPr="007C37D2">
        <w:rPr>
          <w:rFonts w:cstheme="minorHAnsi"/>
        </w:rPr>
        <w:t xml:space="preserve"> of the </w:t>
      </w:r>
      <w:proofErr w:type="gramStart"/>
      <w:r w:rsidRPr="007C37D2">
        <w:rPr>
          <w:rFonts w:cstheme="minorHAnsi"/>
          <w:i/>
          <w:iCs/>
        </w:rPr>
        <w:t>Stainless Steel</w:t>
      </w:r>
      <w:proofErr w:type="gramEnd"/>
      <w:r w:rsidRPr="007C37D2">
        <w:rPr>
          <w:rFonts w:cstheme="minorHAnsi"/>
          <w:i/>
          <w:iCs/>
        </w:rPr>
        <w:t xml:space="preserve"> Sinks </w:t>
      </w:r>
      <w:r w:rsidRPr="007C37D2">
        <w:rPr>
          <w:rFonts w:cstheme="minorHAnsi"/>
        </w:rPr>
        <w:t>expiry review</w:t>
      </w:r>
      <w:r>
        <w:rPr>
          <w:rFonts w:cstheme="minorHAnsi"/>
        </w:rPr>
        <w:t xml:space="preserve"> in </w:t>
      </w:r>
      <w:r w:rsidR="007642CE">
        <w:rPr>
          <w:rFonts w:cstheme="minorHAnsi"/>
        </w:rPr>
        <w:t>February</w:t>
      </w:r>
      <w:r>
        <w:rPr>
          <w:rFonts w:cstheme="minorHAnsi"/>
        </w:rPr>
        <w:t xml:space="preserve"> 2020</w:t>
      </w:r>
      <w:r w:rsidRPr="007C37D2">
        <w:rPr>
          <w:rFonts w:cstheme="minorHAnsi"/>
        </w:rPr>
        <w:t xml:space="preserve">, Australia’s Anti-Dumping Commission ("ADC") </w:t>
      </w:r>
      <w:r>
        <w:rPr>
          <w:rFonts w:cstheme="minorHAnsi"/>
        </w:rPr>
        <w:t xml:space="preserve">concluded that </w:t>
      </w:r>
      <w:r w:rsidRPr="007C37D2">
        <w:rPr>
          <w:rFonts w:cstheme="minorHAnsi"/>
        </w:rPr>
        <w:t xml:space="preserve">Program 1 </w:t>
      </w:r>
      <w:r>
        <w:rPr>
          <w:rFonts w:cstheme="minorHAnsi"/>
        </w:rPr>
        <w:t xml:space="preserve">was not </w:t>
      </w:r>
      <w:r w:rsidRPr="007C37D2">
        <w:rPr>
          <w:rFonts w:cstheme="minorHAnsi"/>
        </w:rPr>
        <w:t>countervailable</w:t>
      </w:r>
      <w:r>
        <w:rPr>
          <w:rFonts w:cstheme="minorHAnsi"/>
        </w:rPr>
        <w:t xml:space="preserve"> </w:t>
      </w:r>
      <w:r w:rsidRPr="007C37D2">
        <w:rPr>
          <w:rFonts w:cstheme="minorHAnsi"/>
        </w:rPr>
        <w:t xml:space="preserve">and terminated all duties and other measures related to Program 1. </w:t>
      </w:r>
    </w:p>
    <w:p w14:paraId="11AEC324" w14:textId="0F4B7BD9" w:rsidR="008E5D7A" w:rsidRPr="007943B8" w:rsidRDefault="007943B8" w:rsidP="007943B8">
      <w:pPr>
        <w:pStyle w:val="P1-N1Paragraph1-Number1"/>
        <w:rPr>
          <w:rFonts w:cstheme="minorHAnsi"/>
        </w:rPr>
      </w:pPr>
      <w:r w:rsidRPr="007943B8">
        <w:rPr>
          <w:rFonts w:cstheme="minorHAnsi"/>
        </w:rPr>
        <w:t>China’s claims relate solely to measures that were terminated before the Panel’s establishment. As none of the measures challenged by China under Section B.2 of its RFE existed at the time China filed its request, these claims are squarely outside the Panel’s terms of reference. Australia’s request of the Panel, set out below in this submission, relates to this single issue which goes to the root of the Panel’s jurisdiction to adjudicate China’s claims under Section B.2 of its RFE. There are no benefits to China being impaired under any of the WTO Agreements as a result of measures related to Program 1, which were terminated long before China filed its panel request. Accordingly, Australia respectfully asks the Panel to find, consistent with WTO rules and a long line of previous panel and Appellate Body decisions, that China’s claims are outside of its terms of reference and issue its ruling in advance of Australia’s FWS.</w:t>
      </w:r>
    </w:p>
    <w:p w14:paraId="7880FB2A" w14:textId="77777777" w:rsidR="008E5D7A" w:rsidRDefault="008E5D7A" w:rsidP="008E5D7A">
      <w:pPr>
        <w:pStyle w:val="HL1HeadingLevel1"/>
        <w:rPr>
          <w:rFonts w:asciiTheme="minorHAnsi" w:hAnsiTheme="minorHAnsi" w:cstheme="minorHAnsi"/>
        </w:rPr>
      </w:pPr>
      <w:bookmarkStart w:id="9" w:name="_Toc121253015"/>
      <w:bookmarkStart w:id="10" w:name="_Toc122009492"/>
      <w:r>
        <w:rPr>
          <w:rFonts w:asciiTheme="minorHAnsi" w:hAnsiTheme="minorHAnsi" w:cstheme="minorHAnsi"/>
        </w:rPr>
        <w:lastRenderedPageBreak/>
        <w:t>The legal framework</w:t>
      </w:r>
      <w:bookmarkEnd w:id="9"/>
      <w:bookmarkEnd w:id="10"/>
    </w:p>
    <w:p w14:paraId="07307837" w14:textId="77777777" w:rsidR="008E5D7A" w:rsidRDefault="008E5D7A" w:rsidP="008E5D7A">
      <w:pPr>
        <w:pStyle w:val="P1-N1Paragraph1-Number1"/>
      </w:pPr>
      <w:r>
        <w:t xml:space="preserve">Article 3.4 of the DSU specifies that </w:t>
      </w:r>
      <w:r>
        <w:rPr>
          <w:rFonts w:asciiTheme="minorHAnsi" w:hAnsiTheme="minorHAnsi" w:cstheme="minorHAnsi"/>
        </w:rPr>
        <w:t>"</w:t>
      </w:r>
      <w:r>
        <w:t>r</w:t>
      </w:r>
      <w:r w:rsidRPr="00645AD5">
        <w:t xml:space="preserve">ecommendations or rulings made by the </w:t>
      </w:r>
      <w:r>
        <w:t>Dispute Settlement Body ("</w:t>
      </w:r>
      <w:r w:rsidRPr="00645AD5">
        <w:t>D</w:t>
      </w:r>
      <w:r>
        <w:t>SB")</w:t>
      </w:r>
      <w:r w:rsidRPr="00645AD5">
        <w:t xml:space="preserve"> shall be aimed at achieving a satisfactory settlement of </w:t>
      </w:r>
      <w:r w:rsidRPr="00645AD5">
        <w:rPr>
          <w:i/>
          <w:iCs/>
        </w:rPr>
        <w:t>the matter</w:t>
      </w:r>
      <w:r w:rsidRPr="00645AD5">
        <w:t xml:space="preserve"> in accordance with the rights and obligations under this Understanding and under the covered agreements.</w:t>
      </w:r>
      <w:r>
        <w:rPr>
          <w:rFonts w:asciiTheme="minorHAnsi" w:hAnsiTheme="minorHAnsi" w:cstheme="minorHAnsi"/>
        </w:rPr>
        <w:t>"</w:t>
      </w:r>
      <w:r>
        <w:rPr>
          <w:rStyle w:val="FootnoteReference"/>
        </w:rPr>
        <w:footnoteReference w:id="2"/>
      </w:r>
      <w:r>
        <w:t xml:space="preserve">  </w:t>
      </w:r>
    </w:p>
    <w:p w14:paraId="6980967E" w14:textId="77777777" w:rsidR="008E5D7A" w:rsidRDefault="008E5D7A" w:rsidP="008E5D7A">
      <w:pPr>
        <w:pStyle w:val="P1-N1Paragraph1-Number1"/>
      </w:pPr>
      <w:r>
        <w:t>A matter is lawfully within a panel’s jurisdiction if it is included in a panel’s standard terms of reference, as adopted by the Dispute Settlement Body (</w:t>
      </w:r>
      <w:r>
        <w:rPr>
          <w:rFonts w:asciiTheme="minorHAnsi" w:hAnsiTheme="minorHAnsi" w:cstheme="minorHAnsi"/>
        </w:rPr>
        <w:t>"</w:t>
      </w:r>
      <w:r>
        <w:t>DSB</w:t>
      </w:r>
      <w:r>
        <w:rPr>
          <w:rFonts w:asciiTheme="minorHAnsi" w:hAnsiTheme="minorHAnsi" w:cstheme="minorHAnsi"/>
        </w:rPr>
        <w:t>"</w:t>
      </w:r>
      <w:r>
        <w:t>), in accordance with Article 7.1 of the DSU.</w:t>
      </w:r>
      <w:r>
        <w:rPr>
          <w:rStyle w:val="FootnoteReference"/>
        </w:rPr>
        <w:footnoteReference w:id="3"/>
      </w:r>
      <w:r>
        <w:t xml:space="preserve"> Those terms of reference under Article 7.1 of the DSU are: </w:t>
      </w:r>
      <w:r>
        <w:rPr>
          <w:rFonts w:asciiTheme="minorHAnsi" w:hAnsiTheme="minorHAnsi" w:cstheme="minorHAnsi"/>
        </w:rPr>
        <w:t>"</w:t>
      </w:r>
      <w:r>
        <w:t xml:space="preserve">To examine, </w:t>
      </w:r>
      <w:r w:rsidRPr="00645AD5">
        <w:t>in the light of the relevant provisions in (name of the covered agreement(s) cited by the parties to the dispute), the matter referred to the DSB by (name of party) in document</w:t>
      </w:r>
      <w:r>
        <w:t>…</w:t>
      </w:r>
      <w:r w:rsidRPr="00645AD5">
        <w:t xml:space="preserve"> and to make such findings as will assist the DSB in making the recommendations or in giving the rulings provided for in that/those agreement(s).</w:t>
      </w:r>
      <w:r>
        <w:rPr>
          <w:rFonts w:asciiTheme="minorHAnsi" w:hAnsiTheme="minorHAnsi" w:cstheme="minorHAnsi"/>
        </w:rPr>
        <w:t>"</w:t>
      </w:r>
    </w:p>
    <w:p w14:paraId="051A48AD" w14:textId="77777777" w:rsidR="008E5D7A" w:rsidRDefault="008E5D7A" w:rsidP="008E5D7A">
      <w:pPr>
        <w:pStyle w:val="P1-N1Paragraph1-Number1"/>
      </w:pPr>
      <w:r>
        <w:t>Where there is a question regarding a panel’s jurisdiction to examine and make findings with respect to a specific matter raised by a complainant, a panel must address that issue first.</w:t>
      </w:r>
      <w:r>
        <w:rPr>
          <w:rStyle w:val="FootnoteReference"/>
        </w:rPr>
        <w:footnoteReference w:id="4"/>
      </w:r>
      <w:r>
        <w:t xml:space="preserve"> In </w:t>
      </w:r>
      <w:r w:rsidRPr="00645AD5">
        <w:rPr>
          <w:i/>
          <w:iCs/>
        </w:rPr>
        <w:t>Mexico – Corn Syrup (Article 21.5 – US)</w:t>
      </w:r>
      <w:r>
        <w:t xml:space="preserve">, for example, the Appellate Body found that </w:t>
      </w:r>
      <w:r>
        <w:rPr>
          <w:rFonts w:asciiTheme="minorHAnsi" w:hAnsiTheme="minorHAnsi" w:cstheme="minorHAnsi"/>
        </w:rPr>
        <w:t>"</w:t>
      </w:r>
      <w:r>
        <w:t>panels cannot simply ignore issues which go to the root of their jurisdiction—that is, to their authority to deal with and dispose of matters. Rather, panels must deal with such issues—if necessary, on their own motion—to satisfy themselves that they have authority to proceed.</w:t>
      </w:r>
      <w:r>
        <w:rPr>
          <w:rFonts w:asciiTheme="minorHAnsi" w:hAnsiTheme="minorHAnsi" w:cstheme="minorHAnsi"/>
        </w:rPr>
        <w:t>"</w:t>
      </w:r>
      <w:r>
        <w:rPr>
          <w:rStyle w:val="FootnoteReference"/>
        </w:rPr>
        <w:footnoteReference w:id="5"/>
      </w:r>
      <w:r>
        <w:t xml:space="preserve"> </w:t>
      </w:r>
    </w:p>
    <w:p w14:paraId="5C62D3B6" w14:textId="77777777" w:rsidR="008E5D7A" w:rsidRDefault="008E5D7A" w:rsidP="008E5D7A">
      <w:pPr>
        <w:pStyle w:val="P1-N1Paragraph1-Number1"/>
      </w:pPr>
      <w:r>
        <w:t xml:space="preserve">Article 6.2 of the DSU requires that all requests for the establishment of the panel </w:t>
      </w:r>
      <w:r>
        <w:rPr>
          <w:rFonts w:asciiTheme="minorHAnsi" w:hAnsiTheme="minorHAnsi" w:cstheme="minorHAnsi"/>
        </w:rPr>
        <w:t>"</w:t>
      </w:r>
      <w:r>
        <w:t xml:space="preserve">shall be made in writing… indicate whether consultations were held, </w:t>
      </w:r>
      <w:r w:rsidRPr="000D1297">
        <w:t xml:space="preserve">identify the </w:t>
      </w:r>
      <w:r w:rsidRPr="000D1297">
        <w:rPr>
          <w:i/>
          <w:iCs/>
        </w:rPr>
        <w:t>specific measures at issue</w:t>
      </w:r>
      <w:r w:rsidRPr="000D1297">
        <w:t xml:space="preserve"> </w:t>
      </w:r>
      <w:r>
        <w:t>and provide a brief summary of the legal basis of the complaint sufficient to present the problem clearly.</w:t>
      </w:r>
      <w:r>
        <w:rPr>
          <w:rFonts w:asciiTheme="minorHAnsi" w:hAnsiTheme="minorHAnsi" w:cstheme="minorHAnsi"/>
        </w:rPr>
        <w:t>"</w:t>
      </w:r>
      <w:r>
        <w:t xml:space="preserve"> While the DSU affords a complainant freedom in defining the scope of a dispute through its panel request, that request must meet the specific requirements in Article 6.2 to be within a panel’s terms of reference under Article 7.1. In other </w:t>
      </w:r>
      <w:r>
        <w:lastRenderedPageBreak/>
        <w:t xml:space="preserve">words, as the Appellate Body found in </w:t>
      </w:r>
      <w:r>
        <w:rPr>
          <w:i/>
          <w:iCs/>
        </w:rPr>
        <w:t>Australia–Apples</w:t>
      </w:r>
      <w:r>
        <w:t xml:space="preserve">: </w:t>
      </w:r>
      <w:r>
        <w:rPr>
          <w:rFonts w:asciiTheme="minorHAnsi" w:hAnsiTheme="minorHAnsi" w:cstheme="minorHAnsi"/>
        </w:rPr>
        <w:t>"</w:t>
      </w:r>
      <w:r>
        <w:t>For a matter to be within a panel's terms of reference—in the sense of Articles 6.2 and 7.1 of the DSU—a complainant must identify ‘the specific measures at issue’ and the ‘legal basis of the complaint sufficient to present the problem clearly’.</w:t>
      </w:r>
      <w:r>
        <w:rPr>
          <w:rFonts w:asciiTheme="minorHAnsi" w:hAnsiTheme="minorHAnsi" w:cstheme="minorHAnsi"/>
        </w:rPr>
        <w:t>"</w:t>
      </w:r>
      <w:r>
        <w:rPr>
          <w:rStyle w:val="FootnoteReference"/>
        </w:rPr>
        <w:footnoteReference w:id="6"/>
      </w:r>
    </w:p>
    <w:p w14:paraId="5660D62A" w14:textId="77777777" w:rsidR="008E5D7A" w:rsidRDefault="008E5D7A" w:rsidP="008E5D7A">
      <w:pPr>
        <w:pStyle w:val="P1-N1Paragraph1-Number1"/>
      </w:pPr>
      <w:r>
        <w:t xml:space="preserve">With limited exceptions, a measure that is expired, terminated, repealed, or otherwise not in existence cannot be a </w:t>
      </w:r>
      <w:r>
        <w:rPr>
          <w:rFonts w:asciiTheme="minorHAnsi" w:hAnsiTheme="minorHAnsi" w:cstheme="minorHAnsi"/>
        </w:rPr>
        <w:t>"</w:t>
      </w:r>
      <w:r>
        <w:t>measure at issue</w:t>
      </w:r>
      <w:r>
        <w:rPr>
          <w:rFonts w:asciiTheme="minorHAnsi" w:hAnsiTheme="minorHAnsi" w:cstheme="minorHAnsi"/>
        </w:rPr>
        <w:t>"</w:t>
      </w:r>
      <w:r>
        <w:t xml:space="preserve"> in accordance with Article 6.2 of the DSU and, therefore, is outside of a panel’s terms of reference under Article 7.1. This is particularly true for measures which have expired </w:t>
      </w:r>
      <w:r>
        <w:rPr>
          <w:i/>
          <w:iCs/>
        </w:rPr>
        <w:t>prior</w:t>
      </w:r>
      <w:r>
        <w:t xml:space="preserve"> to the request for panel establishment. The Appellate Body has stated: </w:t>
      </w:r>
      <w:r>
        <w:rPr>
          <w:rFonts w:asciiTheme="minorHAnsi" w:hAnsiTheme="minorHAnsi" w:cstheme="minorHAnsi"/>
        </w:rPr>
        <w:t>"</w:t>
      </w:r>
      <w:r>
        <w:t>The term "specific measures at issue" in Article 6.2 suggests that, as a general rule, the measures included in a panel’s terms of reference must be measures that are in existence at the time of the establishment of the panel.</w:t>
      </w:r>
      <w:r>
        <w:rPr>
          <w:rFonts w:asciiTheme="minorHAnsi" w:hAnsiTheme="minorHAnsi" w:cstheme="minorHAnsi"/>
        </w:rPr>
        <w:t>"</w:t>
      </w:r>
      <w:r>
        <w:rPr>
          <w:rStyle w:val="FootnoteReference"/>
        </w:rPr>
        <w:footnoteReference w:id="7"/>
      </w:r>
      <w:r>
        <w:t xml:space="preserve">  </w:t>
      </w:r>
    </w:p>
    <w:p w14:paraId="5C04FC6C" w14:textId="77777777" w:rsidR="008E5D7A" w:rsidRPr="007C37D2" w:rsidRDefault="008E5D7A" w:rsidP="008E5D7A">
      <w:pPr>
        <w:pStyle w:val="P1-N1Paragraph1-Number1"/>
      </w:pPr>
      <w:r>
        <w:t xml:space="preserve">Dating back to the GATT-era, panels have almost always found such measures to be outside their terms of reference. In </w:t>
      </w:r>
      <w:r w:rsidRPr="006861A6">
        <w:rPr>
          <w:i/>
          <w:iCs/>
        </w:rPr>
        <w:t>US – Gasoline</w:t>
      </w:r>
      <w:r>
        <w:t xml:space="preserve">, for example, the panel observed that: </w:t>
      </w:r>
      <w:r>
        <w:rPr>
          <w:rFonts w:asciiTheme="minorHAnsi" w:hAnsiTheme="minorHAnsi" w:cstheme="minorHAnsi"/>
        </w:rPr>
        <w:t>"[</w:t>
      </w:r>
      <w:r>
        <w:t>I]t had not been the usual practice of a panel established under the General Agreement to rule on measures that, at the time the panel’s terms of reference were fixed, were not and would not become effective.</w:t>
      </w:r>
      <w:r>
        <w:rPr>
          <w:rFonts w:asciiTheme="minorHAnsi" w:hAnsiTheme="minorHAnsi" w:cstheme="minorHAnsi"/>
        </w:rPr>
        <w:t>"</w:t>
      </w:r>
      <w:r>
        <w:rPr>
          <w:rStyle w:val="FootnoteReference"/>
        </w:rPr>
        <w:footnoteReference w:id="8"/>
      </w:r>
      <w:r>
        <w:t xml:space="preserve"> For over two decades, this interpretation has been followed by panel after panel confirming the </w:t>
      </w:r>
      <w:r>
        <w:rPr>
          <w:rFonts w:asciiTheme="minorHAnsi" w:hAnsiTheme="minorHAnsi" w:cstheme="minorHAnsi"/>
        </w:rPr>
        <w:t>"</w:t>
      </w:r>
      <w:r>
        <w:t>general ru</w:t>
      </w:r>
      <w:r w:rsidRPr="00317830">
        <w:t xml:space="preserve">le, </w:t>
      </w:r>
      <w:r>
        <w:t xml:space="preserve">[that] </w:t>
      </w:r>
      <w:r w:rsidRPr="00317830">
        <w:t>to be within a panel</w:t>
      </w:r>
      <w:r>
        <w:t>’</w:t>
      </w:r>
      <w:r w:rsidRPr="00317830">
        <w:t>s terms of reference, the measure identified in the complainant</w:t>
      </w:r>
      <w:r>
        <w:t>’</w:t>
      </w:r>
      <w:r w:rsidRPr="00317830">
        <w:t xml:space="preserve">s panel request </w:t>
      </w:r>
      <w:r w:rsidRPr="006861A6">
        <w:rPr>
          <w:i/>
          <w:iCs/>
        </w:rPr>
        <w:t>must be in force at the time of the panel's establishment</w:t>
      </w:r>
      <w:r w:rsidRPr="00317830">
        <w:t>.</w:t>
      </w:r>
      <w:r>
        <w:rPr>
          <w:rFonts w:asciiTheme="minorHAnsi" w:hAnsiTheme="minorHAnsi" w:cstheme="minorHAnsi"/>
        </w:rPr>
        <w:t>"</w:t>
      </w:r>
      <w:r>
        <w:rPr>
          <w:rStyle w:val="FootnoteReference"/>
        </w:rPr>
        <w:footnoteReference w:id="9"/>
      </w:r>
      <w:r>
        <w:t xml:space="preserve"> The panel in </w:t>
      </w:r>
      <w:r w:rsidRPr="006861A6">
        <w:rPr>
          <w:i/>
          <w:iCs/>
        </w:rPr>
        <w:t xml:space="preserve">Thailand – Cigarettes (Article 21.5) </w:t>
      </w:r>
      <w:r>
        <w:t xml:space="preserve">recently undertook an extensive review of previous panel and Appellate Body decisions and similarly concluded that </w:t>
      </w:r>
      <w:r>
        <w:rPr>
          <w:rFonts w:asciiTheme="minorHAnsi" w:hAnsiTheme="minorHAnsi" w:cstheme="minorHAnsi"/>
        </w:rPr>
        <w:t>"</w:t>
      </w:r>
      <w:r>
        <w:t xml:space="preserve">in respect of measures withdrawn before panel establishment, </w:t>
      </w:r>
      <w:r w:rsidRPr="006861A6">
        <w:rPr>
          <w:i/>
          <w:iCs/>
        </w:rPr>
        <w:t>panel practice appears to heavily lean against making any findings</w:t>
      </w:r>
      <w:r w:rsidRPr="00611D6E">
        <w:t>.</w:t>
      </w:r>
      <w:r>
        <w:rPr>
          <w:rFonts w:asciiTheme="minorHAnsi" w:hAnsiTheme="minorHAnsi" w:cstheme="minorHAnsi"/>
        </w:rPr>
        <w:t>"</w:t>
      </w:r>
      <w:r>
        <w:rPr>
          <w:rStyle w:val="FootnoteReference"/>
        </w:rPr>
        <w:footnoteReference w:id="10"/>
      </w:r>
    </w:p>
    <w:p w14:paraId="46549C0B" w14:textId="77777777" w:rsidR="008E5D7A" w:rsidRDefault="008E5D7A" w:rsidP="008E5D7A">
      <w:pPr>
        <w:pStyle w:val="P1-N1Paragraph1-Number1"/>
        <w:spacing w:after="0"/>
      </w:pPr>
      <w:r>
        <w:t xml:space="preserve">The reason why expired, terminated, repealed, or otherwise non-existent measures, that have no legal effect, must be excluded from a panel’s terms of reference under Article </w:t>
      </w:r>
      <w:r>
        <w:lastRenderedPageBreak/>
        <w:t xml:space="preserve">7.1 of the DSU ties back to the purpose of the WTO dispute settlement system under Article 3 of the DSU. In accordance with Article 3.2 of the DSU, the dispute settlement system should </w:t>
      </w:r>
      <w:r>
        <w:rPr>
          <w:rFonts w:asciiTheme="minorHAnsi" w:hAnsiTheme="minorHAnsi" w:cstheme="minorHAnsi"/>
        </w:rPr>
        <w:t>"</w:t>
      </w:r>
      <w:r>
        <w:t>clarify the existing provisions</w:t>
      </w:r>
      <w:r>
        <w:rPr>
          <w:rFonts w:asciiTheme="minorHAnsi" w:hAnsiTheme="minorHAnsi" w:cstheme="minorHAnsi"/>
        </w:rPr>
        <w:t>"</w:t>
      </w:r>
      <w:r>
        <w:t xml:space="preserve"> of the covered agreements but cannot </w:t>
      </w:r>
      <w:r>
        <w:rPr>
          <w:rFonts w:asciiTheme="minorHAnsi" w:hAnsiTheme="minorHAnsi" w:cstheme="minorHAnsi"/>
        </w:rPr>
        <w:t>"</w:t>
      </w:r>
      <w:r>
        <w:t>add to or diminish the rights and obligations provided in the covered agreements.</w:t>
      </w:r>
      <w:r>
        <w:rPr>
          <w:rFonts w:asciiTheme="minorHAnsi" w:hAnsiTheme="minorHAnsi" w:cstheme="minorHAnsi"/>
        </w:rPr>
        <w:t>"</w:t>
      </w:r>
      <w:r>
        <w:t xml:space="preserve"> To achieve this balance of clarifying provisions without adding to or diminishing Members’ rights, panels must take care to avoid opining on hypothetical issues or non-existent fact patterns. Such advisory opinions prejudice Members in future disputes, undermine the broader negotiation and monitoring functions of the WTO, and are at odds with the unique Member-driven nature of the organisation.</w:t>
      </w:r>
      <w:r>
        <w:rPr>
          <w:rStyle w:val="FootnoteReference"/>
        </w:rPr>
        <w:footnoteReference w:id="11"/>
      </w:r>
      <w:r>
        <w:t xml:space="preserve"> Unlike the role of domestic courts in some Member countries, WTO dispute settlement panels cannot take the place of negotiators by creating new rules or filling gaps through advisory rulings. As the Appellate Body found in </w:t>
      </w:r>
      <w:r w:rsidRPr="00640C54">
        <w:rPr>
          <w:i/>
          <w:iCs/>
        </w:rPr>
        <w:t>US – Wool Shirts and Blouses</w:t>
      </w:r>
      <w:r>
        <w:t>, consistent with Article 3.2:</w:t>
      </w:r>
    </w:p>
    <w:p w14:paraId="36F31F8C" w14:textId="77777777" w:rsidR="008E5D7A" w:rsidRPr="00AD514D" w:rsidRDefault="008E5D7A" w:rsidP="008E5D7A">
      <w:pPr>
        <w:pStyle w:val="P1-N1Paragraph1-Number1"/>
        <w:numPr>
          <w:ilvl w:val="0"/>
          <w:numId w:val="0"/>
        </w:numPr>
        <w:spacing w:line="276" w:lineRule="auto"/>
        <w:ind w:left="720"/>
        <w:rPr>
          <w:sz w:val="22"/>
          <w:szCs w:val="22"/>
        </w:rPr>
      </w:pPr>
      <w:r w:rsidRPr="00AD514D">
        <w:rPr>
          <w:sz w:val="22"/>
          <w:szCs w:val="22"/>
        </w:rPr>
        <w:t xml:space="preserve">The aim of dispute settlement is not </w:t>
      </w:r>
      <w:r>
        <w:rPr>
          <w:sz w:val="22"/>
          <w:szCs w:val="22"/>
        </w:rPr>
        <w:t>"</w:t>
      </w:r>
      <w:r w:rsidRPr="00AD514D">
        <w:rPr>
          <w:sz w:val="22"/>
          <w:szCs w:val="22"/>
        </w:rPr>
        <w:t xml:space="preserve">to encourage either panels or the Appellate Body to </w:t>
      </w:r>
      <w:r>
        <w:rPr>
          <w:sz w:val="22"/>
          <w:szCs w:val="22"/>
        </w:rPr>
        <w:t>"</w:t>
      </w:r>
      <w:r w:rsidRPr="00AD514D">
        <w:rPr>
          <w:sz w:val="22"/>
          <w:szCs w:val="22"/>
        </w:rPr>
        <w:t>make law</w:t>
      </w:r>
      <w:r>
        <w:rPr>
          <w:sz w:val="22"/>
          <w:szCs w:val="22"/>
        </w:rPr>
        <w:t>"</w:t>
      </w:r>
      <w:r w:rsidRPr="00AD514D">
        <w:rPr>
          <w:sz w:val="22"/>
          <w:szCs w:val="22"/>
        </w:rPr>
        <w:t xml:space="preserve"> by clarifying existing provisions of the WTO Agreement outside the context of resolving a particular dispute. A panel need only address those claims which must be addressed in order to resolve the matter in issue in the dispute.</w:t>
      </w:r>
      <w:r>
        <w:rPr>
          <w:sz w:val="22"/>
          <w:szCs w:val="22"/>
        </w:rPr>
        <w:t>"</w:t>
      </w:r>
      <w:r w:rsidRPr="00AD514D">
        <w:rPr>
          <w:rStyle w:val="FootnoteReference"/>
          <w:sz w:val="22"/>
          <w:szCs w:val="22"/>
        </w:rPr>
        <w:footnoteReference w:id="12"/>
      </w:r>
    </w:p>
    <w:p w14:paraId="280E17A0" w14:textId="77777777" w:rsidR="008E5D7A" w:rsidRDefault="008E5D7A" w:rsidP="008E5D7A">
      <w:pPr>
        <w:pStyle w:val="P1-N1Paragraph1-Number1"/>
        <w:spacing w:after="0"/>
      </w:pPr>
      <w:r>
        <w:t xml:space="preserve">Similarly, the panel in </w:t>
      </w:r>
      <w:bookmarkStart w:id="11" w:name="_Hlk121742287"/>
      <w:r w:rsidRPr="00736897">
        <w:rPr>
          <w:i/>
          <w:iCs/>
        </w:rPr>
        <w:t>US – Tuna II (Mexico) (Article 21.5 – Mexico)</w:t>
      </w:r>
      <w:r>
        <w:t xml:space="preserve"> </w:t>
      </w:r>
      <w:bookmarkEnd w:id="11"/>
      <w:r>
        <w:t>confirmed that a panel should limit its findings to whatever is required to resolve the immediate dispute before it:</w:t>
      </w:r>
    </w:p>
    <w:p w14:paraId="3FAD1FD4" w14:textId="77777777" w:rsidR="008E5D7A" w:rsidRPr="00AD514D" w:rsidRDefault="008E5D7A" w:rsidP="008E5D7A">
      <w:pPr>
        <w:pStyle w:val="P1-N1Paragraph1-Number1"/>
        <w:numPr>
          <w:ilvl w:val="0"/>
          <w:numId w:val="0"/>
        </w:numPr>
        <w:spacing w:line="276" w:lineRule="auto"/>
        <w:ind w:left="720"/>
        <w:rPr>
          <w:sz w:val="22"/>
          <w:szCs w:val="22"/>
        </w:rPr>
      </w:pPr>
      <w:r w:rsidRPr="00AD514D">
        <w:rPr>
          <w:sz w:val="22"/>
          <w:szCs w:val="22"/>
        </w:rPr>
        <w:t xml:space="preserve">In this respect, we are mindful that no provision of the DSU explicitly gives panels the power to issue advisory opinions or, indeed, to make any findings other than those required to resolve the dispute before them. Indeed, a number of provisions of the DSU suggest that panels should not make findings in respect of issues that are not in dispute. For example, Article 3.7 of the DSU provides that the </w:t>
      </w:r>
      <w:r w:rsidRPr="00AD514D">
        <w:rPr>
          <w:rFonts w:asciiTheme="minorHAnsi" w:hAnsiTheme="minorHAnsi" w:cstheme="minorHAnsi"/>
          <w:sz w:val="22"/>
          <w:szCs w:val="22"/>
        </w:rPr>
        <w:t>"</w:t>
      </w:r>
      <w:r w:rsidRPr="00AD514D">
        <w:rPr>
          <w:sz w:val="22"/>
          <w:szCs w:val="22"/>
        </w:rPr>
        <w:t>aim of the dispute settlement mechanism is to secure a positive solution to a dispute</w:t>
      </w:r>
      <w:r w:rsidRPr="00AD514D">
        <w:rPr>
          <w:rFonts w:asciiTheme="minorHAnsi" w:hAnsiTheme="minorHAnsi" w:cstheme="minorHAnsi"/>
          <w:sz w:val="22"/>
          <w:szCs w:val="22"/>
        </w:rPr>
        <w:t>"</w:t>
      </w:r>
      <w:r w:rsidRPr="00AD514D">
        <w:rPr>
          <w:sz w:val="22"/>
          <w:szCs w:val="22"/>
        </w:rPr>
        <w:t xml:space="preserve">. Similarly, Article 3.4 of the DSU stipulates that </w:t>
      </w:r>
      <w:r w:rsidRPr="00AD514D">
        <w:rPr>
          <w:rFonts w:asciiTheme="minorHAnsi" w:hAnsiTheme="minorHAnsi" w:cstheme="minorHAnsi"/>
          <w:sz w:val="22"/>
          <w:szCs w:val="22"/>
        </w:rPr>
        <w:t>"</w:t>
      </w:r>
      <w:r w:rsidRPr="00AD514D">
        <w:rPr>
          <w:sz w:val="22"/>
          <w:szCs w:val="22"/>
        </w:rPr>
        <w:t>[r]</w:t>
      </w:r>
      <w:proofErr w:type="spellStart"/>
      <w:r w:rsidRPr="00AD514D">
        <w:rPr>
          <w:sz w:val="22"/>
          <w:szCs w:val="22"/>
        </w:rPr>
        <w:t>ecommendations</w:t>
      </w:r>
      <w:proofErr w:type="spellEnd"/>
      <w:r w:rsidRPr="00AD514D">
        <w:rPr>
          <w:sz w:val="22"/>
          <w:szCs w:val="22"/>
        </w:rPr>
        <w:t xml:space="preserve"> or rulings made by the DSB shall be aimed at achieving a satisfactory settlement of the matter in accordance with the rights and obligations under this Understanding and under the covered agreements</w:t>
      </w:r>
      <w:r w:rsidRPr="00AD514D">
        <w:rPr>
          <w:rFonts w:asciiTheme="minorHAnsi" w:hAnsiTheme="minorHAnsi" w:cstheme="minorHAnsi"/>
          <w:sz w:val="22"/>
          <w:szCs w:val="22"/>
        </w:rPr>
        <w:t>"</w:t>
      </w:r>
      <w:r w:rsidRPr="00AD514D">
        <w:rPr>
          <w:sz w:val="22"/>
          <w:szCs w:val="22"/>
        </w:rPr>
        <w:t xml:space="preserve">. Additionally, Article 7.1 of the DSU charges panels with making </w:t>
      </w:r>
      <w:r w:rsidRPr="00AD514D">
        <w:rPr>
          <w:rFonts w:asciiTheme="minorHAnsi" w:hAnsiTheme="minorHAnsi" w:cstheme="minorHAnsi"/>
          <w:sz w:val="22"/>
          <w:szCs w:val="22"/>
        </w:rPr>
        <w:t>"</w:t>
      </w:r>
      <w:r w:rsidRPr="00AD514D">
        <w:rPr>
          <w:sz w:val="22"/>
          <w:szCs w:val="22"/>
        </w:rPr>
        <w:t xml:space="preserve">such findings as will assist the DSB in making the recommendations or in giving the rulings provided for in </w:t>
      </w:r>
      <w:r w:rsidRPr="00AD514D">
        <w:rPr>
          <w:sz w:val="22"/>
          <w:szCs w:val="22"/>
        </w:rPr>
        <w:lastRenderedPageBreak/>
        <w:t>that/those agreement(s)</w:t>
      </w:r>
      <w:r w:rsidRPr="00AD514D">
        <w:rPr>
          <w:rFonts w:asciiTheme="minorHAnsi" w:hAnsiTheme="minorHAnsi" w:cstheme="minorHAnsi"/>
          <w:sz w:val="22"/>
          <w:szCs w:val="22"/>
        </w:rPr>
        <w:t>"</w:t>
      </w:r>
      <w:r w:rsidRPr="00AD514D">
        <w:rPr>
          <w:sz w:val="22"/>
          <w:szCs w:val="22"/>
        </w:rPr>
        <w:t>. In our view, these provisions make clear that the purpose of the dispute settlement system is to resolve disputes between Members.</w:t>
      </w:r>
      <w:r w:rsidRPr="00AD514D">
        <w:rPr>
          <w:rStyle w:val="FootnoteReference"/>
          <w:sz w:val="22"/>
          <w:szCs w:val="22"/>
        </w:rPr>
        <w:footnoteReference w:id="13"/>
      </w:r>
    </w:p>
    <w:p w14:paraId="6FAAE586" w14:textId="77777777" w:rsidR="008E5D7A" w:rsidRDefault="008E5D7A" w:rsidP="008E5D7A">
      <w:pPr>
        <w:pStyle w:val="P1-N1Paragraph1-Number1"/>
      </w:pPr>
      <w:r>
        <w:t xml:space="preserve">Finally, expired or otherwise withdrawn measures present a further dilemma for adjudicators and litigating parties alike, as panels are precluded from making recommendations under Article 19.1 of the DSU with respect to measures that are no longer in existence. The Appellate Body said in </w:t>
      </w:r>
      <w:r>
        <w:rPr>
          <w:i/>
          <w:iCs/>
        </w:rPr>
        <w:t xml:space="preserve">US – Certain EC </w:t>
      </w:r>
      <w:r w:rsidRPr="00461816">
        <w:t>Products</w:t>
      </w:r>
      <w:r>
        <w:t xml:space="preserve">, </w:t>
      </w:r>
      <w:r w:rsidRPr="00CD32C1">
        <w:t>that</w:t>
      </w:r>
      <w:r>
        <w:t xml:space="preserve"> it would be inconsistent to find, on the one hand, that a measure does not exist and, on the other, to recommend that a WTO Member bring the non-existent measure into conformity with WTO rules.</w:t>
      </w:r>
      <w:r>
        <w:rPr>
          <w:rStyle w:val="FootnoteReference"/>
        </w:rPr>
        <w:footnoteReference w:id="14"/>
      </w:r>
      <w:r>
        <w:t xml:space="preserve">    </w:t>
      </w:r>
    </w:p>
    <w:p w14:paraId="0A3439E6" w14:textId="77777777" w:rsidR="008E5D7A" w:rsidRPr="00717572" w:rsidRDefault="008E5D7A" w:rsidP="008E5D7A">
      <w:pPr>
        <w:pStyle w:val="HL1HeadingLevel1"/>
        <w:ind w:left="850" w:hanging="850"/>
        <w:rPr>
          <w:rFonts w:asciiTheme="minorHAnsi" w:hAnsiTheme="minorHAnsi" w:cstheme="minorHAnsi"/>
        </w:rPr>
      </w:pPr>
      <w:bookmarkStart w:id="12" w:name="_Toc121253016"/>
      <w:bookmarkStart w:id="13" w:name="_Toc122009493"/>
      <w:r>
        <w:rPr>
          <w:rFonts w:asciiTheme="minorHAnsi" w:hAnsiTheme="minorHAnsi" w:cstheme="minorHAnsi"/>
        </w:rPr>
        <w:t xml:space="preserve">THE COUNTERVAILING MEASURES CHALLENGED BY CHINA WERE terminated TWO YEARS prior to the date of the panel’s </w:t>
      </w:r>
      <w:r w:rsidRPr="00717572">
        <w:rPr>
          <w:rFonts w:asciiTheme="minorHAnsi" w:hAnsiTheme="minorHAnsi" w:cstheme="minorHAnsi"/>
        </w:rPr>
        <w:t>establishment</w:t>
      </w:r>
      <w:bookmarkEnd w:id="12"/>
      <w:bookmarkEnd w:id="13"/>
    </w:p>
    <w:p w14:paraId="109DD58B" w14:textId="77777777" w:rsidR="008E5D7A" w:rsidRPr="00717572" w:rsidRDefault="008E5D7A" w:rsidP="008E5D7A">
      <w:pPr>
        <w:pStyle w:val="P1-N1Paragraph1-Number1"/>
      </w:pPr>
      <w:r w:rsidRPr="00717572">
        <w:t xml:space="preserve">China’s only claims in Section B.2 of its RFE relate </w:t>
      </w:r>
      <w:r>
        <w:t>exclusively</w:t>
      </w:r>
      <w:r w:rsidRPr="00717572">
        <w:t xml:space="preserve"> to measures associated with a single subsidy program (Program 1) in the </w:t>
      </w:r>
      <w:proofErr w:type="gramStart"/>
      <w:r w:rsidRPr="00717572">
        <w:rPr>
          <w:i/>
          <w:iCs/>
        </w:rPr>
        <w:t>Stainless Steel</w:t>
      </w:r>
      <w:proofErr w:type="gramEnd"/>
      <w:r w:rsidRPr="00717572">
        <w:rPr>
          <w:i/>
          <w:iCs/>
        </w:rPr>
        <w:t xml:space="preserve"> Sinks</w:t>
      </w:r>
      <w:r w:rsidRPr="00717572">
        <w:t xml:space="preserve"> investigation</w:t>
      </w:r>
      <w:r>
        <w:t xml:space="preserve"> – measures which</w:t>
      </w:r>
      <w:r w:rsidRPr="00717572">
        <w:t xml:space="preserve"> were terminated </w:t>
      </w:r>
      <w:r>
        <w:t xml:space="preserve">nearly </w:t>
      </w:r>
      <w:r w:rsidRPr="00717572">
        <w:t>two years before the Panel</w:t>
      </w:r>
      <w:r>
        <w:t xml:space="preserve"> was established</w:t>
      </w:r>
      <w:r w:rsidRPr="00717572">
        <w:t xml:space="preserve">.  </w:t>
      </w:r>
    </w:p>
    <w:p w14:paraId="1215F6B0" w14:textId="6A2F5BC8" w:rsidR="008E5D7A" w:rsidRPr="00717572" w:rsidRDefault="008E5D7A" w:rsidP="008E5D7A">
      <w:pPr>
        <w:pStyle w:val="P1-N1Paragraph1-Number1"/>
      </w:pPr>
      <w:r w:rsidRPr="00717572">
        <w:t xml:space="preserve">In this dispute, China raises several ‘as applied’ claims with respect to the anti-dumping and countervailing measures associated with three separate determinations involving dumped and/or subsidised products from China:  </w:t>
      </w:r>
      <w:r w:rsidRPr="00717572">
        <w:rPr>
          <w:i/>
          <w:iCs/>
        </w:rPr>
        <w:t>Anti-Dumping Commission Report No. 238 - Alleged Dumping of Deep Drawn Stainless Steel Sinks Exported from the People's Republic of China and Alleged Subsidisation of Deep Drawn Stainless Steel Sinks</w:t>
      </w:r>
      <w:r w:rsidRPr="00717572">
        <w:t xml:space="preserve"> (19 February 2015) ("</w:t>
      </w:r>
      <w:r w:rsidRPr="00717572">
        <w:rPr>
          <w:i/>
          <w:iCs/>
        </w:rPr>
        <w:t>Stainless Steel Sinks Investigation 238 Report"</w:t>
      </w:r>
      <w:r w:rsidRPr="00717572">
        <w:t>)</w:t>
      </w:r>
      <w:r w:rsidRPr="00717572">
        <w:rPr>
          <w:rStyle w:val="FootnoteReference"/>
        </w:rPr>
        <w:footnoteReference w:id="15"/>
      </w:r>
      <w:r w:rsidRPr="00717572">
        <w:t xml:space="preserve">; </w:t>
      </w:r>
      <w:r w:rsidRPr="00717572">
        <w:rPr>
          <w:i/>
          <w:iCs/>
        </w:rPr>
        <w:t>Anti-Dumping Commission Report No. 466 – Alleged Dumping of Certain Railway Wheels Exported from the People's Republic of China and France</w:t>
      </w:r>
      <w:r w:rsidRPr="00717572">
        <w:t xml:space="preserve"> (1 March 2019) ("</w:t>
      </w:r>
      <w:r w:rsidRPr="00717572">
        <w:rPr>
          <w:i/>
          <w:iCs/>
        </w:rPr>
        <w:t>Railway Wheels Investigation 466 Report</w:t>
      </w:r>
      <w:r w:rsidRPr="00717572">
        <w:t>")</w:t>
      </w:r>
      <w:r w:rsidRPr="00717572">
        <w:rPr>
          <w:rStyle w:val="FootnoteReference"/>
        </w:rPr>
        <w:footnoteReference w:id="16"/>
      </w:r>
      <w:r w:rsidRPr="00717572">
        <w:t xml:space="preserve">; and </w:t>
      </w:r>
      <w:r w:rsidRPr="00717572">
        <w:rPr>
          <w:i/>
          <w:iCs/>
        </w:rPr>
        <w:t xml:space="preserve">Anti-Dumping Commission Report No. 221 - Dumping of Wind Towers Exported from the People's Republic of China and the Republic of Korea </w:t>
      </w:r>
      <w:r w:rsidRPr="00717572">
        <w:t>(21 March 2014) ("</w:t>
      </w:r>
      <w:r w:rsidRPr="00717572">
        <w:rPr>
          <w:i/>
          <w:iCs/>
        </w:rPr>
        <w:t xml:space="preserve">Wind Towers Investigation 221 </w:t>
      </w:r>
      <w:r w:rsidRPr="00717572">
        <w:rPr>
          <w:i/>
          <w:iCs/>
        </w:rPr>
        <w:lastRenderedPageBreak/>
        <w:t>Report</w:t>
      </w:r>
      <w:r w:rsidR="007642CE">
        <w:rPr>
          <w:i/>
          <w:iCs/>
        </w:rPr>
        <w:t>"</w:t>
      </w:r>
      <w:r w:rsidRPr="00717572">
        <w:t>).</w:t>
      </w:r>
      <w:r w:rsidRPr="00717572">
        <w:rPr>
          <w:rStyle w:val="FootnoteReference"/>
        </w:rPr>
        <w:footnoteReference w:id="17"/>
      </w:r>
      <w:r w:rsidRPr="00717572">
        <w:t xml:space="preserve"> Only one of these determinations involves countervailing duties; that is </w:t>
      </w:r>
      <w:r w:rsidRPr="00717572">
        <w:rPr>
          <w:i/>
          <w:iCs/>
        </w:rPr>
        <w:t>Stainless Steel Sinks Investigation 238 Report</w:t>
      </w:r>
      <w:r w:rsidRPr="00717572">
        <w:t>.</w:t>
      </w:r>
      <w:r w:rsidRPr="00717572">
        <w:rPr>
          <w:rStyle w:val="FootnoteReference"/>
        </w:rPr>
        <w:footnoteReference w:id="18"/>
      </w:r>
      <w:r w:rsidRPr="00717572">
        <w:t xml:space="preserve">  </w:t>
      </w:r>
    </w:p>
    <w:p w14:paraId="6FA57276" w14:textId="77777777" w:rsidR="008E5D7A" w:rsidRPr="00717572" w:rsidRDefault="008E5D7A" w:rsidP="008E5D7A">
      <w:pPr>
        <w:pStyle w:val="P1-N1Paragraph1-Number1"/>
      </w:pPr>
      <w:r w:rsidRPr="00717572">
        <w:t xml:space="preserve">In the 2015 </w:t>
      </w:r>
      <w:r w:rsidRPr="00717572">
        <w:rPr>
          <w:i/>
          <w:iCs/>
        </w:rPr>
        <w:t>Stainless Steel Sinks Investigation 238 Report</w:t>
      </w:r>
      <w:r w:rsidRPr="00717572">
        <w:t xml:space="preserve"> ("original determination") the ADC found that imports of stainless steel sinks were both dumped and subsidised.</w:t>
      </w:r>
      <w:r w:rsidRPr="00717572">
        <w:rPr>
          <w:rStyle w:val="FootnoteReference"/>
        </w:rPr>
        <w:footnoteReference w:id="19"/>
      </w:r>
      <w:r w:rsidRPr="00717572">
        <w:t xml:space="preserve"> The ADC concluded its report on 19 February 2015 and found that, for the period of investigation (1 January 2013 to 31 December 2013), stainless steel sinks exported to Australia from China were dumped and subsidised and that the dumping and subsidisation of stainless steel sinks caused material injury to the Australian industry producing like goods.</w:t>
      </w:r>
      <w:r w:rsidRPr="00717572">
        <w:rPr>
          <w:rStyle w:val="FootnoteReference"/>
        </w:rPr>
        <w:footnoteReference w:id="20"/>
      </w:r>
      <w:r w:rsidRPr="00717572">
        <w:t xml:space="preserve"> </w:t>
      </w:r>
    </w:p>
    <w:p w14:paraId="3924FF5F" w14:textId="77777777" w:rsidR="008E5D7A" w:rsidRPr="00717572" w:rsidRDefault="008E5D7A" w:rsidP="008E5D7A">
      <w:pPr>
        <w:pStyle w:val="P1-N1Paragraph1-Number1"/>
      </w:pPr>
      <w:r w:rsidRPr="00717572">
        <w:t xml:space="preserve">With respect to its subsidy determination, the ADC found that Chinese exports of </w:t>
      </w:r>
      <w:proofErr w:type="gramStart"/>
      <w:r w:rsidRPr="00717572">
        <w:t>stainless steel</w:t>
      </w:r>
      <w:proofErr w:type="gramEnd"/>
      <w:r w:rsidRPr="00717572">
        <w:t xml:space="preserve"> sinks were subsidised through 23 separate subsidy programs and recommended the imposition of countervailing duties on imports of stainless steel sinks from China ranging from 3.3 percent to 6.4 percent.</w:t>
      </w:r>
      <w:r w:rsidRPr="00717572">
        <w:rPr>
          <w:rStyle w:val="FootnoteReference"/>
        </w:rPr>
        <w:footnoteReference w:id="21"/>
      </w:r>
      <w:r w:rsidRPr="00717572">
        <w:t xml:space="preserve"> These programs related to the provision of steel for less than adequate remuneration</w:t>
      </w:r>
      <w:r w:rsidRPr="00717572">
        <w:rPr>
          <w:rStyle w:val="FootnoteReference"/>
        </w:rPr>
        <w:footnoteReference w:id="22"/>
      </w:r>
      <w:r w:rsidRPr="00717572">
        <w:t>, tax incentives</w:t>
      </w:r>
      <w:r w:rsidRPr="00717572">
        <w:rPr>
          <w:rStyle w:val="FootnoteReference"/>
        </w:rPr>
        <w:footnoteReference w:id="23"/>
      </w:r>
      <w:r w:rsidRPr="00717572">
        <w:t>, and grants</w:t>
      </w:r>
      <w:r w:rsidRPr="00717572">
        <w:rPr>
          <w:rStyle w:val="FootnoteReference"/>
        </w:rPr>
        <w:footnoteReference w:id="24"/>
      </w:r>
      <w:r w:rsidRPr="00717572">
        <w:t>. Program 1 was the only subsidy program related to the provision of goods for less than adequate remuneration.</w:t>
      </w:r>
      <w:r w:rsidRPr="00717572">
        <w:rPr>
          <w:rStyle w:val="FootnoteReference"/>
        </w:rPr>
        <w:footnoteReference w:id="25"/>
      </w:r>
      <w:r w:rsidRPr="00717572">
        <w:t xml:space="preserve">  On 26 March 2015, the Parliamentary Secretary accepted the recommendations and reasons </w:t>
      </w:r>
      <w:r w:rsidRPr="00717572">
        <w:lastRenderedPageBreak/>
        <w:t xml:space="preserve">in the </w:t>
      </w:r>
      <w:proofErr w:type="gramStart"/>
      <w:r w:rsidRPr="00717572">
        <w:rPr>
          <w:i/>
          <w:iCs/>
        </w:rPr>
        <w:t>Stainless Steel</w:t>
      </w:r>
      <w:proofErr w:type="gramEnd"/>
      <w:r w:rsidRPr="00717572">
        <w:rPr>
          <w:i/>
          <w:iCs/>
        </w:rPr>
        <w:t xml:space="preserve"> Sinks Investigation 238 Report </w:t>
      </w:r>
      <w:r w:rsidRPr="00717572">
        <w:t>and imposed anti-dumping and countervailing duties on stainless steel sinks from China for a period of 5 years.</w:t>
      </w:r>
      <w:r w:rsidRPr="00717572">
        <w:rPr>
          <w:rStyle w:val="FootnoteReference"/>
        </w:rPr>
        <w:footnoteReference w:id="26"/>
      </w:r>
      <w:r w:rsidRPr="00717572">
        <w:t xml:space="preserve"> </w:t>
      </w:r>
    </w:p>
    <w:p w14:paraId="5B65A591" w14:textId="77777777" w:rsidR="008E5D7A" w:rsidRPr="00717572" w:rsidRDefault="008E5D7A" w:rsidP="008E5D7A">
      <w:pPr>
        <w:pStyle w:val="P1-N1Paragraph1-Number1"/>
      </w:pPr>
      <w:r w:rsidRPr="00717572">
        <w:t>Consistent with Australian law</w:t>
      </w:r>
      <w:r w:rsidRPr="00717572">
        <w:rPr>
          <w:rStyle w:val="FootnoteReference"/>
        </w:rPr>
        <w:footnoteReference w:id="27"/>
      </w:r>
      <w:r w:rsidRPr="00717572">
        <w:t xml:space="preserve"> and Article 21.3 of the SCM Agreement, countervailing duties are only valid for a period of 5 years and all measures related to the determination were set to expire on 26 March 2020. In 2019, the ADC conducted an expiry review of the determinations, using a period of investigation from 1 July 2018 to 30 June 2019.</w:t>
      </w:r>
      <w:r w:rsidRPr="00717572">
        <w:rPr>
          <w:rStyle w:val="FootnoteReference"/>
        </w:rPr>
        <w:footnoteReference w:id="28"/>
      </w:r>
      <w:r w:rsidRPr="00717572">
        <w:t xml:space="preserve"> On </w:t>
      </w:r>
      <w:r>
        <w:t>28 February 2020</w:t>
      </w:r>
      <w:r w:rsidRPr="00717572">
        <w:t xml:space="preserve">, the ADC issued the </w:t>
      </w:r>
      <w:bookmarkStart w:id="15" w:name="_Hlk121238392"/>
      <w:r w:rsidRPr="00717572">
        <w:rPr>
          <w:i/>
          <w:iCs/>
        </w:rPr>
        <w:t xml:space="preserve">Stainless Steel Sinks Continuation 517 Report </w:t>
      </w:r>
      <w:bookmarkEnd w:id="15"/>
      <w:r w:rsidRPr="00717572">
        <w:t>("expiry review"), which found that the expiration of anti-dumping and countervailing duty measures would lead, or would be likely to lead, to a continuation of, or a recurrence of, dumping and subsidisation and the material injury that the measures were intended to prevent.</w:t>
      </w:r>
      <w:r w:rsidRPr="00717572">
        <w:rPr>
          <w:rStyle w:val="FootnoteReference"/>
        </w:rPr>
        <w:footnoteReference w:id="29"/>
      </w:r>
      <w:r w:rsidRPr="00717572">
        <w:t xml:space="preserve"> The ADC recommended the imposition of prospective anti-dumping and countervailing duties based on both new findings and calculations.</w:t>
      </w:r>
      <w:r w:rsidRPr="00717572">
        <w:rPr>
          <w:rStyle w:val="FootnoteReference"/>
        </w:rPr>
        <w:footnoteReference w:id="30"/>
      </w:r>
      <w:r w:rsidRPr="00717572">
        <w:t xml:space="preserve"> </w:t>
      </w:r>
    </w:p>
    <w:p w14:paraId="658DA582" w14:textId="59A54D3C" w:rsidR="008E5D7A" w:rsidRPr="00717572" w:rsidRDefault="008E5D7A" w:rsidP="008E5D7A">
      <w:pPr>
        <w:pStyle w:val="P1-N1Paragraph1-Number1"/>
      </w:pPr>
      <w:r w:rsidRPr="00717572">
        <w:t xml:space="preserve">In the expiry review, the ADC found that </w:t>
      </w:r>
      <w:r>
        <w:t>seven</w:t>
      </w:r>
      <w:r w:rsidRPr="00717572">
        <w:t xml:space="preserve"> subsidy programs were countervailable and further determined that none of the other programs remained countervailable.</w:t>
      </w:r>
      <w:r w:rsidRPr="00717572">
        <w:rPr>
          <w:rStyle w:val="FootnoteReference"/>
        </w:rPr>
        <w:footnoteReference w:id="31"/>
      </w:r>
      <w:r w:rsidRPr="00717572">
        <w:t xml:space="preserve"> In particular, </w:t>
      </w:r>
      <w:r>
        <w:t xml:space="preserve">in the expiry review, </w:t>
      </w:r>
      <w:r w:rsidRPr="00717572">
        <w:t xml:space="preserve">the ADC found that Program 1 did </w:t>
      </w:r>
      <w:r w:rsidRPr="00717572">
        <w:rPr>
          <w:u w:val="single"/>
        </w:rPr>
        <w:t>not</w:t>
      </w:r>
      <w:r w:rsidRPr="00717572">
        <w:t xml:space="preserve"> confer a benefit with respect to any of the investigated exporters and, therefore, was </w:t>
      </w:r>
      <w:r>
        <w:t xml:space="preserve">not </w:t>
      </w:r>
      <w:r w:rsidRPr="00717572">
        <w:t xml:space="preserve">countervailable. This is outlined in the </w:t>
      </w:r>
      <w:proofErr w:type="gramStart"/>
      <w:r w:rsidRPr="00717572">
        <w:rPr>
          <w:i/>
          <w:iCs/>
        </w:rPr>
        <w:t>Stainless Steel</w:t>
      </w:r>
      <w:proofErr w:type="gramEnd"/>
      <w:r w:rsidRPr="00717572">
        <w:rPr>
          <w:i/>
          <w:iCs/>
        </w:rPr>
        <w:t xml:space="preserve"> Sinks Continuation 517 Report</w:t>
      </w:r>
      <w:r w:rsidRPr="00717572">
        <w:t>, which found the sampled exporters (</w:t>
      </w:r>
      <w:proofErr w:type="spellStart"/>
      <w:r w:rsidRPr="00717572">
        <w:t>Cresheen</w:t>
      </w:r>
      <w:proofErr w:type="spellEnd"/>
      <w:r w:rsidRPr="00717572">
        <w:t>, Rhine and Zhuhai) had not benefited from Program 1</w:t>
      </w:r>
      <w:r w:rsidRPr="00717572">
        <w:rPr>
          <w:rStyle w:val="FootnoteReference"/>
        </w:rPr>
        <w:footnoteReference w:id="32"/>
      </w:r>
      <w:r w:rsidRPr="00717572">
        <w:t xml:space="preserve"> and in confidential attachment 33, [[</w:t>
      </w:r>
      <w:r w:rsidRPr="004258F7">
        <w:rPr>
          <w:highlight w:val="black"/>
        </w:rPr>
        <w:t>re</w:t>
      </w:r>
      <w:r w:rsidR="00FD6EB9">
        <w:rPr>
          <w:highlight w:val="black"/>
        </w:rPr>
        <w:t xml:space="preserve">xxxxxxxxxxxxxxxxxxxxxxxxxxxxxxxxxxxxxxxxxxxxxxxxxxxxxxxxxxxxxxxxxxxxxxxxxx </w:t>
      </w:r>
      <w:r w:rsidRPr="004258F7">
        <w:rPr>
          <w:highlight w:val="black"/>
        </w:rPr>
        <w:t>d</w:t>
      </w:r>
      <w:r w:rsidRPr="00717572">
        <w:t>]].</w:t>
      </w:r>
      <w:r w:rsidRPr="00717572">
        <w:rPr>
          <w:rStyle w:val="FootnoteReference"/>
        </w:rPr>
        <w:footnoteReference w:id="33"/>
      </w:r>
      <w:r w:rsidRPr="00717572">
        <w:t xml:space="preserve"> The </w:t>
      </w:r>
      <w:r w:rsidRPr="00717572">
        <w:lastRenderedPageBreak/>
        <w:t xml:space="preserve">remaining </w:t>
      </w:r>
      <w:r>
        <w:t>seven</w:t>
      </w:r>
      <w:r w:rsidRPr="00717572">
        <w:t xml:space="preserve"> subsidy programs countervailed in the expiry review</w:t>
      </w:r>
      <w:r w:rsidRPr="00717572">
        <w:rPr>
          <w:rStyle w:val="FootnoteReference"/>
        </w:rPr>
        <w:footnoteReference w:id="34"/>
      </w:r>
      <w:r w:rsidRPr="00717572">
        <w:t xml:space="preserve"> were tax</w:t>
      </w:r>
      <w:r w:rsidRPr="00717572">
        <w:rPr>
          <w:rStyle w:val="FootnoteReference"/>
        </w:rPr>
        <w:footnoteReference w:id="35"/>
      </w:r>
      <w:r w:rsidRPr="00717572">
        <w:t xml:space="preserve"> or grant programs</w:t>
      </w:r>
      <w:r w:rsidRPr="00717572">
        <w:rPr>
          <w:rStyle w:val="FootnoteReference"/>
        </w:rPr>
        <w:footnoteReference w:id="36"/>
      </w:r>
      <w:r w:rsidRPr="00717572">
        <w:t xml:space="preserve">.  </w:t>
      </w:r>
    </w:p>
    <w:p w14:paraId="06135368" w14:textId="77777777" w:rsidR="008E5D7A" w:rsidRPr="00717572" w:rsidRDefault="008E5D7A" w:rsidP="008E5D7A">
      <w:pPr>
        <w:pStyle w:val="P1-N1Paragraph1-Number1"/>
      </w:pPr>
      <w:r w:rsidRPr="00717572">
        <w:t xml:space="preserve">On 27 February 2020, the responsible Minister considered the </w:t>
      </w:r>
      <w:proofErr w:type="gramStart"/>
      <w:r w:rsidRPr="00717572">
        <w:rPr>
          <w:i/>
          <w:iCs/>
        </w:rPr>
        <w:t>Stainless Steel</w:t>
      </w:r>
      <w:proofErr w:type="gramEnd"/>
      <w:r w:rsidRPr="00717572">
        <w:rPr>
          <w:i/>
          <w:iCs/>
        </w:rPr>
        <w:t xml:space="preserve"> Sinks Continuation 517 Report</w:t>
      </w:r>
      <w:r w:rsidRPr="00717572">
        <w:t xml:space="preserve"> and accepted the recommendations and reasoning of the ADC.</w:t>
      </w:r>
      <w:r w:rsidRPr="00717572">
        <w:rPr>
          <w:rStyle w:val="FootnoteReference"/>
        </w:rPr>
        <w:footnoteReference w:id="37"/>
      </w:r>
      <w:r w:rsidRPr="00717572">
        <w:t xml:space="preserve"> On 27 March 2020, the expiry review superseded the original determination as the legal basis for the imposition of any anti-dumping and countervailing duties related to the import of stainless steel sinks from China. Starting from 27 March 2020, the new subsidy margins ranged from 0.3 percent to 6.3 percent.</w:t>
      </w:r>
      <w:r w:rsidRPr="00717572">
        <w:rPr>
          <w:rStyle w:val="FootnoteReference"/>
        </w:rPr>
        <w:footnoteReference w:id="38"/>
      </w:r>
      <w:r w:rsidRPr="00717572">
        <w:t xml:space="preserve"> Importantly, as of 27 March 2020, all countervailing duties associated with Program 1 were terminated.</w:t>
      </w:r>
      <w:r w:rsidRPr="00717572">
        <w:rPr>
          <w:rStyle w:val="FootnoteReference"/>
        </w:rPr>
        <w:footnoteReference w:id="39"/>
      </w:r>
      <w:r w:rsidRPr="00717572">
        <w:t xml:space="preserve"> Since 27 March 2020, consistent with Australian law, the expiry review (including its legal and factual findings and resulting countervailing duties) has been the </w:t>
      </w:r>
      <w:r>
        <w:t xml:space="preserve">legal basis for the duties and other </w:t>
      </w:r>
      <w:r w:rsidRPr="00717572">
        <w:t>measure</w:t>
      </w:r>
      <w:r>
        <w:t>s</w:t>
      </w:r>
      <w:r w:rsidRPr="00717572">
        <w:t xml:space="preserve"> in effect related to imports of stainless steel sinks from China.</w:t>
      </w:r>
    </w:p>
    <w:p w14:paraId="2E7374D4" w14:textId="77777777" w:rsidR="008E5D7A" w:rsidRPr="00717572" w:rsidRDefault="008E5D7A" w:rsidP="008E5D7A">
      <w:pPr>
        <w:pStyle w:val="P1-N1Paragraph1-Number1"/>
      </w:pPr>
      <w:r w:rsidRPr="00717572">
        <w:t xml:space="preserve">With respect to the present dispute, China filed a request for panel establishment on 14 January 2022, almost two years after the </w:t>
      </w:r>
      <w:proofErr w:type="gramStart"/>
      <w:r w:rsidRPr="00717572">
        <w:rPr>
          <w:i/>
          <w:iCs/>
        </w:rPr>
        <w:t>Stainless Steel</w:t>
      </w:r>
      <w:proofErr w:type="gramEnd"/>
      <w:r w:rsidRPr="00717572">
        <w:rPr>
          <w:i/>
          <w:iCs/>
        </w:rPr>
        <w:t xml:space="preserve"> Sinks </w:t>
      </w:r>
      <w:r w:rsidRPr="00717572">
        <w:t>expiry review superseded the original determination on 27 March 2020. Yet, China’s RFE is very specific about the limited scope of its challenge regarding countervailing measures. In Section B.2 of its request, China unambiguously states that it is only challenging the countervailing measures associated with Program 1. Specifically, in the first sentence of Section B.2 China states:</w:t>
      </w:r>
    </w:p>
    <w:p w14:paraId="1E55BDC3" w14:textId="77777777" w:rsidR="008E5D7A" w:rsidRPr="00717572" w:rsidRDefault="008E5D7A" w:rsidP="008E5D7A">
      <w:pPr>
        <w:pStyle w:val="P1-N1Paragraph1-Number1"/>
        <w:numPr>
          <w:ilvl w:val="0"/>
          <w:numId w:val="0"/>
        </w:numPr>
        <w:spacing w:line="276" w:lineRule="auto"/>
        <w:ind w:left="720"/>
        <w:rPr>
          <w:sz w:val="22"/>
          <w:szCs w:val="22"/>
        </w:rPr>
      </w:pPr>
      <w:r w:rsidRPr="00717572">
        <w:rPr>
          <w:sz w:val="22"/>
          <w:szCs w:val="22"/>
        </w:rPr>
        <w:lastRenderedPageBreak/>
        <w:t xml:space="preserve">The legal claims with respect to the countervailing measures relate to the measures concerning stainless steel sinks, </w:t>
      </w:r>
      <w:r w:rsidRPr="00717572">
        <w:rPr>
          <w:sz w:val="22"/>
          <w:szCs w:val="22"/>
          <w:u w:val="single"/>
        </w:rPr>
        <w:t xml:space="preserve">and only with regard to the alleged </w:t>
      </w:r>
      <w:r w:rsidRPr="00717572">
        <w:rPr>
          <w:i/>
          <w:iCs/>
          <w:sz w:val="22"/>
          <w:szCs w:val="22"/>
          <w:u w:val="single"/>
        </w:rPr>
        <w:t>Program 1 – Raw Materials Provided by the Government at Less than Fair Market Value</w:t>
      </w:r>
      <w:r w:rsidRPr="00717572">
        <w:rPr>
          <w:i/>
          <w:iCs/>
          <w:sz w:val="22"/>
          <w:szCs w:val="22"/>
        </w:rPr>
        <w:t xml:space="preserve"> </w:t>
      </w:r>
      <w:r w:rsidRPr="00717572">
        <w:rPr>
          <w:sz w:val="22"/>
          <w:szCs w:val="22"/>
        </w:rPr>
        <w:t>("the alleged program").</w:t>
      </w:r>
      <w:r w:rsidRPr="00717572">
        <w:rPr>
          <w:rStyle w:val="FootnoteReference"/>
          <w:sz w:val="22"/>
          <w:szCs w:val="22"/>
        </w:rPr>
        <w:footnoteReference w:id="40"/>
      </w:r>
    </w:p>
    <w:p w14:paraId="5A5DA606" w14:textId="05A5D764" w:rsidR="008E5D7A" w:rsidRPr="00717572" w:rsidRDefault="008E5D7A" w:rsidP="008E5D7A">
      <w:pPr>
        <w:pStyle w:val="P1-N1Paragraph1-Number1"/>
      </w:pPr>
      <w:r w:rsidRPr="00717572">
        <w:t xml:space="preserve">In </w:t>
      </w:r>
      <w:r>
        <w:t>s</w:t>
      </w:r>
      <w:r w:rsidRPr="00717572">
        <w:t>ubsections B.2.1 – B.2.5 of its RFE, China raise a series of ‘as applied’ claims alleging that the ADC’s determination with respect to Program 1 violates Articles 1.1(a)(1), 1.1(b), 1.2, 2.1(c), 11.1, 11.2 and 11.3 and 14(d) of the SCM Agreement.</w:t>
      </w:r>
      <w:r w:rsidRPr="00717572">
        <w:rPr>
          <w:rStyle w:val="FootnoteReference"/>
        </w:rPr>
        <w:footnoteReference w:id="41"/>
      </w:r>
      <w:r w:rsidRPr="00717572">
        <w:t xml:space="preserve"> Each of these claims relates only to Program 1 and whether the ADC correctly found that the provision of steel for less than adequate remuneration was a countervailable subsidy.  </w:t>
      </w:r>
    </w:p>
    <w:p w14:paraId="55B71942" w14:textId="77777777" w:rsidR="008E5D7A" w:rsidRPr="00717572" w:rsidRDefault="008E5D7A" w:rsidP="008E5D7A">
      <w:pPr>
        <w:pStyle w:val="P1-N1Paragraph1-Number1"/>
      </w:pPr>
      <w:r w:rsidRPr="00717572">
        <w:t>China raises no challenges with respect to the other subsidy programs found by the ADC to be countervailable in the expiry review. China also makes no ‘as such’ challenges with respect to Australia’s countervailing measures (or any other measure in this dispute) nor does China challenge a particular practice by the ADC. All of China’s ‘as applied’ claims in Section B.2</w:t>
      </w:r>
      <w:r>
        <w:t>, as noted in paragraph 2 above,</w:t>
      </w:r>
      <w:r w:rsidRPr="00717572">
        <w:t xml:space="preserve"> are narrowly focused on the </w:t>
      </w:r>
      <w:r w:rsidRPr="00717572">
        <w:rPr>
          <w:rFonts w:asciiTheme="minorHAnsi" w:hAnsiTheme="minorHAnsi" w:cstheme="minorHAnsi"/>
        </w:rPr>
        <w:t xml:space="preserve">"countervailing measures… only with regard to alleged </w:t>
      </w:r>
      <w:r w:rsidRPr="00717572">
        <w:rPr>
          <w:rFonts w:asciiTheme="minorHAnsi" w:hAnsiTheme="minorHAnsi" w:cstheme="minorHAnsi"/>
          <w:i/>
          <w:iCs/>
        </w:rPr>
        <w:t>Program 1</w:t>
      </w:r>
      <w:r w:rsidRPr="00717572">
        <w:t>."</w:t>
      </w:r>
      <w:r w:rsidRPr="00717572">
        <w:rPr>
          <w:rStyle w:val="FootnoteReference"/>
        </w:rPr>
        <w:footnoteReference w:id="42"/>
      </w:r>
      <w:r w:rsidRPr="00717572">
        <w:t xml:space="preserve"> </w:t>
      </w:r>
    </w:p>
    <w:p w14:paraId="6C50D416" w14:textId="7B8C7702" w:rsidR="008E5D7A" w:rsidRPr="00717572" w:rsidRDefault="008E5D7A" w:rsidP="008E5D7A">
      <w:pPr>
        <w:pStyle w:val="P1-N1Paragraph1-Number1"/>
      </w:pPr>
      <w:r>
        <w:t>Furthermore, a</w:t>
      </w:r>
      <w:r w:rsidRPr="00717572">
        <w:t>t the time China filed its RFE, it was clear that none of the measures challenged existed. The expiry review, which found that Program 1 was not countervailable, superseded the 2015 original determination on 27 March 2020. Moreover, beginning 27 March 2020—</w:t>
      </w:r>
      <w:r>
        <w:rPr>
          <w:i/>
          <w:iCs/>
        </w:rPr>
        <w:t xml:space="preserve">nearly </w:t>
      </w:r>
      <w:r w:rsidRPr="00791A18">
        <w:rPr>
          <w:i/>
          <w:iCs/>
        </w:rPr>
        <w:t>two years</w:t>
      </w:r>
      <w:r w:rsidRPr="00717572">
        <w:t xml:space="preserve"> before the panel was established by the DSB—all countervailing duties related to Program 1 were terminated.</w:t>
      </w:r>
      <w:r w:rsidRPr="00717572">
        <w:rPr>
          <w:rStyle w:val="FootnoteReference"/>
        </w:rPr>
        <w:footnoteReference w:id="43"/>
      </w:r>
      <w:r w:rsidRPr="00717572">
        <w:t xml:space="preserve">  </w:t>
      </w:r>
    </w:p>
    <w:p w14:paraId="73E54B65" w14:textId="77777777" w:rsidR="008E5D7A" w:rsidRPr="00717572" w:rsidRDefault="008E5D7A" w:rsidP="008E5D7A">
      <w:pPr>
        <w:pStyle w:val="P1-N1Paragraph1-Number1"/>
      </w:pPr>
      <w:r w:rsidRPr="00717572">
        <w:t xml:space="preserve">The facts of this dispute </w:t>
      </w:r>
      <w:r>
        <w:t>comprehensively</w:t>
      </w:r>
      <w:r w:rsidRPr="00717572">
        <w:t xml:space="preserve"> underscore why this Panel would have no opportunity to achieve a satisfactory settlement of the matters alleged in Section B.2 of China’s RFE —further vindicating the long line of reports making clear such claims fall outside of panels’ terms of reference. For example, China alleges that the countervailing measures related to Program 1 violate "Article 1.1(b) of the SCM Agreement, because Australia failed to </w:t>
      </w:r>
      <w:r w:rsidRPr="00717572">
        <w:lastRenderedPageBreak/>
        <w:t>determine, or improperly determined, that the alleged provision of goods conferred a "benefit" to the recipient".</w:t>
      </w:r>
      <w:r w:rsidRPr="00717572">
        <w:rPr>
          <w:rStyle w:val="FootnoteReference"/>
        </w:rPr>
        <w:footnoteReference w:id="44"/>
      </w:r>
      <w:r w:rsidRPr="00717572">
        <w:t xml:space="preserve"> </w:t>
      </w:r>
    </w:p>
    <w:p w14:paraId="3E8A6830" w14:textId="77777777" w:rsidR="008E5D7A" w:rsidRPr="00717572" w:rsidRDefault="008E5D7A" w:rsidP="008E5D7A">
      <w:pPr>
        <w:pStyle w:val="P1-N1Paragraph1-Number1"/>
      </w:pPr>
      <w:r w:rsidRPr="00717572">
        <w:t>As noted above, two years before this Panel was established, Australia itself determined that</w:t>
      </w:r>
      <w:r w:rsidRPr="00717572">
        <w:rPr>
          <w:i/>
          <w:iCs/>
        </w:rPr>
        <w:t xml:space="preserve"> </w:t>
      </w:r>
      <w:r w:rsidRPr="00717572">
        <w:t xml:space="preserve">Program 1 did </w:t>
      </w:r>
      <w:r w:rsidRPr="00717572">
        <w:rPr>
          <w:u w:val="single"/>
        </w:rPr>
        <w:t>not</w:t>
      </w:r>
      <w:r w:rsidRPr="00717572">
        <w:t xml:space="preserve"> confer a benefit on any Chinese exporters and, therefore, was not countervailable in the expiry review.</w:t>
      </w:r>
      <w:r w:rsidRPr="00717572">
        <w:rPr>
          <w:rStyle w:val="FootnoteReference"/>
        </w:rPr>
        <w:footnoteReference w:id="45"/>
      </w:r>
      <w:r w:rsidRPr="00717572">
        <w:t xml:space="preserve"> There simply is no matter at issue between the parties that this Panel could resolve, nor any measure it could recommend Australia bring into compliance in accordance with Article 19.1 of the DSU as a result.  </w:t>
      </w:r>
    </w:p>
    <w:p w14:paraId="5ECBD513" w14:textId="77777777" w:rsidR="008E5D7A" w:rsidRDefault="008E5D7A" w:rsidP="008E5D7A">
      <w:pPr>
        <w:pStyle w:val="P1-N1Paragraph1-Number1"/>
      </w:pPr>
      <w:r w:rsidRPr="00717572">
        <w:t xml:space="preserve">To be clear, Australia maintains no countervailing duties or other measures associated with the </w:t>
      </w:r>
      <w:proofErr w:type="gramStart"/>
      <w:r w:rsidRPr="00717572">
        <w:rPr>
          <w:i/>
          <w:iCs/>
        </w:rPr>
        <w:t>Stainless Steel</w:t>
      </w:r>
      <w:proofErr w:type="gramEnd"/>
      <w:r w:rsidRPr="00717572">
        <w:rPr>
          <w:i/>
          <w:iCs/>
        </w:rPr>
        <w:t xml:space="preserve"> Sinks </w:t>
      </w:r>
      <w:r w:rsidRPr="00717572">
        <w:t>investigation</w:t>
      </w:r>
      <w:r w:rsidRPr="00717572">
        <w:rPr>
          <w:i/>
          <w:iCs/>
        </w:rPr>
        <w:t xml:space="preserve"> </w:t>
      </w:r>
      <w:r w:rsidRPr="00717572">
        <w:t>relating to any other subsidy programs involving the provision of goods for less than adequate remuneration. The countervailing duties currently in place all relate to the tax and grant programs, which were identified</w:t>
      </w:r>
      <w:r w:rsidRPr="004113E3">
        <w:t xml:space="preserve"> by the </w:t>
      </w:r>
      <w:r>
        <w:t>ADC</w:t>
      </w:r>
      <w:r w:rsidRPr="004113E3">
        <w:t xml:space="preserve"> in the </w:t>
      </w:r>
      <w:r>
        <w:t>e</w:t>
      </w:r>
      <w:r w:rsidRPr="004113E3">
        <w:t xml:space="preserve">xpiry </w:t>
      </w:r>
      <w:r>
        <w:t>r</w:t>
      </w:r>
      <w:r w:rsidRPr="004113E3">
        <w:t>eview.</w:t>
      </w:r>
      <w:r>
        <w:rPr>
          <w:rStyle w:val="FootnoteReference"/>
        </w:rPr>
        <w:footnoteReference w:id="46"/>
      </w:r>
      <w:r w:rsidRPr="004113E3">
        <w:t xml:space="preserve"> China’s claims in Sections B.2.1 through B.2.5 of its </w:t>
      </w:r>
      <w:r>
        <w:t>RFE</w:t>
      </w:r>
      <w:r w:rsidRPr="004113E3">
        <w:t>, as well as China’s arguments related to these claims in its First Written Submission</w:t>
      </w:r>
      <w:r>
        <w:t xml:space="preserve"> ("FWS")</w:t>
      </w:r>
      <w:r w:rsidRPr="004113E3">
        <w:t>,</w:t>
      </w:r>
      <w:r>
        <w:rPr>
          <w:rStyle w:val="FootnoteReference"/>
        </w:rPr>
        <w:footnoteReference w:id="47"/>
      </w:r>
      <w:r w:rsidRPr="004113E3">
        <w:t xml:space="preserve"> </w:t>
      </w:r>
      <w:r>
        <w:t>do not challenge</w:t>
      </w:r>
      <w:r w:rsidRPr="004113E3">
        <w:t xml:space="preserve"> those subsidy programs</w:t>
      </w:r>
      <w:r>
        <w:t xml:space="preserve"> either; indeed, China makes explicit that it is not challenging these measures.</w:t>
      </w:r>
      <w:r>
        <w:rPr>
          <w:rStyle w:val="FootnoteReference"/>
        </w:rPr>
        <w:footnoteReference w:id="48"/>
      </w:r>
      <w:r>
        <w:t xml:space="preserve">  There simply are no benefits accruing to China under the WTO Agreements that are being impaired as a result of measures related to Program 1.</w:t>
      </w:r>
    </w:p>
    <w:p w14:paraId="4CBA195C" w14:textId="56BE9245" w:rsidR="008E5D7A" w:rsidRDefault="008E5D7A" w:rsidP="008E5D7A">
      <w:pPr>
        <w:pStyle w:val="P1-N1Paragraph1-Number1"/>
      </w:pPr>
      <w:r>
        <w:t>The entirety of Section B.2 of China’s RFE amounts to a request for an advisory opinion from the Panel. Yet</w:t>
      </w:r>
      <w:r w:rsidR="00995285">
        <w:t>,</w:t>
      </w:r>
      <w:r>
        <w:t xml:space="preserve"> with limited exception the DSU does not permit challenges to measures that are not in effect at the time a panel is established, whether those measures are withdrawn, terminated, expired, </w:t>
      </w:r>
      <w:r w:rsidRPr="00461816">
        <w:t>superseded or simply imaginary to begin with</w:t>
      </w:r>
      <w:r>
        <w:t>.</w:t>
      </w:r>
      <w:r>
        <w:rPr>
          <w:rStyle w:val="FootnoteReference"/>
        </w:rPr>
        <w:footnoteReference w:id="49"/>
      </w:r>
      <w:r>
        <w:t xml:space="preserve"> This is </w:t>
      </w:r>
      <w:r>
        <w:lastRenderedPageBreak/>
        <w:t>especially true with respect to measures that were not in existence</w:t>
      </w:r>
      <w:r w:rsidRPr="00BA74D1">
        <w:rPr>
          <w:i/>
          <w:iCs/>
        </w:rPr>
        <w:t xml:space="preserve"> long</w:t>
      </w:r>
      <w:r w:rsidRPr="00162847">
        <w:rPr>
          <w:i/>
          <w:iCs/>
        </w:rPr>
        <w:t xml:space="preserve"> </w:t>
      </w:r>
      <w:r w:rsidRPr="00861185">
        <w:rPr>
          <w:i/>
          <w:iCs/>
        </w:rPr>
        <w:t>before</w:t>
      </w:r>
      <w:r>
        <w:t xml:space="preserve"> a complainant’s request, where for decades panels have rejected similar requests.</w:t>
      </w:r>
      <w:r>
        <w:rPr>
          <w:rStyle w:val="FootnoteReference"/>
        </w:rPr>
        <w:footnoteReference w:id="50"/>
      </w:r>
      <w:r>
        <w:t xml:space="preserve">  </w:t>
      </w:r>
    </w:p>
    <w:p w14:paraId="1A6BC800" w14:textId="67FE355C" w:rsidR="008E5D7A" w:rsidRPr="003958F2" w:rsidRDefault="008E5D7A" w:rsidP="008E5D7A">
      <w:pPr>
        <w:pStyle w:val="P1-N1Paragraph1-Number1"/>
      </w:pPr>
      <w:r>
        <w:t xml:space="preserve">Consistent with Articles 3.2, 3.4, 3.7, 6.2, 7.1 and 19.1 of the DSU, as well as decades of panel and Appellate Body jurisprudence on this issue, China’s claims contained in Section B.2 of its RFE are outside the Panel’s terms of reference. As noted above, </w:t>
      </w:r>
      <w:r>
        <w:rPr>
          <w:rFonts w:asciiTheme="minorHAnsi" w:hAnsiTheme="minorHAnsi" w:cstheme="minorHAnsi"/>
        </w:rPr>
        <w:t>"</w:t>
      </w:r>
      <w:r>
        <w:t>panels cannot simply ignore issues which go to the root of their jurisdiction</w:t>
      </w:r>
      <w:r>
        <w:rPr>
          <w:rFonts w:asciiTheme="minorHAnsi" w:hAnsiTheme="minorHAnsi" w:cstheme="minorHAnsi"/>
        </w:rPr>
        <w:t>"</w:t>
      </w:r>
      <w:r>
        <w:t>—issues of jurisdiction must be dealt with first.</w:t>
      </w:r>
      <w:r>
        <w:rPr>
          <w:rStyle w:val="FootnoteReference"/>
        </w:rPr>
        <w:footnoteReference w:id="51"/>
      </w:r>
      <w:r>
        <w:t xml:space="preserve"> Recognising that China will have an opportunity to respond to this request, the Panel will shortly have all the information it needs to rule on this issue.</w:t>
      </w:r>
      <w:r>
        <w:rPr>
          <w:rStyle w:val="FootnoteReference"/>
        </w:rPr>
        <w:footnoteReference w:id="52"/>
      </w:r>
      <w:r>
        <w:t xml:space="preserve"> Australia submits that to continue to litigate claims that are outside the scope of this dispute would unnecessarily expend considerable time and resources for the Panel and the Parties. It would be inefficient for all involved to draft submissions, argue orally, and respond to questions on substantive claims that are not actually within the Panel’s terms of reference. For this reason, the Panel should exercise its authority to resolve this issue urgently, in advance </w:t>
      </w:r>
      <w:r w:rsidRPr="007D4C50">
        <w:t xml:space="preserve">of </w:t>
      </w:r>
      <w:r w:rsidRPr="00717572">
        <w:t xml:space="preserve">Australia’s </w:t>
      </w:r>
      <w:r>
        <w:lastRenderedPageBreak/>
        <w:t>FWS</w:t>
      </w:r>
      <w:r w:rsidRPr="007D4C50">
        <w:t>. By ruling on a preliminary basis</w:t>
      </w:r>
      <w:r w:rsidRPr="00407C79">
        <w:t xml:space="preserve">, the Panel will prevent itself and the Parties from having to litigate a whole case that is not before it.  </w:t>
      </w:r>
    </w:p>
    <w:p w14:paraId="33E458DB" w14:textId="77777777" w:rsidR="008E5D7A" w:rsidRPr="003958F2" w:rsidRDefault="008E5D7A" w:rsidP="008E5D7A">
      <w:pPr>
        <w:pStyle w:val="HL1HeadingLevel1"/>
        <w:rPr>
          <w:rFonts w:asciiTheme="minorHAnsi" w:hAnsiTheme="minorHAnsi" w:cstheme="minorHAnsi"/>
        </w:rPr>
      </w:pPr>
      <w:bookmarkStart w:id="20" w:name="_Toc121253017"/>
      <w:bookmarkStart w:id="21" w:name="_Toc122009494"/>
      <w:bookmarkStart w:id="22" w:name="_Ref36146326"/>
      <w:r w:rsidRPr="003958F2">
        <w:rPr>
          <w:rFonts w:asciiTheme="minorHAnsi" w:hAnsiTheme="minorHAnsi" w:cstheme="minorHAnsi"/>
        </w:rPr>
        <w:t>Relief sought</w:t>
      </w:r>
      <w:bookmarkEnd w:id="20"/>
      <w:bookmarkEnd w:id="21"/>
    </w:p>
    <w:p w14:paraId="5A318D84" w14:textId="77777777" w:rsidR="008E5D7A" w:rsidRDefault="008E5D7A" w:rsidP="008E5D7A">
      <w:pPr>
        <w:pStyle w:val="P1-N1Paragraph1-Number1"/>
      </w:pPr>
      <w:r w:rsidRPr="003958F2">
        <w:t xml:space="preserve">For the reasons stated above, Australia respectfully requests that the Panel find that all of China’s claims </w:t>
      </w:r>
      <w:r w:rsidRPr="00717572">
        <w:t xml:space="preserve">contained in Section B.2 of its RFE are </w:t>
      </w:r>
      <w:r w:rsidRPr="008E7854">
        <w:t xml:space="preserve">outside of </w:t>
      </w:r>
      <w:r w:rsidRPr="00407C79">
        <w:t xml:space="preserve">the Panel’s terms of reference. In accordance with Articles 3.2, 3.4, 3.7, </w:t>
      </w:r>
      <w:r w:rsidRPr="003958F2">
        <w:t xml:space="preserve">6.2, 7.1 and 19.1 of the DSU, Australia further requests that the Panel make no findings or recommendations with respect to these claims and issue a preliminary ruling on this matter urgently, in advance of </w:t>
      </w:r>
      <w:r w:rsidRPr="00717572">
        <w:t xml:space="preserve">Australia’s </w:t>
      </w:r>
      <w:r>
        <w:t>FWS</w:t>
      </w:r>
      <w:r w:rsidRPr="007D4C50">
        <w:t>.</w:t>
      </w:r>
      <w:r>
        <w:t xml:space="preserve"> Australia thanks the Panel for its consideration of this issue.</w:t>
      </w:r>
    </w:p>
    <w:bookmarkEnd w:id="22"/>
    <w:p w14:paraId="3A0EF77E" w14:textId="77777777" w:rsidR="008E5D7A" w:rsidRDefault="008E5D7A" w:rsidP="008E5D7A">
      <w:pPr>
        <w:rPr>
          <w:rFonts w:asciiTheme="minorHAnsi" w:hAnsiTheme="minorHAnsi" w:cstheme="minorHAnsi"/>
        </w:rPr>
      </w:pPr>
    </w:p>
    <w:p w14:paraId="4F98C038" w14:textId="77777777" w:rsidR="000A69B7" w:rsidRDefault="000A69B7"/>
    <w:sectPr w:rsidR="000A69B7">
      <w:headerReference w:type="default" r:id="rId7"/>
      <w:footerReference w:type="default" r:id="rId8"/>
      <w:footerReference w:type="first" r:id="rId9"/>
      <w:pgSz w:w="11906" w:h="16838" w:code="9"/>
      <w:pgMar w:top="1418" w:right="1418" w:bottom="156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AC75" w14:textId="77777777" w:rsidR="008E5D7A" w:rsidRDefault="008E5D7A" w:rsidP="008E5D7A">
      <w:pPr>
        <w:spacing w:after="0" w:line="240" w:lineRule="auto"/>
      </w:pPr>
      <w:r>
        <w:separator/>
      </w:r>
    </w:p>
  </w:endnote>
  <w:endnote w:type="continuationSeparator" w:id="0">
    <w:p w14:paraId="434A5C39" w14:textId="77777777" w:rsidR="008E5D7A" w:rsidRDefault="008E5D7A" w:rsidP="008E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7FB5" w14:textId="77777777" w:rsidR="002A2241" w:rsidRDefault="008E5D7A">
    <w:pPr>
      <w:pStyle w:val="Footer"/>
    </w:pPr>
    <w:r>
      <w:ptab w:relativeTo="margin" w:alignment="right" w:leader="none"/>
    </w: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noProof/>
      </w:rPr>
      <w:t>12</w:t>
    </w:r>
    <w:r>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E1EA" w14:textId="77777777" w:rsidR="002A2241" w:rsidRDefault="002A224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8313" w14:textId="77777777" w:rsidR="008E5D7A" w:rsidRDefault="008E5D7A" w:rsidP="008E5D7A">
      <w:pPr>
        <w:spacing w:after="0" w:line="240" w:lineRule="auto"/>
      </w:pPr>
      <w:r>
        <w:separator/>
      </w:r>
    </w:p>
  </w:footnote>
  <w:footnote w:type="continuationSeparator" w:id="0">
    <w:p w14:paraId="7A875BFB" w14:textId="77777777" w:rsidR="008E5D7A" w:rsidRDefault="008E5D7A" w:rsidP="008E5D7A">
      <w:pPr>
        <w:spacing w:after="0" w:line="240" w:lineRule="auto"/>
      </w:pPr>
      <w:r>
        <w:continuationSeparator/>
      </w:r>
    </w:p>
  </w:footnote>
  <w:footnote w:id="1">
    <w:p w14:paraId="6B395DE2" w14:textId="77777777" w:rsidR="008E5D7A" w:rsidRPr="007C37D2" w:rsidRDefault="008E5D7A" w:rsidP="008E5D7A">
      <w:pPr>
        <w:pStyle w:val="FootnoteText"/>
        <w:rPr>
          <w:rFonts w:cstheme="minorHAnsi"/>
          <w:szCs w:val="18"/>
        </w:rPr>
      </w:pPr>
      <w:r w:rsidRPr="007C37D2">
        <w:rPr>
          <w:rStyle w:val="FootnoteReference"/>
          <w:rFonts w:cstheme="minorHAnsi"/>
          <w:sz w:val="18"/>
          <w:szCs w:val="18"/>
        </w:rPr>
        <w:footnoteRef/>
      </w:r>
      <w:r w:rsidRPr="007C37D2">
        <w:rPr>
          <w:rFonts w:cstheme="minorHAnsi"/>
          <w:szCs w:val="18"/>
        </w:rPr>
        <w:t xml:space="preserve"> China's </w:t>
      </w:r>
      <w:r w:rsidRPr="008138B9">
        <w:rPr>
          <w:rFonts w:cstheme="minorHAnsi"/>
          <w:szCs w:val="18"/>
        </w:rPr>
        <w:t>RFE</w:t>
      </w:r>
      <w:r w:rsidRPr="007C37D2">
        <w:rPr>
          <w:rFonts w:cstheme="minorHAnsi"/>
          <w:szCs w:val="18"/>
        </w:rPr>
        <w:t xml:space="preserve"> (</w:t>
      </w:r>
      <w:r w:rsidRPr="007C37D2">
        <w:rPr>
          <w:szCs w:val="18"/>
          <w:lang w:val="en-US"/>
        </w:rPr>
        <w:t xml:space="preserve">for clarity, Australia is requesting that the Panel exclude from its terms of reference, China’s claims under </w:t>
      </w:r>
      <w:r>
        <w:rPr>
          <w:szCs w:val="18"/>
          <w:lang w:val="en-US"/>
        </w:rPr>
        <w:t xml:space="preserve">Sections </w:t>
      </w:r>
      <w:r w:rsidRPr="007C37D2">
        <w:rPr>
          <w:szCs w:val="18"/>
          <w:lang w:val="en-US"/>
        </w:rPr>
        <w:t xml:space="preserve">B.2.1 – B.2.5 of </w:t>
      </w:r>
      <w:r>
        <w:rPr>
          <w:szCs w:val="18"/>
          <w:lang w:val="en-US"/>
        </w:rPr>
        <w:t>the RFE</w:t>
      </w:r>
      <w:r w:rsidRPr="007C37D2">
        <w:rPr>
          <w:szCs w:val="18"/>
          <w:lang w:val="en-US"/>
        </w:rPr>
        <w:t>)</w:t>
      </w:r>
      <w:r>
        <w:rPr>
          <w:szCs w:val="18"/>
          <w:lang w:val="en-US"/>
        </w:rPr>
        <w:t>.</w:t>
      </w:r>
    </w:p>
  </w:footnote>
  <w:footnote w:id="2">
    <w:p w14:paraId="12D3A163"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Emphasis added.</w:t>
      </w:r>
    </w:p>
  </w:footnote>
  <w:footnote w:id="3">
    <w:p w14:paraId="5BE31739"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Appellate Body Report, </w:t>
      </w:r>
      <w:r w:rsidRPr="007C37D2">
        <w:rPr>
          <w:i/>
          <w:iCs/>
          <w:szCs w:val="18"/>
        </w:rPr>
        <w:t>US – Carbon Steel</w:t>
      </w:r>
      <w:r w:rsidRPr="007C37D2">
        <w:rPr>
          <w:szCs w:val="18"/>
        </w:rPr>
        <w:t>, para. 125.</w:t>
      </w:r>
    </w:p>
  </w:footnote>
  <w:footnote w:id="4">
    <w:p w14:paraId="31FED1C1"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Appellate Body Report, </w:t>
      </w:r>
      <w:r w:rsidRPr="007C37D2">
        <w:rPr>
          <w:i/>
          <w:iCs/>
          <w:szCs w:val="18"/>
        </w:rPr>
        <w:t>Mexico – Corn Syrup (Article 21.5 – US)</w:t>
      </w:r>
      <w:r w:rsidRPr="007C37D2">
        <w:rPr>
          <w:szCs w:val="18"/>
        </w:rPr>
        <w:t>, paras. 36, 53; s</w:t>
      </w:r>
      <w:r w:rsidRPr="007C37D2">
        <w:rPr>
          <w:szCs w:val="18"/>
          <w:lang w:val="en-US"/>
        </w:rPr>
        <w:t xml:space="preserve">ee also, Panel Report, </w:t>
      </w:r>
      <w:r w:rsidRPr="007C37D2">
        <w:rPr>
          <w:i/>
          <w:iCs/>
          <w:szCs w:val="18"/>
          <w:lang w:val="en-US"/>
        </w:rPr>
        <w:t>Thailand – Cigarettes (Article 21.5 – Philippines)</w:t>
      </w:r>
      <w:r w:rsidRPr="007C37D2">
        <w:rPr>
          <w:szCs w:val="18"/>
          <w:lang w:val="en-US"/>
        </w:rPr>
        <w:t xml:space="preserve">, para. 5.16 (where the Panel found that </w:t>
      </w:r>
      <w:r w:rsidRPr="007C37D2">
        <w:rPr>
          <w:rFonts w:cstheme="minorHAnsi"/>
          <w:szCs w:val="18"/>
        </w:rPr>
        <w:t>"</w:t>
      </w:r>
      <w:r w:rsidRPr="007C37D2">
        <w:rPr>
          <w:szCs w:val="18"/>
          <w:lang w:val="en-US"/>
        </w:rPr>
        <w:t>panels have the authority to determine whether they have jurisdiction in a given case and to determine the scope and limit of that jurisdiction, as defined by their terms of reference.</w:t>
      </w:r>
      <w:r w:rsidRPr="007C37D2">
        <w:rPr>
          <w:rFonts w:cstheme="minorHAnsi"/>
          <w:szCs w:val="18"/>
        </w:rPr>
        <w:t>"</w:t>
      </w:r>
      <w:r w:rsidRPr="007C37D2">
        <w:rPr>
          <w:szCs w:val="18"/>
          <w:lang w:val="en-US"/>
        </w:rPr>
        <w:t xml:space="preserve">) </w:t>
      </w:r>
    </w:p>
  </w:footnote>
  <w:footnote w:id="5">
    <w:p w14:paraId="17C1B01C"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Appellate Body Report, </w:t>
      </w:r>
      <w:r w:rsidRPr="007C37D2">
        <w:rPr>
          <w:i/>
          <w:iCs/>
          <w:szCs w:val="18"/>
        </w:rPr>
        <w:t>Mexico – Corn Syrup (Article 21.5 – US)</w:t>
      </w:r>
      <w:r w:rsidRPr="007C37D2">
        <w:rPr>
          <w:szCs w:val="18"/>
        </w:rPr>
        <w:t>, paras. 36.</w:t>
      </w:r>
    </w:p>
  </w:footnote>
  <w:footnote w:id="6">
    <w:p w14:paraId="7C8DD139"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 xml:space="preserve">Appellate Body Report, </w:t>
      </w:r>
      <w:r w:rsidRPr="007C37D2">
        <w:rPr>
          <w:i/>
          <w:iCs/>
          <w:szCs w:val="18"/>
          <w:lang w:val="en-US"/>
        </w:rPr>
        <w:t xml:space="preserve">Australia – Apples, </w:t>
      </w:r>
      <w:r w:rsidRPr="007C37D2">
        <w:rPr>
          <w:szCs w:val="18"/>
          <w:lang w:val="en-US"/>
        </w:rPr>
        <w:t>paras. 423-425.</w:t>
      </w:r>
    </w:p>
  </w:footnote>
  <w:footnote w:id="7">
    <w:p w14:paraId="67A07A9B"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 xml:space="preserve">Appellate Body, </w:t>
      </w:r>
      <w:r w:rsidRPr="007C37D2">
        <w:rPr>
          <w:i/>
          <w:iCs/>
          <w:szCs w:val="18"/>
          <w:lang w:val="en-US"/>
        </w:rPr>
        <w:t>EC – Chicken Cuts</w:t>
      </w:r>
      <w:r w:rsidRPr="007C37D2">
        <w:rPr>
          <w:szCs w:val="18"/>
          <w:lang w:val="en-US"/>
        </w:rPr>
        <w:t xml:space="preserve">, para. 156. </w:t>
      </w:r>
    </w:p>
  </w:footnote>
  <w:footnote w:id="8">
    <w:p w14:paraId="128C72BD"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Panel Report, </w:t>
      </w:r>
      <w:r w:rsidRPr="007C37D2">
        <w:rPr>
          <w:i/>
          <w:iCs/>
          <w:szCs w:val="18"/>
        </w:rPr>
        <w:t>US – Gasoline</w:t>
      </w:r>
      <w:r w:rsidRPr="007C37D2">
        <w:rPr>
          <w:szCs w:val="18"/>
        </w:rPr>
        <w:t>, para. 6.19.</w:t>
      </w:r>
    </w:p>
  </w:footnote>
  <w:footnote w:id="9">
    <w:p w14:paraId="311A7BC0"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Panel Report, </w:t>
      </w:r>
      <w:r w:rsidRPr="007C37D2">
        <w:rPr>
          <w:i/>
          <w:iCs/>
          <w:szCs w:val="18"/>
        </w:rPr>
        <w:t>India – Sugar and Sugar Cane (Australia),</w:t>
      </w:r>
      <w:r w:rsidRPr="007C37D2">
        <w:rPr>
          <w:szCs w:val="18"/>
        </w:rPr>
        <w:t xml:space="preserve"> Annex E-1, paras. 1.9-1.10 and 1.49; see also</w:t>
      </w:r>
      <w:r w:rsidRPr="007C37D2">
        <w:rPr>
          <w:i/>
          <w:iCs/>
          <w:szCs w:val="18"/>
        </w:rPr>
        <w:t xml:space="preserve"> </w:t>
      </w:r>
      <w:r w:rsidRPr="007C37D2">
        <w:rPr>
          <w:szCs w:val="18"/>
        </w:rPr>
        <w:t xml:space="preserve">Panel Report, </w:t>
      </w:r>
      <w:r w:rsidRPr="007C37D2">
        <w:rPr>
          <w:i/>
          <w:iCs/>
          <w:szCs w:val="18"/>
        </w:rPr>
        <w:t>China – Agricultural Producers</w:t>
      </w:r>
      <w:r w:rsidRPr="007C37D2">
        <w:rPr>
          <w:szCs w:val="18"/>
        </w:rPr>
        <w:t>, paras. 7.82-7.92.</w:t>
      </w:r>
    </w:p>
  </w:footnote>
  <w:footnote w:id="10">
    <w:p w14:paraId="600A4C57"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Panel Report, </w:t>
      </w:r>
      <w:r w:rsidRPr="007C37D2">
        <w:rPr>
          <w:i/>
          <w:iCs/>
          <w:szCs w:val="18"/>
        </w:rPr>
        <w:t>Thailand – Cigarettes (Philippines) (Article 21.5 – Philippines II),</w:t>
      </w:r>
      <w:r w:rsidRPr="007C37D2">
        <w:rPr>
          <w:szCs w:val="18"/>
        </w:rPr>
        <w:t xml:space="preserve"> para. 7.469 (emphasis added); see also Panel Report, </w:t>
      </w:r>
      <w:r w:rsidRPr="007C37D2">
        <w:rPr>
          <w:i/>
          <w:iCs/>
          <w:szCs w:val="18"/>
        </w:rPr>
        <w:t>US – Pipes and Tubes (Turkey)</w:t>
      </w:r>
      <w:r w:rsidRPr="007C37D2">
        <w:rPr>
          <w:szCs w:val="18"/>
        </w:rPr>
        <w:t xml:space="preserve">, para. 7.104 (on appeal) (where the panel similarly found after review that, </w:t>
      </w:r>
      <w:r w:rsidRPr="007C37D2">
        <w:rPr>
          <w:rFonts w:cstheme="minorHAnsi"/>
          <w:szCs w:val="18"/>
        </w:rPr>
        <w:t>"</w:t>
      </w:r>
      <w:r w:rsidRPr="007C37D2">
        <w:rPr>
          <w:szCs w:val="18"/>
        </w:rPr>
        <w:t>when deciding whether to make findings on expired measures, panels have declined to make findings on challenged measures that have expired before panel establishment.</w:t>
      </w:r>
      <w:r w:rsidRPr="007C37D2">
        <w:rPr>
          <w:rFonts w:cstheme="minorHAnsi"/>
          <w:szCs w:val="18"/>
        </w:rPr>
        <w:t>"</w:t>
      </w:r>
      <w:r w:rsidRPr="007C37D2">
        <w:rPr>
          <w:szCs w:val="18"/>
        </w:rPr>
        <w:t>)</w:t>
      </w:r>
    </w:p>
  </w:footnote>
  <w:footnote w:id="11">
    <w:p w14:paraId="061F8C69"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Moreover, Australia notes that Article IX of the WTO Agreements</w:t>
      </w:r>
      <w:r w:rsidRPr="007C37D2">
        <w:rPr>
          <w:i/>
          <w:iCs/>
          <w:szCs w:val="18"/>
          <w:lang w:val="en-US"/>
        </w:rPr>
        <w:t xml:space="preserve"> </w:t>
      </w:r>
      <w:r w:rsidRPr="007C37D2">
        <w:rPr>
          <w:szCs w:val="18"/>
          <w:lang w:val="en-US"/>
        </w:rPr>
        <w:t xml:space="preserve">gives the Ministerial Conference and the General Council the </w:t>
      </w:r>
      <w:r w:rsidRPr="007C37D2">
        <w:rPr>
          <w:rFonts w:cstheme="minorHAnsi"/>
          <w:szCs w:val="18"/>
        </w:rPr>
        <w:t>"</w:t>
      </w:r>
      <w:r w:rsidRPr="007C37D2">
        <w:rPr>
          <w:szCs w:val="18"/>
          <w:lang w:val="en-US"/>
        </w:rPr>
        <w:t>exclusive authority</w:t>
      </w:r>
      <w:r w:rsidRPr="007C37D2">
        <w:rPr>
          <w:rFonts w:cstheme="minorHAnsi"/>
          <w:szCs w:val="18"/>
        </w:rPr>
        <w:t>"</w:t>
      </w:r>
      <w:r w:rsidRPr="007C37D2">
        <w:rPr>
          <w:szCs w:val="18"/>
          <w:lang w:val="en-US"/>
        </w:rPr>
        <w:t xml:space="preserve"> to </w:t>
      </w:r>
      <w:r w:rsidRPr="007C37D2">
        <w:rPr>
          <w:rFonts w:cstheme="minorHAnsi"/>
          <w:szCs w:val="18"/>
        </w:rPr>
        <w:t>"</w:t>
      </w:r>
      <w:r w:rsidRPr="007C37D2">
        <w:rPr>
          <w:szCs w:val="18"/>
          <w:lang w:val="en-US"/>
        </w:rPr>
        <w:t>adopt interpretations</w:t>
      </w:r>
      <w:r w:rsidRPr="007C37D2">
        <w:rPr>
          <w:rFonts w:cstheme="minorHAnsi"/>
          <w:szCs w:val="18"/>
        </w:rPr>
        <w:t>"</w:t>
      </w:r>
      <w:r w:rsidRPr="007C37D2">
        <w:rPr>
          <w:szCs w:val="18"/>
          <w:lang w:val="en-US"/>
        </w:rPr>
        <w:t xml:space="preserve"> of the WTO Agreements. Article 3.9 of the DSU further recognises this Member-driven function: </w:t>
      </w:r>
      <w:r w:rsidRPr="007C37D2">
        <w:rPr>
          <w:rFonts w:cstheme="minorHAnsi"/>
          <w:szCs w:val="18"/>
        </w:rPr>
        <w:t>"</w:t>
      </w:r>
      <w:r w:rsidRPr="007C37D2">
        <w:rPr>
          <w:szCs w:val="18"/>
        </w:rPr>
        <w:t xml:space="preserve">The provisions of this Understanding are without prejudice to the rights of Members to seek </w:t>
      </w:r>
      <w:r w:rsidRPr="007C37D2">
        <w:rPr>
          <w:i/>
          <w:iCs/>
          <w:szCs w:val="18"/>
        </w:rPr>
        <w:t>authoritative interpretation of provisions of a covered agreement</w:t>
      </w:r>
      <w:r w:rsidRPr="007C37D2">
        <w:rPr>
          <w:szCs w:val="18"/>
        </w:rPr>
        <w:t xml:space="preserve"> through decision-making under the WTO Agreement or a covered agreement which is a Plurilateral Trade Agreement.</w:t>
      </w:r>
      <w:r w:rsidRPr="007C37D2">
        <w:rPr>
          <w:rFonts w:cstheme="minorHAnsi"/>
          <w:szCs w:val="18"/>
        </w:rPr>
        <w:t>"</w:t>
      </w:r>
    </w:p>
  </w:footnote>
  <w:footnote w:id="12">
    <w:p w14:paraId="035A53B7"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See Appellate Body Report, </w:t>
      </w:r>
      <w:r w:rsidRPr="007C37D2">
        <w:rPr>
          <w:i/>
          <w:iCs/>
          <w:szCs w:val="18"/>
        </w:rPr>
        <w:t>US – Wool Shirts and Blouses</w:t>
      </w:r>
      <w:r w:rsidRPr="007C37D2">
        <w:rPr>
          <w:szCs w:val="18"/>
        </w:rPr>
        <w:t xml:space="preserve">, p. 19; quoted in Panel Report, </w:t>
      </w:r>
      <w:r w:rsidRPr="007C37D2">
        <w:rPr>
          <w:i/>
          <w:iCs/>
          <w:szCs w:val="18"/>
        </w:rPr>
        <w:t>Argentina – Textiles and Apparel</w:t>
      </w:r>
      <w:r w:rsidRPr="007C37D2">
        <w:rPr>
          <w:szCs w:val="18"/>
        </w:rPr>
        <w:t xml:space="preserve">, para. 6.13. </w:t>
      </w:r>
    </w:p>
  </w:footnote>
  <w:footnote w:id="13">
    <w:p w14:paraId="3B4A5678"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Panel Report, </w:t>
      </w:r>
      <w:r w:rsidRPr="007C37D2">
        <w:rPr>
          <w:i/>
          <w:szCs w:val="18"/>
        </w:rPr>
        <w:t>US – Tuna II (Mexico) (Article 21.5 – Mexico)</w:t>
      </w:r>
      <w:r w:rsidRPr="007C37D2">
        <w:rPr>
          <w:szCs w:val="18"/>
        </w:rPr>
        <w:t>, para. 7.39.</w:t>
      </w:r>
    </w:p>
  </w:footnote>
  <w:footnote w:id="14">
    <w:p w14:paraId="2DE3FBE8"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 xml:space="preserve">Appellate Body Report, </w:t>
      </w:r>
      <w:r w:rsidRPr="007C37D2">
        <w:rPr>
          <w:i/>
          <w:iCs/>
          <w:szCs w:val="18"/>
          <w:lang w:val="en-US"/>
        </w:rPr>
        <w:t>US – Certain EC Products</w:t>
      </w:r>
      <w:r w:rsidRPr="007C37D2">
        <w:rPr>
          <w:szCs w:val="18"/>
          <w:lang w:val="en-US"/>
        </w:rPr>
        <w:t>, para. 81.</w:t>
      </w:r>
    </w:p>
    <w:p w14:paraId="1E43C39B" w14:textId="77777777" w:rsidR="008E5D7A" w:rsidRPr="007C37D2" w:rsidRDefault="008E5D7A" w:rsidP="008E5D7A">
      <w:pPr>
        <w:pStyle w:val="FootnoteText"/>
        <w:ind w:left="720"/>
        <w:rPr>
          <w:szCs w:val="18"/>
          <w:lang w:val="en-US"/>
        </w:rPr>
      </w:pPr>
      <w:r w:rsidRPr="007C37D2">
        <w:rPr>
          <w:szCs w:val="18"/>
        </w:rPr>
        <w:t xml:space="preserve">Where the Appellate Body found that there was an </w:t>
      </w:r>
      <w:r w:rsidRPr="007C37D2">
        <w:rPr>
          <w:rFonts w:cstheme="minorHAnsi"/>
          <w:szCs w:val="18"/>
        </w:rPr>
        <w:t>"</w:t>
      </w:r>
      <w:r w:rsidRPr="007C37D2">
        <w:rPr>
          <w:szCs w:val="18"/>
        </w:rPr>
        <w:t>obvious inconsistency</w:t>
      </w:r>
      <w:r w:rsidRPr="007C37D2">
        <w:rPr>
          <w:rFonts w:cstheme="minorHAnsi"/>
          <w:szCs w:val="18"/>
        </w:rPr>
        <w:t>"</w:t>
      </w:r>
      <w:r w:rsidRPr="007C37D2">
        <w:rPr>
          <w:szCs w:val="18"/>
        </w:rPr>
        <w:t xml:space="preserve"> in the Panel’s findings and therefore, </w:t>
      </w:r>
      <w:r w:rsidRPr="007C37D2">
        <w:rPr>
          <w:rFonts w:cstheme="minorHAnsi"/>
          <w:szCs w:val="18"/>
        </w:rPr>
        <w:t>"[T]</w:t>
      </w:r>
      <w:r w:rsidRPr="007C37D2">
        <w:rPr>
          <w:szCs w:val="18"/>
        </w:rPr>
        <w:t>he Panel erred in recommending that the DSB request the United States to bring into conformity with its WTO obligations a measure which the Panel has found no longer exists.</w:t>
      </w:r>
      <w:r w:rsidRPr="007C37D2">
        <w:rPr>
          <w:rFonts w:cstheme="minorHAnsi"/>
          <w:szCs w:val="18"/>
        </w:rPr>
        <w:t>"</w:t>
      </w:r>
    </w:p>
  </w:footnote>
  <w:footnote w:id="15">
    <w:p w14:paraId="28B3E05C"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China’s RFE, Section A.2.</w:t>
      </w:r>
    </w:p>
  </w:footnote>
  <w:footnote w:id="16">
    <w:p w14:paraId="17B2F51A"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China’s RFE, Section A.3.</w:t>
      </w:r>
    </w:p>
  </w:footnote>
  <w:footnote w:id="17">
    <w:p w14:paraId="4771AB74"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China’s RFE, Section A.1.</w:t>
      </w:r>
    </w:p>
  </w:footnote>
  <w:footnote w:id="18">
    <w:p w14:paraId="6ECB6624"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 xml:space="preserve">Australia notes that Section B.2 of China’s RFE states: </w:t>
      </w:r>
    </w:p>
    <w:p w14:paraId="0C1A6D97" w14:textId="77777777" w:rsidR="008E5D7A" w:rsidRPr="007C37D2" w:rsidRDefault="008E5D7A" w:rsidP="008E5D7A">
      <w:pPr>
        <w:pStyle w:val="FootnoteText"/>
        <w:ind w:left="720"/>
        <w:rPr>
          <w:szCs w:val="18"/>
          <w:lang w:val="en-US"/>
        </w:rPr>
      </w:pPr>
      <w:r w:rsidRPr="007C37D2">
        <w:rPr>
          <w:szCs w:val="18"/>
        </w:rPr>
        <w:t>The legal claims with respect to the countervailing measures relate to the measures concerning stainless steel sinks, and only with regard to the alleged Program 1 - Raw Materials Provided by the Government at Less than Fair Market Value (</w:t>
      </w:r>
      <w:r w:rsidRPr="007C37D2">
        <w:rPr>
          <w:rFonts w:cstheme="minorHAnsi"/>
          <w:szCs w:val="18"/>
        </w:rPr>
        <w:t>"</w:t>
      </w:r>
      <w:r w:rsidRPr="007C37D2">
        <w:rPr>
          <w:szCs w:val="18"/>
        </w:rPr>
        <w:t>the alleged program</w:t>
      </w:r>
      <w:r w:rsidRPr="007C37D2">
        <w:rPr>
          <w:rFonts w:cstheme="minorHAnsi"/>
          <w:szCs w:val="18"/>
        </w:rPr>
        <w:t>"</w:t>
      </w:r>
      <w:r w:rsidRPr="007C37D2">
        <w:rPr>
          <w:szCs w:val="18"/>
        </w:rPr>
        <w:t>).</w:t>
      </w:r>
    </w:p>
  </w:footnote>
  <w:footnote w:id="19">
    <w:p w14:paraId="6CEAECBB"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 xml:space="preserve">Under sections </w:t>
      </w:r>
      <w:r w:rsidRPr="007C37D2">
        <w:rPr>
          <w:szCs w:val="18"/>
        </w:rPr>
        <w:t xml:space="preserve">269TG and 269TJ of the </w:t>
      </w:r>
      <w:r w:rsidRPr="007C37D2">
        <w:rPr>
          <w:i/>
          <w:szCs w:val="18"/>
        </w:rPr>
        <w:t>Customs Act </w:t>
      </w:r>
      <w:r w:rsidRPr="007C37D2">
        <w:rPr>
          <w:i/>
          <w:iCs/>
          <w:szCs w:val="18"/>
        </w:rPr>
        <w:t>1901</w:t>
      </w:r>
      <w:r w:rsidRPr="007C37D2">
        <w:rPr>
          <w:szCs w:val="18"/>
        </w:rPr>
        <w:t xml:space="preserve">, Exhibit </w:t>
      </w:r>
      <w:r>
        <w:rPr>
          <w:szCs w:val="18"/>
        </w:rPr>
        <w:t>CHN-29, pp. 100 – 105, 107 – 112</w:t>
      </w:r>
      <w:r w:rsidRPr="007C37D2">
        <w:rPr>
          <w:szCs w:val="18"/>
        </w:rPr>
        <w:t>.</w:t>
      </w:r>
    </w:p>
  </w:footnote>
  <w:footnote w:id="20">
    <w:p w14:paraId="0B88A897"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bookmarkStart w:id="14" w:name="_Hlk121219295"/>
      <w:r w:rsidRPr="007C37D2">
        <w:rPr>
          <w:i/>
          <w:iCs/>
          <w:szCs w:val="18"/>
        </w:rPr>
        <w:t>Stainless Steel Sinks Investigation 238 Report</w:t>
      </w:r>
      <w:r w:rsidRPr="007C37D2">
        <w:rPr>
          <w:szCs w:val="18"/>
        </w:rPr>
        <w:t>, Exhibit CHN-2, section 1.3, pp. 10 – 13.</w:t>
      </w:r>
      <w:bookmarkEnd w:id="14"/>
    </w:p>
  </w:footnote>
  <w:footnote w:id="21">
    <w:p w14:paraId="14B856A4"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Stainless Steel Sinks Investigation 238 Findings - ADN No. 2015/41</w:t>
      </w:r>
      <w:r w:rsidRPr="007C37D2">
        <w:rPr>
          <w:szCs w:val="18"/>
        </w:rPr>
        <w:t xml:space="preserve">, Exhibit CHN-14; </w:t>
      </w:r>
      <w:r w:rsidRPr="007C37D2">
        <w:rPr>
          <w:i/>
          <w:iCs/>
          <w:szCs w:val="18"/>
        </w:rPr>
        <w:t>Stainless Steel Sinks Investigation 238 Report</w:t>
      </w:r>
      <w:r w:rsidRPr="007C37D2">
        <w:rPr>
          <w:szCs w:val="18"/>
        </w:rPr>
        <w:t>, Exhibit CHN-2, table 9, pp.  53-54.</w:t>
      </w:r>
    </w:p>
  </w:footnote>
  <w:footnote w:id="22">
    <w:p w14:paraId="7EE08460"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i/>
          <w:iCs/>
          <w:szCs w:val="18"/>
        </w:rPr>
        <w:t>Stainless Steel Sinks Investigation 238 Report</w:t>
      </w:r>
      <w:r w:rsidRPr="007C37D2">
        <w:rPr>
          <w:szCs w:val="18"/>
        </w:rPr>
        <w:t xml:space="preserve">, Exhibit CHN-2, section 7.4, p. 53. </w:t>
      </w:r>
      <w:r w:rsidRPr="007C37D2">
        <w:rPr>
          <w:szCs w:val="18"/>
          <w:lang w:val="en-US"/>
        </w:rPr>
        <w:t xml:space="preserve">Program 1, Raw Materials Provided by the Government at Less than Fair Market Value, related to the provision of 304 SS CRC (a type of steel input). </w:t>
      </w:r>
    </w:p>
  </w:footnote>
  <w:footnote w:id="23">
    <w:p w14:paraId="06435CED"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i/>
          <w:iCs/>
          <w:szCs w:val="18"/>
        </w:rPr>
        <w:t>Stainless Steel Sinks Investigation 238 Report</w:t>
      </w:r>
      <w:r w:rsidRPr="007C37D2">
        <w:rPr>
          <w:szCs w:val="18"/>
        </w:rPr>
        <w:t xml:space="preserve">, Exhibit CHN-2, section 7.4, pp. 53 – 54. Program 8, Tax preference available to companies that operate at a small profit; Program 24, Preferential Tax Policies for High and New Technology Enterprises. </w:t>
      </w:r>
    </w:p>
  </w:footnote>
  <w:footnote w:id="24">
    <w:p w14:paraId="6150A1EC"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i/>
          <w:iCs/>
          <w:szCs w:val="18"/>
        </w:rPr>
        <w:t>Stainless Steel Sinks Investigation 238 Report</w:t>
      </w:r>
      <w:r w:rsidRPr="007C37D2">
        <w:rPr>
          <w:szCs w:val="18"/>
        </w:rPr>
        <w:t xml:space="preserve">, Exhibit CHN-2, section 7.4, p. 53 – 54. </w:t>
      </w:r>
      <w:r w:rsidRPr="007C37D2">
        <w:rPr>
          <w:szCs w:val="18"/>
          <w:lang w:val="en-US"/>
        </w:rPr>
        <w:t xml:space="preserve"> Program 2, Research &amp; Development (R&amp;D) Assistance Grant; Program 3, Grants for Export Activities; Program 4, Allowance to pay loan interest; Program 5, International Market Fund for Export Companies; Program 6, International Market Fund for Small and Medium-sized Export Companies; Program 9, Award to top ten tax payer; Program 10, Assistance to take part in overseas trade fairs; Program 11, Grant for management certification; Program 12, Grant for certification of product patents, Program 13, Grant for inventions, utility models and designs; Program 14, Grant for international marketing; Program 15, Subsidy to electronic commerce; Program 16, Grant for overseas advertising and trademark registration; Program 17, Grant for overseas marketing or study; Program 18, Gaolan Port Subsidy; Program 19, Information development subsidy; Program 20, Foreign Trade Exhibition Activity Fund; Program 21, Zhuhai Technology Reform &amp; Renovation Fund; Program 22, Zhuhai Support the Strong Enterprise Interests Subsidy; Program 23, Zhuhai Research &amp; Development Assistance Fund.</w:t>
      </w:r>
    </w:p>
  </w:footnote>
  <w:footnote w:id="25">
    <w:p w14:paraId="6D60D2EB"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Stainless Steel Sinks Investigation 238 Report</w:t>
      </w:r>
      <w:r w:rsidRPr="007C37D2">
        <w:rPr>
          <w:szCs w:val="18"/>
        </w:rPr>
        <w:t>, Exhibit CHN-2, section 7.4, p. 53; appendix 8, pp. 155, 160 – 172.</w:t>
      </w:r>
    </w:p>
  </w:footnote>
  <w:footnote w:id="26">
    <w:p w14:paraId="368868B3"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Stainless Steel Sinks Investigation 238 Findings - ADN No. 2015/41</w:t>
      </w:r>
      <w:r w:rsidRPr="007C37D2">
        <w:rPr>
          <w:szCs w:val="18"/>
        </w:rPr>
        <w:t>, Exhibit CHN-14.</w:t>
      </w:r>
    </w:p>
  </w:footnote>
  <w:footnote w:id="27">
    <w:p w14:paraId="2A256116"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Customs Act 1901</w:t>
      </w:r>
      <w:r w:rsidRPr="007C37D2">
        <w:rPr>
          <w:szCs w:val="18"/>
        </w:rPr>
        <w:t xml:space="preserve">, section 269TM(1), Exhibit </w:t>
      </w:r>
      <w:r>
        <w:rPr>
          <w:szCs w:val="18"/>
        </w:rPr>
        <w:t>CHN-29, p. 117</w:t>
      </w:r>
      <w:r w:rsidRPr="007C37D2">
        <w:rPr>
          <w:szCs w:val="18"/>
        </w:rPr>
        <w:t>.</w:t>
      </w:r>
    </w:p>
  </w:footnote>
  <w:footnote w:id="28">
    <w:p w14:paraId="770A5C76"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lang w:val="en-US"/>
        </w:rPr>
        <w:t>Stainless Steel Sinks Continuation 517 Report</w:t>
      </w:r>
      <w:r w:rsidRPr="007C37D2">
        <w:rPr>
          <w:szCs w:val="18"/>
          <w:lang w:val="en-US"/>
        </w:rPr>
        <w:t>, Exhibit CHN-36, Section 2.2, p. 9.</w:t>
      </w:r>
    </w:p>
  </w:footnote>
  <w:footnote w:id="29">
    <w:p w14:paraId="638A020B"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lang w:val="en-US"/>
        </w:rPr>
        <w:t>Stainless Steel Sinks Continuation 517 Report</w:t>
      </w:r>
      <w:r w:rsidRPr="007C37D2">
        <w:rPr>
          <w:szCs w:val="18"/>
          <w:lang w:val="en-US"/>
        </w:rPr>
        <w:t>, Exhibit CHN-36, Section 1.3, p. 7.</w:t>
      </w:r>
    </w:p>
  </w:footnote>
  <w:footnote w:id="30">
    <w:p w14:paraId="407D3E7B"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lang w:val="en-US"/>
        </w:rPr>
        <w:t>Stainless Steel Sinks Continuation 517 Report</w:t>
      </w:r>
      <w:r w:rsidRPr="007C37D2">
        <w:rPr>
          <w:szCs w:val="18"/>
          <w:lang w:val="en-US"/>
        </w:rPr>
        <w:t>, Exhibit CHN-36, Section 1.3, p. 7.</w:t>
      </w:r>
    </w:p>
  </w:footnote>
  <w:footnote w:id="31">
    <w:p w14:paraId="1FD2D066"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lang w:val="en-US"/>
        </w:rPr>
        <w:t>Stainless Steel Sinks Continuation 517 Report</w:t>
      </w:r>
      <w:r w:rsidRPr="007C37D2">
        <w:rPr>
          <w:szCs w:val="18"/>
          <w:lang w:val="en-US"/>
        </w:rPr>
        <w:t>, Exhibit CHN-36, Sections 8.11, p. 85.</w:t>
      </w:r>
    </w:p>
  </w:footnote>
  <w:footnote w:id="32">
    <w:p w14:paraId="7591991E"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Stainless Steel Sinks Continuation 517 Report</w:t>
      </w:r>
      <w:r w:rsidRPr="007C37D2">
        <w:rPr>
          <w:szCs w:val="18"/>
        </w:rPr>
        <w:t>, Exhibit CHN-36, section 8.7.1, p. 82; section 8.8.1, p. 83.; section 8.11, p. 85.</w:t>
      </w:r>
    </w:p>
  </w:footnote>
  <w:footnote w:id="33">
    <w:p w14:paraId="6DABF959"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Stainless Steel Sinks Continuation 517 Report</w:t>
      </w:r>
      <w:r w:rsidRPr="007C37D2">
        <w:rPr>
          <w:szCs w:val="18"/>
        </w:rPr>
        <w:t>, Confidential Attachment 33</w:t>
      </w:r>
      <w:r>
        <w:rPr>
          <w:szCs w:val="18"/>
        </w:rPr>
        <w:t xml:space="preserve"> </w:t>
      </w:r>
      <w:r>
        <w:rPr>
          <w:iCs/>
        </w:rPr>
        <w:t>– Residual, uncooperative subsidy margin (extract)</w:t>
      </w:r>
      <w:r w:rsidRPr="007C37D2">
        <w:rPr>
          <w:szCs w:val="18"/>
        </w:rPr>
        <w:t>, Exhibit AU – 1</w:t>
      </w:r>
      <w:r>
        <w:rPr>
          <w:szCs w:val="18"/>
        </w:rPr>
        <w:t xml:space="preserve"> (BCI)</w:t>
      </w:r>
      <w:r w:rsidRPr="007C37D2">
        <w:rPr>
          <w:szCs w:val="18"/>
        </w:rPr>
        <w:t>.</w:t>
      </w:r>
    </w:p>
  </w:footnote>
  <w:footnote w:id="34">
    <w:p w14:paraId="7989C96F"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Stainless Steel Sinks Continuation 517 Report</w:t>
      </w:r>
      <w:r w:rsidRPr="007C37D2">
        <w:rPr>
          <w:szCs w:val="18"/>
        </w:rPr>
        <w:t xml:space="preserve">, Exhibit CHN-36, sections 8.6 – 8.11 set out the ADC’s subsidy assessment. All programs found to be countervailable in the inquiry period are listed in Table 22. Section 8.4 incorrectly describes that exporters received a countervailable subsidy under Program 1. </w:t>
      </w:r>
    </w:p>
  </w:footnote>
  <w:footnote w:id="35">
    <w:p w14:paraId="36019C23"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Stainless Steel Sinks Continuation 517 Report</w:t>
      </w:r>
      <w:r w:rsidRPr="007C37D2">
        <w:rPr>
          <w:szCs w:val="18"/>
        </w:rPr>
        <w:t>, Exhibit CHN-36, section 8.11, Table 22: Program 8 - Tax preference available to companies that operate at a small profit.</w:t>
      </w:r>
    </w:p>
  </w:footnote>
  <w:footnote w:id="36">
    <w:p w14:paraId="76CFCB72"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Stainless Steel Sinks Continuation 517 Report</w:t>
      </w:r>
      <w:r w:rsidRPr="007C37D2">
        <w:rPr>
          <w:szCs w:val="18"/>
        </w:rPr>
        <w:t>, Exhibit CHN-36, section 8.11, Table 22: Program 3 - Grants for Export Activities; Program 20 – Development of market projects for SMEs in foreign trade; New program 31 - Jinwan technology transformation funds; New program 34 - Sci-tech 2017 innovation promotion fund; New program 35 - Post-technical transformation award; and New program 37 - Pre-tax deduction for enterprises of R&amp;D expenses.</w:t>
      </w:r>
    </w:p>
  </w:footnote>
  <w:footnote w:id="37">
    <w:p w14:paraId="1CBCC15D"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bookmarkStart w:id="16" w:name="_Hlk121239462"/>
      <w:r w:rsidRPr="007C37D2">
        <w:rPr>
          <w:i/>
          <w:iCs/>
          <w:szCs w:val="18"/>
          <w:lang w:val="en-US"/>
        </w:rPr>
        <w:t>Stainless Steel Sinks</w:t>
      </w:r>
      <w:r w:rsidRPr="007C37D2">
        <w:rPr>
          <w:b/>
          <w:bCs/>
          <w:i/>
          <w:iCs/>
          <w:szCs w:val="18"/>
          <w:lang w:val="en-US"/>
        </w:rPr>
        <w:t xml:space="preserve"> </w:t>
      </w:r>
      <w:r w:rsidRPr="007C37D2">
        <w:rPr>
          <w:i/>
          <w:iCs/>
          <w:szCs w:val="18"/>
          <w:lang w:val="en-US"/>
        </w:rPr>
        <w:t>Continuation 517 Findings - ADN No.</w:t>
      </w:r>
      <w:r w:rsidRPr="007C37D2">
        <w:rPr>
          <w:b/>
          <w:bCs/>
          <w:i/>
          <w:iCs/>
          <w:szCs w:val="18"/>
          <w:lang w:val="en-US"/>
        </w:rPr>
        <w:t xml:space="preserve"> </w:t>
      </w:r>
      <w:r w:rsidRPr="007C37D2">
        <w:rPr>
          <w:i/>
          <w:iCs/>
          <w:szCs w:val="18"/>
          <w:lang w:val="en-US"/>
        </w:rPr>
        <w:t>2020/003</w:t>
      </w:r>
      <w:r w:rsidRPr="007C37D2">
        <w:rPr>
          <w:szCs w:val="18"/>
          <w:lang w:val="en-US"/>
        </w:rPr>
        <w:t>, Exhibit CHN-52</w:t>
      </w:r>
      <w:bookmarkEnd w:id="16"/>
      <w:r w:rsidRPr="007C37D2">
        <w:rPr>
          <w:szCs w:val="18"/>
          <w:lang w:val="en-US"/>
        </w:rPr>
        <w:t>.</w:t>
      </w:r>
    </w:p>
  </w:footnote>
  <w:footnote w:id="38">
    <w:p w14:paraId="1052C476"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lang w:val="en-US"/>
        </w:rPr>
        <w:t>Stainless Steel Sinks</w:t>
      </w:r>
      <w:r w:rsidRPr="007C37D2">
        <w:rPr>
          <w:b/>
          <w:bCs/>
          <w:i/>
          <w:iCs/>
          <w:szCs w:val="18"/>
          <w:lang w:val="en-US"/>
        </w:rPr>
        <w:t xml:space="preserve"> </w:t>
      </w:r>
      <w:r w:rsidRPr="007C37D2">
        <w:rPr>
          <w:i/>
          <w:iCs/>
          <w:szCs w:val="18"/>
          <w:lang w:val="en-US"/>
        </w:rPr>
        <w:t>Continuation 517 Findings - ADN No.</w:t>
      </w:r>
      <w:r w:rsidRPr="007C37D2">
        <w:rPr>
          <w:b/>
          <w:bCs/>
          <w:i/>
          <w:iCs/>
          <w:szCs w:val="18"/>
          <w:lang w:val="en-US"/>
        </w:rPr>
        <w:t xml:space="preserve"> </w:t>
      </w:r>
      <w:r w:rsidRPr="007C37D2">
        <w:rPr>
          <w:i/>
          <w:iCs/>
          <w:szCs w:val="18"/>
          <w:lang w:val="en-US"/>
        </w:rPr>
        <w:t>2020/003</w:t>
      </w:r>
      <w:r w:rsidRPr="007C37D2">
        <w:rPr>
          <w:szCs w:val="18"/>
          <w:lang w:val="en-US"/>
        </w:rPr>
        <w:t>, Exhibit CHN-52.</w:t>
      </w:r>
    </w:p>
  </w:footnote>
  <w:footnote w:id="39">
    <w:p w14:paraId="524794C5" w14:textId="69949F08"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lang w:val="en-US"/>
        </w:rPr>
        <w:t>Stainless Steel Sinks Continuation 517 Report</w:t>
      </w:r>
      <w:r w:rsidRPr="007C37D2">
        <w:rPr>
          <w:szCs w:val="18"/>
          <w:lang w:val="en-US"/>
        </w:rPr>
        <w:t>, Confidential Attachment 33</w:t>
      </w:r>
      <w:r>
        <w:rPr>
          <w:szCs w:val="18"/>
          <w:lang w:val="en-US"/>
        </w:rPr>
        <w:t xml:space="preserve"> </w:t>
      </w:r>
      <w:r>
        <w:rPr>
          <w:iCs/>
        </w:rPr>
        <w:t>– Residual, uncooperative subsidy margin (extract)</w:t>
      </w:r>
      <w:r w:rsidRPr="007C37D2">
        <w:rPr>
          <w:szCs w:val="18"/>
          <w:lang w:val="en-US"/>
        </w:rPr>
        <w:t>, Exhibit AU – 1</w:t>
      </w:r>
      <w:r>
        <w:rPr>
          <w:szCs w:val="18"/>
          <w:lang w:val="en-US"/>
        </w:rPr>
        <w:t xml:space="preserve"> (BCI)</w:t>
      </w:r>
      <w:r w:rsidRPr="007C37D2">
        <w:rPr>
          <w:szCs w:val="18"/>
          <w:lang w:val="en-US"/>
        </w:rPr>
        <w:t xml:space="preserve">; </w:t>
      </w:r>
      <w:r w:rsidRPr="007C37D2">
        <w:rPr>
          <w:szCs w:val="18"/>
        </w:rPr>
        <w:t xml:space="preserve">Australia notes that on page 80 of the </w:t>
      </w:r>
      <w:r w:rsidRPr="007C37D2">
        <w:rPr>
          <w:i/>
          <w:iCs/>
          <w:szCs w:val="18"/>
        </w:rPr>
        <w:t>Stainless Steel Sinks Continuation 517 Report</w:t>
      </w:r>
      <w:r w:rsidRPr="007C37D2">
        <w:rPr>
          <w:szCs w:val="18"/>
        </w:rPr>
        <w:t xml:space="preserve"> there is a typographical error that erroneous</w:t>
      </w:r>
      <w:r w:rsidR="00995285">
        <w:rPr>
          <w:szCs w:val="18"/>
        </w:rPr>
        <w:t>ly</w:t>
      </w:r>
      <w:r w:rsidRPr="007C37D2">
        <w:rPr>
          <w:szCs w:val="18"/>
        </w:rPr>
        <w:t xml:space="preserve"> references Program 1 </w:t>
      </w:r>
      <w:r>
        <w:rPr>
          <w:szCs w:val="18"/>
        </w:rPr>
        <w:t xml:space="preserve">in the list of countervailable programs. This was a simple typographical mistake with no practical or legal consequence. </w:t>
      </w:r>
      <w:r w:rsidRPr="007C37D2">
        <w:rPr>
          <w:szCs w:val="18"/>
        </w:rPr>
        <w:t>As Australia outlined, above, the ADC unequivocally found during the expiry review that there was no benefit for the sampled exporters in connection with Program 1 and</w:t>
      </w:r>
      <w:r>
        <w:rPr>
          <w:szCs w:val="18"/>
        </w:rPr>
        <w:t xml:space="preserve">, likewise </w:t>
      </w:r>
      <w:r w:rsidRPr="007C37D2">
        <w:rPr>
          <w:szCs w:val="18"/>
        </w:rPr>
        <w:t xml:space="preserve">did not find that Program 1 was </w:t>
      </w:r>
      <w:r>
        <w:rPr>
          <w:szCs w:val="18"/>
        </w:rPr>
        <w:t xml:space="preserve">a </w:t>
      </w:r>
      <w:r w:rsidRPr="007C37D2">
        <w:rPr>
          <w:szCs w:val="18"/>
        </w:rPr>
        <w:t xml:space="preserve">countervailable subsidy. Moreover, </w:t>
      </w:r>
      <w:r>
        <w:rPr>
          <w:szCs w:val="18"/>
        </w:rPr>
        <w:t xml:space="preserve">as detailed in this submission, all countervailing duties with respect to Program 1 were terminated in March 2020. </w:t>
      </w:r>
      <w:r w:rsidRPr="007C37D2">
        <w:rPr>
          <w:i/>
          <w:iCs/>
          <w:szCs w:val="18"/>
          <w:lang w:val="en-US"/>
        </w:rPr>
        <w:t>Stainless Steel Sinks Continuation 517 Report</w:t>
      </w:r>
      <w:r w:rsidRPr="007C37D2">
        <w:rPr>
          <w:szCs w:val="18"/>
          <w:lang w:val="en-US"/>
        </w:rPr>
        <w:t>, Confidential Attachment 33</w:t>
      </w:r>
      <w:r>
        <w:rPr>
          <w:szCs w:val="18"/>
          <w:lang w:val="en-US"/>
        </w:rPr>
        <w:t xml:space="preserve"> </w:t>
      </w:r>
      <w:r>
        <w:rPr>
          <w:iCs/>
        </w:rPr>
        <w:t>– Residual, uncooperative subsidy margin (extract)</w:t>
      </w:r>
      <w:r w:rsidRPr="007C37D2">
        <w:rPr>
          <w:szCs w:val="18"/>
          <w:lang w:val="en-US"/>
        </w:rPr>
        <w:t>, Exhibit AU – 1</w:t>
      </w:r>
      <w:r>
        <w:rPr>
          <w:szCs w:val="18"/>
          <w:lang w:val="en-US"/>
        </w:rPr>
        <w:t xml:space="preserve"> (BCI)</w:t>
      </w:r>
      <w:r w:rsidRPr="007C37D2">
        <w:rPr>
          <w:szCs w:val="18"/>
          <w:lang w:val="en-US"/>
        </w:rPr>
        <w:t>.</w:t>
      </w:r>
    </w:p>
  </w:footnote>
  <w:footnote w:id="40">
    <w:p w14:paraId="1F23225C" w14:textId="4BD1F8DE"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China's </w:t>
      </w:r>
      <w:r w:rsidRPr="007C37D2">
        <w:rPr>
          <w:szCs w:val="18"/>
          <w:lang w:val="en-US"/>
        </w:rPr>
        <w:t xml:space="preserve">RFE, Section 2 (emphasis added). </w:t>
      </w:r>
      <w:bookmarkStart w:id="17" w:name="_Hlk122017279"/>
      <w:r w:rsidRPr="00384E19">
        <w:rPr>
          <w:szCs w:val="18"/>
        </w:rPr>
        <w:t xml:space="preserve">Section A.1 of China’s RFE states that </w:t>
      </w:r>
      <w:r w:rsidR="007642CE">
        <w:rPr>
          <w:szCs w:val="18"/>
        </w:rPr>
        <w:t>"</w:t>
      </w:r>
      <w:r w:rsidRPr="00384E19">
        <w:rPr>
          <w:szCs w:val="18"/>
        </w:rPr>
        <w:t xml:space="preserve">the imposition of the duties was based on the findings and recommendations reported to the Parliamentary Secretary in </w:t>
      </w:r>
      <w:r w:rsidRPr="00384E19">
        <w:rPr>
          <w:i/>
          <w:iCs/>
          <w:szCs w:val="18"/>
        </w:rPr>
        <w:t>Anti-Dumping Commission Report No. 221 - Dumping of Wind Towers Exported from the People's Republic of China and the Republic of Korea (21 March 2014)</w:t>
      </w:r>
      <w:r w:rsidRPr="00384E19">
        <w:rPr>
          <w:szCs w:val="18"/>
        </w:rPr>
        <w:t>.</w:t>
      </w:r>
      <w:r w:rsidR="007642CE">
        <w:rPr>
          <w:szCs w:val="18"/>
        </w:rPr>
        <w:t>"</w:t>
      </w:r>
      <w:r w:rsidRPr="00384E19">
        <w:rPr>
          <w:szCs w:val="18"/>
        </w:rPr>
        <w:t xml:space="preserve"> Australia understands that, in addition to the duties, the countervailing measures challenged by China include the findings and recommendations of the ADC solely related to Program 1.</w:t>
      </w:r>
      <w:bookmarkEnd w:id="17"/>
      <w:r w:rsidRPr="00384E19">
        <w:rPr>
          <w:szCs w:val="18"/>
        </w:rPr>
        <w:t xml:space="preserve">  </w:t>
      </w:r>
    </w:p>
  </w:footnote>
  <w:footnote w:id="41">
    <w:p w14:paraId="21E9E044"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 xml:space="preserve">Australia notes that in its FWS, China has abandoned its claims under Section B.2.1 related to Article 1.1(a)(1) of the SCM Agreement. In any case, the same analysis would apply with respect to China’s claims </w:t>
      </w:r>
      <w:r>
        <w:rPr>
          <w:szCs w:val="18"/>
          <w:lang w:val="en-US"/>
        </w:rPr>
        <w:t xml:space="preserve">under </w:t>
      </w:r>
      <w:r w:rsidRPr="007C37D2">
        <w:rPr>
          <w:szCs w:val="18"/>
          <w:lang w:val="en-US"/>
        </w:rPr>
        <w:t xml:space="preserve">Section B.2.1, as China </w:t>
      </w:r>
      <w:r>
        <w:rPr>
          <w:szCs w:val="18"/>
          <w:lang w:val="en-US"/>
        </w:rPr>
        <w:t>nevertheless</w:t>
      </w:r>
      <w:r w:rsidRPr="007C37D2">
        <w:rPr>
          <w:szCs w:val="18"/>
          <w:lang w:val="en-US"/>
        </w:rPr>
        <w:t xml:space="preserve"> failed to challenge a measure in existence.    </w:t>
      </w:r>
    </w:p>
  </w:footnote>
  <w:footnote w:id="42">
    <w:p w14:paraId="244D5710"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 xml:space="preserve">China’s RFE, Section B.2. </w:t>
      </w:r>
    </w:p>
  </w:footnote>
  <w:footnote w:id="43">
    <w:p w14:paraId="4611C9CB"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lang w:val="en-US"/>
        </w:rPr>
        <w:t>Stainless Steel Sinks</w:t>
      </w:r>
      <w:r w:rsidRPr="007C37D2">
        <w:rPr>
          <w:b/>
          <w:bCs/>
          <w:i/>
          <w:iCs/>
          <w:szCs w:val="18"/>
          <w:lang w:val="en-US"/>
        </w:rPr>
        <w:t xml:space="preserve"> </w:t>
      </w:r>
      <w:r w:rsidRPr="007C37D2">
        <w:rPr>
          <w:i/>
          <w:iCs/>
          <w:szCs w:val="18"/>
          <w:lang w:val="en-US"/>
        </w:rPr>
        <w:t>Continuation 517 Findings - ADN No.</w:t>
      </w:r>
      <w:r w:rsidRPr="007C37D2">
        <w:rPr>
          <w:b/>
          <w:bCs/>
          <w:i/>
          <w:iCs/>
          <w:szCs w:val="18"/>
          <w:lang w:val="en-US"/>
        </w:rPr>
        <w:t xml:space="preserve"> </w:t>
      </w:r>
      <w:r w:rsidRPr="007C37D2">
        <w:rPr>
          <w:i/>
          <w:iCs/>
          <w:szCs w:val="18"/>
          <w:lang w:val="en-US"/>
        </w:rPr>
        <w:t>2020/003</w:t>
      </w:r>
      <w:r w:rsidRPr="007C37D2">
        <w:rPr>
          <w:szCs w:val="18"/>
          <w:lang w:val="en-US"/>
        </w:rPr>
        <w:t xml:space="preserve">, Exhibit CHN-52; </w:t>
      </w:r>
      <w:r w:rsidRPr="007C37D2">
        <w:rPr>
          <w:i/>
          <w:iCs/>
          <w:szCs w:val="18"/>
          <w:lang w:val="en-US"/>
        </w:rPr>
        <w:t>Stainless Steel Sinks Continuation 517 Report</w:t>
      </w:r>
      <w:r w:rsidRPr="007C37D2">
        <w:rPr>
          <w:szCs w:val="18"/>
          <w:lang w:val="en-US"/>
        </w:rPr>
        <w:t>, Confidential Attachment 33</w:t>
      </w:r>
      <w:r>
        <w:rPr>
          <w:szCs w:val="18"/>
          <w:lang w:val="en-US"/>
        </w:rPr>
        <w:t xml:space="preserve"> </w:t>
      </w:r>
      <w:r>
        <w:rPr>
          <w:iCs/>
        </w:rPr>
        <w:t>– Residual, uncooperative subsidy margin (extract)</w:t>
      </w:r>
      <w:r w:rsidRPr="007C37D2">
        <w:rPr>
          <w:szCs w:val="18"/>
          <w:lang w:val="en-US"/>
        </w:rPr>
        <w:t>, Exhibit AU – 1</w:t>
      </w:r>
      <w:r>
        <w:rPr>
          <w:szCs w:val="18"/>
          <w:lang w:val="en-US"/>
        </w:rPr>
        <w:t xml:space="preserve"> (BCI)</w:t>
      </w:r>
      <w:r w:rsidRPr="007C37D2">
        <w:rPr>
          <w:szCs w:val="18"/>
          <w:lang w:val="en-US"/>
        </w:rPr>
        <w:t>.</w:t>
      </w:r>
    </w:p>
  </w:footnote>
  <w:footnote w:id="44">
    <w:p w14:paraId="33774770"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China’s RFE, Section B.2.2.</w:t>
      </w:r>
    </w:p>
  </w:footnote>
  <w:footnote w:id="45">
    <w:p w14:paraId="01FC739A"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rPr>
        <w:t>Stainless Steel Sinks Continuation 517 Report</w:t>
      </w:r>
      <w:r w:rsidRPr="007C37D2">
        <w:rPr>
          <w:szCs w:val="18"/>
        </w:rPr>
        <w:t>, Exhibit CHN-36, section 8.7.1, p. 82; section 8.8.1, p. 83.; section 8.</w:t>
      </w:r>
      <w:bookmarkStart w:id="18" w:name="_Hlk121242675"/>
      <w:r w:rsidRPr="007C37D2">
        <w:rPr>
          <w:szCs w:val="18"/>
        </w:rPr>
        <w:t>11, p. 85.</w:t>
      </w:r>
      <w:bookmarkEnd w:id="18"/>
    </w:p>
  </w:footnote>
  <w:footnote w:id="46">
    <w:p w14:paraId="4CEB7B3D"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w:t>
      </w:r>
      <w:r w:rsidRPr="007C37D2">
        <w:rPr>
          <w:i/>
          <w:iCs/>
          <w:szCs w:val="18"/>
          <w:lang w:val="en-US"/>
        </w:rPr>
        <w:t>Stainless Steel Sinks Continuation 517 Report</w:t>
      </w:r>
      <w:r w:rsidRPr="007C37D2">
        <w:rPr>
          <w:szCs w:val="18"/>
          <w:lang w:val="en-US"/>
        </w:rPr>
        <w:t>, Exhibit CHN-36, Sections 8.</w:t>
      </w:r>
      <w:r w:rsidRPr="007C37D2">
        <w:rPr>
          <w:szCs w:val="18"/>
        </w:rPr>
        <w:t xml:space="preserve"> 11, p. 85.</w:t>
      </w:r>
    </w:p>
  </w:footnote>
  <w:footnote w:id="47">
    <w:p w14:paraId="00E3B805" w14:textId="77777777" w:rsidR="008E5D7A" w:rsidRPr="007C37D2" w:rsidRDefault="008E5D7A" w:rsidP="008E5D7A">
      <w:pPr>
        <w:pStyle w:val="FootnoteText"/>
        <w:rPr>
          <w:szCs w:val="18"/>
        </w:rPr>
      </w:pPr>
      <w:r w:rsidRPr="007C37D2">
        <w:rPr>
          <w:rStyle w:val="FootnoteReference"/>
          <w:sz w:val="18"/>
          <w:szCs w:val="18"/>
        </w:rPr>
        <w:footnoteRef/>
      </w:r>
      <w:r w:rsidRPr="007C37D2">
        <w:rPr>
          <w:szCs w:val="18"/>
        </w:rPr>
        <w:t xml:space="preserve"> China's FWS, 'Claims under the SCM Agreement', sections J – L, pp. 157 – 186.</w:t>
      </w:r>
    </w:p>
  </w:footnote>
  <w:footnote w:id="48">
    <w:p w14:paraId="3B174EAA"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In China's RFE</w:t>
      </w:r>
      <w:r w:rsidRPr="007C37D2">
        <w:rPr>
          <w:szCs w:val="18"/>
          <w:lang w:val="en-US"/>
        </w:rPr>
        <w:t xml:space="preserve"> at Section B.2, China states: </w:t>
      </w:r>
      <w:r w:rsidRPr="007C37D2">
        <w:rPr>
          <w:rFonts w:cstheme="minorHAnsi"/>
          <w:szCs w:val="18"/>
        </w:rPr>
        <w:t>"</w:t>
      </w:r>
      <w:r w:rsidRPr="007C37D2">
        <w:rPr>
          <w:szCs w:val="18"/>
        </w:rPr>
        <w:t>The legal claims with respect to the countervailing measures relate to the measures concerning stainless steel sinks, and only with regard to the alleged Program 1 - Raw Materials Provided by the Government at Less than Fair Market Value ("the alleged program").</w:t>
      </w:r>
      <w:r w:rsidRPr="007C37D2">
        <w:rPr>
          <w:rFonts w:cstheme="minorHAnsi"/>
          <w:szCs w:val="18"/>
        </w:rPr>
        <w:t>"</w:t>
      </w:r>
    </w:p>
  </w:footnote>
  <w:footnote w:id="49">
    <w:p w14:paraId="0831A81A"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Australia found that Program 1 was not countervailable in respect of purchases of 304 CRC SS for stainless steel sinks two years ago, and has not sought to reassess this program for Chinese exporters since. There is nothing in place that would force the ADC to reconsider this program. Therefore, it bears no resemblance to the type of recurring legislative measure </w:t>
      </w:r>
      <w:r w:rsidRPr="007C37D2">
        <w:rPr>
          <w:rFonts w:cstheme="minorHAnsi"/>
          <w:szCs w:val="18"/>
        </w:rPr>
        <w:t>"</w:t>
      </w:r>
      <w:r w:rsidRPr="007C37D2">
        <w:rPr>
          <w:szCs w:val="18"/>
        </w:rPr>
        <w:t>affecting the operation of a covered agreement</w:t>
      </w:r>
      <w:r w:rsidRPr="007C37D2">
        <w:rPr>
          <w:rFonts w:cstheme="minorHAnsi"/>
          <w:szCs w:val="18"/>
        </w:rPr>
        <w:t>"</w:t>
      </w:r>
      <w:r w:rsidRPr="007C37D2">
        <w:rPr>
          <w:szCs w:val="18"/>
        </w:rPr>
        <w:t xml:space="preserve"> that the Appellate Body found was the limited exception to the general rule in </w:t>
      </w:r>
      <w:r w:rsidRPr="007C37D2">
        <w:rPr>
          <w:i/>
          <w:iCs/>
          <w:szCs w:val="18"/>
        </w:rPr>
        <w:t>US – Upland Cotton</w:t>
      </w:r>
      <w:r w:rsidRPr="007C37D2">
        <w:rPr>
          <w:szCs w:val="18"/>
        </w:rPr>
        <w:t>, para. 263.</w:t>
      </w:r>
    </w:p>
  </w:footnote>
  <w:footnote w:id="50">
    <w:p w14:paraId="59673167" w14:textId="373EA191"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 xml:space="preserve">Australia takes note of the recent Panel Report in </w:t>
      </w:r>
      <w:r w:rsidRPr="007C37D2">
        <w:rPr>
          <w:i/>
          <w:iCs/>
          <w:szCs w:val="18"/>
          <w:lang w:val="en-US"/>
        </w:rPr>
        <w:t>US – Pipes and Tubes (Turkey)</w:t>
      </w:r>
      <w:r w:rsidRPr="007C37D2">
        <w:rPr>
          <w:szCs w:val="18"/>
          <w:lang w:val="en-US"/>
        </w:rPr>
        <w:t xml:space="preserve"> (report on appeal), which considered an analogous fact pattern.  In that dispute, the panel found at para. 7.105: </w:t>
      </w:r>
    </w:p>
    <w:p w14:paraId="66DF18F4" w14:textId="77777777" w:rsidR="008E5D7A" w:rsidRPr="007C37D2" w:rsidRDefault="008E5D7A" w:rsidP="008E5D7A">
      <w:pPr>
        <w:pStyle w:val="FootnoteText"/>
        <w:ind w:left="720"/>
        <w:rPr>
          <w:szCs w:val="18"/>
        </w:rPr>
      </w:pPr>
      <w:r w:rsidRPr="007C37D2">
        <w:rPr>
          <w:szCs w:val="18"/>
          <w:lang w:val="en-US"/>
        </w:rPr>
        <w:t>"no basis to make findings on the benefit determination in the USDOC’s initial OCTG Final Determination in the context of addressing Turkey’s "as applied" claims” because "</w:t>
      </w:r>
      <w:r w:rsidRPr="007C37D2">
        <w:rPr>
          <w:szCs w:val="18"/>
        </w:rPr>
        <w:t xml:space="preserve">the initial OCTG Final Determination ceased to have legal effect well in advance of the Panel's establishment on 19 June 2017." </w:t>
      </w:r>
    </w:p>
    <w:p w14:paraId="17CD2EFF" w14:textId="77777777" w:rsidR="008E5D7A" w:rsidRPr="007C37D2" w:rsidRDefault="008E5D7A" w:rsidP="008E5D7A">
      <w:pPr>
        <w:pStyle w:val="FootnoteText"/>
        <w:rPr>
          <w:szCs w:val="18"/>
        </w:rPr>
      </w:pPr>
    </w:p>
    <w:p w14:paraId="3590A4C2" w14:textId="77777777" w:rsidR="008E5D7A" w:rsidRPr="007C37D2" w:rsidRDefault="008E5D7A" w:rsidP="008E5D7A">
      <w:pPr>
        <w:pStyle w:val="FootnoteText"/>
        <w:rPr>
          <w:szCs w:val="18"/>
        </w:rPr>
      </w:pPr>
      <w:r w:rsidRPr="007C37D2">
        <w:rPr>
          <w:szCs w:val="18"/>
        </w:rPr>
        <w:t xml:space="preserve">Similar to this case, the Panel also found it </w:t>
      </w:r>
      <w:r w:rsidRPr="007C37D2">
        <w:rPr>
          <w:rFonts w:cstheme="minorHAnsi"/>
          <w:szCs w:val="18"/>
        </w:rPr>
        <w:t>"</w:t>
      </w:r>
      <w:r w:rsidRPr="007C37D2">
        <w:rPr>
          <w:szCs w:val="18"/>
        </w:rPr>
        <w:t>telling</w:t>
      </w:r>
      <w:r w:rsidRPr="007C37D2">
        <w:rPr>
          <w:rFonts w:cstheme="minorHAnsi"/>
          <w:szCs w:val="18"/>
        </w:rPr>
        <w:t>"</w:t>
      </w:r>
      <w:r w:rsidRPr="007C37D2">
        <w:rPr>
          <w:szCs w:val="18"/>
        </w:rPr>
        <w:t xml:space="preserve"> that Turkey did not raise any challenges with respect to the Final Determination, which superseded the initial determination, at para. 7.106 (</w:t>
      </w:r>
      <w:r w:rsidRPr="007C37D2">
        <w:rPr>
          <w:rFonts w:cstheme="minorHAnsi"/>
          <w:szCs w:val="18"/>
        </w:rPr>
        <w:t>"</w:t>
      </w:r>
      <w:r w:rsidRPr="007C37D2">
        <w:rPr>
          <w:szCs w:val="18"/>
        </w:rPr>
        <w:t>Tellingly, Turkey has not raised any Article 1.1(b) and Article 14(d) claim against the amended OCTG benefit determination that replaced the initial benchmark and benefit determinations.</w:t>
      </w:r>
      <w:r w:rsidRPr="007C37D2">
        <w:rPr>
          <w:rFonts w:cstheme="minorHAnsi"/>
          <w:szCs w:val="18"/>
        </w:rPr>
        <w:t>"</w:t>
      </w:r>
      <w:r w:rsidRPr="007C37D2">
        <w:rPr>
          <w:szCs w:val="18"/>
        </w:rPr>
        <w:t>)</w:t>
      </w:r>
    </w:p>
    <w:p w14:paraId="7F7970BC" w14:textId="6DC2E868" w:rsidR="008E5D7A" w:rsidRPr="007C37D2" w:rsidRDefault="008E5D7A" w:rsidP="008E5D7A">
      <w:pPr>
        <w:pStyle w:val="FootnoteText"/>
        <w:rPr>
          <w:szCs w:val="18"/>
        </w:rPr>
      </w:pPr>
      <w:r w:rsidRPr="007C37D2">
        <w:rPr>
          <w:szCs w:val="18"/>
        </w:rPr>
        <w:t xml:space="preserve">Finally, the Panel further rejected Turkey’s arguments for why the panel should rule on a measure not in existence at the time of the panel’s establishment related to the Appellate Body’s report in </w:t>
      </w:r>
      <w:r w:rsidRPr="007C37D2">
        <w:rPr>
          <w:i/>
          <w:iCs/>
          <w:szCs w:val="18"/>
        </w:rPr>
        <w:t xml:space="preserve">US – Upland Cotton </w:t>
      </w:r>
      <w:r w:rsidRPr="007C37D2">
        <w:rPr>
          <w:szCs w:val="18"/>
        </w:rPr>
        <w:t>at para. 7.108, which the panel found involved "different" circumstance. Finally, in para. 7.111, the panel further rejected Turkey’s attempts to challenge USDOC practice on the basis of an ‘as applied’ challenge:</w:t>
      </w:r>
    </w:p>
    <w:p w14:paraId="70E6DA40" w14:textId="77777777" w:rsidR="008E5D7A" w:rsidRPr="007C37D2" w:rsidRDefault="008E5D7A" w:rsidP="008E5D7A">
      <w:pPr>
        <w:pStyle w:val="FootnoteText"/>
        <w:ind w:left="720"/>
        <w:rPr>
          <w:szCs w:val="18"/>
          <w:lang w:val="en-US"/>
        </w:rPr>
      </w:pPr>
      <w:r w:rsidRPr="007C37D2">
        <w:rPr>
          <w:szCs w:val="18"/>
        </w:rPr>
        <w:t>In addition, in making its argument, Turkey's request for an "as applied" finding in respect of the initial OCTG Final Determination would serve as a second opportunity to challenge an alleged "practice". We disagree with Turkey that such an "as applied" finding would differ from a finding regarding Turkey's "as such" claim. The reason Turkey gives for requesting an "as applied" finding, i.e. providing guidance for future benefit determinations in the same proceeding, is precisely the reason why complaining WTO Members bring "as such" challenges against another Member's laws, practice or ongoing conduct: to seek to prevent that Member from continuing to apply the offending law or conduct in the future. "As such" challenges by a Member also avoid the need to bring further "as applied" challenges in the future. Therefore, we are not persuaded that we should rule on the USDOC's initial OCTG Final Determination in the context of addressing Turkey's "as applied" claims under Article 1.1(b) and Article 14(d).</w:t>
      </w:r>
    </w:p>
  </w:footnote>
  <w:footnote w:id="51">
    <w:p w14:paraId="634FB020"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Appellate Body Report, </w:t>
      </w:r>
      <w:bookmarkStart w:id="19" w:name="_Hlk121995782"/>
      <w:r w:rsidRPr="007C37D2">
        <w:rPr>
          <w:i/>
          <w:iCs/>
          <w:szCs w:val="18"/>
        </w:rPr>
        <w:t>Mexico – Corn Syrup (Article 21.5 – US</w:t>
      </w:r>
      <w:bookmarkEnd w:id="19"/>
      <w:r w:rsidRPr="007C37D2">
        <w:rPr>
          <w:i/>
          <w:iCs/>
          <w:szCs w:val="18"/>
        </w:rPr>
        <w:t>)</w:t>
      </w:r>
      <w:r w:rsidRPr="007C37D2">
        <w:rPr>
          <w:szCs w:val="18"/>
        </w:rPr>
        <w:t>, paras. 36 and 53.</w:t>
      </w:r>
    </w:p>
  </w:footnote>
  <w:footnote w:id="52">
    <w:p w14:paraId="0324A49B" w14:textId="77777777" w:rsidR="008E5D7A" w:rsidRPr="007C37D2" w:rsidRDefault="008E5D7A" w:rsidP="008E5D7A">
      <w:pPr>
        <w:pStyle w:val="FootnoteText"/>
        <w:rPr>
          <w:szCs w:val="18"/>
          <w:lang w:val="en-US"/>
        </w:rPr>
      </w:pPr>
      <w:r w:rsidRPr="007C37D2">
        <w:rPr>
          <w:rStyle w:val="FootnoteReference"/>
          <w:sz w:val="18"/>
          <w:szCs w:val="18"/>
        </w:rPr>
        <w:footnoteRef/>
      </w:r>
      <w:r w:rsidRPr="007C37D2">
        <w:rPr>
          <w:szCs w:val="18"/>
        </w:rPr>
        <w:t xml:space="preserve"> </w:t>
      </w:r>
      <w:r w:rsidRPr="007C37D2">
        <w:rPr>
          <w:szCs w:val="18"/>
          <w:lang w:val="en-US"/>
        </w:rPr>
        <w:t xml:space="preserve">See Appellate Body Report in </w:t>
      </w:r>
      <w:r w:rsidRPr="007C37D2">
        <w:rPr>
          <w:i/>
          <w:iCs/>
          <w:szCs w:val="18"/>
          <w:lang w:val="en-US"/>
        </w:rPr>
        <w:t>China – Raw Materials</w:t>
      </w:r>
      <w:r w:rsidRPr="007C37D2">
        <w:rPr>
          <w:szCs w:val="18"/>
          <w:lang w:val="en-US"/>
        </w:rPr>
        <w:t>, para. 233 (in which the Appellate Body made clear that the due process protections in Article 6.2 of the DSU do not permit a complaining party to remedy a deficient panel request with arguments advanced in subsequent submissions:  "</w:t>
      </w:r>
      <w:r w:rsidRPr="007C37D2">
        <w:rPr>
          <w:szCs w:val="18"/>
        </w:rPr>
        <w:t>We find it troubling therefore that the Panel, having correctly recognized that a deficient panel request cannot be cured by a complaining party's subsequent written submissions, nonetheless decided to "reserve its decision" on whether the panel requests complied with the requirements of Article 6.2 until after it had examined the parties' first written submissions and was "more able to take fully into account China's ability to defend itself</w:t>
      </w:r>
      <w:r w:rsidRPr="007C37D2">
        <w:rPr>
          <w:rFonts w:cstheme="minorHAnsi"/>
          <w:szCs w:val="18"/>
        </w:rPr>
        <w:t>"</w:t>
      </w:r>
      <w:r w:rsidRPr="007C37D2">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6DC8" w14:textId="77777777" w:rsidR="002A2241" w:rsidRPr="00B957A5" w:rsidRDefault="008E5D7A" w:rsidP="00B957A5">
    <w:pPr>
      <w:pStyle w:val="Header"/>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sidRPr="00562E8F">
      <w:rPr>
        <w:rFonts w:asciiTheme="minorHAnsi" w:hAnsiTheme="minorHAnsi" w:cstheme="minorHAnsi"/>
      </w:rPr>
      <w:t>Business Confidential Information – REDACTED</w:t>
    </w:r>
  </w:p>
  <w:p w14:paraId="2A3F503A" w14:textId="77777777" w:rsidR="002A2241" w:rsidRDefault="008E5D7A">
    <w:pPr>
      <w:pStyle w:val="Header"/>
      <w:jc w:val="right"/>
      <w:rPr>
        <w:rFonts w:asciiTheme="minorHAnsi" w:hAnsiTheme="minorHAnsi" w:cstheme="minorHAnsi"/>
        <w:noProof/>
      </w:rPr>
    </w:pPr>
    <w:r>
      <w:rPr>
        <w:rFonts w:asciiTheme="minorHAnsi" w:hAnsiTheme="minorHAnsi" w:cstheme="minorHAnsi"/>
        <w:i/>
        <w:iCs/>
        <w:noProof/>
      </w:rPr>
      <w:t>Australia – Anti-Dumping and Countervailing Duty Measures</w:t>
    </w:r>
    <w:r>
      <w:rPr>
        <w:rFonts w:asciiTheme="minorHAnsi" w:hAnsiTheme="minorHAnsi" w:cstheme="minorHAnsi"/>
        <w:i/>
        <w:iCs/>
        <w:noProof/>
      </w:rPr>
      <w:tab/>
    </w:r>
    <w:r>
      <w:rPr>
        <w:rFonts w:asciiTheme="minorHAnsi" w:hAnsiTheme="minorHAnsi" w:cstheme="minorHAnsi"/>
        <w:noProof/>
      </w:rPr>
      <w:t>Request for Preliminary Ruling</w:t>
    </w:r>
    <w:r>
      <w:rPr>
        <w:rFonts w:asciiTheme="minorHAnsi" w:hAnsiTheme="minorHAnsi" w:cstheme="minorHAnsi"/>
        <w:i/>
        <w:iCs/>
        <w:noProof/>
      </w:rPr>
      <w:br/>
      <w:t xml:space="preserve">on Certain Products from China </w:t>
    </w:r>
    <w:r>
      <w:rPr>
        <w:rFonts w:asciiTheme="minorHAnsi" w:hAnsiTheme="minorHAnsi" w:cstheme="minorHAnsi"/>
        <w:noProof/>
      </w:rPr>
      <w:t>(DS603)</w:t>
    </w:r>
    <w:r>
      <w:rPr>
        <w:rFonts w:asciiTheme="minorHAnsi" w:hAnsiTheme="minorHAnsi" w:cstheme="minorHAnsi"/>
        <w:noProof/>
      </w:rPr>
      <w:tab/>
    </w:r>
    <w:r>
      <w:rPr>
        <w:rFonts w:asciiTheme="minorHAnsi" w:hAnsiTheme="minorHAnsi" w:cstheme="minorHAnsi"/>
        <w:noProof/>
      </w:rPr>
      <w:tab/>
    </w:r>
    <w:r w:rsidRPr="00562E8F">
      <w:rPr>
        <w:rFonts w:asciiTheme="minorHAnsi" w:hAnsiTheme="minorHAnsi" w:cstheme="minorHAnsi"/>
        <w:noProof/>
      </w:rPr>
      <w:t>16 December 2022</w:t>
    </w:r>
  </w:p>
  <w:p w14:paraId="59F57EE3" w14:textId="77777777" w:rsidR="002A2241" w:rsidRDefault="002A2241">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 w15:restartNumberingAfterBreak="0">
    <w:nsid w:val="0B10259A"/>
    <w:multiLevelType w:val="hybridMultilevel"/>
    <w:tmpl w:val="C0784592"/>
    <w:lvl w:ilvl="0" w:tplc="E2486C40">
      <w:start w:val="1"/>
      <w:numFmt w:val="decimal"/>
      <w:pStyle w:val="FCFigureCaption"/>
      <w:lvlText w:val="Figure %1"/>
      <w:lvlJc w:val="left"/>
      <w:pPr>
        <w:tabs>
          <w:tab w:val="num" w:pos="1134"/>
        </w:tabs>
        <w:ind w:left="1134" w:hanging="1134"/>
      </w:pPr>
      <w:rPr>
        <w:rFonts w:hint="default"/>
      </w:rPr>
    </w:lvl>
    <w:lvl w:ilvl="1" w:tplc="4EE0422C">
      <w:start w:val="1"/>
      <w:numFmt w:val="lowerLetter"/>
      <w:lvlText w:val="%2."/>
      <w:lvlJc w:val="left"/>
      <w:pPr>
        <w:ind w:left="1440" w:hanging="360"/>
      </w:pPr>
    </w:lvl>
    <w:lvl w:ilvl="2" w:tplc="E7265C26" w:tentative="1">
      <w:start w:val="1"/>
      <w:numFmt w:val="lowerRoman"/>
      <w:lvlText w:val="%3."/>
      <w:lvlJc w:val="right"/>
      <w:pPr>
        <w:ind w:left="2160" w:hanging="180"/>
      </w:pPr>
    </w:lvl>
    <w:lvl w:ilvl="3" w:tplc="9E2C816A" w:tentative="1">
      <w:start w:val="1"/>
      <w:numFmt w:val="decimal"/>
      <w:lvlText w:val="%4."/>
      <w:lvlJc w:val="left"/>
      <w:pPr>
        <w:ind w:left="2880" w:hanging="360"/>
      </w:pPr>
    </w:lvl>
    <w:lvl w:ilvl="4" w:tplc="4710B3EC" w:tentative="1">
      <w:start w:val="1"/>
      <w:numFmt w:val="lowerLetter"/>
      <w:lvlText w:val="%5."/>
      <w:lvlJc w:val="left"/>
      <w:pPr>
        <w:ind w:left="3600" w:hanging="360"/>
      </w:pPr>
    </w:lvl>
    <w:lvl w:ilvl="5" w:tplc="E020EB4A" w:tentative="1">
      <w:start w:val="1"/>
      <w:numFmt w:val="lowerRoman"/>
      <w:lvlText w:val="%6."/>
      <w:lvlJc w:val="right"/>
      <w:pPr>
        <w:ind w:left="4320" w:hanging="180"/>
      </w:pPr>
    </w:lvl>
    <w:lvl w:ilvl="6" w:tplc="2BC6D0AC" w:tentative="1">
      <w:start w:val="1"/>
      <w:numFmt w:val="decimal"/>
      <w:lvlText w:val="%7."/>
      <w:lvlJc w:val="left"/>
      <w:pPr>
        <w:ind w:left="5040" w:hanging="360"/>
      </w:pPr>
    </w:lvl>
    <w:lvl w:ilvl="7" w:tplc="E9E0F044" w:tentative="1">
      <w:start w:val="1"/>
      <w:numFmt w:val="lowerLetter"/>
      <w:lvlText w:val="%8."/>
      <w:lvlJc w:val="left"/>
      <w:pPr>
        <w:ind w:left="5760" w:hanging="360"/>
      </w:pPr>
    </w:lvl>
    <w:lvl w:ilvl="8" w:tplc="F006C280" w:tentative="1">
      <w:start w:val="1"/>
      <w:numFmt w:val="lowerRoman"/>
      <w:lvlText w:val="%9."/>
      <w:lvlJc w:val="right"/>
      <w:pPr>
        <w:ind w:left="6480" w:hanging="180"/>
      </w:pPr>
    </w:lvl>
  </w:abstractNum>
  <w:abstractNum w:abstractNumId="2"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3" w15:restartNumberingAfterBreak="0">
    <w:nsid w:val="0F706886"/>
    <w:multiLevelType w:val="multilevel"/>
    <w:tmpl w:val="1CBA76E2"/>
    <w:lvl w:ilvl="0">
      <w:start w:val="1"/>
      <w:numFmt w:val="decimal"/>
      <w:pStyle w:val="WTONumbers"/>
      <w:lvlText w:val="%1."/>
      <w:lvlJc w:val="left"/>
      <w:pPr>
        <w:tabs>
          <w:tab w:val="num" w:pos="720"/>
        </w:tabs>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bullet"/>
      <w:lvlText w:val=""/>
      <w:lvlJc w:val="left"/>
      <w:pPr>
        <w:tabs>
          <w:tab w:val="num" w:pos="1440"/>
        </w:tabs>
        <w:ind w:left="720" w:firstLine="0"/>
      </w:pPr>
      <w:rPr>
        <w:rFonts w:ascii="Wingdings" w:hAnsi="Wingdings" w:hint="default"/>
      </w:rPr>
    </w:lvl>
    <w:lvl w:ilvl="2">
      <w:start w:val="1"/>
      <w:numFmt w:val="lowerRoman"/>
      <w:lvlText w:val="%3."/>
      <w:lvlJc w:val="right"/>
      <w:pPr>
        <w:tabs>
          <w:tab w:val="num" w:pos="2160"/>
        </w:tabs>
        <w:ind w:left="1440" w:firstLine="0"/>
      </w:pPr>
      <w:rPr>
        <w:rFonts w:cs="Times New Roman"/>
      </w:rPr>
    </w:lvl>
    <w:lvl w:ilvl="3">
      <w:start w:val="1"/>
      <w:numFmt w:val="decimal"/>
      <w:lvlText w:val="%4."/>
      <w:lvlJc w:val="left"/>
      <w:pPr>
        <w:tabs>
          <w:tab w:val="num" w:pos="1620"/>
        </w:tabs>
        <w:ind w:left="900" w:firstLine="0"/>
      </w:pPr>
      <w:rPr>
        <w:rFonts w:cs="Times New Roman"/>
      </w:rPr>
    </w:lvl>
    <w:lvl w:ilvl="4">
      <w:start w:val="1"/>
      <w:numFmt w:val="lowerLetter"/>
      <w:lvlText w:val="%5."/>
      <w:lvlJc w:val="left"/>
      <w:pPr>
        <w:tabs>
          <w:tab w:val="num" w:pos="3600"/>
        </w:tabs>
        <w:ind w:left="2880" w:firstLine="0"/>
      </w:pPr>
      <w:rPr>
        <w:rFonts w:cs="Times New Roman"/>
      </w:rPr>
    </w:lvl>
    <w:lvl w:ilvl="5">
      <w:start w:val="1"/>
      <w:numFmt w:val="lowerRoman"/>
      <w:lvlText w:val="%6."/>
      <w:lvlJc w:val="right"/>
      <w:pPr>
        <w:tabs>
          <w:tab w:val="num" w:pos="4320"/>
        </w:tabs>
        <w:ind w:left="3600" w:firstLine="0"/>
      </w:pPr>
      <w:rPr>
        <w:rFonts w:cs="Times New Roman"/>
      </w:rPr>
    </w:lvl>
    <w:lvl w:ilvl="6">
      <w:start w:val="1"/>
      <w:numFmt w:val="decimal"/>
      <w:lvlText w:val="%7."/>
      <w:lvlJc w:val="left"/>
      <w:pPr>
        <w:tabs>
          <w:tab w:val="num" w:pos="5040"/>
        </w:tabs>
        <w:ind w:left="4320" w:firstLine="0"/>
      </w:pPr>
      <w:rPr>
        <w:rFonts w:cs="Times New Roman"/>
      </w:rPr>
    </w:lvl>
    <w:lvl w:ilvl="7">
      <w:start w:val="1"/>
      <w:numFmt w:val="lowerLetter"/>
      <w:lvlText w:val="%8."/>
      <w:lvlJc w:val="left"/>
      <w:pPr>
        <w:tabs>
          <w:tab w:val="num" w:pos="5760"/>
        </w:tabs>
        <w:ind w:left="5040" w:firstLine="0"/>
      </w:pPr>
      <w:rPr>
        <w:rFonts w:cs="Times New Roman"/>
      </w:rPr>
    </w:lvl>
    <w:lvl w:ilvl="8">
      <w:start w:val="1"/>
      <w:numFmt w:val="lowerRoman"/>
      <w:lvlText w:val="%9."/>
      <w:lvlJc w:val="right"/>
      <w:pPr>
        <w:tabs>
          <w:tab w:val="num" w:pos="6480"/>
        </w:tabs>
        <w:ind w:left="5760" w:firstLine="0"/>
      </w:pPr>
      <w:rPr>
        <w:rFonts w:cs="Times New Roman"/>
      </w:rPr>
    </w:lvl>
  </w:abstractNum>
  <w:abstractNum w:abstractNumId="4" w15:restartNumberingAfterBreak="0">
    <w:nsid w:val="100A154A"/>
    <w:multiLevelType w:val="hybridMultilevel"/>
    <w:tmpl w:val="BCD491D0"/>
    <w:lvl w:ilvl="0" w:tplc="1B725258">
      <w:start w:val="1"/>
      <w:numFmt w:val="decimal"/>
      <w:lvlText w:val="%1."/>
      <w:lvlJc w:val="left"/>
      <w:pPr>
        <w:ind w:left="720" w:hanging="360"/>
      </w:pPr>
      <w:rPr>
        <w:rFonts w:hint="default"/>
      </w:rPr>
    </w:lvl>
    <w:lvl w:ilvl="1" w:tplc="8F845132" w:tentative="1">
      <w:start w:val="1"/>
      <w:numFmt w:val="lowerLetter"/>
      <w:lvlText w:val="%2."/>
      <w:lvlJc w:val="left"/>
      <w:pPr>
        <w:ind w:left="1440" w:hanging="360"/>
      </w:pPr>
    </w:lvl>
    <w:lvl w:ilvl="2" w:tplc="3B6028BE" w:tentative="1">
      <w:start w:val="1"/>
      <w:numFmt w:val="lowerRoman"/>
      <w:lvlText w:val="%3."/>
      <w:lvlJc w:val="right"/>
      <w:pPr>
        <w:ind w:left="2160" w:hanging="180"/>
      </w:pPr>
    </w:lvl>
    <w:lvl w:ilvl="3" w:tplc="6EB21540" w:tentative="1">
      <w:start w:val="1"/>
      <w:numFmt w:val="decimal"/>
      <w:lvlText w:val="%4."/>
      <w:lvlJc w:val="left"/>
      <w:pPr>
        <w:ind w:left="2880" w:hanging="360"/>
      </w:pPr>
    </w:lvl>
    <w:lvl w:ilvl="4" w:tplc="77C0700E" w:tentative="1">
      <w:start w:val="1"/>
      <w:numFmt w:val="lowerLetter"/>
      <w:lvlText w:val="%5."/>
      <w:lvlJc w:val="left"/>
      <w:pPr>
        <w:ind w:left="3600" w:hanging="360"/>
      </w:pPr>
    </w:lvl>
    <w:lvl w:ilvl="5" w:tplc="2B9432EE" w:tentative="1">
      <w:start w:val="1"/>
      <w:numFmt w:val="lowerRoman"/>
      <w:lvlText w:val="%6."/>
      <w:lvlJc w:val="right"/>
      <w:pPr>
        <w:ind w:left="4320" w:hanging="180"/>
      </w:pPr>
    </w:lvl>
    <w:lvl w:ilvl="6" w:tplc="4808B038" w:tentative="1">
      <w:start w:val="1"/>
      <w:numFmt w:val="decimal"/>
      <w:lvlText w:val="%7."/>
      <w:lvlJc w:val="left"/>
      <w:pPr>
        <w:ind w:left="5040" w:hanging="360"/>
      </w:pPr>
    </w:lvl>
    <w:lvl w:ilvl="7" w:tplc="CFD6C3C2" w:tentative="1">
      <w:start w:val="1"/>
      <w:numFmt w:val="lowerLetter"/>
      <w:lvlText w:val="%8."/>
      <w:lvlJc w:val="left"/>
      <w:pPr>
        <w:ind w:left="5760" w:hanging="360"/>
      </w:pPr>
    </w:lvl>
    <w:lvl w:ilvl="8" w:tplc="9708A0F0" w:tentative="1">
      <w:start w:val="1"/>
      <w:numFmt w:val="lowerRoman"/>
      <w:lvlText w:val="%9."/>
      <w:lvlJc w:val="right"/>
      <w:pPr>
        <w:ind w:left="6480" w:hanging="180"/>
      </w:pPr>
    </w:lvl>
  </w:abstractNum>
  <w:abstractNum w:abstractNumId="5" w15:restartNumberingAfterBreak="0">
    <w:nsid w:val="13FE22DD"/>
    <w:multiLevelType w:val="hybridMultilevel"/>
    <w:tmpl w:val="8E56E39C"/>
    <w:lvl w:ilvl="0" w:tplc="B8E2543E">
      <w:start w:val="1"/>
      <w:numFmt w:val="decimal"/>
      <w:lvlText w:val="%1."/>
      <w:lvlJc w:val="left"/>
      <w:pPr>
        <w:tabs>
          <w:tab w:val="num" w:pos="851"/>
        </w:tabs>
        <w:ind w:left="0" w:firstLine="0"/>
      </w:pPr>
    </w:lvl>
    <w:lvl w:ilvl="1" w:tplc="2E9C8D1C">
      <w:numFmt w:val="decimal"/>
      <w:lvlText w:val=""/>
      <w:lvlJc w:val="left"/>
      <w:pPr>
        <w:tabs>
          <w:tab w:val="num" w:pos="1701"/>
        </w:tabs>
        <w:ind w:left="1701" w:hanging="850"/>
      </w:pPr>
      <w:rPr>
        <w:rFonts w:ascii="Symbol" w:hAnsi="Symbol" w:hint="default"/>
      </w:rPr>
    </w:lvl>
    <w:lvl w:ilvl="2" w:tplc="178CA92C">
      <w:numFmt w:val="decimal"/>
      <w:lvlText w:val="–"/>
      <w:lvlJc w:val="left"/>
      <w:pPr>
        <w:tabs>
          <w:tab w:val="num" w:pos="2552"/>
        </w:tabs>
        <w:ind w:left="2552" w:hanging="851"/>
      </w:pPr>
      <w:rPr>
        <w:rFonts w:ascii="Calibri" w:eastAsiaTheme="minorHAnsi" w:hAnsi="Calibri" w:cs="Calibri" w:hint="default"/>
      </w:rPr>
    </w:lvl>
    <w:lvl w:ilvl="3" w:tplc="6BAC091C">
      <w:numFmt w:val="decimal"/>
      <w:lvlText w:val="o"/>
      <w:lvlJc w:val="left"/>
      <w:pPr>
        <w:tabs>
          <w:tab w:val="num" w:pos="3402"/>
        </w:tabs>
        <w:ind w:left="3402" w:hanging="850"/>
      </w:pPr>
      <w:rPr>
        <w:rFonts w:ascii="Courier New" w:hAnsi="Courier New" w:cs="Times New Roman" w:hint="default"/>
      </w:rPr>
    </w:lvl>
    <w:lvl w:ilvl="4" w:tplc="D9BCBCB8">
      <w:numFmt w:val="decimal"/>
      <w:lvlText w:val=""/>
      <w:lvlJc w:val="left"/>
      <w:pPr>
        <w:tabs>
          <w:tab w:val="num" w:pos="4253"/>
        </w:tabs>
        <w:ind w:left="4253" w:hanging="851"/>
      </w:pPr>
      <w:rPr>
        <w:rFonts w:ascii="Wingdings" w:hAnsi="Wingdings" w:hint="default"/>
      </w:rPr>
    </w:lvl>
    <w:lvl w:ilvl="5" w:tplc="694866EA">
      <w:numFmt w:val="decimal"/>
      <w:lvlText w:val=""/>
      <w:lvlJc w:val="left"/>
      <w:pPr>
        <w:tabs>
          <w:tab w:val="num" w:pos="5103"/>
        </w:tabs>
        <w:ind w:left="5103" w:hanging="850"/>
      </w:pPr>
      <w:rPr>
        <w:rFonts w:ascii="Wingdings" w:hAnsi="Wingdings" w:hint="default"/>
      </w:rPr>
    </w:lvl>
    <w:lvl w:ilvl="6" w:tplc="8FE60C1C">
      <w:numFmt w:val="decimal"/>
      <w:lvlText w:val=""/>
      <w:lvlJc w:val="left"/>
      <w:pPr>
        <w:tabs>
          <w:tab w:val="num" w:pos="5954"/>
        </w:tabs>
        <w:ind w:left="5954" w:hanging="851"/>
      </w:pPr>
      <w:rPr>
        <w:rFonts w:ascii="Symbol" w:hAnsi="Symbol" w:hint="default"/>
      </w:rPr>
    </w:lvl>
    <w:lvl w:ilvl="7" w:tplc="F0D49634">
      <w:numFmt w:val="decimal"/>
      <w:lvlText w:val="–"/>
      <w:lvlJc w:val="left"/>
      <w:pPr>
        <w:tabs>
          <w:tab w:val="num" w:pos="6804"/>
        </w:tabs>
        <w:ind w:left="6804" w:hanging="850"/>
      </w:pPr>
      <w:rPr>
        <w:rFonts w:ascii="Calibri" w:eastAsiaTheme="minorHAnsi" w:hAnsi="Calibri" w:cs="Calibri" w:hint="default"/>
      </w:rPr>
    </w:lvl>
    <w:lvl w:ilvl="8" w:tplc="D392270A">
      <w:numFmt w:val="decimal"/>
      <w:lvlText w:val="o"/>
      <w:lvlJc w:val="left"/>
      <w:pPr>
        <w:tabs>
          <w:tab w:val="num" w:pos="7655"/>
        </w:tabs>
        <w:ind w:left="7655" w:hanging="851"/>
      </w:pPr>
      <w:rPr>
        <w:rFonts w:ascii="Courier New" w:hAnsi="Courier New" w:cs="Times New Roman" w:hint="default"/>
      </w:rPr>
    </w:lvl>
  </w:abstractNum>
  <w:abstractNum w:abstractNumId="6" w15:restartNumberingAfterBreak="0">
    <w:nsid w:val="14A245BA"/>
    <w:multiLevelType w:val="hybridMultilevel"/>
    <w:tmpl w:val="4442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96EC5618"/>
    <w:lvl w:ilvl="0">
      <w:start w:val="1"/>
      <w:numFmt w:val="decimal"/>
      <w:pStyle w:val="NumberLevel1"/>
      <w:lvlText w:val="%1."/>
      <w:lvlJc w:val="left"/>
      <w:pPr>
        <w:tabs>
          <w:tab w:val="num" w:pos="709"/>
        </w:tabs>
        <w:ind w:left="0" w:hanging="709"/>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83C6647"/>
    <w:multiLevelType w:val="hybridMultilevel"/>
    <w:tmpl w:val="BCC458CE"/>
    <w:lvl w:ilvl="0" w:tplc="904642D0">
      <w:start w:val="10"/>
      <w:numFmt w:val="bullet"/>
      <w:lvlText w:val="-"/>
      <w:lvlJc w:val="left"/>
      <w:pPr>
        <w:ind w:left="720" w:hanging="360"/>
      </w:pPr>
      <w:rPr>
        <w:rFonts w:ascii="Calibri" w:eastAsiaTheme="minorHAnsi" w:hAnsi="Calibri" w:cs="Calibri" w:hint="default"/>
      </w:rPr>
    </w:lvl>
    <w:lvl w:ilvl="1" w:tplc="BB8674CC" w:tentative="1">
      <w:start w:val="1"/>
      <w:numFmt w:val="bullet"/>
      <w:lvlText w:val="o"/>
      <w:lvlJc w:val="left"/>
      <w:pPr>
        <w:ind w:left="1440" w:hanging="360"/>
      </w:pPr>
      <w:rPr>
        <w:rFonts w:ascii="Courier New" w:hAnsi="Courier New" w:cs="Courier New" w:hint="default"/>
      </w:rPr>
    </w:lvl>
    <w:lvl w:ilvl="2" w:tplc="51AEF2A6" w:tentative="1">
      <w:start w:val="1"/>
      <w:numFmt w:val="bullet"/>
      <w:lvlText w:val=""/>
      <w:lvlJc w:val="left"/>
      <w:pPr>
        <w:ind w:left="2160" w:hanging="360"/>
      </w:pPr>
      <w:rPr>
        <w:rFonts w:ascii="Wingdings" w:hAnsi="Wingdings" w:hint="default"/>
      </w:rPr>
    </w:lvl>
    <w:lvl w:ilvl="3" w:tplc="88D4B436" w:tentative="1">
      <w:start w:val="1"/>
      <w:numFmt w:val="bullet"/>
      <w:lvlText w:val=""/>
      <w:lvlJc w:val="left"/>
      <w:pPr>
        <w:ind w:left="2880" w:hanging="360"/>
      </w:pPr>
      <w:rPr>
        <w:rFonts w:ascii="Symbol" w:hAnsi="Symbol" w:hint="default"/>
      </w:rPr>
    </w:lvl>
    <w:lvl w:ilvl="4" w:tplc="FB429F8A" w:tentative="1">
      <w:start w:val="1"/>
      <w:numFmt w:val="bullet"/>
      <w:lvlText w:val="o"/>
      <w:lvlJc w:val="left"/>
      <w:pPr>
        <w:ind w:left="3600" w:hanging="360"/>
      </w:pPr>
      <w:rPr>
        <w:rFonts w:ascii="Courier New" w:hAnsi="Courier New" w:cs="Courier New" w:hint="default"/>
      </w:rPr>
    </w:lvl>
    <w:lvl w:ilvl="5" w:tplc="1A3A6774" w:tentative="1">
      <w:start w:val="1"/>
      <w:numFmt w:val="bullet"/>
      <w:lvlText w:val=""/>
      <w:lvlJc w:val="left"/>
      <w:pPr>
        <w:ind w:left="4320" w:hanging="360"/>
      </w:pPr>
      <w:rPr>
        <w:rFonts w:ascii="Wingdings" w:hAnsi="Wingdings" w:hint="default"/>
      </w:rPr>
    </w:lvl>
    <w:lvl w:ilvl="6" w:tplc="328A2596" w:tentative="1">
      <w:start w:val="1"/>
      <w:numFmt w:val="bullet"/>
      <w:lvlText w:val=""/>
      <w:lvlJc w:val="left"/>
      <w:pPr>
        <w:ind w:left="5040" w:hanging="360"/>
      </w:pPr>
      <w:rPr>
        <w:rFonts w:ascii="Symbol" w:hAnsi="Symbol" w:hint="default"/>
      </w:rPr>
    </w:lvl>
    <w:lvl w:ilvl="7" w:tplc="678CCEE8" w:tentative="1">
      <w:start w:val="1"/>
      <w:numFmt w:val="bullet"/>
      <w:lvlText w:val="o"/>
      <w:lvlJc w:val="left"/>
      <w:pPr>
        <w:ind w:left="5760" w:hanging="360"/>
      </w:pPr>
      <w:rPr>
        <w:rFonts w:ascii="Courier New" w:hAnsi="Courier New" w:cs="Courier New" w:hint="default"/>
      </w:rPr>
    </w:lvl>
    <w:lvl w:ilvl="8" w:tplc="4F52793A" w:tentative="1">
      <w:start w:val="1"/>
      <w:numFmt w:val="bullet"/>
      <w:lvlText w:val=""/>
      <w:lvlJc w:val="left"/>
      <w:pPr>
        <w:ind w:left="6480" w:hanging="360"/>
      </w:pPr>
      <w:rPr>
        <w:rFonts w:ascii="Wingdings" w:hAnsi="Wingdings" w:hint="default"/>
      </w:rPr>
    </w:lvl>
  </w:abstractNum>
  <w:abstractNum w:abstractNumId="9" w15:restartNumberingAfterBreak="0">
    <w:nsid w:val="1DBA2E75"/>
    <w:multiLevelType w:val="hybridMultilevel"/>
    <w:tmpl w:val="B4468178"/>
    <w:lvl w:ilvl="0" w:tplc="8A4E504A">
      <w:start w:val="1"/>
      <w:numFmt w:val="decimal"/>
      <w:lvlText w:val="%1."/>
      <w:lvlJc w:val="left"/>
      <w:pPr>
        <w:ind w:left="2160" w:hanging="720"/>
      </w:pPr>
      <w:rPr>
        <w:rFonts w:hint="default"/>
      </w:rPr>
    </w:lvl>
    <w:lvl w:ilvl="1" w:tplc="9DC04260" w:tentative="1">
      <w:start w:val="1"/>
      <w:numFmt w:val="lowerLetter"/>
      <w:lvlText w:val="%2."/>
      <w:lvlJc w:val="left"/>
      <w:pPr>
        <w:ind w:left="2520" w:hanging="360"/>
      </w:pPr>
    </w:lvl>
    <w:lvl w:ilvl="2" w:tplc="B79EA768" w:tentative="1">
      <w:start w:val="1"/>
      <w:numFmt w:val="lowerRoman"/>
      <w:lvlText w:val="%3."/>
      <w:lvlJc w:val="right"/>
      <w:pPr>
        <w:ind w:left="3240" w:hanging="180"/>
      </w:pPr>
    </w:lvl>
    <w:lvl w:ilvl="3" w:tplc="EE26AFBA" w:tentative="1">
      <w:start w:val="1"/>
      <w:numFmt w:val="decimal"/>
      <w:lvlText w:val="%4."/>
      <w:lvlJc w:val="left"/>
      <w:pPr>
        <w:ind w:left="3960" w:hanging="360"/>
      </w:pPr>
    </w:lvl>
    <w:lvl w:ilvl="4" w:tplc="F3ACB2F2" w:tentative="1">
      <w:start w:val="1"/>
      <w:numFmt w:val="lowerLetter"/>
      <w:lvlText w:val="%5."/>
      <w:lvlJc w:val="left"/>
      <w:pPr>
        <w:ind w:left="4680" w:hanging="360"/>
      </w:pPr>
    </w:lvl>
    <w:lvl w:ilvl="5" w:tplc="9B20AE72" w:tentative="1">
      <w:start w:val="1"/>
      <w:numFmt w:val="lowerRoman"/>
      <w:lvlText w:val="%6."/>
      <w:lvlJc w:val="right"/>
      <w:pPr>
        <w:ind w:left="5400" w:hanging="180"/>
      </w:pPr>
    </w:lvl>
    <w:lvl w:ilvl="6" w:tplc="F30CA13A" w:tentative="1">
      <w:start w:val="1"/>
      <w:numFmt w:val="decimal"/>
      <w:lvlText w:val="%7."/>
      <w:lvlJc w:val="left"/>
      <w:pPr>
        <w:ind w:left="6120" w:hanging="360"/>
      </w:pPr>
    </w:lvl>
    <w:lvl w:ilvl="7" w:tplc="9BC0B6B8" w:tentative="1">
      <w:start w:val="1"/>
      <w:numFmt w:val="lowerLetter"/>
      <w:lvlText w:val="%8."/>
      <w:lvlJc w:val="left"/>
      <w:pPr>
        <w:ind w:left="6840" w:hanging="360"/>
      </w:pPr>
    </w:lvl>
    <w:lvl w:ilvl="8" w:tplc="569C1A7A" w:tentative="1">
      <w:start w:val="1"/>
      <w:numFmt w:val="lowerRoman"/>
      <w:lvlText w:val="%9."/>
      <w:lvlJc w:val="right"/>
      <w:pPr>
        <w:ind w:left="7560" w:hanging="180"/>
      </w:pPr>
    </w:lvl>
  </w:abstractNum>
  <w:abstractNum w:abstractNumId="10" w15:restartNumberingAfterBreak="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28243105"/>
    <w:multiLevelType w:val="hybridMultilevel"/>
    <w:tmpl w:val="1400B054"/>
    <w:lvl w:ilvl="0" w:tplc="F8CA2936">
      <w:start w:val="1"/>
      <w:numFmt w:val="decimal"/>
      <w:pStyle w:val="P1-N1Paragraph1-Number1"/>
      <w:lvlText w:val="%1."/>
      <w:lvlJc w:val="left"/>
      <w:pPr>
        <w:tabs>
          <w:tab w:val="num" w:pos="851"/>
        </w:tabs>
        <w:ind w:left="0" w:firstLine="0"/>
      </w:pPr>
      <w:rPr>
        <w:rFonts w:hint="default"/>
      </w:rPr>
    </w:lvl>
    <w:lvl w:ilvl="1" w:tplc="413E5DC4">
      <w:start w:val="1"/>
      <w:numFmt w:val="lowerRoman"/>
      <w:pStyle w:val="P2-B1Paragraph2-Bullet1"/>
      <w:lvlText w:val="(%2)"/>
      <w:lvlJc w:val="left"/>
      <w:pPr>
        <w:tabs>
          <w:tab w:val="num" w:pos="1701"/>
        </w:tabs>
        <w:ind w:left="1701" w:hanging="850"/>
      </w:pPr>
      <w:rPr>
        <w:rFonts w:asciiTheme="minorHAnsi" w:eastAsiaTheme="minorHAnsi" w:hAnsiTheme="minorHAnsi" w:cstheme="minorHAnsi" w:hint="default"/>
      </w:rPr>
    </w:lvl>
    <w:lvl w:ilvl="2" w:tplc="C19E66B2">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3A867664">
      <w:start w:val="1"/>
      <w:numFmt w:val="bullet"/>
      <w:pStyle w:val="P4-B3Paragraph4-Bullet3"/>
      <w:lvlText w:val="o"/>
      <w:lvlJc w:val="left"/>
      <w:pPr>
        <w:tabs>
          <w:tab w:val="num" w:pos="3402"/>
        </w:tabs>
        <w:ind w:left="3402" w:hanging="850"/>
      </w:pPr>
      <w:rPr>
        <w:rFonts w:ascii="Courier New" w:hAnsi="Courier New" w:hint="default"/>
      </w:rPr>
    </w:lvl>
    <w:lvl w:ilvl="4" w:tplc="69CC2036">
      <w:start w:val="1"/>
      <w:numFmt w:val="bullet"/>
      <w:pStyle w:val="P5-B4Paragraph5-Bullet4"/>
      <w:lvlText w:val=""/>
      <w:lvlJc w:val="left"/>
      <w:pPr>
        <w:tabs>
          <w:tab w:val="num" w:pos="4253"/>
        </w:tabs>
        <w:ind w:left="4253" w:hanging="851"/>
      </w:pPr>
      <w:rPr>
        <w:rFonts w:ascii="Wingdings" w:hAnsi="Wingdings" w:hint="default"/>
      </w:rPr>
    </w:lvl>
    <w:lvl w:ilvl="5" w:tplc="2B7C946A">
      <w:start w:val="1"/>
      <w:numFmt w:val="bullet"/>
      <w:pStyle w:val="P6-B5Paragraph6-Bullet5"/>
      <w:lvlText w:val=""/>
      <w:lvlJc w:val="left"/>
      <w:pPr>
        <w:tabs>
          <w:tab w:val="num" w:pos="5103"/>
        </w:tabs>
        <w:ind w:left="5103" w:hanging="850"/>
      </w:pPr>
      <w:rPr>
        <w:rFonts w:ascii="Wingdings" w:hAnsi="Wingdings" w:hint="default"/>
      </w:rPr>
    </w:lvl>
    <w:lvl w:ilvl="6" w:tplc="11C867CE">
      <w:start w:val="1"/>
      <w:numFmt w:val="bullet"/>
      <w:pStyle w:val="P7-B6Paragraph7-Bullet6"/>
      <w:lvlText w:val=""/>
      <w:lvlJc w:val="left"/>
      <w:pPr>
        <w:tabs>
          <w:tab w:val="num" w:pos="5954"/>
        </w:tabs>
        <w:ind w:left="5954" w:hanging="851"/>
      </w:pPr>
      <w:rPr>
        <w:rFonts w:ascii="Symbol" w:hAnsi="Symbol" w:hint="default"/>
      </w:rPr>
    </w:lvl>
    <w:lvl w:ilvl="7" w:tplc="B6FEB234">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F9780ECE">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12" w15:restartNumberingAfterBreak="0">
    <w:nsid w:val="2A094DE3"/>
    <w:multiLevelType w:val="hybridMultilevel"/>
    <w:tmpl w:val="8E56E39C"/>
    <w:lvl w:ilvl="0" w:tplc="0CAEC3D6">
      <w:start w:val="1"/>
      <w:numFmt w:val="decimal"/>
      <w:lvlText w:val="%1."/>
      <w:lvlJc w:val="left"/>
      <w:pPr>
        <w:tabs>
          <w:tab w:val="num" w:pos="851"/>
        </w:tabs>
        <w:ind w:left="0" w:firstLine="0"/>
      </w:pPr>
    </w:lvl>
    <w:lvl w:ilvl="1" w:tplc="8D8CDF9E">
      <w:numFmt w:val="decimal"/>
      <w:lvlText w:val=""/>
      <w:lvlJc w:val="left"/>
      <w:pPr>
        <w:tabs>
          <w:tab w:val="num" w:pos="1701"/>
        </w:tabs>
        <w:ind w:left="1701" w:hanging="850"/>
      </w:pPr>
      <w:rPr>
        <w:rFonts w:ascii="Symbol" w:hAnsi="Symbol" w:hint="default"/>
      </w:rPr>
    </w:lvl>
    <w:lvl w:ilvl="2" w:tplc="6232985A">
      <w:numFmt w:val="decimal"/>
      <w:lvlText w:val="–"/>
      <w:lvlJc w:val="left"/>
      <w:pPr>
        <w:tabs>
          <w:tab w:val="num" w:pos="2552"/>
        </w:tabs>
        <w:ind w:left="2552" w:hanging="851"/>
      </w:pPr>
      <w:rPr>
        <w:rFonts w:ascii="Calibri" w:eastAsiaTheme="minorHAnsi" w:hAnsi="Calibri" w:cs="Calibri" w:hint="default"/>
      </w:rPr>
    </w:lvl>
    <w:lvl w:ilvl="3" w:tplc="387C49A2">
      <w:numFmt w:val="decimal"/>
      <w:lvlText w:val="o"/>
      <w:lvlJc w:val="left"/>
      <w:pPr>
        <w:tabs>
          <w:tab w:val="num" w:pos="3402"/>
        </w:tabs>
        <w:ind w:left="3402" w:hanging="850"/>
      </w:pPr>
      <w:rPr>
        <w:rFonts w:ascii="Courier New" w:hAnsi="Courier New" w:cs="Times New Roman" w:hint="default"/>
      </w:rPr>
    </w:lvl>
    <w:lvl w:ilvl="4" w:tplc="1ADCDD5C">
      <w:numFmt w:val="decimal"/>
      <w:lvlText w:val=""/>
      <w:lvlJc w:val="left"/>
      <w:pPr>
        <w:tabs>
          <w:tab w:val="num" w:pos="4253"/>
        </w:tabs>
        <w:ind w:left="4253" w:hanging="851"/>
      </w:pPr>
      <w:rPr>
        <w:rFonts w:ascii="Wingdings" w:hAnsi="Wingdings" w:hint="default"/>
      </w:rPr>
    </w:lvl>
    <w:lvl w:ilvl="5" w:tplc="B2C49A1A">
      <w:numFmt w:val="decimal"/>
      <w:lvlText w:val=""/>
      <w:lvlJc w:val="left"/>
      <w:pPr>
        <w:tabs>
          <w:tab w:val="num" w:pos="5103"/>
        </w:tabs>
        <w:ind w:left="5103" w:hanging="850"/>
      </w:pPr>
      <w:rPr>
        <w:rFonts w:ascii="Wingdings" w:hAnsi="Wingdings" w:hint="default"/>
      </w:rPr>
    </w:lvl>
    <w:lvl w:ilvl="6" w:tplc="649E6856">
      <w:numFmt w:val="decimal"/>
      <w:lvlText w:val=""/>
      <w:lvlJc w:val="left"/>
      <w:pPr>
        <w:tabs>
          <w:tab w:val="num" w:pos="5954"/>
        </w:tabs>
        <w:ind w:left="5954" w:hanging="851"/>
      </w:pPr>
      <w:rPr>
        <w:rFonts w:ascii="Symbol" w:hAnsi="Symbol" w:hint="default"/>
      </w:rPr>
    </w:lvl>
    <w:lvl w:ilvl="7" w:tplc="01ACA19C">
      <w:numFmt w:val="decimal"/>
      <w:lvlText w:val="–"/>
      <w:lvlJc w:val="left"/>
      <w:pPr>
        <w:tabs>
          <w:tab w:val="num" w:pos="6804"/>
        </w:tabs>
        <w:ind w:left="6804" w:hanging="850"/>
      </w:pPr>
      <w:rPr>
        <w:rFonts w:ascii="Calibri" w:eastAsiaTheme="minorHAnsi" w:hAnsi="Calibri" w:cs="Calibri" w:hint="default"/>
      </w:rPr>
    </w:lvl>
    <w:lvl w:ilvl="8" w:tplc="4966271E">
      <w:numFmt w:val="decimal"/>
      <w:lvlText w:val="o"/>
      <w:lvlJc w:val="left"/>
      <w:pPr>
        <w:tabs>
          <w:tab w:val="num" w:pos="7655"/>
        </w:tabs>
        <w:ind w:left="7655" w:hanging="851"/>
      </w:pPr>
      <w:rPr>
        <w:rFonts w:ascii="Courier New" w:hAnsi="Courier New" w:cs="Times New Roman" w:hint="default"/>
      </w:rPr>
    </w:lvl>
  </w:abstractNum>
  <w:abstractNum w:abstractNumId="13" w15:restartNumberingAfterBreak="0">
    <w:nsid w:val="2B6D3045"/>
    <w:multiLevelType w:val="hybridMultilevel"/>
    <w:tmpl w:val="25C2E484"/>
    <w:lvl w:ilvl="0" w:tplc="3DDEEF96">
      <w:start w:val="1"/>
      <w:numFmt w:val="bullet"/>
      <w:lvlText w:val="-"/>
      <w:lvlJc w:val="left"/>
      <w:pPr>
        <w:ind w:left="720" w:hanging="360"/>
      </w:pPr>
      <w:rPr>
        <w:rFonts w:ascii="Calibri" w:eastAsiaTheme="minorHAnsi" w:hAnsi="Calibri" w:cs="Calibri" w:hint="default"/>
        <w:sz w:val="24"/>
      </w:rPr>
    </w:lvl>
    <w:lvl w:ilvl="1" w:tplc="F6560AA4" w:tentative="1">
      <w:start w:val="1"/>
      <w:numFmt w:val="bullet"/>
      <w:lvlText w:val="o"/>
      <w:lvlJc w:val="left"/>
      <w:pPr>
        <w:ind w:left="1440" w:hanging="360"/>
      </w:pPr>
      <w:rPr>
        <w:rFonts w:ascii="Courier New" w:hAnsi="Courier New" w:cs="Courier New" w:hint="default"/>
      </w:rPr>
    </w:lvl>
    <w:lvl w:ilvl="2" w:tplc="AD60BC5A" w:tentative="1">
      <w:start w:val="1"/>
      <w:numFmt w:val="bullet"/>
      <w:lvlText w:val=""/>
      <w:lvlJc w:val="left"/>
      <w:pPr>
        <w:ind w:left="2160" w:hanging="360"/>
      </w:pPr>
      <w:rPr>
        <w:rFonts w:ascii="Wingdings" w:hAnsi="Wingdings" w:hint="default"/>
      </w:rPr>
    </w:lvl>
    <w:lvl w:ilvl="3" w:tplc="6226BD8C" w:tentative="1">
      <w:start w:val="1"/>
      <w:numFmt w:val="bullet"/>
      <w:lvlText w:val=""/>
      <w:lvlJc w:val="left"/>
      <w:pPr>
        <w:ind w:left="2880" w:hanging="360"/>
      </w:pPr>
      <w:rPr>
        <w:rFonts w:ascii="Symbol" w:hAnsi="Symbol" w:hint="default"/>
      </w:rPr>
    </w:lvl>
    <w:lvl w:ilvl="4" w:tplc="16785FE8" w:tentative="1">
      <w:start w:val="1"/>
      <w:numFmt w:val="bullet"/>
      <w:lvlText w:val="o"/>
      <w:lvlJc w:val="left"/>
      <w:pPr>
        <w:ind w:left="3600" w:hanging="360"/>
      </w:pPr>
      <w:rPr>
        <w:rFonts w:ascii="Courier New" w:hAnsi="Courier New" w:cs="Courier New" w:hint="default"/>
      </w:rPr>
    </w:lvl>
    <w:lvl w:ilvl="5" w:tplc="9F7CE2CE" w:tentative="1">
      <w:start w:val="1"/>
      <w:numFmt w:val="bullet"/>
      <w:lvlText w:val=""/>
      <w:lvlJc w:val="left"/>
      <w:pPr>
        <w:ind w:left="4320" w:hanging="360"/>
      </w:pPr>
      <w:rPr>
        <w:rFonts w:ascii="Wingdings" w:hAnsi="Wingdings" w:hint="default"/>
      </w:rPr>
    </w:lvl>
    <w:lvl w:ilvl="6" w:tplc="8DFA1CBE" w:tentative="1">
      <w:start w:val="1"/>
      <w:numFmt w:val="bullet"/>
      <w:lvlText w:val=""/>
      <w:lvlJc w:val="left"/>
      <w:pPr>
        <w:ind w:left="5040" w:hanging="360"/>
      </w:pPr>
      <w:rPr>
        <w:rFonts w:ascii="Symbol" w:hAnsi="Symbol" w:hint="default"/>
      </w:rPr>
    </w:lvl>
    <w:lvl w:ilvl="7" w:tplc="1FEE4A5E" w:tentative="1">
      <w:start w:val="1"/>
      <w:numFmt w:val="bullet"/>
      <w:lvlText w:val="o"/>
      <w:lvlJc w:val="left"/>
      <w:pPr>
        <w:ind w:left="5760" w:hanging="360"/>
      </w:pPr>
      <w:rPr>
        <w:rFonts w:ascii="Courier New" w:hAnsi="Courier New" w:cs="Courier New" w:hint="default"/>
      </w:rPr>
    </w:lvl>
    <w:lvl w:ilvl="8" w:tplc="8FFE7E0E" w:tentative="1">
      <w:start w:val="1"/>
      <w:numFmt w:val="bullet"/>
      <w:lvlText w:val=""/>
      <w:lvlJc w:val="left"/>
      <w:pPr>
        <w:ind w:left="6480" w:hanging="360"/>
      </w:pPr>
      <w:rPr>
        <w:rFonts w:ascii="Wingdings" w:hAnsi="Wingdings" w:hint="default"/>
      </w:rPr>
    </w:lvl>
  </w:abstractNum>
  <w:abstractNum w:abstractNumId="14" w15:restartNumberingAfterBreak="0">
    <w:nsid w:val="2C08799D"/>
    <w:multiLevelType w:val="hybridMultilevel"/>
    <w:tmpl w:val="96E20200"/>
    <w:lvl w:ilvl="0" w:tplc="A6B4BD86">
      <w:start w:val="10"/>
      <w:numFmt w:val="bullet"/>
      <w:lvlText w:val=""/>
      <w:lvlJc w:val="left"/>
      <w:pPr>
        <w:ind w:left="720" w:hanging="360"/>
      </w:pPr>
      <w:rPr>
        <w:rFonts w:ascii="Symbol" w:eastAsiaTheme="minorHAnsi" w:hAnsi="Symbol" w:cstheme="minorBidi" w:hint="default"/>
      </w:rPr>
    </w:lvl>
    <w:lvl w:ilvl="1" w:tplc="3880E782" w:tentative="1">
      <w:start w:val="1"/>
      <w:numFmt w:val="bullet"/>
      <w:lvlText w:val="o"/>
      <w:lvlJc w:val="left"/>
      <w:pPr>
        <w:ind w:left="1440" w:hanging="360"/>
      </w:pPr>
      <w:rPr>
        <w:rFonts w:ascii="Courier New" w:hAnsi="Courier New" w:cs="Courier New" w:hint="default"/>
      </w:rPr>
    </w:lvl>
    <w:lvl w:ilvl="2" w:tplc="F5E88F8C" w:tentative="1">
      <w:start w:val="1"/>
      <w:numFmt w:val="bullet"/>
      <w:lvlText w:val=""/>
      <w:lvlJc w:val="left"/>
      <w:pPr>
        <w:ind w:left="2160" w:hanging="360"/>
      </w:pPr>
      <w:rPr>
        <w:rFonts w:ascii="Wingdings" w:hAnsi="Wingdings" w:hint="default"/>
      </w:rPr>
    </w:lvl>
    <w:lvl w:ilvl="3" w:tplc="7BA61CD0" w:tentative="1">
      <w:start w:val="1"/>
      <w:numFmt w:val="bullet"/>
      <w:lvlText w:val=""/>
      <w:lvlJc w:val="left"/>
      <w:pPr>
        <w:ind w:left="2880" w:hanging="360"/>
      </w:pPr>
      <w:rPr>
        <w:rFonts w:ascii="Symbol" w:hAnsi="Symbol" w:hint="default"/>
      </w:rPr>
    </w:lvl>
    <w:lvl w:ilvl="4" w:tplc="B9C8C83C" w:tentative="1">
      <w:start w:val="1"/>
      <w:numFmt w:val="bullet"/>
      <w:lvlText w:val="o"/>
      <w:lvlJc w:val="left"/>
      <w:pPr>
        <w:ind w:left="3600" w:hanging="360"/>
      </w:pPr>
      <w:rPr>
        <w:rFonts w:ascii="Courier New" w:hAnsi="Courier New" w:cs="Courier New" w:hint="default"/>
      </w:rPr>
    </w:lvl>
    <w:lvl w:ilvl="5" w:tplc="217AC038" w:tentative="1">
      <w:start w:val="1"/>
      <w:numFmt w:val="bullet"/>
      <w:lvlText w:val=""/>
      <w:lvlJc w:val="left"/>
      <w:pPr>
        <w:ind w:left="4320" w:hanging="360"/>
      </w:pPr>
      <w:rPr>
        <w:rFonts w:ascii="Wingdings" w:hAnsi="Wingdings" w:hint="default"/>
      </w:rPr>
    </w:lvl>
    <w:lvl w:ilvl="6" w:tplc="C214EC1A" w:tentative="1">
      <w:start w:val="1"/>
      <w:numFmt w:val="bullet"/>
      <w:lvlText w:val=""/>
      <w:lvlJc w:val="left"/>
      <w:pPr>
        <w:ind w:left="5040" w:hanging="360"/>
      </w:pPr>
      <w:rPr>
        <w:rFonts w:ascii="Symbol" w:hAnsi="Symbol" w:hint="default"/>
      </w:rPr>
    </w:lvl>
    <w:lvl w:ilvl="7" w:tplc="578E7654" w:tentative="1">
      <w:start w:val="1"/>
      <w:numFmt w:val="bullet"/>
      <w:lvlText w:val="o"/>
      <w:lvlJc w:val="left"/>
      <w:pPr>
        <w:ind w:left="5760" w:hanging="360"/>
      </w:pPr>
      <w:rPr>
        <w:rFonts w:ascii="Courier New" w:hAnsi="Courier New" w:cs="Courier New" w:hint="default"/>
      </w:rPr>
    </w:lvl>
    <w:lvl w:ilvl="8" w:tplc="D69A48C2" w:tentative="1">
      <w:start w:val="1"/>
      <w:numFmt w:val="bullet"/>
      <w:lvlText w:val=""/>
      <w:lvlJc w:val="left"/>
      <w:pPr>
        <w:ind w:left="6480" w:hanging="360"/>
      </w:pPr>
      <w:rPr>
        <w:rFonts w:ascii="Wingdings" w:hAnsi="Wingdings" w:hint="default"/>
      </w:rPr>
    </w:lvl>
  </w:abstractNum>
  <w:abstractNum w:abstractNumId="15" w15:restartNumberingAfterBreak="0">
    <w:nsid w:val="51C95FF1"/>
    <w:multiLevelType w:val="hybridMultilevel"/>
    <w:tmpl w:val="5E9C09B4"/>
    <w:lvl w:ilvl="0" w:tplc="3FDE853C">
      <w:start w:val="2"/>
      <w:numFmt w:val="bullet"/>
      <w:lvlText w:val="-"/>
      <w:lvlJc w:val="left"/>
      <w:pPr>
        <w:ind w:left="720" w:hanging="360"/>
      </w:pPr>
      <w:rPr>
        <w:rFonts w:ascii="Calibri" w:eastAsiaTheme="minorHAnsi" w:hAnsi="Calibri" w:cs="Calibri" w:hint="default"/>
      </w:rPr>
    </w:lvl>
    <w:lvl w:ilvl="1" w:tplc="BC7C5510" w:tentative="1">
      <w:start w:val="1"/>
      <w:numFmt w:val="bullet"/>
      <w:lvlText w:val="o"/>
      <w:lvlJc w:val="left"/>
      <w:pPr>
        <w:ind w:left="1440" w:hanging="360"/>
      </w:pPr>
      <w:rPr>
        <w:rFonts w:ascii="Courier New" w:hAnsi="Courier New" w:cs="Courier New" w:hint="default"/>
      </w:rPr>
    </w:lvl>
    <w:lvl w:ilvl="2" w:tplc="A44A5AE4" w:tentative="1">
      <w:start w:val="1"/>
      <w:numFmt w:val="bullet"/>
      <w:lvlText w:val=""/>
      <w:lvlJc w:val="left"/>
      <w:pPr>
        <w:ind w:left="2160" w:hanging="360"/>
      </w:pPr>
      <w:rPr>
        <w:rFonts w:ascii="Wingdings" w:hAnsi="Wingdings" w:hint="default"/>
      </w:rPr>
    </w:lvl>
    <w:lvl w:ilvl="3" w:tplc="7ACEB15C" w:tentative="1">
      <w:start w:val="1"/>
      <w:numFmt w:val="bullet"/>
      <w:lvlText w:val=""/>
      <w:lvlJc w:val="left"/>
      <w:pPr>
        <w:ind w:left="2880" w:hanging="360"/>
      </w:pPr>
      <w:rPr>
        <w:rFonts w:ascii="Symbol" w:hAnsi="Symbol" w:hint="default"/>
      </w:rPr>
    </w:lvl>
    <w:lvl w:ilvl="4" w:tplc="B476AE1A" w:tentative="1">
      <w:start w:val="1"/>
      <w:numFmt w:val="bullet"/>
      <w:lvlText w:val="o"/>
      <w:lvlJc w:val="left"/>
      <w:pPr>
        <w:ind w:left="3600" w:hanging="360"/>
      </w:pPr>
      <w:rPr>
        <w:rFonts w:ascii="Courier New" w:hAnsi="Courier New" w:cs="Courier New" w:hint="default"/>
      </w:rPr>
    </w:lvl>
    <w:lvl w:ilvl="5" w:tplc="86F276D0" w:tentative="1">
      <w:start w:val="1"/>
      <w:numFmt w:val="bullet"/>
      <w:lvlText w:val=""/>
      <w:lvlJc w:val="left"/>
      <w:pPr>
        <w:ind w:left="4320" w:hanging="360"/>
      </w:pPr>
      <w:rPr>
        <w:rFonts w:ascii="Wingdings" w:hAnsi="Wingdings" w:hint="default"/>
      </w:rPr>
    </w:lvl>
    <w:lvl w:ilvl="6" w:tplc="AC000B3E" w:tentative="1">
      <w:start w:val="1"/>
      <w:numFmt w:val="bullet"/>
      <w:lvlText w:val=""/>
      <w:lvlJc w:val="left"/>
      <w:pPr>
        <w:ind w:left="5040" w:hanging="360"/>
      </w:pPr>
      <w:rPr>
        <w:rFonts w:ascii="Symbol" w:hAnsi="Symbol" w:hint="default"/>
      </w:rPr>
    </w:lvl>
    <w:lvl w:ilvl="7" w:tplc="B7AA6DA6" w:tentative="1">
      <w:start w:val="1"/>
      <w:numFmt w:val="bullet"/>
      <w:lvlText w:val="o"/>
      <w:lvlJc w:val="left"/>
      <w:pPr>
        <w:ind w:left="5760" w:hanging="360"/>
      </w:pPr>
      <w:rPr>
        <w:rFonts w:ascii="Courier New" w:hAnsi="Courier New" w:cs="Courier New" w:hint="default"/>
      </w:rPr>
    </w:lvl>
    <w:lvl w:ilvl="8" w:tplc="EC761A36" w:tentative="1">
      <w:start w:val="1"/>
      <w:numFmt w:val="bullet"/>
      <w:lvlText w:val=""/>
      <w:lvlJc w:val="left"/>
      <w:pPr>
        <w:ind w:left="6480" w:hanging="360"/>
      </w:pPr>
      <w:rPr>
        <w:rFonts w:ascii="Wingdings" w:hAnsi="Wingdings" w:hint="default"/>
      </w:rPr>
    </w:lvl>
  </w:abstractNum>
  <w:abstractNum w:abstractNumId="16" w15:restartNumberingAfterBreak="0">
    <w:nsid w:val="54E75703"/>
    <w:multiLevelType w:val="multilevel"/>
    <w:tmpl w:val="D2B64268"/>
    <w:name w:val="Para Num"/>
    <w:lvl w:ilvl="0">
      <w:start w:val="1"/>
      <w:numFmt w:val="decimal"/>
      <w:pStyle w:val="ParaNum1"/>
      <w:lvlText w:val="%1."/>
      <w:lvlJc w:val="left"/>
      <w:pPr>
        <w:tabs>
          <w:tab w:val="num" w:pos="0"/>
        </w:tabs>
        <w:ind w:left="0" w:firstLine="0"/>
      </w:pPr>
      <w:rPr>
        <w:b w:val="0"/>
        <w:i w:val="0"/>
        <w:caps w:val="0"/>
        <w:strike w:val="0"/>
        <w:dstrike w:val="0"/>
        <w:color w:val="auto"/>
        <w:u w:val="none"/>
        <w:effect w:val="none"/>
      </w:rPr>
    </w:lvl>
    <w:lvl w:ilvl="1">
      <w:start w:val="1"/>
      <w:numFmt w:val="lowerLetter"/>
      <w:pStyle w:val="ParaNum2"/>
      <w:lvlText w:val="(%2)"/>
      <w:lvlJc w:val="left"/>
      <w:pPr>
        <w:tabs>
          <w:tab w:val="num" w:pos="0"/>
        </w:tabs>
        <w:ind w:left="1440" w:hanging="720"/>
      </w:pPr>
      <w:rPr>
        <w:b w:val="0"/>
        <w:i w:val="0"/>
        <w:caps w:val="0"/>
        <w:strike w:val="0"/>
        <w:dstrike w:val="0"/>
        <w:color w:val="auto"/>
        <w:u w:val="none"/>
        <w:effect w:val="none"/>
      </w:rPr>
    </w:lvl>
    <w:lvl w:ilvl="2">
      <w:start w:val="1"/>
      <w:numFmt w:val="lowerRoman"/>
      <w:pStyle w:val="ParaNum3"/>
      <w:lvlText w:val="(%3)"/>
      <w:lvlJc w:val="left"/>
      <w:pPr>
        <w:tabs>
          <w:tab w:val="num" w:pos="0"/>
        </w:tabs>
        <w:ind w:left="2160" w:hanging="720"/>
      </w:pPr>
      <w:rPr>
        <w:rFonts w:ascii="Times New Roman" w:hAnsi="Times New Roman" w:cs="Times New Roman" w:hint="default"/>
        <w:b w:val="0"/>
        <w:i w:val="0"/>
        <w:caps w:val="0"/>
        <w:strike w:val="0"/>
        <w:dstrike w:val="0"/>
        <w:color w:val="auto"/>
        <w:u w:val="none"/>
        <w:effect w:val="none"/>
      </w:rPr>
    </w:lvl>
    <w:lvl w:ilvl="3">
      <w:start w:val="1"/>
      <w:numFmt w:val="lowerLetter"/>
      <w:pStyle w:val="ParaNum4"/>
      <w:lvlText w:val="%4)"/>
      <w:lvlJc w:val="left"/>
      <w:pPr>
        <w:tabs>
          <w:tab w:val="num" w:pos="0"/>
        </w:tabs>
        <w:ind w:left="2880" w:hanging="720"/>
      </w:pPr>
      <w:rPr>
        <w:b w:val="0"/>
        <w:i w:val="0"/>
        <w:caps w:val="0"/>
        <w:strike w:val="0"/>
        <w:dstrike w:val="0"/>
        <w:color w:val="auto"/>
        <w:u w:val="none"/>
        <w:effect w:val="none"/>
      </w:rPr>
    </w:lvl>
    <w:lvl w:ilvl="4">
      <w:start w:val="1"/>
      <w:numFmt w:val="none"/>
      <w:pStyle w:val="ParaNum5"/>
      <w:suff w:val="nothing"/>
      <w:lvlText w:val="%5"/>
      <w:lvlJc w:val="left"/>
      <w:pPr>
        <w:tabs>
          <w:tab w:val="num" w:pos="0"/>
        </w:tabs>
        <w:ind w:left="0" w:firstLine="0"/>
      </w:pPr>
      <w:rPr>
        <w:b w:val="0"/>
        <w:i w:val="0"/>
        <w:caps w:val="0"/>
        <w:strike w:val="0"/>
        <w:dstrike w:val="0"/>
        <w:color w:val="010000"/>
        <w:u w:val="none"/>
        <w:effect w:val="none"/>
      </w:rPr>
    </w:lvl>
    <w:lvl w:ilvl="5">
      <w:start w:val="1"/>
      <w:numFmt w:val="none"/>
      <w:pStyle w:val="ParaNum6"/>
      <w:suff w:val="nothing"/>
      <w:lvlText w:val="%6"/>
      <w:lvlJc w:val="left"/>
      <w:pPr>
        <w:tabs>
          <w:tab w:val="num" w:pos="0"/>
        </w:tabs>
        <w:ind w:left="0" w:firstLine="0"/>
      </w:pPr>
      <w:rPr>
        <w:b w:val="0"/>
        <w:i w:val="0"/>
        <w:caps w:val="0"/>
        <w:strike w:val="0"/>
        <w:dstrike w:val="0"/>
        <w:color w:val="010000"/>
        <w:u w:val="none"/>
        <w:effect w:val="none"/>
      </w:rPr>
    </w:lvl>
    <w:lvl w:ilvl="6">
      <w:start w:val="1"/>
      <w:numFmt w:val="none"/>
      <w:pStyle w:val="ParaNum7"/>
      <w:suff w:val="nothing"/>
      <w:lvlText w:val="%7"/>
      <w:lvlJc w:val="left"/>
      <w:pPr>
        <w:tabs>
          <w:tab w:val="num" w:pos="0"/>
        </w:tabs>
        <w:ind w:left="0" w:firstLine="0"/>
      </w:pPr>
      <w:rPr>
        <w:b w:val="0"/>
        <w:i w:val="0"/>
        <w:caps w:val="0"/>
        <w:strike w:val="0"/>
        <w:dstrike w:val="0"/>
        <w:color w:val="010000"/>
        <w:u w:val="none"/>
        <w:effect w:val="none"/>
      </w:rPr>
    </w:lvl>
    <w:lvl w:ilvl="7">
      <w:start w:val="1"/>
      <w:numFmt w:val="none"/>
      <w:pStyle w:val="ParaNum8"/>
      <w:suff w:val="nothing"/>
      <w:lvlText w:val="%8"/>
      <w:lvlJc w:val="left"/>
      <w:pPr>
        <w:tabs>
          <w:tab w:val="num" w:pos="0"/>
        </w:tabs>
        <w:ind w:left="0" w:firstLine="0"/>
      </w:pPr>
      <w:rPr>
        <w:b w:val="0"/>
        <w:i w:val="0"/>
        <w:caps w:val="0"/>
        <w:strike w:val="0"/>
        <w:dstrike w:val="0"/>
        <w:color w:val="010000"/>
        <w:u w:val="none"/>
        <w:effect w:val="none"/>
      </w:rPr>
    </w:lvl>
    <w:lvl w:ilvl="8">
      <w:start w:val="1"/>
      <w:numFmt w:val="none"/>
      <w:pStyle w:val="ParaNum9"/>
      <w:suff w:val="nothing"/>
      <w:lvlText w:val="%9"/>
      <w:lvlJc w:val="left"/>
      <w:pPr>
        <w:tabs>
          <w:tab w:val="num" w:pos="0"/>
        </w:tabs>
        <w:ind w:left="0" w:firstLine="0"/>
      </w:pPr>
      <w:rPr>
        <w:b w:val="0"/>
        <w:i w:val="0"/>
        <w:caps w:val="0"/>
        <w:strike w:val="0"/>
        <w:dstrike w:val="0"/>
        <w:color w:val="010000"/>
        <w:u w:val="none"/>
        <w:effect w:val="none"/>
      </w:rPr>
    </w:lvl>
  </w:abstractNum>
  <w:abstractNum w:abstractNumId="17"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8" w15:restartNumberingAfterBreak="0">
    <w:nsid w:val="5BEA799F"/>
    <w:multiLevelType w:val="multilevel"/>
    <w:tmpl w:val="59103B70"/>
    <w:lvl w:ilvl="0">
      <w:start w:val="1"/>
      <w:numFmt w:val="decimal"/>
      <w:pStyle w:val="AdviceNumLevel1"/>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5CCE1DB1"/>
    <w:multiLevelType w:val="hybridMultilevel"/>
    <w:tmpl w:val="3E8E3E48"/>
    <w:lvl w:ilvl="0" w:tplc="4D1A7636">
      <w:start w:val="1"/>
      <w:numFmt w:val="lowerRoman"/>
      <w:pStyle w:val="ELPBodytext"/>
      <w:lvlText w:val="(%1)"/>
      <w:lvlJc w:val="left"/>
      <w:pPr>
        <w:ind w:left="1080" w:hanging="720"/>
      </w:pPr>
      <w:rPr>
        <w:rFonts w:hint="default"/>
      </w:rPr>
    </w:lvl>
    <w:lvl w:ilvl="1" w:tplc="6332FD86" w:tentative="1">
      <w:start w:val="1"/>
      <w:numFmt w:val="lowerLetter"/>
      <w:lvlText w:val="%2."/>
      <w:lvlJc w:val="left"/>
      <w:pPr>
        <w:ind w:left="1440" w:hanging="360"/>
      </w:pPr>
    </w:lvl>
    <w:lvl w:ilvl="2" w:tplc="CAE08FD4" w:tentative="1">
      <w:start w:val="1"/>
      <w:numFmt w:val="lowerRoman"/>
      <w:lvlText w:val="%3."/>
      <w:lvlJc w:val="right"/>
      <w:pPr>
        <w:ind w:left="2160" w:hanging="180"/>
      </w:pPr>
    </w:lvl>
    <w:lvl w:ilvl="3" w:tplc="2C5AE45A" w:tentative="1">
      <w:start w:val="1"/>
      <w:numFmt w:val="decimal"/>
      <w:lvlText w:val="%4."/>
      <w:lvlJc w:val="left"/>
      <w:pPr>
        <w:ind w:left="2880" w:hanging="360"/>
      </w:pPr>
    </w:lvl>
    <w:lvl w:ilvl="4" w:tplc="FA3211CE" w:tentative="1">
      <w:start w:val="1"/>
      <w:numFmt w:val="lowerLetter"/>
      <w:lvlText w:val="%5."/>
      <w:lvlJc w:val="left"/>
      <w:pPr>
        <w:ind w:left="3600" w:hanging="360"/>
      </w:pPr>
    </w:lvl>
    <w:lvl w:ilvl="5" w:tplc="88B6325E" w:tentative="1">
      <w:start w:val="1"/>
      <w:numFmt w:val="lowerRoman"/>
      <w:lvlText w:val="%6."/>
      <w:lvlJc w:val="right"/>
      <w:pPr>
        <w:ind w:left="4320" w:hanging="180"/>
      </w:pPr>
    </w:lvl>
    <w:lvl w:ilvl="6" w:tplc="A17692A6" w:tentative="1">
      <w:start w:val="1"/>
      <w:numFmt w:val="decimal"/>
      <w:lvlText w:val="%7."/>
      <w:lvlJc w:val="left"/>
      <w:pPr>
        <w:ind w:left="5040" w:hanging="360"/>
      </w:pPr>
    </w:lvl>
    <w:lvl w:ilvl="7" w:tplc="83302BB6" w:tentative="1">
      <w:start w:val="1"/>
      <w:numFmt w:val="lowerLetter"/>
      <w:lvlText w:val="%8."/>
      <w:lvlJc w:val="left"/>
      <w:pPr>
        <w:ind w:left="5760" w:hanging="360"/>
      </w:pPr>
    </w:lvl>
    <w:lvl w:ilvl="8" w:tplc="7084DD2A" w:tentative="1">
      <w:start w:val="1"/>
      <w:numFmt w:val="lowerRoman"/>
      <w:lvlText w:val="%9."/>
      <w:lvlJc w:val="right"/>
      <w:pPr>
        <w:ind w:left="6480" w:hanging="180"/>
      </w:pPr>
    </w:lvl>
  </w:abstractNum>
  <w:abstractNum w:abstractNumId="20" w15:restartNumberingAfterBreak="0">
    <w:nsid w:val="626218E0"/>
    <w:multiLevelType w:val="hybridMultilevel"/>
    <w:tmpl w:val="9F46E98E"/>
    <w:lvl w:ilvl="0" w:tplc="0CA21010">
      <w:start w:val="1"/>
      <w:numFmt w:val="decimal"/>
      <w:lvlText w:val="%1."/>
      <w:lvlJc w:val="left"/>
      <w:pPr>
        <w:ind w:left="360" w:hanging="360"/>
      </w:pPr>
      <w:rPr>
        <w:rFonts w:ascii="Times New Roman" w:eastAsia="Times New Roman" w:hAnsi="Times New Roman" w:cs="Times New Roman"/>
      </w:rPr>
    </w:lvl>
    <w:lvl w:ilvl="1" w:tplc="804085B0">
      <w:start w:val="1"/>
      <w:numFmt w:val="bullet"/>
      <w:lvlText w:val="o"/>
      <w:lvlJc w:val="left"/>
      <w:pPr>
        <w:ind w:left="1080" w:hanging="360"/>
      </w:pPr>
      <w:rPr>
        <w:rFonts w:ascii="Courier New" w:hAnsi="Courier New" w:cs="Courier New" w:hint="default"/>
      </w:rPr>
    </w:lvl>
    <w:lvl w:ilvl="2" w:tplc="30488844" w:tentative="1">
      <w:start w:val="1"/>
      <w:numFmt w:val="bullet"/>
      <w:lvlText w:val=""/>
      <w:lvlJc w:val="left"/>
      <w:pPr>
        <w:ind w:left="1800" w:hanging="360"/>
      </w:pPr>
      <w:rPr>
        <w:rFonts w:ascii="Wingdings" w:hAnsi="Wingdings" w:hint="default"/>
      </w:rPr>
    </w:lvl>
    <w:lvl w:ilvl="3" w:tplc="1AE29312" w:tentative="1">
      <w:start w:val="1"/>
      <w:numFmt w:val="bullet"/>
      <w:lvlText w:val=""/>
      <w:lvlJc w:val="left"/>
      <w:pPr>
        <w:ind w:left="2520" w:hanging="360"/>
      </w:pPr>
      <w:rPr>
        <w:rFonts w:ascii="Symbol" w:hAnsi="Symbol" w:hint="default"/>
      </w:rPr>
    </w:lvl>
    <w:lvl w:ilvl="4" w:tplc="BF5499F2" w:tentative="1">
      <w:start w:val="1"/>
      <w:numFmt w:val="bullet"/>
      <w:lvlText w:val="o"/>
      <w:lvlJc w:val="left"/>
      <w:pPr>
        <w:ind w:left="3240" w:hanging="360"/>
      </w:pPr>
      <w:rPr>
        <w:rFonts w:ascii="Courier New" w:hAnsi="Courier New" w:cs="Courier New" w:hint="default"/>
      </w:rPr>
    </w:lvl>
    <w:lvl w:ilvl="5" w:tplc="5D06238E" w:tentative="1">
      <w:start w:val="1"/>
      <w:numFmt w:val="bullet"/>
      <w:lvlText w:val=""/>
      <w:lvlJc w:val="left"/>
      <w:pPr>
        <w:ind w:left="3960" w:hanging="360"/>
      </w:pPr>
      <w:rPr>
        <w:rFonts w:ascii="Wingdings" w:hAnsi="Wingdings" w:hint="default"/>
      </w:rPr>
    </w:lvl>
    <w:lvl w:ilvl="6" w:tplc="5CDCFDC8" w:tentative="1">
      <w:start w:val="1"/>
      <w:numFmt w:val="bullet"/>
      <w:lvlText w:val=""/>
      <w:lvlJc w:val="left"/>
      <w:pPr>
        <w:ind w:left="4680" w:hanging="360"/>
      </w:pPr>
      <w:rPr>
        <w:rFonts w:ascii="Symbol" w:hAnsi="Symbol" w:hint="default"/>
      </w:rPr>
    </w:lvl>
    <w:lvl w:ilvl="7" w:tplc="8522F910" w:tentative="1">
      <w:start w:val="1"/>
      <w:numFmt w:val="bullet"/>
      <w:lvlText w:val="o"/>
      <w:lvlJc w:val="left"/>
      <w:pPr>
        <w:ind w:left="5400" w:hanging="360"/>
      </w:pPr>
      <w:rPr>
        <w:rFonts w:ascii="Courier New" w:hAnsi="Courier New" w:cs="Courier New" w:hint="default"/>
      </w:rPr>
    </w:lvl>
    <w:lvl w:ilvl="8" w:tplc="86DE6598" w:tentative="1">
      <w:start w:val="1"/>
      <w:numFmt w:val="bullet"/>
      <w:lvlText w:val=""/>
      <w:lvlJc w:val="left"/>
      <w:pPr>
        <w:ind w:left="6120" w:hanging="360"/>
      </w:pPr>
      <w:rPr>
        <w:rFonts w:ascii="Wingdings" w:hAnsi="Wingdings" w:hint="default"/>
      </w:rPr>
    </w:lvl>
  </w:abstractNum>
  <w:abstractNum w:abstractNumId="21" w15:restartNumberingAfterBreak="0">
    <w:nsid w:val="67CE0D86"/>
    <w:multiLevelType w:val="hybridMultilevel"/>
    <w:tmpl w:val="48F8E010"/>
    <w:lvl w:ilvl="0" w:tplc="1C66DEB0">
      <w:start w:val="1"/>
      <w:numFmt w:val="decimal"/>
      <w:pStyle w:val="TCTableCaption"/>
      <w:lvlText w:val="Table %1"/>
      <w:lvlJc w:val="left"/>
      <w:pPr>
        <w:tabs>
          <w:tab w:val="num" w:pos="1134"/>
        </w:tabs>
        <w:ind w:left="1134" w:hanging="1134"/>
      </w:pPr>
      <w:rPr>
        <w:rFonts w:hint="default"/>
      </w:rPr>
    </w:lvl>
    <w:lvl w:ilvl="1" w:tplc="9DC88464" w:tentative="1">
      <w:start w:val="1"/>
      <w:numFmt w:val="lowerLetter"/>
      <w:lvlText w:val="%2."/>
      <w:lvlJc w:val="left"/>
      <w:pPr>
        <w:ind w:left="1440" w:hanging="360"/>
      </w:pPr>
    </w:lvl>
    <w:lvl w:ilvl="2" w:tplc="669A9BA4" w:tentative="1">
      <w:start w:val="1"/>
      <w:numFmt w:val="lowerRoman"/>
      <w:lvlText w:val="%3."/>
      <w:lvlJc w:val="right"/>
      <w:pPr>
        <w:ind w:left="2160" w:hanging="180"/>
      </w:pPr>
    </w:lvl>
    <w:lvl w:ilvl="3" w:tplc="8372145A" w:tentative="1">
      <w:start w:val="1"/>
      <w:numFmt w:val="decimal"/>
      <w:lvlText w:val="%4."/>
      <w:lvlJc w:val="left"/>
      <w:pPr>
        <w:ind w:left="2880" w:hanging="360"/>
      </w:pPr>
    </w:lvl>
    <w:lvl w:ilvl="4" w:tplc="169EF66E" w:tentative="1">
      <w:start w:val="1"/>
      <w:numFmt w:val="lowerLetter"/>
      <w:lvlText w:val="%5."/>
      <w:lvlJc w:val="left"/>
      <w:pPr>
        <w:ind w:left="3600" w:hanging="360"/>
      </w:pPr>
    </w:lvl>
    <w:lvl w:ilvl="5" w:tplc="72E06710" w:tentative="1">
      <w:start w:val="1"/>
      <w:numFmt w:val="lowerRoman"/>
      <w:lvlText w:val="%6."/>
      <w:lvlJc w:val="right"/>
      <w:pPr>
        <w:ind w:left="4320" w:hanging="180"/>
      </w:pPr>
    </w:lvl>
    <w:lvl w:ilvl="6" w:tplc="4B7894A8" w:tentative="1">
      <w:start w:val="1"/>
      <w:numFmt w:val="decimal"/>
      <w:lvlText w:val="%7."/>
      <w:lvlJc w:val="left"/>
      <w:pPr>
        <w:ind w:left="5040" w:hanging="360"/>
      </w:pPr>
    </w:lvl>
    <w:lvl w:ilvl="7" w:tplc="6608D268" w:tentative="1">
      <w:start w:val="1"/>
      <w:numFmt w:val="lowerLetter"/>
      <w:lvlText w:val="%8."/>
      <w:lvlJc w:val="left"/>
      <w:pPr>
        <w:ind w:left="5760" w:hanging="360"/>
      </w:pPr>
    </w:lvl>
    <w:lvl w:ilvl="8" w:tplc="5E4291D0" w:tentative="1">
      <w:start w:val="1"/>
      <w:numFmt w:val="lowerRoman"/>
      <w:lvlText w:val="%9."/>
      <w:lvlJc w:val="right"/>
      <w:pPr>
        <w:ind w:left="6480" w:hanging="180"/>
      </w:pPr>
    </w:lvl>
  </w:abstractNum>
  <w:abstractNum w:abstractNumId="22" w15:restartNumberingAfterBreak="0">
    <w:nsid w:val="69DD7F73"/>
    <w:multiLevelType w:val="hybridMultilevel"/>
    <w:tmpl w:val="4EE03E54"/>
    <w:lvl w:ilvl="0" w:tplc="81FC1652">
      <w:start w:val="9"/>
      <w:numFmt w:val="bullet"/>
      <w:lvlText w:val="-"/>
      <w:lvlJc w:val="left"/>
      <w:pPr>
        <w:ind w:left="720" w:hanging="360"/>
      </w:pPr>
      <w:rPr>
        <w:rFonts w:ascii="Calibri" w:eastAsiaTheme="minorHAnsi" w:hAnsi="Calibri" w:cs="Calibri" w:hint="default"/>
      </w:rPr>
    </w:lvl>
    <w:lvl w:ilvl="1" w:tplc="A8463240" w:tentative="1">
      <w:start w:val="1"/>
      <w:numFmt w:val="bullet"/>
      <w:lvlText w:val="o"/>
      <w:lvlJc w:val="left"/>
      <w:pPr>
        <w:ind w:left="1440" w:hanging="360"/>
      </w:pPr>
      <w:rPr>
        <w:rFonts w:ascii="Courier New" w:hAnsi="Courier New" w:cs="Courier New" w:hint="default"/>
      </w:rPr>
    </w:lvl>
    <w:lvl w:ilvl="2" w:tplc="3428408A" w:tentative="1">
      <w:start w:val="1"/>
      <w:numFmt w:val="bullet"/>
      <w:lvlText w:val=""/>
      <w:lvlJc w:val="left"/>
      <w:pPr>
        <w:ind w:left="2160" w:hanging="360"/>
      </w:pPr>
      <w:rPr>
        <w:rFonts w:ascii="Wingdings" w:hAnsi="Wingdings" w:hint="default"/>
      </w:rPr>
    </w:lvl>
    <w:lvl w:ilvl="3" w:tplc="4458541A" w:tentative="1">
      <w:start w:val="1"/>
      <w:numFmt w:val="bullet"/>
      <w:lvlText w:val=""/>
      <w:lvlJc w:val="left"/>
      <w:pPr>
        <w:ind w:left="2880" w:hanging="360"/>
      </w:pPr>
      <w:rPr>
        <w:rFonts w:ascii="Symbol" w:hAnsi="Symbol" w:hint="default"/>
      </w:rPr>
    </w:lvl>
    <w:lvl w:ilvl="4" w:tplc="B9C096E4" w:tentative="1">
      <w:start w:val="1"/>
      <w:numFmt w:val="bullet"/>
      <w:lvlText w:val="o"/>
      <w:lvlJc w:val="left"/>
      <w:pPr>
        <w:ind w:left="3600" w:hanging="360"/>
      </w:pPr>
      <w:rPr>
        <w:rFonts w:ascii="Courier New" w:hAnsi="Courier New" w:cs="Courier New" w:hint="default"/>
      </w:rPr>
    </w:lvl>
    <w:lvl w:ilvl="5" w:tplc="2820AF6C" w:tentative="1">
      <w:start w:val="1"/>
      <w:numFmt w:val="bullet"/>
      <w:lvlText w:val=""/>
      <w:lvlJc w:val="left"/>
      <w:pPr>
        <w:ind w:left="4320" w:hanging="360"/>
      </w:pPr>
      <w:rPr>
        <w:rFonts w:ascii="Wingdings" w:hAnsi="Wingdings" w:hint="default"/>
      </w:rPr>
    </w:lvl>
    <w:lvl w:ilvl="6" w:tplc="5B460C2A" w:tentative="1">
      <w:start w:val="1"/>
      <w:numFmt w:val="bullet"/>
      <w:lvlText w:val=""/>
      <w:lvlJc w:val="left"/>
      <w:pPr>
        <w:ind w:left="5040" w:hanging="360"/>
      </w:pPr>
      <w:rPr>
        <w:rFonts w:ascii="Symbol" w:hAnsi="Symbol" w:hint="default"/>
      </w:rPr>
    </w:lvl>
    <w:lvl w:ilvl="7" w:tplc="E33E5592" w:tentative="1">
      <w:start w:val="1"/>
      <w:numFmt w:val="bullet"/>
      <w:lvlText w:val="o"/>
      <w:lvlJc w:val="left"/>
      <w:pPr>
        <w:ind w:left="5760" w:hanging="360"/>
      </w:pPr>
      <w:rPr>
        <w:rFonts w:ascii="Courier New" w:hAnsi="Courier New" w:cs="Courier New" w:hint="default"/>
      </w:rPr>
    </w:lvl>
    <w:lvl w:ilvl="8" w:tplc="2DD80576" w:tentative="1">
      <w:start w:val="1"/>
      <w:numFmt w:val="bullet"/>
      <w:lvlText w:val=""/>
      <w:lvlJc w:val="left"/>
      <w:pPr>
        <w:ind w:left="6480" w:hanging="360"/>
      </w:pPr>
      <w:rPr>
        <w:rFonts w:ascii="Wingdings" w:hAnsi="Wingdings" w:hint="default"/>
      </w:rPr>
    </w:lvl>
  </w:abstractNum>
  <w:abstractNum w:abstractNumId="23" w15:restartNumberingAfterBreak="0">
    <w:nsid w:val="6F183482"/>
    <w:multiLevelType w:val="hybridMultilevel"/>
    <w:tmpl w:val="0486DE48"/>
    <w:lvl w:ilvl="0" w:tplc="43F6A32E">
      <w:start w:val="1"/>
      <w:numFmt w:val="decimal"/>
      <w:lvlText w:val="%1."/>
      <w:lvlJc w:val="left"/>
      <w:pPr>
        <w:ind w:left="720" w:hanging="360"/>
      </w:pPr>
      <w:rPr>
        <w:rFonts w:hint="default"/>
      </w:rPr>
    </w:lvl>
    <w:lvl w:ilvl="1" w:tplc="8F0AF454" w:tentative="1">
      <w:start w:val="1"/>
      <w:numFmt w:val="lowerLetter"/>
      <w:lvlText w:val="%2."/>
      <w:lvlJc w:val="left"/>
      <w:pPr>
        <w:ind w:left="1440" w:hanging="360"/>
      </w:pPr>
    </w:lvl>
    <w:lvl w:ilvl="2" w:tplc="F01C0C6E" w:tentative="1">
      <w:start w:val="1"/>
      <w:numFmt w:val="lowerRoman"/>
      <w:lvlText w:val="%3."/>
      <w:lvlJc w:val="right"/>
      <w:pPr>
        <w:ind w:left="2160" w:hanging="180"/>
      </w:pPr>
    </w:lvl>
    <w:lvl w:ilvl="3" w:tplc="3CB2D27E" w:tentative="1">
      <w:start w:val="1"/>
      <w:numFmt w:val="decimal"/>
      <w:lvlText w:val="%4."/>
      <w:lvlJc w:val="left"/>
      <w:pPr>
        <w:ind w:left="2880" w:hanging="360"/>
      </w:pPr>
    </w:lvl>
    <w:lvl w:ilvl="4" w:tplc="A28C6F2E" w:tentative="1">
      <w:start w:val="1"/>
      <w:numFmt w:val="lowerLetter"/>
      <w:lvlText w:val="%5."/>
      <w:lvlJc w:val="left"/>
      <w:pPr>
        <w:ind w:left="3600" w:hanging="360"/>
      </w:pPr>
    </w:lvl>
    <w:lvl w:ilvl="5" w:tplc="ACA6DF9A" w:tentative="1">
      <w:start w:val="1"/>
      <w:numFmt w:val="lowerRoman"/>
      <w:lvlText w:val="%6."/>
      <w:lvlJc w:val="right"/>
      <w:pPr>
        <w:ind w:left="4320" w:hanging="180"/>
      </w:pPr>
    </w:lvl>
    <w:lvl w:ilvl="6" w:tplc="CF24548C" w:tentative="1">
      <w:start w:val="1"/>
      <w:numFmt w:val="decimal"/>
      <w:lvlText w:val="%7."/>
      <w:lvlJc w:val="left"/>
      <w:pPr>
        <w:ind w:left="5040" w:hanging="360"/>
      </w:pPr>
    </w:lvl>
    <w:lvl w:ilvl="7" w:tplc="06C64048" w:tentative="1">
      <w:start w:val="1"/>
      <w:numFmt w:val="lowerLetter"/>
      <w:lvlText w:val="%8."/>
      <w:lvlJc w:val="left"/>
      <w:pPr>
        <w:ind w:left="5760" w:hanging="360"/>
      </w:pPr>
    </w:lvl>
    <w:lvl w:ilvl="8" w:tplc="7C0E8320" w:tentative="1">
      <w:start w:val="1"/>
      <w:numFmt w:val="lowerRoman"/>
      <w:lvlText w:val="%9."/>
      <w:lvlJc w:val="right"/>
      <w:pPr>
        <w:ind w:left="6480" w:hanging="180"/>
      </w:pPr>
    </w:lvl>
  </w:abstractNum>
  <w:abstractNum w:abstractNumId="24" w15:restartNumberingAfterBreak="0">
    <w:nsid w:val="6F932389"/>
    <w:multiLevelType w:val="hybridMultilevel"/>
    <w:tmpl w:val="49A004AA"/>
    <w:lvl w:ilvl="0" w:tplc="8960C312">
      <w:start w:val="1"/>
      <w:numFmt w:val="decimal"/>
      <w:pStyle w:val="SubmissionText"/>
      <w:lvlText w:val="%1."/>
      <w:lvlJc w:val="left"/>
      <w:pPr>
        <w:tabs>
          <w:tab w:val="num" w:pos="720"/>
        </w:tabs>
        <w:ind w:left="0" w:firstLine="0"/>
      </w:pPr>
      <w:rPr>
        <w:rFonts w:hint="default"/>
        <w:b w:val="0"/>
        <w:i w:val="0"/>
        <w:sz w:val="20"/>
        <w:szCs w:val="24"/>
        <w:lang w:val="en-CA"/>
      </w:rPr>
    </w:lvl>
    <w:lvl w:ilvl="1" w:tplc="149E535E">
      <w:start w:val="1"/>
      <w:numFmt w:val="lowerRoman"/>
      <w:lvlText w:val="(%2)"/>
      <w:lvlJc w:val="left"/>
      <w:pPr>
        <w:tabs>
          <w:tab w:val="num" w:pos="1800"/>
        </w:tabs>
        <w:ind w:left="1800" w:hanging="720"/>
      </w:pPr>
      <w:rPr>
        <w:rFonts w:hint="default"/>
        <w:i w:val="0"/>
      </w:rPr>
    </w:lvl>
    <w:lvl w:ilvl="2" w:tplc="B4723096">
      <w:start w:val="1"/>
      <w:numFmt w:val="lowerRoman"/>
      <w:lvlText w:val="%3."/>
      <w:lvlJc w:val="right"/>
      <w:pPr>
        <w:tabs>
          <w:tab w:val="num" w:pos="2160"/>
        </w:tabs>
        <w:ind w:left="2160" w:hanging="180"/>
      </w:pPr>
    </w:lvl>
    <w:lvl w:ilvl="3" w:tplc="65E68F62">
      <w:start w:val="3"/>
      <w:numFmt w:val="lowerLetter"/>
      <w:lvlText w:val="%4)"/>
      <w:lvlJc w:val="left"/>
      <w:pPr>
        <w:tabs>
          <w:tab w:val="num" w:pos="2880"/>
        </w:tabs>
        <w:ind w:left="2880" w:hanging="360"/>
      </w:pPr>
      <w:rPr>
        <w:rFonts w:hint="default"/>
      </w:rPr>
    </w:lvl>
    <w:lvl w:ilvl="4" w:tplc="05C21EAE">
      <w:start w:val="1"/>
      <w:numFmt w:val="decimal"/>
      <w:lvlText w:val="%5)"/>
      <w:lvlJc w:val="left"/>
      <w:pPr>
        <w:tabs>
          <w:tab w:val="num" w:pos="3600"/>
        </w:tabs>
        <w:ind w:left="3600" w:hanging="360"/>
      </w:pPr>
      <w:rPr>
        <w:rFonts w:hint="default"/>
      </w:rPr>
    </w:lvl>
    <w:lvl w:ilvl="5" w:tplc="6D4C9D9C">
      <w:start w:val="10"/>
      <w:numFmt w:val="decimal"/>
      <w:lvlText w:val="%6"/>
      <w:lvlJc w:val="left"/>
      <w:pPr>
        <w:tabs>
          <w:tab w:val="num" w:pos="4500"/>
        </w:tabs>
        <w:ind w:left="4500" w:hanging="360"/>
      </w:pPr>
      <w:rPr>
        <w:rFonts w:hint="default"/>
      </w:rPr>
    </w:lvl>
    <w:lvl w:ilvl="6" w:tplc="F62805C2" w:tentative="1">
      <w:start w:val="1"/>
      <w:numFmt w:val="decimal"/>
      <w:lvlText w:val="%7."/>
      <w:lvlJc w:val="left"/>
      <w:pPr>
        <w:tabs>
          <w:tab w:val="num" w:pos="5040"/>
        </w:tabs>
        <w:ind w:left="5040" w:hanging="360"/>
      </w:pPr>
    </w:lvl>
    <w:lvl w:ilvl="7" w:tplc="3B8CE958" w:tentative="1">
      <w:start w:val="1"/>
      <w:numFmt w:val="lowerLetter"/>
      <w:lvlText w:val="%8."/>
      <w:lvlJc w:val="left"/>
      <w:pPr>
        <w:tabs>
          <w:tab w:val="num" w:pos="5760"/>
        </w:tabs>
        <w:ind w:left="5760" w:hanging="360"/>
      </w:pPr>
    </w:lvl>
    <w:lvl w:ilvl="8" w:tplc="97CAC0F8" w:tentative="1">
      <w:start w:val="1"/>
      <w:numFmt w:val="lowerRoman"/>
      <w:lvlText w:val="%9."/>
      <w:lvlJc w:val="right"/>
      <w:pPr>
        <w:tabs>
          <w:tab w:val="num" w:pos="6480"/>
        </w:tabs>
        <w:ind w:left="6480" w:hanging="180"/>
      </w:pPr>
    </w:lvl>
  </w:abstractNum>
  <w:abstractNum w:abstractNumId="25" w15:restartNumberingAfterBreak="0">
    <w:nsid w:val="7BB363D7"/>
    <w:multiLevelType w:val="hybridMultilevel"/>
    <w:tmpl w:val="E166BE02"/>
    <w:lvl w:ilvl="0" w:tplc="A6C0BDB2">
      <w:start w:val="1"/>
      <w:numFmt w:val="decimal"/>
      <w:pStyle w:val="Applesbodytext"/>
      <w:lvlText w:val="%1."/>
      <w:lvlJc w:val="left"/>
      <w:pPr>
        <w:tabs>
          <w:tab w:val="num" w:pos="1429"/>
        </w:tabs>
        <w:ind w:left="709" w:firstLine="0"/>
      </w:pPr>
      <w:rPr>
        <w:rFonts w:hint="default"/>
        <w:b w:val="0"/>
        <w:i w:val="0"/>
        <w:sz w:val="24"/>
      </w:rPr>
    </w:lvl>
    <w:lvl w:ilvl="1" w:tplc="EE94665C">
      <w:start w:val="1"/>
      <w:numFmt w:val="lowerRoman"/>
      <w:lvlText w:val="(%2)"/>
      <w:lvlJc w:val="left"/>
      <w:pPr>
        <w:tabs>
          <w:tab w:val="num" w:pos="1800"/>
        </w:tabs>
        <w:ind w:left="1800" w:hanging="720"/>
      </w:pPr>
      <w:rPr>
        <w:rFonts w:hint="default"/>
      </w:rPr>
    </w:lvl>
    <w:lvl w:ilvl="2" w:tplc="68B4567A">
      <w:start w:val="1"/>
      <w:numFmt w:val="lowerRoman"/>
      <w:lvlText w:val="%3."/>
      <w:lvlJc w:val="right"/>
      <w:pPr>
        <w:tabs>
          <w:tab w:val="num" w:pos="2160"/>
        </w:tabs>
        <w:ind w:left="2160" w:hanging="180"/>
      </w:pPr>
    </w:lvl>
    <w:lvl w:ilvl="3" w:tplc="137A8274" w:tentative="1">
      <w:start w:val="1"/>
      <w:numFmt w:val="decimal"/>
      <w:lvlText w:val="%4."/>
      <w:lvlJc w:val="left"/>
      <w:pPr>
        <w:tabs>
          <w:tab w:val="num" w:pos="2880"/>
        </w:tabs>
        <w:ind w:left="2880" w:hanging="360"/>
      </w:pPr>
    </w:lvl>
    <w:lvl w:ilvl="4" w:tplc="077A4252" w:tentative="1">
      <w:start w:val="1"/>
      <w:numFmt w:val="lowerLetter"/>
      <w:lvlText w:val="%5."/>
      <w:lvlJc w:val="left"/>
      <w:pPr>
        <w:tabs>
          <w:tab w:val="num" w:pos="3600"/>
        </w:tabs>
        <w:ind w:left="3600" w:hanging="360"/>
      </w:pPr>
    </w:lvl>
    <w:lvl w:ilvl="5" w:tplc="ABD0C8D8" w:tentative="1">
      <w:start w:val="1"/>
      <w:numFmt w:val="lowerRoman"/>
      <w:lvlText w:val="%6."/>
      <w:lvlJc w:val="right"/>
      <w:pPr>
        <w:tabs>
          <w:tab w:val="num" w:pos="4320"/>
        </w:tabs>
        <w:ind w:left="4320" w:hanging="180"/>
      </w:pPr>
    </w:lvl>
    <w:lvl w:ilvl="6" w:tplc="80001604" w:tentative="1">
      <w:start w:val="1"/>
      <w:numFmt w:val="decimal"/>
      <w:lvlText w:val="%7."/>
      <w:lvlJc w:val="left"/>
      <w:pPr>
        <w:tabs>
          <w:tab w:val="num" w:pos="5040"/>
        </w:tabs>
        <w:ind w:left="5040" w:hanging="360"/>
      </w:pPr>
    </w:lvl>
    <w:lvl w:ilvl="7" w:tplc="D84214B0" w:tentative="1">
      <w:start w:val="1"/>
      <w:numFmt w:val="lowerLetter"/>
      <w:lvlText w:val="%8."/>
      <w:lvlJc w:val="left"/>
      <w:pPr>
        <w:tabs>
          <w:tab w:val="num" w:pos="5760"/>
        </w:tabs>
        <w:ind w:left="5760" w:hanging="360"/>
      </w:pPr>
    </w:lvl>
    <w:lvl w:ilvl="8" w:tplc="05167F9C" w:tentative="1">
      <w:start w:val="1"/>
      <w:numFmt w:val="lowerRoman"/>
      <w:lvlText w:val="%9."/>
      <w:lvlJc w:val="right"/>
      <w:pPr>
        <w:tabs>
          <w:tab w:val="num" w:pos="6480"/>
        </w:tabs>
        <w:ind w:left="6480" w:hanging="180"/>
      </w:pPr>
    </w:lvl>
  </w:abstractNum>
  <w:num w:numId="1" w16cid:durableId="1538351695">
    <w:abstractNumId w:val="11"/>
  </w:num>
  <w:num w:numId="2" w16cid:durableId="1741827847">
    <w:abstractNumId w:val="2"/>
  </w:num>
  <w:num w:numId="3" w16cid:durableId="1874264258">
    <w:abstractNumId w:val="1"/>
  </w:num>
  <w:num w:numId="4" w16cid:durableId="1501698252">
    <w:abstractNumId w:val="21"/>
  </w:num>
  <w:num w:numId="5" w16cid:durableId="1575821578">
    <w:abstractNumId w:val="17"/>
  </w:num>
  <w:num w:numId="6" w16cid:durableId="1054308596">
    <w:abstractNumId w:val="19"/>
  </w:num>
  <w:num w:numId="7" w16cid:durableId="1578981513">
    <w:abstractNumId w:val="3"/>
  </w:num>
  <w:num w:numId="8" w16cid:durableId="456459035">
    <w:abstractNumId w:val="18"/>
  </w:num>
  <w:num w:numId="9" w16cid:durableId="79134461">
    <w:abstractNumId w:val="25"/>
  </w:num>
  <w:num w:numId="10" w16cid:durableId="2079814527">
    <w:abstractNumId w:val="7"/>
  </w:num>
  <w:num w:numId="11" w16cid:durableId="511258269">
    <w:abstractNumId w:val="0"/>
  </w:num>
  <w:num w:numId="12" w16cid:durableId="156574752">
    <w:abstractNumId w:val="10"/>
  </w:num>
  <w:num w:numId="13" w16cid:durableId="1663698737">
    <w:abstractNumId w:val="11"/>
    <w:lvlOverride w:ilvl="0">
      <w:startOverride w:val="1"/>
    </w:lvlOverride>
    <w:lvlOverride w:ilvl="1">
      <w:startOverride w:val="1"/>
    </w:lvlOverride>
  </w:num>
  <w:num w:numId="14" w16cid:durableId="265772598">
    <w:abstractNumId w:val="24"/>
  </w:num>
  <w:num w:numId="15" w16cid:durableId="858200642">
    <w:abstractNumId w:val="20"/>
  </w:num>
  <w:num w:numId="16" w16cid:durableId="1196622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2220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5969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8654393">
    <w:abstractNumId w:val="5"/>
  </w:num>
  <w:num w:numId="20" w16cid:durableId="2070225575">
    <w:abstractNumId w:val="12"/>
  </w:num>
  <w:num w:numId="21" w16cid:durableId="799153290">
    <w:abstractNumId w:val="9"/>
  </w:num>
  <w:num w:numId="22" w16cid:durableId="46536810">
    <w:abstractNumId w:val="22"/>
  </w:num>
  <w:num w:numId="23" w16cid:durableId="672881123">
    <w:abstractNumId w:val="14"/>
  </w:num>
  <w:num w:numId="24" w16cid:durableId="94983309">
    <w:abstractNumId w:val="8"/>
  </w:num>
  <w:num w:numId="25" w16cid:durableId="467549779">
    <w:abstractNumId w:val="4"/>
  </w:num>
  <w:num w:numId="26" w16cid:durableId="728184775">
    <w:abstractNumId w:val="13"/>
  </w:num>
  <w:num w:numId="27" w16cid:durableId="1739861645">
    <w:abstractNumId w:val="23"/>
  </w:num>
  <w:num w:numId="28" w16cid:durableId="693968309">
    <w:abstractNumId w:val="15"/>
  </w:num>
  <w:num w:numId="29" w16cid:durableId="592014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7A"/>
    <w:rsid w:val="000A69B7"/>
    <w:rsid w:val="00275A1F"/>
    <w:rsid w:val="002A2241"/>
    <w:rsid w:val="00544CDD"/>
    <w:rsid w:val="007642CE"/>
    <w:rsid w:val="007943B8"/>
    <w:rsid w:val="007E6F5E"/>
    <w:rsid w:val="008E5D7A"/>
    <w:rsid w:val="00995285"/>
    <w:rsid w:val="00A01039"/>
    <w:rsid w:val="00C64962"/>
    <w:rsid w:val="00D341E3"/>
    <w:rsid w:val="00DE4E45"/>
    <w:rsid w:val="00FD6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CB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33" w:unhideWhenUsed="1" w:qFormat="1"/>
    <w:lsdException w:name="heading 8" w:semiHidden="1" w:uiPriority="33" w:unhideWhenUsed="1" w:qFormat="1"/>
    <w:lsdException w:name="heading 9" w:semiHidden="1" w:uiPriority="3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5D7A"/>
    <w:pPr>
      <w:spacing w:line="360" w:lineRule="auto"/>
      <w:jc w:val="both"/>
    </w:pPr>
    <w:rPr>
      <w:rFonts w:ascii="Calibri" w:hAnsi="Calibri"/>
      <w:sz w:val="24"/>
      <w:szCs w:val="24"/>
    </w:rPr>
  </w:style>
  <w:style w:type="paragraph" w:styleId="Heading1">
    <w:name w:val="heading 1"/>
    <w:basedOn w:val="Normal"/>
    <w:next w:val="BTBodyText"/>
    <w:link w:val="Heading1Char"/>
    <w:uiPriority w:val="9"/>
    <w:qFormat/>
    <w:rsid w:val="008E5D7A"/>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9"/>
    <w:unhideWhenUsed/>
    <w:qFormat/>
    <w:rsid w:val="008E5D7A"/>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nhideWhenUsed/>
    <w:qFormat/>
    <w:rsid w:val="008E5D7A"/>
    <w:pPr>
      <w:keepNext/>
      <w:keepLines/>
      <w:outlineLvl w:val="2"/>
    </w:pPr>
    <w:rPr>
      <w:rFonts w:eastAsiaTheme="majorEastAsia" w:cstheme="majorBidi"/>
      <w:b/>
    </w:rPr>
  </w:style>
  <w:style w:type="paragraph" w:styleId="Heading4">
    <w:name w:val="heading 4"/>
    <w:aliases w:val="Heading 4 Char Char,Heading 4 Char1"/>
    <w:basedOn w:val="Normal"/>
    <w:next w:val="BTBodyText"/>
    <w:link w:val="Heading4Char"/>
    <w:uiPriority w:val="9"/>
    <w:unhideWhenUsed/>
    <w:qFormat/>
    <w:rsid w:val="008E5D7A"/>
    <w:pPr>
      <w:keepNext/>
      <w:keepLines/>
      <w:outlineLvl w:val="3"/>
    </w:pPr>
    <w:rPr>
      <w:rFonts w:eastAsiaTheme="majorEastAsia" w:cstheme="majorBidi"/>
      <w:iCs/>
      <w:u w:val="single"/>
    </w:rPr>
  </w:style>
  <w:style w:type="paragraph" w:styleId="Heading5">
    <w:name w:val="heading 5"/>
    <w:basedOn w:val="Normal"/>
    <w:next w:val="BTBodyText"/>
    <w:link w:val="Heading5Char"/>
    <w:uiPriority w:val="2"/>
    <w:unhideWhenUsed/>
    <w:qFormat/>
    <w:rsid w:val="008E5D7A"/>
    <w:pPr>
      <w:keepNext/>
      <w:keepLines/>
      <w:outlineLvl w:val="4"/>
    </w:pPr>
    <w:rPr>
      <w:rFonts w:eastAsiaTheme="majorEastAsia" w:cstheme="majorBidi"/>
      <w:i/>
    </w:rPr>
  </w:style>
  <w:style w:type="paragraph" w:styleId="Heading6">
    <w:name w:val="heading 6"/>
    <w:basedOn w:val="Normal"/>
    <w:next w:val="BTBodyText"/>
    <w:link w:val="Heading6Char"/>
    <w:uiPriority w:val="2"/>
    <w:unhideWhenUsed/>
    <w:qFormat/>
    <w:rsid w:val="008E5D7A"/>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E5D7A"/>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E5D7A"/>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E5D7A"/>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D7A"/>
    <w:rPr>
      <w:rFonts w:ascii="Calibri" w:eastAsiaTheme="majorEastAsia" w:hAnsi="Calibri" w:cstheme="majorBidi"/>
      <w:b/>
      <w:caps/>
      <w:sz w:val="28"/>
      <w:szCs w:val="32"/>
    </w:rPr>
  </w:style>
  <w:style w:type="character" w:customStyle="1" w:styleId="Heading2Char">
    <w:name w:val="Heading 2 Char"/>
    <w:basedOn w:val="DefaultParagraphFont"/>
    <w:link w:val="Heading2"/>
    <w:uiPriority w:val="9"/>
    <w:rsid w:val="008E5D7A"/>
    <w:rPr>
      <w:rFonts w:ascii="Calibri" w:eastAsiaTheme="majorEastAsia" w:hAnsi="Calibri" w:cstheme="majorBidi"/>
      <w:b/>
      <w:smallCaps/>
      <w:sz w:val="28"/>
      <w:szCs w:val="26"/>
    </w:rPr>
  </w:style>
  <w:style w:type="character" w:customStyle="1" w:styleId="Heading3Char">
    <w:name w:val="Heading 3 Char"/>
    <w:basedOn w:val="DefaultParagraphFont"/>
    <w:link w:val="Heading3"/>
    <w:rsid w:val="008E5D7A"/>
    <w:rPr>
      <w:rFonts w:ascii="Calibri" w:eastAsiaTheme="majorEastAsia" w:hAnsi="Calibri" w:cstheme="majorBidi"/>
      <w:b/>
      <w:sz w:val="24"/>
      <w:szCs w:val="24"/>
    </w:rPr>
  </w:style>
  <w:style w:type="character" w:customStyle="1" w:styleId="Heading4Char">
    <w:name w:val="Heading 4 Char"/>
    <w:aliases w:val="Heading 4 Char Char Char,Heading 4 Char1 Char"/>
    <w:basedOn w:val="DefaultParagraphFont"/>
    <w:link w:val="Heading4"/>
    <w:uiPriority w:val="9"/>
    <w:rsid w:val="008E5D7A"/>
    <w:rPr>
      <w:rFonts w:ascii="Calibri" w:eastAsiaTheme="majorEastAsia" w:hAnsi="Calibri" w:cstheme="majorBidi"/>
      <w:iCs/>
      <w:sz w:val="24"/>
      <w:szCs w:val="24"/>
      <w:u w:val="single"/>
    </w:rPr>
  </w:style>
  <w:style w:type="character" w:customStyle="1" w:styleId="Heading5Char">
    <w:name w:val="Heading 5 Char"/>
    <w:basedOn w:val="DefaultParagraphFont"/>
    <w:link w:val="Heading5"/>
    <w:uiPriority w:val="2"/>
    <w:rsid w:val="008E5D7A"/>
    <w:rPr>
      <w:rFonts w:ascii="Calibri" w:eastAsiaTheme="majorEastAsia" w:hAnsi="Calibri" w:cstheme="majorBidi"/>
      <w:i/>
      <w:sz w:val="24"/>
      <w:szCs w:val="24"/>
    </w:rPr>
  </w:style>
  <w:style w:type="character" w:customStyle="1" w:styleId="Heading6Char">
    <w:name w:val="Heading 6 Char"/>
    <w:basedOn w:val="DefaultParagraphFont"/>
    <w:link w:val="Heading6"/>
    <w:uiPriority w:val="2"/>
    <w:rsid w:val="008E5D7A"/>
    <w:rPr>
      <w:rFonts w:ascii="Calibri" w:eastAsiaTheme="majorEastAsia" w:hAnsi="Calibri" w:cstheme="majorBidi"/>
      <w:sz w:val="24"/>
      <w:szCs w:val="24"/>
      <w:u w:val="single"/>
    </w:rPr>
  </w:style>
  <w:style w:type="character" w:customStyle="1" w:styleId="Heading7Char">
    <w:name w:val="Heading 7 Char"/>
    <w:basedOn w:val="DefaultParagraphFont"/>
    <w:link w:val="Heading7"/>
    <w:uiPriority w:val="33"/>
    <w:rsid w:val="008E5D7A"/>
    <w:rPr>
      <w:rFonts w:ascii="Calibri" w:eastAsiaTheme="majorEastAsia" w:hAnsi="Calibri" w:cstheme="majorBidi"/>
      <w:i/>
      <w:iCs/>
      <w:sz w:val="24"/>
      <w:szCs w:val="24"/>
    </w:rPr>
  </w:style>
  <w:style w:type="character" w:customStyle="1" w:styleId="Heading8Char">
    <w:name w:val="Heading 8 Char"/>
    <w:basedOn w:val="DefaultParagraphFont"/>
    <w:link w:val="Heading8"/>
    <w:uiPriority w:val="33"/>
    <w:rsid w:val="008E5D7A"/>
    <w:rPr>
      <w:rFonts w:ascii="Calibri" w:eastAsiaTheme="majorEastAsia" w:hAnsi="Calibri" w:cstheme="majorBidi"/>
      <w:sz w:val="24"/>
      <w:szCs w:val="21"/>
      <w:u w:val="single"/>
    </w:rPr>
  </w:style>
  <w:style w:type="character" w:customStyle="1" w:styleId="Heading9Char">
    <w:name w:val="Heading 9 Char"/>
    <w:basedOn w:val="DefaultParagraphFont"/>
    <w:link w:val="Heading9"/>
    <w:uiPriority w:val="33"/>
    <w:rsid w:val="008E5D7A"/>
    <w:rPr>
      <w:rFonts w:ascii="Calibri" w:eastAsiaTheme="majorEastAsia" w:hAnsi="Calibri" w:cstheme="majorBidi"/>
      <w:i/>
      <w:iCs/>
      <w:sz w:val="24"/>
      <w:szCs w:val="21"/>
    </w:rPr>
  </w:style>
  <w:style w:type="paragraph" w:customStyle="1" w:styleId="BTBodyText">
    <w:name w:val="[BT] Body Text"/>
    <w:basedOn w:val="Normal"/>
    <w:link w:val="BTBodyTextChar"/>
    <w:uiPriority w:val="2"/>
    <w:qFormat/>
    <w:rsid w:val="008E5D7A"/>
  </w:style>
  <w:style w:type="character" w:customStyle="1" w:styleId="BTBodyTextChar">
    <w:name w:val="[BT] Body Text Char"/>
    <w:basedOn w:val="DefaultParagraphFont"/>
    <w:link w:val="BTBodyText"/>
    <w:uiPriority w:val="2"/>
    <w:rsid w:val="008E5D7A"/>
    <w:rPr>
      <w:rFonts w:ascii="Calibri" w:hAnsi="Calibri"/>
      <w:sz w:val="24"/>
      <w:szCs w:val="24"/>
    </w:rPr>
  </w:style>
  <w:style w:type="table" w:styleId="TableGrid">
    <w:name w:val="Table Grid"/>
    <w:basedOn w:val="TableNormal"/>
    <w:uiPriority w:val="39"/>
    <w:rsid w:val="008E5D7A"/>
    <w:pPr>
      <w:spacing w:after="0" w:line="240" w:lineRule="auto"/>
      <w:jc w:val="both"/>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ODTWTODisputeTitle">
    <w:name w:val="[WTODT] WTO Dispute Title"/>
    <w:basedOn w:val="BTBodyText"/>
    <w:link w:val="WTODTWTODisputeTitleChar"/>
    <w:uiPriority w:val="27"/>
    <w:rsid w:val="008E5D7A"/>
    <w:pPr>
      <w:spacing w:line="240" w:lineRule="auto"/>
      <w:jc w:val="center"/>
    </w:pPr>
    <w:rPr>
      <w:b/>
      <w:bCs/>
      <w:smallCaps/>
      <w:sz w:val="40"/>
      <w:szCs w:val="40"/>
    </w:rPr>
  </w:style>
  <w:style w:type="paragraph" w:customStyle="1" w:styleId="DSNDSNumber">
    <w:name w:val="[DSN] DS Number"/>
    <w:basedOn w:val="BTBodyText"/>
    <w:link w:val="DSNDSNumberChar"/>
    <w:uiPriority w:val="27"/>
    <w:rsid w:val="008E5D7A"/>
    <w:pPr>
      <w:spacing w:line="240" w:lineRule="auto"/>
      <w:jc w:val="center"/>
    </w:pPr>
  </w:style>
  <w:style w:type="character" w:customStyle="1" w:styleId="WTODTWTODisputeTitleChar">
    <w:name w:val="[WTODT] WTO Dispute Title Char"/>
    <w:basedOn w:val="BTBodyTextChar"/>
    <w:link w:val="WTODTWTODisputeTitle"/>
    <w:uiPriority w:val="27"/>
    <w:rsid w:val="008E5D7A"/>
    <w:rPr>
      <w:rFonts w:ascii="Calibri" w:hAnsi="Calibri"/>
      <w:b/>
      <w:bCs/>
      <w:smallCaps/>
      <w:sz w:val="40"/>
      <w:szCs w:val="40"/>
    </w:rPr>
  </w:style>
  <w:style w:type="paragraph" w:customStyle="1" w:styleId="DTDocumentTitle">
    <w:name w:val="[DT] Document Title"/>
    <w:basedOn w:val="BTBodyText"/>
    <w:link w:val="DTDocumentTitleChar"/>
    <w:uiPriority w:val="27"/>
    <w:rsid w:val="008E5D7A"/>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8E5D7A"/>
    <w:rPr>
      <w:rFonts w:ascii="Calibri" w:hAnsi="Calibri"/>
      <w:sz w:val="24"/>
      <w:szCs w:val="24"/>
    </w:rPr>
  </w:style>
  <w:style w:type="paragraph" w:customStyle="1" w:styleId="DDDocumentDate">
    <w:name w:val="[DD] Document Date"/>
    <w:basedOn w:val="BTBodyText"/>
    <w:link w:val="DDDocumentDateChar"/>
    <w:uiPriority w:val="27"/>
    <w:rsid w:val="008E5D7A"/>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8E5D7A"/>
    <w:rPr>
      <w:rFonts w:ascii="Calibri" w:hAnsi="Calibri"/>
      <w:b/>
      <w:bCs/>
      <w:smallCaps/>
      <w:sz w:val="36"/>
      <w:szCs w:val="36"/>
    </w:rPr>
  </w:style>
  <w:style w:type="character" w:customStyle="1" w:styleId="DDDocumentDateChar">
    <w:name w:val="[DD] Document Date Char"/>
    <w:basedOn w:val="BTBodyTextChar"/>
    <w:link w:val="DDDocumentDate"/>
    <w:uiPriority w:val="27"/>
    <w:rsid w:val="008E5D7A"/>
    <w:rPr>
      <w:rFonts w:ascii="Calibri" w:hAnsi="Calibri"/>
      <w:sz w:val="32"/>
      <w:szCs w:val="32"/>
    </w:rPr>
  </w:style>
  <w:style w:type="paragraph" w:styleId="BalloonText">
    <w:name w:val="Balloon Text"/>
    <w:basedOn w:val="Normal"/>
    <w:link w:val="BalloonTextChar"/>
    <w:uiPriority w:val="99"/>
    <w:semiHidden/>
    <w:unhideWhenUsed/>
    <w:rsid w:val="008E5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D7A"/>
    <w:rPr>
      <w:rFonts w:ascii="Segoe UI" w:hAnsi="Segoe UI" w:cs="Segoe UI"/>
      <w:sz w:val="18"/>
      <w:szCs w:val="18"/>
    </w:rPr>
  </w:style>
  <w:style w:type="paragraph" w:customStyle="1" w:styleId="BTIBodyTextIndented">
    <w:name w:val="[BTI] Body Text Indented"/>
    <w:basedOn w:val="BTBodyText"/>
    <w:link w:val="BTIBodyTextIndentedChar"/>
    <w:uiPriority w:val="2"/>
    <w:qFormat/>
    <w:rsid w:val="008E5D7A"/>
    <w:pPr>
      <w:ind w:left="851"/>
    </w:pPr>
  </w:style>
  <w:style w:type="paragraph" w:customStyle="1" w:styleId="BTIIBodyTextTwiceIndented">
    <w:name w:val="[BTII] Body Text Twice Indented"/>
    <w:basedOn w:val="BTBodyText"/>
    <w:link w:val="BTIIBodyTextTwiceIndentedChar"/>
    <w:uiPriority w:val="2"/>
    <w:qFormat/>
    <w:rsid w:val="008E5D7A"/>
    <w:pPr>
      <w:ind w:left="1702"/>
    </w:pPr>
  </w:style>
  <w:style w:type="character" w:customStyle="1" w:styleId="BTIBodyTextIndentedChar">
    <w:name w:val="[BTI] Body Text Indented Char"/>
    <w:basedOn w:val="BTBodyTextChar"/>
    <w:link w:val="BTIBodyTextIndented"/>
    <w:uiPriority w:val="2"/>
    <w:rsid w:val="008E5D7A"/>
    <w:rPr>
      <w:rFonts w:ascii="Calibri" w:hAnsi="Calibri"/>
      <w:sz w:val="24"/>
      <w:szCs w:val="24"/>
    </w:rPr>
  </w:style>
  <w:style w:type="paragraph" w:styleId="ListParagraph">
    <w:name w:val="List Paragraph"/>
    <w:basedOn w:val="Normal"/>
    <w:uiPriority w:val="34"/>
    <w:qFormat/>
    <w:rsid w:val="008E5D7A"/>
    <w:pPr>
      <w:ind w:left="851"/>
    </w:pPr>
  </w:style>
  <w:style w:type="character" w:customStyle="1" w:styleId="BTIIBodyTextTwiceIndentedChar">
    <w:name w:val="[BTII] Body Text Twice Indented Char"/>
    <w:basedOn w:val="BTBodyTextChar"/>
    <w:link w:val="BTIIBodyTextTwiceIndented"/>
    <w:uiPriority w:val="2"/>
    <w:rsid w:val="008E5D7A"/>
    <w:rPr>
      <w:rFonts w:ascii="Calibri" w:hAnsi="Calibri"/>
      <w:sz w:val="24"/>
      <w:szCs w:val="24"/>
    </w:rPr>
  </w:style>
  <w:style w:type="paragraph" w:styleId="NoSpacing">
    <w:name w:val="No Spacing"/>
    <w:link w:val="NoSpacingChar"/>
    <w:uiPriority w:val="1"/>
    <w:rsid w:val="008E5D7A"/>
    <w:pPr>
      <w:spacing w:after="0" w:line="240" w:lineRule="auto"/>
      <w:jc w:val="both"/>
    </w:pPr>
    <w:rPr>
      <w:rFonts w:ascii="Calibri" w:hAnsi="Calibri"/>
      <w:sz w:val="24"/>
      <w:szCs w:val="24"/>
    </w:rPr>
  </w:style>
  <w:style w:type="paragraph" w:customStyle="1" w:styleId="BTNSBodyTextNoSpacing">
    <w:name w:val="[BTNS] Body Text No Spacing"/>
    <w:basedOn w:val="NoSpacing"/>
    <w:link w:val="BTNSBodyTextNoSpacingChar"/>
    <w:uiPriority w:val="2"/>
    <w:qFormat/>
    <w:rsid w:val="008E5D7A"/>
  </w:style>
  <w:style w:type="paragraph" w:customStyle="1" w:styleId="BTNSSBodyTextNoSpacingSmall">
    <w:name w:val="[BTNSS] Body Text No Spacing Small"/>
    <w:basedOn w:val="BTNSBodyTextNoSpacing"/>
    <w:link w:val="BTNSSBodyTextNoSpacingSmallChar"/>
    <w:uiPriority w:val="2"/>
    <w:rsid w:val="008E5D7A"/>
    <w:rPr>
      <w:sz w:val="8"/>
      <w:szCs w:val="8"/>
    </w:rPr>
  </w:style>
  <w:style w:type="character" w:customStyle="1" w:styleId="NoSpacingChar">
    <w:name w:val="No Spacing Char"/>
    <w:basedOn w:val="DefaultParagraphFont"/>
    <w:link w:val="NoSpacing"/>
    <w:uiPriority w:val="1"/>
    <w:rsid w:val="008E5D7A"/>
    <w:rPr>
      <w:rFonts w:ascii="Calibri" w:hAnsi="Calibri"/>
      <w:sz w:val="24"/>
      <w:szCs w:val="24"/>
    </w:rPr>
  </w:style>
  <w:style w:type="character" w:customStyle="1" w:styleId="BTNSBodyTextNoSpacingChar">
    <w:name w:val="[BTNS] Body Text No Spacing Char"/>
    <w:basedOn w:val="NoSpacingChar"/>
    <w:link w:val="BTNSBodyTextNoSpacing"/>
    <w:uiPriority w:val="2"/>
    <w:rsid w:val="008E5D7A"/>
    <w:rPr>
      <w:rFonts w:ascii="Calibri" w:hAnsi="Calibri"/>
      <w:sz w:val="24"/>
      <w:szCs w:val="24"/>
    </w:rPr>
  </w:style>
  <w:style w:type="character" w:customStyle="1" w:styleId="BTNSSBodyTextNoSpacingSmallChar">
    <w:name w:val="[BTNSS] Body Text No Spacing Small Char"/>
    <w:basedOn w:val="BTNSBodyTextNoSpacingChar"/>
    <w:link w:val="BTNSSBodyTextNoSpacingSmall"/>
    <w:uiPriority w:val="2"/>
    <w:rsid w:val="008E5D7A"/>
    <w:rPr>
      <w:rFonts w:ascii="Calibri" w:hAnsi="Calibri"/>
      <w:sz w:val="8"/>
      <w:szCs w:val="8"/>
    </w:rPr>
  </w:style>
  <w:style w:type="paragraph" w:customStyle="1" w:styleId="P1-N1Paragraph1-Number1">
    <w:name w:val="[P1-N1] Paragraph 1 - Number 1"/>
    <w:basedOn w:val="BTBodyText"/>
    <w:link w:val="P1-N1Paragraph1-Number1Char"/>
    <w:uiPriority w:val="6"/>
    <w:qFormat/>
    <w:rsid w:val="008E5D7A"/>
    <w:pPr>
      <w:numPr>
        <w:numId w:val="1"/>
      </w:numPr>
    </w:pPr>
  </w:style>
  <w:style w:type="paragraph" w:customStyle="1" w:styleId="P2-B1Paragraph2-Bullet1">
    <w:name w:val="[P2-B1] Paragraph 2 - Bullet 1"/>
    <w:basedOn w:val="BTBodyText"/>
    <w:link w:val="P2-B1Paragraph2-Bullet1Char"/>
    <w:uiPriority w:val="6"/>
    <w:qFormat/>
    <w:rsid w:val="008E5D7A"/>
    <w:pPr>
      <w:numPr>
        <w:ilvl w:val="1"/>
        <w:numId w:val="1"/>
      </w:numPr>
      <w:spacing w:after="120"/>
    </w:pPr>
  </w:style>
  <w:style w:type="character" w:customStyle="1" w:styleId="P1-N1Paragraph1-Number1Char">
    <w:name w:val="[P1-N1] Paragraph 1 - Number 1 Char"/>
    <w:basedOn w:val="BTBodyTextChar"/>
    <w:link w:val="P1-N1Paragraph1-Number1"/>
    <w:uiPriority w:val="6"/>
    <w:rsid w:val="008E5D7A"/>
    <w:rPr>
      <w:rFonts w:ascii="Calibri" w:hAnsi="Calibri"/>
      <w:sz w:val="24"/>
      <w:szCs w:val="24"/>
    </w:rPr>
  </w:style>
  <w:style w:type="paragraph" w:customStyle="1" w:styleId="P3-B2Paragraph3-Bullet2">
    <w:name w:val="[P3-B2] Paragraph 3 - Bullet 2"/>
    <w:basedOn w:val="BTBodyText"/>
    <w:link w:val="P3-B2Paragraph3-Bullet2Char"/>
    <w:uiPriority w:val="6"/>
    <w:qFormat/>
    <w:rsid w:val="008E5D7A"/>
    <w:pPr>
      <w:numPr>
        <w:ilvl w:val="2"/>
        <w:numId w:val="1"/>
      </w:numPr>
      <w:spacing w:after="120"/>
    </w:pPr>
  </w:style>
  <w:style w:type="character" w:customStyle="1" w:styleId="P2-B1Paragraph2-Bullet1Char">
    <w:name w:val="[P2-B1] Paragraph 2 - Bullet 1 Char"/>
    <w:basedOn w:val="BTBodyTextChar"/>
    <w:link w:val="P2-B1Paragraph2-Bullet1"/>
    <w:uiPriority w:val="6"/>
    <w:rsid w:val="008E5D7A"/>
    <w:rPr>
      <w:rFonts w:ascii="Calibri" w:hAnsi="Calibri"/>
      <w:sz w:val="24"/>
      <w:szCs w:val="24"/>
    </w:rPr>
  </w:style>
  <w:style w:type="paragraph" w:customStyle="1" w:styleId="P4-B3Paragraph4-Bullet3">
    <w:name w:val="[P4-B3] Paragraph 4 - Bullet 3"/>
    <w:basedOn w:val="BTBodyText"/>
    <w:link w:val="P4-B3Paragraph4-Bullet3Char"/>
    <w:uiPriority w:val="6"/>
    <w:rsid w:val="008E5D7A"/>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8E5D7A"/>
    <w:rPr>
      <w:rFonts w:ascii="Calibri" w:hAnsi="Calibri"/>
      <w:sz w:val="24"/>
      <w:szCs w:val="24"/>
    </w:rPr>
  </w:style>
  <w:style w:type="paragraph" w:customStyle="1" w:styleId="P5-B4Paragraph5-Bullet4">
    <w:name w:val="[P5-B4] Paragraph 5 - Bullet 4"/>
    <w:basedOn w:val="BTBodyText"/>
    <w:link w:val="P5-B4Paragraph5-Bullet4Char"/>
    <w:uiPriority w:val="6"/>
    <w:rsid w:val="008E5D7A"/>
    <w:pPr>
      <w:numPr>
        <w:ilvl w:val="4"/>
        <w:numId w:val="1"/>
      </w:numPr>
      <w:spacing w:after="120"/>
    </w:pPr>
  </w:style>
  <w:style w:type="character" w:customStyle="1" w:styleId="P4-B3Paragraph4-Bullet3Char">
    <w:name w:val="[P4-B3] Paragraph 4 - Bullet 3 Char"/>
    <w:basedOn w:val="BTBodyTextChar"/>
    <w:link w:val="P4-B3Paragraph4-Bullet3"/>
    <w:uiPriority w:val="6"/>
    <w:rsid w:val="008E5D7A"/>
    <w:rPr>
      <w:rFonts w:ascii="Calibri" w:hAnsi="Calibri"/>
      <w:sz w:val="24"/>
      <w:szCs w:val="24"/>
    </w:rPr>
  </w:style>
  <w:style w:type="paragraph" w:customStyle="1" w:styleId="P6-B5Paragraph6-Bullet5">
    <w:name w:val="[P6-B5] Paragraph 6 - Bullet 5"/>
    <w:basedOn w:val="BTBodyText"/>
    <w:link w:val="P6-B5Paragraph6-Bullet5Char"/>
    <w:uiPriority w:val="6"/>
    <w:rsid w:val="008E5D7A"/>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8E5D7A"/>
    <w:rPr>
      <w:rFonts w:ascii="Calibri" w:hAnsi="Calibri"/>
      <w:sz w:val="24"/>
      <w:szCs w:val="24"/>
    </w:rPr>
  </w:style>
  <w:style w:type="paragraph" w:customStyle="1" w:styleId="P7-B6Paragraph7-Bullet6">
    <w:name w:val="[P7-B6] Paragraph 7 - Bullet 6"/>
    <w:basedOn w:val="BTBodyText"/>
    <w:link w:val="P7-B6Paragraph7-Bullet6Char"/>
    <w:uiPriority w:val="6"/>
    <w:rsid w:val="008E5D7A"/>
    <w:pPr>
      <w:numPr>
        <w:ilvl w:val="6"/>
        <w:numId w:val="1"/>
      </w:numPr>
      <w:spacing w:after="120"/>
    </w:pPr>
  </w:style>
  <w:style w:type="character" w:customStyle="1" w:styleId="P6-B5Paragraph6-Bullet5Char">
    <w:name w:val="[P6-B5] Paragraph 6 - Bullet 5 Char"/>
    <w:basedOn w:val="BTBodyTextChar"/>
    <w:link w:val="P6-B5Paragraph6-Bullet5"/>
    <w:uiPriority w:val="6"/>
    <w:rsid w:val="008E5D7A"/>
    <w:rPr>
      <w:rFonts w:ascii="Calibri" w:hAnsi="Calibri"/>
      <w:sz w:val="24"/>
      <w:szCs w:val="24"/>
    </w:rPr>
  </w:style>
  <w:style w:type="paragraph" w:customStyle="1" w:styleId="P8-B7Paragraph8-Bullet7">
    <w:name w:val="[P8-B7] Paragraph 8 - Bullet 7"/>
    <w:basedOn w:val="BTBodyText"/>
    <w:link w:val="P8-B7Paragraph8-Bullet7Char"/>
    <w:uiPriority w:val="6"/>
    <w:rsid w:val="008E5D7A"/>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rsid w:val="008E5D7A"/>
    <w:rPr>
      <w:rFonts w:ascii="Calibri" w:hAnsi="Calibri"/>
      <w:sz w:val="24"/>
      <w:szCs w:val="24"/>
    </w:rPr>
  </w:style>
  <w:style w:type="paragraph" w:customStyle="1" w:styleId="P9-B8Paragraph9-Bullet8">
    <w:name w:val="[P9-B8] Paragraph 9 - Bullet 8"/>
    <w:basedOn w:val="BTBodyText"/>
    <w:link w:val="P9-B8Paragraph9-Bullet8Char"/>
    <w:uiPriority w:val="6"/>
    <w:rsid w:val="008E5D7A"/>
    <w:pPr>
      <w:numPr>
        <w:ilvl w:val="8"/>
        <w:numId w:val="1"/>
      </w:numPr>
      <w:spacing w:after="120"/>
    </w:pPr>
  </w:style>
  <w:style w:type="character" w:customStyle="1" w:styleId="P8-B7Paragraph8-Bullet7Char">
    <w:name w:val="[P8-B7] Paragraph 8 - Bullet 7 Char"/>
    <w:basedOn w:val="BTBodyTextChar"/>
    <w:link w:val="P8-B7Paragraph8-Bullet7"/>
    <w:uiPriority w:val="6"/>
    <w:rsid w:val="008E5D7A"/>
    <w:rPr>
      <w:rFonts w:ascii="Calibri" w:hAnsi="Calibri"/>
      <w:sz w:val="24"/>
      <w:szCs w:val="24"/>
    </w:rPr>
  </w:style>
  <w:style w:type="paragraph" w:customStyle="1" w:styleId="QQuotation">
    <w:name w:val="[Q] Quotation"/>
    <w:basedOn w:val="BTIBodyTextIndented"/>
    <w:next w:val="P1-N1Paragraph1-Number1"/>
    <w:link w:val="QQuotationChar"/>
    <w:uiPriority w:val="8"/>
    <w:qFormat/>
    <w:rsid w:val="008E5D7A"/>
    <w:pPr>
      <w:spacing w:after="240" w:line="276" w:lineRule="auto"/>
    </w:pPr>
  </w:style>
  <w:style w:type="character" w:customStyle="1" w:styleId="P9-B8Paragraph9-Bullet8Char">
    <w:name w:val="[P9-B8] Paragraph 9 - Bullet 8 Char"/>
    <w:basedOn w:val="BTBodyTextChar"/>
    <w:link w:val="P9-B8Paragraph9-Bullet8"/>
    <w:uiPriority w:val="6"/>
    <w:rsid w:val="008E5D7A"/>
    <w:rPr>
      <w:rFonts w:ascii="Calibri" w:hAnsi="Calibri"/>
      <w:sz w:val="24"/>
      <w:szCs w:val="24"/>
    </w:rPr>
  </w:style>
  <w:style w:type="character" w:customStyle="1" w:styleId="QQuotationChar">
    <w:name w:val="[Q] Quotation Char"/>
    <w:basedOn w:val="BTIBodyTextIndentedChar"/>
    <w:link w:val="QQuotation"/>
    <w:uiPriority w:val="8"/>
    <w:rsid w:val="008E5D7A"/>
    <w:rPr>
      <w:rFonts w:ascii="Calibri" w:hAnsi="Calibri"/>
      <w:sz w:val="24"/>
      <w:szCs w:val="24"/>
    </w:rPr>
  </w:style>
  <w:style w:type="paragraph" w:customStyle="1" w:styleId="HL1HeadingLevel1">
    <w:name w:val="[HL1] Heading Level 1"/>
    <w:basedOn w:val="Heading1"/>
    <w:next w:val="P1-N1Paragraph1-Number1"/>
    <w:link w:val="HL1HeadingLevel1Char"/>
    <w:uiPriority w:val="4"/>
    <w:qFormat/>
    <w:rsid w:val="008E5D7A"/>
    <w:pPr>
      <w:numPr>
        <w:numId w:val="2"/>
      </w:numPr>
    </w:pPr>
  </w:style>
  <w:style w:type="paragraph" w:customStyle="1" w:styleId="HL2HeadingLevel2">
    <w:name w:val="[HL2] Heading Level 2"/>
    <w:basedOn w:val="Heading2"/>
    <w:next w:val="P1-N1Paragraph1-Number1"/>
    <w:link w:val="HL2HeadingLevel2Char"/>
    <w:uiPriority w:val="4"/>
    <w:qFormat/>
    <w:rsid w:val="008E5D7A"/>
    <w:pPr>
      <w:numPr>
        <w:ilvl w:val="1"/>
        <w:numId w:val="2"/>
      </w:numPr>
    </w:pPr>
  </w:style>
  <w:style w:type="character" w:customStyle="1" w:styleId="HL1HeadingLevel1Char">
    <w:name w:val="[HL1] Heading Level 1 Char"/>
    <w:basedOn w:val="BTBodyTextChar"/>
    <w:link w:val="HL1HeadingLevel1"/>
    <w:uiPriority w:val="4"/>
    <w:rsid w:val="008E5D7A"/>
    <w:rPr>
      <w:rFonts w:ascii="Calibri" w:eastAsiaTheme="majorEastAsia" w:hAnsi="Calibri" w:cstheme="majorBidi"/>
      <w:b/>
      <w:caps/>
      <w:sz w:val="28"/>
      <w:szCs w:val="32"/>
    </w:rPr>
  </w:style>
  <w:style w:type="paragraph" w:customStyle="1" w:styleId="HL3HeadingLevel3">
    <w:name w:val="[HL3] Heading Level 3"/>
    <w:basedOn w:val="Heading3"/>
    <w:next w:val="P1-N1Paragraph1-Number1"/>
    <w:link w:val="HL3HeadingLevel3Char"/>
    <w:uiPriority w:val="4"/>
    <w:qFormat/>
    <w:rsid w:val="008E5D7A"/>
    <w:pPr>
      <w:numPr>
        <w:ilvl w:val="2"/>
        <w:numId w:val="2"/>
      </w:numPr>
    </w:pPr>
  </w:style>
  <w:style w:type="character" w:customStyle="1" w:styleId="HL2HeadingLevel2Char">
    <w:name w:val="[HL2] Heading Level 2 Char"/>
    <w:basedOn w:val="BTBodyTextChar"/>
    <w:link w:val="HL2HeadingLevel2"/>
    <w:uiPriority w:val="4"/>
    <w:rsid w:val="008E5D7A"/>
    <w:rPr>
      <w:rFonts w:ascii="Calibri" w:eastAsiaTheme="majorEastAsia" w:hAnsi="Calibri"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8E5D7A"/>
    <w:pPr>
      <w:numPr>
        <w:ilvl w:val="3"/>
        <w:numId w:val="2"/>
      </w:numPr>
    </w:pPr>
  </w:style>
  <w:style w:type="character" w:customStyle="1" w:styleId="HL3HeadingLevel3Char">
    <w:name w:val="[HL3] Heading Level 3 Char"/>
    <w:basedOn w:val="BTBodyTextChar"/>
    <w:link w:val="HL3HeadingLevel3"/>
    <w:uiPriority w:val="4"/>
    <w:rsid w:val="008E5D7A"/>
    <w:rPr>
      <w:rFonts w:ascii="Calibri" w:eastAsiaTheme="majorEastAsia" w:hAnsi="Calibri" w:cstheme="majorBidi"/>
      <w:b/>
      <w:sz w:val="24"/>
      <w:szCs w:val="24"/>
    </w:rPr>
  </w:style>
  <w:style w:type="paragraph" w:customStyle="1" w:styleId="HL5HeadingLevel5">
    <w:name w:val="[HL5] Heading Level 5"/>
    <w:basedOn w:val="Heading5"/>
    <w:next w:val="P1-N1Paragraph1-Number1"/>
    <w:link w:val="HL5HeadingLevel5Char"/>
    <w:uiPriority w:val="4"/>
    <w:qFormat/>
    <w:rsid w:val="008E5D7A"/>
    <w:pPr>
      <w:numPr>
        <w:ilvl w:val="4"/>
        <w:numId w:val="2"/>
      </w:numPr>
    </w:pPr>
  </w:style>
  <w:style w:type="character" w:customStyle="1" w:styleId="HL4HeadingLevel4Char">
    <w:name w:val="[HL4] Heading Level 4 Char"/>
    <w:basedOn w:val="BTBodyTextChar"/>
    <w:link w:val="HL4HeadingLevel4"/>
    <w:uiPriority w:val="4"/>
    <w:rsid w:val="008E5D7A"/>
    <w:rPr>
      <w:rFonts w:ascii="Calibri" w:eastAsiaTheme="majorEastAsia" w:hAnsi="Calibri" w:cstheme="majorBidi"/>
      <w:iCs/>
      <w:sz w:val="24"/>
      <w:szCs w:val="24"/>
      <w:u w:val="single"/>
    </w:rPr>
  </w:style>
  <w:style w:type="paragraph" w:customStyle="1" w:styleId="HL6HeadingLevel6">
    <w:name w:val="[HL6] Heading Level 6"/>
    <w:basedOn w:val="Heading6"/>
    <w:next w:val="P1-N1Paragraph1-Number1"/>
    <w:link w:val="HL6HeadingLevel6Char"/>
    <w:uiPriority w:val="4"/>
    <w:semiHidden/>
    <w:rsid w:val="008E5D7A"/>
    <w:pPr>
      <w:numPr>
        <w:ilvl w:val="5"/>
        <w:numId w:val="2"/>
      </w:numPr>
      <w:tabs>
        <w:tab w:val="clear" w:pos="5103"/>
        <w:tab w:val="num" w:pos="360"/>
      </w:tabs>
      <w:ind w:left="0" w:firstLine="0"/>
    </w:pPr>
  </w:style>
  <w:style w:type="character" w:customStyle="1" w:styleId="HL5HeadingLevel5Char">
    <w:name w:val="[HL5] Heading Level 5 Char"/>
    <w:basedOn w:val="BTBodyTextChar"/>
    <w:link w:val="HL5HeadingLevel5"/>
    <w:uiPriority w:val="4"/>
    <w:rsid w:val="008E5D7A"/>
    <w:rPr>
      <w:rFonts w:ascii="Calibri" w:eastAsiaTheme="majorEastAsia" w:hAnsi="Calibri" w:cstheme="majorBidi"/>
      <w:i/>
      <w:sz w:val="24"/>
      <w:szCs w:val="24"/>
    </w:rPr>
  </w:style>
  <w:style w:type="paragraph" w:customStyle="1" w:styleId="HL7HeadingLevel7">
    <w:name w:val="[HL7] Heading Level 7"/>
    <w:basedOn w:val="Heading7"/>
    <w:next w:val="P1-N1Paragraph1-Number1"/>
    <w:link w:val="HL7HeadingLevel7Char"/>
    <w:uiPriority w:val="4"/>
    <w:semiHidden/>
    <w:rsid w:val="008E5D7A"/>
    <w:pPr>
      <w:numPr>
        <w:ilvl w:val="6"/>
        <w:numId w:val="2"/>
      </w:numPr>
      <w:tabs>
        <w:tab w:val="clear" w:pos="5954"/>
        <w:tab w:val="num" w:pos="360"/>
      </w:tabs>
      <w:ind w:left="0" w:firstLine="0"/>
    </w:pPr>
  </w:style>
  <w:style w:type="character" w:customStyle="1" w:styleId="HL6HeadingLevel6Char">
    <w:name w:val="[HL6] Heading Level 6 Char"/>
    <w:basedOn w:val="BTBodyTextChar"/>
    <w:link w:val="HL6HeadingLevel6"/>
    <w:uiPriority w:val="4"/>
    <w:semiHidden/>
    <w:rsid w:val="008E5D7A"/>
    <w:rPr>
      <w:rFonts w:ascii="Calibri" w:eastAsiaTheme="majorEastAsia" w:hAnsi="Calibri" w:cstheme="majorBidi"/>
      <w:sz w:val="24"/>
      <w:szCs w:val="24"/>
      <w:u w:val="single"/>
    </w:rPr>
  </w:style>
  <w:style w:type="paragraph" w:customStyle="1" w:styleId="HL8HeadingLevel8">
    <w:name w:val="[HL8] Heading Level 8"/>
    <w:basedOn w:val="Heading8"/>
    <w:next w:val="P1-N1Paragraph1-Number1"/>
    <w:link w:val="HL8HeadingLevel8Char"/>
    <w:uiPriority w:val="4"/>
    <w:semiHidden/>
    <w:rsid w:val="008E5D7A"/>
    <w:pPr>
      <w:numPr>
        <w:ilvl w:val="7"/>
        <w:numId w:val="2"/>
      </w:numPr>
      <w:tabs>
        <w:tab w:val="clear" w:pos="6804"/>
        <w:tab w:val="num" w:pos="360"/>
      </w:tabs>
      <w:ind w:left="0" w:firstLine="0"/>
    </w:pPr>
  </w:style>
  <w:style w:type="character" w:customStyle="1" w:styleId="HL7HeadingLevel7Char">
    <w:name w:val="[HL7] Heading Level 7 Char"/>
    <w:basedOn w:val="BTBodyTextChar"/>
    <w:link w:val="HL7HeadingLevel7"/>
    <w:uiPriority w:val="4"/>
    <w:semiHidden/>
    <w:rsid w:val="008E5D7A"/>
    <w:rPr>
      <w:rFonts w:ascii="Calibri" w:eastAsiaTheme="majorEastAsia" w:hAnsi="Calibri" w:cstheme="majorBidi"/>
      <w:i/>
      <w:iCs/>
      <w:sz w:val="24"/>
      <w:szCs w:val="24"/>
    </w:rPr>
  </w:style>
  <w:style w:type="paragraph" w:customStyle="1" w:styleId="HL9HeadingLevel9">
    <w:name w:val="[HL9] Heading Level 9"/>
    <w:basedOn w:val="Heading9"/>
    <w:next w:val="P1-N1Paragraph1-Number1"/>
    <w:link w:val="HL9HeadingLevel9Char"/>
    <w:uiPriority w:val="4"/>
    <w:semiHidden/>
    <w:rsid w:val="008E5D7A"/>
    <w:pPr>
      <w:numPr>
        <w:ilvl w:val="8"/>
        <w:numId w:val="2"/>
      </w:numPr>
      <w:tabs>
        <w:tab w:val="clear" w:pos="7655"/>
        <w:tab w:val="num" w:pos="360"/>
      </w:tabs>
      <w:ind w:left="0" w:firstLine="0"/>
    </w:pPr>
  </w:style>
  <w:style w:type="character" w:customStyle="1" w:styleId="HL8HeadingLevel8Char">
    <w:name w:val="[HL8] Heading Level 8 Char"/>
    <w:basedOn w:val="BTBodyTextChar"/>
    <w:link w:val="HL8HeadingLevel8"/>
    <w:uiPriority w:val="4"/>
    <w:semiHidden/>
    <w:rsid w:val="008E5D7A"/>
    <w:rPr>
      <w:rFonts w:ascii="Calibri" w:eastAsiaTheme="majorEastAsia" w:hAnsi="Calibri" w:cstheme="majorBidi"/>
      <w:sz w:val="24"/>
      <w:szCs w:val="21"/>
      <w:u w:val="single"/>
    </w:rPr>
  </w:style>
  <w:style w:type="paragraph" w:customStyle="1" w:styleId="SHSectionHeading">
    <w:name w:val="[SH] Section Heading"/>
    <w:basedOn w:val="Heading1"/>
    <w:next w:val="BTBodyText"/>
    <w:link w:val="SHSectionHeadingChar"/>
    <w:uiPriority w:val="12"/>
    <w:qFormat/>
    <w:rsid w:val="008E5D7A"/>
    <w:pPr>
      <w:spacing w:before="240" w:after="0"/>
      <w:jc w:val="center"/>
    </w:pPr>
    <w:rPr>
      <w:sz w:val="24"/>
    </w:rPr>
  </w:style>
  <w:style w:type="character" w:customStyle="1" w:styleId="HL9HeadingLevel9Char">
    <w:name w:val="[HL9] Heading Level 9 Char"/>
    <w:basedOn w:val="BTBodyTextChar"/>
    <w:link w:val="HL9HeadingLevel9"/>
    <w:uiPriority w:val="4"/>
    <w:semiHidden/>
    <w:rsid w:val="008E5D7A"/>
    <w:rPr>
      <w:rFonts w:ascii="Calibri" w:eastAsiaTheme="majorEastAsia" w:hAnsi="Calibri" w:cstheme="majorBidi"/>
      <w:i/>
      <w:iCs/>
      <w:sz w:val="24"/>
      <w:szCs w:val="21"/>
    </w:rPr>
  </w:style>
  <w:style w:type="paragraph" w:styleId="TOCHeading">
    <w:name w:val="TOC Heading"/>
    <w:basedOn w:val="Normal"/>
    <w:next w:val="Normal"/>
    <w:uiPriority w:val="39"/>
    <w:unhideWhenUsed/>
    <w:rsid w:val="008E5D7A"/>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8E5D7A"/>
    <w:rPr>
      <w:rFonts w:ascii="Calibri" w:eastAsiaTheme="majorEastAsia" w:hAnsi="Calibri" w:cstheme="majorBidi"/>
      <w:b/>
      <w:caps/>
      <w:sz w:val="24"/>
      <w:szCs w:val="32"/>
    </w:rPr>
  </w:style>
  <w:style w:type="paragraph" w:styleId="TOC1">
    <w:name w:val="toc 1"/>
    <w:basedOn w:val="Normal"/>
    <w:next w:val="Normal"/>
    <w:autoRedefine/>
    <w:uiPriority w:val="39"/>
    <w:unhideWhenUsed/>
    <w:rsid w:val="008E5D7A"/>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8E5D7A"/>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8E5D7A"/>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8E5D7A"/>
    <w:rPr>
      <w:color w:val="0563C1" w:themeColor="hyperlink"/>
      <w:u w:val="single"/>
    </w:rPr>
  </w:style>
  <w:style w:type="paragraph" w:styleId="TOC4">
    <w:name w:val="toc 4"/>
    <w:basedOn w:val="Normal"/>
    <w:next w:val="Normal"/>
    <w:autoRedefine/>
    <w:uiPriority w:val="39"/>
    <w:unhideWhenUsed/>
    <w:rsid w:val="008E5D7A"/>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8E5D7A"/>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8E5D7A"/>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8E5D7A"/>
    <w:pPr>
      <w:spacing w:before="120" w:after="100" w:line="240" w:lineRule="auto"/>
      <w:ind w:left="3403" w:hanging="851"/>
    </w:pPr>
  </w:style>
  <w:style w:type="paragraph" w:styleId="TOC8">
    <w:name w:val="toc 8"/>
    <w:basedOn w:val="Normal"/>
    <w:next w:val="Normal"/>
    <w:autoRedefine/>
    <w:uiPriority w:val="39"/>
    <w:unhideWhenUsed/>
    <w:rsid w:val="008E5D7A"/>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8E5D7A"/>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8E5D7A"/>
    <w:pPr>
      <w:keepNext/>
      <w:numPr>
        <w:numId w:val="3"/>
      </w:numPr>
      <w:spacing w:before="240" w:after="0"/>
      <w:jc w:val="center"/>
      <w:outlineLvl w:val="7"/>
    </w:pPr>
    <w:rPr>
      <w:b/>
    </w:rPr>
  </w:style>
  <w:style w:type="character" w:customStyle="1" w:styleId="FCFigureCaptionChar">
    <w:name w:val="[FC] Figure Caption Char"/>
    <w:basedOn w:val="BTBodyTextChar"/>
    <w:link w:val="FCFigureCaption"/>
    <w:uiPriority w:val="10"/>
    <w:rsid w:val="008E5D7A"/>
    <w:rPr>
      <w:rFonts w:ascii="Calibri" w:hAnsi="Calibri"/>
      <w:b/>
      <w:sz w:val="24"/>
      <w:szCs w:val="24"/>
    </w:rPr>
  </w:style>
  <w:style w:type="paragraph" w:customStyle="1" w:styleId="TCTableCaption">
    <w:name w:val="[TC] Table Caption"/>
    <w:basedOn w:val="FCFigureCaption"/>
    <w:next w:val="BTBodyText"/>
    <w:link w:val="TCTableCaptionChar"/>
    <w:uiPriority w:val="10"/>
    <w:qFormat/>
    <w:rsid w:val="008E5D7A"/>
    <w:pPr>
      <w:numPr>
        <w:numId w:val="4"/>
      </w:numPr>
      <w:outlineLvl w:val="8"/>
    </w:pPr>
  </w:style>
  <w:style w:type="character" w:customStyle="1" w:styleId="TCTableCaptionChar">
    <w:name w:val="[TC] Table Caption Char"/>
    <w:basedOn w:val="BTBodyTextChar"/>
    <w:link w:val="TCTableCaption"/>
    <w:uiPriority w:val="10"/>
    <w:rsid w:val="008E5D7A"/>
    <w:rPr>
      <w:rFonts w:ascii="Calibri" w:hAnsi="Calibri"/>
      <w:b/>
      <w:sz w:val="24"/>
      <w:szCs w:val="24"/>
    </w:rPr>
  </w:style>
  <w:style w:type="paragraph" w:customStyle="1" w:styleId="TTTableText">
    <w:name w:val="[TT] Table Text"/>
    <w:basedOn w:val="BTBodyText"/>
    <w:link w:val="TTTableTextChar"/>
    <w:uiPriority w:val="19"/>
    <w:qFormat/>
    <w:rsid w:val="008E5D7A"/>
    <w:pPr>
      <w:spacing w:before="40" w:after="40" w:line="240" w:lineRule="auto"/>
      <w:jc w:val="left"/>
    </w:pPr>
  </w:style>
  <w:style w:type="paragraph" w:customStyle="1" w:styleId="THTableHeading">
    <w:name w:val="[TH] Table Heading"/>
    <w:basedOn w:val="TTTableText"/>
    <w:link w:val="THTableHeadingChar"/>
    <w:uiPriority w:val="19"/>
    <w:qFormat/>
    <w:rsid w:val="008E5D7A"/>
    <w:rPr>
      <w:b/>
    </w:rPr>
  </w:style>
  <w:style w:type="character" w:customStyle="1" w:styleId="TTTableTextChar">
    <w:name w:val="[TT] Table Text Char"/>
    <w:basedOn w:val="BTBodyTextChar"/>
    <w:link w:val="TTTableText"/>
    <w:uiPriority w:val="19"/>
    <w:rsid w:val="008E5D7A"/>
    <w:rPr>
      <w:rFonts w:ascii="Calibri" w:hAnsi="Calibri"/>
      <w:sz w:val="24"/>
      <w:szCs w:val="24"/>
    </w:rPr>
  </w:style>
  <w:style w:type="paragraph" w:customStyle="1" w:styleId="AHL1AnnexHeadingLevel1">
    <w:name w:val="[AHL1] Annex Heading Level 1"/>
    <w:basedOn w:val="Heading1"/>
    <w:next w:val="P1-N1Paragraph1-Number1"/>
    <w:link w:val="AHL1AnnexHeadingLevel1Char"/>
    <w:uiPriority w:val="15"/>
    <w:qFormat/>
    <w:rsid w:val="008E5D7A"/>
    <w:pPr>
      <w:numPr>
        <w:numId w:val="5"/>
      </w:numPr>
    </w:pPr>
    <w:rPr>
      <w:caps w:val="0"/>
      <w:sz w:val="24"/>
    </w:rPr>
  </w:style>
  <w:style w:type="character" w:customStyle="1" w:styleId="THTableHeadingChar">
    <w:name w:val="[TH] Table Heading Char"/>
    <w:basedOn w:val="TTTableTextChar"/>
    <w:link w:val="THTableHeading"/>
    <w:uiPriority w:val="19"/>
    <w:rsid w:val="008E5D7A"/>
    <w:rPr>
      <w:rFonts w:ascii="Calibri" w:hAnsi="Calibri"/>
      <w:b/>
      <w:sz w:val="24"/>
      <w:szCs w:val="24"/>
    </w:rPr>
  </w:style>
  <w:style w:type="paragraph" w:customStyle="1" w:styleId="AHL2AnnexHeadingLevel2">
    <w:name w:val="[AHL2] Annex Heading Level 2"/>
    <w:basedOn w:val="Heading2"/>
    <w:next w:val="P1-N1Paragraph1-Number1"/>
    <w:link w:val="AHL2AnnexHeadingLevel2Char"/>
    <w:uiPriority w:val="15"/>
    <w:qFormat/>
    <w:rsid w:val="008E5D7A"/>
    <w:pPr>
      <w:numPr>
        <w:ilvl w:val="1"/>
        <w:numId w:val="5"/>
      </w:numPr>
    </w:pPr>
    <w:rPr>
      <w:sz w:val="24"/>
    </w:rPr>
  </w:style>
  <w:style w:type="character" w:customStyle="1" w:styleId="AHL1AnnexHeadingLevel1Char">
    <w:name w:val="[AHL1] Annex Heading Level 1 Char"/>
    <w:basedOn w:val="BTBodyTextChar"/>
    <w:link w:val="AHL1AnnexHeadingLevel1"/>
    <w:uiPriority w:val="15"/>
    <w:rsid w:val="008E5D7A"/>
    <w:rPr>
      <w:rFonts w:ascii="Calibri" w:eastAsiaTheme="majorEastAsia" w:hAnsi="Calibri" w:cstheme="majorBidi"/>
      <w:b/>
      <w:sz w:val="24"/>
      <w:szCs w:val="32"/>
    </w:rPr>
  </w:style>
  <w:style w:type="paragraph" w:customStyle="1" w:styleId="AHL3AnnexHeadingLevel3">
    <w:name w:val="[AHL3] Annex Heading Level 3"/>
    <w:basedOn w:val="Heading3"/>
    <w:next w:val="P1-N1Paragraph1-Number1"/>
    <w:link w:val="AHL3AnnexHeadingLevel3Char"/>
    <w:uiPriority w:val="15"/>
    <w:qFormat/>
    <w:rsid w:val="008E5D7A"/>
    <w:pPr>
      <w:numPr>
        <w:ilvl w:val="2"/>
        <w:numId w:val="5"/>
      </w:numPr>
    </w:pPr>
  </w:style>
  <w:style w:type="character" w:customStyle="1" w:styleId="AHL2AnnexHeadingLevel2Char">
    <w:name w:val="[AHL2] Annex Heading Level 2 Char"/>
    <w:basedOn w:val="BTBodyTextChar"/>
    <w:link w:val="AHL2AnnexHeadingLevel2"/>
    <w:uiPriority w:val="15"/>
    <w:rsid w:val="008E5D7A"/>
    <w:rPr>
      <w:rFonts w:ascii="Calibri" w:eastAsiaTheme="majorEastAsia" w:hAnsi="Calibri" w:cstheme="majorBidi"/>
      <w:b/>
      <w:smallCaps/>
      <w:sz w:val="24"/>
      <w:szCs w:val="26"/>
    </w:rPr>
  </w:style>
  <w:style w:type="paragraph" w:customStyle="1" w:styleId="AHL4AnnexHeadingLevel4">
    <w:name w:val="[AHL4] Annex Heading Level 4"/>
    <w:basedOn w:val="Heading4"/>
    <w:next w:val="P1-N1Paragraph1-Number1"/>
    <w:link w:val="AHL4AnnexHeadingLevel4Char"/>
    <w:uiPriority w:val="15"/>
    <w:semiHidden/>
    <w:rsid w:val="008E5D7A"/>
    <w:pPr>
      <w:numPr>
        <w:ilvl w:val="3"/>
        <w:numId w:val="5"/>
      </w:numPr>
    </w:pPr>
  </w:style>
  <w:style w:type="character" w:customStyle="1" w:styleId="AHL3AnnexHeadingLevel3Char">
    <w:name w:val="[AHL3] Annex Heading Level 3 Char"/>
    <w:basedOn w:val="BTBodyTextChar"/>
    <w:link w:val="AHL3AnnexHeadingLevel3"/>
    <w:uiPriority w:val="15"/>
    <w:rsid w:val="008E5D7A"/>
    <w:rPr>
      <w:rFonts w:ascii="Calibri" w:eastAsiaTheme="majorEastAsia" w:hAnsi="Calibri" w:cstheme="majorBidi"/>
      <w:b/>
      <w:sz w:val="24"/>
      <w:szCs w:val="24"/>
    </w:rPr>
  </w:style>
  <w:style w:type="paragraph" w:customStyle="1" w:styleId="AHL5AnnexHeadingLevel5">
    <w:name w:val="[AHL5] Annex Heading Level 5"/>
    <w:basedOn w:val="Heading5"/>
    <w:next w:val="P1-N1Paragraph1-Number1"/>
    <w:link w:val="AHL5AnnexHeadingLevel5Char"/>
    <w:uiPriority w:val="15"/>
    <w:semiHidden/>
    <w:rsid w:val="008E5D7A"/>
    <w:pPr>
      <w:numPr>
        <w:ilvl w:val="4"/>
        <w:numId w:val="5"/>
      </w:numPr>
    </w:pPr>
    <w:rPr>
      <w:b/>
      <w:i w:val="0"/>
    </w:rPr>
  </w:style>
  <w:style w:type="character" w:customStyle="1" w:styleId="AHL4AnnexHeadingLevel4Char">
    <w:name w:val="[AHL4] Annex Heading Level 4 Char"/>
    <w:basedOn w:val="BTBodyTextChar"/>
    <w:link w:val="AHL4AnnexHeadingLevel4"/>
    <w:uiPriority w:val="15"/>
    <w:semiHidden/>
    <w:rsid w:val="008E5D7A"/>
    <w:rPr>
      <w:rFonts w:ascii="Calibri" w:eastAsiaTheme="majorEastAsia" w:hAnsi="Calibri" w:cstheme="majorBidi"/>
      <w:iCs/>
      <w:sz w:val="24"/>
      <w:szCs w:val="24"/>
      <w:u w:val="single"/>
    </w:rPr>
  </w:style>
  <w:style w:type="paragraph" w:customStyle="1" w:styleId="AHL6AnnexHeadingLevel6">
    <w:name w:val="[AHL6] Annex Heading Level 6"/>
    <w:basedOn w:val="Heading6"/>
    <w:next w:val="P1-N1Paragraph1-Number1"/>
    <w:link w:val="AHL6AnnexHeadingLevel6Char"/>
    <w:uiPriority w:val="15"/>
    <w:semiHidden/>
    <w:rsid w:val="008E5D7A"/>
    <w:pPr>
      <w:numPr>
        <w:ilvl w:val="5"/>
        <w:numId w:val="5"/>
      </w:numPr>
    </w:pPr>
  </w:style>
  <w:style w:type="character" w:customStyle="1" w:styleId="AHL5AnnexHeadingLevel5Char">
    <w:name w:val="[AHL5] Annex Heading Level 5 Char"/>
    <w:basedOn w:val="BTBodyTextChar"/>
    <w:link w:val="AHL5AnnexHeadingLevel5"/>
    <w:uiPriority w:val="15"/>
    <w:semiHidden/>
    <w:rsid w:val="008E5D7A"/>
    <w:rPr>
      <w:rFonts w:ascii="Calibri" w:eastAsiaTheme="majorEastAsia" w:hAnsi="Calibri" w:cstheme="majorBidi"/>
      <w:b/>
      <w:sz w:val="24"/>
      <w:szCs w:val="24"/>
    </w:rPr>
  </w:style>
  <w:style w:type="paragraph" w:customStyle="1" w:styleId="AHL7AnnexHeadingLevel7">
    <w:name w:val="[AHL7] Annex Heading Level 7"/>
    <w:basedOn w:val="Heading7"/>
    <w:next w:val="P1-N1Paragraph1-Number1"/>
    <w:link w:val="AHL7AnnexHeadingLevel7Char"/>
    <w:uiPriority w:val="15"/>
    <w:semiHidden/>
    <w:rsid w:val="008E5D7A"/>
    <w:pPr>
      <w:numPr>
        <w:ilvl w:val="6"/>
        <w:numId w:val="5"/>
      </w:numPr>
    </w:pPr>
  </w:style>
  <w:style w:type="character" w:customStyle="1" w:styleId="AHL6AnnexHeadingLevel6Char">
    <w:name w:val="[AHL6] Annex Heading Level 6 Char"/>
    <w:basedOn w:val="BTBodyTextChar"/>
    <w:link w:val="AHL6AnnexHeadingLevel6"/>
    <w:uiPriority w:val="15"/>
    <w:semiHidden/>
    <w:rsid w:val="008E5D7A"/>
    <w:rPr>
      <w:rFonts w:ascii="Calibri" w:eastAsiaTheme="majorEastAsia" w:hAnsi="Calibri" w:cstheme="majorBidi"/>
      <w:sz w:val="24"/>
      <w:szCs w:val="24"/>
      <w:u w:val="single"/>
    </w:rPr>
  </w:style>
  <w:style w:type="paragraph" w:customStyle="1" w:styleId="AHL8AnnexHeadingLevel8">
    <w:name w:val="[AHL8] Annex Heading Level 8"/>
    <w:basedOn w:val="Heading8"/>
    <w:next w:val="P1-N1Paragraph1-Number1"/>
    <w:link w:val="AHL8AnnexHeadingLevel8Char"/>
    <w:uiPriority w:val="15"/>
    <w:semiHidden/>
    <w:rsid w:val="008E5D7A"/>
    <w:pPr>
      <w:numPr>
        <w:ilvl w:val="7"/>
        <w:numId w:val="5"/>
      </w:numPr>
    </w:pPr>
  </w:style>
  <w:style w:type="character" w:customStyle="1" w:styleId="AHL7AnnexHeadingLevel7Char">
    <w:name w:val="[AHL7] Annex Heading Level 7 Char"/>
    <w:basedOn w:val="BTBodyTextChar"/>
    <w:link w:val="AHL7AnnexHeadingLevel7"/>
    <w:uiPriority w:val="15"/>
    <w:semiHidden/>
    <w:rsid w:val="008E5D7A"/>
    <w:rPr>
      <w:rFonts w:ascii="Calibri" w:eastAsiaTheme="majorEastAsia" w:hAnsi="Calibri" w:cstheme="majorBidi"/>
      <w:i/>
      <w:iCs/>
      <w:sz w:val="24"/>
      <w:szCs w:val="24"/>
    </w:rPr>
  </w:style>
  <w:style w:type="paragraph" w:customStyle="1" w:styleId="AHL9AnnexHeadingLevel9">
    <w:name w:val="[AHL9] Annex Heading Level 9"/>
    <w:basedOn w:val="Heading9"/>
    <w:next w:val="P1-N1Paragraph1-Number1"/>
    <w:link w:val="AHL9AnnexHeadingLevel9Char"/>
    <w:uiPriority w:val="15"/>
    <w:semiHidden/>
    <w:rsid w:val="008E5D7A"/>
    <w:pPr>
      <w:numPr>
        <w:ilvl w:val="8"/>
        <w:numId w:val="5"/>
      </w:numPr>
    </w:pPr>
  </w:style>
  <w:style w:type="character" w:customStyle="1" w:styleId="AHL8AnnexHeadingLevel8Char">
    <w:name w:val="[AHL8] Annex Heading Level 8 Char"/>
    <w:basedOn w:val="BTBodyTextChar"/>
    <w:link w:val="AHL8AnnexHeadingLevel8"/>
    <w:uiPriority w:val="15"/>
    <w:semiHidden/>
    <w:rsid w:val="008E5D7A"/>
    <w:rPr>
      <w:rFonts w:ascii="Calibri" w:eastAsiaTheme="majorEastAsia" w:hAnsi="Calibri" w:cstheme="majorBidi"/>
      <w:sz w:val="24"/>
      <w:szCs w:val="21"/>
      <w:u w:val="single"/>
    </w:rPr>
  </w:style>
  <w:style w:type="paragraph" w:styleId="Header">
    <w:name w:val="header"/>
    <w:basedOn w:val="Normal"/>
    <w:link w:val="HeaderChar"/>
    <w:uiPriority w:val="99"/>
    <w:unhideWhenUsed/>
    <w:rsid w:val="008E5D7A"/>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8E5D7A"/>
    <w:rPr>
      <w:rFonts w:ascii="Calibri" w:hAnsi="Calibri"/>
      <w:szCs w:val="24"/>
    </w:rPr>
  </w:style>
  <w:style w:type="character" w:customStyle="1" w:styleId="AHL9AnnexHeadingLevel9Char">
    <w:name w:val="[AHL9] Annex Heading Level 9 Char"/>
    <w:basedOn w:val="BTBodyTextChar"/>
    <w:link w:val="AHL9AnnexHeadingLevel9"/>
    <w:uiPriority w:val="15"/>
    <w:semiHidden/>
    <w:rsid w:val="008E5D7A"/>
    <w:rPr>
      <w:rFonts w:ascii="Calibri" w:eastAsiaTheme="majorEastAsia" w:hAnsi="Calibri" w:cstheme="majorBidi"/>
      <w:i/>
      <w:iCs/>
      <w:sz w:val="24"/>
      <w:szCs w:val="21"/>
    </w:rPr>
  </w:style>
  <w:style w:type="paragraph" w:styleId="Footer">
    <w:name w:val="footer"/>
    <w:basedOn w:val="Normal"/>
    <w:link w:val="FooterChar"/>
    <w:uiPriority w:val="99"/>
    <w:unhideWhenUsed/>
    <w:rsid w:val="008E5D7A"/>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8E5D7A"/>
    <w:rPr>
      <w:rFonts w:ascii="Calibri" w:hAnsi="Calibri"/>
      <w:szCs w:val="24"/>
    </w:rPr>
  </w:style>
  <w:style w:type="paragraph" w:styleId="FootnoteText">
    <w:name w:val="footnote text"/>
    <w:aliases w:val="ACWL Footnotes,C,Ca,Footnote Text Char Char,Footnote ak,Footnote ak Char,Footnotes,Footnotes Char,Footnotes Char Char,f,fn,fn Char,fn Char Char,fn cafc,footnote citation,footnote text,footnote text Char,footnote text Char Char Char Ch,ft"/>
    <w:basedOn w:val="Normal"/>
    <w:link w:val="FootnoteTextChar"/>
    <w:uiPriority w:val="5"/>
    <w:qFormat/>
    <w:rsid w:val="008E5D7A"/>
    <w:pPr>
      <w:tabs>
        <w:tab w:val="left" w:pos="720"/>
      </w:tabs>
      <w:spacing w:after="0" w:line="240" w:lineRule="auto"/>
    </w:pPr>
    <w:rPr>
      <w:sz w:val="18"/>
      <w:szCs w:val="20"/>
    </w:rPr>
  </w:style>
  <w:style w:type="character" w:customStyle="1" w:styleId="FootnoteTextChar">
    <w:name w:val="Footnote Text Char"/>
    <w:aliases w:val="ACWL Footnotes Char,C Char,Ca Char,Footnote Text Char Char Char,Footnote ak Char1,Footnote ak Char Char,Footnotes Char1,Footnotes Char Char1,Footnotes Char Char Char,f Char,fn Char1,fn Char Char1,fn Char Char Char,fn cafc Char,ft Char"/>
    <w:basedOn w:val="DefaultParagraphFont"/>
    <w:link w:val="FootnoteText"/>
    <w:uiPriority w:val="5"/>
    <w:qFormat/>
    <w:rsid w:val="008E5D7A"/>
    <w:rPr>
      <w:rFonts w:ascii="Calibri" w:hAnsi="Calibri"/>
      <w:sz w:val="18"/>
      <w:szCs w:val="20"/>
    </w:rPr>
  </w:style>
  <w:style w:type="character" w:styleId="FootnoteReference">
    <w:name w:val="footnote reference"/>
    <w:aliases w:val="-E Fu§notenzeichen,-E Fußnotenzeichen,-E Fuﬂnotenzeichen,11,11 p,11 pt,16 Point,????,Footnote Reference1,Ref,Ref1,Superscript 6 Point,de nota al pie,de nota al pie + (Asian) MS Mincho,de nota al pie1,註??腳內—e,註?腳Ò®é»,註?腳內Ñe,註?腳內—e,註腳內容"/>
    <w:basedOn w:val="DefaultParagraphFont"/>
    <w:link w:val="CharChar6CharCharCharCharCharChar"/>
    <w:uiPriority w:val="5"/>
    <w:qFormat/>
    <w:rsid w:val="008E5D7A"/>
    <w:rPr>
      <w:rFonts w:ascii="Calibri" w:hAnsi="Calibri"/>
      <w:color w:val="000000"/>
      <w:sz w:val="24"/>
      <w:vertAlign w:val="superscript"/>
    </w:rPr>
  </w:style>
  <w:style w:type="character" w:customStyle="1" w:styleId="UnresolvedMention1">
    <w:name w:val="Unresolved Mention1"/>
    <w:basedOn w:val="DefaultParagraphFont"/>
    <w:uiPriority w:val="99"/>
    <w:semiHidden/>
    <w:unhideWhenUsed/>
    <w:rsid w:val="008E5D7A"/>
    <w:rPr>
      <w:color w:val="605E5C"/>
      <w:shd w:val="clear" w:color="auto" w:fill="E1DFDD"/>
    </w:rPr>
  </w:style>
  <w:style w:type="character" w:styleId="PlaceholderText">
    <w:name w:val="Placeholder Text"/>
    <w:basedOn w:val="DefaultParagraphFont"/>
    <w:uiPriority w:val="99"/>
    <w:semiHidden/>
    <w:rsid w:val="008E5D7A"/>
    <w:rPr>
      <w:color w:val="808080"/>
    </w:rPr>
  </w:style>
  <w:style w:type="paragraph" w:customStyle="1" w:styleId="CharChar6CharCharCharCharCharChar">
    <w:name w:val="Char Char6 Char Char Char Char Char Char"/>
    <w:aliases w:val="Char6 Char Char Char Char Char Char Char"/>
    <w:basedOn w:val="Normal"/>
    <w:link w:val="FootnoteReference"/>
    <w:uiPriority w:val="5"/>
    <w:rsid w:val="008E5D7A"/>
    <w:pPr>
      <w:spacing w:after="0"/>
      <w:jc w:val="center"/>
    </w:pPr>
    <w:rPr>
      <w:color w:val="000000"/>
      <w:szCs w:val="22"/>
      <w:vertAlign w:val="superscript"/>
    </w:rPr>
  </w:style>
  <w:style w:type="paragraph" w:customStyle="1" w:styleId="ELPBodytext">
    <w:name w:val="ELP Body text"/>
    <w:basedOn w:val="Normal"/>
    <w:link w:val="ELPBodytextChar"/>
    <w:autoRedefine/>
    <w:qFormat/>
    <w:rsid w:val="008E5D7A"/>
    <w:pPr>
      <w:keepLines/>
      <w:widowControl w:val="0"/>
      <w:numPr>
        <w:numId w:val="6"/>
      </w:numPr>
      <w:tabs>
        <w:tab w:val="left" w:pos="990"/>
      </w:tabs>
      <w:spacing w:after="240"/>
      <w:ind w:left="540" w:firstLine="0"/>
    </w:pPr>
    <w:rPr>
      <w:rFonts w:ascii="Verdana" w:eastAsia="Times New Roman" w:hAnsi="Verdana" w:cs="Times New Roman"/>
      <w:sz w:val="18"/>
      <w:szCs w:val="18"/>
      <w:lang w:bidi="en-US"/>
    </w:rPr>
  </w:style>
  <w:style w:type="character" w:customStyle="1" w:styleId="ELPBodytextChar">
    <w:name w:val="ELP Body text Char"/>
    <w:link w:val="ELPBodytext"/>
    <w:rsid w:val="008E5D7A"/>
    <w:rPr>
      <w:rFonts w:ascii="Verdana" w:eastAsia="Times New Roman" w:hAnsi="Verdana" w:cs="Times New Roman"/>
      <w:sz w:val="18"/>
      <w:szCs w:val="18"/>
      <w:lang w:bidi="en-US"/>
    </w:rPr>
  </w:style>
  <w:style w:type="paragraph" w:customStyle="1" w:styleId="ELPQuotation">
    <w:name w:val="ELP Quotation"/>
    <w:basedOn w:val="Normal"/>
    <w:next w:val="Normal"/>
    <w:autoRedefine/>
    <w:qFormat/>
    <w:rsid w:val="008E5D7A"/>
    <w:pPr>
      <w:keepNext/>
      <w:widowControl w:val="0"/>
      <w:spacing w:after="240" w:line="240" w:lineRule="auto"/>
      <w:ind w:left="1418" w:right="1418"/>
    </w:pPr>
    <w:rPr>
      <w:rFonts w:ascii="Verdana" w:eastAsia="Times New Roman" w:hAnsi="Verdana" w:cs="Times New Roman"/>
      <w:sz w:val="18"/>
      <w:szCs w:val="20"/>
      <w:lang w:val="en-GB" w:eastAsia="x-none"/>
    </w:rPr>
  </w:style>
  <w:style w:type="paragraph" w:customStyle="1" w:styleId="WTONumbers">
    <w:name w:val="WTO Numbers"/>
    <w:rsid w:val="008E5D7A"/>
    <w:pPr>
      <w:numPr>
        <w:numId w:val="7"/>
      </w:numPr>
      <w:autoSpaceDE w:val="0"/>
      <w:autoSpaceDN w:val="0"/>
      <w:adjustRightInd w:val="0"/>
      <w:spacing w:after="24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E5D7A"/>
    <w:rPr>
      <w:sz w:val="16"/>
      <w:szCs w:val="16"/>
    </w:rPr>
  </w:style>
  <w:style w:type="paragraph" w:styleId="CommentText">
    <w:name w:val="annotation text"/>
    <w:basedOn w:val="Normal"/>
    <w:link w:val="CommentTextChar"/>
    <w:uiPriority w:val="99"/>
    <w:unhideWhenUsed/>
    <w:rsid w:val="008E5D7A"/>
    <w:pPr>
      <w:spacing w:line="240" w:lineRule="auto"/>
    </w:pPr>
    <w:rPr>
      <w:sz w:val="20"/>
      <w:szCs w:val="20"/>
    </w:rPr>
  </w:style>
  <w:style w:type="character" w:customStyle="1" w:styleId="CommentTextChar">
    <w:name w:val="Comment Text Char"/>
    <w:basedOn w:val="DefaultParagraphFont"/>
    <w:link w:val="CommentText"/>
    <w:uiPriority w:val="99"/>
    <w:rsid w:val="008E5D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E5D7A"/>
    <w:rPr>
      <w:b/>
      <w:bCs/>
    </w:rPr>
  </w:style>
  <w:style w:type="character" w:customStyle="1" w:styleId="CommentSubjectChar">
    <w:name w:val="Comment Subject Char"/>
    <w:basedOn w:val="CommentTextChar"/>
    <w:link w:val="CommentSubject"/>
    <w:uiPriority w:val="99"/>
    <w:semiHidden/>
    <w:rsid w:val="008E5D7A"/>
    <w:rPr>
      <w:rFonts w:ascii="Calibri" w:hAnsi="Calibri"/>
      <w:b/>
      <w:bCs/>
      <w:sz w:val="20"/>
      <w:szCs w:val="20"/>
    </w:rPr>
  </w:style>
  <w:style w:type="paragraph" w:styleId="Revision">
    <w:name w:val="Revision"/>
    <w:hidden/>
    <w:uiPriority w:val="99"/>
    <w:semiHidden/>
    <w:rsid w:val="008E5D7A"/>
    <w:pPr>
      <w:spacing w:after="0" w:line="240" w:lineRule="auto"/>
    </w:pPr>
    <w:rPr>
      <w:rFonts w:ascii="Calibri" w:hAnsi="Calibri"/>
      <w:sz w:val="24"/>
      <w:szCs w:val="24"/>
    </w:rPr>
  </w:style>
  <w:style w:type="paragraph" w:customStyle="1" w:styleId="Applesbodytext">
    <w:name w:val="Apples body text"/>
    <w:basedOn w:val="Normal"/>
    <w:autoRedefine/>
    <w:rsid w:val="008E5D7A"/>
    <w:pPr>
      <w:numPr>
        <w:numId w:val="9"/>
      </w:numPr>
      <w:tabs>
        <w:tab w:val="clear" w:pos="1429"/>
        <w:tab w:val="num" w:pos="862"/>
      </w:tabs>
      <w:spacing w:after="0"/>
      <w:ind w:left="0"/>
    </w:pPr>
    <w:rPr>
      <w:rFonts w:ascii="Times New Roman" w:eastAsia="Times New Roman" w:hAnsi="Times New Roman" w:cs="Times New Roman"/>
      <w:lang w:eastAsia="en-AU"/>
    </w:rPr>
  </w:style>
  <w:style w:type="paragraph" w:customStyle="1" w:styleId="Apples-BodyText">
    <w:name w:val="Apples - Body Text"/>
    <w:basedOn w:val="Normal"/>
    <w:rsid w:val="008E5D7A"/>
    <w:pPr>
      <w:spacing w:before="240" w:after="0"/>
    </w:pPr>
    <w:rPr>
      <w:rFonts w:ascii="Times New Roman" w:eastAsia="Times New Roman" w:hAnsi="Times New Roman" w:cs="Times New Roman"/>
      <w:lang w:eastAsia="en-AU"/>
    </w:rPr>
  </w:style>
  <w:style w:type="paragraph" w:customStyle="1" w:styleId="Apples-Quotation">
    <w:name w:val="Apples - Quotation"/>
    <w:basedOn w:val="Normal"/>
    <w:rsid w:val="008E5D7A"/>
    <w:pPr>
      <w:spacing w:before="120" w:after="240" w:line="240" w:lineRule="auto"/>
      <w:ind w:left="1440" w:right="924"/>
    </w:pPr>
    <w:rPr>
      <w:rFonts w:ascii="Times New Roman" w:eastAsia="Times New Roman" w:hAnsi="Times New Roman" w:cs="Times New Roman"/>
      <w:sz w:val="22"/>
      <w:szCs w:val="22"/>
      <w:lang w:eastAsia="en-AU"/>
    </w:rPr>
  </w:style>
  <w:style w:type="paragraph" w:styleId="Quote">
    <w:name w:val="Quote"/>
    <w:basedOn w:val="Normal"/>
    <w:next w:val="Normal"/>
    <w:link w:val="QuoteChar"/>
    <w:uiPriority w:val="29"/>
    <w:qFormat/>
    <w:rsid w:val="008E5D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E5D7A"/>
    <w:rPr>
      <w:rFonts w:ascii="Calibri" w:hAnsi="Calibri"/>
      <w:i/>
      <w:iCs/>
      <w:color w:val="404040" w:themeColor="text1" w:themeTint="BF"/>
      <w:sz w:val="24"/>
      <w:szCs w:val="24"/>
    </w:rPr>
  </w:style>
  <w:style w:type="paragraph" w:customStyle="1" w:styleId="NumberLevel1">
    <w:name w:val="Number Level 1"/>
    <w:aliases w:val="N1"/>
    <w:basedOn w:val="Normal"/>
    <w:uiPriority w:val="1"/>
    <w:qFormat/>
    <w:rsid w:val="008E5D7A"/>
    <w:pPr>
      <w:numPr>
        <w:numId w:val="10"/>
      </w:numPr>
      <w:spacing w:before="140" w:after="140" w:line="280" w:lineRule="atLeast"/>
      <w:jc w:val="lef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8E5D7A"/>
    <w:pPr>
      <w:numPr>
        <w:ilvl w:val="1"/>
        <w:numId w:val="10"/>
      </w:numPr>
      <w:spacing w:before="140" w:after="140" w:line="280" w:lineRule="atLeast"/>
      <w:jc w:val="lef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8E5D7A"/>
    <w:pPr>
      <w:numPr>
        <w:ilvl w:val="2"/>
        <w:numId w:val="10"/>
      </w:numPr>
      <w:spacing w:before="140" w:after="140" w:line="280" w:lineRule="atLeast"/>
      <w:jc w:val="lef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8E5D7A"/>
    <w:pPr>
      <w:numPr>
        <w:ilvl w:val="3"/>
        <w:numId w:val="10"/>
      </w:numPr>
      <w:spacing w:after="140" w:line="280" w:lineRule="atLeast"/>
      <w:jc w:val="lef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8E5D7A"/>
    <w:pPr>
      <w:numPr>
        <w:ilvl w:val="4"/>
        <w:numId w:val="10"/>
      </w:numPr>
      <w:spacing w:after="140" w:line="280" w:lineRule="atLeast"/>
      <w:jc w:val="left"/>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8E5D7A"/>
    <w:pPr>
      <w:numPr>
        <w:ilvl w:val="5"/>
      </w:numPr>
    </w:pPr>
  </w:style>
  <w:style w:type="paragraph" w:customStyle="1" w:styleId="NumberLevel7">
    <w:name w:val="Number Level 7"/>
    <w:basedOn w:val="NumberLevel6"/>
    <w:uiPriority w:val="1"/>
    <w:semiHidden/>
    <w:rsid w:val="008E5D7A"/>
    <w:pPr>
      <w:numPr>
        <w:ilvl w:val="6"/>
      </w:numPr>
    </w:pPr>
  </w:style>
  <w:style w:type="paragraph" w:customStyle="1" w:styleId="NumberLevel8">
    <w:name w:val="Number Level 8"/>
    <w:basedOn w:val="NumberLevel7"/>
    <w:uiPriority w:val="1"/>
    <w:semiHidden/>
    <w:rsid w:val="008E5D7A"/>
    <w:pPr>
      <w:numPr>
        <w:ilvl w:val="7"/>
      </w:numPr>
    </w:pPr>
  </w:style>
  <w:style w:type="paragraph" w:customStyle="1" w:styleId="NumberLevel9">
    <w:name w:val="Number Level 9"/>
    <w:basedOn w:val="NumberLevel8"/>
    <w:uiPriority w:val="1"/>
    <w:semiHidden/>
    <w:rsid w:val="008E5D7A"/>
    <w:pPr>
      <w:numPr>
        <w:ilvl w:val="8"/>
      </w:numPr>
    </w:pPr>
  </w:style>
  <w:style w:type="paragraph" w:customStyle="1" w:styleId="Quotation">
    <w:name w:val="Quotation"/>
    <w:basedOn w:val="Normal"/>
    <w:uiPriority w:val="9"/>
    <w:semiHidden/>
    <w:rsid w:val="008E5D7A"/>
    <w:pPr>
      <w:numPr>
        <w:numId w:val="12"/>
      </w:numPr>
      <w:spacing w:after="140" w:line="260" w:lineRule="atLeast"/>
      <w:jc w:val="left"/>
    </w:pPr>
    <w:rPr>
      <w:rFonts w:ascii="Arial" w:eastAsia="Times New Roman" w:hAnsi="Arial" w:cs="Arial"/>
      <w:sz w:val="20"/>
      <w:szCs w:val="22"/>
      <w:lang w:eastAsia="en-AU"/>
    </w:rPr>
  </w:style>
  <w:style w:type="paragraph" w:customStyle="1" w:styleId="Quotation1">
    <w:name w:val="Quotation 1"/>
    <w:aliases w:val="&quot;Q&quot;"/>
    <w:basedOn w:val="Normal"/>
    <w:uiPriority w:val="9"/>
    <w:qFormat/>
    <w:rsid w:val="008E5D7A"/>
    <w:pPr>
      <w:numPr>
        <w:ilvl w:val="1"/>
        <w:numId w:val="12"/>
      </w:numPr>
      <w:spacing w:after="140" w:line="260" w:lineRule="atLeast"/>
      <w:jc w:val="left"/>
    </w:pPr>
    <w:rPr>
      <w:rFonts w:ascii="Arial" w:eastAsia="Times New Roman" w:hAnsi="Arial" w:cs="Arial"/>
      <w:sz w:val="20"/>
      <w:szCs w:val="22"/>
      <w:lang w:eastAsia="en-AU"/>
    </w:rPr>
  </w:style>
  <w:style w:type="paragraph" w:customStyle="1" w:styleId="Quotation2">
    <w:name w:val="Quotation 2"/>
    <w:basedOn w:val="Normal"/>
    <w:uiPriority w:val="9"/>
    <w:semiHidden/>
    <w:rsid w:val="008E5D7A"/>
    <w:pPr>
      <w:numPr>
        <w:ilvl w:val="2"/>
        <w:numId w:val="12"/>
      </w:numPr>
      <w:spacing w:after="140" w:line="260" w:lineRule="atLeast"/>
      <w:jc w:val="left"/>
    </w:pPr>
    <w:rPr>
      <w:rFonts w:ascii="Arial" w:eastAsia="Times New Roman" w:hAnsi="Arial" w:cs="Arial"/>
      <w:sz w:val="20"/>
      <w:szCs w:val="22"/>
      <w:lang w:eastAsia="en-AU"/>
    </w:rPr>
  </w:style>
  <w:style w:type="paragraph" w:customStyle="1" w:styleId="Quotation3">
    <w:name w:val="Quotation 3"/>
    <w:basedOn w:val="Normal"/>
    <w:uiPriority w:val="9"/>
    <w:semiHidden/>
    <w:rsid w:val="008E5D7A"/>
    <w:pPr>
      <w:numPr>
        <w:ilvl w:val="3"/>
        <w:numId w:val="12"/>
      </w:numPr>
      <w:spacing w:after="140" w:line="260" w:lineRule="atLeast"/>
      <w:jc w:val="left"/>
    </w:pPr>
    <w:rPr>
      <w:rFonts w:ascii="Arial" w:eastAsia="Times New Roman" w:hAnsi="Arial" w:cs="Arial"/>
      <w:sz w:val="20"/>
      <w:szCs w:val="22"/>
      <w:lang w:eastAsia="en-AU"/>
    </w:rPr>
  </w:style>
  <w:style w:type="paragraph" w:customStyle="1" w:styleId="Quotation4">
    <w:name w:val="Quotation 4"/>
    <w:basedOn w:val="Normal"/>
    <w:uiPriority w:val="9"/>
    <w:semiHidden/>
    <w:rsid w:val="008E5D7A"/>
    <w:pPr>
      <w:numPr>
        <w:ilvl w:val="4"/>
        <w:numId w:val="12"/>
      </w:numPr>
      <w:spacing w:after="140" w:line="260" w:lineRule="atLeast"/>
      <w:jc w:val="left"/>
    </w:pPr>
    <w:rPr>
      <w:rFonts w:ascii="Arial" w:eastAsia="Times New Roman" w:hAnsi="Arial" w:cs="Arial"/>
      <w:sz w:val="20"/>
      <w:szCs w:val="22"/>
      <w:lang w:eastAsia="en-AU"/>
    </w:rPr>
  </w:style>
  <w:style w:type="paragraph" w:customStyle="1" w:styleId="Quotation5">
    <w:name w:val="Quotation 5"/>
    <w:basedOn w:val="Normal"/>
    <w:uiPriority w:val="9"/>
    <w:semiHidden/>
    <w:rsid w:val="008E5D7A"/>
    <w:pPr>
      <w:numPr>
        <w:ilvl w:val="5"/>
        <w:numId w:val="12"/>
      </w:numPr>
      <w:spacing w:after="140" w:line="260" w:lineRule="atLeast"/>
      <w:jc w:val="left"/>
    </w:pPr>
    <w:rPr>
      <w:rFonts w:ascii="Arial" w:eastAsia="Times New Roman" w:hAnsi="Arial" w:cs="Arial"/>
      <w:sz w:val="20"/>
      <w:szCs w:val="22"/>
      <w:lang w:eastAsia="en-AU"/>
    </w:rPr>
  </w:style>
  <w:style w:type="paragraph" w:customStyle="1" w:styleId="Quotation6">
    <w:name w:val="Quotation 6"/>
    <w:basedOn w:val="Normal"/>
    <w:uiPriority w:val="9"/>
    <w:semiHidden/>
    <w:rsid w:val="008E5D7A"/>
    <w:pPr>
      <w:numPr>
        <w:ilvl w:val="6"/>
        <w:numId w:val="12"/>
      </w:numPr>
      <w:spacing w:after="140" w:line="260" w:lineRule="atLeast"/>
      <w:jc w:val="left"/>
    </w:pPr>
    <w:rPr>
      <w:rFonts w:ascii="Arial" w:eastAsia="Times New Roman" w:hAnsi="Arial" w:cs="Arial"/>
      <w:sz w:val="20"/>
      <w:szCs w:val="22"/>
      <w:lang w:eastAsia="en-AU"/>
    </w:rPr>
  </w:style>
  <w:style w:type="paragraph" w:customStyle="1" w:styleId="Quotation7">
    <w:name w:val="Quotation 7"/>
    <w:basedOn w:val="Normal"/>
    <w:uiPriority w:val="9"/>
    <w:semiHidden/>
    <w:rsid w:val="008E5D7A"/>
    <w:pPr>
      <w:numPr>
        <w:ilvl w:val="7"/>
        <w:numId w:val="12"/>
      </w:numPr>
      <w:spacing w:after="140" w:line="260" w:lineRule="atLeast"/>
      <w:jc w:val="left"/>
    </w:pPr>
    <w:rPr>
      <w:rFonts w:ascii="Arial" w:eastAsia="Times New Roman" w:hAnsi="Arial" w:cs="Arial"/>
      <w:sz w:val="20"/>
      <w:szCs w:val="22"/>
      <w:lang w:eastAsia="en-AU"/>
    </w:rPr>
  </w:style>
  <w:style w:type="paragraph" w:customStyle="1" w:styleId="Quotation8">
    <w:name w:val="Quotation 8"/>
    <w:basedOn w:val="Normal"/>
    <w:uiPriority w:val="9"/>
    <w:semiHidden/>
    <w:rsid w:val="008E5D7A"/>
    <w:pPr>
      <w:numPr>
        <w:ilvl w:val="8"/>
        <w:numId w:val="12"/>
      </w:numPr>
      <w:spacing w:after="140" w:line="260" w:lineRule="atLeast"/>
      <w:jc w:val="left"/>
    </w:pPr>
    <w:rPr>
      <w:rFonts w:ascii="Arial" w:eastAsia="Times New Roman" w:hAnsi="Arial" w:cs="Arial"/>
      <w:sz w:val="20"/>
      <w:szCs w:val="22"/>
      <w:lang w:eastAsia="en-AU"/>
    </w:rPr>
  </w:style>
  <w:style w:type="paragraph" w:customStyle="1" w:styleId="TableNumberLevel1">
    <w:name w:val="Table: Number Level 1"/>
    <w:aliases w:val="Table N1"/>
    <w:basedOn w:val="Normal"/>
    <w:uiPriority w:val="12"/>
    <w:qFormat/>
    <w:rsid w:val="008E5D7A"/>
    <w:pPr>
      <w:numPr>
        <w:numId w:val="11"/>
      </w:numPr>
      <w:spacing w:before="60" w:after="60" w:line="240" w:lineRule="atLeast"/>
      <w:jc w:val="left"/>
    </w:pPr>
    <w:rPr>
      <w:rFonts w:ascii="Arial" w:eastAsia="Times New Roman" w:hAnsi="Arial" w:cs="Arial"/>
      <w:sz w:val="20"/>
      <w:szCs w:val="22"/>
      <w:lang w:eastAsia="en-AU"/>
    </w:rPr>
  </w:style>
  <w:style w:type="paragraph" w:customStyle="1" w:styleId="TableNumberLevel2">
    <w:name w:val="Table: Number Level 2"/>
    <w:basedOn w:val="Normal"/>
    <w:uiPriority w:val="12"/>
    <w:rsid w:val="008E5D7A"/>
    <w:pPr>
      <w:numPr>
        <w:ilvl w:val="1"/>
        <w:numId w:val="11"/>
      </w:numPr>
      <w:spacing w:before="60" w:after="60" w:line="240" w:lineRule="atLeast"/>
      <w:jc w:val="left"/>
    </w:pPr>
    <w:rPr>
      <w:rFonts w:ascii="Arial" w:eastAsia="Times New Roman" w:hAnsi="Arial" w:cs="Arial"/>
      <w:sz w:val="20"/>
      <w:szCs w:val="22"/>
      <w:lang w:eastAsia="en-AU"/>
    </w:rPr>
  </w:style>
  <w:style w:type="paragraph" w:customStyle="1" w:styleId="TableNumberLevel3">
    <w:name w:val="Table: Number Level 3"/>
    <w:basedOn w:val="Normal"/>
    <w:uiPriority w:val="12"/>
    <w:rsid w:val="008E5D7A"/>
    <w:pPr>
      <w:numPr>
        <w:ilvl w:val="2"/>
        <w:numId w:val="11"/>
      </w:numPr>
      <w:spacing w:before="60" w:after="60" w:line="240" w:lineRule="atLeast"/>
      <w:jc w:val="left"/>
    </w:pPr>
    <w:rPr>
      <w:rFonts w:ascii="Arial" w:eastAsia="Times New Roman" w:hAnsi="Arial" w:cs="Arial"/>
      <w:sz w:val="20"/>
      <w:szCs w:val="22"/>
      <w:lang w:eastAsia="en-AU"/>
    </w:rPr>
  </w:style>
  <w:style w:type="paragraph" w:customStyle="1" w:styleId="TableNumberLevel4">
    <w:name w:val="Table: Number Level 4"/>
    <w:basedOn w:val="Normal"/>
    <w:uiPriority w:val="12"/>
    <w:rsid w:val="008E5D7A"/>
    <w:pPr>
      <w:numPr>
        <w:ilvl w:val="3"/>
        <w:numId w:val="11"/>
      </w:numPr>
      <w:spacing w:after="60" w:line="240" w:lineRule="atLeast"/>
      <w:jc w:val="left"/>
    </w:pPr>
    <w:rPr>
      <w:rFonts w:ascii="Arial" w:eastAsia="Times New Roman" w:hAnsi="Arial" w:cs="Arial"/>
      <w:sz w:val="20"/>
      <w:szCs w:val="22"/>
      <w:lang w:eastAsia="en-AU"/>
    </w:rPr>
  </w:style>
  <w:style w:type="paragraph" w:customStyle="1" w:styleId="TableNumberLevel5">
    <w:name w:val="Table: Number Level 5"/>
    <w:basedOn w:val="Normal"/>
    <w:uiPriority w:val="12"/>
    <w:semiHidden/>
    <w:rsid w:val="008E5D7A"/>
    <w:pPr>
      <w:numPr>
        <w:ilvl w:val="4"/>
        <w:numId w:val="11"/>
      </w:numPr>
      <w:spacing w:after="60" w:line="240" w:lineRule="atLeast"/>
      <w:jc w:val="left"/>
    </w:pPr>
    <w:rPr>
      <w:rFonts w:ascii="Arial" w:eastAsia="Times New Roman" w:hAnsi="Arial" w:cs="Arial"/>
      <w:sz w:val="20"/>
      <w:szCs w:val="22"/>
      <w:lang w:eastAsia="en-AU"/>
    </w:rPr>
  </w:style>
  <w:style w:type="paragraph" w:customStyle="1" w:styleId="TableNumberLevel6">
    <w:name w:val="Table: Number Level 6"/>
    <w:basedOn w:val="Normal"/>
    <w:uiPriority w:val="12"/>
    <w:semiHidden/>
    <w:rsid w:val="008E5D7A"/>
    <w:pPr>
      <w:numPr>
        <w:ilvl w:val="5"/>
        <w:numId w:val="11"/>
      </w:numPr>
      <w:spacing w:after="60" w:line="240" w:lineRule="atLeast"/>
      <w:jc w:val="left"/>
    </w:pPr>
    <w:rPr>
      <w:rFonts w:ascii="Arial" w:eastAsia="Times New Roman" w:hAnsi="Arial" w:cs="Arial"/>
      <w:sz w:val="20"/>
      <w:szCs w:val="22"/>
      <w:lang w:eastAsia="en-AU"/>
    </w:rPr>
  </w:style>
  <w:style w:type="paragraph" w:customStyle="1" w:styleId="TableNumberLevel7">
    <w:name w:val="Table: Number Level 7"/>
    <w:basedOn w:val="Normal"/>
    <w:uiPriority w:val="12"/>
    <w:semiHidden/>
    <w:rsid w:val="008E5D7A"/>
    <w:pPr>
      <w:numPr>
        <w:ilvl w:val="6"/>
        <w:numId w:val="11"/>
      </w:numPr>
      <w:spacing w:after="60" w:line="240" w:lineRule="atLeast"/>
      <w:jc w:val="left"/>
    </w:pPr>
    <w:rPr>
      <w:rFonts w:ascii="Arial" w:eastAsia="Times New Roman" w:hAnsi="Arial" w:cs="Arial"/>
      <w:sz w:val="20"/>
      <w:szCs w:val="22"/>
      <w:lang w:eastAsia="en-AU"/>
    </w:rPr>
  </w:style>
  <w:style w:type="paragraph" w:customStyle="1" w:styleId="TableNumberLevel8">
    <w:name w:val="Table: Number Level 8"/>
    <w:basedOn w:val="Normal"/>
    <w:uiPriority w:val="12"/>
    <w:semiHidden/>
    <w:rsid w:val="008E5D7A"/>
    <w:pPr>
      <w:numPr>
        <w:ilvl w:val="7"/>
        <w:numId w:val="11"/>
      </w:numPr>
      <w:spacing w:after="60" w:line="240" w:lineRule="atLeast"/>
      <w:jc w:val="left"/>
    </w:pPr>
    <w:rPr>
      <w:rFonts w:ascii="Arial" w:eastAsia="Times New Roman" w:hAnsi="Arial" w:cs="Arial"/>
      <w:sz w:val="20"/>
      <w:szCs w:val="22"/>
      <w:lang w:eastAsia="en-AU"/>
    </w:rPr>
  </w:style>
  <w:style w:type="paragraph" w:customStyle="1" w:styleId="TableNumberLevel9">
    <w:name w:val="Table: Number Level 9"/>
    <w:basedOn w:val="Normal"/>
    <w:uiPriority w:val="12"/>
    <w:semiHidden/>
    <w:rsid w:val="008E5D7A"/>
    <w:pPr>
      <w:numPr>
        <w:ilvl w:val="8"/>
        <w:numId w:val="11"/>
      </w:numPr>
      <w:spacing w:after="60" w:line="240" w:lineRule="atLeast"/>
      <w:jc w:val="left"/>
    </w:pPr>
    <w:rPr>
      <w:rFonts w:ascii="Arial" w:eastAsia="Times New Roman" w:hAnsi="Arial" w:cs="Arial"/>
      <w:sz w:val="20"/>
      <w:szCs w:val="22"/>
      <w:lang w:eastAsia="en-AU"/>
    </w:rPr>
  </w:style>
  <w:style w:type="paragraph" w:customStyle="1" w:styleId="AdviceQuestionNumbered">
    <w:name w:val="AdviceQuestionNumbered"/>
    <w:aliases w:val="Advice Qn"/>
    <w:basedOn w:val="Normal"/>
    <w:link w:val="AdviceQuestionNumberedChar"/>
    <w:qFormat/>
    <w:rsid w:val="008E5D7A"/>
    <w:pPr>
      <w:keepNext/>
      <w:shd w:val="clear" w:color="auto" w:fill="C4DDEA"/>
      <w:spacing w:after="120" w:line="280" w:lineRule="atLeast"/>
      <w:ind w:left="425" w:hanging="425"/>
      <w:jc w:val="left"/>
      <w:outlineLvl w:val="1"/>
    </w:pPr>
    <w:rPr>
      <w:rFonts w:ascii="Arial" w:eastAsia="Times New Roman" w:hAnsi="Arial" w:cs="Arial"/>
      <w:bCs/>
      <w:iCs/>
      <w:sz w:val="22"/>
      <w:szCs w:val="28"/>
      <w:lang w:eastAsia="en-AU"/>
    </w:rPr>
  </w:style>
  <w:style w:type="paragraph" w:customStyle="1" w:styleId="AdviceNumLevel1">
    <w:name w:val="AdviceNumLevel1"/>
    <w:aliases w:val="Advice N1"/>
    <w:basedOn w:val="NumberLevel1"/>
    <w:qFormat/>
    <w:rsid w:val="008E5D7A"/>
    <w:pPr>
      <w:numPr>
        <w:numId w:val="8"/>
      </w:numPr>
    </w:pPr>
  </w:style>
  <w:style w:type="character" w:customStyle="1" w:styleId="AdviceQuestionNumberedChar">
    <w:name w:val="AdviceQuestionNumbered Char"/>
    <w:aliases w:val="Advice Qn Char"/>
    <w:basedOn w:val="DefaultParagraphFont"/>
    <w:link w:val="AdviceQuestionNumbered"/>
    <w:rsid w:val="008E5D7A"/>
    <w:rPr>
      <w:rFonts w:ascii="Arial" w:eastAsia="Times New Roman" w:hAnsi="Arial" w:cs="Arial"/>
      <w:bCs/>
      <w:iCs/>
      <w:szCs w:val="28"/>
      <w:shd w:val="clear" w:color="auto" w:fill="C4DDEA"/>
      <w:lang w:eastAsia="en-AU"/>
    </w:rPr>
  </w:style>
  <w:style w:type="paragraph" w:customStyle="1" w:styleId="TablePlainParagraph">
    <w:name w:val="Table: Plain Paragraph"/>
    <w:aliases w:val="Table PP"/>
    <w:basedOn w:val="Normal"/>
    <w:uiPriority w:val="11"/>
    <w:qFormat/>
    <w:rsid w:val="008E5D7A"/>
    <w:pPr>
      <w:spacing w:before="60" w:after="60" w:line="240" w:lineRule="atLeast"/>
      <w:jc w:val="left"/>
    </w:pPr>
    <w:rPr>
      <w:rFonts w:ascii="Arial" w:eastAsia="Times New Roman" w:hAnsi="Arial" w:cs="Arial"/>
      <w:sz w:val="20"/>
      <w:szCs w:val="22"/>
      <w:lang w:eastAsia="en-AU"/>
    </w:rPr>
  </w:style>
  <w:style w:type="paragraph" w:customStyle="1" w:styleId="Applesfootnote">
    <w:name w:val="Apples footnote"/>
    <w:basedOn w:val="Normal"/>
    <w:autoRedefine/>
    <w:rsid w:val="008E5D7A"/>
    <w:pPr>
      <w:spacing w:after="60" w:line="240" w:lineRule="auto"/>
      <w:ind w:firstLine="720"/>
    </w:pPr>
    <w:rPr>
      <w:rFonts w:ascii="Times New Roman" w:eastAsia="Times New Roman" w:hAnsi="Times New Roman" w:cs="Times New Roman"/>
      <w:sz w:val="20"/>
      <w:szCs w:val="20"/>
      <w:lang w:eastAsia="en-AU"/>
    </w:rPr>
  </w:style>
  <w:style w:type="paragraph" w:customStyle="1" w:styleId="Apples-Heading1">
    <w:name w:val="Apples - Heading 1"/>
    <w:basedOn w:val="Normal"/>
    <w:autoRedefine/>
    <w:rsid w:val="008E5D7A"/>
    <w:pPr>
      <w:spacing w:before="240" w:after="0"/>
      <w:outlineLvl w:val="0"/>
    </w:pPr>
    <w:rPr>
      <w:rFonts w:ascii="Times New Roman" w:eastAsia="Times New Roman" w:hAnsi="Times New Roman" w:cs="Times New Roman"/>
      <w:b/>
      <w:sz w:val="28"/>
      <w:szCs w:val="28"/>
      <w:lang w:eastAsia="en-AU"/>
    </w:rPr>
  </w:style>
  <w:style w:type="paragraph" w:customStyle="1" w:styleId="Apples-Bullets">
    <w:name w:val="Apples - Bullets"/>
    <w:basedOn w:val="Normal"/>
    <w:rsid w:val="008E5D7A"/>
    <w:pPr>
      <w:spacing w:after="120" w:line="240" w:lineRule="auto"/>
      <w:jc w:val="left"/>
    </w:pPr>
    <w:rPr>
      <w:rFonts w:ascii="Times New Roman" w:eastAsia="Times New Roman" w:hAnsi="Times New Roman" w:cs="Times New Roman"/>
      <w:lang w:eastAsia="en-AU"/>
    </w:rPr>
  </w:style>
  <w:style w:type="paragraph" w:styleId="BodyText">
    <w:name w:val="Body Text"/>
    <w:basedOn w:val="Normal"/>
    <w:link w:val="BodyTextChar"/>
    <w:uiPriority w:val="1"/>
    <w:qFormat/>
    <w:rsid w:val="008E5D7A"/>
    <w:pPr>
      <w:spacing w:after="240" w:line="240" w:lineRule="auto"/>
    </w:pPr>
    <w:rPr>
      <w:rFonts w:ascii="Verdana" w:eastAsia="Calibri" w:hAnsi="Verdana" w:cs="Times New Roman"/>
      <w:sz w:val="18"/>
      <w:szCs w:val="22"/>
      <w:lang w:val="en-GB"/>
    </w:rPr>
  </w:style>
  <w:style w:type="character" w:customStyle="1" w:styleId="BodyTextChar">
    <w:name w:val="Body Text Char"/>
    <w:basedOn w:val="DefaultParagraphFont"/>
    <w:link w:val="BodyText"/>
    <w:uiPriority w:val="1"/>
    <w:rsid w:val="008E5D7A"/>
    <w:rPr>
      <w:rFonts w:ascii="Verdana" w:eastAsia="Calibri" w:hAnsi="Verdana" w:cs="Times New Roman"/>
      <w:sz w:val="18"/>
      <w:lang w:val="en-GB"/>
    </w:rPr>
  </w:style>
  <w:style w:type="paragraph" w:styleId="BodyText2">
    <w:name w:val="Body Text 2"/>
    <w:basedOn w:val="Normal"/>
    <w:link w:val="BodyText2Char"/>
    <w:uiPriority w:val="1"/>
    <w:qFormat/>
    <w:rsid w:val="008E5D7A"/>
    <w:pPr>
      <w:tabs>
        <w:tab w:val="num" w:pos="907"/>
      </w:tabs>
      <w:spacing w:after="240" w:line="240" w:lineRule="auto"/>
      <w:ind w:left="907" w:hanging="340"/>
    </w:pPr>
    <w:rPr>
      <w:rFonts w:ascii="Verdana" w:eastAsia="Calibri" w:hAnsi="Verdana" w:cs="Times New Roman"/>
      <w:sz w:val="18"/>
      <w:szCs w:val="22"/>
      <w:lang w:val="en-GB"/>
    </w:rPr>
  </w:style>
  <w:style w:type="character" w:customStyle="1" w:styleId="BodyText2Char">
    <w:name w:val="Body Text 2 Char"/>
    <w:basedOn w:val="DefaultParagraphFont"/>
    <w:link w:val="BodyText2"/>
    <w:uiPriority w:val="1"/>
    <w:rsid w:val="008E5D7A"/>
    <w:rPr>
      <w:rFonts w:ascii="Verdana" w:eastAsia="Calibri" w:hAnsi="Verdana" w:cs="Times New Roman"/>
      <w:sz w:val="18"/>
      <w:lang w:val="en-GB"/>
    </w:rPr>
  </w:style>
  <w:style w:type="paragraph" w:styleId="BodyText3">
    <w:name w:val="Body Text 3"/>
    <w:basedOn w:val="Normal"/>
    <w:link w:val="BodyText3Char"/>
    <w:uiPriority w:val="1"/>
    <w:qFormat/>
    <w:rsid w:val="008E5D7A"/>
    <w:pPr>
      <w:tabs>
        <w:tab w:val="num" w:pos="1247"/>
      </w:tabs>
      <w:spacing w:after="240" w:line="240" w:lineRule="auto"/>
      <w:ind w:left="1247" w:hanging="340"/>
    </w:pPr>
    <w:rPr>
      <w:rFonts w:ascii="Verdana" w:eastAsia="Calibri" w:hAnsi="Verdana" w:cs="Times New Roman"/>
      <w:sz w:val="18"/>
      <w:szCs w:val="16"/>
      <w:lang w:val="en-GB"/>
    </w:rPr>
  </w:style>
  <w:style w:type="character" w:customStyle="1" w:styleId="BodyText3Char">
    <w:name w:val="Body Text 3 Char"/>
    <w:basedOn w:val="DefaultParagraphFont"/>
    <w:link w:val="BodyText3"/>
    <w:uiPriority w:val="1"/>
    <w:rsid w:val="008E5D7A"/>
    <w:rPr>
      <w:rFonts w:ascii="Verdana" w:eastAsia="Calibri" w:hAnsi="Verdana" w:cs="Times New Roman"/>
      <w:sz w:val="18"/>
      <w:szCs w:val="16"/>
      <w:lang w:val="en-GB"/>
    </w:rPr>
  </w:style>
  <w:style w:type="paragraph" w:customStyle="1" w:styleId="SubmissionText">
    <w:name w:val="Submission Text"/>
    <w:link w:val="SubmissionTextChar"/>
    <w:autoRedefine/>
    <w:rsid w:val="008E5D7A"/>
    <w:pPr>
      <w:numPr>
        <w:numId w:val="14"/>
      </w:numPr>
      <w:spacing w:after="240" w:line="360" w:lineRule="auto"/>
    </w:pPr>
    <w:rPr>
      <w:rFonts w:ascii="Verdana" w:eastAsia="PMingLiU" w:hAnsi="Verdana" w:cs="Times New Roman"/>
      <w:snapToGrid w:val="0"/>
      <w:sz w:val="20"/>
      <w:szCs w:val="24"/>
      <w:lang w:val="en-CA"/>
    </w:rPr>
  </w:style>
  <w:style w:type="character" w:customStyle="1" w:styleId="SubmissionTextChar">
    <w:name w:val="Submission Text Char"/>
    <w:link w:val="SubmissionText"/>
    <w:rsid w:val="008E5D7A"/>
    <w:rPr>
      <w:rFonts w:ascii="Verdana" w:eastAsia="PMingLiU" w:hAnsi="Verdana" w:cs="Times New Roman"/>
      <w:snapToGrid w:val="0"/>
      <w:sz w:val="20"/>
      <w:szCs w:val="24"/>
      <w:lang w:val="en-CA"/>
    </w:rPr>
  </w:style>
  <w:style w:type="character" w:customStyle="1" w:styleId="ParaNum1Char">
    <w:name w:val="Para Num 1 Char"/>
    <w:basedOn w:val="DefaultParagraphFont"/>
    <w:link w:val="ParaNum1"/>
    <w:uiPriority w:val="9"/>
    <w:locked/>
    <w:rsid w:val="008E5D7A"/>
  </w:style>
  <w:style w:type="paragraph" w:customStyle="1" w:styleId="ParaNum1">
    <w:name w:val="Para Num 1"/>
    <w:basedOn w:val="Normal"/>
    <w:link w:val="ParaNum1Char"/>
    <w:uiPriority w:val="9"/>
    <w:qFormat/>
    <w:rsid w:val="008E5D7A"/>
    <w:pPr>
      <w:numPr>
        <w:numId w:val="18"/>
      </w:numPr>
      <w:tabs>
        <w:tab w:val="left" w:pos="720"/>
      </w:tabs>
      <w:spacing w:after="120"/>
      <w:jc w:val="left"/>
    </w:pPr>
    <w:rPr>
      <w:rFonts w:asciiTheme="minorHAnsi" w:hAnsiTheme="minorHAnsi"/>
      <w:sz w:val="22"/>
      <w:szCs w:val="22"/>
    </w:rPr>
  </w:style>
  <w:style w:type="paragraph" w:customStyle="1" w:styleId="ParaNum2">
    <w:name w:val="Para Num 2"/>
    <w:basedOn w:val="Normal"/>
    <w:uiPriority w:val="9"/>
    <w:qFormat/>
    <w:rsid w:val="008E5D7A"/>
    <w:pPr>
      <w:numPr>
        <w:ilvl w:val="1"/>
        <w:numId w:val="18"/>
      </w:numPr>
      <w:tabs>
        <w:tab w:val="clear" w:pos="0"/>
        <w:tab w:val="num" w:pos="2160"/>
      </w:tabs>
      <w:spacing w:after="120"/>
      <w:jc w:val="left"/>
    </w:pPr>
    <w:rPr>
      <w:rFonts w:ascii="Times New Roman" w:eastAsia="SimSun" w:hAnsi="Times New Roman"/>
      <w:lang w:val="en-US"/>
    </w:rPr>
  </w:style>
  <w:style w:type="paragraph" w:customStyle="1" w:styleId="ParaNum3">
    <w:name w:val="Para Num 3"/>
    <w:basedOn w:val="Normal"/>
    <w:uiPriority w:val="9"/>
    <w:qFormat/>
    <w:rsid w:val="008E5D7A"/>
    <w:pPr>
      <w:numPr>
        <w:ilvl w:val="2"/>
        <w:numId w:val="18"/>
      </w:numPr>
      <w:tabs>
        <w:tab w:val="clear" w:pos="0"/>
        <w:tab w:val="num" w:pos="2160"/>
      </w:tabs>
      <w:spacing w:after="120"/>
      <w:jc w:val="left"/>
    </w:pPr>
    <w:rPr>
      <w:rFonts w:ascii="Times New Roman" w:eastAsia="SimSun" w:hAnsi="Times New Roman"/>
      <w:lang w:val="en-US"/>
    </w:rPr>
  </w:style>
  <w:style w:type="paragraph" w:customStyle="1" w:styleId="ParaNum4">
    <w:name w:val="Para Num 4"/>
    <w:basedOn w:val="Normal"/>
    <w:uiPriority w:val="9"/>
    <w:qFormat/>
    <w:rsid w:val="008E5D7A"/>
    <w:pPr>
      <w:numPr>
        <w:ilvl w:val="3"/>
        <w:numId w:val="18"/>
      </w:numPr>
      <w:spacing w:after="120"/>
      <w:jc w:val="left"/>
    </w:pPr>
    <w:rPr>
      <w:rFonts w:ascii="Times New Roman" w:eastAsia="SimSun" w:hAnsi="Times New Roman"/>
      <w:lang w:val="en-US"/>
    </w:rPr>
  </w:style>
  <w:style w:type="paragraph" w:customStyle="1" w:styleId="ParaNum5">
    <w:name w:val="Para Num 5"/>
    <w:basedOn w:val="Normal"/>
    <w:next w:val="ParaNum1"/>
    <w:uiPriority w:val="9"/>
    <w:semiHidden/>
    <w:qFormat/>
    <w:rsid w:val="008E5D7A"/>
    <w:pPr>
      <w:numPr>
        <w:ilvl w:val="4"/>
        <w:numId w:val="18"/>
      </w:numPr>
      <w:spacing w:after="240"/>
      <w:jc w:val="left"/>
    </w:pPr>
    <w:rPr>
      <w:rFonts w:ascii="Times New Roman" w:eastAsia="SimSun" w:hAnsi="Times New Roman"/>
      <w:lang w:val="en-US"/>
    </w:rPr>
  </w:style>
  <w:style w:type="paragraph" w:customStyle="1" w:styleId="ParaNum6">
    <w:name w:val="Para Num 6"/>
    <w:basedOn w:val="Normal"/>
    <w:next w:val="ParaNum1"/>
    <w:uiPriority w:val="9"/>
    <w:semiHidden/>
    <w:qFormat/>
    <w:rsid w:val="008E5D7A"/>
    <w:pPr>
      <w:numPr>
        <w:ilvl w:val="5"/>
        <w:numId w:val="18"/>
      </w:numPr>
      <w:spacing w:after="240"/>
      <w:jc w:val="left"/>
    </w:pPr>
    <w:rPr>
      <w:rFonts w:ascii="Times New Roman" w:eastAsia="SimSun" w:hAnsi="Times New Roman"/>
      <w:lang w:val="en-US"/>
    </w:rPr>
  </w:style>
  <w:style w:type="paragraph" w:customStyle="1" w:styleId="ParaNum7">
    <w:name w:val="Para Num 7"/>
    <w:basedOn w:val="Normal"/>
    <w:next w:val="ParaNum1"/>
    <w:uiPriority w:val="9"/>
    <w:semiHidden/>
    <w:qFormat/>
    <w:rsid w:val="008E5D7A"/>
    <w:pPr>
      <w:numPr>
        <w:ilvl w:val="6"/>
        <w:numId w:val="18"/>
      </w:numPr>
      <w:spacing w:after="240"/>
      <w:jc w:val="left"/>
    </w:pPr>
    <w:rPr>
      <w:rFonts w:ascii="Times New Roman" w:eastAsia="SimSun" w:hAnsi="Times New Roman"/>
      <w:lang w:val="en-US"/>
    </w:rPr>
  </w:style>
  <w:style w:type="paragraph" w:customStyle="1" w:styleId="ParaNum8">
    <w:name w:val="Para Num 8"/>
    <w:basedOn w:val="Normal"/>
    <w:next w:val="ParaNum1"/>
    <w:uiPriority w:val="9"/>
    <w:semiHidden/>
    <w:qFormat/>
    <w:rsid w:val="008E5D7A"/>
    <w:pPr>
      <w:numPr>
        <w:ilvl w:val="7"/>
        <w:numId w:val="18"/>
      </w:numPr>
      <w:spacing w:after="240"/>
      <w:jc w:val="left"/>
    </w:pPr>
    <w:rPr>
      <w:rFonts w:ascii="Times New Roman" w:eastAsia="SimSun" w:hAnsi="Times New Roman"/>
      <w:lang w:val="en-US"/>
    </w:rPr>
  </w:style>
  <w:style w:type="paragraph" w:customStyle="1" w:styleId="ParaNum9">
    <w:name w:val="Para Num 9"/>
    <w:basedOn w:val="Normal"/>
    <w:next w:val="ParaNum1"/>
    <w:uiPriority w:val="9"/>
    <w:semiHidden/>
    <w:qFormat/>
    <w:rsid w:val="008E5D7A"/>
    <w:pPr>
      <w:numPr>
        <w:ilvl w:val="8"/>
        <w:numId w:val="18"/>
      </w:numPr>
      <w:spacing w:after="240"/>
      <w:jc w:val="left"/>
    </w:pPr>
    <w:rPr>
      <w:rFonts w:ascii="Times New Roman" w:eastAsia="SimSu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4008</Words>
  <Characters>21650</Characters>
  <Application>Microsoft Office Word</Application>
  <DocSecurity>0</DocSecurity>
  <Lines>406</Lines>
  <Paragraphs>109</Paragraphs>
  <ScaleCrop>false</ScaleCrop>
  <HeadingPairs>
    <vt:vector size="2" baseType="variant">
      <vt:variant>
        <vt:lpstr>Title</vt:lpstr>
      </vt:variant>
      <vt:variant>
        <vt:i4>1</vt:i4>
      </vt:variant>
    </vt:vector>
  </HeadingPairs>
  <TitlesOfParts>
    <vt:vector size="1" baseType="lpstr">
      <vt:lpstr>DS603 Australia’s Preliminary Ruling Request</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DS603 Australia’s Preliminary Ruling Request</dc:title>
  <dc:subject/>
  <dc:creator/>
  <cp:keywords>[SEC=OFFICIAL:Sensitive]</cp:keywords>
  <dc:description/>
  <cp:lastModifiedBy/>
  <cp:revision>1</cp:revision>
  <dcterms:created xsi:type="dcterms:W3CDTF">2024-04-03T02:00:00Z</dcterms:created>
  <dcterms:modified xsi:type="dcterms:W3CDTF">2024-04-03T02:00:00Z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 Sensitive</vt:lpwstr>
  </property>
  <property fmtid="{D5CDD505-2E9C-101B-9397-08002B2CF9AE}" pid="4" name="PMHMAC">
    <vt:lpwstr>v=2022.1;a=SHA256;h=3627594CA88689C7A5552656B090D7B169DD9B29547F4AAF2F747A7E4C3B35E3</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3895CBA1C3D6417EB05FE215268B6EF1</vt:lpwstr>
  </property>
  <property fmtid="{D5CDD505-2E9C-101B-9397-08002B2CF9AE}" pid="9" name="PM_ProtectiveMarkingValue_Footer">
    <vt:lpwstr>OFFICIAL: Sensitive</vt:lpwstr>
  </property>
  <property fmtid="{D5CDD505-2E9C-101B-9397-08002B2CF9AE}" pid="10" name="PM_Originator_Hash_SHA1">
    <vt:lpwstr>899E4EA469A04FB023F4432B63374BB33589BF8A</vt:lpwstr>
  </property>
  <property fmtid="{D5CDD505-2E9C-101B-9397-08002B2CF9AE}" pid="11" name="PM_OriginationTimeStamp">
    <vt:lpwstr>2022-12-16T07:40:18Z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2022.1</vt:lpwstr>
  </property>
  <property fmtid="{D5CDD505-2E9C-101B-9397-08002B2CF9AE}" pid="20" name="PM_Hash_Salt_Prev">
    <vt:lpwstr>BA466C6A5E5AB49666184F8B84BD3F33</vt:lpwstr>
  </property>
  <property fmtid="{D5CDD505-2E9C-101B-9397-08002B2CF9AE}" pid="21" name="PM_Hash_Salt">
    <vt:lpwstr>6399CAC644E37E639D75DB1682D5B3BD</vt:lpwstr>
  </property>
  <property fmtid="{D5CDD505-2E9C-101B-9397-08002B2CF9AE}" pid="22" name="PM_Hash_SHA1">
    <vt:lpwstr>404A7EC94F92CFF7CE13C5DDE38D3F4766C5F23B</vt:lpwstr>
  </property>
  <property fmtid="{D5CDD505-2E9C-101B-9397-08002B2CF9AE}" pid="23" name="PM_OriginatorUserAccountName_SHA256">
    <vt:lpwstr>290C9CFCFE70E139C4500567FB5830ACF9049F26A1998DDACA65669D45D5D2AD</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PMUuid">
    <vt:lpwstr>v=2022.2;d=gov.au;g=ABA70C08-925C-5FA3-8765-3178156983AC</vt:lpwstr>
  </property>
  <property fmtid="{D5CDD505-2E9C-101B-9397-08002B2CF9AE}" pid="28" name="PM_Caveats_Count">
    <vt:lpwstr>0</vt:lpwstr>
  </property>
</Properties>
</file>