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8684" w14:textId="77777777" w:rsidR="002A5789" w:rsidRDefault="002A5789" w:rsidP="00F71EA3">
      <w:pPr>
        <w:pStyle w:val="BTNSSBodyTextNoSpacingSmall"/>
        <w:rPr>
          <w:rFonts w:cs="Calibri"/>
          <w:sz w:val="2"/>
          <w:szCs w:val="2"/>
        </w:rPr>
      </w:pPr>
    </w:p>
    <w:p w14:paraId="3D284879" w14:textId="77777777" w:rsidR="002A5789" w:rsidRDefault="002A5789" w:rsidP="00F71EA3">
      <w:pPr>
        <w:pStyle w:val="BTNSSBodyTextNoSpacingSmall"/>
        <w:rPr>
          <w:rFonts w:cs="Calibri"/>
          <w:sz w:val="2"/>
          <w:szCs w:val="2"/>
        </w:rPr>
      </w:pPr>
    </w:p>
    <w:p w14:paraId="77E4A5CB" w14:textId="77777777" w:rsidR="002A5789" w:rsidRDefault="002A5789" w:rsidP="00F71EA3">
      <w:pPr>
        <w:pStyle w:val="BTNSSBodyTextNoSpacingSmall"/>
        <w:rPr>
          <w:rFonts w:cs="Calibri"/>
          <w:sz w:val="2"/>
          <w:szCs w:val="2"/>
        </w:rPr>
      </w:pPr>
    </w:p>
    <w:p w14:paraId="748C2656" w14:textId="77777777" w:rsidR="002A5789" w:rsidRDefault="002A5789" w:rsidP="00F71EA3">
      <w:pPr>
        <w:pStyle w:val="BTNSSBodyTextNoSpacingSmall"/>
        <w:rPr>
          <w:rFonts w:cs="Calibri"/>
          <w:sz w:val="2"/>
          <w:szCs w:val="2"/>
        </w:rPr>
      </w:pPr>
    </w:p>
    <w:p w14:paraId="20A544D9" w14:textId="77777777" w:rsidR="002A5789" w:rsidRDefault="002A5789" w:rsidP="00F71EA3">
      <w:pPr>
        <w:pStyle w:val="BTNSSBodyTextNoSpacingSmall"/>
        <w:rPr>
          <w:rFonts w:cs="Calibri"/>
          <w:sz w:val="2"/>
          <w:szCs w:val="2"/>
        </w:rPr>
      </w:pPr>
    </w:p>
    <w:p w14:paraId="1347423C" w14:textId="3FA7BA5C" w:rsidR="00F71EA3" w:rsidRPr="00AE62EF" w:rsidRDefault="00F71EA3" w:rsidP="00F71EA3">
      <w:pPr>
        <w:pStyle w:val="BTNSSBodyTextNoSpacingSmall"/>
        <w:rPr>
          <w:rFonts w:cs="Calibri"/>
          <w:sz w:val="2"/>
          <w:szCs w:val="2"/>
        </w:rPr>
      </w:pPr>
      <w:r w:rsidRPr="00AE62EF">
        <w:rPr>
          <w:rFonts w:cs="Calibri"/>
          <w:sz w:val="2"/>
          <w:szCs w:val="2"/>
        </w:rPr>
        <w:t xml:space="preserve"> </w:t>
      </w:r>
      <w:bookmarkStart w:id="0" w:name="_Hlk155771199"/>
    </w:p>
    <w:p w14:paraId="0FD5224A" w14:textId="4E5F7D33" w:rsidR="00427E0A" w:rsidRPr="00AE62EF" w:rsidRDefault="00427E0A" w:rsidP="00AA396D">
      <w:pPr>
        <w:pStyle w:val="BTBodyText"/>
        <w:spacing w:after="240"/>
        <w:jc w:val="center"/>
        <w:rPr>
          <w:rFonts w:cs="Calibri"/>
          <w:b/>
          <w:bCs/>
          <w:sz w:val="32"/>
          <w:szCs w:val="32"/>
        </w:rPr>
      </w:pPr>
      <w:bookmarkStart w:id="1" w:name="_Toc100253863"/>
      <w:bookmarkStart w:id="2" w:name="_Toc155884800"/>
      <w:r w:rsidRPr="00AE62EF">
        <w:rPr>
          <w:rFonts w:cs="Calibri"/>
          <w:b/>
          <w:bCs/>
          <w:sz w:val="32"/>
          <w:szCs w:val="32"/>
        </w:rPr>
        <w:t>Before the World Trade Organization</w:t>
      </w:r>
    </w:p>
    <w:p w14:paraId="7E912242" w14:textId="77777777" w:rsidR="00427E0A" w:rsidRPr="00AE62EF" w:rsidRDefault="00427E0A" w:rsidP="00AA396D">
      <w:pPr>
        <w:pStyle w:val="BTBodyText"/>
        <w:spacing w:after="240"/>
        <w:jc w:val="center"/>
        <w:rPr>
          <w:rFonts w:cs="Calibri"/>
          <w:b/>
          <w:bCs/>
          <w:sz w:val="32"/>
          <w:szCs w:val="32"/>
        </w:rPr>
      </w:pPr>
      <w:r w:rsidRPr="00AE62EF">
        <w:rPr>
          <w:rFonts w:cs="Calibri"/>
          <w:b/>
          <w:bCs/>
          <w:sz w:val="32"/>
          <w:szCs w:val="32"/>
        </w:rPr>
        <w:t>Panel Proceedings</w:t>
      </w:r>
    </w:p>
    <w:p w14:paraId="20DC32B8" w14:textId="77777777" w:rsidR="00427E0A" w:rsidRPr="00C54161" w:rsidRDefault="00427E0A" w:rsidP="00C54161">
      <w:pPr>
        <w:pStyle w:val="Title"/>
      </w:pPr>
      <w:r w:rsidRPr="00C54161">
        <w:t>United States — Anti-Dumping Measure on Oil Country Tubular Goods from Argentina</w:t>
      </w:r>
    </w:p>
    <w:p w14:paraId="3A927052" w14:textId="77777777" w:rsidR="00427E0A" w:rsidRPr="00AE62EF" w:rsidRDefault="00427E0A" w:rsidP="00787E80">
      <w:pPr>
        <w:pStyle w:val="DSNDSNumber"/>
        <w:rPr>
          <w:rFonts w:cs="Calibri"/>
        </w:rPr>
      </w:pPr>
      <w:r w:rsidRPr="00AE62EF">
        <w:rPr>
          <w:rFonts w:cs="Calibri"/>
        </w:rPr>
        <w:t>(DS61</w:t>
      </w:r>
      <w:r>
        <w:rPr>
          <w:rFonts w:cs="Calibri"/>
        </w:rPr>
        <w:t>7</w:t>
      </w:r>
      <w:r w:rsidRPr="00AE62EF">
        <w:rPr>
          <w:rFonts w:cs="Calibri"/>
        </w:rPr>
        <w:t>)</w:t>
      </w:r>
    </w:p>
    <w:p w14:paraId="1EEBCB77" w14:textId="77777777" w:rsidR="00427E0A" w:rsidRPr="00C54161" w:rsidRDefault="00427E0A" w:rsidP="00C54161">
      <w:pPr>
        <w:pStyle w:val="Heading1"/>
      </w:pPr>
      <w:r w:rsidRPr="00C54161">
        <w:t>Executive Summary Of Australia</w:t>
      </w:r>
    </w:p>
    <w:p w14:paraId="56E94741" w14:textId="77777777" w:rsidR="00427E0A" w:rsidRPr="00AE62EF" w:rsidRDefault="00427E0A" w:rsidP="00AA396D">
      <w:pPr>
        <w:pStyle w:val="DDDocumentDate"/>
        <w:rPr>
          <w:rFonts w:cs="Calibri"/>
        </w:rPr>
      </w:pPr>
      <w:r>
        <w:rPr>
          <w:rFonts w:cs="Calibri"/>
        </w:rPr>
        <w:t>13 September</w:t>
      </w:r>
      <w:r w:rsidRPr="005145EA">
        <w:rPr>
          <w:rFonts w:cs="Calibri"/>
        </w:rPr>
        <w:t xml:space="preserve"> 2024</w:t>
      </w:r>
    </w:p>
    <w:p w14:paraId="72B5F3B3" w14:textId="77777777" w:rsidR="00F71EA3" w:rsidRPr="00AE62EF" w:rsidRDefault="00F71EA3" w:rsidP="00F71EA3">
      <w:pPr>
        <w:pStyle w:val="BTNSSBodyTextNoSpacingSmall"/>
        <w:rPr>
          <w:rFonts w:cs="Calibri"/>
        </w:rPr>
      </w:pPr>
    </w:p>
    <w:p w14:paraId="49530EB1" w14:textId="77777777" w:rsidR="00F71EA3" w:rsidRPr="00AE62EF" w:rsidRDefault="00F71EA3" w:rsidP="00F71EA3">
      <w:pPr>
        <w:pStyle w:val="BTNSSBodyTextNoSpacingSmall"/>
        <w:rPr>
          <w:rFonts w:cs="Calibri"/>
        </w:rPr>
      </w:pPr>
      <w:r w:rsidRPr="00AE62EF">
        <w:rPr>
          <w:rFonts w:cs="Calibri"/>
        </w:rPr>
        <w:br w:type="page"/>
      </w:r>
    </w:p>
    <w:bookmarkEnd w:id="2" w:displacedByCustomXml="next"/>
    <w:bookmarkEnd w:id="1" w:displacedByCustomXml="next"/>
    <w:bookmarkStart w:id="3" w:name="_Toc100253860" w:displacedByCustomXml="next"/>
    <w:sdt>
      <w:sdtPr>
        <w:rPr>
          <w:rFonts w:cs="Calibri"/>
          <w:b w:val="0"/>
          <w:caps w:val="0"/>
          <w:lang w:val="en-AU"/>
        </w:rPr>
        <w:id w:val="794183329"/>
        <w:docPartObj>
          <w:docPartGallery w:val="Table of Contents"/>
          <w:docPartUnique/>
        </w:docPartObj>
      </w:sdtPr>
      <w:sdtEndPr/>
      <w:sdtContent>
        <w:p w14:paraId="064A016C" w14:textId="77777777" w:rsidR="00F71EA3" w:rsidRPr="00AE62EF" w:rsidRDefault="00F71EA3" w:rsidP="00F71EA3">
          <w:pPr>
            <w:pStyle w:val="TOCHeading"/>
            <w:rPr>
              <w:rFonts w:cs="Calibri"/>
            </w:rPr>
          </w:pPr>
          <w:r w:rsidRPr="00AE62EF">
            <w:rPr>
              <w:rFonts w:cs="Calibri"/>
            </w:rPr>
            <w:t>Contents</w:t>
          </w:r>
        </w:p>
        <w:p w14:paraId="49E6264C" w14:textId="02BF882E" w:rsidR="00B55770" w:rsidRDefault="00F71EA3">
          <w:pPr>
            <w:pStyle w:val="TOC1"/>
            <w:rPr>
              <w:rFonts w:asciiTheme="minorHAnsi" w:eastAsiaTheme="minorEastAsia" w:hAnsiTheme="minorHAnsi"/>
              <w:b w:val="0"/>
              <w:caps w:val="0"/>
              <w:noProof/>
              <w:kern w:val="2"/>
              <w:sz w:val="22"/>
              <w:szCs w:val="22"/>
              <w:lang w:eastAsia="en-AU"/>
              <w14:ligatures w14:val="standardContextual"/>
            </w:rPr>
          </w:pPr>
          <w:r w:rsidRPr="00AE62EF">
            <w:rPr>
              <w:rFonts w:cs="Calibri"/>
            </w:rPr>
            <w:fldChar w:fldCharType="begin"/>
          </w:r>
          <w:r w:rsidRPr="00AE62EF">
            <w:rPr>
              <w:rFonts w:cs="Calibri"/>
            </w:rPr>
            <w:instrText xml:space="preserve"> TOC \o "1-3" \h \z \u </w:instrText>
          </w:r>
          <w:r w:rsidRPr="00AE62EF">
            <w:rPr>
              <w:rFonts w:cs="Calibri"/>
            </w:rPr>
            <w:fldChar w:fldCharType="separate"/>
          </w:r>
          <w:hyperlink w:anchor="_Toc177026243" w:history="1">
            <w:r w:rsidR="00B55770" w:rsidRPr="003F790A">
              <w:rPr>
                <w:rStyle w:val="Hyperlink"/>
                <w:rFonts w:cs="Calibri"/>
                <w:noProof/>
              </w:rPr>
              <w:t>Table of Cases</w:t>
            </w:r>
            <w:r w:rsidR="00B55770">
              <w:rPr>
                <w:noProof/>
                <w:webHidden/>
              </w:rPr>
              <w:tab/>
            </w:r>
            <w:r w:rsidR="00B55770">
              <w:rPr>
                <w:noProof/>
                <w:webHidden/>
              </w:rPr>
              <w:fldChar w:fldCharType="begin"/>
            </w:r>
            <w:r w:rsidR="00B55770">
              <w:rPr>
                <w:noProof/>
                <w:webHidden/>
              </w:rPr>
              <w:instrText xml:space="preserve"> PAGEREF _Toc177026243 \h </w:instrText>
            </w:r>
            <w:r w:rsidR="00B55770">
              <w:rPr>
                <w:noProof/>
                <w:webHidden/>
              </w:rPr>
            </w:r>
            <w:r w:rsidR="00B55770">
              <w:rPr>
                <w:noProof/>
                <w:webHidden/>
              </w:rPr>
              <w:fldChar w:fldCharType="separate"/>
            </w:r>
            <w:r w:rsidR="005034D4">
              <w:rPr>
                <w:noProof/>
                <w:webHidden/>
              </w:rPr>
              <w:t>3</w:t>
            </w:r>
            <w:r w:rsidR="00B55770">
              <w:rPr>
                <w:noProof/>
                <w:webHidden/>
              </w:rPr>
              <w:fldChar w:fldCharType="end"/>
            </w:r>
          </w:hyperlink>
        </w:p>
        <w:p w14:paraId="1D580947" w14:textId="306429C8" w:rsidR="00B55770" w:rsidRDefault="00E62E11">
          <w:pPr>
            <w:pStyle w:val="TOC1"/>
            <w:rPr>
              <w:rFonts w:asciiTheme="minorHAnsi" w:eastAsiaTheme="minorEastAsia" w:hAnsiTheme="minorHAnsi"/>
              <w:b w:val="0"/>
              <w:caps w:val="0"/>
              <w:noProof/>
              <w:kern w:val="2"/>
              <w:sz w:val="22"/>
              <w:szCs w:val="22"/>
              <w:lang w:eastAsia="en-AU"/>
              <w14:ligatures w14:val="standardContextual"/>
            </w:rPr>
          </w:pPr>
          <w:hyperlink w:anchor="_Toc177026244" w:history="1">
            <w:r w:rsidR="00B55770" w:rsidRPr="003F790A">
              <w:rPr>
                <w:rStyle w:val="Hyperlink"/>
                <w:rFonts w:cs="Calibri"/>
                <w:noProof/>
              </w:rPr>
              <w:t>List of Acronyms, Abbreviations and Short Forms</w:t>
            </w:r>
            <w:r w:rsidR="00B55770">
              <w:rPr>
                <w:noProof/>
                <w:webHidden/>
              </w:rPr>
              <w:tab/>
            </w:r>
            <w:r w:rsidR="00B55770">
              <w:rPr>
                <w:noProof/>
                <w:webHidden/>
              </w:rPr>
              <w:fldChar w:fldCharType="begin"/>
            </w:r>
            <w:r w:rsidR="00B55770">
              <w:rPr>
                <w:noProof/>
                <w:webHidden/>
              </w:rPr>
              <w:instrText xml:space="preserve"> PAGEREF _Toc177026244 \h </w:instrText>
            </w:r>
            <w:r w:rsidR="00B55770">
              <w:rPr>
                <w:noProof/>
                <w:webHidden/>
              </w:rPr>
            </w:r>
            <w:r w:rsidR="00B55770">
              <w:rPr>
                <w:noProof/>
                <w:webHidden/>
              </w:rPr>
              <w:fldChar w:fldCharType="separate"/>
            </w:r>
            <w:r w:rsidR="005034D4">
              <w:rPr>
                <w:noProof/>
                <w:webHidden/>
              </w:rPr>
              <w:t>3</w:t>
            </w:r>
            <w:r w:rsidR="00B55770">
              <w:rPr>
                <w:noProof/>
                <w:webHidden/>
              </w:rPr>
              <w:fldChar w:fldCharType="end"/>
            </w:r>
          </w:hyperlink>
        </w:p>
        <w:p w14:paraId="5568B033" w14:textId="5C2AFBA9" w:rsidR="00B55770" w:rsidRDefault="00E62E11">
          <w:pPr>
            <w:pStyle w:val="TOC1"/>
            <w:rPr>
              <w:rFonts w:asciiTheme="minorHAnsi" w:eastAsiaTheme="minorEastAsia" w:hAnsiTheme="minorHAnsi"/>
              <w:b w:val="0"/>
              <w:caps w:val="0"/>
              <w:noProof/>
              <w:kern w:val="2"/>
              <w:sz w:val="22"/>
              <w:szCs w:val="22"/>
              <w:lang w:eastAsia="en-AU"/>
              <w14:ligatures w14:val="standardContextual"/>
            </w:rPr>
          </w:pPr>
          <w:hyperlink w:anchor="_Toc177026245" w:history="1">
            <w:r w:rsidR="00B55770" w:rsidRPr="003F790A">
              <w:rPr>
                <w:rStyle w:val="Hyperlink"/>
                <w:noProof/>
              </w:rPr>
              <w:t>I.</w:t>
            </w:r>
            <w:r w:rsidR="00B55770">
              <w:rPr>
                <w:rFonts w:asciiTheme="minorHAnsi" w:eastAsiaTheme="minorEastAsia" w:hAnsiTheme="minorHAnsi"/>
                <w:b w:val="0"/>
                <w:caps w:val="0"/>
                <w:noProof/>
                <w:kern w:val="2"/>
                <w:sz w:val="22"/>
                <w:szCs w:val="22"/>
                <w:lang w:eastAsia="en-AU"/>
                <w14:ligatures w14:val="standardContextual"/>
              </w:rPr>
              <w:tab/>
            </w:r>
            <w:r w:rsidR="00B55770" w:rsidRPr="003F790A">
              <w:rPr>
                <w:rStyle w:val="Hyperlink"/>
                <w:noProof/>
              </w:rPr>
              <w:t>permissible interpretations of the Anti-Dumping Agreement</w:t>
            </w:r>
            <w:r w:rsidR="00B55770">
              <w:rPr>
                <w:noProof/>
                <w:webHidden/>
              </w:rPr>
              <w:tab/>
            </w:r>
            <w:r w:rsidR="00B55770">
              <w:rPr>
                <w:noProof/>
                <w:webHidden/>
              </w:rPr>
              <w:fldChar w:fldCharType="begin"/>
            </w:r>
            <w:r w:rsidR="00B55770">
              <w:rPr>
                <w:noProof/>
                <w:webHidden/>
              </w:rPr>
              <w:instrText xml:space="preserve"> PAGEREF _Toc177026245 \h </w:instrText>
            </w:r>
            <w:r w:rsidR="00B55770">
              <w:rPr>
                <w:noProof/>
                <w:webHidden/>
              </w:rPr>
            </w:r>
            <w:r w:rsidR="00B55770">
              <w:rPr>
                <w:noProof/>
                <w:webHidden/>
              </w:rPr>
              <w:fldChar w:fldCharType="separate"/>
            </w:r>
            <w:r w:rsidR="005034D4">
              <w:rPr>
                <w:noProof/>
                <w:webHidden/>
              </w:rPr>
              <w:t>4</w:t>
            </w:r>
            <w:r w:rsidR="00B55770">
              <w:rPr>
                <w:noProof/>
                <w:webHidden/>
              </w:rPr>
              <w:fldChar w:fldCharType="end"/>
            </w:r>
          </w:hyperlink>
        </w:p>
        <w:p w14:paraId="2C3C7257" w14:textId="049B6E57" w:rsidR="00B55770" w:rsidRDefault="00E62E11">
          <w:pPr>
            <w:pStyle w:val="TOC1"/>
            <w:rPr>
              <w:rFonts w:asciiTheme="minorHAnsi" w:eastAsiaTheme="minorEastAsia" w:hAnsiTheme="minorHAnsi"/>
              <w:b w:val="0"/>
              <w:caps w:val="0"/>
              <w:noProof/>
              <w:kern w:val="2"/>
              <w:sz w:val="22"/>
              <w:szCs w:val="22"/>
              <w:lang w:eastAsia="en-AU"/>
              <w14:ligatures w14:val="standardContextual"/>
            </w:rPr>
          </w:pPr>
          <w:hyperlink w:anchor="_Toc177026246" w:history="1">
            <w:r w:rsidR="00B55770" w:rsidRPr="003F790A">
              <w:rPr>
                <w:rStyle w:val="Hyperlink"/>
                <w:noProof/>
              </w:rPr>
              <w:t>II.</w:t>
            </w:r>
            <w:r w:rsidR="00B55770">
              <w:rPr>
                <w:rFonts w:asciiTheme="minorHAnsi" w:eastAsiaTheme="minorEastAsia" w:hAnsiTheme="minorHAnsi"/>
                <w:b w:val="0"/>
                <w:caps w:val="0"/>
                <w:noProof/>
                <w:kern w:val="2"/>
                <w:sz w:val="22"/>
                <w:szCs w:val="22"/>
                <w:lang w:eastAsia="en-AU"/>
                <w14:ligatures w14:val="standardContextual"/>
              </w:rPr>
              <w:tab/>
            </w:r>
            <w:r w:rsidR="00B55770" w:rsidRPr="003F790A">
              <w:rPr>
                <w:rStyle w:val="Hyperlink"/>
                <w:noProof/>
              </w:rPr>
              <w:t>Cumulation</w:t>
            </w:r>
            <w:r w:rsidR="00B55770">
              <w:rPr>
                <w:noProof/>
                <w:webHidden/>
              </w:rPr>
              <w:tab/>
            </w:r>
            <w:r w:rsidR="00B55770">
              <w:rPr>
                <w:noProof/>
                <w:webHidden/>
              </w:rPr>
              <w:fldChar w:fldCharType="begin"/>
            </w:r>
            <w:r w:rsidR="00B55770">
              <w:rPr>
                <w:noProof/>
                <w:webHidden/>
              </w:rPr>
              <w:instrText xml:space="preserve"> PAGEREF _Toc177026246 \h </w:instrText>
            </w:r>
            <w:r w:rsidR="00B55770">
              <w:rPr>
                <w:noProof/>
                <w:webHidden/>
              </w:rPr>
            </w:r>
            <w:r w:rsidR="00B55770">
              <w:rPr>
                <w:noProof/>
                <w:webHidden/>
              </w:rPr>
              <w:fldChar w:fldCharType="separate"/>
            </w:r>
            <w:r w:rsidR="005034D4">
              <w:rPr>
                <w:noProof/>
                <w:webHidden/>
              </w:rPr>
              <w:t>5</w:t>
            </w:r>
            <w:r w:rsidR="00B55770">
              <w:rPr>
                <w:noProof/>
                <w:webHidden/>
              </w:rPr>
              <w:fldChar w:fldCharType="end"/>
            </w:r>
          </w:hyperlink>
        </w:p>
        <w:p w14:paraId="25FB36F8" w14:textId="32D71F69" w:rsidR="00B55770" w:rsidRDefault="00E62E11">
          <w:pPr>
            <w:pStyle w:val="TOC2"/>
            <w:rPr>
              <w:rFonts w:asciiTheme="minorHAnsi" w:eastAsiaTheme="minorEastAsia" w:hAnsiTheme="minorHAnsi"/>
              <w:b w:val="0"/>
              <w:smallCaps w:val="0"/>
              <w:noProof/>
              <w:kern w:val="2"/>
              <w:sz w:val="22"/>
              <w:szCs w:val="22"/>
              <w:lang w:eastAsia="en-AU"/>
              <w14:ligatures w14:val="standardContextual"/>
            </w:rPr>
          </w:pPr>
          <w:hyperlink w:anchor="_Toc177026247" w:history="1">
            <w:r w:rsidR="00B55770" w:rsidRPr="003F790A">
              <w:rPr>
                <w:rStyle w:val="Hyperlink"/>
                <w:noProof/>
              </w:rPr>
              <w:t>A.</w:t>
            </w:r>
            <w:r w:rsidR="00B55770">
              <w:rPr>
                <w:rFonts w:asciiTheme="minorHAnsi" w:eastAsiaTheme="minorEastAsia" w:hAnsiTheme="minorHAnsi"/>
                <w:b w:val="0"/>
                <w:smallCaps w:val="0"/>
                <w:noProof/>
                <w:kern w:val="2"/>
                <w:sz w:val="22"/>
                <w:szCs w:val="22"/>
                <w:lang w:eastAsia="en-AU"/>
                <w14:ligatures w14:val="standardContextual"/>
              </w:rPr>
              <w:tab/>
            </w:r>
            <w:r w:rsidR="00B55770" w:rsidRPr="003F790A">
              <w:rPr>
                <w:rStyle w:val="Hyperlink"/>
                <w:noProof/>
              </w:rPr>
              <w:t>Cross-Cumulation – Dumped Imports with Subsidised Imports</w:t>
            </w:r>
            <w:r w:rsidR="00B55770">
              <w:rPr>
                <w:noProof/>
                <w:webHidden/>
              </w:rPr>
              <w:tab/>
            </w:r>
            <w:r w:rsidR="00B55770">
              <w:rPr>
                <w:noProof/>
                <w:webHidden/>
              </w:rPr>
              <w:fldChar w:fldCharType="begin"/>
            </w:r>
            <w:r w:rsidR="00B55770">
              <w:rPr>
                <w:noProof/>
                <w:webHidden/>
              </w:rPr>
              <w:instrText xml:space="preserve"> PAGEREF _Toc177026247 \h </w:instrText>
            </w:r>
            <w:r w:rsidR="00B55770">
              <w:rPr>
                <w:noProof/>
                <w:webHidden/>
              </w:rPr>
            </w:r>
            <w:r w:rsidR="00B55770">
              <w:rPr>
                <w:noProof/>
                <w:webHidden/>
              </w:rPr>
              <w:fldChar w:fldCharType="separate"/>
            </w:r>
            <w:r w:rsidR="005034D4">
              <w:rPr>
                <w:noProof/>
                <w:webHidden/>
              </w:rPr>
              <w:t>5</w:t>
            </w:r>
            <w:r w:rsidR="00B55770">
              <w:rPr>
                <w:noProof/>
                <w:webHidden/>
              </w:rPr>
              <w:fldChar w:fldCharType="end"/>
            </w:r>
          </w:hyperlink>
        </w:p>
        <w:p w14:paraId="317886E3" w14:textId="0D8BEF1B" w:rsidR="00B55770" w:rsidRDefault="00E62E11">
          <w:pPr>
            <w:pStyle w:val="TOC2"/>
            <w:rPr>
              <w:rFonts w:asciiTheme="minorHAnsi" w:eastAsiaTheme="minorEastAsia" w:hAnsiTheme="minorHAnsi"/>
              <w:b w:val="0"/>
              <w:smallCaps w:val="0"/>
              <w:noProof/>
              <w:kern w:val="2"/>
              <w:sz w:val="22"/>
              <w:szCs w:val="22"/>
              <w:lang w:eastAsia="en-AU"/>
              <w14:ligatures w14:val="standardContextual"/>
            </w:rPr>
          </w:pPr>
          <w:hyperlink w:anchor="_Toc177026248" w:history="1">
            <w:r w:rsidR="00B55770" w:rsidRPr="003F790A">
              <w:rPr>
                <w:rStyle w:val="Hyperlink"/>
                <w:noProof/>
              </w:rPr>
              <w:t>B.</w:t>
            </w:r>
            <w:r w:rsidR="00B55770">
              <w:rPr>
                <w:rFonts w:asciiTheme="minorHAnsi" w:eastAsiaTheme="minorEastAsia" w:hAnsiTheme="minorHAnsi"/>
                <w:b w:val="0"/>
                <w:smallCaps w:val="0"/>
                <w:noProof/>
                <w:kern w:val="2"/>
                <w:sz w:val="22"/>
                <w:szCs w:val="22"/>
                <w:lang w:eastAsia="en-AU"/>
                <w14:ligatures w14:val="standardContextual"/>
              </w:rPr>
              <w:tab/>
            </w:r>
            <w:r w:rsidR="00B55770" w:rsidRPr="003F790A">
              <w:rPr>
                <w:rStyle w:val="Hyperlink"/>
                <w:noProof/>
              </w:rPr>
              <w:t>Conditions of Competition</w:t>
            </w:r>
            <w:r w:rsidR="00B55770">
              <w:rPr>
                <w:noProof/>
                <w:webHidden/>
              </w:rPr>
              <w:tab/>
            </w:r>
            <w:r w:rsidR="00B55770">
              <w:rPr>
                <w:noProof/>
                <w:webHidden/>
              </w:rPr>
              <w:fldChar w:fldCharType="begin"/>
            </w:r>
            <w:r w:rsidR="00B55770">
              <w:rPr>
                <w:noProof/>
                <w:webHidden/>
              </w:rPr>
              <w:instrText xml:space="preserve"> PAGEREF _Toc177026248 \h </w:instrText>
            </w:r>
            <w:r w:rsidR="00B55770">
              <w:rPr>
                <w:noProof/>
                <w:webHidden/>
              </w:rPr>
            </w:r>
            <w:r w:rsidR="00B55770">
              <w:rPr>
                <w:noProof/>
                <w:webHidden/>
              </w:rPr>
              <w:fldChar w:fldCharType="separate"/>
            </w:r>
            <w:r w:rsidR="005034D4">
              <w:rPr>
                <w:noProof/>
                <w:webHidden/>
              </w:rPr>
              <w:t>6</w:t>
            </w:r>
            <w:r w:rsidR="00B55770">
              <w:rPr>
                <w:noProof/>
                <w:webHidden/>
              </w:rPr>
              <w:fldChar w:fldCharType="end"/>
            </w:r>
          </w:hyperlink>
        </w:p>
        <w:p w14:paraId="77DB6E2E" w14:textId="309C5A67" w:rsidR="00B55770" w:rsidRDefault="00E62E11">
          <w:pPr>
            <w:pStyle w:val="TOC1"/>
            <w:rPr>
              <w:rFonts w:asciiTheme="minorHAnsi" w:eastAsiaTheme="minorEastAsia" w:hAnsiTheme="minorHAnsi"/>
              <w:b w:val="0"/>
              <w:caps w:val="0"/>
              <w:noProof/>
              <w:kern w:val="2"/>
              <w:sz w:val="22"/>
              <w:szCs w:val="22"/>
              <w:lang w:eastAsia="en-AU"/>
              <w14:ligatures w14:val="standardContextual"/>
            </w:rPr>
          </w:pPr>
          <w:hyperlink w:anchor="_Toc177026249" w:history="1">
            <w:r w:rsidR="00B55770" w:rsidRPr="003F790A">
              <w:rPr>
                <w:rStyle w:val="Hyperlink"/>
                <w:noProof/>
              </w:rPr>
              <w:t>III.</w:t>
            </w:r>
            <w:r w:rsidR="00B55770">
              <w:rPr>
                <w:rFonts w:asciiTheme="minorHAnsi" w:eastAsiaTheme="minorEastAsia" w:hAnsiTheme="minorHAnsi"/>
                <w:b w:val="0"/>
                <w:caps w:val="0"/>
                <w:noProof/>
                <w:kern w:val="2"/>
                <w:sz w:val="22"/>
                <w:szCs w:val="22"/>
                <w:lang w:eastAsia="en-AU"/>
                <w14:ligatures w14:val="standardContextual"/>
              </w:rPr>
              <w:tab/>
            </w:r>
            <w:r w:rsidR="00B55770" w:rsidRPr="003F790A">
              <w:rPr>
                <w:rStyle w:val="Hyperlink"/>
                <w:noProof/>
              </w:rPr>
              <w:t>THE INITIATION OF THE INVESTIGATION</w:t>
            </w:r>
            <w:r w:rsidR="00B55770">
              <w:rPr>
                <w:noProof/>
                <w:webHidden/>
              </w:rPr>
              <w:tab/>
            </w:r>
            <w:r w:rsidR="00B55770">
              <w:rPr>
                <w:noProof/>
                <w:webHidden/>
              </w:rPr>
              <w:fldChar w:fldCharType="begin"/>
            </w:r>
            <w:r w:rsidR="00B55770">
              <w:rPr>
                <w:noProof/>
                <w:webHidden/>
              </w:rPr>
              <w:instrText xml:space="preserve"> PAGEREF _Toc177026249 \h </w:instrText>
            </w:r>
            <w:r w:rsidR="00B55770">
              <w:rPr>
                <w:noProof/>
                <w:webHidden/>
              </w:rPr>
            </w:r>
            <w:r w:rsidR="00B55770">
              <w:rPr>
                <w:noProof/>
                <w:webHidden/>
              </w:rPr>
              <w:fldChar w:fldCharType="separate"/>
            </w:r>
            <w:r w:rsidR="005034D4">
              <w:rPr>
                <w:noProof/>
                <w:webHidden/>
              </w:rPr>
              <w:t>6</w:t>
            </w:r>
            <w:r w:rsidR="00B55770">
              <w:rPr>
                <w:noProof/>
                <w:webHidden/>
              </w:rPr>
              <w:fldChar w:fldCharType="end"/>
            </w:r>
          </w:hyperlink>
        </w:p>
        <w:p w14:paraId="164A586C" w14:textId="381ED1FF" w:rsidR="00F7455F" w:rsidRDefault="00F71EA3" w:rsidP="00F71EA3">
          <w:pPr>
            <w:rPr>
              <w:rFonts w:cs="Calibri"/>
              <w:b/>
              <w:bCs/>
              <w:noProof/>
            </w:rPr>
          </w:pPr>
          <w:r w:rsidRPr="00AE62EF">
            <w:rPr>
              <w:rFonts w:cs="Calibri"/>
              <w:b/>
              <w:bCs/>
              <w:noProof/>
            </w:rPr>
            <w:fldChar w:fldCharType="end"/>
          </w:r>
        </w:p>
        <w:p w14:paraId="66225367" w14:textId="77777777" w:rsidR="002F0969" w:rsidRDefault="002F0969">
          <w:pPr>
            <w:spacing w:line="259" w:lineRule="auto"/>
            <w:jc w:val="left"/>
            <w:rPr>
              <w:rFonts w:eastAsiaTheme="majorEastAsia" w:cs="Calibri"/>
              <w:b/>
              <w:caps/>
              <w:szCs w:val="32"/>
            </w:rPr>
          </w:pPr>
          <w:r>
            <w:rPr>
              <w:rFonts w:cs="Calibri"/>
            </w:rPr>
            <w:br w:type="page"/>
          </w:r>
        </w:p>
        <w:p w14:paraId="2C9F3A25" w14:textId="07A1D2D8" w:rsidR="00575516" w:rsidRPr="00F77A73" w:rsidRDefault="00575516" w:rsidP="00F77A73">
          <w:pPr>
            <w:pStyle w:val="Heading2"/>
          </w:pPr>
          <w:bookmarkStart w:id="4" w:name="_Toc177026243"/>
          <w:r w:rsidRPr="00F77A73">
            <w:lastRenderedPageBreak/>
            <w:t>Table of Cases</w:t>
          </w:r>
          <w:bookmarkEnd w:id="4"/>
        </w:p>
        <w:tbl>
          <w:tblPr>
            <w:tblStyle w:val="TableGrid"/>
            <w:tblW w:w="5000" w:type="pct"/>
            <w:tblLook w:val="04A0" w:firstRow="1" w:lastRow="0" w:firstColumn="1" w:lastColumn="0" w:noHBand="0" w:noVBand="1"/>
          </w:tblPr>
          <w:tblGrid>
            <w:gridCol w:w="2265"/>
            <w:gridCol w:w="6795"/>
          </w:tblGrid>
          <w:tr w:rsidR="00575516" w:rsidRPr="00AE62EF" w14:paraId="651EE5CC" w14:textId="77777777" w:rsidTr="00AA396D">
            <w:trPr>
              <w:cantSplit/>
              <w:trHeight w:val="397"/>
              <w:tblHeader/>
            </w:trPr>
            <w:tc>
              <w:tcPr>
                <w:tcW w:w="2265" w:type="dxa"/>
                <w:shd w:val="clear" w:color="auto" w:fill="D9D9D9" w:themeFill="background1" w:themeFillShade="D9"/>
              </w:tcPr>
              <w:p w14:paraId="73865DA7" w14:textId="77777777" w:rsidR="00575516" w:rsidRPr="00AE62EF" w:rsidRDefault="00575516" w:rsidP="00AA396D">
                <w:pPr>
                  <w:pStyle w:val="THTableHeading"/>
                  <w:jc w:val="center"/>
                  <w:rPr>
                    <w:rFonts w:cs="Calibri"/>
                  </w:rPr>
                </w:pPr>
                <w:r w:rsidRPr="00AE62EF">
                  <w:rPr>
                    <w:rFonts w:cs="Calibri"/>
                  </w:rPr>
                  <w:t>Short Title</w:t>
                </w:r>
              </w:p>
            </w:tc>
            <w:tc>
              <w:tcPr>
                <w:tcW w:w="6795" w:type="dxa"/>
                <w:shd w:val="clear" w:color="auto" w:fill="D9D9D9" w:themeFill="background1" w:themeFillShade="D9"/>
              </w:tcPr>
              <w:p w14:paraId="04C3C310" w14:textId="77777777" w:rsidR="00575516" w:rsidRPr="00AE62EF" w:rsidRDefault="00575516" w:rsidP="00AA396D">
                <w:pPr>
                  <w:pStyle w:val="THTableHeading"/>
                  <w:jc w:val="center"/>
                  <w:rPr>
                    <w:rFonts w:cs="Calibri"/>
                  </w:rPr>
                </w:pPr>
                <w:r w:rsidRPr="00AE62EF">
                  <w:rPr>
                    <w:rFonts w:cs="Calibri"/>
                  </w:rPr>
                  <w:t>Full Case Title and Citation</w:t>
                </w:r>
              </w:p>
            </w:tc>
          </w:tr>
          <w:tr w:rsidR="00DA7C44" w:rsidRPr="00AE62EF" w14:paraId="32C3E0BC" w14:textId="77777777" w:rsidTr="00AA396D">
            <w:trPr>
              <w:cantSplit/>
              <w:trHeight w:val="397"/>
            </w:trPr>
            <w:tc>
              <w:tcPr>
                <w:tcW w:w="2265" w:type="dxa"/>
              </w:tcPr>
              <w:p w14:paraId="6D62AAA8" w14:textId="3C81F323" w:rsidR="00DA7C44" w:rsidRPr="00DA7C44" w:rsidRDefault="00DA7C44" w:rsidP="00DA7C44">
                <w:pPr>
                  <w:pStyle w:val="TTTableText"/>
                  <w:rPr>
                    <w:rFonts w:cs="Calibri"/>
                    <w:i/>
                    <w:iCs/>
                  </w:rPr>
                </w:pPr>
                <w:r w:rsidRPr="00DA7C44">
                  <w:rPr>
                    <w:rFonts w:cs="Calibri"/>
                    <w:i/>
                    <w:iCs/>
                  </w:rPr>
                  <w:t>Colombia — Frozen Fries</w:t>
                </w:r>
              </w:p>
            </w:tc>
            <w:tc>
              <w:tcPr>
                <w:tcW w:w="6795" w:type="dxa"/>
              </w:tcPr>
              <w:p w14:paraId="7D39F047" w14:textId="60595690" w:rsidR="00DA7C44" w:rsidRPr="00DA7C44" w:rsidRDefault="00DA7C44" w:rsidP="00DA7C44">
                <w:pPr>
                  <w:pStyle w:val="TTTableText"/>
                  <w:rPr>
                    <w:rFonts w:cs="Calibri"/>
                  </w:rPr>
                </w:pPr>
                <w:r w:rsidRPr="00DA7C44">
                  <w:rPr>
                    <w:rFonts w:cs="Calibri"/>
                  </w:rPr>
                  <w:t xml:space="preserve">Award of Arbitrators, </w:t>
                </w:r>
                <w:r w:rsidRPr="00DA7C44">
                  <w:rPr>
                    <w:rFonts w:cs="Calibri"/>
                    <w:i/>
                    <w:iCs/>
                  </w:rPr>
                  <w:t xml:space="preserve">Colombia </w:t>
                </w:r>
                <w:r w:rsidRPr="00DA7C44">
                  <w:rPr>
                    <w:rFonts w:asciiTheme="minorHAnsi" w:hAnsiTheme="minorHAnsi" w:cstheme="minorHAnsi"/>
                    <w:i/>
                    <w:iCs/>
                  </w:rPr>
                  <w:t>–</w:t>
                </w:r>
                <w:r w:rsidRPr="00DA7C44">
                  <w:rPr>
                    <w:rFonts w:cs="Calibri"/>
                    <w:i/>
                    <w:iCs/>
                  </w:rPr>
                  <w:t xml:space="preserve"> Anti-Dumping Duties on Frozen Fries from Belgium, Germany and the Netherlands – Arbitration under Article 25 of the DSU,</w:t>
                </w:r>
                <w:r w:rsidRPr="00DA7C44">
                  <w:rPr>
                    <w:rFonts w:cs="Calibri"/>
                  </w:rPr>
                  <w:t xml:space="preserve"> WT/DS591/9/ARB25 and Add.1, 21 December 2022</w:t>
                </w:r>
                <w:r w:rsidRPr="00DA7C44">
                  <w:rPr>
                    <w:rFonts w:cs="Calibri"/>
                    <w:i/>
                    <w:iCs/>
                  </w:rPr>
                  <w:t xml:space="preserve"> </w:t>
                </w:r>
              </w:p>
            </w:tc>
          </w:tr>
          <w:tr w:rsidR="0062389E" w:rsidRPr="00AE62EF" w14:paraId="1FC043F2" w14:textId="77777777" w:rsidTr="00AA396D">
            <w:trPr>
              <w:cantSplit/>
              <w:trHeight w:val="397"/>
            </w:trPr>
            <w:tc>
              <w:tcPr>
                <w:tcW w:w="2265" w:type="dxa"/>
              </w:tcPr>
              <w:p w14:paraId="1F915967" w14:textId="26FFC00B" w:rsidR="0062389E" w:rsidRPr="00335A96" w:rsidRDefault="0062389E" w:rsidP="0062389E">
                <w:pPr>
                  <w:pStyle w:val="FootnoteText"/>
                  <w:jc w:val="left"/>
                  <w:rPr>
                    <w:rFonts w:cs="Calibri"/>
                    <w:i/>
                    <w:iCs/>
                    <w:sz w:val="24"/>
                    <w:szCs w:val="24"/>
                  </w:rPr>
                </w:pPr>
                <w:r w:rsidRPr="00B010E8">
                  <w:rPr>
                    <w:rFonts w:asciiTheme="minorHAnsi" w:hAnsiTheme="minorHAnsi" w:cstheme="minorHAnsi"/>
                    <w:i/>
                    <w:iCs/>
                    <w:sz w:val="24"/>
                    <w:szCs w:val="24"/>
                  </w:rPr>
                  <w:t>US – Carbon Steel (India)</w:t>
                </w:r>
              </w:p>
            </w:tc>
            <w:tc>
              <w:tcPr>
                <w:tcW w:w="6795" w:type="dxa"/>
              </w:tcPr>
              <w:p w14:paraId="261F7460" w14:textId="3C772550" w:rsidR="0062389E" w:rsidRPr="00335A96" w:rsidRDefault="0062389E" w:rsidP="0062389E">
                <w:pPr>
                  <w:pStyle w:val="TTTableText"/>
                  <w:rPr>
                    <w:rFonts w:cs="Calibri"/>
                  </w:rPr>
                </w:pPr>
                <w:r>
                  <w:rPr>
                    <w:rFonts w:asciiTheme="minorHAnsi" w:hAnsiTheme="minorHAnsi" w:cstheme="minorHAnsi"/>
                  </w:rPr>
                  <w:t xml:space="preserve">Appellate Body Report, </w:t>
                </w:r>
                <w:r>
                  <w:rPr>
                    <w:rFonts w:asciiTheme="minorHAnsi" w:hAnsiTheme="minorHAnsi" w:cstheme="minorHAnsi"/>
                    <w:i/>
                    <w:iCs/>
                  </w:rPr>
                  <w:t xml:space="preserve">United States – Countervailing Measures on Certain Hot-Rolled Carbon Steel Flat Products from India, </w:t>
                </w:r>
                <w:r>
                  <w:rPr>
                    <w:rFonts w:asciiTheme="minorHAnsi" w:hAnsiTheme="minorHAnsi" w:cstheme="minorHAnsi"/>
                  </w:rPr>
                  <w:t>WT/DS436/AB/R, adopted 19 December 2014, DSR 2014:V, p. 1727</w:t>
                </w:r>
              </w:p>
            </w:tc>
          </w:tr>
          <w:tr w:rsidR="0062389E" w:rsidRPr="00AE62EF" w14:paraId="7CAADB4C" w14:textId="77777777" w:rsidTr="00AA396D">
            <w:trPr>
              <w:cantSplit/>
              <w:trHeight w:val="397"/>
            </w:trPr>
            <w:tc>
              <w:tcPr>
                <w:tcW w:w="2265" w:type="dxa"/>
              </w:tcPr>
              <w:p w14:paraId="6BA6F9F8" w14:textId="41DF3432" w:rsidR="0062389E" w:rsidRPr="00335A96" w:rsidRDefault="0062389E" w:rsidP="0062389E">
                <w:pPr>
                  <w:pStyle w:val="FootnoteText"/>
                  <w:jc w:val="left"/>
                  <w:rPr>
                    <w:rFonts w:asciiTheme="minorHAnsi" w:hAnsiTheme="minorHAnsi"/>
                    <w:i/>
                    <w:iCs/>
                    <w:sz w:val="24"/>
                    <w:szCs w:val="24"/>
                  </w:rPr>
                </w:pPr>
                <w:r w:rsidRPr="00B010E8">
                  <w:rPr>
                    <w:rFonts w:asciiTheme="minorHAnsi" w:hAnsiTheme="minorHAnsi" w:cstheme="minorHAnsi"/>
                    <w:i/>
                    <w:iCs/>
                    <w:sz w:val="24"/>
                    <w:szCs w:val="24"/>
                  </w:rPr>
                  <w:t>US – Carbon Steel (India)</w:t>
                </w:r>
              </w:p>
            </w:tc>
            <w:tc>
              <w:tcPr>
                <w:tcW w:w="6795" w:type="dxa"/>
              </w:tcPr>
              <w:p w14:paraId="7FD07F26" w14:textId="2AE23C9B" w:rsidR="0062389E" w:rsidRPr="00335A96" w:rsidRDefault="0062389E" w:rsidP="0062389E">
                <w:pPr>
                  <w:pStyle w:val="TTTableText"/>
                  <w:rPr>
                    <w:rFonts w:cs="Calibri"/>
                  </w:rPr>
                </w:pPr>
                <w:r>
                  <w:rPr>
                    <w:color w:val="000000"/>
                  </w:rPr>
                  <w:t xml:space="preserve">Panel Report, </w:t>
                </w:r>
                <w:r>
                  <w:rPr>
                    <w:i/>
                    <w:color w:val="000000"/>
                  </w:rPr>
                  <w:t>United States – Countervailing Measures on Certain Hot-Rolled Carbon Steel Flat Products from India</w:t>
                </w:r>
                <w:r>
                  <w:rPr>
                    <w:color w:val="000000"/>
                  </w:rPr>
                  <w:t xml:space="preserve">, </w:t>
                </w:r>
                <w:r>
                  <w:t>WT/DS436/R</w:t>
                </w:r>
                <w:r>
                  <w:rPr>
                    <w:color w:val="000000"/>
                  </w:rPr>
                  <w:t xml:space="preserve"> and Add.1, adopted 19 December 2014, as modified by Appellate Body Report WT/DS436/AB/R, DSR 2014:VI, p. 2189</w:t>
                </w:r>
              </w:p>
            </w:tc>
          </w:tr>
          <w:tr w:rsidR="00A25B06" w:rsidRPr="00AE62EF" w14:paraId="33E1B3F4" w14:textId="77777777" w:rsidTr="00AA396D">
            <w:trPr>
              <w:cantSplit/>
              <w:trHeight w:val="397"/>
            </w:trPr>
            <w:tc>
              <w:tcPr>
                <w:tcW w:w="2265" w:type="dxa"/>
              </w:tcPr>
              <w:p w14:paraId="761B97B6" w14:textId="4824F34D" w:rsidR="00A25B06" w:rsidRPr="00335A96" w:rsidRDefault="00A25B06" w:rsidP="00A25B06">
                <w:pPr>
                  <w:pStyle w:val="FootnoteText"/>
                  <w:jc w:val="left"/>
                  <w:rPr>
                    <w:bCs/>
                    <w:i/>
                    <w:iCs/>
                    <w:sz w:val="24"/>
                    <w:szCs w:val="24"/>
                    <w:lang w:val="en-GB"/>
                  </w:rPr>
                </w:pPr>
                <w:r w:rsidRPr="00B010E8">
                  <w:rPr>
                    <w:rFonts w:asciiTheme="minorHAnsi" w:hAnsiTheme="minorHAnsi" w:cstheme="minorHAnsi"/>
                    <w:i/>
                    <w:iCs/>
                    <w:sz w:val="24"/>
                    <w:szCs w:val="24"/>
                  </w:rPr>
                  <w:t>US – Oil Country Tubular Goods Sunset Reviews</w:t>
                </w:r>
              </w:p>
            </w:tc>
            <w:tc>
              <w:tcPr>
                <w:tcW w:w="6795" w:type="dxa"/>
              </w:tcPr>
              <w:p w14:paraId="1B981170" w14:textId="4C96B899" w:rsidR="00A25B06" w:rsidRPr="00335A96" w:rsidRDefault="00A25B06" w:rsidP="00A25B06">
                <w:pPr>
                  <w:pStyle w:val="TTTableText"/>
                  <w:rPr>
                    <w:rFonts w:cs="Calibri"/>
                  </w:rPr>
                </w:pPr>
                <w:r>
                  <w:rPr>
                    <w:rFonts w:asciiTheme="minorHAnsi" w:hAnsiTheme="minorHAnsi" w:cstheme="minorHAnsi"/>
                  </w:rPr>
                  <w:t>Appellate Body Report</w:t>
                </w:r>
                <w:r>
                  <w:rPr>
                    <w:rFonts w:asciiTheme="minorHAnsi" w:hAnsiTheme="minorHAnsi" w:cstheme="minorHAnsi"/>
                    <w:i/>
                    <w:iCs/>
                  </w:rPr>
                  <w:t>, United States – Sunset Reviews of Anti-Dumping Measures on Oil Country Tubular Goods from Argentina</w:t>
                </w:r>
                <w:r>
                  <w:rPr>
                    <w:rFonts w:asciiTheme="minorHAnsi" w:hAnsiTheme="minorHAnsi" w:cstheme="minorHAnsi"/>
                  </w:rPr>
                  <w:t>, WT/DS268/AB/R, adopted 17 December 2004, DSR 2004:VII, p. 3257</w:t>
                </w:r>
              </w:p>
            </w:tc>
          </w:tr>
        </w:tbl>
        <w:p w14:paraId="304E317E" w14:textId="666E78E9" w:rsidR="00F7455F" w:rsidRPr="00F71EA3" w:rsidRDefault="00F7455F" w:rsidP="00F77A73">
          <w:pPr>
            <w:pStyle w:val="Heading2"/>
          </w:pPr>
          <w:bookmarkStart w:id="5" w:name="_Toc163465779"/>
          <w:bookmarkStart w:id="6" w:name="_Toc177026244"/>
          <w:r w:rsidRPr="00F71EA3">
            <w:t xml:space="preserve">List of </w:t>
          </w:r>
          <w:r w:rsidRPr="00F77A73">
            <w:t>Acronyms</w:t>
          </w:r>
          <w:r w:rsidRPr="00F71EA3">
            <w:t>, Abbreviations and Short Forms</w:t>
          </w:r>
          <w:bookmarkEnd w:id="5"/>
          <w:bookmarkEnd w:id="6"/>
        </w:p>
        <w:tbl>
          <w:tblPr>
            <w:tblStyle w:val="TableGrid"/>
            <w:tblW w:w="5000" w:type="pct"/>
            <w:tblLook w:val="04A0" w:firstRow="1" w:lastRow="0" w:firstColumn="1" w:lastColumn="0" w:noHBand="0" w:noVBand="1"/>
          </w:tblPr>
          <w:tblGrid>
            <w:gridCol w:w="2251"/>
            <w:gridCol w:w="6809"/>
          </w:tblGrid>
          <w:tr w:rsidR="00F7455F" w:rsidRPr="00AE62EF" w14:paraId="7FDC6445" w14:textId="77777777" w:rsidTr="00AA396D">
            <w:trPr>
              <w:cantSplit/>
              <w:trHeight w:val="397"/>
              <w:tblHeader/>
            </w:trPr>
            <w:tc>
              <w:tcPr>
                <w:tcW w:w="2251" w:type="dxa"/>
                <w:shd w:val="clear" w:color="auto" w:fill="D9D9D9" w:themeFill="background1" w:themeFillShade="D9"/>
              </w:tcPr>
              <w:p w14:paraId="42CD71E9" w14:textId="77777777" w:rsidR="00F7455F" w:rsidRPr="00AE62EF" w:rsidRDefault="00F7455F" w:rsidP="00AA396D">
                <w:pPr>
                  <w:pStyle w:val="THTableHeading"/>
                  <w:jc w:val="center"/>
                  <w:rPr>
                    <w:rFonts w:cs="Calibri"/>
                  </w:rPr>
                </w:pPr>
                <w:r w:rsidRPr="00AE62EF">
                  <w:rPr>
                    <w:rFonts w:cs="Calibri"/>
                  </w:rPr>
                  <w:t>Abbreviation</w:t>
                </w:r>
              </w:p>
            </w:tc>
            <w:tc>
              <w:tcPr>
                <w:tcW w:w="6809" w:type="dxa"/>
                <w:shd w:val="clear" w:color="auto" w:fill="D9D9D9" w:themeFill="background1" w:themeFillShade="D9"/>
              </w:tcPr>
              <w:p w14:paraId="5E97C7E4" w14:textId="77777777" w:rsidR="00F7455F" w:rsidRPr="00AE62EF" w:rsidRDefault="00F7455F" w:rsidP="00AA396D">
                <w:pPr>
                  <w:pStyle w:val="THTableHeading"/>
                  <w:jc w:val="center"/>
                  <w:rPr>
                    <w:rFonts w:cs="Calibri"/>
                  </w:rPr>
                </w:pPr>
                <w:r w:rsidRPr="00AE62EF">
                  <w:rPr>
                    <w:rFonts w:cs="Calibri"/>
                  </w:rPr>
                  <w:t>Full Form or Description</w:t>
                </w:r>
              </w:p>
            </w:tc>
          </w:tr>
          <w:tr w:rsidR="00665C9E" w:rsidRPr="00AE62EF" w14:paraId="2CA66993" w14:textId="77777777" w:rsidTr="00AA396D">
            <w:trPr>
              <w:cantSplit/>
              <w:trHeight w:val="397"/>
            </w:trPr>
            <w:tc>
              <w:tcPr>
                <w:tcW w:w="2251" w:type="dxa"/>
              </w:tcPr>
              <w:p w14:paraId="44FFA13A" w14:textId="187CFB4B" w:rsidR="00665C9E" w:rsidRPr="00AE62EF" w:rsidRDefault="00665C9E" w:rsidP="00665C9E">
                <w:pPr>
                  <w:pStyle w:val="TTTableText"/>
                  <w:rPr>
                    <w:rFonts w:cs="Calibri"/>
                  </w:rPr>
                </w:pPr>
                <w:r>
                  <w:rPr>
                    <w:rFonts w:cs="Calibri"/>
                    <w:lang w:eastAsia="en-AU"/>
                  </w:rPr>
                  <w:t>Anti-Dumping Agreement</w:t>
                </w:r>
              </w:p>
            </w:tc>
            <w:tc>
              <w:tcPr>
                <w:tcW w:w="6809" w:type="dxa"/>
              </w:tcPr>
              <w:p w14:paraId="1DD91925" w14:textId="0DC11D07" w:rsidR="00665C9E" w:rsidRPr="00AE62EF" w:rsidRDefault="00665C9E" w:rsidP="00665C9E">
                <w:pPr>
                  <w:pStyle w:val="TTTableText"/>
                  <w:rPr>
                    <w:rFonts w:cs="Calibri"/>
                  </w:rPr>
                </w:pPr>
                <w:r>
                  <w:rPr>
                    <w:rFonts w:cs="Calibri"/>
                    <w:lang w:eastAsia="en-AU"/>
                  </w:rPr>
                  <w:t>Agreement on the Implementation of Article VI of GATT 1994, Apr. 15, 1994, Marrakesh Agreement Establishing the World Trade Organization, Annex 1A, 1868 U.N.T.S. 201</w:t>
                </w:r>
              </w:p>
            </w:tc>
          </w:tr>
          <w:tr w:rsidR="00665C9E" w:rsidRPr="00AE62EF" w14:paraId="4A5040A1" w14:textId="77777777" w:rsidTr="00AA396D">
            <w:trPr>
              <w:cantSplit/>
              <w:trHeight w:val="397"/>
            </w:trPr>
            <w:tc>
              <w:tcPr>
                <w:tcW w:w="2251" w:type="dxa"/>
              </w:tcPr>
              <w:p w14:paraId="4AB8CA8C" w14:textId="44835289" w:rsidR="00665C9E" w:rsidRPr="00AE62EF" w:rsidRDefault="00665C9E" w:rsidP="00665C9E">
                <w:pPr>
                  <w:pStyle w:val="TTTableText"/>
                  <w:rPr>
                    <w:rFonts w:cs="Calibri"/>
                  </w:rPr>
                </w:pPr>
                <w:r>
                  <w:rPr>
                    <w:rFonts w:cs="Calibri"/>
                  </w:rPr>
                  <w:t>GATT</w:t>
                </w:r>
              </w:p>
            </w:tc>
            <w:tc>
              <w:tcPr>
                <w:tcW w:w="6809" w:type="dxa"/>
              </w:tcPr>
              <w:p w14:paraId="2E3F37E6" w14:textId="7D02260F" w:rsidR="00665C9E" w:rsidRPr="00AE62EF" w:rsidRDefault="00665C9E" w:rsidP="00665C9E">
                <w:pPr>
                  <w:pStyle w:val="TTTableText"/>
                  <w:rPr>
                    <w:rFonts w:cs="Calibri"/>
                  </w:rPr>
                </w:pPr>
                <w:r>
                  <w:rPr>
                    <w:rFonts w:cs="Calibri"/>
                    <w:lang w:eastAsia="en-AU"/>
                  </w:rPr>
                  <w:t>Final Act Embodying the Results of the Uruguay Round of Multilateral Trade Negotiations, Apr. 15, 1994, 1867 U.N.T.S. 14, 33 I.L.M. 1143 (1994)</w:t>
                </w:r>
              </w:p>
            </w:tc>
          </w:tr>
          <w:tr w:rsidR="00665C9E" w:rsidRPr="00AE62EF" w14:paraId="2A526575" w14:textId="77777777" w:rsidTr="00AA396D">
            <w:trPr>
              <w:cantSplit/>
              <w:trHeight w:val="397"/>
            </w:trPr>
            <w:tc>
              <w:tcPr>
                <w:tcW w:w="2251" w:type="dxa"/>
              </w:tcPr>
              <w:p w14:paraId="7D48CD90" w14:textId="567B1AEA" w:rsidR="00665C9E" w:rsidRPr="00AE62EF" w:rsidRDefault="00665C9E" w:rsidP="00665C9E">
                <w:pPr>
                  <w:pStyle w:val="TTTableText"/>
                  <w:rPr>
                    <w:rFonts w:cs="Calibri"/>
                  </w:rPr>
                </w:pPr>
                <w:r>
                  <w:rPr>
                    <w:rFonts w:cs="Calibri"/>
                  </w:rPr>
                  <w:t>Vienna Convention</w:t>
                </w:r>
              </w:p>
            </w:tc>
            <w:tc>
              <w:tcPr>
                <w:tcW w:w="6809" w:type="dxa"/>
              </w:tcPr>
              <w:p w14:paraId="6D03153B" w14:textId="4BC45A73" w:rsidR="00665C9E" w:rsidRPr="00AE62EF" w:rsidRDefault="00665C9E" w:rsidP="00665C9E">
                <w:pPr>
                  <w:pStyle w:val="TTTableText"/>
                  <w:rPr>
                    <w:rFonts w:cs="Calibri"/>
                  </w:rPr>
                </w:pPr>
                <w:r>
                  <w:rPr>
                    <w:rStyle w:val="ui-provider"/>
                  </w:rPr>
                  <w:t xml:space="preserve">Vienna Convention on the Law of Treaties, May 23, 1969, 1155 U.N.T.S. 331 </w:t>
                </w:r>
              </w:p>
            </w:tc>
          </w:tr>
          <w:tr w:rsidR="008E0A2C" w:rsidRPr="00AE62EF" w14:paraId="0ED401CB" w14:textId="77777777" w:rsidTr="00AA396D">
            <w:trPr>
              <w:cantSplit/>
              <w:trHeight w:val="397"/>
            </w:trPr>
            <w:tc>
              <w:tcPr>
                <w:tcW w:w="2251" w:type="dxa"/>
              </w:tcPr>
              <w:p w14:paraId="072CEAAC" w14:textId="604A13D8" w:rsidR="008E0A2C" w:rsidRPr="00AE62EF" w:rsidRDefault="008E0A2C" w:rsidP="008E0A2C">
                <w:pPr>
                  <w:pStyle w:val="TTTableText"/>
                  <w:rPr>
                    <w:rFonts w:cs="Calibri"/>
                  </w:rPr>
                </w:pPr>
                <w:r>
                  <w:rPr>
                    <w:rFonts w:cs="Calibri"/>
                  </w:rPr>
                  <w:t>USITC</w:t>
                </w:r>
              </w:p>
            </w:tc>
            <w:tc>
              <w:tcPr>
                <w:tcW w:w="6809" w:type="dxa"/>
              </w:tcPr>
              <w:p w14:paraId="613379C9" w14:textId="053C8F08" w:rsidR="008E0A2C" w:rsidRPr="00AE62EF" w:rsidRDefault="008E0A2C" w:rsidP="008E0A2C">
                <w:pPr>
                  <w:pStyle w:val="TTTableText"/>
                  <w:rPr>
                    <w:rFonts w:cs="Calibri"/>
                  </w:rPr>
                </w:pPr>
                <w:r>
                  <w:rPr>
                    <w:rFonts w:cs="Calibri"/>
                  </w:rPr>
                  <w:t>United States International Trade Commission</w:t>
                </w:r>
              </w:p>
            </w:tc>
          </w:tr>
          <w:bookmarkEnd w:id="3"/>
        </w:tbl>
      </w:sdtContent>
    </w:sdt>
    <w:p w14:paraId="6581CB36" w14:textId="65E88722" w:rsidR="003E004B" w:rsidRPr="008C571D" w:rsidRDefault="008C571D" w:rsidP="008C571D">
      <w:pPr>
        <w:spacing w:line="259" w:lineRule="auto"/>
        <w:jc w:val="left"/>
        <w:rPr>
          <w:rFonts w:eastAsiaTheme="majorEastAsia" w:cstheme="majorBidi"/>
          <w:b/>
          <w:caps/>
          <w:sz w:val="28"/>
          <w:szCs w:val="32"/>
        </w:rPr>
      </w:pPr>
      <w:r>
        <w:br w:type="page"/>
      </w:r>
    </w:p>
    <w:p w14:paraId="27CE0D6D" w14:textId="592271B6" w:rsidR="00F71EA3" w:rsidRPr="004E1213" w:rsidRDefault="004E1213" w:rsidP="00C54161">
      <w:pPr>
        <w:pStyle w:val="HL1HeadingLevel1"/>
      </w:pPr>
      <w:bookmarkStart w:id="7" w:name="_Toc177026245"/>
      <w:r w:rsidRPr="004E1213">
        <w:lastRenderedPageBreak/>
        <w:t>permissible interpretations of the Anti-Dumping Agreement</w:t>
      </w:r>
      <w:bookmarkEnd w:id="7"/>
    </w:p>
    <w:p w14:paraId="5F5E6B62" w14:textId="788C3F59" w:rsidR="004E1213" w:rsidRPr="00BA00D6" w:rsidRDefault="004E1213" w:rsidP="004E1213">
      <w:pPr>
        <w:pStyle w:val="P1-N1Paragraph1-Number1"/>
        <w:rPr>
          <w:rFonts w:cs="Calibri"/>
        </w:rPr>
      </w:pPr>
      <w:r w:rsidRPr="00632394">
        <w:rPr>
          <w:rFonts w:cs="Calibri"/>
        </w:rPr>
        <w:t xml:space="preserve">Australia notes that the Arbitrators in </w:t>
      </w:r>
      <w:r w:rsidRPr="00632394">
        <w:rPr>
          <w:rFonts w:cs="Calibri"/>
          <w:i/>
          <w:iCs/>
        </w:rPr>
        <w:t xml:space="preserve">Colombia – Frozen Fries </w:t>
      </w:r>
      <w:r w:rsidRPr="00632394">
        <w:rPr>
          <w:rFonts w:cs="Calibri"/>
        </w:rPr>
        <w:t>found the following with respect to Article 17.6(ii)</w:t>
      </w:r>
      <w:r w:rsidR="003426DD">
        <w:rPr>
          <w:rFonts w:cs="Calibri"/>
        </w:rPr>
        <w:t xml:space="preserve"> of the Anti-Dumping Agreement</w:t>
      </w:r>
      <w:r w:rsidRPr="00632394">
        <w:rPr>
          <w:rFonts w:cs="Calibri"/>
        </w:rPr>
        <w:t>:</w:t>
      </w:r>
    </w:p>
    <w:p w14:paraId="444A6BBD" w14:textId="2A5754EF" w:rsidR="004E1213" w:rsidRDefault="003426DD" w:rsidP="004E1213">
      <w:pPr>
        <w:pStyle w:val="P2-B1Paragraph2-Bullet1"/>
      </w:pPr>
      <w:r>
        <w:t>i</w:t>
      </w:r>
      <w:r w:rsidR="004E1213">
        <w:t xml:space="preserve">n applying the first sentence </w:t>
      </w:r>
      <w:r w:rsidR="004E1213" w:rsidRPr="00845ED7">
        <w:t>of Article 17.6(ii)</w:t>
      </w:r>
      <w:r w:rsidR="004E1213">
        <w:t xml:space="preserve">, it must be accepted that </w:t>
      </w:r>
      <w:r w:rsidR="004E1213" w:rsidRPr="002C6B1A">
        <w:t>"</w:t>
      </w:r>
      <w:r w:rsidR="004E1213" w:rsidRPr="00190E61">
        <w:t xml:space="preserve">different treaty interpreters applying the same tools of the Vienna Convention may, in good faith and with solid arguments in support, reach different conclusions on the </w:t>
      </w:r>
      <w:r w:rsidR="004E1213" w:rsidRPr="006B7AA2">
        <w:rPr>
          <w:rFonts w:cs="Calibri"/>
        </w:rPr>
        <w:t>'</w:t>
      </w:r>
      <w:r w:rsidR="004E1213" w:rsidRPr="00190E61">
        <w:t>correct</w:t>
      </w:r>
      <w:r w:rsidR="004E1213" w:rsidRPr="006B7AA2">
        <w:rPr>
          <w:rFonts w:cs="Calibri"/>
        </w:rPr>
        <w:t>'</w:t>
      </w:r>
      <w:r w:rsidR="004E1213" w:rsidRPr="00190E61">
        <w:t xml:space="preserve"> interpretation of a treaty provision</w:t>
      </w:r>
      <w:r w:rsidR="004E1213" w:rsidRPr="002C6B1A">
        <w:t>"</w:t>
      </w:r>
      <w:r w:rsidR="004E1213">
        <w:t>;</w:t>
      </w:r>
      <w:r w:rsidR="004E1213">
        <w:rPr>
          <w:rStyle w:val="FootnoteReference"/>
        </w:rPr>
        <w:footnoteReference w:id="1"/>
      </w:r>
    </w:p>
    <w:p w14:paraId="76140308" w14:textId="4B941751" w:rsidR="004E1213" w:rsidRDefault="003426DD" w:rsidP="004E1213">
      <w:pPr>
        <w:pStyle w:val="P2-B1Paragraph2-Bullet1"/>
      </w:pPr>
      <w:r>
        <w:t>b</w:t>
      </w:r>
      <w:r w:rsidR="004E1213">
        <w:t>y</w:t>
      </w:r>
      <w:r w:rsidR="004E1213" w:rsidRPr="00845ED7">
        <w:t xml:space="preserve"> refer</w:t>
      </w:r>
      <w:r w:rsidR="004E1213">
        <w:t>ring to</w:t>
      </w:r>
      <w:r w:rsidR="004E1213" w:rsidRPr="00845ED7">
        <w:t xml:space="preserve"> the customary rules of treaty interpretation</w:t>
      </w:r>
      <w:r w:rsidR="004E1213">
        <w:t>, the</w:t>
      </w:r>
      <w:r w:rsidR="004E1213" w:rsidRPr="00845ED7">
        <w:t xml:space="preserve"> first sentence of Article 17.6(ii)</w:t>
      </w:r>
      <w:r w:rsidR="004E1213">
        <w:t xml:space="preserve"> provides </w:t>
      </w:r>
      <w:r w:rsidR="004E1213" w:rsidRPr="002C6B1A">
        <w:t>"a yardstick</w:t>
      </w:r>
      <w:r w:rsidR="004E1213" w:rsidRPr="00153BEC">
        <w:t>"</w:t>
      </w:r>
      <w:r w:rsidR="004E1213" w:rsidRPr="002C6B1A">
        <w:t xml:space="preserve"> for permissibility</w:t>
      </w:r>
      <w:r w:rsidR="004E1213">
        <w:t xml:space="preserve"> for the second sentence of Article 17.6(ii);</w:t>
      </w:r>
      <w:r w:rsidR="004E1213">
        <w:rPr>
          <w:rStyle w:val="FootnoteReference"/>
        </w:rPr>
        <w:footnoteReference w:id="2"/>
      </w:r>
      <w:r w:rsidR="004E1213" w:rsidRPr="00FF156B">
        <w:t xml:space="preserve"> </w:t>
      </w:r>
      <w:r w:rsidR="004E1213">
        <w:t>and</w:t>
      </w:r>
    </w:p>
    <w:p w14:paraId="78C52DC8" w14:textId="0B4F67C7" w:rsidR="004E1213" w:rsidRDefault="003426DD" w:rsidP="004E1213">
      <w:pPr>
        <w:pStyle w:val="P2-B1Paragraph2-Bullet1"/>
      </w:pPr>
      <w:r>
        <w:t>t</w:t>
      </w:r>
      <w:r w:rsidR="004E1213" w:rsidRPr="00153BEC">
        <w:t>he search for a "permissible" interpretation differs from an attempt to find one</w:t>
      </w:r>
      <w:r w:rsidR="004E1213" w:rsidRPr="006B7AA2">
        <w:rPr>
          <w:rFonts w:cs="Calibri"/>
        </w:rPr>
        <w:t>'</w:t>
      </w:r>
      <w:r w:rsidR="004E1213" w:rsidRPr="00153BEC">
        <w:t>s own "final" and "correct" interpretation</w:t>
      </w:r>
      <w:r w:rsidR="004E1213" w:rsidRPr="00146941">
        <w:t xml:space="preserve">. </w:t>
      </w:r>
      <w:r w:rsidR="004E1213">
        <w:t>Instead</w:t>
      </w:r>
      <w:r w:rsidR="004E1213" w:rsidRPr="00146941">
        <w:t>, the question is whether</w:t>
      </w:r>
      <w:r w:rsidR="004E1213">
        <w:t>:</w:t>
      </w:r>
      <w:r w:rsidR="004E1213" w:rsidRPr="00146941">
        <w:t xml:space="preserve"> "someone else's interpretation is </w:t>
      </w:r>
      <w:r w:rsidR="004E1213" w:rsidRPr="006B7AA2">
        <w:rPr>
          <w:rFonts w:cs="Calibri"/>
        </w:rPr>
        <w:t>'</w:t>
      </w:r>
      <w:r w:rsidR="004E1213" w:rsidRPr="00146941">
        <w:t>permitted</w:t>
      </w:r>
      <w:r w:rsidR="004E1213" w:rsidRPr="006B7AA2">
        <w:rPr>
          <w:rFonts w:cs="Calibri"/>
        </w:rPr>
        <w:t>'</w:t>
      </w:r>
      <w:r w:rsidR="004E1213" w:rsidRPr="00146941">
        <w:t xml:space="preserve">, </w:t>
      </w:r>
      <w:r w:rsidR="004E1213" w:rsidRPr="006B7AA2">
        <w:rPr>
          <w:rFonts w:cs="Calibri"/>
        </w:rPr>
        <w:t>'</w:t>
      </w:r>
      <w:r w:rsidR="004E1213" w:rsidRPr="00146941">
        <w:t>allowable</w:t>
      </w:r>
      <w:r w:rsidR="004E1213" w:rsidRPr="006B7AA2">
        <w:rPr>
          <w:rFonts w:cs="Calibri"/>
        </w:rPr>
        <w:t>'</w:t>
      </w:r>
      <w:r w:rsidR="004E1213" w:rsidRPr="00146941">
        <w:t xml:space="preserve">, </w:t>
      </w:r>
      <w:r w:rsidR="004E1213" w:rsidRPr="006B7AA2">
        <w:rPr>
          <w:rFonts w:cs="Calibri"/>
        </w:rPr>
        <w:t>'</w:t>
      </w:r>
      <w:r w:rsidR="004E1213" w:rsidRPr="00146941">
        <w:t>acceptable</w:t>
      </w:r>
      <w:r w:rsidR="004E1213" w:rsidRPr="006B7AA2">
        <w:rPr>
          <w:rFonts w:cs="Calibri"/>
        </w:rPr>
        <w:t>'</w:t>
      </w:r>
      <w:r w:rsidR="004E1213" w:rsidRPr="00146941">
        <w:t xml:space="preserve">, or </w:t>
      </w:r>
      <w:r w:rsidR="004E1213" w:rsidRPr="006B7AA2">
        <w:rPr>
          <w:rFonts w:cs="Calibri"/>
        </w:rPr>
        <w:t>'</w:t>
      </w:r>
      <w:r w:rsidR="004E1213" w:rsidRPr="00146941">
        <w:t>admissible</w:t>
      </w:r>
      <w:r w:rsidR="004E1213" w:rsidRPr="006B7AA2">
        <w:rPr>
          <w:rFonts w:cs="Calibri"/>
        </w:rPr>
        <w:t>'</w:t>
      </w:r>
      <w:r w:rsidR="004E1213" w:rsidRPr="00146941">
        <w:t xml:space="preserve"> as an outcome resulting from a proper application of the interpretative process called for under the Vienna Convention."</w:t>
      </w:r>
      <w:r w:rsidR="004E1213">
        <w:rPr>
          <w:rStyle w:val="FootnoteReference"/>
        </w:rPr>
        <w:footnoteReference w:id="3"/>
      </w:r>
    </w:p>
    <w:p w14:paraId="3F7A56CE" w14:textId="77777777" w:rsidR="004E1213" w:rsidRPr="00632394" w:rsidRDefault="004E1213" w:rsidP="004E1213">
      <w:pPr>
        <w:pStyle w:val="P1-N1Paragraph1-Number1"/>
      </w:pPr>
      <w:r>
        <w:t xml:space="preserve">In other words, when a panel is evaluating an interpretation adopted by an investigating authority, the panel must assess whether the relevant interpretation has crossed a line of no longer being </w:t>
      </w:r>
      <w:r w:rsidRPr="0072633A">
        <w:t>"permissible"</w:t>
      </w:r>
      <w:r>
        <w:t xml:space="preserve"> </w:t>
      </w:r>
      <w:r w:rsidRPr="0072633A">
        <w:t xml:space="preserve">under the Vienna Convention method </w:t>
      </w:r>
      <w:r>
        <w:t>of</w:t>
      </w:r>
      <w:r w:rsidRPr="0072633A">
        <w:t xml:space="preserve"> treaty interpretation.</w:t>
      </w:r>
      <w:r>
        <w:rPr>
          <w:rStyle w:val="FootnoteReference"/>
        </w:rPr>
        <w:footnoteReference w:id="4"/>
      </w:r>
      <w:r>
        <w:t xml:space="preserve"> It</w:t>
      </w:r>
      <w:r w:rsidRPr="00632394">
        <w:t xml:space="preserve"> is only when that interpretative threshold is crossed that a panel can find that a measure is not in conformity with the Anti-Dumping Agreement.</w:t>
      </w:r>
    </w:p>
    <w:p w14:paraId="36D1E365" w14:textId="45A109E0" w:rsidR="00AF2C49" w:rsidRDefault="006A4959" w:rsidP="00C54161">
      <w:pPr>
        <w:pStyle w:val="HL1HeadingLevel1"/>
      </w:pPr>
      <w:bookmarkStart w:id="8" w:name="_Toc177026246"/>
      <w:r>
        <w:t>Cumulation</w:t>
      </w:r>
      <w:bookmarkEnd w:id="8"/>
    </w:p>
    <w:p w14:paraId="2F35ABEA" w14:textId="49960CA8" w:rsidR="00C470AD" w:rsidRDefault="00655EEB" w:rsidP="00F77A73">
      <w:pPr>
        <w:pStyle w:val="HL2HeadingLevel2"/>
      </w:pPr>
      <w:bookmarkStart w:id="9" w:name="_Toc177026247"/>
      <w:r w:rsidRPr="00655EEB">
        <w:t>Cross-Cumulation – Dumped Imports with Subsidi</w:t>
      </w:r>
      <w:r w:rsidR="003F20ED">
        <w:t>s</w:t>
      </w:r>
      <w:r w:rsidRPr="00655EEB">
        <w:t>ed Imports</w:t>
      </w:r>
      <w:bookmarkEnd w:id="9"/>
    </w:p>
    <w:p w14:paraId="63114DEB" w14:textId="58AEB7C0" w:rsidR="00884C06" w:rsidRDefault="00884C06" w:rsidP="00884C06">
      <w:pPr>
        <w:pStyle w:val="P1-N1Paragraph1-Number1"/>
        <w:rPr>
          <w:rFonts w:cs="Calibri"/>
        </w:rPr>
      </w:pPr>
      <w:r>
        <w:rPr>
          <w:rFonts w:cs="Calibri"/>
        </w:rPr>
        <w:t>Australia considers the</w:t>
      </w:r>
      <w:r w:rsidRPr="003F290A">
        <w:rPr>
          <w:rFonts w:cs="Calibri"/>
        </w:rPr>
        <w:t xml:space="preserve"> interpretation of </w:t>
      </w:r>
      <w:r>
        <w:rPr>
          <w:rFonts w:cs="Calibri"/>
        </w:rPr>
        <w:t xml:space="preserve">Article 3.3 of the Anti-Dumping Agreement set out by the United States is </w:t>
      </w:r>
      <w:r w:rsidRPr="003F290A">
        <w:rPr>
          <w:rFonts w:cs="Calibri"/>
        </w:rPr>
        <w:t xml:space="preserve">in accordance with the customary rules of interpretation, </w:t>
      </w:r>
      <w:r>
        <w:rPr>
          <w:rFonts w:cs="Calibri"/>
        </w:rPr>
        <w:t xml:space="preserve">as </w:t>
      </w:r>
      <w:r w:rsidRPr="003F290A">
        <w:rPr>
          <w:rFonts w:cs="Calibri"/>
        </w:rPr>
        <w:t>reflected in Article 31(1) of the Vienna Convention</w:t>
      </w:r>
      <w:r>
        <w:rPr>
          <w:rFonts w:cs="Calibri"/>
        </w:rPr>
        <w:t>.</w:t>
      </w:r>
      <w:r w:rsidR="000023CC">
        <w:rPr>
          <w:rStyle w:val="FootnoteReference"/>
          <w:rFonts w:cs="Calibri"/>
        </w:rPr>
        <w:footnoteReference w:id="5"/>
      </w:r>
    </w:p>
    <w:p w14:paraId="29E72449" w14:textId="056B442C" w:rsidR="00884C06" w:rsidRPr="00632394" w:rsidRDefault="00884C06" w:rsidP="00884C06">
      <w:pPr>
        <w:pStyle w:val="P1-N1Paragraph1-Number1"/>
        <w:rPr>
          <w:rFonts w:cs="Calibri"/>
        </w:rPr>
      </w:pPr>
      <w:r w:rsidRPr="00632394">
        <w:rPr>
          <w:rFonts w:cs="Calibri"/>
        </w:rPr>
        <w:lastRenderedPageBreak/>
        <w:t>First, the text of Article 3.3 is "silent" on cross</w:t>
      </w:r>
      <w:r w:rsidRPr="00632394">
        <w:rPr>
          <w:rFonts w:cs="Calibri"/>
        </w:rPr>
        <w:noBreakHyphen/>
        <w:t>cumulation.</w:t>
      </w:r>
      <w:r w:rsidRPr="00632394">
        <w:rPr>
          <w:rFonts w:cs="Calibri"/>
          <w:vertAlign w:val="superscript"/>
        </w:rPr>
        <w:footnoteReference w:id="6"/>
      </w:r>
      <w:r w:rsidRPr="00632394">
        <w:rPr>
          <w:rFonts w:cs="Calibri"/>
        </w:rPr>
        <w:t xml:space="preserve"> It is notable that the Appellate Body has found that the "silence" of Article 3.3 on the permissibility of a particular methodological approach towards cumulation does not indicate that the methodology is prohibited.</w:t>
      </w:r>
      <w:r w:rsidRPr="00632394">
        <w:rPr>
          <w:rFonts w:cs="Calibri"/>
          <w:vertAlign w:val="superscript"/>
        </w:rPr>
        <w:footnoteReference w:id="7"/>
      </w:r>
    </w:p>
    <w:p w14:paraId="661B07F1" w14:textId="77777777" w:rsidR="003F20ED" w:rsidRDefault="00884C06" w:rsidP="003F20ED">
      <w:pPr>
        <w:pStyle w:val="P1-N1Paragraph1-Number1"/>
        <w:rPr>
          <w:rFonts w:cs="Calibri"/>
        </w:rPr>
      </w:pPr>
      <w:r>
        <w:rPr>
          <w:rFonts w:cs="Calibri"/>
        </w:rPr>
        <w:t xml:space="preserve">Second, the language </w:t>
      </w:r>
      <w:bookmarkStart w:id="10" w:name="_Hlk168489074"/>
      <w:r w:rsidRPr="0072633A">
        <w:t>"</w:t>
      </w:r>
      <w:bookmarkEnd w:id="10"/>
      <w:r>
        <w:rPr>
          <w:rFonts w:cs="Calibri"/>
        </w:rPr>
        <w:t>the effect of the dumping or subsidization, as the case may be</w:t>
      </w:r>
      <w:r w:rsidRPr="0072633A">
        <w:t>"</w:t>
      </w:r>
      <w:r>
        <w:rPr>
          <w:rFonts w:cs="Calibri"/>
        </w:rPr>
        <w:t xml:space="preserve"> in Article VI:6(a) of the GATT provides relevant context to understand Article 3.3 of the Anti-Dumping Agreement. The United States argues </w:t>
      </w:r>
      <w:r>
        <w:t xml:space="preserve">the use of the word </w:t>
      </w:r>
      <w:r w:rsidRPr="0072633A">
        <w:t>"</w:t>
      </w:r>
      <w:r>
        <w:t>or</w:t>
      </w:r>
      <w:r w:rsidRPr="0072633A">
        <w:t>"</w:t>
      </w:r>
      <w:r>
        <w:t xml:space="preserve"> to join the words </w:t>
      </w:r>
      <w:r w:rsidRPr="0072633A">
        <w:t>"</w:t>
      </w:r>
      <w:r>
        <w:t>dumping</w:t>
      </w:r>
      <w:r w:rsidRPr="0072633A">
        <w:t>"</w:t>
      </w:r>
      <w:r>
        <w:t xml:space="preserve"> and </w:t>
      </w:r>
      <w:r w:rsidRPr="0072633A">
        <w:t>"</w:t>
      </w:r>
      <w:r>
        <w:t>subsidization</w:t>
      </w:r>
      <w:bookmarkStart w:id="11" w:name="_Hlk168488924"/>
      <w:r w:rsidRPr="0072633A">
        <w:t>"</w:t>
      </w:r>
      <w:r>
        <w:t xml:space="preserve"> </w:t>
      </w:r>
      <w:bookmarkEnd w:id="11"/>
      <w:r>
        <w:t xml:space="preserve">and </w:t>
      </w:r>
      <w:r>
        <w:rPr>
          <w:rFonts w:cs="Calibri"/>
        </w:rPr>
        <w:t xml:space="preserve">the use of the phrase </w:t>
      </w:r>
      <w:r w:rsidRPr="0072633A">
        <w:t>"</w:t>
      </w:r>
      <w:r>
        <w:t>as the case may be</w:t>
      </w:r>
      <w:r w:rsidRPr="0072633A">
        <w:t>"</w:t>
      </w:r>
      <w:r>
        <w:t xml:space="preserve"> reflects the fact that injury determinations can involve either or both unfair trade practices.</w:t>
      </w:r>
      <w:r>
        <w:rPr>
          <w:rStyle w:val="FootnoteReference"/>
        </w:rPr>
        <w:footnoteReference w:id="8"/>
      </w:r>
    </w:p>
    <w:p w14:paraId="3F742332" w14:textId="4291580A" w:rsidR="00884C06" w:rsidRPr="003426DD" w:rsidRDefault="00884C06" w:rsidP="003426DD">
      <w:pPr>
        <w:pStyle w:val="P1-N1Paragraph1-Number1"/>
        <w:rPr>
          <w:rFonts w:cs="Calibri"/>
        </w:rPr>
      </w:pPr>
      <w:r>
        <w:t xml:space="preserve">Australia acknowledges that it has previously been found that </w:t>
      </w:r>
      <w:r w:rsidRPr="003F20ED">
        <w:rPr>
          <w:rFonts w:cs="Calibri"/>
        </w:rPr>
        <w:t>Article VI:6(a) does not allow cross-cumulation.</w:t>
      </w:r>
      <w:r>
        <w:rPr>
          <w:rStyle w:val="FootnoteReference"/>
          <w:rFonts w:cs="Calibri"/>
        </w:rPr>
        <w:footnoteReference w:id="9"/>
      </w:r>
      <w:r w:rsidRPr="003F20ED">
        <w:rPr>
          <w:rFonts w:cs="Calibri"/>
        </w:rPr>
        <w:t xml:space="preserve"> It was historically found that in order for the United States</w:t>
      </w:r>
      <w:r w:rsidRPr="00146941">
        <w:t>'</w:t>
      </w:r>
      <w:r w:rsidRPr="003F20ED">
        <w:rPr>
          <w:rFonts w:cs="Calibri"/>
        </w:rPr>
        <w:t xml:space="preserve"> argument to be accepted, the plural </w:t>
      </w:r>
      <w:r w:rsidRPr="0072633A">
        <w:t>"</w:t>
      </w:r>
      <w:r>
        <w:t>effects</w:t>
      </w:r>
      <w:r w:rsidRPr="0072633A">
        <w:t>"</w:t>
      </w:r>
      <w:r>
        <w:t xml:space="preserve"> would be used instead of </w:t>
      </w:r>
      <w:r w:rsidRPr="0072633A">
        <w:t>"</w:t>
      </w:r>
      <w:r>
        <w:t>effect</w:t>
      </w:r>
      <w:r w:rsidRPr="0072633A">
        <w:t>"</w:t>
      </w:r>
      <w:r>
        <w:t xml:space="preserve"> in </w:t>
      </w:r>
      <w:r w:rsidRPr="003F20ED">
        <w:rPr>
          <w:rFonts w:cs="Calibri"/>
        </w:rPr>
        <w:t>Article VI:6(a).</w:t>
      </w:r>
      <w:r>
        <w:rPr>
          <w:rStyle w:val="FootnoteReference"/>
          <w:rFonts w:cs="Calibri"/>
        </w:rPr>
        <w:footnoteReference w:id="10"/>
      </w:r>
      <w:r w:rsidRPr="003F20ED">
        <w:rPr>
          <w:rFonts w:cs="Calibri"/>
        </w:rPr>
        <w:t xml:space="preserve"> However, injury caused by dumping and subsidi</w:t>
      </w:r>
      <w:r w:rsidR="003F20ED">
        <w:rPr>
          <w:rFonts w:cs="Calibri"/>
        </w:rPr>
        <w:t>s</w:t>
      </w:r>
      <w:r w:rsidRPr="003F20ED">
        <w:rPr>
          <w:rFonts w:cs="Calibri"/>
        </w:rPr>
        <w:t xml:space="preserve">ation of imports is, from the perspective of domestic producers and, in turn, </w:t>
      </w:r>
      <w:r w:rsidR="003426DD" w:rsidRPr="003F20ED">
        <w:rPr>
          <w:rFonts w:cs="Calibri"/>
        </w:rPr>
        <w:t xml:space="preserve">an </w:t>
      </w:r>
      <w:r w:rsidRPr="003F20ED">
        <w:rPr>
          <w:rFonts w:cs="Calibri"/>
        </w:rPr>
        <w:t>investigating authorit</w:t>
      </w:r>
      <w:r w:rsidR="003426DD" w:rsidRPr="003F20ED">
        <w:rPr>
          <w:rFonts w:cs="Calibri"/>
        </w:rPr>
        <w:t>y</w:t>
      </w:r>
      <w:r w:rsidRPr="003F20ED">
        <w:rPr>
          <w:rFonts w:cs="Calibri"/>
        </w:rPr>
        <w:t xml:space="preserve">, indistinguishable. </w:t>
      </w:r>
      <w:r>
        <w:t>This is because</w:t>
      </w:r>
      <w:r w:rsidRPr="003F20ED">
        <w:rPr>
          <w:i/>
          <w:iCs/>
        </w:rPr>
        <w:t xml:space="preserve"> </w:t>
      </w:r>
      <w:r>
        <w:t>dumped imports and subsidi</w:t>
      </w:r>
      <w:r w:rsidR="003426DD">
        <w:t>s</w:t>
      </w:r>
      <w:r>
        <w:t xml:space="preserve">ed imports will often have cumulative volume or price effects on the relevant domestic industry. </w:t>
      </w:r>
      <w:r w:rsidRPr="003426DD">
        <w:rPr>
          <w:rFonts w:cs="Calibri"/>
        </w:rPr>
        <w:t>In other words, it would not always be possible to separate the injurious effects of dumped and subsidi</w:t>
      </w:r>
      <w:r w:rsidR="003426DD" w:rsidRPr="003426DD">
        <w:rPr>
          <w:rFonts w:cs="Calibri"/>
        </w:rPr>
        <w:t>s</w:t>
      </w:r>
      <w:r w:rsidRPr="003426DD">
        <w:rPr>
          <w:rFonts w:cs="Calibri"/>
        </w:rPr>
        <w:t xml:space="preserve">ed imports. </w:t>
      </w:r>
      <w:r>
        <w:t xml:space="preserve">To all practically involved there would only be one </w:t>
      </w:r>
      <w:r w:rsidRPr="0072633A">
        <w:t>"</w:t>
      </w:r>
      <w:r>
        <w:t>effect</w:t>
      </w:r>
      <w:r w:rsidRPr="0072633A">
        <w:t>"</w:t>
      </w:r>
      <w:r>
        <w:t xml:space="preserve"> not </w:t>
      </w:r>
      <w:r w:rsidRPr="0072633A">
        <w:t>"</w:t>
      </w:r>
      <w:r>
        <w:t>effects</w:t>
      </w:r>
      <w:r w:rsidRPr="0072633A">
        <w:t>"</w:t>
      </w:r>
      <w:r>
        <w:t xml:space="preserve">. </w:t>
      </w:r>
    </w:p>
    <w:p w14:paraId="65770470" w14:textId="1E6E381C" w:rsidR="00884C06" w:rsidRDefault="00884C06" w:rsidP="00884C06">
      <w:pPr>
        <w:pStyle w:val="P1-N1Paragraph1-Number1"/>
        <w:rPr>
          <w:rFonts w:cs="Calibri"/>
        </w:rPr>
      </w:pPr>
      <w:r>
        <w:t xml:space="preserve">Once it is accepted there would be one </w:t>
      </w:r>
      <w:r w:rsidRPr="0072633A">
        <w:t>"</w:t>
      </w:r>
      <w:r w:rsidRPr="00F64B8C">
        <w:rPr>
          <w:rFonts w:cs="Calibri"/>
        </w:rPr>
        <w:t>effect</w:t>
      </w:r>
      <w:r w:rsidRPr="0072633A">
        <w:t>"</w:t>
      </w:r>
      <w:r>
        <w:t xml:space="preserve"> where there is simultaneous dumping and subsidi</w:t>
      </w:r>
      <w:r w:rsidR="003426DD">
        <w:t>s</w:t>
      </w:r>
      <w:r>
        <w:t xml:space="preserve">ation, the language </w:t>
      </w:r>
      <w:r w:rsidRPr="0072633A">
        <w:t>"</w:t>
      </w:r>
      <w:r>
        <w:t>or</w:t>
      </w:r>
      <w:r w:rsidRPr="0072633A">
        <w:t>"</w:t>
      </w:r>
      <w:r>
        <w:t xml:space="preserve"> and </w:t>
      </w:r>
      <w:r w:rsidRPr="0072633A">
        <w:t>"</w:t>
      </w:r>
      <w:r>
        <w:t>as the case may be</w:t>
      </w:r>
      <w:r w:rsidRPr="0072633A">
        <w:t>"</w:t>
      </w:r>
      <w:r>
        <w:t xml:space="preserve"> must be naturally read as </w:t>
      </w:r>
      <w:r w:rsidRPr="00954085">
        <w:t>being inclusive</w:t>
      </w:r>
      <w:r>
        <w:t xml:space="preserve"> of both dumping and subsidi</w:t>
      </w:r>
      <w:r w:rsidR="008F1641">
        <w:t>s</w:t>
      </w:r>
      <w:r>
        <w:t>ation</w:t>
      </w:r>
      <w:r w:rsidRPr="00954085">
        <w:t xml:space="preserve">. Consequently, a </w:t>
      </w:r>
      <w:r>
        <w:t xml:space="preserve">natural </w:t>
      </w:r>
      <w:r w:rsidRPr="00954085">
        <w:t xml:space="preserve">reading of </w:t>
      </w:r>
      <w:r>
        <w:rPr>
          <w:rFonts w:cs="Calibri"/>
        </w:rPr>
        <w:t>the provision</w:t>
      </w:r>
      <w:r w:rsidRPr="00954085">
        <w:rPr>
          <w:rFonts w:cs="Calibri"/>
        </w:rPr>
        <w:t xml:space="preserve"> suggests that the cumulation of dumping and subsidi</w:t>
      </w:r>
      <w:r w:rsidR="003F20ED">
        <w:rPr>
          <w:rFonts w:cs="Calibri"/>
        </w:rPr>
        <w:t>s</w:t>
      </w:r>
      <w:r w:rsidRPr="00954085">
        <w:rPr>
          <w:rFonts w:cs="Calibri"/>
        </w:rPr>
        <w:t xml:space="preserve">ed imports </w:t>
      </w:r>
      <w:r>
        <w:rPr>
          <w:rFonts w:cs="Calibri"/>
        </w:rPr>
        <w:t xml:space="preserve">is allowed under </w:t>
      </w:r>
      <w:r w:rsidRPr="00954085">
        <w:rPr>
          <w:rFonts w:cs="Calibri"/>
        </w:rPr>
        <w:t>Article</w:t>
      </w:r>
      <w:r>
        <w:rPr>
          <w:rFonts w:cs="Calibri"/>
        </w:rPr>
        <w:t> </w:t>
      </w:r>
      <w:r w:rsidRPr="00954085">
        <w:rPr>
          <w:rFonts w:cs="Calibri"/>
        </w:rPr>
        <w:t>VI:6(a)</w:t>
      </w:r>
      <w:r>
        <w:rPr>
          <w:rFonts w:cs="Calibri"/>
        </w:rPr>
        <w:t xml:space="preserve"> of the GATT.</w:t>
      </w:r>
    </w:p>
    <w:p w14:paraId="4FE2E75F" w14:textId="425160AA" w:rsidR="00756045" w:rsidRPr="00756045" w:rsidRDefault="00756045" w:rsidP="00756045">
      <w:pPr>
        <w:pStyle w:val="P1-N1Paragraph1-Number1"/>
        <w:rPr>
          <w:rFonts w:cs="Calibri"/>
        </w:rPr>
      </w:pPr>
      <w:r w:rsidRPr="00954085">
        <w:rPr>
          <w:rFonts w:cs="Calibri"/>
        </w:rPr>
        <w:t xml:space="preserve">Finally, </w:t>
      </w:r>
      <w:r>
        <w:rPr>
          <w:rFonts w:cs="Calibri"/>
        </w:rPr>
        <w:t>the United States</w:t>
      </w:r>
      <w:r w:rsidRPr="00146941">
        <w:t>'</w:t>
      </w:r>
      <w:r>
        <w:rPr>
          <w:rFonts w:cs="Calibri"/>
        </w:rPr>
        <w:t xml:space="preserve"> interpretation is premised on the understanding that the object and purpose </w:t>
      </w:r>
      <w:r w:rsidRPr="00954085">
        <w:rPr>
          <w:rFonts w:cs="Calibri"/>
        </w:rPr>
        <w:t xml:space="preserve">of </w:t>
      </w:r>
      <w:r>
        <w:rPr>
          <w:rFonts w:cs="Calibri"/>
        </w:rPr>
        <w:t xml:space="preserve">Article 3.3 of the Anti-Dumping Agreement supports the proposition </w:t>
      </w:r>
      <w:r>
        <w:rPr>
          <w:rFonts w:cs="Calibri"/>
        </w:rPr>
        <w:lastRenderedPageBreak/>
        <w:t>that the cumulation of dumped and subsidi</w:t>
      </w:r>
      <w:r w:rsidR="008F1641">
        <w:rPr>
          <w:rFonts w:cs="Calibri"/>
        </w:rPr>
        <w:t>s</w:t>
      </w:r>
      <w:r>
        <w:rPr>
          <w:rFonts w:cs="Calibri"/>
        </w:rPr>
        <w:t>ed imports is not inconsistent with the WTO</w:t>
      </w:r>
      <w:r w:rsidR="008F1641">
        <w:rPr>
          <w:rFonts w:cs="Calibri"/>
        </w:rPr>
        <w:t> </w:t>
      </w:r>
      <w:r>
        <w:rPr>
          <w:rFonts w:cs="Calibri"/>
        </w:rPr>
        <w:t>Agreements.</w:t>
      </w:r>
      <w:r>
        <w:rPr>
          <w:rStyle w:val="FootnoteReference"/>
          <w:rFonts w:cs="Calibri"/>
        </w:rPr>
        <w:footnoteReference w:id="11"/>
      </w:r>
      <w:r>
        <w:rPr>
          <w:rFonts w:cs="Calibri"/>
        </w:rPr>
        <w:t xml:space="preserve"> Australia agrees with the United States.</w:t>
      </w:r>
    </w:p>
    <w:p w14:paraId="68A1FE31" w14:textId="6F4ED46D" w:rsidR="00AA6D40" w:rsidRDefault="009521B6" w:rsidP="00F77A73">
      <w:pPr>
        <w:pStyle w:val="HL2HeadingLevel2"/>
      </w:pPr>
      <w:bookmarkStart w:id="12" w:name="_Toc177026248"/>
      <w:r w:rsidRPr="009521B6">
        <w:t>Conditions of Competition</w:t>
      </w:r>
      <w:bookmarkEnd w:id="12"/>
    </w:p>
    <w:p w14:paraId="1D0DE473" w14:textId="4659A62E" w:rsidR="009F2514" w:rsidRDefault="009F2514" w:rsidP="009F2514">
      <w:pPr>
        <w:pStyle w:val="P1-N1Paragraph1-Number1"/>
      </w:pPr>
      <w:r>
        <w:t xml:space="preserve">Investigating authorities enjoy an element of discretion in </w:t>
      </w:r>
      <w:proofErr w:type="gramStart"/>
      <w:r>
        <w:t>making a determination</w:t>
      </w:r>
      <w:proofErr w:type="gramEnd"/>
      <w:r>
        <w:t xml:space="preserve"> that cumulation is appropriate in light of the conditions of competition. There is no requirement that </w:t>
      </w:r>
      <w:r w:rsidRPr="0072633A">
        <w:t>"</w:t>
      </w:r>
      <w:r>
        <w:t>any</w:t>
      </w:r>
      <w:r w:rsidRPr="0072633A">
        <w:t>"</w:t>
      </w:r>
      <w:r>
        <w:t xml:space="preserve"> factor affecting the competitive relationship must be considered as Argentina suggests.</w:t>
      </w:r>
      <w:r>
        <w:rPr>
          <w:rStyle w:val="FootnoteReference"/>
        </w:rPr>
        <w:footnoteReference w:id="12"/>
      </w:r>
      <w:r>
        <w:t xml:space="preserve"> Such an understanding would undermine the discretion afforded to investigating authorities when undertaking this task.</w:t>
      </w:r>
    </w:p>
    <w:p w14:paraId="16355715" w14:textId="0687B5D2" w:rsidR="00F35FE7" w:rsidRDefault="000C483A" w:rsidP="00F35FE7">
      <w:pPr>
        <w:pStyle w:val="P1-N1Paragraph1-Number1"/>
      </w:pPr>
      <w:bookmarkStart w:id="13" w:name="_Hlk165476129"/>
      <w:r>
        <w:t>Australia considers a</w:t>
      </w:r>
      <w:r w:rsidR="00611530">
        <w:t>n</w:t>
      </w:r>
      <w:r w:rsidR="009F2514" w:rsidRPr="00F43C60">
        <w:t xml:space="preserve"> investigating authority must determine whether cumulation is suitable or fitting in the circumstances of a given case</w:t>
      </w:r>
      <w:r w:rsidR="008F1641">
        <w:t>,</w:t>
      </w:r>
      <w:r w:rsidR="009F2514" w:rsidRPr="00F43C60">
        <w:t xml:space="preserve"> in light of the particular conditions of competition extant in the marketplace</w:t>
      </w:r>
      <w:r w:rsidR="009F2514">
        <w:t>.</w:t>
      </w:r>
      <w:r w:rsidR="00775C15">
        <w:rPr>
          <w:rStyle w:val="FootnoteReference"/>
        </w:rPr>
        <w:footnoteReference w:id="13"/>
      </w:r>
      <w:r w:rsidR="009F2514">
        <w:t xml:space="preserve"> This is a case-by-case assessment based on an objective examination of the positive evidence before the investigating authority. </w:t>
      </w:r>
      <w:bookmarkEnd w:id="13"/>
    </w:p>
    <w:p w14:paraId="109C4B75" w14:textId="782E0C87" w:rsidR="00F35FE7" w:rsidRDefault="009F2514" w:rsidP="00F35FE7">
      <w:pPr>
        <w:pStyle w:val="P1-N1Paragraph1-Number1"/>
      </w:pPr>
      <w:r>
        <w:t>Australia submits that the determination undertaken by USITC appears to satisfy this legal standard</w:t>
      </w:r>
      <w:r w:rsidR="00F35FE7">
        <w:t>.</w:t>
      </w:r>
      <w:r w:rsidR="007817E1">
        <w:rPr>
          <w:rStyle w:val="FootnoteReference"/>
        </w:rPr>
        <w:footnoteReference w:id="14"/>
      </w:r>
    </w:p>
    <w:p w14:paraId="1D9A1309" w14:textId="71EF9E64" w:rsidR="00AF2C49" w:rsidRDefault="004670AC" w:rsidP="00C54161">
      <w:pPr>
        <w:pStyle w:val="HL1HeadingLevel1"/>
      </w:pPr>
      <w:bookmarkStart w:id="14" w:name="_Toc177026249"/>
      <w:r w:rsidRPr="004670AC">
        <w:t>THE INITIATION OF THE INVESTIGATION</w:t>
      </w:r>
      <w:bookmarkEnd w:id="14"/>
    </w:p>
    <w:bookmarkEnd w:id="0"/>
    <w:p w14:paraId="75B24922" w14:textId="4B7A40EF" w:rsidR="00492309" w:rsidRPr="00632394" w:rsidRDefault="00492309" w:rsidP="00492309">
      <w:pPr>
        <w:pStyle w:val="P1-N1Paragraph1-Number1"/>
        <w:rPr>
          <w:rFonts w:cs="Calibri"/>
        </w:rPr>
      </w:pPr>
      <w:r w:rsidRPr="00632394">
        <w:rPr>
          <w:rFonts w:cs="Calibri"/>
        </w:rPr>
        <w:t xml:space="preserve">Australia notes that the panel report in </w:t>
      </w:r>
      <w:r w:rsidRPr="00632394">
        <w:rPr>
          <w:i/>
          <w:iCs/>
          <w:lang w:val="en-US"/>
        </w:rPr>
        <w:t xml:space="preserve">Pakistan – BOPP Film (UAE) </w:t>
      </w:r>
      <w:r w:rsidRPr="00632394">
        <w:rPr>
          <w:lang w:val="en-US"/>
        </w:rPr>
        <w:t xml:space="preserve">does not state that Article </w:t>
      </w:r>
      <w:r w:rsidRPr="00D26564">
        <w:rPr>
          <w:lang w:val="en-US"/>
        </w:rPr>
        <w:t>5.3,</w:t>
      </w:r>
      <w:r w:rsidRPr="00D26564">
        <w:rPr>
          <w:rStyle w:val="BTBodyTextChar"/>
          <w:b/>
          <w:bCs/>
        </w:rPr>
        <w:t xml:space="preserve"> </w:t>
      </w:r>
      <w:r w:rsidRPr="00D26564">
        <w:rPr>
          <w:rStyle w:val="Strong"/>
          <w:b w:val="0"/>
          <w:bCs w:val="0"/>
        </w:rPr>
        <w:t>or any provision in the Anti-Dumping Agreemen</w:t>
      </w:r>
      <w:r w:rsidRPr="003F20ED">
        <w:rPr>
          <w:rStyle w:val="ui-provider"/>
        </w:rPr>
        <w:t>t</w:t>
      </w:r>
      <w:r w:rsidRPr="00D26564">
        <w:rPr>
          <w:rStyle w:val="ui-provider"/>
          <w:b/>
          <w:bCs/>
        </w:rPr>
        <w:t xml:space="preserve">, </w:t>
      </w:r>
      <w:r w:rsidRPr="00D26564">
        <w:rPr>
          <w:rStyle w:val="Strong"/>
          <w:b w:val="0"/>
          <w:bCs w:val="0"/>
        </w:rPr>
        <w:t>impose</w:t>
      </w:r>
      <w:r w:rsidRPr="00D26564">
        <w:rPr>
          <w:b/>
          <w:bCs/>
          <w:lang w:val="en-US"/>
        </w:rPr>
        <w:t xml:space="preserve"> </w:t>
      </w:r>
      <w:r w:rsidRPr="00D26564">
        <w:rPr>
          <w:lang w:val="en-US"/>
        </w:rPr>
        <w:t>temporal</w:t>
      </w:r>
      <w:r w:rsidRPr="00632394">
        <w:rPr>
          <w:lang w:val="en-US"/>
        </w:rPr>
        <w:t xml:space="preserve"> limitations on the evidence an investigating authority may rely on to justify initiation.</w:t>
      </w:r>
      <w:r w:rsidR="007817E1">
        <w:rPr>
          <w:rStyle w:val="FootnoteReference"/>
          <w:lang w:val="en-US"/>
        </w:rPr>
        <w:footnoteReference w:id="15"/>
      </w:r>
      <w:r w:rsidRPr="00632394">
        <w:rPr>
          <w:lang w:val="en-US"/>
        </w:rPr>
        <w:t xml:space="preserve"> </w:t>
      </w:r>
      <w:r w:rsidRPr="00632394">
        <w:t xml:space="preserve">The age of the evidence on which the application is based is one consideration for an investigating authority. However, it alone does not answer the question of whether there is sufficient evidence to justify initiation of an investigation. </w:t>
      </w:r>
      <w:r w:rsidRPr="00632394">
        <w:rPr>
          <w:lang w:val="en-US"/>
        </w:rPr>
        <w:t xml:space="preserve">In fact, the panel in </w:t>
      </w:r>
      <w:r w:rsidRPr="00632394">
        <w:rPr>
          <w:i/>
          <w:iCs/>
          <w:lang w:val="en-US"/>
        </w:rPr>
        <w:t xml:space="preserve">Pakistan – BOPP Film (UAE) </w:t>
      </w:r>
      <w:r w:rsidRPr="00632394">
        <w:rPr>
          <w:lang w:val="en-US"/>
        </w:rPr>
        <w:t xml:space="preserve">notes </w:t>
      </w:r>
      <w:r w:rsidRPr="00632394">
        <w:t>"the mere fact that data relate to the past does not … mean that they cannot be used to establish the existence of current injurious dumping".</w:t>
      </w:r>
      <w:r w:rsidRPr="00632394">
        <w:rPr>
          <w:rStyle w:val="FootnoteReference"/>
        </w:rPr>
        <w:footnoteReference w:id="16"/>
      </w:r>
      <w:r w:rsidRPr="00632394">
        <w:t xml:space="preserve"> </w:t>
      </w:r>
    </w:p>
    <w:p w14:paraId="31B3A65C" w14:textId="70F27F33" w:rsidR="007F5450" w:rsidRPr="0055719A" w:rsidRDefault="00492309" w:rsidP="0055719A">
      <w:pPr>
        <w:pStyle w:val="P1-N1Paragraph1-Number1"/>
      </w:pPr>
      <w:r w:rsidRPr="00632394">
        <w:rPr>
          <w:lang w:val="en-US"/>
        </w:rPr>
        <w:t xml:space="preserve">What matters for the purpose of Article 5.3 is whether there is sufficient evidence to justify initiation of an investigation, which is evidence pertaining to dumping, injury and </w:t>
      </w:r>
      <w:r w:rsidRPr="00632394">
        <w:rPr>
          <w:lang w:val="en-US"/>
        </w:rPr>
        <w:lastRenderedPageBreak/>
        <w:t>causation at the time of initiation.</w:t>
      </w:r>
      <w:r w:rsidRPr="00632394">
        <w:rPr>
          <w:rStyle w:val="FootnoteReference"/>
          <w:lang w:val="en-US"/>
        </w:rPr>
        <w:footnoteReference w:id="17"/>
      </w:r>
      <w:r w:rsidRPr="00632394">
        <w:rPr>
          <w:lang w:val="en-US"/>
        </w:rPr>
        <w:t xml:space="preserve"> This necessarily involves an investigating authority's assessment of the relevant circumstances. </w:t>
      </w:r>
    </w:p>
    <w:sectPr w:rsidR="007F5450" w:rsidRPr="0055719A" w:rsidSect="00AA396D">
      <w:headerReference w:type="default" r:id="rId8"/>
      <w:footerReference w:type="default" r:id="rId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41BA" w14:textId="77777777" w:rsidR="00F162CD" w:rsidRDefault="00F162CD" w:rsidP="00F71EA3">
      <w:pPr>
        <w:spacing w:after="0" w:line="240" w:lineRule="auto"/>
      </w:pPr>
      <w:r>
        <w:separator/>
      </w:r>
    </w:p>
  </w:endnote>
  <w:endnote w:type="continuationSeparator" w:id="0">
    <w:p w14:paraId="77E6369B" w14:textId="77777777" w:rsidR="00F162CD" w:rsidRDefault="00F162CD" w:rsidP="00F7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D8B" w14:textId="77777777" w:rsidR="00635A10" w:rsidRDefault="00635A10">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0EAE" w14:textId="77777777" w:rsidR="00F162CD" w:rsidRDefault="00F162CD" w:rsidP="00F71EA3">
      <w:pPr>
        <w:spacing w:after="0" w:line="240" w:lineRule="auto"/>
      </w:pPr>
      <w:r>
        <w:separator/>
      </w:r>
    </w:p>
  </w:footnote>
  <w:footnote w:type="continuationSeparator" w:id="0">
    <w:p w14:paraId="51F7CAC9" w14:textId="77777777" w:rsidR="00F162CD" w:rsidRDefault="00F162CD" w:rsidP="00F71EA3">
      <w:pPr>
        <w:spacing w:after="0" w:line="240" w:lineRule="auto"/>
      </w:pPr>
      <w:r>
        <w:continuationSeparator/>
      </w:r>
    </w:p>
  </w:footnote>
  <w:footnote w:id="1">
    <w:p w14:paraId="5360EE22" w14:textId="5A7F32EF" w:rsidR="004E1213" w:rsidRDefault="004E1213" w:rsidP="004E1213">
      <w:pPr>
        <w:pStyle w:val="FootnoteText"/>
      </w:pPr>
      <w:r>
        <w:rPr>
          <w:rStyle w:val="FootnoteReference"/>
        </w:rPr>
        <w:footnoteRef/>
      </w:r>
      <w:r>
        <w:t xml:space="preserve"> Award of the Arbitrators, </w:t>
      </w:r>
      <w:r w:rsidRPr="004630DE">
        <w:rPr>
          <w:i/>
          <w:iCs/>
        </w:rPr>
        <w:t>Colombia — Frozen Fries</w:t>
      </w:r>
      <w:r>
        <w:t>, para. 4.14</w:t>
      </w:r>
      <w:r w:rsidR="00227E28">
        <w:t>.</w:t>
      </w:r>
      <w:r w:rsidR="000B2B2E">
        <w:t xml:space="preserve"> </w:t>
      </w:r>
      <w:r w:rsidR="00227E28">
        <w:t>S</w:t>
      </w:r>
      <w:r w:rsidR="000B2B2E">
        <w:t>ee</w:t>
      </w:r>
      <w:r w:rsidR="00227E28">
        <w:t xml:space="preserve"> also</w:t>
      </w:r>
      <w:r w:rsidR="000B2B2E">
        <w:t xml:space="preserve"> </w:t>
      </w:r>
      <w:r w:rsidR="00BB5636">
        <w:t>Australia</w:t>
      </w:r>
      <w:r w:rsidR="00BD5ADC" w:rsidRPr="006B7AA2">
        <w:rPr>
          <w:rFonts w:cs="Calibri"/>
        </w:rPr>
        <w:t>'</w:t>
      </w:r>
      <w:r w:rsidR="00BB5636">
        <w:t>s third party statement, para</w:t>
      </w:r>
      <w:r w:rsidR="005D1044">
        <w:t>. 17(a).</w:t>
      </w:r>
    </w:p>
  </w:footnote>
  <w:footnote w:id="2">
    <w:p w14:paraId="489C6B43" w14:textId="7CC6622A" w:rsidR="004E1213" w:rsidRDefault="004E1213" w:rsidP="004E1213">
      <w:pPr>
        <w:pStyle w:val="FootnoteText"/>
      </w:pPr>
      <w:r>
        <w:rPr>
          <w:rStyle w:val="FootnoteReference"/>
        </w:rPr>
        <w:footnoteRef/>
      </w:r>
      <w:r>
        <w:t xml:space="preserve"> Award of the Arbitrators, </w:t>
      </w:r>
      <w:r w:rsidRPr="004630DE">
        <w:rPr>
          <w:i/>
          <w:iCs/>
        </w:rPr>
        <w:t>Colombia — Frozen Fries</w:t>
      </w:r>
      <w:r>
        <w:t>, para. 4.13</w:t>
      </w:r>
      <w:r w:rsidR="00227E28">
        <w:t>.</w:t>
      </w:r>
      <w:r w:rsidR="005D1044">
        <w:t xml:space="preserve"> </w:t>
      </w:r>
      <w:r w:rsidR="00227E28">
        <w:t>S</w:t>
      </w:r>
      <w:r w:rsidR="005D1044">
        <w:t>ee</w:t>
      </w:r>
      <w:r w:rsidR="00227E28">
        <w:t xml:space="preserve"> also</w:t>
      </w:r>
      <w:r w:rsidR="005D1044">
        <w:t xml:space="preserve"> Australia</w:t>
      </w:r>
      <w:r w:rsidR="00BD5ADC" w:rsidRPr="006B7AA2">
        <w:rPr>
          <w:rFonts w:cs="Calibri"/>
        </w:rPr>
        <w:t>'</w:t>
      </w:r>
      <w:r w:rsidR="005D1044">
        <w:t>s third party statement, para. 17(</w:t>
      </w:r>
      <w:r w:rsidR="00BD10E4">
        <w:t>b</w:t>
      </w:r>
      <w:r w:rsidR="005D1044">
        <w:t>).</w:t>
      </w:r>
    </w:p>
  </w:footnote>
  <w:footnote w:id="3">
    <w:p w14:paraId="33CBCC2C" w14:textId="56DED9F6" w:rsidR="004E1213" w:rsidRDefault="004E1213" w:rsidP="004E1213">
      <w:pPr>
        <w:pStyle w:val="FootnoteText"/>
      </w:pPr>
      <w:r>
        <w:rPr>
          <w:rStyle w:val="FootnoteReference"/>
        </w:rPr>
        <w:footnoteRef/>
      </w:r>
      <w:r>
        <w:t xml:space="preserve"> Award of the Arbitrators, </w:t>
      </w:r>
      <w:r w:rsidRPr="004630DE">
        <w:rPr>
          <w:i/>
          <w:iCs/>
        </w:rPr>
        <w:t>Colombia — Frozen Fries</w:t>
      </w:r>
      <w:r>
        <w:t>, para. 4.15</w:t>
      </w:r>
      <w:r w:rsidR="00227E28">
        <w:t>. See also</w:t>
      </w:r>
      <w:r w:rsidR="00BD10E4">
        <w:t xml:space="preserve"> Australia</w:t>
      </w:r>
      <w:r w:rsidR="00BD5ADC" w:rsidRPr="006B7AA2">
        <w:rPr>
          <w:rFonts w:cs="Calibri"/>
        </w:rPr>
        <w:t>'</w:t>
      </w:r>
      <w:r w:rsidR="00BD10E4">
        <w:t>s third party statement, para. 17(</w:t>
      </w:r>
      <w:r w:rsidR="0069491E">
        <w:t>c</w:t>
      </w:r>
      <w:r w:rsidR="00BD10E4">
        <w:t>).</w:t>
      </w:r>
    </w:p>
  </w:footnote>
  <w:footnote w:id="4">
    <w:p w14:paraId="2C647DDD" w14:textId="41CC1CE9" w:rsidR="004E1213" w:rsidRDefault="004E1213" w:rsidP="004E1213">
      <w:pPr>
        <w:pStyle w:val="FootnoteText"/>
      </w:pPr>
      <w:r>
        <w:rPr>
          <w:rStyle w:val="FootnoteReference"/>
        </w:rPr>
        <w:footnoteRef/>
      </w:r>
      <w:r>
        <w:t xml:space="preserve"> Award of the Arbitrators, </w:t>
      </w:r>
      <w:r w:rsidRPr="004630DE">
        <w:rPr>
          <w:i/>
          <w:iCs/>
        </w:rPr>
        <w:t>Colombia — Frozen Fries</w:t>
      </w:r>
      <w:r>
        <w:t>, para. 4.15.</w:t>
      </w:r>
      <w:r w:rsidR="00227E28" w:rsidRPr="00227E28">
        <w:t xml:space="preserve"> </w:t>
      </w:r>
      <w:r w:rsidR="00227E28">
        <w:t>See also Australia</w:t>
      </w:r>
      <w:r w:rsidR="00BD5ADC" w:rsidRPr="006B7AA2">
        <w:rPr>
          <w:rFonts w:cs="Calibri"/>
        </w:rPr>
        <w:t>'</w:t>
      </w:r>
      <w:r w:rsidR="00227E28">
        <w:t>s third party statement, para. 1</w:t>
      </w:r>
      <w:r w:rsidR="0069491E">
        <w:t>8.</w:t>
      </w:r>
    </w:p>
  </w:footnote>
  <w:footnote w:id="5">
    <w:p w14:paraId="39D05191" w14:textId="153F4A2E" w:rsidR="000023CC" w:rsidRDefault="000023CC">
      <w:pPr>
        <w:pStyle w:val="FootnoteText"/>
      </w:pPr>
      <w:r>
        <w:rPr>
          <w:rStyle w:val="FootnoteReference"/>
        </w:rPr>
        <w:footnoteRef/>
      </w:r>
      <w:r>
        <w:t xml:space="preserve"> See </w:t>
      </w:r>
      <w:r w:rsidR="00C02BFD">
        <w:t>Australia</w:t>
      </w:r>
      <w:r w:rsidR="00BD5ADC" w:rsidRPr="006B7AA2">
        <w:rPr>
          <w:rFonts w:cs="Calibri"/>
        </w:rPr>
        <w:t>'</w:t>
      </w:r>
      <w:r w:rsidR="00C02BFD">
        <w:t>s third party statement, paras.</w:t>
      </w:r>
      <w:r w:rsidR="00A93471">
        <w:t xml:space="preserve"> 7-15</w:t>
      </w:r>
      <w:r w:rsidR="000C483A">
        <w:t>; Australia</w:t>
      </w:r>
      <w:r w:rsidR="00BD5ADC" w:rsidRPr="006B7AA2">
        <w:rPr>
          <w:rFonts w:cs="Calibri"/>
        </w:rPr>
        <w:t>'</w:t>
      </w:r>
      <w:r w:rsidR="000C483A">
        <w:t>s third party submission, para</w:t>
      </w:r>
      <w:r w:rsidR="0072461E">
        <w:t>s</w:t>
      </w:r>
      <w:r w:rsidR="007817E1">
        <w:t>.</w:t>
      </w:r>
      <w:r w:rsidR="0072461E">
        <w:t xml:space="preserve"> 8-12</w:t>
      </w:r>
      <w:r w:rsidR="000C483A">
        <w:t xml:space="preserve">. </w:t>
      </w:r>
    </w:p>
  </w:footnote>
  <w:footnote w:id="6">
    <w:p w14:paraId="21F21D46" w14:textId="77777777" w:rsidR="00884C06" w:rsidRDefault="00884C06" w:rsidP="00884C06">
      <w:pPr>
        <w:pStyle w:val="FootnoteText"/>
      </w:pPr>
      <w:r>
        <w:rPr>
          <w:rStyle w:val="FootnoteReference"/>
        </w:rPr>
        <w:footnoteRef/>
      </w:r>
      <w:r>
        <w:t xml:space="preserve"> United States</w:t>
      </w:r>
      <w:r w:rsidRPr="006B7AA2">
        <w:rPr>
          <w:rFonts w:cs="Calibri"/>
        </w:rPr>
        <w:t>'</w:t>
      </w:r>
      <w:r>
        <w:t xml:space="preserve"> first written submission, para. 105.</w:t>
      </w:r>
    </w:p>
  </w:footnote>
  <w:footnote w:id="7">
    <w:p w14:paraId="6059BF13" w14:textId="77777777" w:rsidR="00884C06" w:rsidRPr="00D3192B" w:rsidRDefault="00884C06" w:rsidP="00884C06">
      <w:pPr>
        <w:pStyle w:val="FootnoteText"/>
      </w:pPr>
      <w:r>
        <w:rPr>
          <w:rStyle w:val="FootnoteReference"/>
        </w:rPr>
        <w:footnoteRef/>
      </w:r>
      <w:r>
        <w:t xml:space="preserve"> See United States</w:t>
      </w:r>
      <w:r w:rsidRPr="006B7AA2">
        <w:rPr>
          <w:rFonts w:cs="Calibri"/>
        </w:rPr>
        <w:t>'</w:t>
      </w:r>
      <w:r>
        <w:t xml:space="preserve"> first written submission, paras. 107-108; Appellate Body Report, </w:t>
      </w:r>
      <w:r w:rsidRPr="00D3192B">
        <w:rPr>
          <w:i/>
          <w:iCs/>
        </w:rPr>
        <w:t>US — Oil Country Tubular Goods Sunset Reviews</w:t>
      </w:r>
      <w:r>
        <w:t>, paras. 294-300.</w:t>
      </w:r>
    </w:p>
  </w:footnote>
  <w:footnote w:id="8">
    <w:p w14:paraId="6E042207" w14:textId="77777777" w:rsidR="00884C06" w:rsidRDefault="00884C06" w:rsidP="00884C06">
      <w:pPr>
        <w:pStyle w:val="FootnoteText"/>
      </w:pPr>
      <w:r>
        <w:rPr>
          <w:rStyle w:val="FootnoteReference"/>
        </w:rPr>
        <w:footnoteRef/>
      </w:r>
      <w:r>
        <w:t xml:space="preserve"> </w:t>
      </w:r>
      <w:r w:rsidRPr="00165FC1">
        <w:t>United States' first written submission, para</w:t>
      </w:r>
      <w:r>
        <w:t>. 114.</w:t>
      </w:r>
    </w:p>
  </w:footnote>
  <w:footnote w:id="9">
    <w:p w14:paraId="2F9A567D" w14:textId="77777777" w:rsidR="00884C06" w:rsidRPr="00165FC1" w:rsidRDefault="00884C06" w:rsidP="00884C06">
      <w:pPr>
        <w:pStyle w:val="FootnoteText"/>
      </w:pPr>
      <w:r>
        <w:rPr>
          <w:rStyle w:val="FootnoteReference"/>
        </w:rPr>
        <w:footnoteRef/>
      </w:r>
      <w:r>
        <w:t xml:space="preserve"> Appellate Body Report, </w:t>
      </w:r>
      <w:r w:rsidRPr="00165FC1">
        <w:rPr>
          <w:i/>
          <w:iCs/>
        </w:rPr>
        <w:t>US — Carbon Steel (India)</w:t>
      </w:r>
      <w:r>
        <w:t xml:space="preserve">, para. 4.599; Panel Report, </w:t>
      </w:r>
      <w:r w:rsidRPr="00165FC1">
        <w:rPr>
          <w:i/>
          <w:iCs/>
        </w:rPr>
        <w:t>US — Carbon Steel (India)</w:t>
      </w:r>
      <w:r>
        <w:t>, paras. 7.347-7.348.</w:t>
      </w:r>
    </w:p>
  </w:footnote>
  <w:footnote w:id="10">
    <w:p w14:paraId="4EF4BB46" w14:textId="77777777" w:rsidR="00884C06" w:rsidRDefault="00884C06" w:rsidP="00884C06">
      <w:pPr>
        <w:pStyle w:val="FootnoteText"/>
      </w:pPr>
      <w:r>
        <w:rPr>
          <w:rStyle w:val="FootnoteReference"/>
        </w:rPr>
        <w:footnoteRef/>
      </w:r>
      <w:r>
        <w:t xml:space="preserve"> Panel Report, </w:t>
      </w:r>
      <w:r w:rsidRPr="00165FC1">
        <w:rPr>
          <w:i/>
          <w:iCs/>
        </w:rPr>
        <w:t>US — Carbon Steel (India)</w:t>
      </w:r>
      <w:r>
        <w:t>, para. 7.348.</w:t>
      </w:r>
    </w:p>
  </w:footnote>
  <w:footnote w:id="11">
    <w:p w14:paraId="11185DA9" w14:textId="77777777" w:rsidR="00756045" w:rsidRDefault="00756045" w:rsidP="00756045">
      <w:pPr>
        <w:pStyle w:val="FootnoteText"/>
      </w:pPr>
      <w:r>
        <w:rPr>
          <w:rStyle w:val="FootnoteReference"/>
        </w:rPr>
        <w:footnoteRef/>
      </w:r>
      <w:r>
        <w:t xml:space="preserve"> </w:t>
      </w:r>
      <w:r w:rsidRPr="00165FC1">
        <w:t>United States' first written submission, para</w:t>
      </w:r>
      <w:r>
        <w:t>. 121.</w:t>
      </w:r>
    </w:p>
  </w:footnote>
  <w:footnote w:id="12">
    <w:p w14:paraId="18EF670D" w14:textId="7A5FBAB9" w:rsidR="009F2514" w:rsidRDefault="009F2514" w:rsidP="009F2514">
      <w:pPr>
        <w:pStyle w:val="FootnoteText"/>
      </w:pPr>
      <w:r>
        <w:rPr>
          <w:rStyle w:val="FootnoteReference"/>
        </w:rPr>
        <w:footnoteRef/>
      </w:r>
      <w:r>
        <w:t xml:space="preserve"> Argentina</w:t>
      </w:r>
      <w:r w:rsidR="00BD5ADC" w:rsidRPr="006B7AA2">
        <w:rPr>
          <w:rFonts w:cs="Calibri"/>
        </w:rPr>
        <w:t>'</w:t>
      </w:r>
      <w:r>
        <w:t xml:space="preserve">s first written submission, para. 294. </w:t>
      </w:r>
    </w:p>
  </w:footnote>
  <w:footnote w:id="13">
    <w:p w14:paraId="080E3D99" w14:textId="382014BF" w:rsidR="00775C15" w:rsidRDefault="00775C15">
      <w:pPr>
        <w:pStyle w:val="FootnoteText"/>
      </w:pPr>
      <w:r>
        <w:rPr>
          <w:rStyle w:val="FootnoteReference"/>
        </w:rPr>
        <w:footnoteRef/>
      </w:r>
      <w:r>
        <w:t xml:space="preserve"> See Australia</w:t>
      </w:r>
      <w:r w:rsidRPr="006B7AA2">
        <w:rPr>
          <w:rFonts w:cs="Calibri"/>
        </w:rPr>
        <w:t>'</w:t>
      </w:r>
      <w:r>
        <w:t>s third party submission, paras. 13-1</w:t>
      </w:r>
      <w:r w:rsidR="00D547E1">
        <w:t>8</w:t>
      </w:r>
      <w:r>
        <w:t>.</w:t>
      </w:r>
    </w:p>
  </w:footnote>
  <w:footnote w:id="14">
    <w:p w14:paraId="097949BB" w14:textId="35163064" w:rsidR="007817E1" w:rsidRDefault="007817E1" w:rsidP="007817E1">
      <w:pPr>
        <w:pStyle w:val="FootnoteText"/>
      </w:pPr>
      <w:r>
        <w:rPr>
          <w:rStyle w:val="FootnoteReference"/>
        </w:rPr>
        <w:footnoteRef/>
      </w:r>
      <w:r>
        <w:t xml:space="preserve"> See Australia</w:t>
      </w:r>
      <w:r w:rsidR="00BD5ADC" w:rsidRPr="006B7AA2">
        <w:rPr>
          <w:rFonts w:cs="Calibri"/>
        </w:rPr>
        <w:t>'</w:t>
      </w:r>
      <w:r>
        <w:t>s third party submission, para.</w:t>
      </w:r>
      <w:r w:rsidR="004F58D4">
        <w:t xml:space="preserve"> </w:t>
      </w:r>
      <w:r>
        <w:t>1</w:t>
      </w:r>
      <w:r w:rsidR="00D547E1">
        <w:t>9</w:t>
      </w:r>
      <w:r>
        <w:t>.</w:t>
      </w:r>
    </w:p>
  </w:footnote>
  <w:footnote w:id="15">
    <w:p w14:paraId="2C19F0F5" w14:textId="03F50E40" w:rsidR="007817E1" w:rsidRDefault="007817E1">
      <w:pPr>
        <w:pStyle w:val="FootnoteText"/>
      </w:pPr>
      <w:r>
        <w:rPr>
          <w:rStyle w:val="FootnoteReference"/>
        </w:rPr>
        <w:footnoteRef/>
      </w:r>
      <w:r>
        <w:t xml:space="preserve"> See Australia</w:t>
      </w:r>
      <w:r w:rsidR="00BD5ADC" w:rsidRPr="006B7AA2">
        <w:rPr>
          <w:rFonts w:cs="Calibri"/>
        </w:rPr>
        <w:t>'</w:t>
      </w:r>
      <w:r>
        <w:t>s third party statement, paras.</w:t>
      </w:r>
      <w:r w:rsidR="005138C1">
        <w:t>4-6.</w:t>
      </w:r>
    </w:p>
  </w:footnote>
  <w:footnote w:id="16">
    <w:p w14:paraId="1CE387D7" w14:textId="77777777" w:rsidR="00492309" w:rsidRPr="00384E37" w:rsidRDefault="00492309" w:rsidP="00492309">
      <w:pPr>
        <w:pStyle w:val="FootnoteText"/>
      </w:pPr>
      <w:r>
        <w:rPr>
          <w:rStyle w:val="FootnoteReference"/>
        </w:rPr>
        <w:footnoteRef/>
      </w:r>
      <w:r>
        <w:t xml:space="preserve"> Panel Report, </w:t>
      </w:r>
      <w:r w:rsidRPr="00384E37">
        <w:rPr>
          <w:i/>
          <w:iCs/>
          <w:lang w:val="en-US"/>
        </w:rPr>
        <w:t>Pakistan – BOPP Film (UAE)</w:t>
      </w:r>
      <w:r>
        <w:rPr>
          <w:lang w:val="en-US"/>
        </w:rPr>
        <w:t xml:space="preserve">, para. 7.26. </w:t>
      </w:r>
    </w:p>
  </w:footnote>
  <w:footnote w:id="17">
    <w:p w14:paraId="5FDF02F1" w14:textId="77777777" w:rsidR="00492309" w:rsidRDefault="00492309" w:rsidP="00492309">
      <w:pPr>
        <w:pStyle w:val="FootnoteText"/>
      </w:pPr>
      <w:r>
        <w:rPr>
          <w:rStyle w:val="FootnoteReference"/>
        </w:rPr>
        <w:footnoteRef/>
      </w:r>
      <w:r>
        <w:t xml:space="preserve"> Panel Report, </w:t>
      </w:r>
      <w:r w:rsidRPr="00384E37">
        <w:rPr>
          <w:i/>
          <w:iCs/>
          <w:lang w:val="en-US"/>
        </w:rPr>
        <w:t>Pakistan – BOPP Film (UAE)</w:t>
      </w:r>
      <w:r>
        <w:rPr>
          <w:lang w:val="en-US"/>
        </w:rPr>
        <w:t xml:space="preserve">, para. 7.29.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7BFF" w14:textId="49DDAA5D" w:rsidR="00635A10" w:rsidRPr="00EF6C77" w:rsidRDefault="00AF1B43">
    <w:pPr>
      <w:pStyle w:val="Header"/>
      <w:rPr>
        <w:i/>
        <w:iCs/>
      </w:rPr>
    </w:pPr>
    <w:r w:rsidRPr="003E5AB2">
      <w:rPr>
        <w:i/>
        <w:iCs/>
      </w:rPr>
      <w:t>United States — Anti-</w:t>
    </w:r>
    <w:r>
      <w:rPr>
        <w:i/>
        <w:iCs/>
      </w:rPr>
      <w:t>D</w:t>
    </w:r>
    <w:r w:rsidRPr="003E5AB2">
      <w:rPr>
        <w:i/>
        <w:iCs/>
      </w:rPr>
      <w:t xml:space="preserve">umping </w:t>
    </w:r>
    <w:r>
      <w:rPr>
        <w:i/>
        <w:iCs/>
      </w:rPr>
      <w:t>M</w:t>
    </w:r>
    <w:r w:rsidRPr="003E5AB2">
      <w:rPr>
        <w:i/>
        <w:iCs/>
      </w:rPr>
      <w:t>easure</w:t>
    </w:r>
    <w:r>
      <w:rPr>
        <w:i/>
        <w:iCs/>
      </w:rPr>
      <w:t xml:space="preserve"> on Oil</w:t>
    </w:r>
    <w:r w:rsidR="007F6A2E">
      <w:rPr>
        <w:i/>
        <w:iCs/>
      </w:rPr>
      <w:tab/>
    </w:r>
    <w:r w:rsidR="00635A10" w:rsidRPr="00EF6C77">
      <w:rPr>
        <w:i/>
        <w:iCs/>
      </w:rPr>
      <w:tab/>
    </w:r>
    <w:r w:rsidR="005145EA">
      <w:rPr>
        <w:i/>
        <w:iCs/>
      </w:rPr>
      <w:t>Third Party Executive Summary of Australia</w:t>
    </w:r>
  </w:p>
  <w:p w14:paraId="74891E33" w14:textId="3D478102" w:rsidR="00635A10" w:rsidRPr="000E24A1" w:rsidRDefault="00B319B7">
    <w:pPr>
      <w:pStyle w:val="Header"/>
      <w:rPr>
        <w:i/>
        <w:iCs/>
      </w:rPr>
    </w:pPr>
    <w:r w:rsidRPr="003E5AB2">
      <w:rPr>
        <w:i/>
        <w:iCs/>
      </w:rPr>
      <w:t>Country Tubular Goods from Argentina</w:t>
    </w:r>
    <w:r>
      <w:rPr>
        <w:i/>
        <w:iCs/>
      </w:rPr>
      <w:t xml:space="preserve"> </w:t>
    </w:r>
    <w:r>
      <w:t>(DS617)</w:t>
    </w:r>
    <w:r>
      <w:rPr>
        <w:i/>
        <w:iCs/>
      </w:rPr>
      <w:tab/>
    </w:r>
    <w:r w:rsidR="00635A10" w:rsidRPr="00EF6C77">
      <w:rPr>
        <w:i/>
        <w:iCs/>
      </w:rPr>
      <w:tab/>
    </w:r>
    <w:r>
      <w:rPr>
        <w:i/>
        <w:iCs/>
      </w:rPr>
      <w:t>13 September</w:t>
    </w:r>
    <w:r w:rsidR="005145EA">
      <w:rPr>
        <w:i/>
        <w:iC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1" w15:restartNumberingAfterBreak="0">
    <w:nsid w:val="28243105"/>
    <w:multiLevelType w:val="hybridMultilevel"/>
    <w:tmpl w:val="4CD859C8"/>
    <w:lvl w:ilvl="0" w:tplc="0C09000F">
      <w:start w:val="1"/>
      <w:numFmt w:val="decimal"/>
      <w:pStyle w:val="P1-N1Paragraph1-Number1"/>
      <w:lvlText w:val="%1."/>
      <w:lvlJc w:val="left"/>
      <w:pPr>
        <w:tabs>
          <w:tab w:val="num" w:pos="851"/>
        </w:tabs>
        <w:ind w:left="0" w:firstLine="0"/>
      </w:pPr>
      <w:rPr>
        <w:rFonts w:hint="default"/>
        <w:b w:val="0"/>
        <w:bCs w:val="0"/>
        <w:i w:val="0"/>
        <w:iCs w:val="0"/>
        <w:color w:val="auto"/>
        <w:vertAlign w:val="baseline"/>
      </w:rPr>
    </w:lvl>
    <w:lvl w:ilvl="1" w:tplc="0C090019">
      <w:start w:val="1"/>
      <w:numFmt w:val="lowerLetter"/>
      <w:pStyle w:val="P2-B1Paragraph2-Bullet1"/>
      <w:lvlText w:val="%2."/>
      <w:lvlJc w:val="left"/>
      <w:pPr>
        <w:ind w:left="1211"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2" w15:restartNumberingAfterBreak="0">
    <w:nsid w:val="57454AB1"/>
    <w:multiLevelType w:val="multilevel"/>
    <w:tmpl w:val="3924631C"/>
    <w:name w:val="Panel questions"/>
    <w:lvl w:ilvl="0">
      <w:start w:val="1"/>
      <w:numFmt w:val="decimal"/>
      <w:lvlRestart w:val="0"/>
      <w:isLgl/>
      <w:suff w:val="space"/>
      <w:lvlText w:val="%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lvlRestart w:val="0"/>
      <w:lvlText w:val="%3."/>
      <w:lvlJc w:val="left"/>
      <w:pPr>
        <w:ind w:left="0" w:firstLine="0"/>
      </w:pPr>
      <w:rPr>
        <w:rFonts w:hint="default"/>
      </w:rPr>
    </w:lvl>
    <w:lvl w:ilvl="3">
      <w:start w:val="1"/>
      <w:numFmt w:val="lowerLetter"/>
      <w:suff w:val="space"/>
      <w:lvlText w:val="%4.  "/>
      <w:lvlJc w:val="left"/>
      <w:pPr>
        <w:ind w:left="0" w:firstLine="340"/>
      </w:pPr>
      <w:rPr>
        <w:rFonts w:hint="default"/>
      </w:rPr>
    </w:lvl>
    <w:lvl w:ilvl="4">
      <w:start w:val="1"/>
      <w:numFmt w:val="decimal"/>
      <w:lvlRestart w:val="1"/>
      <w:isLgl/>
      <w:lvlText w:val="%1.%5"/>
      <w:lvlJc w:val="left"/>
      <w:pPr>
        <w:ind w:left="0" w:firstLine="0"/>
      </w:pPr>
      <w:rPr>
        <w:rFonts w:hint="default"/>
      </w:rPr>
    </w:lvl>
    <w:lvl w:ilvl="5">
      <w:start w:val="1"/>
      <w:numFmt w:val="decimal"/>
      <w:lvlRestart w:val="2"/>
      <w:isLgl/>
      <w:lvlText w:val="%1.%2.%6"/>
      <w:lvlJc w:val="left"/>
      <w:pPr>
        <w:ind w:left="0" w:firstLine="0"/>
      </w:pPr>
      <w:rPr>
        <w:rFonts w:hint="default"/>
      </w:rPr>
    </w:lvl>
    <w:lvl w:ilvl="6">
      <w:start w:val="1"/>
      <w:numFmt w:val="decimal"/>
      <w:lvlRestart w:val="3"/>
      <w:isLgl/>
      <w:lvlText w:val="%1.%2.%6.%7"/>
      <w:lvlJc w:val="left"/>
      <w:pPr>
        <w:ind w:left="0" w:firstLine="0"/>
      </w:pPr>
      <w:rPr>
        <w:rFonts w:hint="default"/>
      </w:rPr>
    </w:lvl>
    <w:lvl w:ilvl="7">
      <w:start w:val="1"/>
      <w:numFmt w:val="lowerLetter"/>
      <w:lvlText w:val="%8."/>
      <w:lvlJc w:val="left"/>
      <w:pPr>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 w15:restartNumberingAfterBreak="0">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num w:numId="1" w16cid:durableId="2069500102">
    <w:abstractNumId w:val="1"/>
  </w:num>
  <w:num w:numId="2" w16cid:durableId="846401725">
    <w:abstractNumId w:val="0"/>
  </w:num>
  <w:num w:numId="3" w16cid:durableId="343284933">
    <w:abstractNumId w:val="0"/>
  </w:num>
  <w:num w:numId="4" w16cid:durableId="49571587">
    <w:abstractNumId w:val="0"/>
  </w:num>
  <w:num w:numId="5" w16cid:durableId="1982684989">
    <w:abstractNumId w:val="0"/>
  </w:num>
  <w:num w:numId="6" w16cid:durableId="430126705">
    <w:abstractNumId w:val="1"/>
  </w:num>
  <w:num w:numId="7" w16cid:durableId="1752853467">
    <w:abstractNumId w:val="1"/>
  </w:num>
  <w:num w:numId="8" w16cid:durableId="1664234756">
    <w:abstractNumId w:val="3"/>
  </w:num>
  <w:num w:numId="9" w16cid:durableId="1694988614">
    <w:abstractNumId w:val="1"/>
  </w:num>
  <w:num w:numId="10" w16cid:durableId="1798058958">
    <w:abstractNumId w:val="1"/>
  </w:num>
  <w:num w:numId="11" w16cid:durableId="1534803441">
    <w:abstractNumId w:val="1"/>
  </w:num>
  <w:num w:numId="12" w16cid:durableId="1315452290">
    <w:abstractNumId w:val="0"/>
  </w:num>
  <w:num w:numId="13" w16cid:durableId="1323191717">
    <w:abstractNumId w:val="2"/>
  </w:num>
  <w:num w:numId="14" w16cid:durableId="1616791030">
    <w:abstractNumId w:val="1"/>
  </w:num>
  <w:num w:numId="15" w16cid:durableId="572206636">
    <w:abstractNumId w:val="1"/>
  </w:num>
  <w:num w:numId="16" w16cid:durableId="1616522585">
    <w:abstractNumId w:val="1"/>
  </w:num>
  <w:num w:numId="17" w16cid:durableId="1818909448">
    <w:abstractNumId w:val="1"/>
  </w:num>
  <w:num w:numId="18" w16cid:durableId="1609006422">
    <w:abstractNumId w:val="1"/>
  </w:num>
  <w:num w:numId="19" w16cid:durableId="1442265958">
    <w:abstractNumId w:val="1"/>
  </w:num>
  <w:num w:numId="20" w16cid:durableId="1446193952">
    <w:abstractNumId w:val="0"/>
  </w:num>
  <w:num w:numId="21" w16cid:durableId="1857309783">
    <w:abstractNumId w:val="0"/>
  </w:num>
  <w:num w:numId="22" w16cid:durableId="262493761">
    <w:abstractNumId w:val="1"/>
  </w:num>
  <w:num w:numId="23" w16cid:durableId="1876186799">
    <w:abstractNumId w:val="0"/>
  </w:num>
  <w:num w:numId="24" w16cid:durableId="362438493">
    <w:abstractNumId w:val="1"/>
  </w:num>
  <w:num w:numId="25" w16cid:durableId="901915872">
    <w:abstractNumId w:val="1"/>
  </w:num>
  <w:num w:numId="26" w16cid:durableId="51539178">
    <w:abstractNumId w:val="0"/>
  </w:num>
  <w:num w:numId="27" w16cid:durableId="850681967">
    <w:abstractNumId w:val="1"/>
  </w:num>
  <w:num w:numId="28" w16cid:durableId="1356464785">
    <w:abstractNumId w:val="0"/>
  </w:num>
  <w:num w:numId="29" w16cid:durableId="167524722">
    <w:abstractNumId w:val="1"/>
  </w:num>
  <w:num w:numId="30" w16cid:durableId="1001128806">
    <w:abstractNumId w:val="1"/>
  </w:num>
  <w:num w:numId="31" w16cid:durableId="1681348502">
    <w:abstractNumId w:val="1"/>
  </w:num>
  <w:num w:numId="32" w16cid:durableId="258030458">
    <w:abstractNumId w:val="1"/>
  </w:num>
  <w:num w:numId="33" w16cid:durableId="1292513694">
    <w:abstractNumId w:val="0"/>
  </w:num>
  <w:num w:numId="34" w16cid:durableId="1277560467">
    <w:abstractNumId w:val="1"/>
  </w:num>
  <w:num w:numId="35" w16cid:durableId="1375618909">
    <w:abstractNumId w:val="1"/>
  </w:num>
  <w:num w:numId="36" w16cid:durableId="944533674">
    <w:abstractNumId w:val="1"/>
  </w:num>
  <w:num w:numId="37" w16cid:durableId="1869178747">
    <w:abstractNumId w:val="1"/>
  </w:num>
  <w:num w:numId="38" w16cid:durableId="832379222">
    <w:abstractNumId w:val="1"/>
  </w:num>
  <w:num w:numId="39" w16cid:durableId="865558178">
    <w:abstractNumId w:val="1"/>
  </w:num>
  <w:num w:numId="40" w16cid:durableId="179589159">
    <w:abstractNumId w:val="1"/>
  </w:num>
  <w:num w:numId="41" w16cid:durableId="1584021802">
    <w:abstractNumId w:val="0"/>
  </w:num>
  <w:num w:numId="42" w16cid:durableId="1135484277">
    <w:abstractNumId w:val="1"/>
  </w:num>
  <w:num w:numId="43" w16cid:durableId="112357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A3"/>
    <w:rsid w:val="000023CC"/>
    <w:rsid w:val="00002C20"/>
    <w:rsid w:val="00005D81"/>
    <w:rsid w:val="00010F88"/>
    <w:rsid w:val="000321A1"/>
    <w:rsid w:val="0003352D"/>
    <w:rsid w:val="0004201D"/>
    <w:rsid w:val="00051192"/>
    <w:rsid w:val="0006394F"/>
    <w:rsid w:val="00065D57"/>
    <w:rsid w:val="00072808"/>
    <w:rsid w:val="00072F70"/>
    <w:rsid w:val="00076291"/>
    <w:rsid w:val="000918FB"/>
    <w:rsid w:val="000A3E2F"/>
    <w:rsid w:val="000A40FC"/>
    <w:rsid w:val="000A6CF7"/>
    <w:rsid w:val="000A773A"/>
    <w:rsid w:val="000B2B2E"/>
    <w:rsid w:val="000C37BC"/>
    <w:rsid w:val="000C483A"/>
    <w:rsid w:val="000D454B"/>
    <w:rsid w:val="000E18DA"/>
    <w:rsid w:val="000E24A1"/>
    <w:rsid w:val="000E2AFD"/>
    <w:rsid w:val="000E3A98"/>
    <w:rsid w:val="000F197D"/>
    <w:rsid w:val="000F53D3"/>
    <w:rsid w:val="00100E47"/>
    <w:rsid w:val="0010764F"/>
    <w:rsid w:val="001101F9"/>
    <w:rsid w:val="001138A9"/>
    <w:rsid w:val="00122054"/>
    <w:rsid w:val="0012540F"/>
    <w:rsid w:val="00150BE4"/>
    <w:rsid w:val="00153E86"/>
    <w:rsid w:val="00160B67"/>
    <w:rsid w:val="00171621"/>
    <w:rsid w:val="0017760F"/>
    <w:rsid w:val="001846F7"/>
    <w:rsid w:val="00185110"/>
    <w:rsid w:val="00193D9B"/>
    <w:rsid w:val="00194230"/>
    <w:rsid w:val="001A0206"/>
    <w:rsid w:val="001A3AF1"/>
    <w:rsid w:val="001C11B5"/>
    <w:rsid w:val="001C663A"/>
    <w:rsid w:val="001C7086"/>
    <w:rsid w:val="001D3A5F"/>
    <w:rsid w:val="001D63E0"/>
    <w:rsid w:val="001E0708"/>
    <w:rsid w:val="001E6278"/>
    <w:rsid w:val="001E66F3"/>
    <w:rsid w:val="001F1A1B"/>
    <w:rsid w:val="001F3108"/>
    <w:rsid w:val="001F7719"/>
    <w:rsid w:val="00203AD6"/>
    <w:rsid w:val="00210D77"/>
    <w:rsid w:val="00216D93"/>
    <w:rsid w:val="00217CCE"/>
    <w:rsid w:val="00225792"/>
    <w:rsid w:val="002279EA"/>
    <w:rsid w:val="00227E28"/>
    <w:rsid w:val="00233F47"/>
    <w:rsid w:val="0024198F"/>
    <w:rsid w:val="00251F2A"/>
    <w:rsid w:val="00267756"/>
    <w:rsid w:val="002720BF"/>
    <w:rsid w:val="00272FB5"/>
    <w:rsid w:val="002779D1"/>
    <w:rsid w:val="00280A62"/>
    <w:rsid w:val="00281DFE"/>
    <w:rsid w:val="00283EF1"/>
    <w:rsid w:val="00284B22"/>
    <w:rsid w:val="00285182"/>
    <w:rsid w:val="002852B7"/>
    <w:rsid w:val="002A129C"/>
    <w:rsid w:val="002A5789"/>
    <w:rsid w:val="002A599E"/>
    <w:rsid w:val="002A7FC7"/>
    <w:rsid w:val="002B569C"/>
    <w:rsid w:val="002B7529"/>
    <w:rsid w:val="002C0FA5"/>
    <w:rsid w:val="002C4159"/>
    <w:rsid w:val="002D2A77"/>
    <w:rsid w:val="002D56DD"/>
    <w:rsid w:val="002E165B"/>
    <w:rsid w:val="002F0969"/>
    <w:rsid w:val="002F68B1"/>
    <w:rsid w:val="0030017C"/>
    <w:rsid w:val="00302921"/>
    <w:rsid w:val="00304003"/>
    <w:rsid w:val="00305CFA"/>
    <w:rsid w:val="00312D3D"/>
    <w:rsid w:val="00320ABB"/>
    <w:rsid w:val="00321269"/>
    <w:rsid w:val="00327650"/>
    <w:rsid w:val="0033341E"/>
    <w:rsid w:val="00335A96"/>
    <w:rsid w:val="003365FA"/>
    <w:rsid w:val="003426DD"/>
    <w:rsid w:val="00345AF9"/>
    <w:rsid w:val="00350596"/>
    <w:rsid w:val="003548B3"/>
    <w:rsid w:val="0036302E"/>
    <w:rsid w:val="0036741E"/>
    <w:rsid w:val="00376CC9"/>
    <w:rsid w:val="00381722"/>
    <w:rsid w:val="00382529"/>
    <w:rsid w:val="00382620"/>
    <w:rsid w:val="00384419"/>
    <w:rsid w:val="00384DE1"/>
    <w:rsid w:val="003974E5"/>
    <w:rsid w:val="003A1F0E"/>
    <w:rsid w:val="003A4411"/>
    <w:rsid w:val="003B2A49"/>
    <w:rsid w:val="003D0D71"/>
    <w:rsid w:val="003D1C69"/>
    <w:rsid w:val="003D5634"/>
    <w:rsid w:val="003E004B"/>
    <w:rsid w:val="003E060A"/>
    <w:rsid w:val="003E1284"/>
    <w:rsid w:val="003F20ED"/>
    <w:rsid w:val="00400A7E"/>
    <w:rsid w:val="00402773"/>
    <w:rsid w:val="00402C31"/>
    <w:rsid w:val="00403BA4"/>
    <w:rsid w:val="00413FE7"/>
    <w:rsid w:val="00427E0A"/>
    <w:rsid w:val="0043031F"/>
    <w:rsid w:val="00431120"/>
    <w:rsid w:val="004314F8"/>
    <w:rsid w:val="00437E76"/>
    <w:rsid w:val="004413AD"/>
    <w:rsid w:val="004424C7"/>
    <w:rsid w:val="00456095"/>
    <w:rsid w:val="00466DAD"/>
    <w:rsid w:val="004670AC"/>
    <w:rsid w:val="00471D17"/>
    <w:rsid w:val="00472B6B"/>
    <w:rsid w:val="0047351C"/>
    <w:rsid w:val="00473E1F"/>
    <w:rsid w:val="0048059B"/>
    <w:rsid w:val="0048784A"/>
    <w:rsid w:val="00492309"/>
    <w:rsid w:val="004A6DA6"/>
    <w:rsid w:val="004B72A3"/>
    <w:rsid w:val="004B752E"/>
    <w:rsid w:val="004C40D8"/>
    <w:rsid w:val="004C59EC"/>
    <w:rsid w:val="004D302F"/>
    <w:rsid w:val="004D33E4"/>
    <w:rsid w:val="004E1213"/>
    <w:rsid w:val="004E2ADC"/>
    <w:rsid w:val="004F086B"/>
    <w:rsid w:val="004F122B"/>
    <w:rsid w:val="004F55C0"/>
    <w:rsid w:val="004F58D4"/>
    <w:rsid w:val="005034D4"/>
    <w:rsid w:val="0050564E"/>
    <w:rsid w:val="00505CF6"/>
    <w:rsid w:val="005126FF"/>
    <w:rsid w:val="00512DB9"/>
    <w:rsid w:val="005138C1"/>
    <w:rsid w:val="005145EA"/>
    <w:rsid w:val="00522DC1"/>
    <w:rsid w:val="00532B8E"/>
    <w:rsid w:val="00533A67"/>
    <w:rsid w:val="00534A57"/>
    <w:rsid w:val="00550FB2"/>
    <w:rsid w:val="0055116D"/>
    <w:rsid w:val="00553E1F"/>
    <w:rsid w:val="00553F23"/>
    <w:rsid w:val="005563BD"/>
    <w:rsid w:val="0055719A"/>
    <w:rsid w:val="00557440"/>
    <w:rsid w:val="00557D4F"/>
    <w:rsid w:val="00562025"/>
    <w:rsid w:val="0057426E"/>
    <w:rsid w:val="0057510B"/>
    <w:rsid w:val="00575516"/>
    <w:rsid w:val="005755A1"/>
    <w:rsid w:val="00577DD9"/>
    <w:rsid w:val="005842A0"/>
    <w:rsid w:val="0059203F"/>
    <w:rsid w:val="00592993"/>
    <w:rsid w:val="005A3AE3"/>
    <w:rsid w:val="005B23AD"/>
    <w:rsid w:val="005B311E"/>
    <w:rsid w:val="005B7666"/>
    <w:rsid w:val="005C19EC"/>
    <w:rsid w:val="005C70FB"/>
    <w:rsid w:val="005D1044"/>
    <w:rsid w:val="005D7D97"/>
    <w:rsid w:val="005E77F1"/>
    <w:rsid w:val="005F09CC"/>
    <w:rsid w:val="006014E1"/>
    <w:rsid w:val="00610657"/>
    <w:rsid w:val="00611530"/>
    <w:rsid w:val="00611D3A"/>
    <w:rsid w:val="0062389E"/>
    <w:rsid w:val="00624DC2"/>
    <w:rsid w:val="00635A10"/>
    <w:rsid w:val="00652125"/>
    <w:rsid w:val="00652692"/>
    <w:rsid w:val="00655EEB"/>
    <w:rsid w:val="00664F6B"/>
    <w:rsid w:val="00665C9E"/>
    <w:rsid w:val="0066681B"/>
    <w:rsid w:val="00671821"/>
    <w:rsid w:val="00672B22"/>
    <w:rsid w:val="006735CE"/>
    <w:rsid w:val="00677E9E"/>
    <w:rsid w:val="00680B13"/>
    <w:rsid w:val="00681164"/>
    <w:rsid w:val="006919CE"/>
    <w:rsid w:val="0069491E"/>
    <w:rsid w:val="006953D5"/>
    <w:rsid w:val="006A01CE"/>
    <w:rsid w:val="006A12F5"/>
    <w:rsid w:val="006A4959"/>
    <w:rsid w:val="006B12DD"/>
    <w:rsid w:val="006B5DA2"/>
    <w:rsid w:val="006C0913"/>
    <w:rsid w:val="006C17AA"/>
    <w:rsid w:val="006C1EFC"/>
    <w:rsid w:val="006C7840"/>
    <w:rsid w:val="006C7DF8"/>
    <w:rsid w:val="006D06B6"/>
    <w:rsid w:val="006E4B19"/>
    <w:rsid w:val="006F5142"/>
    <w:rsid w:val="007001C5"/>
    <w:rsid w:val="007047F7"/>
    <w:rsid w:val="007102C4"/>
    <w:rsid w:val="007119A0"/>
    <w:rsid w:val="00711CF7"/>
    <w:rsid w:val="00713B48"/>
    <w:rsid w:val="00714176"/>
    <w:rsid w:val="00714212"/>
    <w:rsid w:val="00721381"/>
    <w:rsid w:val="00723D29"/>
    <w:rsid w:val="0072461E"/>
    <w:rsid w:val="00743DBA"/>
    <w:rsid w:val="00756045"/>
    <w:rsid w:val="00756CEA"/>
    <w:rsid w:val="007573B5"/>
    <w:rsid w:val="0076575E"/>
    <w:rsid w:val="007750F1"/>
    <w:rsid w:val="00775C15"/>
    <w:rsid w:val="007774E4"/>
    <w:rsid w:val="007817E1"/>
    <w:rsid w:val="00787E80"/>
    <w:rsid w:val="007A24C5"/>
    <w:rsid w:val="007A5269"/>
    <w:rsid w:val="007A699B"/>
    <w:rsid w:val="007A6F74"/>
    <w:rsid w:val="007B077F"/>
    <w:rsid w:val="007C2723"/>
    <w:rsid w:val="007C5A9C"/>
    <w:rsid w:val="007D3978"/>
    <w:rsid w:val="007E5C6D"/>
    <w:rsid w:val="007E7A23"/>
    <w:rsid w:val="007F1F2A"/>
    <w:rsid w:val="007F3D43"/>
    <w:rsid w:val="007F5450"/>
    <w:rsid w:val="007F6A2E"/>
    <w:rsid w:val="00806D1B"/>
    <w:rsid w:val="00807811"/>
    <w:rsid w:val="00812225"/>
    <w:rsid w:val="00814497"/>
    <w:rsid w:val="00816BA6"/>
    <w:rsid w:val="008375CC"/>
    <w:rsid w:val="00840A63"/>
    <w:rsid w:val="00843B3E"/>
    <w:rsid w:val="008473C3"/>
    <w:rsid w:val="008620AF"/>
    <w:rsid w:val="00863D78"/>
    <w:rsid w:val="00884C06"/>
    <w:rsid w:val="00885451"/>
    <w:rsid w:val="00885512"/>
    <w:rsid w:val="00886B83"/>
    <w:rsid w:val="008914D7"/>
    <w:rsid w:val="008922CB"/>
    <w:rsid w:val="008A2D4C"/>
    <w:rsid w:val="008A517E"/>
    <w:rsid w:val="008B2334"/>
    <w:rsid w:val="008C453A"/>
    <w:rsid w:val="008C571D"/>
    <w:rsid w:val="008D0A0D"/>
    <w:rsid w:val="008D6223"/>
    <w:rsid w:val="008E0A2C"/>
    <w:rsid w:val="008F1641"/>
    <w:rsid w:val="008F3AA9"/>
    <w:rsid w:val="008F4715"/>
    <w:rsid w:val="008F49E0"/>
    <w:rsid w:val="008F60C9"/>
    <w:rsid w:val="008F7177"/>
    <w:rsid w:val="008F74F1"/>
    <w:rsid w:val="0090243C"/>
    <w:rsid w:val="00906928"/>
    <w:rsid w:val="00917E1A"/>
    <w:rsid w:val="009220F6"/>
    <w:rsid w:val="009225A4"/>
    <w:rsid w:val="009320F0"/>
    <w:rsid w:val="00943152"/>
    <w:rsid w:val="00950C1C"/>
    <w:rsid w:val="00951016"/>
    <w:rsid w:val="009521B6"/>
    <w:rsid w:val="00952ABA"/>
    <w:rsid w:val="00955E94"/>
    <w:rsid w:val="009722CA"/>
    <w:rsid w:val="00973E5C"/>
    <w:rsid w:val="00985D49"/>
    <w:rsid w:val="00990348"/>
    <w:rsid w:val="00992A8D"/>
    <w:rsid w:val="00993E6D"/>
    <w:rsid w:val="00994D63"/>
    <w:rsid w:val="009959B6"/>
    <w:rsid w:val="009A6491"/>
    <w:rsid w:val="009B3919"/>
    <w:rsid w:val="009C11E2"/>
    <w:rsid w:val="009C733A"/>
    <w:rsid w:val="009E40F1"/>
    <w:rsid w:val="009E49B5"/>
    <w:rsid w:val="009E5915"/>
    <w:rsid w:val="009F0C57"/>
    <w:rsid w:val="009F2514"/>
    <w:rsid w:val="00A07CA2"/>
    <w:rsid w:val="00A134C5"/>
    <w:rsid w:val="00A13BC2"/>
    <w:rsid w:val="00A145B7"/>
    <w:rsid w:val="00A1694F"/>
    <w:rsid w:val="00A20227"/>
    <w:rsid w:val="00A244EB"/>
    <w:rsid w:val="00A25B06"/>
    <w:rsid w:val="00A26527"/>
    <w:rsid w:val="00A362E9"/>
    <w:rsid w:val="00A371B4"/>
    <w:rsid w:val="00A429AD"/>
    <w:rsid w:val="00A42F69"/>
    <w:rsid w:val="00A46F60"/>
    <w:rsid w:val="00A47CF9"/>
    <w:rsid w:val="00A56710"/>
    <w:rsid w:val="00A57337"/>
    <w:rsid w:val="00A601F0"/>
    <w:rsid w:val="00A65808"/>
    <w:rsid w:val="00A6625A"/>
    <w:rsid w:val="00A6692A"/>
    <w:rsid w:val="00A775EA"/>
    <w:rsid w:val="00A87BA5"/>
    <w:rsid w:val="00A90E41"/>
    <w:rsid w:val="00A93471"/>
    <w:rsid w:val="00A95F3D"/>
    <w:rsid w:val="00A9785D"/>
    <w:rsid w:val="00AA1A55"/>
    <w:rsid w:val="00AA35F7"/>
    <w:rsid w:val="00AA3718"/>
    <w:rsid w:val="00AA396D"/>
    <w:rsid w:val="00AA468D"/>
    <w:rsid w:val="00AA6D40"/>
    <w:rsid w:val="00AB1F8A"/>
    <w:rsid w:val="00AB2C34"/>
    <w:rsid w:val="00AD37DA"/>
    <w:rsid w:val="00AD3E21"/>
    <w:rsid w:val="00AE5E25"/>
    <w:rsid w:val="00AE6143"/>
    <w:rsid w:val="00AF1877"/>
    <w:rsid w:val="00AF1B43"/>
    <w:rsid w:val="00AF2C49"/>
    <w:rsid w:val="00AF3A4C"/>
    <w:rsid w:val="00B06139"/>
    <w:rsid w:val="00B10D4B"/>
    <w:rsid w:val="00B11A29"/>
    <w:rsid w:val="00B17DA4"/>
    <w:rsid w:val="00B2465A"/>
    <w:rsid w:val="00B31887"/>
    <w:rsid w:val="00B319B7"/>
    <w:rsid w:val="00B4284B"/>
    <w:rsid w:val="00B43FED"/>
    <w:rsid w:val="00B46C00"/>
    <w:rsid w:val="00B528C8"/>
    <w:rsid w:val="00B55770"/>
    <w:rsid w:val="00B601D6"/>
    <w:rsid w:val="00B645A1"/>
    <w:rsid w:val="00B70775"/>
    <w:rsid w:val="00B73DCD"/>
    <w:rsid w:val="00B74CB9"/>
    <w:rsid w:val="00B82904"/>
    <w:rsid w:val="00B863CD"/>
    <w:rsid w:val="00B90834"/>
    <w:rsid w:val="00B91918"/>
    <w:rsid w:val="00B96721"/>
    <w:rsid w:val="00B9696C"/>
    <w:rsid w:val="00B96B80"/>
    <w:rsid w:val="00BA0835"/>
    <w:rsid w:val="00BA0EA5"/>
    <w:rsid w:val="00BA236E"/>
    <w:rsid w:val="00BA33A3"/>
    <w:rsid w:val="00BA488B"/>
    <w:rsid w:val="00BA4B34"/>
    <w:rsid w:val="00BB0665"/>
    <w:rsid w:val="00BB5636"/>
    <w:rsid w:val="00BC034B"/>
    <w:rsid w:val="00BC1B53"/>
    <w:rsid w:val="00BC487C"/>
    <w:rsid w:val="00BC74F3"/>
    <w:rsid w:val="00BD10E4"/>
    <w:rsid w:val="00BD2DC2"/>
    <w:rsid w:val="00BD4E67"/>
    <w:rsid w:val="00BD5ADC"/>
    <w:rsid w:val="00BD64D4"/>
    <w:rsid w:val="00BE34E1"/>
    <w:rsid w:val="00BE3B57"/>
    <w:rsid w:val="00C02BFD"/>
    <w:rsid w:val="00C05090"/>
    <w:rsid w:val="00C15C33"/>
    <w:rsid w:val="00C33BD1"/>
    <w:rsid w:val="00C432B0"/>
    <w:rsid w:val="00C44B78"/>
    <w:rsid w:val="00C45777"/>
    <w:rsid w:val="00C470AD"/>
    <w:rsid w:val="00C47931"/>
    <w:rsid w:val="00C54161"/>
    <w:rsid w:val="00C610CD"/>
    <w:rsid w:val="00C63472"/>
    <w:rsid w:val="00C74575"/>
    <w:rsid w:val="00C814EF"/>
    <w:rsid w:val="00C84A1A"/>
    <w:rsid w:val="00C871DD"/>
    <w:rsid w:val="00C872BC"/>
    <w:rsid w:val="00C873D0"/>
    <w:rsid w:val="00C94ED6"/>
    <w:rsid w:val="00C96E1B"/>
    <w:rsid w:val="00CA01FE"/>
    <w:rsid w:val="00CB2600"/>
    <w:rsid w:val="00CB5B7A"/>
    <w:rsid w:val="00CC62F4"/>
    <w:rsid w:val="00CD1FCF"/>
    <w:rsid w:val="00CD22BE"/>
    <w:rsid w:val="00CD4274"/>
    <w:rsid w:val="00CD4BEF"/>
    <w:rsid w:val="00CE3099"/>
    <w:rsid w:val="00CF55E4"/>
    <w:rsid w:val="00CF7B89"/>
    <w:rsid w:val="00D06B49"/>
    <w:rsid w:val="00D14BAB"/>
    <w:rsid w:val="00D17409"/>
    <w:rsid w:val="00D21D72"/>
    <w:rsid w:val="00D25C75"/>
    <w:rsid w:val="00D26564"/>
    <w:rsid w:val="00D2673C"/>
    <w:rsid w:val="00D32925"/>
    <w:rsid w:val="00D3365F"/>
    <w:rsid w:val="00D35B7D"/>
    <w:rsid w:val="00D41158"/>
    <w:rsid w:val="00D50DFB"/>
    <w:rsid w:val="00D547E1"/>
    <w:rsid w:val="00D5503C"/>
    <w:rsid w:val="00D55A26"/>
    <w:rsid w:val="00D6072E"/>
    <w:rsid w:val="00D61A4B"/>
    <w:rsid w:val="00D65D49"/>
    <w:rsid w:val="00D7472A"/>
    <w:rsid w:val="00D76009"/>
    <w:rsid w:val="00D90B80"/>
    <w:rsid w:val="00D92615"/>
    <w:rsid w:val="00D95055"/>
    <w:rsid w:val="00D97476"/>
    <w:rsid w:val="00DA1478"/>
    <w:rsid w:val="00DA23CB"/>
    <w:rsid w:val="00DA7C44"/>
    <w:rsid w:val="00DB409D"/>
    <w:rsid w:val="00DC06F4"/>
    <w:rsid w:val="00DC39FE"/>
    <w:rsid w:val="00DC4BBE"/>
    <w:rsid w:val="00DC5F35"/>
    <w:rsid w:val="00DD2C3E"/>
    <w:rsid w:val="00DE1FD5"/>
    <w:rsid w:val="00DE55AD"/>
    <w:rsid w:val="00DF1461"/>
    <w:rsid w:val="00E07A04"/>
    <w:rsid w:val="00E17FCD"/>
    <w:rsid w:val="00E2215B"/>
    <w:rsid w:val="00E23658"/>
    <w:rsid w:val="00E25143"/>
    <w:rsid w:val="00E27F69"/>
    <w:rsid w:val="00E33CFC"/>
    <w:rsid w:val="00E36A49"/>
    <w:rsid w:val="00E41F57"/>
    <w:rsid w:val="00E56D3E"/>
    <w:rsid w:val="00E750B4"/>
    <w:rsid w:val="00E76FAB"/>
    <w:rsid w:val="00E84FEC"/>
    <w:rsid w:val="00E9798B"/>
    <w:rsid w:val="00EA5D47"/>
    <w:rsid w:val="00EC5A88"/>
    <w:rsid w:val="00EC5E11"/>
    <w:rsid w:val="00ED3502"/>
    <w:rsid w:val="00ED7DE5"/>
    <w:rsid w:val="00EE48D2"/>
    <w:rsid w:val="00EF13ED"/>
    <w:rsid w:val="00EF3819"/>
    <w:rsid w:val="00EF4331"/>
    <w:rsid w:val="00EF46F1"/>
    <w:rsid w:val="00EF6C77"/>
    <w:rsid w:val="00EF7E14"/>
    <w:rsid w:val="00F02E0F"/>
    <w:rsid w:val="00F03F6E"/>
    <w:rsid w:val="00F07980"/>
    <w:rsid w:val="00F162CD"/>
    <w:rsid w:val="00F174F4"/>
    <w:rsid w:val="00F24F0A"/>
    <w:rsid w:val="00F2707B"/>
    <w:rsid w:val="00F32D00"/>
    <w:rsid w:val="00F336D8"/>
    <w:rsid w:val="00F35FE7"/>
    <w:rsid w:val="00F4141A"/>
    <w:rsid w:val="00F47776"/>
    <w:rsid w:val="00F50B2B"/>
    <w:rsid w:val="00F64C60"/>
    <w:rsid w:val="00F64CE7"/>
    <w:rsid w:val="00F71EA3"/>
    <w:rsid w:val="00F73925"/>
    <w:rsid w:val="00F7455F"/>
    <w:rsid w:val="00F77A73"/>
    <w:rsid w:val="00F86652"/>
    <w:rsid w:val="00F9067F"/>
    <w:rsid w:val="00F93792"/>
    <w:rsid w:val="00FA06B8"/>
    <w:rsid w:val="00FB342D"/>
    <w:rsid w:val="00FC2461"/>
    <w:rsid w:val="00FC5A03"/>
    <w:rsid w:val="00FD3C21"/>
    <w:rsid w:val="00FE1292"/>
    <w:rsid w:val="00FE1E0C"/>
    <w:rsid w:val="00FF4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EA3"/>
    <w:pPr>
      <w:spacing w:line="360" w:lineRule="auto"/>
      <w:jc w:val="both"/>
    </w:pPr>
    <w:rPr>
      <w:rFonts w:ascii="Calibri" w:hAnsi="Calibri"/>
      <w:kern w:val="0"/>
      <w:sz w:val="24"/>
      <w:szCs w:val="24"/>
      <w14:ligatures w14:val="none"/>
    </w:rPr>
  </w:style>
  <w:style w:type="paragraph" w:styleId="Heading1">
    <w:name w:val="heading 1"/>
    <w:basedOn w:val="DTDocumentTitle"/>
    <w:next w:val="Normal"/>
    <w:link w:val="Heading1Char"/>
    <w:uiPriority w:val="2"/>
    <w:qFormat/>
    <w:rsid w:val="00C54161"/>
    <w:pPr>
      <w:spacing w:before="4000"/>
      <w:outlineLvl w:val="0"/>
    </w:pPr>
    <w:rPr>
      <w:rFonts w:cs="Calibri"/>
    </w:rPr>
  </w:style>
  <w:style w:type="paragraph" w:styleId="Heading2">
    <w:name w:val="heading 2"/>
    <w:basedOn w:val="SHSectionHeading"/>
    <w:next w:val="Normal"/>
    <w:link w:val="Heading2Char"/>
    <w:uiPriority w:val="2"/>
    <w:unhideWhenUsed/>
    <w:qFormat/>
    <w:rsid w:val="00F77A73"/>
    <w:pPr>
      <w:spacing w:before="360"/>
      <w:outlineLvl w:val="1"/>
    </w:pPr>
  </w:style>
  <w:style w:type="paragraph" w:styleId="Heading3">
    <w:name w:val="heading 3"/>
    <w:basedOn w:val="Normal"/>
    <w:next w:val="Normal"/>
    <w:link w:val="Heading3Char"/>
    <w:uiPriority w:val="2"/>
    <w:unhideWhenUsed/>
    <w:qFormat/>
    <w:rsid w:val="00F71EA3"/>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2"/>
    <w:unhideWhenUsed/>
    <w:qFormat/>
    <w:rsid w:val="00F71E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1E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1EA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1EA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1E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1E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basedOn w:val="Normal"/>
    <w:link w:val="BTBodyTextChar"/>
    <w:uiPriority w:val="2"/>
    <w:qFormat/>
    <w:rsid w:val="00F71EA3"/>
  </w:style>
  <w:style w:type="character" w:customStyle="1" w:styleId="BTBodyTextChar">
    <w:name w:val="[BT] Body Text Char"/>
    <w:basedOn w:val="DefaultParagraphFont"/>
    <w:link w:val="BTBodyText"/>
    <w:uiPriority w:val="2"/>
    <w:rsid w:val="00F71EA3"/>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F71EA3"/>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F71EA3"/>
    <w:rPr>
      <w:rFonts w:ascii="Calibri" w:hAnsi="Calibri"/>
      <w:kern w:val="0"/>
      <w:sz w:val="8"/>
      <w:szCs w:val="8"/>
      <w14:ligatures w14:val="none"/>
    </w:rPr>
  </w:style>
  <w:style w:type="paragraph" w:customStyle="1" w:styleId="P1-N1Paragraph1-Number1">
    <w:name w:val="[P1-N1] Paragraph 1 - Number 1"/>
    <w:basedOn w:val="BTBodyText"/>
    <w:link w:val="P1-N1Paragraph1-Number1Char"/>
    <w:uiPriority w:val="6"/>
    <w:qFormat/>
    <w:rsid w:val="00F71EA3"/>
    <w:pPr>
      <w:numPr>
        <w:numId w:val="1"/>
      </w:numPr>
    </w:pPr>
  </w:style>
  <w:style w:type="paragraph" w:customStyle="1" w:styleId="P2-B1Paragraph2-Bullet1">
    <w:name w:val="[P2-B1] Paragraph 2 - Bullet 1"/>
    <w:basedOn w:val="BTBodyText"/>
    <w:link w:val="P2-B1Paragraph2-Bullet1Char"/>
    <w:uiPriority w:val="6"/>
    <w:qFormat/>
    <w:rsid w:val="00F71EA3"/>
    <w:pPr>
      <w:numPr>
        <w:ilvl w:val="1"/>
        <w:numId w:val="1"/>
      </w:numPr>
      <w:spacing w:after="120"/>
    </w:pPr>
  </w:style>
  <w:style w:type="character" w:customStyle="1" w:styleId="P1-N1Paragraph1-Number1Char">
    <w:name w:val="[P1-N1] Paragraph 1 - Number 1 Char"/>
    <w:basedOn w:val="BTBodyTextChar"/>
    <w:link w:val="P1-N1Paragraph1-Number1"/>
    <w:uiPriority w:val="6"/>
    <w:rsid w:val="00F71EA3"/>
    <w:rPr>
      <w:rFonts w:ascii="Calibri" w:hAnsi="Calibri"/>
      <w:kern w:val="0"/>
      <w:sz w:val="24"/>
      <w:szCs w:val="24"/>
      <w14:ligatures w14:val="none"/>
    </w:rPr>
  </w:style>
  <w:style w:type="paragraph" w:customStyle="1" w:styleId="P3-B2Paragraph3-Bullet2">
    <w:name w:val="[P3-B2] Paragraph 3 - Bullet 2"/>
    <w:basedOn w:val="BTBodyText"/>
    <w:link w:val="P3-B2Paragraph3-Bullet2Char"/>
    <w:uiPriority w:val="6"/>
    <w:qFormat/>
    <w:rsid w:val="00F71EA3"/>
    <w:pPr>
      <w:numPr>
        <w:ilvl w:val="2"/>
        <w:numId w:val="1"/>
      </w:numPr>
      <w:spacing w:after="120"/>
    </w:pPr>
  </w:style>
  <w:style w:type="character" w:customStyle="1" w:styleId="P2-B1Paragraph2-Bullet1Char">
    <w:name w:val="[P2-B1] Paragraph 2 - Bullet 1 Char"/>
    <w:basedOn w:val="BTBodyTextChar"/>
    <w:link w:val="P2-B1Paragraph2-Bullet1"/>
    <w:uiPriority w:val="6"/>
    <w:rsid w:val="00F71EA3"/>
    <w:rPr>
      <w:rFonts w:ascii="Calibri" w:hAnsi="Calibri"/>
      <w:kern w:val="0"/>
      <w:sz w:val="24"/>
      <w:szCs w:val="24"/>
      <w14:ligatures w14:val="none"/>
    </w:rPr>
  </w:style>
  <w:style w:type="paragraph" w:customStyle="1" w:styleId="P4-B3Paragraph4-Bullet3">
    <w:name w:val="[P4-B3] Paragraph 4 - Bullet 3"/>
    <w:basedOn w:val="BTBodyText"/>
    <w:uiPriority w:val="6"/>
    <w:rsid w:val="00F71EA3"/>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F71EA3"/>
    <w:rPr>
      <w:rFonts w:ascii="Calibri" w:hAnsi="Calibri"/>
      <w:kern w:val="0"/>
      <w:sz w:val="24"/>
      <w:szCs w:val="24"/>
      <w14:ligatures w14:val="none"/>
    </w:rPr>
  </w:style>
  <w:style w:type="paragraph" w:customStyle="1" w:styleId="P5-B4Paragraph5-Bullet4">
    <w:name w:val="[P5-B4] Paragraph 5 - Bullet 4"/>
    <w:basedOn w:val="BTBodyText"/>
    <w:uiPriority w:val="6"/>
    <w:rsid w:val="00F71EA3"/>
    <w:pPr>
      <w:numPr>
        <w:ilvl w:val="4"/>
        <w:numId w:val="1"/>
      </w:numPr>
      <w:spacing w:after="120"/>
    </w:pPr>
  </w:style>
  <w:style w:type="paragraph" w:customStyle="1" w:styleId="P6-B5Paragraph6-Bullet5">
    <w:name w:val="[P6-B5] Paragraph 6 - Bullet 5"/>
    <w:basedOn w:val="BTBodyText"/>
    <w:uiPriority w:val="6"/>
    <w:rsid w:val="00F71EA3"/>
    <w:pPr>
      <w:numPr>
        <w:ilvl w:val="5"/>
        <w:numId w:val="1"/>
      </w:numPr>
      <w:spacing w:after="120"/>
      <w:ind w:left="5104" w:hanging="851"/>
    </w:pPr>
  </w:style>
  <w:style w:type="paragraph" w:customStyle="1" w:styleId="P7-B6Paragraph7-Bullet6">
    <w:name w:val="[P7-B6] Paragraph 7 - Bullet 6"/>
    <w:basedOn w:val="BTBodyText"/>
    <w:uiPriority w:val="6"/>
    <w:rsid w:val="00F71EA3"/>
    <w:pPr>
      <w:numPr>
        <w:ilvl w:val="6"/>
        <w:numId w:val="1"/>
      </w:numPr>
      <w:spacing w:after="120"/>
    </w:pPr>
  </w:style>
  <w:style w:type="paragraph" w:customStyle="1" w:styleId="P8-B7Paragraph8-Bullet7">
    <w:name w:val="[P8-B7] Paragraph 8 - Bullet 7"/>
    <w:basedOn w:val="BTBodyText"/>
    <w:uiPriority w:val="6"/>
    <w:rsid w:val="00F71EA3"/>
    <w:pPr>
      <w:numPr>
        <w:ilvl w:val="7"/>
        <w:numId w:val="1"/>
      </w:numPr>
      <w:spacing w:after="120"/>
      <w:ind w:left="6805" w:hanging="851"/>
    </w:pPr>
  </w:style>
  <w:style w:type="paragraph" w:customStyle="1" w:styleId="P9-B8Paragraph9-Bullet8">
    <w:name w:val="[P9-B8] Paragraph 9 - Bullet 8"/>
    <w:basedOn w:val="BTBodyText"/>
    <w:uiPriority w:val="6"/>
    <w:rsid w:val="00F71EA3"/>
    <w:pPr>
      <w:numPr>
        <w:ilvl w:val="8"/>
        <w:numId w:val="1"/>
      </w:numPr>
      <w:spacing w:after="120"/>
    </w:pPr>
  </w:style>
  <w:style w:type="paragraph" w:customStyle="1" w:styleId="HL1HeadingLevel1">
    <w:name w:val="[HL1] Heading Level 1"/>
    <w:basedOn w:val="Heading1"/>
    <w:next w:val="P1-N1Paragraph1-Number1"/>
    <w:link w:val="HL1HeadingLevel1Char"/>
    <w:uiPriority w:val="4"/>
    <w:qFormat/>
    <w:rsid w:val="00F71EA3"/>
    <w:pPr>
      <w:numPr>
        <w:numId w:val="2"/>
      </w:numPr>
      <w:spacing w:before="0"/>
    </w:pPr>
    <w:rPr>
      <w:b w:val="0"/>
      <w:caps/>
      <w:sz w:val="28"/>
    </w:rPr>
  </w:style>
  <w:style w:type="paragraph" w:customStyle="1" w:styleId="HL2HeadingLevel2">
    <w:name w:val="[HL2] Heading Level 2"/>
    <w:basedOn w:val="Heading2"/>
    <w:next w:val="P1-N1Paragraph1-Number1"/>
    <w:link w:val="HL2HeadingLevel2Char"/>
    <w:uiPriority w:val="4"/>
    <w:qFormat/>
    <w:rsid w:val="00F71EA3"/>
    <w:pPr>
      <w:numPr>
        <w:ilvl w:val="1"/>
        <w:numId w:val="2"/>
      </w:numPr>
      <w:spacing w:before="0"/>
    </w:pPr>
    <w:rPr>
      <w:b/>
      <w:smallCaps w:val="0"/>
      <w:sz w:val="28"/>
    </w:rPr>
  </w:style>
  <w:style w:type="character" w:customStyle="1" w:styleId="HL1HeadingLevel1Char">
    <w:name w:val="[HL1] Heading Level 1 Char"/>
    <w:basedOn w:val="BTBodyTextChar"/>
    <w:link w:val="HL1HeadingLevel1"/>
    <w:uiPriority w:val="4"/>
    <w:rsid w:val="00F71EA3"/>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P1-N1Paragraph1-Number1"/>
    <w:uiPriority w:val="4"/>
    <w:qFormat/>
    <w:rsid w:val="00F71EA3"/>
    <w:pPr>
      <w:numPr>
        <w:ilvl w:val="2"/>
        <w:numId w:val="2"/>
      </w:numPr>
      <w:spacing w:before="0" w:after="160"/>
    </w:pPr>
    <w:rPr>
      <w:rFonts w:ascii="Calibri" w:hAnsi="Calibri"/>
      <w:b/>
      <w:color w:val="auto"/>
    </w:rPr>
  </w:style>
  <w:style w:type="character" w:customStyle="1" w:styleId="HL2HeadingLevel2Char">
    <w:name w:val="[HL2] Heading Level 2 Char"/>
    <w:basedOn w:val="BTBodyTextChar"/>
    <w:link w:val="HL2HeadingLevel2"/>
    <w:uiPriority w:val="4"/>
    <w:rsid w:val="00F71EA3"/>
    <w:rPr>
      <w:rFonts w:ascii="Calibri" w:eastAsiaTheme="majorEastAsia" w:hAnsi="Calibri" w:cstheme="majorBidi"/>
      <w:b/>
      <w:smallCaps/>
      <w:kern w:val="0"/>
      <w:sz w:val="28"/>
      <w:szCs w:val="26"/>
      <w14:ligatures w14:val="none"/>
    </w:rPr>
  </w:style>
  <w:style w:type="paragraph" w:customStyle="1" w:styleId="HL4HeadingLevel4">
    <w:name w:val="[HL4] Heading Level 4"/>
    <w:basedOn w:val="Heading4"/>
    <w:next w:val="P1-N1Paragraph1-Number1"/>
    <w:uiPriority w:val="4"/>
    <w:qFormat/>
    <w:rsid w:val="00F71EA3"/>
    <w:pPr>
      <w:numPr>
        <w:ilvl w:val="3"/>
        <w:numId w:val="2"/>
      </w:numPr>
      <w:spacing w:before="0" w:after="160"/>
    </w:pPr>
    <w:rPr>
      <w:rFonts w:ascii="Calibri" w:hAnsi="Calibri"/>
      <w:i w:val="0"/>
      <w:color w:val="auto"/>
      <w:u w:val="single"/>
    </w:rPr>
  </w:style>
  <w:style w:type="paragraph" w:customStyle="1" w:styleId="HL5HeadingLevel5">
    <w:name w:val="[HL5] Heading Level 5"/>
    <w:basedOn w:val="Heading5"/>
    <w:next w:val="P1-N1Paragraph1-Number1"/>
    <w:uiPriority w:val="4"/>
    <w:qFormat/>
    <w:rsid w:val="00F71EA3"/>
    <w:pPr>
      <w:numPr>
        <w:ilvl w:val="4"/>
        <w:numId w:val="2"/>
      </w:numPr>
      <w:spacing w:before="0" w:after="160"/>
    </w:pPr>
    <w:rPr>
      <w:rFonts w:ascii="Calibri" w:hAnsi="Calibri"/>
      <w:i/>
      <w:color w:val="auto"/>
    </w:rPr>
  </w:style>
  <w:style w:type="paragraph" w:customStyle="1" w:styleId="HL6HeadingLevel6">
    <w:name w:val="[HL6] Heading Level 6"/>
    <w:basedOn w:val="Heading6"/>
    <w:next w:val="P1-N1Paragraph1-Number1"/>
    <w:uiPriority w:val="4"/>
    <w:semiHidden/>
    <w:rsid w:val="00F71EA3"/>
    <w:pPr>
      <w:numPr>
        <w:ilvl w:val="5"/>
        <w:numId w:val="2"/>
      </w:numPr>
      <w:spacing w:before="0" w:after="160"/>
    </w:pPr>
    <w:rPr>
      <w:rFonts w:ascii="Calibri" w:hAnsi="Calibri"/>
      <w:color w:val="auto"/>
      <w:u w:val="single"/>
    </w:rPr>
  </w:style>
  <w:style w:type="paragraph" w:customStyle="1" w:styleId="HL7HeadingLevel7">
    <w:name w:val="[HL7] Heading Level 7"/>
    <w:basedOn w:val="Heading7"/>
    <w:next w:val="P1-N1Paragraph1-Number1"/>
    <w:uiPriority w:val="4"/>
    <w:semiHidden/>
    <w:rsid w:val="00F71EA3"/>
    <w:pPr>
      <w:numPr>
        <w:ilvl w:val="6"/>
        <w:numId w:val="2"/>
      </w:numPr>
      <w:spacing w:before="0" w:after="160"/>
    </w:pPr>
    <w:rPr>
      <w:rFonts w:ascii="Calibri" w:hAnsi="Calibri"/>
      <w:color w:val="auto"/>
    </w:rPr>
  </w:style>
  <w:style w:type="paragraph" w:customStyle="1" w:styleId="HL8HeadingLevel8">
    <w:name w:val="[HL8] Heading Level 8"/>
    <w:basedOn w:val="Heading8"/>
    <w:next w:val="P1-N1Paragraph1-Number1"/>
    <w:uiPriority w:val="4"/>
    <w:semiHidden/>
    <w:rsid w:val="00F71EA3"/>
    <w:pPr>
      <w:numPr>
        <w:ilvl w:val="7"/>
        <w:numId w:val="2"/>
      </w:numPr>
      <w:spacing w:before="0" w:after="160"/>
    </w:pPr>
    <w:rPr>
      <w:rFonts w:ascii="Calibri" w:hAnsi="Calibri"/>
      <w:color w:val="auto"/>
      <w:sz w:val="24"/>
      <w:u w:val="single"/>
    </w:rPr>
  </w:style>
  <w:style w:type="paragraph" w:customStyle="1" w:styleId="HL9HeadingLevel9">
    <w:name w:val="[HL9] Heading Level 9"/>
    <w:basedOn w:val="Heading9"/>
    <w:next w:val="P1-N1Paragraph1-Number1"/>
    <w:uiPriority w:val="4"/>
    <w:semiHidden/>
    <w:rsid w:val="00F71EA3"/>
    <w:pPr>
      <w:numPr>
        <w:ilvl w:val="8"/>
        <w:numId w:val="2"/>
      </w:numPr>
      <w:spacing w:before="0" w:after="160"/>
    </w:pPr>
    <w:rPr>
      <w:rFonts w:ascii="Calibri" w:hAnsi="Calibri"/>
      <w:color w:val="auto"/>
      <w:sz w:val="24"/>
    </w:rPr>
  </w:style>
  <w:style w:type="paragraph" w:customStyle="1" w:styleId="SHSectionHeading">
    <w:name w:val="[SH] Section Heading"/>
    <w:basedOn w:val="Heading1"/>
    <w:next w:val="BTBodyText"/>
    <w:link w:val="SHSectionHeadingChar"/>
    <w:uiPriority w:val="12"/>
    <w:qFormat/>
    <w:rsid w:val="00F71EA3"/>
    <w:rPr>
      <w:b w:val="0"/>
      <w:caps/>
      <w:sz w:val="24"/>
    </w:rPr>
  </w:style>
  <w:style w:type="character" w:customStyle="1" w:styleId="Heading1Char">
    <w:name w:val="Heading 1 Char"/>
    <w:basedOn w:val="DefaultParagraphFont"/>
    <w:link w:val="Heading1"/>
    <w:uiPriority w:val="2"/>
    <w:rsid w:val="00C54161"/>
    <w:rPr>
      <w:rFonts w:ascii="Calibri" w:hAnsi="Calibri" w:cs="Calibri"/>
      <w:b/>
      <w:bCs/>
      <w:smallCaps/>
      <w:kern w:val="0"/>
      <w:sz w:val="36"/>
      <w:szCs w:val="36"/>
      <w14:ligatures w14:val="none"/>
    </w:rPr>
  </w:style>
  <w:style w:type="paragraph" w:styleId="TOCHeading">
    <w:name w:val="TOC Heading"/>
    <w:basedOn w:val="Normal"/>
    <w:next w:val="Normal"/>
    <w:uiPriority w:val="39"/>
    <w:unhideWhenUsed/>
    <w:qFormat/>
    <w:rsid w:val="00F71EA3"/>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F71EA3"/>
    <w:rPr>
      <w:rFonts w:ascii="Calibri" w:eastAsiaTheme="majorEastAsia" w:hAnsi="Calibri" w:cstheme="majorBidi"/>
      <w:b w:val="0"/>
      <w:bCs/>
      <w:caps/>
      <w:smallCaps/>
      <w:color w:val="2F5496" w:themeColor="accent1" w:themeShade="BF"/>
      <w:kern w:val="0"/>
      <w:sz w:val="24"/>
      <w:szCs w:val="32"/>
      <w14:ligatures w14:val="none"/>
    </w:rPr>
  </w:style>
  <w:style w:type="paragraph" w:styleId="TOC1">
    <w:name w:val="toc 1"/>
    <w:basedOn w:val="Normal"/>
    <w:next w:val="Normal"/>
    <w:autoRedefine/>
    <w:uiPriority w:val="39"/>
    <w:unhideWhenUsed/>
    <w:rsid w:val="00F71EA3"/>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F71EA3"/>
    <w:pPr>
      <w:tabs>
        <w:tab w:val="left" w:pos="1276"/>
        <w:tab w:val="right" w:leader="dot" w:pos="9060"/>
      </w:tabs>
      <w:spacing w:before="120" w:after="100" w:line="240" w:lineRule="auto"/>
      <w:ind w:left="1276" w:hanging="851"/>
    </w:pPr>
    <w:rPr>
      <w:b/>
      <w:smallCaps/>
    </w:rPr>
  </w:style>
  <w:style w:type="character" w:styleId="Hyperlink">
    <w:name w:val="Hyperlink"/>
    <w:basedOn w:val="DefaultParagraphFont"/>
    <w:uiPriority w:val="99"/>
    <w:unhideWhenUsed/>
    <w:rsid w:val="00F71EA3"/>
    <w:rPr>
      <w:color w:val="0563C1" w:themeColor="hyperlink"/>
      <w:u w:val="single"/>
    </w:rPr>
  </w:style>
  <w:style w:type="table" w:styleId="TableGrid">
    <w:name w:val="Table Grid"/>
    <w:basedOn w:val="TableNormal"/>
    <w:uiPriority w:val="39"/>
    <w:rsid w:val="00F71EA3"/>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TableText">
    <w:name w:val="[TT] Table Text"/>
    <w:basedOn w:val="BTBodyText"/>
    <w:link w:val="TTTableTextChar"/>
    <w:uiPriority w:val="19"/>
    <w:qFormat/>
    <w:rsid w:val="00F71EA3"/>
    <w:pPr>
      <w:spacing w:before="40" w:after="40" w:line="240" w:lineRule="auto"/>
      <w:jc w:val="left"/>
    </w:pPr>
  </w:style>
  <w:style w:type="paragraph" w:customStyle="1" w:styleId="THTableHeading">
    <w:name w:val="[TH] Table Heading"/>
    <w:basedOn w:val="TTTableText"/>
    <w:link w:val="THTableHeadingChar"/>
    <w:uiPriority w:val="19"/>
    <w:qFormat/>
    <w:rsid w:val="00F71EA3"/>
    <w:rPr>
      <w:b/>
    </w:rPr>
  </w:style>
  <w:style w:type="character" w:customStyle="1" w:styleId="TTTableTextChar">
    <w:name w:val="[TT] Table Text Char"/>
    <w:basedOn w:val="BTBodyTextChar"/>
    <w:link w:val="TTTableText"/>
    <w:uiPriority w:val="19"/>
    <w:rsid w:val="00F71EA3"/>
    <w:rPr>
      <w:rFonts w:ascii="Calibri" w:hAnsi="Calibri"/>
      <w:kern w:val="0"/>
      <w:sz w:val="24"/>
      <w:szCs w:val="24"/>
      <w14:ligatures w14:val="none"/>
    </w:rPr>
  </w:style>
  <w:style w:type="character" w:customStyle="1" w:styleId="THTableHeadingChar">
    <w:name w:val="[TH] Table Heading Char"/>
    <w:basedOn w:val="TTTableTextChar"/>
    <w:link w:val="THTableHeading"/>
    <w:uiPriority w:val="19"/>
    <w:rsid w:val="00F71EA3"/>
    <w:rPr>
      <w:rFonts w:ascii="Calibri" w:hAnsi="Calibri"/>
      <w:b/>
      <w:kern w:val="0"/>
      <w:sz w:val="24"/>
      <w:szCs w:val="24"/>
      <w14:ligatures w14:val="none"/>
    </w:rPr>
  </w:style>
  <w:style w:type="paragraph" w:styleId="Header">
    <w:name w:val="header"/>
    <w:basedOn w:val="Normal"/>
    <w:link w:val="HeaderChar"/>
    <w:uiPriority w:val="99"/>
    <w:unhideWhenUsed/>
    <w:rsid w:val="00F71EA3"/>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F71EA3"/>
    <w:rPr>
      <w:rFonts w:ascii="Calibri" w:hAnsi="Calibri"/>
      <w:kern w:val="0"/>
      <w:szCs w:val="24"/>
      <w14:ligatures w14:val="none"/>
    </w:rPr>
  </w:style>
  <w:style w:type="paragraph" w:styleId="Footer">
    <w:name w:val="footer"/>
    <w:basedOn w:val="Normal"/>
    <w:link w:val="FooterChar"/>
    <w:uiPriority w:val="99"/>
    <w:unhideWhenUsed/>
    <w:rsid w:val="00F71EA3"/>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F71EA3"/>
    <w:rPr>
      <w:rFonts w:ascii="Calibri" w:hAnsi="Calibri"/>
      <w:kern w:val="0"/>
      <w:szCs w:val="24"/>
      <w14:ligatures w14:val="none"/>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rsid w:val="00F71EA3"/>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sid w:val="00F71EA3"/>
    <w:rPr>
      <w:rFonts w:ascii="Calibri" w:hAnsi="Calibri"/>
      <w:kern w:val="0"/>
      <w:sz w:val="18"/>
      <w:szCs w:val="20"/>
      <w14:ligatures w14:val="none"/>
    </w:rPr>
  </w:style>
  <w:style w:type="character" w:styleId="FootnoteReference">
    <w:name w:val="footnote reference"/>
    <w:aliases w:val="A4 Footnote Reference,Ref,de nota al pie,註腳內容,de nota al pie + (Asian) MS Mincho,11 pt,Footnote Reference1,Ref1,de nota al pie1,Style 15,註?腳Ò®é»,11 p,註?腳內—e,-E Fußnotenzeichen,註????腳內—e,f?,註??腳內—e,11,16 Point,Superscript 6 Point"/>
    <w:basedOn w:val="DefaultParagraphFont"/>
    <w:link w:val="CharChar6CharCharCharCharCharChar"/>
    <w:uiPriority w:val="5"/>
    <w:qFormat/>
    <w:rsid w:val="00F71EA3"/>
    <w:rPr>
      <w:rFonts w:ascii="Calibri" w:hAnsi="Calibri"/>
      <w:vertAlign w:val="superscript"/>
    </w:rPr>
  </w:style>
  <w:style w:type="paragraph" w:customStyle="1" w:styleId="WTODTWTODisputeTitle">
    <w:name w:val="[WTODT] WTO Dispute Title"/>
    <w:basedOn w:val="BTBodyText"/>
    <w:link w:val="WTODTWTODisputeTitleChar"/>
    <w:uiPriority w:val="27"/>
    <w:rsid w:val="00F71EA3"/>
    <w:pPr>
      <w:spacing w:line="240" w:lineRule="auto"/>
      <w:jc w:val="center"/>
    </w:pPr>
    <w:rPr>
      <w:b/>
      <w:bCs/>
      <w:smallCaps/>
      <w:sz w:val="40"/>
      <w:szCs w:val="40"/>
    </w:rPr>
  </w:style>
  <w:style w:type="paragraph" w:customStyle="1" w:styleId="DSNDSNumber">
    <w:name w:val="[DSN] DS Number"/>
    <w:basedOn w:val="BTBodyText"/>
    <w:link w:val="DSNDSNumberChar"/>
    <w:uiPriority w:val="27"/>
    <w:rsid w:val="00F71EA3"/>
    <w:pPr>
      <w:spacing w:line="240" w:lineRule="auto"/>
      <w:jc w:val="center"/>
    </w:pPr>
  </w:style>
  <w:style w:type="character" w:customStyle="1" w:styleId="WTODTWTODisputeTitleChar">
    <w:name w:val="[WTODT] WTO Dispute Title Char"/>
    <w:basedOn w:val="BTBodyTextChar"/>
    <w:link w:val="WTODTWTODisputeTitle"/>
    <w:uiPriority w:val="27"/>
    <w:rsid w:val="00F71EA3"/>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F71EA3"/>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F71EA3"/>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F71EA3"/>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F71EA3"/>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F71EA3"/>
    <w:rPr>
      <w:rFonts w:ascii="Calibri" w:hAnsi="Calibri"/>
      <w:kern w:val="0"/>
      <w:sz w:val="32"/>
      <w:szCs w:val="32"/>
      <w14:ligatures w14:val="none"/>
    </w:rPr>
  </w:style>
  <w:style w:type="paragraph" w:customStyle="1" w:styleId="CharChar6CharCharCharCharCharChar">
    <w:name w:val="Char Char6 Char Char Char Char Char Char"/>
    <w:aliases w:val="Char6 Char Char Char Char Char Char Char"/>
    <w:basedOn w:val="Normal"/>
    <w:link w:val="FootnoteReference"/>
    <w:uiPriority w:val="5"/>
    <w:qFormat/>
    <w:rsid w:val="00F71EA3"/>
    <w:pPr>
      <w:spacing w:after="240"/>
      <w:jc w:val="center"/>
    </w:pPr>
    <w:rPr>
      <w:kern w:val="2"/>
      <w:sz w:val="22"/>
      <w:szCs w:val="22"/>
      <w:vertAlign w:val="superscript"/>
      <w14:ligatures w14:val="standardContextual"/>
    </w:rPr>
  </w:style>
  <w:style w:type="character" w:customStyle="1" w:styleId="Heading2Char">
    <w:name w:val="Heading 2 Char"/>
    <w:basedOn w:val="DefaultParagraphFont"/>
    <w:link w:val="Heading2"/>
    <w:uiPriority w:val="2"/>
    <w:rsid w:val="00F77A73"/>
    <w:rPr>
      <w:rFonts w:ascii="Calibri" w:hAnsi="Calibri" w:cs="Calibri"/>
      <w:bCs/>
      <w:caps/>
      <w:smallCaps/>
      <w:kern w:val="0"/>
      <w:sz w:val="24"/>
      <w:szCs w:val="36"/>
      <w14:ligatures w14:val="none"/>
    </w:rPr>
  </w:style>
  <w:style w:type="character" w:customStyle="1" w:styleId="Heading3Char">
    <w:name w:val="Heading 3 Char"/>
    <w:basedOn w:val="DefaultParagraphFont"/>
    <w:link w:val="Heading3"/>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71EA3"/>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rsid w:val="00F71EA3"/>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F71EA3"/>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F71EA3"/>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71EA3"/>
    <w:rPr>
      <w:rFonts w:asciiTheme="majorHAnsi" w:eastAsiaTheme="majorEastAsia" w:hAnsiTheme="majorHAnsi" w:cstheme="majorBidi"/>
      <w:i/>
      <w:iCs/>
      <w:color w:val="272727" w:themeColor="text1" w:themeTint="D8"/>
      <w:kern w:val="0"/>
      <w:sz w:val="21"/>
      <w:szCs w:val="21"/>
      <w14:ligatures w14:val="none"/>
    </w:rPr>
  </w:style>
  <w:style w:type="character" w:styleId="CommentReference">
    <w:name w:val="annotation reference"/>
    <w:basedOn w:val="DefaultParagraphFont"/>
    <w:uiPriority w:val="99"/>
    <w:semiHidden/>
    <w:unhideWhenUsed/>
    <w:rsid w:val="00806D1B"/>
    <w:rPr>
      <w:sz w:val="16"/>
      <w:szCs w:val="16"/>
    </w:rPr>
  </w:style>
  <w:style w:type="paragraph" w:styleId="CommentText">
    <w:name w:val="annotation text"/>
    <w:basedOn w:val="Normal"/>
    <w:link w:val="CommentTextChar"/>
    <w:uiPriority w:val="99"/>
    <w:unhideWhenUsed/>
    <w:rsid w:val="00806D1B"/>
    <w:pPr>
      <w:spacing w:line="240" w:lineRule="auto"/>
    </w:pPr>
    <w:rPr>
      <w:sz w:val="20"/>
      <w:szCs w:val="20"/>
    </w:rPr>
  </w:style>
  <w:style w:type="character" w:customStyle="1" w:styleId="CommentTextChar">
    <w:name w:val="Comment Text Char"/>
    <w:basedOn w:val="DefaultParagraphFont"/>
    <w:link w:val="CommentText"/>
    <w:uiPriority w:val="99"/>
    <w:rsid w:val="00806D1B"/>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6D1B"/>
    <w:rPr>
      <w:b/>
      <w:bCs/>
    </w:rPr>
  </w:style>
  <w:style w:type="character" w:customStyle="1" w:styleId="CommentSubjectChar">
    <w:name w:val="Comment Subject Char"/>
    <w:basedOn w:val="CommentTextChar"/>
    <w:link w:val="CommentSubject"/>
    <w:uiPriority w:val="99"/>
    <w:semiHidden/>
    <w:rsid w:val="00806D1B"/>
    <w:rPr>
      <w:rFonts w:ascii="Calibri" w:hAnsi="Calibri"/>
      <w:b/>
      <w:bCs/>
      <w:kern w:val="0"/>
      <w:sz w:val="20"/>
      <w:szCs w:val="20"/>
      <w14:ligatures w14:val="none"/>
    </w:rPr>
  </w:style>
  <w:style w:type="paragraph" w:styleId="Revision">
    <w:name w:val="Revision"/>
    <w:hidden/>
    <w:uiPriority w:val="99"/>
    <w:semiHidden/>
    <w:rsid w:val="00671821"/>
    <w:pPr>
      <w:spacing w:after="0" w:line="240" w:lineRule="auto"/>
    </w:pPr>
    <w:rPr>
      <w:rFonts w:ascii="Calibri" w:hAnsi="Calibri"/>
      <w:kern w:val="0"/>
      <w:sz w:val="24"/>
      <w:szCs w:val="24"/>
      <w14:ligatures w14:val="none"/>
    </w:rPr>
  </w:style>
  <w:style w:type="numbering" w:customStyle="1" w:styleId="LegalHeadings">
    <w:name w:val="LegalHeadings"/>
    <w:uiPriority w:val="99"/>
    <w:rsid w:val="0012540F"/>
    <w:pPr>
      <w:numPr>
        <w:numId w:val="8"/>
      </w:numPr>
    </w:pPr>
  </w:style>
  <w:style w:type="paragraph" w:styleId="BodyText">
    <w:name w:val="Body Text"/>
    <w:basedOn w:val="Normal"/>
    <w:link w:val="BodyTextChar"/>
    <w:uiPriority w:val="1"/>
    <w:qFormat/>
    <w:rsid w:val="00072F70"/>
    <w:pPr>
      <w:spacing w:after="240" w:line="240" w:lineRule="auto"/>
    </w:pPr>
    <w:rPr>
      <w:rFonts w:ascii="Verdana" w:eastAsia="Calibri" w:hAnsi="Verdana" w:cs="Times New Roman"/>
      <w:sz w:val="18"/>
      <w:szCs w:val="22"/>
      <w:lang w:val="en-GB"/>
    </w:rPr>
  </w:style>
  <w:style w:type="character" w:customStyle="1" w:styleId="BodyTextChar">
    <w:name w:val="Body Text Char"/>
    <w:basedOn w:val="DefaultParagraphFont"/>
    <w:link w:val="BodyText"/>
    <w:uiPriority w:val="1"/>
    <w:rsid w:val="00072F70"/>
    <w:rPr>
      <w:rFonts w:ascii="Verdana" w:eastAsia="Calibri" w:hAnsi="Verdana" w:cs="Times New Roman"/>
      <w:kern w:val="0"/>
      <w:sz w:val="18"/>
      <w:lang w:val="en-GB"/>
      <w14:ligatures w14:val="none"/>
    </w:rPr>
  </w:style>
  <w:style w:type="paragraph" w:customStyle="1" w:styleId="Quotation">
    <w:name w:val="Quotation"/>
    <w:basedOn w:val="Normal"/>
    <w:uiPriority w:val="5"/>
    <w:qFormat/>
    <w:rsid w:val="00072F70"/>
    <w:pPr>
      <w:spacing w:after="240" w:line="240" w:lineRule="auto"/>
      <w:ind w:left="567" w:right="567"/>
    </w:pPr>
    <w:rPr>
      <w:rFonts w:ascii="Verdana" w:eastAsia="Calibri" w:hAnsi="Verdana" w:cs="Times New Roman"/>
      <w:sz w:val="18"/>
      <w:szCs w:val="18"/>
      <w:lang w:val="en-GB" w:eastAsia="en-GB"/>
    </w:rPr>
  </w:style>
  <w:style w:type="paragraph" w:customStyle="1" w:styleId="Panelquestion">
    <w:name w:val="Panel question"/>
    <w:basedOn w:val="Normal"/>
    <w:next w:val="Panelquestion2"/>
    <w:link w:val="PanelquestionChar"/>
    <w:qFormat/>
    <w:rsid w:val="00072F70"/>
    <w:pPr>
      <w:tabs>
        <w:tab w:val="left" w:pos="426"/>
      </w:tabs>
      <w:spacing w:before="240" w:after="240" w:line="240" w:lineRule="auto"/>
      <w:outlineLvl w:val="2"/>
    </w:pPr>
    <w:rPr>
      <w:rFonts w:ascii="Verdana" w:hAnsi="Verdana"/>
      <w:b/>
      <w:sz w:val="18"/>
      <w:szCs w:val="22"/>
      <w:lang w:val="en-GB"/>
    </w:rPr>
  </w:style>
  <w:style w:type="character" w:customStyle="1" w:styleId="PanelquestionChar">
    <w:name w:val="Panel question Char"/>
    <w:basedOn w:val="DefaultParagraphFont"/>
    <w:link w:val="Panelquestion"/>
    <w:rsid w:val="00072F70"/>
    <w:rPr>
      <w:rFonts w:ascii="Verdana" w:hAnsi="Verdana"/>
      <w:b/>
      <w:kern w:val="0"/>
      <w:sz w:val="18"/>
      <w:lang w:val="en-GB"/>
      <w14:ligatures w14:val="none"/>
    </w:rPr>
  </w:style>
  <w:style w:type="paragraph" w:customStyle="1" w:styleId="Panelquestion2">
    <w:name w:val="Panel question2"/>
    <w:basedOn w:val="BodyText2"/>
    <w:link w:val="Panelquestion2Char"/>
    <w:qFormat/>
    <w:rsid w:val="00072F70"/>
    <w:pPr>
      <w:tabs>
        <w:tab w:val="num" w:pos="360"/>
      </w:tabs>
      <w:spacing w:after="240" w:line="240" w:lineRule="auto"/>
      <w:outlineLvl w:val="3"/>
    </w:pPr>
    <w:rPr>
      <w:rFonts w:ascii="Verdana" w:eastAsia="Calibri" w:hAnsi="Verdana" w:cs="Times New Roman"/>
      <w:b/>
      <w:sz w:val="18"/>
      <w:szCs w:val="22"/>
      <w:lang w:val="en-GB"/>
    </w:rPr>
  </w:style>
  <w:style w:type="paragraph" w:styleId="BodyText2">
    <w:name w:val="Body Text 2"/>
    <w:basedOn w:val="Normal"/>
    <w:link w:val="BodyText2Char"/>
    <w:uiPriority w:val="99"/>
    <w:semiHidden/>
    <w:unhideWhenUsed/>
    <w:rsid w:val="00072F70"/>
    <w:pPr>
      <w:spacing w:after="120" w:line="480" w:lineRule="auto"/>
    </w:pPr>
  </w:style>
  <w:style w:type="character" w:customStyle="1" w:styleId="BodyText2Char">
    <w:name w:val="Body Text 2 Char"/>
    <w:basedOn w:val="DefaultParagraphFont"/>
    <w:link w:val="BodyText2"/>
    <w:uiPriority w:val="99"/>
    <w:semiHidden/>
    <w:rsid w:val="00072F70"/>
    <w:rPr>
      <w:rFonts w:ascii="Calibri" w:hAnsi="Calibri"/>
      <w:kern w:val="0"/>
      <w:sz w:val="24"/>
      <w:szCs w:val="24"/>
      <w14:ligatures w14:val="none"/>
    </w:rPr>
  </w:style>
  <w:style w:type="character" w:customStyle="1" w:styleId="Panelquestion2Char">
    <w:name w:val="Panel question2 Char"/>
    <w:basedOn w:val="BodyText2Char"/>
    <w:link w:val="Panelquestion2"/>
    <w:rsid w:val="00384DE1"/>
    <w:rPr>
      <w:rFonts w:ascii="Verdana" w:eastAsia="Calibri" w:hAnsi="Verdana" w:cs="Times New Roman"/>
      <w:b/>
      <w:kern w:val="0"/>
      <w:sz w:val="18"/>
      <w:szCs w:val="24"/>
      <w:lang w:val="en-GB"/>
      <w14:ligatures w14:val="none"/>
    </w:rPr>
  </w:style>
  <w:style w:type="paragraph" w:customStyle="1" w:styleId="Default">
    <w:name w:val="Default"/>
    <w:rsid w:val="00F64CE7"/>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ui-provider">
    <w:name w:val="ui-provider"/>
    <w:basedOn w:val="DefaultParagraphFont"/>
    <w:rsid w:val="00492309"/>
  </w:style>
  <w:style w:type="character" w:styleId="Strong">
    <w:name w:val="Strong"/>
    <w:basedOn w:val="DefaultParagraphFont"/>
    <w:uiPriority w:val="22"/>
    <w:qFormat/>
    <w:rsid w:val="00492309"/>
    <w:rPr>
      <w:b/>
      <w:bCs/>
    </w:rPr>
  </w:style>
  <w:style w:type="paragraph" w:styleId="Title">
    <w:name w:val="Title"/>
    <w:basedOn w:val="Heading1"/>
    <w:next w:val="Normal"/>
    <w:link w:val="TitleChar"/>
    <w:uiPriority w:val="10"/>
    <w:qFormat/>
    <w:rsid w:val="00C54161"/>
  </w:style>
  <w:style w:type="character" w:customStyle="1" w:styleId="TitleChar">
    <w:name w:val="Title Char"/>
    <w:basedOn w:val="DefaultParagraphFont"/>
    <w:link w:val="Title"/>
    <w:uiPriority w:val="10"/>
    <w:rsid w:val="00C54161"/>
    <w:rPr>
      <w:rFonts w:ascii="Calibri" w:hAnsi="Calibri" w:cs="Calibri"/>
      <w:b/>
      <w:bCs/>
      <w:smallCaps/>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F93E9-7975-4D87-BFB9-780EC861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1197</Words>
  <Characters>6809</Characters>
  <Application>Microsoft Office Word</Application>
  <DocSecurity>0</DocSecurity>
  <Lines>148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third party executive summary in DS617</dc:title>
  <dc:subject/>
  <dc:creator/>
  <cp:keywords>[SEC=OFFICIAL]</cp:keywords>
  <dc:description/>
  <cp:lastModifiedBy/>
  <cp:revision>1</cp:revision>
  <dcterms:created xsi:type="dcterms:W3CDTF">2024-10-24T05:13:00Z</dcterms:created>
  <dcterms:modified xsi:type="dcterms:W3CDTF">2024-10-30T01:36:00Z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v=2022.1;a=SHA256;h=76353BDA8A6E6CB8DB3B42CF041825271CD4925C50F4872F14E4F4979A20ED82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2024-10-24T05:23:19Z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FF15209881AF4F189F8F621F290004D1</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ABDABD961F8F2967E5428D1F81CCD23C</vt:lpwstr>
  </property>
  <property fmtid="{D5CDD505-2E9C-101B-9397-08002B2CF9AE}" pid="25" name="PM_Hash_Salt">
    <vt:lpwstr>7FD305AB33347B2FEB028A6D712FC517</vt:lpwstr>
  </property>
  <property fmtid="{D5CDD505-2E9C-101B-9397-08002B2CF9AE}" pid="26" name="PM_Hash_SHA1">
    <vt:lpwstr>607001EA5176E47B0F7CE6DD38AA49C892E96367</vt:lpwstr>
  </property>
  <property fmtid="{D5CDD505-2E9C-101B-9397-08002B2CF9AE}" pid="27" name="PM_SecurityClassification_Prev">
    <vt:lpwstr>OFFICIAL</vt:lpwstr>
  </property>
  <property fmtid="{D5CDD505-2E9C-101B-9397-08002B2CF9AE}" pid="28" name="PM_Qualifier_Prev">
    <vt:lpwstr/>
  </property>
</Properties>
</file>