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423C" w14:textId="77777777" w:rsidR="00F71EA3" w:rsidRPr="00AE62EF" w:rsidRDefault="00F71EA3" w:rsidP="00F71EA3">
      <w:pPr>
        <w:pStyle w:val="BTNSSBodyTextNoSpacingSmall"/>
        <w:rPr>
          <w:rFonts w:cs="Calibri"/>
          <w:sz w:val="2"/>
          <w:szCs w:val="2"/>
        </w:rPr>
      </w:pPr>
      <w:r w:rsidRPr="00AE62EF">
        <w:rPr>
          <w:rFonts w:cs="Calibri"/>
          <w:sz w:val="2"/>
          <w:szCs w:val="2"/>
        </w:rPr>
        <w:t xml:space="preserve">  </w:t>
      </w:r>
      <w:bookmarkStart w:id="0" w:name="_Hlk155771199"/>
    </w:p>
    <w:p w14:paraId="639C2696" w14:textId="208A1122" w:rsidR="00257F78" w:rsidRPr="00AE62EF" w:rsidRDefault="00257F78" w:rsidP="0012146F">
      <w:pPr>
        <w:pStyle w:val="BTBodyText"/>
        <w:spacing w:after="240"/>
        <w:jc w:val="center"/>
        <w:rPr>
          <w:rFonts w:cs="Calibri"/>
          <w:b/>
          <w:bCs/>
          <w:sz w:val="32"/>
          <w:szCs w:val="32"/>
        </w:rPr>
      </w:pPr>
      <w:bookmarkStart w:id="1" w:name="_Toc100253863"/>
      <w:bookmarkStart w:id="2" w:name="_Toc155884800"/>
      <w:r w:rsidRPr="00AE62EF">
        <w:rPr>
          <w:rFonts w:cs="Calibri"/>
          <w:b/>
          <w:bCs/>
          <w:sz w:val="32"/>
          <w:szCs w:val="32"/>
        </w:rPr>
        <w:t>Before the World Trade Organization</w:t>
      </w:r>
    </w:p>
    <w:p w14:paraId="7881312A" w14:textId="77777777" w:rsidR="00257F78" w:rsidRPr="00AE62EF" w:rsidRDefault="00257F78" w:rsidP="0012146F">
      <w:pPr>
        <w:pStyle w:val="BTBodyText"/>
        <w:spacing w:after="240"/>
        <w:jc w:val="center"/>
        <w:rPr>
          <w:rFonts w:cs="Calibri"/>
          <w:b/>
          <w:bCs/>
          <w:sz w:val="32"/>
          <w:szCs w:val="32"/>
        </w:rPr>
      </w:pPr>
      <w:r w:rsidRPr="00AE62EF">
        <w:rPr>
          <w:rFonts w:cs="Calibri"/>
          <w:b/>
          <w:bCs/>
          <w:sz w:val="32"/>
          <w:szCs w:val="32"/>
        </w:rPr>
        <w:t>Panel Proceedings</w:t>
      </w:r>
    </w:p>
    <w:p w14:paraId="0F480EF3" w14:textId="77777777" w:rsidR="00257F78" w:rsidRPr="00D8736C" w:rsidRDefault="00257F78" w:rsidP="00D8736C">
      <w:pPr>
        <w:pStyle w:val="Title"/>
        <w:spacing w:before="4000"/>
      </w:pPr>
      <w:r w:rsidRPr="00D8736C">
        <w:t>European Union – Countervailing Duties on Imports of Biodiesel from Indonesia</w:t>
      </w:r>
    </w:p>
    <w:p w14:paraId="5A7228F6" w14:textId="77777777" w:rsidR="00257F78" w:rsidRPr="00AE62EF" w:rsidRDefault="00257F78" w:rsidP="004450F3">
      <w:pPr>
        <w:pStyle w:val="DSNDSNumber"/>
        <w:rPr>
          <w:rFonts w:cs="Calibri"/>
        </w:rPr>
      </w:pPr>
      <w:r w:rsidRPr="00CF617C">
        <w:t>(DS618)</w:t>
      </w:r>
    </w:p>
    <w:p w14:paraId="689A5768" w14:textId="77777777" w:rsidR="00257F78" w:rsidRPr="00D8736C" w:rsidRDefault="00257F78" w:rsidP="00D8736C">
      <w:pPr>
        <w:pStyle w:val="Heading1"/>
        <w:spacing w:before="4000"/>
      </w:pPr>
      <w:r w:rsidRPr="00D8736C">
        <w:t xml:space="preserve">Australia's Responses to Questions from the Panel following the </w:t>
      </w:r>
      <w:proofErr w:type="gramStart"/>
      <w:r w:rsidRPr="00D8736C">
        <w:t>Third Party</w:t>
      </w:r>
      <w:proofErr w:type="gramEnd"/>
      <w:r w:rsidRPr="00D8736C">
        <w:t xml:space="preserve"> Session</w:t>
      </w:r>
    </w:p>
    <w:p w14:paraId="2BFCE92C" w14:textId="77777777" w:rsidR="00257F78" w:rsidRPr="00AE62EF" w:rsidRDefault="00257F78" w:rsidP="00D8736C">
      <w:pPr>
        <w:pStyle w:val="DDDocumentDate"/>
        <w:spacing w:before="1080"/>
        <w:rPr>
          <w:rFonts w:cs="Calibri"/>
        </w:rPr>
      </w:pPr>
      <w:r>
        <w:rPr>
          <w:rFonts w:cs="Calibri"/>
        </w:rPr>
        <w:t>28</w:t>
      </w:r>
      <w:r w:rsidRPr="00DA6839">
        <w:rPr>
          <w:rFonts w:cs="Calibri"/>
        </w:rPr>
        <w:t xml:space="preserve"> </w:t>
      </w:r>
      <w:r>
        <w:rPr>
          <w:rFonts w:cs="Calibri"/>
        </w:rPr>
        <w:t>October</w:t>
      </w:r>
      <w:r w:rsidRPr="00DA6839">
        <w:rPr>
          <w:rFonts w:cs="Calibri"/>
        </w:rPr>
        <w:t xml:space="preserve"> 2024</w:t>
      </w:r>
    </w:p>
    <w:p w14:paraId="72B5F3B3" w14:textId="77777777" w:rsidR="00F71EA3" w:rsidRPr="00AE62EF" w:rsidRDefault="00F71EA3" w:rsidP="00F71EA3">
      <w:pPr>
        <w:pStyle w:val="BTNSSBodyTextNoSpacingSmall"/>
        <w:rPr>
          <w:rFonts w:cs="Calibri"/>
        </w:rPr>
      </w:pPr>
    </w:p>
    <w:p w14:paraId="49530EB1" w14:textId="77777777" w:rsidR="00F71EA3" w:rsidRPr="00AE62EF" w:rsidRDefault="00F71EA3" w:rsidP="00F71EA3">
      <w:pPr>
        <w:pStyle w:val="BTNSSBodyTextNoSpacingSmall"/>
        <w:rPr>
          <w:rFonts w:cs="Calibri"/>
        </w:rPr>
      </w:pPr>
      <w:r w:rsidRPr="00AE62EF">
        <w:rPr>
          <w:rFonts w:cs="Calibri"/>
        </w:rPr>
        <w:br w:type="page"/>
      </w:r>
    </w:p>
    <w:p w14:paraId="251DE0E9" w14:textId="77777777" w:rsidR="00F71EA3" w:rsidRPr="00AE62EF" w:rsidRDefault="00F71EA3" w:rsidP="00265470">
      <w:bookmarkStart w:id="3" w:name="_Toc100253860"/>
    </w:p>
    <w:sdt>
      <w:sdtPr>
        <w:rPr>
          <w:rFonts w:cs="Calibri"/>
          <w:b w:val="0"/>
          <w:caps w:val="0"/>
          <w:lang w:val="en-AU"/>
        </w:rPr>
        <w:id w:val="794183329"/>
        <w:docPartObj>
          <w:docPartGallery w:val="Table of Contents"/>
          <w:docPartUnique/>
        </w:docPartObj>
      </w:sdtPr>
      <w:sdtEndPr>
        <w:rPr>
          <w:bCs/>
          <w:noProof/>
        </w:rPr>
      </w:sdtEndPr>
      <w:sdtContent>
        <w:p w14:paraId="064A016C" w14:textId="77777777" w:rsidR="00F71EA3" w:rsidRPr="00AE62EF" w:rsidRDefault="00F71EA3" w:rsidP="00F71EA3">
          <w:pPr>
            <w:pStyle w:val="TOCHeading"/>
            <w:rPr>
              <w:rFonts w:cs="Calibri"/>
            </w:rPr>
          </w:pPr>
          <w:r w:rsidRPr="00AE62EF">
            <w:rPr>
              <w:rFonts w:cs="Calibri"/>
            </w:rPr>
            <w:t>Contents</w:t>
          </w:r>
        </w:p>
        <w:p w14:paraId="218E81C4" w14:textId="6697D10E" w:rsidR="003A2980" w:rsidRDefault="00F71EA3">
          <w:pPr>
            <w:pStyle w:val="TOC1"/>
            <w:rPr>
              <w:rFonts w:asciiTheme="minorHAnsi" w:eastAsiaTheme="minorEastAsia" w:hAnsiTheme="minorHAnsi"/>
              <w:b w:val="0"/>
              <w:caps w:val="0"/>
              <w:noProof/>
              <w:kern w:val="2"/>
              <w:sz w:val="22"/>
              <w:szCs w:val="22"/>
              <w:lang w:eastAsia="en-AU"/>
              <w14:ligatures w14:val="standardContextual"/>
            </w:rPr>
          </w:pPr>
          <w:r w:rsidRPr="00AE62EF">
            <w:rPr>
              <w:rFonts w:cs="Calibri"/>
            </w:rPr>
            <w:fldChar w:fldCharType="begin"/>
          </w:r>
          <w:r w:rsidRPr="00AE62EF">
            <w:rPr>
              <w:rFonts w:cs="Calibri"/>
            </w:rPr>
            <w:instrText xml:space="preserve"> TOC \o "1-3" \h \z \u </w:instrText>
          </w:r>
          <w:r w:rsidRPr="00AE62EF">
            <w:rPr>
              <w:rFonts w:cs="Calibri"/>
            </w:rPr>
            <w:fldChar w:fldCharType="separate"/>
          </w:r>
          <w:hyperlink w:anchor="_Toc181008238" w:history="1">
            <w:r w:rsidR="003A2980" w:rsidRPr="008859FF">
              <w:rPr>
                <w:rStyle w:val="Hyperlink"/>
                <w:rFonts w:cs="Calibri"/>
                <w:noProof/>
              </w:rPr>
              <w:t>Table of Cases</w:t>
            </w:r>
            <w:r w:rsidR="003A2980">
              <w:rPr>
                <w:noProof/>
                <w:webHidden/>
              </w:rPr>
              <w:tab/>
            </w:r>
            <w:r w:rsidR="003A2980">
              <w:rPr>
                <w:noProof/>
                <w:webHidden/>
              </w:rPr>
              <w:fldChar w:fldCharType="begin"/>
            </w:r>
            <w:r w:rsidR="003A2980">
              <w:rPr>
                <w:noProof/>
                <w:webHidden/>
              </w:rPr>
              <w:instrText xml:space="preserve"> PAGEREF _Toc181008238 \h </w:instrText>
            </w:r>
            <w:r w:rsidR="003A2980">
              <w:rPr>
                <w:noProof/>
                <w:webHidden/>
              </w:rPr>
            </w:r>
            <w:r w:rsidR="003A2980">
              <w:rPr>
                <w:noProof/>
                <w:webHidden/>
              </w:rPr>
              <w:fldChar w:fldCharType="separate"/>
            </w:r>
            <w:r w:rsidR="003A2980">
              <w:rPr>
                <w:noProof/>
                <w:webHidden/>
              </w:rPr>
              <w:t>2</w:t>
            </w:r>
            <w:r w:rsidR="003A2980">
              <w:rPr>
                <w:noProof/>
                <w:webHidden/>
              </w:rPr>
              <w:fldChar w:fldCharType="end"/>
            </w:r>
          </w:hyperlink>
        </w:p>
        <w:p w14:paraId="731511C5" w14:textId="07EBF654" w:rsidR="003A2980" w:rsidRDefault="00265470">
          <w:pPr>
            <w:pStyle w:val="TOC1"/>
            <w:rPr>
              <w:rFonts w:asciiTheme="minorHAnsi" w:eastAsiaTheme="minorEastAsia" w:hAnsiTheme="minorHAnsi"/>
              <w:b w:val="0"/>
              <w:caps w:val="0"/>
              <w:noProof/>
              <w:kern w:val="2"/>
              <w:sz w:val="22"/>
              <w:szCs w:val="22"/>
              <w:lang w:eastAsia="en-AU"/>
              <w14:ligatures w14:val="standardContextual"/>
            </w:rPr>
          </w:pPr>
          <w:hyperlink w:anchor="_Toc181008239" w:history="1">
            <w:r w:rsidR="003A2980" w:rsidRPr="008859FF">
              <w:rPr>
                <w:rStyle w:val="Hyperlink"/>
                <w:rFonts w:cs="Calibri"/>
                <w:noProof/>
              </w:rPr>
              <w:t>List of Acronyms, Abbreviations and Short Forms</w:t>
            </w:r>
            <w:r w:rsidR="003A2980">
              <w:rPr>
                <w:noProof/>
                <w:webHidden/>
              </w:rPr>
              <w:tab/>
            </w:r>
            <w:r w:rsidR="003A2980">
              <w:rPr>
                <w:noProof/>
                <w:webHidden/>
              </w:rPr>
              <w:fldChar w:fldCharType="begin"/>
            </w:r>
            <w:r w:rsidR="003A2980">
              <w:rPr>
                <w:noProof/>
                <w:webHidden/>
              </w:rPr>
              <w:instrText xml:space="preserve"> PAGEREF _Toc181008239 \h </w:instrText>
            </w:r>
            <w:r w:rsidR="003A2980">
              <w:rPr>
                <w:noProof/>
                <w:webHidden/>
              </w:rPr>
            </w:r>
            <w:r w:rsidR="003A2980">
              <w:rPr>
                <w:noProof/>
                <w:webHidden/>
              </w:rPr>
              <w:fldChar w:fldCharType="separate"/>
            </w:r>
            <w:r w:rsidR="003A2980">
              <w:rPr>
                <w:noProof/>
                <w:webHidden/>
              </w:rPr>
              <w:t>2</w:t>
            </w:r>
            <w:r w:rsidR="003A2980">
              <w:rPr>
                <w:noProof/>
                <w:webHidden/>
              </w:rPr>
              <w:fldChar w:fldCharType="end"/>
            </w:r>
          </w:hyperlink>
        </w:p>
        <w:p w14:paraId="0A579D0B" w14:textId="2D02690D" w:rsidR="003A2980" w:rsidRDefault="00265470">
          <w:pPr>
            <w:pStyle w:val="TOC1"/>
            <w:rPr>
              <w:rFonts w:asciiTheme="minorHAnsi" w:eastAsiaTheme="minorEastAsia" w:hAnsiTheme="minorHAnsi"/>
              <w:b w:val="0"/>
              <w:caps w:val="0"/>
              <w:noProof/>
              <w:kern w:val="2"/>
              <w:sz w:val="22"/>
              <w:szCs w:val="22"/>
              <w:lang w:eastAsia="en-AU"/>
              <w14:ligatures w14:val="standardContextual"/>
            </w:rPr>
          </w:pPr>
          <w:hyperlink w:anchor="_Toc181008240" w:history="1">
            <w:r w:rsidR="003A2980" w:rsidRPr="008859FF">
              <w:rPr>
                <w:rStyle w:val="Hyperlink"/>
                <w:rFonts w:cs="Calibri"/>
                <w:noProof/>
              </w:rPr>
              <w:t>Question 5</w:t>
            </w:r>
            <w:r w:rsidR="003A2980">
              <w:rPr>
                <w:noProof/>
                <w:webHidden/>
              </w:rPr>
              <w:tab/>
            </w:r>
            <w:r w:rsidR="003A2980">
              <w:rPr>
                <w:noProof/>
                <w:webHidden/>
              </w:rPr>
              <w:fldChar w:fldCharType="begin"/>
            </w:r>
            <w:r w:rsidR="003A2980">
              <w:rPr>
                <w:noProof/>
                <w:webHidden/>
              </w:rPr>
              <w:instrText xml:space="preserve"> PAGEREF _Toc181008240 \h </w:instrText>
            </w:r>
            <w:r w:rsidR="003A2980">
              <w:rPr>
                <w:noProof/>
                <w:webHidden/>
              </w:rPr>
            </w:r>
            <w:r w:rsidR="003A2980">
              <w:rPr>
                <w:noProof/>
                <w:webHidden/>
              </w:rPr>
              <w:fldChar w:fldCharType="separate"/>
            </w:r>
            <w:r w:rsidR="003A2980">
              <w:rPr>
                <w:noProof/>
                <w:webHidden/>
              </w:rPr>
              <w:t>3</w:t>
            </w:r>
            <w:r w:rsidR="003A2980">
              <w:rPr>
                <w:noProof/>
                <w:webHidden/>
              </w:rPr>
              <w:fldChar w:fldCharType="end"/>
            </w:r>
          </w:hyperlink>
        </w:p>
        <w:p w14:paraId="5E3066D1" w14:textId="1F965D10" w:rsidR="003A2980" w:rsidRDefault="00265470">
          <w:pPr>
            <w:pStyle w:val="TOC1"/>
            <w:rPr>
              <w:rFonts w:asciiTheme="minorHAnsi" w:eastAsiaTheme="minorEastAsia" w:hAnsiTheme="minorHAnsi"/>
              <w:b w:val="0"/>
              <w:caps w:val="0"/>
              <w:noProof/>
              <w:kern w:val="2"/>
              <w:sz w:val="22"/>
              <w:szCs w:val="22"/>
              <w:lang w:eastAsia="en-AU"/>
              <w14:ligatures w14:val="standardContextual"/>
            </w:rPr>
          </w:pPr>
          <w:hyperlink w:anchor="_Toc181008241" w:history="1">
            <w:r w:rsidR="003A2980" w:rsidRPr="008859FF">
              <w:rPr>
                <w:rStyle w:val="Hyperlink"/>
                <w:rFonts w:cs="Calibri"/>
                <w:noProof/>
              </w:rPr>
              <w:t>Question 6</w:t>
            </w:r>
            <w:r w:rsidR="003A2980">
              <w:rPr>
                <w:noProof/>
                <w:webHidden/>
              </w:rPr>
              <w:tab/>
            </w:r>
            <w:r w:rsidR="003A2980">
              <w:rPr>
                <w:noProof/>
                <w:webHidden/>
              </w:rPr>
              <w:fldChar w:fldCharType="begin"/>
            </w:r>
            <w:r w:rsidR="003A2980">
              <w:rPr>
                <w:noProof/>
                <w:webHidden/>
              </w:rPr>
              <w:instrText xml:space="preserve"> PAGEREF _Toc181008241 \h </w:instrText>
            </w:r>
            <w:r w:rsidR="003A2980">
              <w:rPr>
                <w:noProof/>
                <w:webHidden/>
              </w:rPr>
            </w:r>
            <w:r w:rsidR="003A2980">
              <w:rPr>
                <w:noProof/>
                <w:webHidden/>
              </w:rPr>
              <w:fldChar w:fldCharType="separate"/>
            </w:r>
            <w:r w:rsidR="003A2980">
              <w:rPr>
                <w:noProof/>
                <w:webHidden/>
              </w:rPr>
              <w:t>4</w:t>
            </w:r>
            <w:r w:rsidR="003A2980">
              <w:rPr>
                <w:noProof/>
                <w:webHidden/>
              </w:rPr>
              <w:fldChar w:fldCharType="end"/>
            </w:r>
          </w:hyperlink>
        </w:p>
        <w:p w14:paraId="01E54622" w14:textId="7356B48E" w:rsidR="003A2980" w:rsidRDefault="00265470">
          <w:pPr>
            <w:pStyle w:val="TOC1"/>
            <w:rPr>
              <w:rFonts w:asciiTheme="minorHAnsi" w:eastAsiaTheme="minorEastAsia" w:hAnsiTheme="minorHAnsi"/>
              <w:b w:val="0"/>
              <w:caps w:val="0"/>
              <w:noProof/>
              <w:kern w:val="2"/>
              <w:sz w:val="22"/>
              <w:szCs w:val="22"/>
              <w:lang w:eastAsia="en-AU"/>
              <w14:ligatures w14:val="standardContextual"/>
            </w:rPr>
          </w:pPr>
          <w:hyperlink w:anchor="_Toc181008242" w:history="1">
            <w:r w:rsidR="003A2980" w:rsidRPr="008859FF">
              <w:rPr>
                <w:rStyle w:val="Hyperlink"/>
                <w:rFonts w:cs="Calibri"/>
                <w:noProof/>
              </w:rPr>
              <w:t>Question 7</w:t>
            </w:r>
            <w:r w:rsidR="003A2980">
              <w:rPr>
                <w:noProof/>
                <w:webHidden/>
              </w:rPr>
              <w:tab/>
            </w:r>
            <w:r w:rsidR="003A2980">
              <w:rPr>
                <w:noProof/>
                <w:webHidden/>
              </w:rPr>
              <w:fldChar w:fldCharType="begin"/>
            </w:r>
            <w:r w:rsidR="003A2980">
              <w:rPr>
                <w:noProof/>
                <w:webHidden/>
              </w:rPr>
              <w:instrText xml:space="preserve"> PAGEREF _Toc181008242 \h </w:instrText>
            </w:r>
            <w:r w:rsidR="003A2980">
              <w:rPr>
                <w:noProof/>
                <w:webHidden/>
              </w:rPr>
            </w:r>
            <w:r w:rsidR="003A2980">
              <w:rPr>
                <w:noProof/>
                <w:webHidden/>
              </w:rPr>
              <w:fldChar w:fldCharType="separate"/>
            </w:r>
            <w:r w:rsidR="003A2980">
              <w:rPr>
                <w:noProof/>
                <w:webHidden/>
              </w:rPr>
              <w:t>4</w:t>
            </w:r>
            <w:r w:rsidR="003A2980">
              <w:rPr>
                <w:noProof/>
                <w:webHidden/>
              </w:rPr>
              <w:fldChar w:fldCharType="end"/>
            </w:r>
          </w:hyperlink>
        </w:p>
        <w:p w14:paraId="53C03089" w14:textId="5438CB2E" w:rsidR="003A2980" w:rsidRDefault="00265470">
          <w:pPr>
            <w:pStyle w:val="TOC1"/>
            <w:rPr>
              <w:rFonts w:asciiTheme="minorHAnsi" w:eastAsiaTheme="minorEastAsia" w:hAnsiTheme="minorHAnsi"/>
              <w:b w:val="0"/>
              <w:caps w:val="0"/>
              <w:noProof/>
              <w:kern w:val="2"/>
              <w:sz w:val="22"/>
              <w:szCs w:val="22"/>
              <w:lang w:eastAsia="en-AU"/>
              <w14:ligatures w14:val="standardContextual"/>
            </w:rPr>
          </w:pPr>
          <w:hyperlink w:anchor="_Toc181008243" w:history="1">
            <w:r w:rsidR="003A2980" w:rsidRPr="008859FF">
              <w:rPr>
                <w:rStyle w:val="Hyperlink"/>
                <w:noProof/>
              </w:rPr>
              <w:t>Question 11</w:t>
            </w:r>
            <w:r w:rsidR="003A2980">
              <w:rPr>
                <w:noProof/>
                <w:webHidden/>
              </w:rPr>
              <w:tab/>
            </w:r>
            <w:r w:rsidR="003A2980">
              <w:rPr>
                <w:noProof/>
                <w:webHidden/>
              </w:rPr>
              <w:fldChar w:fldCharType="begin"/>
            </w:r>
            <w:r w:rsidR="003A2980">
              <w:rPr>
                <w:noProof/>
                <w:webHidden/>
              </w:rPr>
              <w:instrText xml:space="preserve"> PAGEREF _Toc181008243 \h </w:instrText>
            </w:r>
            <w:r w:rsidR="003A2980">
              <w:rPr>
                <w:noProof/>
                <w:webHidden/>
              </w:rPr>
            </w:r>
            <w:r w:rsidR="003A2980">
              <w:rPr>
                <w:noProof/>
                <w:webHidden/>
              </w:rPr>
              <w:fldChar w:fldCharType="separate"/>
            </w:r>
            <w:r w:rsidR="003A2980">
              <w:rPr>
                <w:noProof/>
                <w:webHidden/>
              </w:rPr>
              <w:t>5</w:t>
            </w:r>
            <w:r w:rsidR="003A2980">
              <w:rPr>
                <w:noProof/>
                <w:webHidden/>
              </w:rPr>
              <w:fldChar w:fldCharType="end"/>
            </w:r>
          </w:hyperlink>
        </w:p>
        <w:p w14:paraId="164A586C" w14:textId="0F12DBBB" w:rsidR="00F7455F" w:rsidRDefault="00F71EA3" w:rsidP="00F71EA3">
          <w:pPr>
            <w:rPr>
              <w:rFonts w:cs="Calibri"/>
              <w:b/>
              <w:bCs/>
              <w:noProof/>
            </w:rPr>
          </w:pPr>
          <w:r w:rsidRPr="00AE62EF">
            <w:rPr>
              <w:rFonts w:cs="Calibri"/>
              <w:b/>
              <w:bCs/>
              <w:noProof/>
            </w:rPr>
            <w:fldChar w:fldCharType="end"/>
          </w:r>
        </w:p>
        <w:p w14:paraId="2C9F3A25" w14:textId="77777777" w:rsidR="00575516" w:rsidRPr="00F71EA3" w:rsidRDefault="00575516" w:rsidP="00D8736C">
          <w:pPr>
            <w:pStyle w:val="SHSectionHeading"/>
          </w:pPr>
          <w:bookmarkStart w:id="4" w:name="_Toc181008238"/>
          <w:r w:rsidRPr="00F71EA3">
            <w:t>Table of Cases</w:t>
          </w:r>
          <w:bookmarkEnd w:id="4"/>
        </w:p>
        <w:tbl>
          <w:tblPr>
            <w:tblStyle w:val="TableGrid"/>
            <w:tblW w:w="5000" w:type="pct"/>
            <w:tblLook w:val="04A0" w:firstRow="1" w:lastRow="0" w:firstColumn="1" w:lastColumn="0" w:noHBand="0" w:noVBand="1"/>
          </w:tblPr>
          <w:tblGrid>
            <w:gridCol w:w="2265"/>
            <w:gridCol w:w="6795"/>
          </w:tblGrid>
          <w:tr w:rsidR="00575516" w:rsidRPr="00AE62EF" w14:paraId="651EE5CC" w14:textId="77777777" w:rsidTr="00E3561C">
            <w:trPr>
              <w:cantSplit/>
              <w:trHeight w:val="397"/>
              <w:tblHeader/>
            </w:trPr>
            <w:tc>
              <w:tcPr>
                <w:tcW w:w="2265" w:type="dxa"/>
                <w:shd w:val="clear" w:color="auto" w:fill="D9D9D9" w:themeFill="background1" w:themeFillShade="D9"/>
              </w:tcPr>
              <w:p w14:paraId="73865DA7" w14:textId="77777777" w:rsidR="00575516" w:rsidRPr="00AE62EF" w:rsidRDefault="00575516" w:rsidP="00E3561C">
                <w:pPr>
                  <w:pStyle w:val="THTableHeading"/>
                  <w:jc w:val="center"/>
                  <w:rPr>
                    <w:rFonts w:cs="Calibri"/>
                  </w:rPr>
                </w:pPr>
                <w:r w:rsidRPr="00AE62EF">
                  <w:rPr>
                    <w:rFonts w:cs="Calibri"/>
                  </w:rPr>
                  <w:t>Short Title</w:t>
                </w:r>
              </w:p>
            </w:tc>
            <w:tc>
              <w:tcPr>
                <w:tcW w:w="6795" w:type="dxa"/>
                <w:shd w:val="clear" w:color="auto" w:fill="D9D9D9" w:themeFill="background1" w:themeFillShade="D9"/>
              </w:tcPr>
              <w:p w14:paraId="04C3C310" w14:textId="77777777" w:rsidR="00575516" w:rsidRPr="00AE62EF" w:rsidRDefault="00575516" w:rsidP="00E3561C">
                <w:pPr>
                  <w:pStyle w:val="THTableHeading"/>
                  <w:jc w:val="center"/>
                  <w:rPr>
                    <w:rFonts w:cs="Calibri"/>
                  </w:rPr>
                </w:pPr>
                <w:r w:rsidRPr="00AE62EF">
                  <w:rPr>
                    <w:rFonts w:cs="Calibri"/>
                  </w:rPr>
                  <w:t>Full Case Title and Citation</w:t>
                </w:r>
              </w:p>
            </w:tc>
          </w:tr>
          <w:tr w:rsidR="00575516" w:rsidRPr="00AE62EF" w14:paraId="32C3E0BC" w14:textId="77777777" w:rsidTr="00E3561C">
            <w:trPr>
              <w:cantSplit/>
              <w:trHeight w:val="397"/>
            </w:trPr>
            <w:tc>
              <w:tcPr>
                <w:tcW w:w="2265" w:type="dxa"/>
              </w:tcPr>
              <w:p w14:paraId="6D62AAA8" w14:textId="24F9DE53" w:rsidR="00575516" w:rsidRPr="00AE62EF" w:rsidRDefault="0066472A" w:rsidP="00E3561C">
                <w:pPr>
                  <w:pStyle w:val="TTTableText"/>
                  <w:rPr>
                    <w:rFonts w:cs="Calibri"/>
                    <w:i/>
                    <w:iCs/>
                  </w:rPr>
                </w:pPr>
                <w:r>
                  <w:rPr>
                    <w:rFonts w:cs="Calibri"/>
                    <w:i/>
                    <w:iCs/>
                  </w:rPr>
                  <w:t>Korea – Commercial Vessels</w:t>
                </w:r>
              </w:p>
            </w:tc>
            <w:tc>
              <w:tcPr>
                <w:tcW w:w="6795" w:type="dxa"/>
              </w:tcPr>
              <w:p w14:paraId="7D39F047" w14:textId="469B27F0" w:rsidR="00575516" w:rsidRPr="00AE62EF" w:rsidRDefault="00DC7AA1" w:rsidP="00E3561C">
                <w:pPr>
                  <w:pStyle w:val="TTTableText"/>
                  <w:rPr>
                    <w:rFonts w:cs="Calibri"/>
                  </w:rPr>
                </w:pPr>
                <w:r w:rsidRPr="00DC7AA1">
                  <w:rPr>
                    <w:rFonts w:cs="Calibri"/>
                  </w:rPr>
                  <w:t xml:space="preserve">Panel Report, </w:t>
                </w:r>
                <w:r w:rsidRPr="00DC7AA1">
                  <w:rPr>
                    <w:rFonts w:cs="Calibri"/>
                    <w:i/>
                  </w:rPr>
                  <w:t>Korea – Measures Affecting Trade in Commercial Vessels</w:t>
                </w:r>
                <w:r w:rsidRPr="00DC7AA1">
                  <w:rPr>
                    <w:rFonts w:cs="Calibri"/>
                  </w:rPr>
                  <w:t xml:space="preserve">, </w:t>
                </w:r>
                <w:hyperlink r:id="rId8" w:history="1">
                  <w:r w:rsidRPr="00DC7AA1">
                    <w:rPr>
                      <w:rStyle w:val="Hyperlink"/>
                      <w:rFonts w:cs="Calibri"/>
                    </w:rPr>
                    <w:t>WT/DS273/R</w:t>
                  </w:r>
                </w:hyperlink>
                <w:r w:rsidRPr="00DC7AA1">
                  <w:rPr>
                    <w:rFonts w:cs="Calibri"/>
                  </w:rPr>
                  <w:t>, adopted 11 April 2005, DSR 2005:VII, p. 2749</w:t>
                </w:r>
              </w:p>
            </w:tc>
          </w:tr>
          <w:tr w:rsidR="00DD420F" w:rsidRPr="00AE62EF" w14:paraId="2D8BADD9" w14:textId="77777777" w:rsidTr="00E3561C">
            <w:trPr>
              <w:cantSplit/>
              <w:trHeight w:val="397"/>
            </w:trPr>
            <w:tc>
              <w:tcPr>
                <w:tcW w:w="2265" w:type="dxa"/>
              </w:tcPr>
              <w:p w14:paraId="192F69D3" w14:textId="6EDC359B" w:rsidR="00DD420F" w:rsidRPr="00DD420F" w:rsidRDefault="00DD420F" w:rsidP="00DD420F">
                <w:pPr>
                  <w:pStyle w:val="TTTableText"/>
                  <w:rPr>
                    <w:rFonts w:cs="Calibri"/>
                    <w:i/>
                    <w:iCs/>
                  </w:rPr>
                </w:pPr>
                <w:r>
                  <w:rPr>
                    <w:i/>
                    <w:iCs/>
                  </w:rPr>
                  <w:t>US – Countervailing Duty Investigation on DRAMS</w:t>
                </w:r>
              </w:p>
            </w:tc>
            <w:tc>
              <w:tcPr>
                <w:tcW w:w="6795" w:type="dxa"/>
              </w:tcPr>
              <w:p w14:paraId="4AFB80DE" w14:textId="411E9BF3" w:rsidR="00DD420F" w:rsidRDefault="00C227A5" w:rsidP="00E3561C">
                <w:pPr>
                  <w:pStyle w:val="TTTableText"/>
                  <w:rPr>
                    <w:rFonts w:cs="Calibri"/>
                  </w:rPr>
                </w:pPr>
                <w:r w:rsidRPr="00C227A5">
                  <w:rPr>
                    <w:rFonts w:cs="Calibri"/>
                  </w:rPr>
                  <w:t xml:space="preserve">Appellate Body Report, </w:t>
                </w:r>
                <w:r w:rsidRPr="00C227A5">
                  <w:rPr>
                    <w:rFonts w:cs="Calibri"/>
                    <w:i/>
                  </w:rPr>
                  <w:t>United States – Countervailing Duty Investigation on Dynamic Random Access Memory Semiconductors (DRAMS) from Korea</w:t>
                </w:r>
                <w:r w:rsidRPr="00C227A5">
                  <w:rPr>
                    <w:rFonts w:cs="Calibri"/>
                  </w:rPr>
                  <w:t xml:space="preserve">, </w:t>
                </w:r>
                <w:hyperlink r:id="rId9" w:history="1">
                  <w:r w:rsidRPr="00C227A5">
                    <w:rPr>
                      <w:rStyle w:val="Hyperlink"/>
                      <w:rFonts w:cs="Calibri"/>
                    </w:rPr>
                    <w:t>WT/DS296/AB/R</w:t>
                  </w:r>
                </w:hyperlink>
                <w:r w:rsidRPr="00C227A5">
                  <w:rPr>
                    <w:rFonts w:cs="Calibri"/>
                  </w:rPr>
                  <w:t>, adopted 20 July 2005, DSR 2005:XVI, p. 8131</w:t>
                </w:r>
              </w:p>
            </w:tc>
          </w:tr>
          <w:tr w:rsidR="00575516" w:rsidRPr="00AE62EF" w14:paraId="1FC043F2" w14:textId="77777777" w:rsidTr="00E3561C">
            <w:trPr>
              <w:cantSplit/>
              <w:trHeight w:val="397"/>
            </w:trPr>
            <w:tc>
              <w:tcPr>
                <w:tcW w:w="2265" w:type="dxa"/>
              </w:tcPr>
              <w:p w14:paraId="1F915967" w14:textId="6D36F8D3" w:rsidR="00575516" w:rsidRPr="00AE62EF" w:rsidRDefault="00DD420F" w:rsidP="00DD420F">
                <w:pPr>
                  <w:pStyle w:val="TTTableText"/>
                  <w:rPr>
                    <w:rFonts w:cs="Calibri"/>
                    <w:i/>
                    <w:iCs/>
                  </w:rPr>
                </w:pPr>
                <w:r w:rsidRPr="00DD420F">
                  <w:rPr>
                    <w:rFonts w:cs="Calibri"/>
                    <w:i/>
                    <w:iCs/>
                  </w:rPr>
                  <w:t>US – Export Restraints</w:t>
                </w:r>
              </w:p>
            </w:tc>
            <w:tc>
              <w:tcPr>
                <w:tcW w:w="6795" w:type="dxa"/>
              </w:tcPr>
              <w:p w14:paraId="261F7460" w14:textId="7DFCE823" w:rsidR="00575516" w:rsidRPr="00AE62EF" w:rsidRDefault="00076908" w:rsidP="00E3561C">
                <w:pPr>
                  <w:pStyle w:val="TTTableText"/>
                  <w:rPr>
                    <w:rFonts w:cs="Calibri"/>
                  </w:rPr>
                </w:pPr>
                <w:r w:rsidRPr="00076908">
                  <w:rPr>
                    <w:rFonts w:cs="Calibri"/>
                  </w:rPr>
                  <w:t xml:space="preserve">Panel Report, </w:t>
                </w:r>
                <w:r w:rsidRPr="00076908">
                  <w:rPr>
                    <w:rFonts w:cs="Calibri"/>
                    <w:i/>
                  </w:rPr>
                  <w:t>United States – Measures Treating Exports Restraints as Subsidies</w:t>
                </w:r>
                <w:r w:rsidRPr="00076908">
                  <w:rPr>
                    <w:rFonts w:cs="Calibri"/>
                  </w:rPr>
                  <w:t xml:space="preserve">, </w:t>
                </w:r>
                <w:hyperlink r:id="rId10" w:history="1">
                  <w:r w:rsidRPr="00076908">
                    <w:rPr>
                      <w:rStyle w:val="Hyperlink"/>
                      <w:rFonts w:cs="Calibri"/>
                      <w:bCs/>
                    </w:rPr>
                    <w:t>WT/DS194/R</w:t>
                  </w:r>
                </w:hyperlink>
                <w:r w:rsidRPr="00076908">
                  <w:rPr>
                    <w:rFonts w:cs="Calibri"/>
                  </w:rPr>
                  <w:t xml:space="preserve"> and </w:t>
                </w:r>
                <w:r w:rsidRPr="00076908">
                  <w:rPr>
                    <w:rFonts w:cs="Calibri"/>
                    <w:bCs/>
                  </w:rPr>
                  <w:t>Corr.2</w:t>
                </w:r>
                <w:r w:rsidRPr="00076908">
                  <w:rPr>
                    <w:rFonts w:cs="Calibri"/>
                  </w:rPr>
                  <w:t>, adopted 23 August 2001, DSR 2001:XI, p. 5767</w:t>
                </w:r>
              </w:p>
            </w:tc>
          </w:tr>
          <w:tr w:rsidR="00C7681E" w:rsidRPr="00AE62EF" w14:paraId="26E13509" w14:textId="77777777" w:rsidTr="00E3561C">
            <w:trPr>
              <w:cantSplit/>
              <w:trHeight w:val="397"/>
            </w:trPr>
            <w:tc>
              <w:tcPr>
                <w:tcW w:w="2265" w:type="dxa"/>
              </w:tcPr>
              <w:p w14:paraId="37558FF5" w14:textId="6A7C56EF" w:rsidR="00C7681E" w:rsidRPr="00DD420F" w:rsidRDefault="00C7681E" w:rsidP="00C7681E">
                <w:pPr>
                  <w:pStyle w:val="TTTableText"/>
                  <w:rPr>
                    <w:rFonts w:cs="Calibri"/>
                    <w:i/>
                    <w:iCs/>
                  </w:rPr>
                </w:pPr>
                <w:r w:rsidRPr="004009E5">
                  <w:rPr>
                    <w:bCs/>
                    <w:i/>
                    <w:iCs/>
                    <w:lang w:val="en-GB"/>
                  </w:rPr>
                  <w:t>US – Hot Rolled Steel</w:t>
                </w:r>
                <w:r w:rsidRPr="004009E5">
                  <w:rPr>
                    <w:bCs/>
                    <w:lang w:val="en-GB"/>
                  </w:rPr>
                  <w:t xml:space="preserve"> </w:t>
                </w:r>
              </w:p>
            </w:tc>
            <w:tc>
              <w:tcPr>
                <w:tcW w:w="6795" w:type="dxa"/>
              </w:tcPr>
              <w:p w14:paraId="68808E55" w14:textId="7FA0BEAB" w:rsidR="00C7681E" w:rsidRPr="00A710F9" w:rsidRDefault="00A710F9" w:rsidP="00C7681E">
                <w:pPr>
                  <w:pStyle w:val="TTTableText"/>
                  <w:rPr>
                    <w:rFonts w:cs="Calibri"/>
                  </w:rPr>
                </w:pPr>
                <w:r w:rsidRPr="00A710F9">
                  <w:rPr>
                    <w:rFonts w:cs="Calibri"/>
                  </w:rPr>
                  <w:t xml:space="preserve">Appellate Body Report, </w:t>
                </w:r>
                <w:r w:rsidRPr="00A710F9">
                  <w:rPr>
                    <w:rFonts w:cs="Calibri"/>
                    <w:i/>
                  </w:rPr>
                  <w:t>United States – Anti</w:t>
                </w:r>
                <w:r w:rsidRPr="00A710F9">
                  <w:rPr>
                    <w:rFonts w:cs="Calibri"/>
                    <w:i/>
                  </w:rPr>
                  <w:noBreakHyphen/>
                  <w:t>Dumping Measures on Certain Hot-Rolled Steel Products from Japan</w:t>
                </w:r>
                <w:r w:rsidRPr="00A710F9">
                  <w:rPr>
                    <w:rFonts w:cs="Calibri"/>
                  </w:rPr>
                  <w:t xml:space="preserve">, </w:t>
                </w:r>
                <w:hyperlink r:id="rId11" w:history="1">
                  <w:r w:rsidRPr="00A710F9">
                    <w:rPr>
                      <w:rStyle w:val="Hyperlink"/>
                      <w:rFonts w:cs="Calibri"/>
                    </w:rPr>
                    <w:t>WT/DS184/AB/R</w:t>
                  </w:r>
                </w:hyperlink>
                <w:r w:rsidRPr="00A710F9">
                  <w:rPr>
                    <w:rFonts w:cs="Calibri"/>
                  </w:rPr>
                  <w:t>, adopted 23 August 2001, DSR 2001:X, p. 4697</w:t>
                </w:r>
              </w:p>
            </w:tc>
          </w:tr>
        </w:tbl>
        <w:p w14:paraId="2DFB4FD1" w14:textId="77777777" w:rsidR="00575516" w:rsidRPr="00AE62EF" w:rsidRDefault="00575516" w:rsidP="00575516">
          <w:pPr>
            <w:pStyle w:val="BTNSSBodyTextNoSpacingSmall"/>
            <w:rPr>
              <w:rFonts w:cs="Calibri"/>
            </w:rPr>
          </w:pPr>
        </w:p>
        <w:p w14:paraId="304E317E" w14:textId="5998FCCB" w:rsidR="00F7455F" w:rsidRPr="00F71EA3" w:rsidRDefault="00076908" w:rsidP="00D8736C">
          <w:pPr>
            <w:pStyle w:val="SHSectionHeading"/>
          </w:pPr>
          <w:bookmarkStart w:id="5" w:name="_Toc163465779"/>
          <w:r>
            <w:br/>
          </w:r>
          <w:bookmarkStart w:id="6" w:name="_Toc181008239"/>
          <w:r w:rsidR="00F7455F" w:rsidRPr="00F71EA3">
            <w:t>List of Acronyms, Abbreviations and Short Forms</w:t>
          </w:r>
          <w:bookmarkEnd w:id="5"/>
          <w:bookmarkEnd w:id="6"/>
        </w:p>
        <w:tbl>
          <w:tblPr>
            <w:tblStyle w:val="TableGrid"/>
            <w:tblW w:w="5000" w:type="pct"/>
            <w:tblLook w:val="04A0" w:firstRow="1" w:lastRow="0" w:firstColumn="1" w:lastColumn="0" w:noHBand="0" w:noVBand="1"/>
          </w:tblPr>
          <w:tblGrid>
            <w:gridCol w:w="2251"/>
            <w:gridCol w:w="6809"/>
          </w:tblGrid>
          <w:tr w:rsidR="00F7455F" w:rsidRPr="00AE62EF" w14:paraId="7FDC6445" w14:textId="77777777" w:rsidTr="00E3561C">
            <w:trPr>
              <w:cantSplit/>
              <w:trHeight w:val="397"/>
              <w:tblHeader/>
            </w:trPr>
            <w:tc>
              <w:tcPr>
                <w:tcW w:w="2251" w:type="dxa"/>
                <w:shd w:val="clear" w:color="auto" w:fill="D9D9D9" w:themeFill="background1" w:themeFillShade="D9"/>
              </w:tcPr>
              <w:p w14:paraId="42CD71E9" w14:textId="77777777" w:rsidR="00F7455F" w:rsidRPr="00AE62EF" w:rsidRDefault="00F7455F" w:rsidP="00E3561C">
                <w:pPr>
                  <w:pStyle w:val="THTableHeading"/>
                  <w:jc w:val="center"/>
                  <w:rPr>
                    <w:rFonts w:cs="Calibri"/>
                  </w:rPr>
                </w:pPr>
                <w:r w:rsidRPr="00AE62EF">
                  <w:rPr>
                    <w:rFonts w:cs="Calibri"/>
                  </w:rPr>
                  <w:t>Abbreviation</w:t>
                </w:r>
              </w:p>
            </w:tc>
            <w:tc>
              <w:tcPr>
                <w:tcW w:w="6809" w:type="dxa"/>
                <w:shd w:val="clear" w:color="auto" w:fill="D9D9D9" w:themeFill="background1" w:themeFillShade="D9"/>
              </w:tcPr>
              <w:p w14:paraId="5E97C7E4" w14:textId="77777777" w:rsidR="00F7455F" w:rsidRPr="00AE62EF" w:rsidRDefault="00F7455F" w:rsidP="00E3561C">
                <w:pPr>
                  <w:pStyle w:val="THTableHeading"/>
                  <w:jc w:val="center"/>
                  <w:rPr>
                    <w:rFonts w:cs="Calibri"/>
                  </w:rPr>
                </w:pPr>
                <w:r w:rsidRPr="00AE62EF">
                  <w:rPr>
                    <w:rFonts w:cs="Calibri"/>
                  </w:rPr>
                  <w:t>Full Form or Description</w:t>
                </w:r>
              </w:p>
            </w:tc>
          </w:tr>
          <w:tr w:rsidR="00F7455F" w:rsidRPr="00AE62EF" w14:paraId="2CA66993" w14:textId="77777777" w:rsidTr="00E3561C">
            <w:trPr>
              <w:cantSplit/>
              <w:trHeight w:val="397"/>
            </w:trPr>
            <w:tc>
              <w:tcPr>
                <w:tcW w:w="2251" w:type="dxa"/>
              </w:tcPr>
              <w:p w14:paraId="44FFA13A" w14:textId="77777777" w:rsidR="00F7455F" w:rsidRPr="00AE62EF" w:rsidRDefault="00F7455F" w:rsidP="00E3561C">
                <w:pPr>
                  <w:pStyle w:val="TTTableText"/>
                  <w:rPr>
                    <w:rFonts w:cs="Calibri"/>
                  </w:rPr>
                </w:pPr>
                <w:r w:rsidRPr="00AE62EF">
                  <w:rPr>
                    <w:rFonts w:cs="Calibri"/>
                  </w:rPr>
                  <w:t>Commission</w:t>
                </w:r>
              </w:p>
            </w:tc>
            <w:tc>
              <w:tcPr>
                <w:tcW w:w="6809" w:type="dxa"/>
              </w:tcPr>
              <w:p w14:paraId="1DD91925" w14:textId="77777777" w:rsidR="00F7455F" w:rsidRPr="00AE62EF" w:rsidRDefault="00F7455F" w:rsidP="00E3561C">
                <w:pPr>
                  <w:pStyle w:val="TTTableText"/>
                  <w:rPr>
                    <w:rFonts w:cs="Calibri"/>
                  </w:rPr>
                </w:pPr>
                <w:r w:rsidRPr="00AE62EF">
                  <w:rPr>
                    <w:rFonts w:cs="Calibri"/>
                  </w:rPr>
                  <w:t>European Commission</w:t>
                </w:r>
              </w:p>
            </w:tc>
          </w:tr>
          <w:tr w:rsidR="0070023E" w:rsidRPr="00AE62EF" w14:paraId="297B4018" w14:textId="77777777" w:rsidTr="00E3561C">
            <w:trPr>
              <w:cantSplit/>
              <w:trHeight w:val="397"/>
            </w:trPr>
            <w:tc>
              <w:tcPr>
                <w:tcW w:w="2251" w:type="dxa"/>
              </w:tcPr>
              <w:p w14:paraId="64969BB2" w14:textId="55F257D1" w:rsidR="0070023E" w:rsidRDefault="0070023E" w:rsidP="00E3561C">
                <w:pPr>
                  <w:pStyle w:val="TTTableText"/>
                  <w:rPr>
                    <w:rFonts w:cs="Calibri"/>
                  </w:rPr>
                </w:pPr>
                <w:r>
                  <w:rPr>
                    <w:rFonts w:cs="Calibri"/>
                  </w:rPr>
                  <w:t>CPO</w:t>
                </w:r>
              </w:p>
            </w:tc>
            <w:tc>
              <w:tcPr>
                <w:tcW w:w="6809" w:type="dxa"/>
              </w:tcPr>
              <w:p w14:paraId="00DFEC5C" w14:textId="595F19DF" w:rsidR="0070023E" w:rsidRDefault="00AE6FCF" w:rsidP="00E3561C">
                <w:pPr>
                  <w:pStyle w:val="TTTableText"/>
                  <w:rPr>
                    <w:rFonts w:cs="Calibri"/>
                  </w:rPr>
                </w:pPr>
                <w:r>
                  <w:rPr>
                    <w:rFonts w:cs="Calibri"/>
                  </w:rPr>
                  <w:t xml:space="preserve">Crude palm oil </w:t>
                </w:r>
              </w:p>
            </w:tc>
          </w:tr>
          <w:tr w:rsidR="00A710F9" w:rsidRPr="00AE62EF" w14:paraId="4521D563" w14:textId="77777777" w:rsidTr="00E3561C">
            <w:trPr>
              <w:cantSplit/>
              <w:trHeight w:val="397"/>
            </w:trPr>
            <w:tc>
              <w:tcPr>
                <w:tcW w:w="2251" w:type="dxa"/>
              </w:tcPr>
              <w:p w14:paraId="3DCA5A3D" w14:textId="4697EAC1" w:rsidR="00A710F9" w:rsidRPr="00AE62EF" w:rsidRDefault="00A710F9" w:rsidP="00E3561C">
                <w:pPr>
                  <w:pStyle w:val="TTTableText"/>
                  <w:rPr>
                    <w:rFonts w:cs="Calibri"/>
                  </w:rPr>
                </w:pPr>
                <w:r>
                  <w:rPr>
                    <w:rFonts w:cs="Calibri"/>
                  </w:rPr>
                  <w:t>GOI</w:t>
                </w:r>
              </w:p>
            </w:tc>
            <w:tc>
              <w:tcPr>
                <w:tcW w:w="6809" w:type="dxa"/>
              </w:tcPr>
              <w:p w14:paraId="16F4B71F" w14:textId="1B12F35B" w:rsidR="00A710F9" w:rsidRPr="00AE62EF" w:rsidRDefault="00A710F9" w:rsidP="00E3561C">
                <w:pPr>
                  <w:pStyle w:val="TTTableText"/>
                  <w:rPr>
                    <w:rFonts w:cs="Calibri"/>
                  </w:rPr>
                </w:pPr>
                <w:r>
                  <w:rPr>
                    <w:rFonts w:cs="Calibri"/>
                  </w:rPr>
                  <w:t>Government of Indonesia</w:t>
                </w:r>
              </w:p>
            </w:tc>
          </w:tr>
          <w:tr w:rsidR="00F7455F" w:rsidRPr="00AE62EF" w14:paraId="0ED401CB" w14:textId="77777777" w:rsidTr="00E3561C">
            <w:trPr>
              <w:cantSplit/>
              <w:trHeight w:val="397"/>
            </w:trPr>
            <w:tc>
              <w:tcPr>
                <w:tcW w:w="2251" w:type="dxa"/>
              </w:tcPr>
              <w:p w14:paraId="072CEAAC" w14:textId="77777777" w:rsidR="00F7455F" w:rsidRPr="00AE62EF" w:rsidRDefault="00F7455F" w:rsidP="00E3561C">
                <w:pPr>
                  <w:pStyle w:val="TTTableText"/>
                  <w:rPr>
                    <w:rFonts w:cs="Calibri"/>
                  </w:rPr>
                </w:pPr>
                <w:r w:rsidRPr="00AE62EF">
                  <w:rPr>
                    <w:rFonts w:cs="Calibri"/>
                  </w:rPr>
                  <w:t>Member</w:t>
                </w:r>
              </w:p>
            </w:tc>
            <w:tc>
              <w:tcPr>
                <w:tcW w:w="6809" w:type="dxa"/>
              </w:tcPr>
              <w:p w14:paraId="613379C9" w14:textId="77777777" w:rsidR="00F7455F" w:rsidRPr="00AE62EF" w:rsidRDefault="00F7455F" w:rsidP="00E3561C">
                <w:pPr>
                  <w:pStyle w:val="TTTableText"/>
                  <w:rPr>
                    <w:rFonts w:cs="Calibri"/>
                  </w:rPr>
                </w:pPr>
                <w:r w:rsidRPr="00AE62EF">
                  <w:rPr>
                    <w:rFonts w:cs="Calibri"/>
                  </w:rPr>
                  <w:t>Member of the World Trade Organization</w:t>
                </w:r>
              </w:p>
            </w:tc>
          </w:tr>
          <w:tr w:rsidR="00F7455F" w:rsidRPr="00AE62EF" w14:paraId="7BC416E8" w14:textId="77777777" w:rsidTr="00E3561C">
            <w:trPr>
              <w:cantSplit/>
              <w:trHeight w:val="397"/>
            </w:trPr>
            <w:tc>
              <w:tcPr>
                <w:tcW w:w="2251" w:type="dxa"/>
              </w:tcPr>
              <w:p w14:paraId="76558031" w14:textId="77777777" w:rsidR="00F7455F" w:rsidRPr="00AE62EF" w:rsidRDefault="00F7455F" w:rsidP="00E3561C">
                <w:pPr>
                  <w:pStyle w:val="TTTableText"/>
                  <w:rPr>
                    <w:rFonts w:cs="Calibri"/>
                  </w:rPr>
                </w:pPr>
                <w:r w:rsidRPr="00AE62EF">
                  <w:rPr>
                    <w:rFonts w:cs="Calibri"/>
                  </w:rPr>
                  <w:t>SCM Agreement</w:t>
                </w:r>
              </w:p>
            </w:tc>
            <w:tc>
              <w:tcPr>
                <w:tcW w:w="6809" w:type="dxa"/>
              </w:tcPr>
              <w:p w14:paraId="4923C186" w14:textId="77777777" w:rsidR="00F7455F" w:rsidRPr="00AE62EF" w:rsidRDefault="00F7455F" w:rsidP="00E3561C">
                <w:pPr>
                  <w:pStyle w:val="TTTableText"/>
                  <w:rPr>
                    <w:rFonts w:cs="Calibri"/>
                  </w:rPr>
                </w:pPr>
                <w:r w:rsidRPr="00AE62EF">
                  <w:rPr>
                    <w:rFonts w:cs="Calibri"/>
                  </w:rPr>
                  <w:t>Agreement on Subsidies and Countervailing Measures</w:t>
                </w:r>
              </w:p>
            </w:tc>
          </w:tr>
          <w:tr w:rsidR="00F7455F" w:rsidRPr="00AE62EF" w14:paraId="19F5BBC3" w14:textId="77777777" w:rsidTr="00E3561C">
            <w:trPr>
              <w:cantSplit/>
              <w:trHeight w:val="397"/>
            </w:trPr>
            <w:tc>
              <w:tcPr>
                <w:tcW w:w="2251" w:type="dxa"/>
              </w:tcPr>
              <w:p w14:paraId="2CAFAB55" w14:textId="77777777" w:rsidR="00F7455F" w:rsidRPr="00AE62EF" w:rsidRDefault="00F7455F" w:rsidP="00E3561C">
                <w:pPr>
                  <w:pStyle w:val="TTTableText"/>
                  <w:rPr>
                    <w:rFonts w:cs="Calibri"/>
                  </w:rPr>
                </w:pPr>
                <w:r w:rsidRPr="00AE62EF">
                  <w:rPr>
                    <w:rFonts w:cs="Calibri"/>
                  </w:rPr>
                  <w:t>WTO</w:t>
                </w:r>
              </w:p>
            </w:tc>
            <w:tc>
              <w:tcPr>
                <w:tcW w:w="6809" w:type="dxa"/>
              </w:tcPr>
              <w:p w14:paraId="6A4CA8D4" w14:textId="77777777" w:rsidR="00F7455F" w:rsidRPr="00AE62EF" w:rsidRDefault="00F7455F" w:rsidP="00E3561C">
                <w:pPr>
                  <w:pStyle w:val="TTTableText"/>
                  <w:rPr>
                    <w:rFonts w:cs="Calibri"/>
                  </w:rPr>
                </w:pPr>
                <w:r w:rsidRPr="00AE62EF">
                  <w:rPr>
                    <w:rFonts w:cs="Calibri"/>
                  </w:rPr>
                  <w:t>World Trade Organization</w:t>
                </w:r>
              </w:p>
            </w:tc>
          </w:tr>
        </w:tbl>
        <w:p w14:paraId="2CA7D3A0" w14:textId="3299BCB5" w:rsidR="00D8736C" w:rsidRDefault="00265470" w:rsidP="00AE6FCF">
          <w:pPr>
            <w:rPr>
              <w:rFonts w:cs="Calibri"/>
              <w:bCs/>
              <w:noProof/>
            </w:rPr>
          </w:pPr>
        </w:p>
      </w:sdtContent>
    </w:sdt>
    <w:bookmarkStart w:id="7" w:name="_Toc157084383" w:displacedByCustomXml="prev"/>
    <w:bookmarkEnd w:id="7" w:displacedByCustomXml="prev"/>
    <w:bookmarkEnd w:id="3" w:displacedByCustomXml="prev"/>
    <w:bookmarkEnd w:id="2" w:displacedByCustomXml="prev"/>
    <w:bookmarkEnd w:id="1" w:displacedByCustomXml="prev"/>
    <w:p w14:paraId="4EE93290" w14:textId="77777777" w:rsidR="00D8736C" w:rsidRDefault="00D8736C">
      <w:pPr>
        <w:spacing w:line="259" w:lineRule="auto"/>
        <w:jc w:val="left"/>
        <w:rPr>
          <w:rFonts w:cs="Calibri"/>
          <w:bCs/>
          <w:noProof/>
        </w:rPr>
      </w:pPr>
      <w:r>
        <w:rPr>
          <w:rFonts w:cs="Calibri"/>
          <w:bCs/>
          <w:noProof/>
        </w:rPr>
        <w:br w:type="page"/>
      </w:r>
    </w:p>
    <w:p w14:paraId="7AE15C2A" w14:textId="77777777" w:rsidR="00DA6839" w:rsidRPr="00AE6FCF" w:rsidRDefault="00DA6839" w:rsidP="00AE6FCF">
      <w:pPr>
        <w:rPr>
          <w:rFonts w:cs="Calibri"/>
          <w:bCs/>
          <w:noProof/>
        </w:rPr>
      </w:pPr>
    </w:p>
    <w:p w14:paraId="27CE0D6D" w14:textId="0E65E24B" w:rsidR="00F71EA3" w:rsidRPr="00AE62EF" w:rsidRDefault="00285182" w:rsidP="00D8736C">
      <w:pPr>
        <w:pStyle w:val="HL1HeadingLevel1"/>
      </w:pPr>
      <w:bookmarkStart w:id="8" w:name="_Toc181008240"/>
      <w:r w:rsidRPr="00D8736C">
        <w:t>Question</w:t>
      </w:r>
      <w:r w:rsidR="001E0708">
        <w:t xml:space="preserve"> </w:t>
      </w:r>
      <w:r w:rsidR="00F076AD">
        <w:t>5</w:t>
      </w:r>
      <w:bookmarkEnd w:id="8"/>
    </w:p>
    <w:p w14:paraId="131DAAAE" w14:textId="670E143E" w:rsidR="007454B2" w:rsidRPr="007454B2" w:rsidRDefault="007454B2" w:rsidP="007454B2">
      <w:pPr>
        <w:pStyle w:val="P1-N1Paragraph1-Number1"/>
        <w:numPr>
          <w:ilvl w:val="0"/>
          <w:numId w:val="0"/>
        </w:numPr>
        <w:rPr>
          <w:rFonts w:cs="Calibri"/>
          <w:bCs/>
          <w:lang w:val="en-GB"/>
          <w14:ligatures w14:val="standardContextual"/>
        </w:rPr>
      </w:pPr>
      <w:r w:rsidRPr="007454B2">
        <w:rPr>
          <w:rFonts w:cs="Calibri"/>
          <w:bCs/>
          <w:lang w:val="en-US"/>
          <w14:ligatures w14:val="standardContextual"/>
        </w:rPr>
        <w:t>Would the exercise of "free choice" by actors in the market, such as the choice for a CPO producer to sell CPO to biodiesel producers, but also to producers of other downstream products, or to export CPO, preclude a finding of direction or entrustment? Please explain what circumstances would be relevant to establish that free choice would not preclude such a finding.</w:t>
      </w:r>
    </w:p>
    <w:p w14:paraId="761191D2" w14:textId="60C2A5B0" w:rsidR="00B4284B" w:rsidRPr="001E0708" w:rsidRDefault="00285182" w:rsidP="00D8736C">
      <w:pPr>
        <w:pStyle w:val="Heading3"/>
      </w:pPr>
      <w:r w:rsidRPr="00D8736C">
        <w:t>Response</w:t>
      </w:r>
    </w:p>
    <w:p w14:paraId="6E9305F4" w14:textId="5B282A43" w:rsidR="008B08E1" w:rsidRDefault="005D77D0" w:rsidP="00F73925">
      <w:pPr>
        <w:pStyle w:val="P1-N1Paragraph1-Number1"/>
      </w:pPr>
      <w:r>
        <w:t>The</w:t>
      </w:r>
      <w:r w:rsidR="000B2183">
        <w:t xml:space="preserve"> exercise of "free choice" by actors in the market cannot </w:t>
      </w:r>
      <w:r w:rsidR="00EA7656">
        <w:t xml:space="preserve">of itself </w:t>
      </w:r>
      <w:r w:rsidR="000B2183">
        <w:t>preclude a finding of entrustment or direction under Article </w:t>
      </w:r>
      <w:r w:rsidR="0066472A">
        <w:t>1</w:t>
      </w:r>
      <w:r w:rsidR="000B2183">
        <w:t xml:space="preserve">.1(a)(1)(iv) of the SCM Agreement. </w:t>
      </w:r>
      <w:r w:rsidR="00784F35">
        <w:t>The</w:t>
      </w:r>
      <w:r w:rsidR="000B2183">
        <w:t xml:space="preserve"> </w:t>
      </w:r>
      <w:r w:rsidR="0066472A">
        <w:t xml:space="preserve">legal </w:t>
      </w:r>
      <w:r w:rsidR="000B2183">
        <w:t xml:space="preserve">analysis of entrustment or direction </w:t>
      </w:r>
      <w:r w:rsidR="0066472A">
        <w:t>-</w:t>
      </w:r>
      <w:r w:rsidR="008B08E1">
        <w:t xml:space="preserve"> and a Member's responsibility </w:t>
      </w:r>
      <w:r w:rsidR="0066472A">
        <w:t>for such</w:t>
      </w:r>
      <w:r w:rsidR="008B08E1">
        <w:t xml:space="preserve"> - must focus on the acts of the WTO Member in question, rather than the effects of those acts</w:t>
      </w:r>
      <w:r w:rsidR="00EA7656">
        <w:t xml:space="preserve">, including the </w:t>
      </w:r>
      <w:r w:rsidR="007276B9">
        <w:t>re</w:t>
      </w:r>
      <w:r w:rsidR="00EA7656">
        <w:t>actions of</w:t>
      </w:r>
      <w:r>
        <w:t xml:space="preserve"> market actors</w:t>
      </w:r>
      <w:r w:rsidR="008D411D">
        <w:t>.</w:t>
      </w:r>
      <w:r w:rsidR="0066472A">
        <w:rPr>
          <w:rStyle w:val="FootnoteReference"/>
        </w:rPr>
        <w:footnoteReference w:id="1"/>
      </w:r>
      <w:r w:rsidR="00784F35">
        <w:t xml:space="preserve"> </w:t>
      </w:r>
      <w:r w:rsidR="008D411D">
        <w:t>Those</w:t>
      </w:r>
      <w:r w:rsidR="0066472A">
        <w:t xml:space="preserve"> effects may</w:t>
      </w:r>
      <w:r w:rsidR="008B08E1">
        <w:t xml:space="preserve"> "simply be the result of happenstance or chance".</w:t>
      </w:r>
      <w:r w:rsidR="008B08E1">
        <w:rPr>
          <w:rStyle w:val="FootnoteReference"/>
        </w:rPr>
        <w:footnoteReference w:id="2"/>
      </w:r>
      <w:r w:rsidR="00784F35">
        <w:t xml:space="preserve"> </w:t>
      </w:r>
    </w:p>
    <w:p w14:paraId="128470BB" w14:textId="3CE826AA" w:rsidR="00601C52" w:rsidRDefault="00601C52" w:rsidP="00601C52">
      <w:pPr>
        <w:pStyle w:val="P1-N1Paragraph1-Number1"/>
      </w:pPr>
      <w:r>
        <w:t>Proof of the exercise of "free choice" raises evidentiary considerations in the analysis of entrustment or direction</w:t>
      </w:r>
      <w:r w:rsidR="007276B9">
        <w:t>. In that regard, evidence of "free choice"</w:t>
      </w:r>
      <w:r>
        <w:t xml:space="preserve"> </w:t>
      </w:r>
      <w:r w:rsidR="00671672">
        <w:t xml:space="preserve">is circumstantial, and </w:t>
      </w:r>
      <w:r>
        <w:t>should be assessed by an investigating authority in light of all of the available evidence.</w:t>
      </w:r>
      <w:r>
        <w:rPr>
          <w:rStyle w:val="FootnoteReference"/>
        </w:rPr>
        <w:footnoteReference w:id="3"/>
      </w:r>
      <w:r>
        <w:t xml:space="preserve"> As to the probative value and relevance of evidence of "free choice", the Appellate Body</w:t>
      </w:r>
      <w:r w:rsidR="00BF295B">
        <w:t xml:space="preserve"> relevantly</w:t>
      </w:r>
      <w:r>
        <w:t xml:space="preserve"> stated in </w:t>
      </w:r>
      <w:r>
        <w:rPr>
          <w:i/>
          <w:iCs/>
        </w:rPr>
        <w:t>US – Countervailing Duty Investigation on DRAMS</w:t>
      </w:r>
      <w:r>
        <w:t>:</w:t>
      </w:r>
    </w:p>
    <w:p w14:paraId="51B3603F" w14:textId="0F6C3864" w:rsidR="00601C52" w:rsidRPr="007822F3" w:rsidRDefault="00601C52" w:rsidP="00601C52">
      <w:pPr>
        <w:pStyle w:val="Quotation"/>
        <w:rPr>
          <w:rFonts w:asciiTheme="minorHAnsi" w:hAnsiTheme="minorHAnsi" w:cstheme="minorHAnsi"/>
          <w:b/>
          <w:bCs/>
          <w:sz w:val="22"/>
          <w:szCs w:val="22"/>
        </w:rPr>
      </w:pPr>
      <w:r w:rsidRPr="007822F3">
        <w:rPr>
          <w:rFonts w:asciiTheme="minorHAnsi" w:hAnsiTheme="minorHAnsi" w:cstheme="minorHAnsi"/>
          <w:sz w:val="22"/>
          <w:szCs w:val="22"/>
        </w:rPr>
        <w:t xml:space="preserve">Where a government entrusts or directs a private body—by giving responsibility to or exercising its authority over the private body—it is likely that the function that is allegedly entrusted or directed will indeed be carried out. The private body's refusal to carry out the function may be evidence that the government did not give it responsibility for such function, or that the government did not exercise the requisite authority over it such that the private body did not heed the government. </w:t>
      </w:r>
      <w:r w:rsidRPr="007822F3">
        <w:rPr>
          <w:rFonts w:asciiTheme="minorHAnsi" w:hAnsiTheme="minorHAnsi" w:cstheme="minorHAnsi"/>
          <w:i/>
          <w:iCs/>
          <w:sz w:val="22"/>
          <w:szCs w:val="22"/>
        </w:rPr>
        <w:t xml:space="preserve">It does not, however, on its own, mean that the private body was not entrusted or directed. Depending on the circumstances, a </w:t>
      </w:r>
      <w:r w:rsidRPr="007822F3">
        <w:rPr>
          <w:rFonts w:asciiTheme="minorHAnsi" w:hAnsiTheme="minorHAnsi" w:cstheme="minorHAnsi"/>
          <w:i/>
          <w:iCs/>
          <w:sz w:val="22"/>
          <w:szCs w:val="22"/>
        </w:rPr>
        <w:lastRenderedPageBreak/>
        <w:t>private body may decide not to carry out a function with which it was so entrusted or directed, despite the possible negative consequences that may follow</w:t>
      </w:r>
      <w:r w:rsidRPr="007822F3">
        <w:rPr>
          <w:rFonts w:asciiTheme="minorHAnsi" w:hAnsiTheme="minorHAnsi" w:cstheme="minorHAnsi"/>
          <w:b/>
          <w:bCs/>
          <w:sz w:val="22"/>
          <w:szCs w:val="22"/>
        </w:rPr>
        <w:t>.</w:t>
      </w:r>
      <w:r w:rsidRPr="007822F3">
        <w:rPr>
          <w:rStyle w:val="FootnoteReference"/>
          <w:rFonts w:asciiTheme="minorHAnsi" w:hAnsiTheme="minorHAnsi" w:cstheme="minorHAnsi"/>
          <w:sz w:val="22"/>
          <w:szCs w:val="22"/>
        </w:rPr>
        <w:footnoteReference w:id="4"/>
      </w:r>
    </w:p>
    <w:p w14:paraId="5039DE30" w14:textId="625A7A1F" w:rsidR="00E17FCD" w:rsidRDefault="00002C20" w:rsidP="00D8736C">
      <w:pPr>
        <w:pStyle w:val="Heading2"/>
      </w:pPr>
      <w:bookmarkStart w:id="9" w:name="_Toc181008241"/>
      <w:bookmarkEnd w:id="0"/>
      <w:r>
        <w:t>Question</w:t>
      </w:r>
      <w:r w:rsidR="005B3B75">
        <w:t xml:space="preserve"> 6</w:t>
      </w:r>
      <w:bookmarkEnd w:id="9"/>
    </w:p>
    <w:p w14:paraId="0BFD6335" w14:textId="1F90C142" w:rsidR="00730588" w:rsidRPr="00730588" w:rsidRDefault="00730588" w:rsidP="00730588">
      <w:pPr>
        <w:pStyle w:val="P1-N1Paragraph1-Number1"/>
        <w:numPr>
          <w:ilvl w:val="0"/>
          <w:numId w:val="0"/>
        </w:numPr>
        <w:rPr>
          <w:bCs/>
          <w:lang w:val="en-GB"/>
        </w:rPr>
      </w:pPr>
      <w:r w:rsidRPr="00730588">
        <w:rPr>
          <w:bCs/>
          <w:lang w:val="en-GB"/>
        </w:rPr>
        <w:t xml:space="preserve">Can a set of measures </w:t>
      </w:r>
      <w:proofErr w:type="gramStart"/>
      <w:r w:rsidRPr="00730588">
        <w:rPr>
          <w:bCs/>
          <w:lang w:val="en-GB"/>
        </w:rPr>
        <w:t>taken</w:t>
      </w:r>
      <w:proofErr w:type="gramEnd"/>
      <w:r w:rsidRPr="00730588">
        <w:rPr>
          <w:bCs/>
          <w:lang w:val="en-GB"/>
        </w:rPr>
        <w:t xml:space="preserve"> by a government that provides </w:t>
      </w:r>
      <w:r w:rsidRPr="00730588">
        <w:rPr>
          <w:bCs/>
          <w:i/>
          <w:iCs/>
          <w:lang w:val="en-GB"/>
        </w:rPr>
        <w:t>inducements</w:t>
      </w:r>
      <w:r w:rsidRPr="00730588">
        <w:rPr>
          <w:bCs/>
          <w:lang w:val="en-GB"/>
        </w:rPr>
        <w:t xml:space="preserve"> to a private body amount to an entrustment or direction for the purposes of Article 1.1(a)(1)(iv) of the SCM</w:t>
      </w:r>
      <w:r w:rsidR="00835ADC">
        <w:rPr>
          <w:bCs/>
          <w:lang w:val="en-GB"/>
        </w:rPr>
        <w:t> </w:t>
      </w:r>
      <w:r w:rsidRPr="00730588">
        <w:rPr>
          <w:bCs/>
          <w:lang w:val="en-GB"/>
        </w:rPr>
        <w:t xml:space="preserve">Agreement? Would the position be different if the set of measures provides an </w:t>
      </w:r>
      <w:r w:rsidRPr="00730588">
        <w:rPr>
          <w:bCs/>
          <w:i/>
          <w:iCs/>
          <w:lang w:val="en-GB"/>
        </w:rPr>
        <w:t>incentive</w:t>
      </w:r>
      <w:r w:rsidRPr="00730588">
        <w:rPr>
          <w:bCs/>
          <w:lang w:val="en-GB"/>
        </w:rPr>
        <w:t xml:space="preserve"> to a private body? </w:t>
      </w:r>
    </w:p>
    <w:p w14:paraId="7F2F8F09" w14:textId="13F09D79" w:rsidR="00002C20" w:rsidRPr="00951016" w:rsidRDefault="00951016" w:rsidP="00D8736C">
      <w:pPr>
        <w:pStyle w:val="Heading3"/>
      </w:pPr>
      <w:r w:rsidRPr="00951016">
        <w:t>Response</w:t>
      </w:r>
    </w:p>
    <w:p w14:paraId="28D4D705" w14:textId="0F8CC640" w:rsidR="00271C18" w:rsidRDefault="00386746" w:rsidP="004F6E63">
      <w:pPr>
        <w:pStyle w:val="P1-N1Paragraph1-Number1"/>
        <w:rPr>
          <w:bCs/>
          <w:lang w:val="en-GB"/>
        </w:rPr>
      </w:pPr>
      <w:r w:rsidRPr="00386746">
        <w:rPr>
          <w:bCs/>
          <w:lang w:val="en-GB"/>
        </w:rPr>
        <w:t xml:space="preserve">Australia refers to paragraph 22 of its third party written submission on the </w:t>
      </w:r>
      <w:r w:rsidR="00271C18">
        <w:rPr>
          <w:bCs/>
          <w:lang w:val="en-GB"/>
        </w:rPr>
        <w:t>question</w:t>
      </w:r>
      <w:r w:rsidRPr="00386746">
        <w:rPr>
          <w:bCs/>
          <w:lang w:val="en-GB"/>
        </w:rPr>
        <w:t xml:space="preserve"> </w:t>
      </w:r>
      <w:r w:rsidR="00D6751D">
        <w:rPr>
          <w:bCs/>
          <w:lang w:val="en-GB"/>
        </w:rPr>
        <w:t>of inducement.</w:t>
      </w:r>
      <w:r w:rsidR="004F6E63">
        <w:rPr>
          <w:bCs/>
          <w:lang w:val="en-GB"/>
        </w:rPr>
        <w:t xml:space="preserve"> </w:t>
      </w:r>
      <w:r w:rsidR="00F31728">
        <w:rPr>
          <w:bCs/>
          <w:lang w:val="en-GB"/>
        </w:rPr>
        <w:t xml:space="preserve">As to </w:t>
      </w:r>
      <w:r w:rsidR="00D6751D" w:rsidRPr="00271C18">
        <w:rPr>
          <w:bCs/>
          <w:i/>
          <w:iCs/>
          <w:lang w:val="en-GB"/>
        </w:rPr>
        <w:t>incentiv</w:t>
      </w:r>
      <w:r w:rsidR="007276B9" w:rsidRPr="00271C18">
        <w:rPr>
          <w:bCs/>
          <w:i/>
          <w:iCs/>
          <w:lang w:val="en-GB"/>
        </w:rPr>
        <w:t>e</w:t>
      </w:r>
      <w:r w:rsidR="00D6751D" w:rsidRPr="004F6E63">
        <w:rPr>
          <w:bCs/>
          <w:lang w:val="en-GB"/>
        </w:rPr>
        <w:t>, Australia observes</w:t>
      </w:r>
      <w:r w:rsidR="00173A0A">
        <w:rPr>
          <w:bCs/>
          <w:lang w:val="en-GB"/>
        </w:rPr>
        <w:t xml:space="preserve"> generally</w:t>
      </w:r>
      <w:r w:rsidR="00D6751D" w:rsidRPr="004F6E63">
        <w:rPr>
          <w:bCs/>
          <w:lang w:val="en-GB"/>
        </w:rPr>
        <w:t xml:space="preserve"> that entrustment and direction under Article 1.1(a)(1)(iv) </w:t>
      </w:r>
      <w:r w:rsidR="00BF295B">
        <w:rPr>
          <w:bCs/>
          <w:lang w:val="en-GB"/>
        </w:rPr>
        <w:t>impl</w:t>
      </w:r>
      <w:r w:rsidR="00173A0A">
        <w:rPr>
          <w:bCs/>
          <w:lang w:val="en-GB"/>
        </w:rPr>
        <w:t>y</w:t>
      </w:r>
      <w:r w:rsidR="00BF295B">
        <w:rPr>
          <w:bCs/>
          <w:lang w:val="en-GB"/>
        </w:rPr>
        <w:t xml:space="preserve"> </w:t>
      </w:r>
      <w:r w:rsidR="00D6751D" w:rsidRPr="004F6E63">
        <w:rPr>
          <w:bCs/>
          <w:lang w:val="en-GB"/>
        </w:rPr>
        <w:t>"a more active role of the government than mere acts of encouragement".</w:t>
      </w:r>
      <w:r w:rsidR="00BF295B">
        <w:rPr>
          <w:rStyle w:val="FootnoteReference"/>
          <w:bCs/>
          <w:lang w:val="en-GB"/>
        </w:rPr>
        <w:footnoteReference w:id="5"/>
      </w:r>
      <w:r w:rsidR="004F6E63" w:rsidRPr="004F6E63">
        <w:rPr>
          <w:bCs/>
          <w:lang w:val="en-GB"/>
        </w:rPr>
        <w:t xml:space="preserve"> </w:t>
      </w:r>
    </w:p>
    <w:p w14:paraId="42E62576" w14:textId="2F99F06A" w:rsidR="00386746" w:rsidRPr="004F6E63" w:rsidRDefault="00BF295B" w:rsidP="004F6E63">
      <w:pPr>
        <w:pStyle w:val="P1-N1Paragraph1-Number1"/>
        <w:rPr>
          <w:bCs/>
          <w:lang w:val="en-GB"/>
        </w:rPr>
      </w:pPr>
      <w:r>
        <w:rPr>
          <w:bCs/>
          <w:lang w:val="en-GB"/>
        </w:rPr>
        <w:t>Ultimately</w:t>
      </w:r>
      <w:r w:rsidR="00A3755A">
        <w:rPr>
          <w:bCs/>
          <w:lang w:val="en-GB"/>
        </w:rPr>
        <w:t xml:space="preserve">, </w:t>
      </w:r>
      <w:r>
        <w:t>"[t]he determination of entrustment or direction will hinge on the particular facts of the case",</w:t>
      </w:r>
      <w:r>
        <w:rPr>
          <w:rStyle w:val="FootnoteReference"/>
        </w:rPr>
        <w:footnoteReference w:id="6"/>
      </w:r>
      <w:r>
        <w:t xml:space="preserve"> irrespective of the</w:t>
      </w:r>
      <w:r w:rsidR="00F31728">
        <w:t xml:space="preserve"> </w:t>
      </w:r>
      <w:r>
        <w:t>label that</w:t>
      </w:r>
      <w:r w:rsidR="0008073E">
        <w:t xml:space="preserve"> is</w:t>
      </w:r>
      <w:r>
        <w:t xml:space="preserve"> given to the government conduct</w:t>
      </w:r>
      <w:r w:rsidR="00271C18">
        <w:t xml:space="preserve"> in question</w:t>
      </w:r>
      <w:r>
        <w:t xml:space="preserve">. </w:t>
      </w:r>
      <w:r w:rsidR="003E383E">
        <w:t>E</w:t>
      </w:r>
      <w:r w:rsidR="00271C18">
        <w:t xml:space="preserve">ntrustment </w:t>
      </w:r>
      <w:r w:rsidR="001F4E56">
        <w:t>or</w:t>
      </w:r>
      <w:r w:rsidR="00271C18">
        <w:t xml:space="preserve"> direction under Article 1.1(a)(1)(iv) </w:t>
      </w:r>
      <w:r w:rsidR="003E383E">
        <w:t>occurs where a</w:t>
      </w:r>
      <w:r>
        <w:t xml:space="preserve"> government has given responsibility to a private body (i.e. entrustment) or exercised its authority over a private body (i.e. direction) </w:t>
      </w:r>
      <w:r w:rsidR="00CB0FC3">
        <w:t>in order to effectuate a financial contribution.</w:t>
      </w:r>
      <w:r w:rsidR="000E6B94">
        <w:rPr>
          <w:rStyle w:val="FootnoteReference"/>
        </w:rPr>
        <w:footnoteReference w:id="7"/>
      </w:r>
      <w:r w:rsidR="00A3246F">
        <w:t xml:space="preserve"> </w:t>
      </w:r>
    </w:p>
    <w:p w14:paraId="7741BFD0" w14:textId="13C75492" w:rsidR="00951016" w:rsidRPr="005D7D97" w:rsidRDefault="005D7D97" w:rsidP="00D8736C">
      <w:pPr>
        <w:pStyle w:val="Heading2"/>
      </w:pPr>
      <w:bookmarkStart w:id="10" w:name="_Toc181008242"/>
      <w:r>
        <w:t xml:space="preserve">Question </w:t>
      </w:r>
      <w:r w:rsidR="00730588">
        <w:t>7</w:t>
      </w:r>
      <w:bookmarkEnd w:id="10"/>
    </w:p>
    <w:p w14:paraId="7D65ECE8" w14:textId="029A71A4" w:rsidR="00D8736C" w:rsidRDefault="00184F1C" w:rsidP="00943744">
      <w:pPr>
        <w:pStyle w:val="P1-N1Paragraph1-Number1"/>
        <w:keepNext/>
        <w:numPr>
          <w:ilvl w:val="0"/>
          <w:numId w:val="0"/>
        </w:numPr>
      </w:pPr>
      <w:r w:rsidRPr="00184F1C">
        <w:t xml:space="preserve">Is actual past practice the only basis upon which to conclude that a function is "normally vested in the government"? If not, is it a relevant consideration? If actual past practice is not determinative, is it necessary that the practice is a permissible governmental function within the legal order of the </w:t>
      </w:r>
      <w:proofErr w:type="gramStart"/>
      <w:r w:rsidRPr="00184F1C">
        <w:t>particular government</w:t>
      </w:r>
      <w:proofErr w:type="gramEnd"/>
      <w:r w:rsidRPr="00184F1C">
        <w:t>?</w:t>
      </w:r>
    </w:p>
    <w:p w14:paraId="7A0656E6" w14:textId="77777777" w:rsidR="00D8736C" w:rsidRDefault="00D8736C">
      <w:pPr>
        <w:spacing w:line="259" w:lineRule="auto"/>
        <w:jc w:val="left"/>
      </w:pPr>
      <w:r>
        <w:br w:type="page"/>
      </w:r>
    </w:p>
    <w:p w14:paraId="72C4CA86" w14:textId="77777777" w:rsidR="00320ABB" w:rsidRDefault="00320ABB" w:rsidP="00943744">
      <w:pPr>
        <w:pStyle w:val="P1-N1Paragraph1-Number1"/>
        <w:keepNext/>
        <w:numPr>
          <w:ilvl w:val="0"/>
          <w:numId w:val="0"/>
        </w:numPr>
      </w:pPr>
    </w:p>
    <w:p w14:paraId="3D4A685C" w14:textId="2AECAF63" w:rsidR="009959B6" w:rsidRPr="00202E65" w:rsidRDefault="00320ABB" w:rsidP="00D8736C">
      <w:pPr>
        <w:pStyle w:val="Heading3"/>
      </w:pPr>
      <w:r w:rsidRPr="00202E65">
        <w:t>Response</w:t>
      </w:r>
    </w:p>
    <w:p w14:paraId="45A0B2F6" w14:textId="17A58BA2" w:rsidR="00320ABB" w:rsidRDefault="003D6046" w:rsidP="00EF4163">
      <w:pPr>
        <w:pStyle w:val="P1-N1Paragraph1-Number1"/>
        <w:keepNext/>
      </w:pPr>
      <w:r w:rsidRPr="00202E65">
        <w:t xml:space="preserve">Australia refers to paragraphs </w:t>
      </w:r>
      <w:r w:rsidR="0065268F" w:rsidRPr="00202E65">
        <w:t>10 – 12 of its third party written submission</w:t>
      </w:r>
      <w:r w:rsidR="0058407D">
        <w:t>, including footnotes,</w:t>
      </w:r>
      <w:r w:rsidR="0065268F" w:rsidRPr="00202E65">
        <w:t xml:space="preserve"> </w:t>
      </w:r>
      <w:r w:rsidR="00202E65" w:rsidRPr="00202E65">
        <w:t>regarding the</w:t>
      </w:r>
      <w:r w:rsidR="0065268F" w:rsidRPr="00202E65">
        <w:t xml:space="preserve"> relevance of actual past practice </w:t>
      </w:r>
      <w:r w:rsidR="00202E65" w:rsidRPr="00202E65">
        <w:t>under Article 1.1(a)(1)(iv) of the SCM</w:t>
      </w:r>
      <w:r w:rsidR="00943744">
        <w:t> </w:t>
      </w:r>
      <w:r w:rsidR="00202E65" w:rsidRPr="00202E65">
        <w:t>Agreement.</w:t>
      </w:r>
    </w:p>
    <w:p w14:paraId="543675B1" w14:textId="505DFA12" w:rsidR="002E6C9F" w:rsidRPr="00202E65" w:rsidRDefault="00E601EA" w:rsidP="00320ABB">
      <w:pPr>
        <w:pStyle w:val="P1-N1Paragraph1-Number1"/>
      </w:pPr>
      <w:r>
        <w:t xml:space="preserve">As </w:t>
      </w:r>
      <w:r w:rsidR="00E53021">
        <w:t>to the</w:t>
      </w:r>
      <w:r>
        <w:t xml:space="preserve"> Panel's final question on permissibility, logic dictates that a practice which is </w:t>
      </w:r>
      <w:r>
        <w:rPr>
          <w:i/>
          <w:iCs/>
        </w:rPr>
        <w:t xml:space="preserve">not </w:t>
      </w:r>
      <w:r>
        <w:t xml:space="preserve">permissible in the legal order of a particular government </w:t>
      </w:r>
      <w:r w:rsidR="00CC4C65">
        <w:t>would not</w:t>
      </w:r>
      <w:r w:rsidR="00463D58">
        <w:t xml:space="preserve"> "normally be</w:t>
      </w:r>
      <w:r>
        <w:t xml:space="preserve"> vested in the government" under Article 1.1(a)(1)(iv). </w:t>
      </w:r>
      <w:r w:rsidR="00E53021">
        <w:t xml:space="preserve">However, </w:t>
      </w:r>
      <w:r w:rsidR="0086229B">
        <w:t xml:space="preserve">Australia considers that </w:t>
      </w:r>
      <w:r w:rsidR="00737C03">
        <w:t xml:space="preserve">such </w:t>
      </w:r>
      <w:r w:rsidR="0086229B">
        <w:t xml:space="preserve">permissibility – or the lack thereof – is </w:t>
      </w:r>
      <w:r w:rsidR="00CB1C5E">
        <w:t>not necessarily</w:t>
      </w:r>
      <w:r w:rsidR="00737265">
        <w:t xml:space="preserve"> de</w:t>
      </w:r>
      <w:r w:rsidR="002D1B8C">
        <w:t xml:space="preserve">termined </w:t>
      </w:r>
      <w:r w:rsidR="00DD7D7A">
        <w:t>through any one particular type of evidence</w:t>
      </w:r>
      <w:r w:rsidR="00643997">
        <w:t xml:space="preserve"> </w:t>
      </w:r>
      <w:r w:rsidR="00CC4C65">
        <w:t>n</w:t>
      </w:r>
      <w:r w:rsidR="00643997">
        <w:t xml:space="preserve">or </w:t>
      </w:r>
      <w:r w:rsidR="00CC4C65">
        <w:t xml:space="preserve">in relation to </w:t>
      </w:r>
      <w:r w:rsidR="00643997">
        <w:t xml:space="preserve">any </w:t>
      </w:r>
      <w:r w:rsidR="00FC18CC">
        <w:t>particular length of time</w:t>
      </w:r>
      <w:r w:rsidR="00643997">
        <w:t>. Any analysis of permissibility in this context is necessarily fact-specific.</w:t>
      </w:r>
    </w:p>
    <w:p w14:paraId="6607F1BF" w14:textId="577E148D" w:rsidR="007F5450" w:rsidRPr="00985D49" w:rsidRDefault="00917E1A" w:rsidP="00D8736C">
      <w:pPr>
        <w:pStyle w:val="Heading2"/>
      </w:pPr>
      <w:bookmarkStart w:id="11" w:name="_Toc181008243"/>
      <w:r>
        <w:t xml:space="preserve">Question </w:t>
      </w:r>
      <w:r w:rsidR="00184F1C">
        <w:t>11</w:t>
      </w:r>
      <w:bookmarkEnd w:id="11"/>
    </w:p>
    <w:p w14:paraId="3EDDE5E7" w14:textId="77777777" w:rsidR="006868EB" w:rsidRDefault="00206824" w:rsidP="00206824">
      <w:pPr>
        <w:pStyle w:val="P1-N1Paragraph1-Number1"/>
        <w:numPr>
          <w:ilvl w:val="0"/>
          <w:numId w:val="0"/>
        </w:numPr>
        <w:rPr>
          <w:bCs/>
          <w:lang w:val="en-GB"/>
        </w:rPr>
      </w:pPr>
      <w:r w:rsidRPr="00206824">
        <w:rPr>
          <w:bCs/>
          <w:lang w:val="en-GB"/>
        </w:rPr>
        <w:t xml:space="preserve">At recital 159 of the Definitive Regulation, the Commission noted: </w:t>
      </w:r>
    </w:p>
    <w:p w14:paraId="7C7A98F9" w14:textId="5E821148" w:rsidR="00206824" w:rsidRPr="00206824" w:rsidRDefault="00206824" w:rsidP="006868EB">
      <w:pPr>
        <w:pStyle w:val="P1-N1Paragraph1-Number1"/>
        <w:numPr>
          <w:ilvl w:val="0"/>
          <w:numId w:val="0"/>
        </w:numPr>
        <w:ind w:left="720"/>
        <w:rPr>
          <w:bCs/>
          <w:sz w:val="22"/>
          <w:szCs w:val="22"/>
          <w:lang w:val="en-GB"/>
        </w:rPr>
      </w:pPr>
      <w:r w:rsidRPr="00206824">
        <w:rPr>
          <w:bCs/>
          <w:sz w:val="22"/>
          <w:szCs w:val="22"/>
          <w:lang w:val="en-GB"/>
        </w:rPr>
        <w:t>[T]he questionnaires to independent CPO suppliers were part of the questionnaire addressed to the GOI, and therefore the responsibility to coordinate, collect and ensure the timely sending of complete replies lied entirely on the GOI.</w:t>
      </w:r>
    </w:p>
    <w:p w14:paraId="064B8332" w14:textId="77777777" w:rsidR="00206824" w:rsidRPr="00206824" w:rsidRDefault="00206824" w:rsidP="006868EB">
      <w:pPr>
        <w:pStyle w:val="P1-N1Paragraph1-Number1"/>
        <w:numPr>
          <w:ilvl w:val="0"/>
          <w:numId w:val="0"/>
        </w:numPr>
        <w:rPr>
          <w:bCs/>
          <w:lang w:val="en-GB"/>
        </w:rPr>
      </w:pPr>
      <w:r w:rsidRPr="00206824">
        <w:rPr>
          <w:bCs/>
          <w:lang w:val="en-GB"/>
        </w:rPr>
        <w:t xml:space="preserve">In this regard, did the failure of the GOI to ensure the submission of information concerning entities unrelated to the GOI provide the Commission with a valid basis for resort to facts available under Article 12.7 of the SCM Agreement? In this context, please also comment on the findings of the Appellate Body set out in paragraph 105 of the Appellate Body Report in </w:t>
      </w:r>
      <w:r w:rsidRPr="00206824">
        <w:rPr>
          <w:bCs/>
          <w:i/>
          <w:iCs/>
          <w:lang w:val="en-GB"/>
        </w:rPr>
        <w:t>US – Hot Rolled Steel</w:t>
      </w:r>
      <w:r w:rsidRPr="00206824">
        <w:rPr>
          <w:bCs/>
          <w:lang w:val="en-GB"/>
        </w:rPr>
        <w:t xml:space="preserve"> (DS184). </w:t>
      </w:r>
    </w:p>
    <w:p w14:paraId="72042E4A" w14:textId="506DE7B8" w:rsidR="007F5450" w:rsidRDefault="003D1C69" w:rsidP="00D8736C">
      <w:pPr>
        <w:pStyle w:val="Heading3"/>
        <w:rPr>
          <w:sz w:val="22"/>
          <w:szCs w:val="22"/>
          <w:lang w:val="en-GB"/>
          <w14:ligatures w14:val="standardContextual"/>
        </w:rPr>
      </w:pPr>
      <w:r w:rsidRPr="003D1C69">
        <w:t>Response</w:t>
      </w:r>
    </w:p>
    <w:p w14:paraId="3D1A0F11" w14:textId="35A955A6" w:rsidR="00AE6FCF" w:rsidRPr="00B62B81" w:rsidRDefault="00034FB9" w:rsidP="00AE6FCF">
      <w:pPr>
        <w:pStyle w:val="P1-N1Paragraph1-Number1"/>
        <w:rPr>
          <w:rFonts w:cs="Calibri"/>
          <w:lang w:val="en-GB"/>
          <w14:ligatures w14:val="standardContextual"/>
        </w:rPr>
      </w:pPr>
      <w:r>
        <w:rPr>
          <w:rFonts w:cs="Calibri"/>
          <w:lang w:val="en-GB"/>
          <w14:ligatures w14:val="standardContextual"/>
        </w:rPr>
        <w:t>There are notable</w:t>
      </w:r>
      <w:r w:rsidR="00AE6FCF">
        <w:rPr>
          <w:rFonts w:cs="Calibri"/>
          <w:lang w:val="en-GB"/>
          <w14:ligatures w14:val="standardContextual"/>
        </w:rPr>
        <w:t xml:space="preserve"> differences between th</w:t>
      </w:r>
      <w:r>
        <w:rPr>
          <w:rFonts w:cs="Calibri"/>
          <w:lang w:val="en-GB"/>
          <w14:ligatures w14:val="standardContextual"/>
        </w:rPr>
        <w:t xml:space="preserve">e </w:t>
      </w:r>
      <w:r w:rsidR="00AE6FCF">
        <w:rPr>
          <w:rFonts w:cs="Calibri"/>
          <w:lang w:val="en-GB"/>
          <w14:ligatures w14:val="standardContextual"/>
        </w:rPr>
        <w:t xml:space="preserve">situation </w:t>
      </w:r>
      <w:r>
        <w:rPr>
          <w:rFonts w:cs="Calibri"/>
          <w:lang w:val="en-GB"/>
          <w14:ligatures w14:val="standardContextual"/>
        </w:rPr>
        <w:t xml:space="preserve">in the Panel's question, </w:t>
      </w:r>
      <w:r w:rsidR="00AE6FCF">
        <w:rPr>
          <w:rFonts w:cs="Calibri"/>
          <w:lang w:val="en-GB"/>
          <w14:ligatures w14:val="standardContextual"/>
        </w:rPr>
        <w:t xml:space="preserve">and the circumstances discussed in </w:t>
      </w:r>
      <w:r w:rsidR="00AE6FCF" w:rsidRPr="00206824">
        <w:rPr>
          <w:bCs/>
          <w:i/>
          <w:iCs/>
          <w:lang w:val="en-GB"/>
        </w:rPr>
        <w:t>US – Hot Rolled Steel</w:t>
      </w:r>
      <w:r w:rsidR="00AE6FCF">
        <w:rPr>
          <w:bCs/>
          <w:lang w:val="en-GB"/>
        </w:rPr>
        <w:t xml:space="preserve">. These differences indicate that </w:t>
      </w:r>
      <w:r w:rsidR="00AE6FCF" w:rsidRPr="00206824">
        <w:rPr>
          <w:bCs/>
          <w:lang w:val="en-GB"/>
        </w:rPr>
        <w:t xml:space="preserve">the findings of the Appellate Body set out in paragraph 105 of the Appellate Body Report </w:t>
      </w:r>
      <w:r w:rsidR="00AE6FCF">
        <w:rPr>
          <w:bCs/>
          <w:lang w:val="en-GB"/>
        </w:rPr>
        <w:t>may be of limited relevance to this dispute.</w:t>
      </w:r>
    </w:p>
    <w:p w14:paraId="2BC0DD70" w14:textId="77777777" w:rsidR="00AE6FCF" w:rsidRPr="00B62B81" w:rsidRDefault="00AE6FCF" w:rsidP="00AE6FCF">
      <w:pPr>
        <w:pStyle w:val="P1-N1Paragraph1-Number1"/>
        <w:rPr>
          <w:rFonts w:cs="Calibri"/>
          <w:lang w:val="en-GB"/>
          <w14:ligatures w14:val="standardContextual"/>
        </w:rPr>
      </w:pPr>
      <w:r>
        <w:rPr>
          <w:bCs/>
          <w:lang w:val="en-GB"/>
        </w:rPr>
        <w:t xml:space="preserve">First, in </w:t>
      </w:r>
      <w:r w:rsidRPr="00206824">
        <w:rPr>
          <w:bCs/>
          <w:i/>
          <w:iCs/>
          <w:lang w:val="en-GB"/>
        </w:rPr>
        <w:t>US – Hot Rolled Steel</w:t>
      </w:r>
      <w:r>
        <w:rPr>
          <w:bCs/>
          <w:lang w:val="en-GB"/>
        </w:rPr>
        <w:t>, the investigating authority was requesting an "</w:t>
      </w:r>
      <w:r w:rsidRPr="00A85DA2">
        <w:rPr>
          <w:bCs/>
          <w:lang w:val="en-GB"/>
        </w:rPr>
        <w:t>interested party</w:t>
      </w:r>
      <w:r>
        <w:rPr>
          <w:bCs/>
          <w:lang w:val="en-GB"/>
        </w:rPr>
        <w:t>"</w:t>
      </w:r>
      <w:r w:rsidRPr="00A85DA2">
        <w:rPr>
          <w:bCs/>
          <w:lang w:val="en-GB"/>
        </w:rPr>
        <w:t xml:space="preserve"> </w:t>
      </w:r>
      <w:r>
        <w:rPr>
          <w:bCs/>
          <w:lang w:val="en-GB"/>
        </w:rPr>
        <w:t>(</w:t>
      </w:r>
      <w:r w:rsidRPr="004D2AF8">
        <w:rPr>
          <w:bCs/>
          <w:lang w:val="en-GB"/>
        </w:rPr>
        <w:t>Kawasaki Steel Corporation</w:t>
      </w:r>
      <w:r>
        <w:rPr>
          <w:bCs/>
          <w:lang w:val="en-GB"/>
        </w:rPr>
        <w:t xml:space="preserve">) to collect information from another entity </w:t>
      </w:r>
      <w:r>
        <w:rPr>
          <w:bCs/>
          <w:lang w:val="en-GB"/>
        </w:rPr>
        <w:lastRenderedPageBreak/>
        <w:t>(</w:t>
      </w:r>
      <w:r w:rsidRPr="004D2AF8">
        <w:rPr>
          <w:bCs/>
          <w:lang w:val="en-GB"/>
        </w:rPr>
        <w:t>California Steel Industries In</w:t>
      </w:r>
      <w:r>
        <w:rPr>
          <w:bCs/>
          <w:lang w:val="en-GB"/>
        </w:rPr>
        <w:t>c). Whereas, in this situation, an "</w:t>
      </w:r>
      <w:r w:rsidRPr="00A85DA2">
        <w:rPr>
          <w:bCs/>
          <w:lang w:val="en-GB"/>
        </w:rPr>
        <w:t>interested Member</w:t>
      </w:r>
      <w:r>
        <w:rPr>
          <w:bCs/>
          <w:lang w:val="en-GB"/>
        </w:rPr>
        <w:t>" (GOI) was asked to collect information from other entities (</w:t>
      </w:r>
      <w:r w:rsidRPr="00B62B81">
        <w:rPr>
          <w:bCs/>
          <w:lang w:val="en-GB"/>
        </w:rPr>
        <w:t>independent CPO suppliers</w:t>
      </w:r>
      <w:r>
        <w:rPr>
          <w:bCs/>
          <w:lang w:val="en-GB"/>
        </w:rPr>
        <w:t xml:space="preserve">). </w:t>
      </w:r>
    </w:p>
    <w:p w14:paraId="20FBD87F" w14:textId="6A2432A3" w:rsidR="00AE6FCF" w:rsidRPr="00FC4C4A" w:rsidRDefault="00AE6FCF" w:rsidP="00AE6FCF">
      <w:pPr>
        <w:pStyle w:val="P1-N1Paragraph1-Number1"/>
        <w:rPr>
          <w:rFonts w:cs="Calibri"/>
          <w:lang w:val="en-GB"/>
          <w14:ligatures w14:val="standardContextual"/>
        </w:rPr>
      </w:pPr>
      <w:r>
        <w:rPr>
          <w:bCs/>
          <w:lang w:val="en-GB"/>
        </w:rPr>
        <w:t xml:space="preserve">Second, the findings </w:t>
      </w:r>
      <w:r w:rsidRPr="00206824">
        <w:rPr>
          <w:bCs/>
          <w:lang w:val="en-GB"/>
        </w:rPr>
        <w:t xml:space="preserve">in paragraph 105 of the Appellate Body Report </w:t>
      </w:r>
      <w:r>
        <w:rPr>
          <w:bCs/>
          <w:lang w:val="en-GB"/>
        </w:rPr>
        <w:t>are made in the context of Article 6.13 of the Anti-Dumping Agreement. The equivalent provision in the SCM</w:t>
      </w:r>
      <w:r w:rsidR="00736FDE">
        <w:rPr>
          <w:bCs/>
          <w:lang w:val="en-GB"/>
        </w:rPr>
        <w:t> </w:t>
      </w:r>
      <w:r>
        <w:rPr>
          <w:bCs/>
          <w:lang w:val="en-GB"/>
        </w:rPr>
        <w:t>Agreement (Article 12.11) provides: "</w:t>
      </w:r>
      <w:r w:rsidRPr="00B62B81">
        <w:rPr>
          <w:bCs/>
          <w:lang w:val="en-GB"/>
        </w:rPr>
        <w:t xml:space="preserve">The authorities shall take due account of any difficulties experienced by </w:t>
      </w:r>
      <w:r w:rsidRPr="00FA2121">
        <w:rPr>
          <w:bCs/>
          <w:i/>
          <w:iCs/>
          <w:lang w:val="en-GB"/>
        </w:rPr>
        <w:t>interested parties</w:t>
      </w:r>
      <w:r w:rsidRPr="00B62B81">
        <w:rPr>
          <w:bCs/>
          <w:lang w:val="en-GB"/>
        </w:rPr>
        <w:t>, in particular small companies, in supplying information requested, and shall provide any assistance practicable</w:t>
      </w:r>
      <w:r>
        <w:rPr>
          <w:bCs/>
          <w:lang w:val="en-GB"/>
        </w:rPr>
        <w:t>" (emphasis added). Notably, Article 12.11 does not refer to the difficulties experienced by "interested Members", but solely "interested parties". Thereby, suggesting Article 12.11 is of limited relevance in a situation – such as this case – where any difficulties are being experienced by an interested Member.</w:t>
      </w:r>
    </w:p>
    <w:p w14:paraId="31B3A65C" w14:textId="570422BD" w:rsidR="007F5450" w:rsidRPr="00014DE6" w:rsidRDefault="00223D7D" w:rsidP="00014DE6">
      <w:pPr>
        <w:pStyle w:val="P1-N1Paragraph1-Number1"/>
        <w:rPr>
          <w:rFonts w:cs="Calibri"/>
          <w:lang w:val="en-GB"/>
          <w14:ligatures w14:val="standardContextual"/>
        </w:rPr>
      </w:pPr>
      <w:r>
        <w:rPr>
          <w:rFonts w:cs="Calibri"/>
          <w:lang w:val="en-GB"/>
          <w14:ligatures w14:val="standardContextual"/>
        </w:rPr>
        <w:t>Br</w:t>
      </w:r>
      <w:r w:rsidR="007D25E5">
        <w:rPr>
          <w:rFonts w:cs="Calibri"/>
          <w:lang w:val="en-GB"/>
          <w14:ligatures w14:val="standardContextual"/>
        </w:rPr>
        <w:t>oadly,</w:t>
      </w:r>
      <w:r w:rsidR="00AE6FCF" w:rsidRPr="00FC4C4A">
        <w:rPr>
          <w:rFonts w:cs="Calibri"/>
          <w:lang w:val="en-GB"/>
          <w14:ligatures w14:val="standardContextual"/>
        </w:rPr>
        <w:t xml:space="preserve"> </w:t>
      </w:r>
      <w:r w:rsidR="00AE6FCF">
        <w:rPr>
          <w:rFonts w:cs="Calibri"/>
          <w:lang w:val="en-GB"/>
          <w14:ligatures w14:val="standardContextual"/>
        </w:rPr>
        <w:t>Australia considers</w:t>
      </w:r>
      <w:r w:rsidR="00AE6FCF" w:rsidRPr="00FC4C4A">
        <w:rPr>
          <w:rFonts w:cs="Calibri"/>
          <w:bCs/>
          <w:lang w:val="en-GB"/>
          <w14:ligatures w14:val="standardContextual"/>
        </w:rPr>
        <w:t xml:space="preserve"> the failure of </w:t>
      </w:r>
      <w:r w:rsidR="00AE6FCF">
        <w:rPr>
          <w:rFonts w:cs="Calibri"/>
          <w:bCs/>
          <w:lang w:val="en-GB"/>
          <w14:ligatures w14:val="standardContextual"/>
        </w:rPr>
        <w:t xml:space="preserve">an interested Member </w:t>
      </w:r>
      <w:r w:rsidR="00AE6FCF" w:rsidRPr="00FC4C4A">
        <w:rPr>
          <w:rFonts w:cs="Calibri"/>
          <w:bCs/>
          <w:lang w:val="en-GB"/>
          <w14:ligatures w14:val="standardContextual"/>
        </w:rPr>
        <w:t xml:space="preserve">to ensure the submission of information concerning entities unrelated to the </w:t>
      </w:r>
      <w:r w:rsidR="00AE6FCF">
        <w:rPr>
          <w:rFonts w:cs="Calibri"/>
          <w:bCs/>
          <w:lang w:val="en-GB"/>
          <w14:ligatures w14:val="standardContextual"/>
        </w:rPr>
        <w:t xml:space="preserve">interested Member </w:t>
      </w:r>
      <w:r w:rsidR="00AE6FCF" w:rsidRPr="00223D7D">
        <w:rPr>
          <w:rFonts w:cs="Calibri"/>
          <w:bCs/>
          <w:lang w:val="en-GB"/>
          <w14:ligatures w14:val="standardContextual"/>
        </w:rPr>
        <w:t>may</w:t>
      </w:r>
      <w:r w:rsidR="00040DCB">
        <w:rPr>
          <w:rFonts w:cs="Calibri"/>
          <w:bCs/>
          <w:lang w:val="en-GB"/>
          <w14:ligatures w14:val="standardContextual"/>
        </w:rPr>
        <w:t>, in some cases,</w:t>
      </w:r>
      <w:r w:rsidR="00AE6FCF" w:rsidRPr="00FC4C4A">
        <w:rPr>
          <w:rFonts w:cs="Calibri"/>
          <w:bCs/>
          <w:lang w:val="en-GB"/>
          <w14:ligatures w14:val="standardContextual"/>
        </w:rPr>
        <w:t xml:space="preserve"> provide </w:t>
      </w:r>
      <w:r w:rsidR="00AE6FCF">
        <w:rPr>
          <w:rFonts w:cs="Calibri"/>
          <w:bCs/>
          <w:lang w:val="en-GB"/>
          <w14:ligatures w14:val="standardContextual"/>
        </w:rPr>
        <w:t xml:space="preserve">an investigating authority </w:t>
      </w:r>
      <w:r w:rsidR="00AE6FCF" w:rsidRPr="00FC4C4A">
        <w:rPr>
          <w:rFonts w:cs="Calibri"/>
          <w:bCs/>
          <w:lang w:val="en-GB"/>
          <w14:ligatures w14:val="standardContextual"/>
        </w:rPr>
        <w:t xml:space="preserve">with a valid basis </w:t>
      </w:r>
      <w:r w:rsidR="00AE6FCF">
        <w:rPr>
          <w:rFonts w:cs="Calibri"/>
          <w:bCs/>
          <w:lang w:val="en-GB"/>
          <w14:ligatures w14:val="standardContextual"/>
        </w:rPr>
        <w:t>to</w:t>
      </w:r>
      <w:r w:rsidR="00AE6FCF" w:rsidRPr="00FC4C4A">
        <w:rPr>
          <w:rFonts w:cs="Calibri"/>
          <w:bCs/>
          <w:lang w:val="en-GB"/>
          <w14:ligatures w14:val="standardContextual"/>
        </w:rPr>
        <w:t xml:space="preserve"> resort to facts available under Article</w:t>
      </w:r>
      <w:r w:rsidR="005428A7">
        <w:rPr>
          <w:rFonts w:cs="Calibri"/>
          <w:bCs/>
          <w:lang w:val="en-GB"/>
          <w14:ligatures w14:val="standardContextual"/>
        </w:rPr>
        <w:t> </w:t>
      </w:r>
      <w:r w:rsidR="00AE6FCF" w:rsidRPr="00FC4C4A">
        <w:rPr>
          <w:rFonts w:cs="Calibri"/>
          <w:bCs/>
          <w:lang w:val="en-GB"/>
          <w14:ligatures w14:val="standardContextual"/>
        </w:rPr>
        <w:t>12.7 of the SCM Agreement</w:t>
      </w:r>
      <w:r w:rsidR="00AE6FCF">
        <w:rPr>
          <w:rFonts w:cs="Calibri"/>
          <w:bCs/>
          <w:lang w:val="en-GB"/>
          <w14:ligatures w14:val="standardContextual"/>
        </w:rPr>
        <w:t>.</w:t>
      </w:r>
      <w:r w:rsidR="007D25E5">
        <w:rPr>
          <w:rFonts w:cs="Calibri"/>
          <w:bCs/>
          <w:lang w:val="en-GB"/>
          <w14:ligatures w14:val="standardContextual"/>
        </w:rPr>
        <w:t xml:space="preserve"> </w:t>
      </w:r>
      <w:r w:rsidR="00373BEA">
        <w:rPr>
          <w:rFonts w:cs="Calibri"/>
          <w:bCs/>
          <w:lang w:val="en-GB"/>
          <w14:ligatures w14:val="standardContextual"/>
        </w:rPr>
        <w:t>This assessment will depend upon the particular fact</w:t>
      </w:r>
      <w:r w:rsidR="00040DCB">
        <w:rPr>
          <w:rFonts w:cs="Calibri"/>
          <w:bCs/>
          <w:lang w:val="en-GB"/>
          <w14:ligatures w14:val="standardContextual"/>
        </w:rPr>
        <w:t xml:space="preserve">s </w:t>
      </w:r>
      <w:r>
        <w:rPr>
          <w:rFonts w:cs="Calibri"/>
          <w:bCs/>
          <w:lang w:val="en-GB"/>
          <w14:ligatures w14:val="standardContextual"/>
        </w:rPr>
        <w:t>of the matter</w:t>
      </w:r>
      <w:r w:rsidR="00373BEA">
        <w:rPr>
          <w:rFonts w:cs="Calibri"/>
          <w:bCs/>
          <w:lang w:val="en-GB"/>
          <w14:ligatures w14:val="standardContextual"/>
        </w:rPr>
        <w:t>.</w:t>
      </w:r>
    </w:p>
    <w:sectPr w:rsidR="007F5450" w:rsidRPr="00014DE6" w:rsidSect="008F5B14">
      <w:headerReference w:type="default" r:id="rId12"/>
      <w:footerReference w:type="default" r:id="rId13"/>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051AB" w14:textId="77777777" w:rsidR="00C02500" w:rsidRDefault="00C02500" w:rsidP="00F71EA3">
      <w:pPr>
        <w:spacing w:after="0" w:line="240" w:lineRule="auto"/>
      </w:pPr>
      <w:r>
        <w:separator/>
      </w:r>
    </w:p>
  </w:endnote>
  <w:endnote w:type="continuationSeparator" w:id="0">
    <w:p w14:paraId="50AD2340" w14:textId="77777777" w:rsidR="00C02500" w:rsidRDefault="00C02500" w:rsidP="00F7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2D8B" w14:textId="77777777" w:rsidR="00635A10" w:rsidRDefault="00635A10">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7A90" w14:textId="77777777" w:rsidR="00C02500" w:rsidRDefault="00C02500" w:rsidP="00F71EA3">
      <w:pPr>
        <w:spacing w:after="0" w:line="240" w:lineRule="auto"/>
      </w:pPr>
      <w:r>
        <w:separator/>
      </w:r>
    </w:p>
  </w:footnote>
  <w:footnote w:type="continuationSeparator" w:id="0">
    <w:p w14:paraId="150652E9" w14:textId="77777777" w:rsidR="00C02500" w:rsidRDefault="00C02500" w:rsidP="00F71EA3">
      <w:pPr>
        <w:spacing w:after="0" w:line="240" w:lineRule="auto"/>
      </w:pPr>
      <w:r>
        <w:continuationSeparator/>
      </w:r>
    </w:p>
  </w:footnote>
  <w:footnote w:id="1">
    <w:p w14:paraId="5598625C" w14:textId="6A32CB57" w:rsidR="0066472A" w:rsidRDefault="0066472A">
      <w:pPr>
        <w:pStyle w:val="FootnoteText"/>
      </w:pPr>
      <w:r>
        <w:rPr>
          <w:rStyle w:val="FootnoteReference"/>
        </w:rPr>
        <w:footnoteRef/>
      </w:r>
      <w:r>
        <w:t xml:space="preserve"> Panel Report, </w:t>
      </w:r>
      <w:r>
        <w:rPr>
          <w:i/>
          <w:iCs/>
        </w:rPr>
        <w:t>Korea – Commercial Vessels</w:t>
      </w:r>
      <w:r>
        <w:t>, para. 7.370, as follows: "[t]</w:t>
      </w:r>
      <w:proofErr w:type="gramStart"/>
      <w:r>
        <w:t>he</w:t>
      </w:r>
      <w:proofErr w:type="gramEnd"/>
      <w:r>
        <w:t xml:space="preserve"> object of a Member's responsibility should be its acts, as such, rather than the reactions to or consequences of those acts, as alleged reactions and consequences may simply be the result of happenstance or chance", quoting Panel Report, </w:t>
      </w:r>
      <w:r>
        <w:rPr>
          <w:i/>
          <w:iCs/>
        </w:rPr>
        <w:t>US – Export Restraints</w:t>
      </w:r>
      <w:r>
        <w:t xml:space="preserve">, para. 8.34: "we do not see how the reaction of private entities to a given governmental measure can be the basis on which the Member's compliance with its treaty obligations under the WTO is established". </w:t>
      </w:r>
      <w:r w:rsidR="008D411D">
        <w:t>See also, para. 8.31.</w:t>
      </w:r>
    </w:p>
  </w:footnote>
  <w:footnote w:id="2">
    <w:p w14:paraId="3BF3B25C" w14:textId="298EE013" w:rsidR="008B08E1" w:rsidRPr="008B08E1" w:rsidRDefault="008B08E1">
      <w:pPr>
        <w:pStyle w:val="FootnoteText"/>
      </w:pPr>
      <w:r>
        <w:rPr>
          <w:rStyle w:val="FootnoteReference"/>
        </w:rPr>
        <w:footnoteRef/>
      </w:r>
      <w:r>
        <w:t xml:space="preserve"> Panel Report, </w:t>
      </w:r>
      <w:r>
        <w:rPr>
          <w:i/>
          <w:iCs/>
        </w:rPr>
        <w:t>Korea – Commercial Vessels</w:t>
      </w:r>
      <w:r>
        <w:t>, para. 7.370</w:t>
      </w:r>
      <w:r w:rsidR="00EA7656">
        <w:t>.</w:t>
      </w:r>
    </w:p>
  </w:footnote>
  <w:footnote w:id="3">
    <w:p w14:paraId="39C35350" w14:textId="77777777" w:rsidR="00601C52" w:rsidRPr="00386746" w:rsidRDefault="00601C52" w:rsidP="00601C52">
      <w:pPr>
        <w:pStyle w:val="FootnoteText"/>
      </w:pPr>
      <w:r>
        <w:rPr>
          <w:rStyle w:val="FootnoteReference"/>
        </w:rPr>
        <w:footnoteRef/>
      </w:r>
      <w:r>
        <w:t xml:space="preserve"> See Appellate Body Report, </w:t>
      </w:r>
      <w:r>
        <w:rPr>
          <w:i/>
          <w:iCs/>
        </w:rPr>
        <w:t>US – Countervailing Duty Investigation on DRAMS</w:t>
      </w:r>
      <w:r>
        <w:t>, para. 150: "</w:t>
      </w:r>
      <w:r w:rsidRPr="00386746">
        <w:t xml:space="preserve"> </w:t>
      </w:r>
      <w:r>
        <w:t>Individual pieces of circumstantial evidence, by their very nature, are not likely to establish a proposition, unless and until viewed in conjunction with other pieces of evidence."</w:t>
      </w:r>
    </w:p>
  </w:footnote>
  <w:footnote w:id="4">
    <w:p w14:paraId="349B3F24" w14:textId="77777777" w:rsidR="00601C52" w:rsidRPr="00601C52" w:rsidRDefault="00601C52" w:rsidP="00601C52">
      <w:pPr>
        <w:pStyle w:val="FootnoteText"/>
      </w:pPr>
      <w:r>
        <w:rPr>
          <w:rStyle w:val="FootnoteReference"/>
        </w:rPr>
        <w:footnoteRef/>
      </w:r>
      <w:r>
        <w:t xml:space="preserve"> Appellate Body Report, </w:t>
      </w:r>
      <w:r>
        <w:rPr>
          <w:i/>
          <w:iCs/>
        </w:rPr>
        <w:t>US – Countervailing Duty Investigation on DRAMS</w:t>
      </w:r>
      <w:r>
        <w:t xml:space="preserve">, para. 124. (emphasis added). The Appellate Body also examine the counterfactual scenario where private actors </w:t>
      </w:r>
      <w:r w:rsidRPr="00601C52">
        <w:t xml:space="preserve">did not </w:t>
      </w:r>
      <w:r>
        <w:t xml:space="preserve">comply with the entrustment or direction </w:t>
      </w:r>
      <w:r>
        <w:rPr>
          <w:i/>
          <w:iCs/>
        </w:rPr>
        <w:t>at all</w:t>
      </w:r>
      <w:r>
        <w:t>, at para. 125.</w:t>
      </w:r>
    </w:p>
  </w:footnote>
  <w:footnote w:id="5">
    <w:p w14:paraId="45864C75" w14:textId="65B2BC6A" w:rsidR="00BF295B" w:rsidRPr="00BF295B" w:rsidRDefault="00BF295B">
      <w:pPr>
        <w:pStyle w:val="FootnoteText"/>
      </w:pPr>
      <w:r>
        <w:rPr>
          <w:rStyle w:val="FootnoteReference"/>
        </w:rPr>
        <w:footnoteRef/>
      </w:r>
      <w:r>
        <w:t xml:space="preserve"> Appellate Body Report, </w:t>
      </w:r>
      <w:r>
        <w:rPr>
          <w:i/>
          <w:iCs/>
        </w:rPr>
        <w:t>US – Countervailing Duty Investigation on DRAMS</w:t>
      </w:r>
      <w:r>
        <w:t>, para. 114.</w:t>
      </w:r>
    </w:p>
  </w:footnote>
  <w:footnote w:id="6">
    <w:p w14:paraId="6FE7BA8B" w14:textId="163C1EC7" w:rsidR="00BF295B" w:rsidRDefault="00BF295B">
      <w:pPr>
        <w:pStyle w:val="FootnoteText"/>
      </w:pPr>
      <w:r>
        <w:rPr>
          <w:rStyle w:val="FootnoteReference"/>
        </w:rPr>
        <w:footnoteRef/>
      </w:r>
      <w:r>
        <w:t xml:space="preserve"> Appellate Body Report, </w:t>
      </w:r>
      <w:r>
        <w:rPr>
          <w:i/>
          <w:iCs/>
        </w:rPr>
        <w:t>US – Countervailing Duty Investigation on DRAMS</w:t>
      </w:r>
      <w:r>
        <w:t>, para. 116 and fn. 188.</w:t>
      </w:r>
      <w:r w:rsidR="00DF7570">
        <w:t xml:space="preserve"> Australia also refers to paragraph 24 of its third party written submission, which outlines further principles on the nature of entrustment or direction.</w:t>
      </w:r>
    </w:p>
  </w:footnote>
  <w:footnote w:id="7">
    <w:p w14:paraId="7B2C39A9" w14:textId="082EFACD" w:rsidR="000E6B94" w:rsidRDefault="000E6B94">
      <w:pPr>
        <w:pStyle w:val="FootnoteText"/>
      </w:pPr>
      <w:r>
        <w:rPr>
          <w:rStyle w:val="FootnoteReference"/>
        </w:rPr>
        <w:footnoteRef/>
      </w:r>
      <w:r>
        <w:t xml:space="preserve"> Appellate Body Report, </w:t>
      </w:r>
      <w:r>
        <w:rPr>
          <w:i/>
          <w:iCs/>
        </w:rPr>
        <w:t>US – Countervailing Duty Investigation on DRAMS</w:t>
      </w:r>
      <w:r>
        <w:t>, para. 114.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7BFF" w14:textId="39AF7705" w:rsidR="00635A10" w:rsidRPr="00DA6839" w:rsidRDefault="00C85D7A">
    <w:pPr>
      <w:pStyle w:val="Header"/>
      <w:rPr>
        <w:i/>
        <w:iCs/>
      </w:rPr>
    </w:pPr>
    <w:r w:rsidRPr="00C85D7A">
      <w:rPr>
        <w:i/>
        <w:iCs/>
      </w:rPr>
      <w:t xml:space="preserve"> </w:t>
    </w:r>
    <w:r>
      <w:rPr>
        <w:i/>
        <w:iCs/>
      </w:rPr>
      <w:t>EU – CVDs on Biodiesel (Indonesia)</w:t>
    </w:r>
    <w:r>
      <w:rPr>
        <w:i/>
        <w:iCs/>
      </w:rPr>
      <w:tab/>
    </w:r>
    <w:r w:rsidR="00635A10" w:rsidRPr="00DA6839">
      <w:rPr>
        <w:i/>
        <w:iCs/>
      </w:rPr>
      <w:tab/>
    </w:r>
    <w:r w:rsidR="005A3AE3" w:rsidRPr="00DA6839">
      <w:rPr>
        <w:i/>
        <w:iCs/>
      </w:rPr>
      <w:t>Australia's Responses to Questions from the</w:t>
    </w:r>
  </w:p>
  <w:p w14:paraId="10F3C15A" w14:textId="63D60C24" w:rsidR="00635A10" w:rsidRPr="00DA6839" w:rsidRDefault="00C85D7A">
    <w:pPr>
      <w:pStyle w:val="Header"/>
      <w:rPr>
        <w:i/>
        <w:iCs/>
      </w:rPr>
    </w:pPr>
    <w:r w:rsidRPr="00C85D7A">
      <w:rPr>
        <w:i/>
        <w:iCs/>
      </w:rPr>
      <w:t>DS618</w:t>
    </w:r>
    <w:r>
      <w:rPr>
        <w:i/>
        <w:iCs/>
      </w:rPr>
      <w:tab/>
    </w:r>
    <w:r w:rsidR="00635A10" w:rsidRPr="00DA6839">
      <w:rPr>
        <w:i/>
        <w:iCs/>
      </w:rPr>
      <w:tab/>
    </w:r>
    <w:r w:rsidR="005A3AE3" w:rsidRPr="00DA6839">
      <w:rPr>
        <w:i/>
        <w:iCs/>
      </w:rPr>
      <w:t>Panel following the Third Party Session</w:t>
    </w:r>
  </w:p>
  <w:p w14:paraId="724D59C2" w14:textId="6779C49B" w:rsidR="00635A10" w:rsidRPr="000E24A1" w:rsidRDefault="00635A10" w:rsidP="006353D6">
    <w:pPr>
      <w:pStyle w:val="Header"/>
      <w:tabs>
        <w:tab w:val="left" w:pos="7371"/>
      </w:tabs>
      <w:rPr>
        <w:i/>
        <w:iCs/>
      </w:rPr>
    </w:pPr>
    <w:r w:rsidRPr="00DA6839">
      <w:rPr>
        <w:i/>
        <w:iCs/>
      </w:rPr>
      <w:tab/>
    </w:r>
    <w:r w:rsidRPr="00DA6839">
      <w:rPr>
        <w:i/>
        <w:iCs/>
      </w:rPr>
      <w:tab/>
    </w:r>
    <w:r w:rsidR="00C85D7A">
      <w:rPr>
        <w:i/>
        <w:iCs/>
      </w:rPr>
      <w:tab/>
    </w:r>
    <w:r w:rsidR="00C85D7A">
      <w:t xml:space="preserve">28 </w:t>
    </w:r>
    <w:r w:rsidR="006353D6">
      <w:t xml:space="preserve">October </w:t>
    </w:r>
    <w:r w:rsidR="007A24C5" w:rsidRPr="00C85D7A">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4596"/>
    <w:multiLevelType w:val="multilevel"/>
    <w:tmpl w:val="9CDE814C"/>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851"/>
        </w:tabs>
        <w:ind w:left="851" w:hanging="851"/>
      </w:pPr>
      <w:rPr>
        <w:rFonts w:hint="default"/>
        <w:sz w:val="24"/>
        <w:szCs w:val="24"/>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1" w15:restartNumberingAfterBreak="0">
    <w:nsid w:val="28243105"/>
    <w:multiLevelType w:val="hybridMultilevel"/>
    <w:tmpl w:val="4CD859C8"/>
    <w:lvl w:ilvl="0" w:tplc="0C09000F">
      <w:start w:val="1"/>
      <w:numFmt w:val="decimal"/>
      <w:pStyle w:val="P1-N1Paragraph1-Number1"/>
      <w:lvlText w:val="%1."/>
      <w:lvlJc w:val="left"/>
      <w:pPr>
        <w:tabs>
          <w:tab w:val="num" w:pos="851"/>
        </w:tabs>
        <w:ind w:left="0" w:firstLine="0"/>
      </w:pPr>
      <w:rPr>
        <w:rFonts w:hint="default"/>
        <w:b w:val="0"/>
        <w:bCs w:val="0"/>
        <w:i w:val="0"/>
        <w:iCs w:val="0"/>
        <w:color w:val="auto"/>
        <w:vertAlign w:val="baseline"/>
      </w:rPr>
    </w:lvl>
    <w:lvl w:ilvl="1" w:tplc="0C090019">
      <w:start w:val="1"/>
      <w:numFmt w:val="lowerLetter"/>
      <w:pStyle w:val="P2-B1Paragraph2-Bullet1"/>
      <w:lvlText w:val="%2."/>
      <w:lvlJc w:val="left"/>
      <w:pPr>
        <w:ind w:left="1211" w:hanging="360"/>
      </w:p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2" w15:restartNumberingAfterBreak="0">
    <w:nsid w:val="57454AB1"/>
    <w:multiLevelType w:val="multilevel"/>
    <w:tmpl w:val="3924631C"/>
    <w:name w:val="Panel questions"/>
    <w:lvl w:ilvl="0">
      <w:start w:val="1"/>
      <w:numFmt w:val="decimal"/>
      <w:lvlRestart w:val="0"/>
      <w:isLgl/>
      <w:suff w:val="space"/>
      <w:lvlText w:val="%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lvlRestart w:val="0"/>
      <w:lvlText w:val="%3."/>
      <w:lvlJc w:val="left"/>
      <w:pPr>
        <w:ind w:left="0" w:firstLine="0"/>
      </w:pPr>
      <w:rPr>
        <w:rFonts w:hint="default"/>
      </w:rPr>
    </w:lvl>
    <w:lvl w:ilvl="3">
      <w:start w:val="1"/>
      <w:numFmt w:val="lowerLetter"/>
      <w:suff w:val="space"/>
      <w:lvlText w:val="%4.  "/>
      <w:lvlJc w:val="left"/>
      <w:pPr>
        <w:ind w:left="0" w:firstLine="340"/>
      </w:pPr>
      <w:rPr>
        <w:rFonts w:hint="default"/>
      </w:rPr>
    </w:lvl>
    <w:lvl w:ilvl="4">
      <w:start w:val="1"/>
      <w:numFmt w:val="decimal"/>
      <w:lvlRestart w:val="1"/>
      <w:isLgl/>
      <w:lvlText w:val="%1.%5"/>
      <w:lvlJc w:val="left"/>
      <w:pPr>
        <w:ind w:left="0" w:firstLine="0"/>
      </w:pPr>
      <w:rPr>
        <w:rFonts w:hint="default"/>
      </w:rPr>
    </w:lvl>
    <w:lvl w:ilvl="5">
      <w:start w:val="1"/>
      <w:numFmt w:val="decimal"/>
      <w:lvlRestart w:val="2"/>
      <w:isLgl/>
      <w:lvlText w:val="%1.%2.%6"/>
      <w:lvlJc w:val="left"/>
      <w:pPr>
        <w:ind w:left="0" w:firstLine="0"/>
      </w:pPr>
      <w:rPr>
        <w:rFonts w:hint="default"/>
      </w:rPr>
    </w:lvl>
    <w:lvl w:ilvl="6">
      <w:start w:val="1"/>
      <w:numFmt w:val="decimal"/>
      <w:lvlRestart w:val="3"/>
      <w:isLgl/>
      <w:lvlText w:val="%1.%2.%6.%7"/>
      <w:lvlJc w:val="left"/>
      <w:pPr>
        <w:ind w:left="0" w:firstLine="0"/>
      </w:pPr>
      <w:rPr>
        <w:rFonts w:hint="default"/>
      </w:rPr>
    </w:lvl>
    <w:lvl w:ilvl="7">
      <w:start w:val="1"/>
      <w:numFmt w:val="lowerLetter"/>
      <w:lvlText w:val="%8."/>
      <w:lvlJc w:val="left"/>
      <w:pPr>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 w15:restartNumberingAfterBreak="0">
    <w:nsid w:val="57551E12"/>
    <w:multiLevelType w:val="multilevel"/>
    <w:tmpl w:val="075A666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4" w15:restartNumberingAfterBreak="0">
    <w:nsid w:val="63D526BA"/>
    <w:multiLevelType w:val="hybridMultilevel"/>
    <w:tmpl w:val="5CB60482"/>
    <w:lvl w:ilvl="0" w:tplc="513E3446">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69500102">
    <w:abstractNumId w:val="1"/>
  </w:num>
  <w:num w:numId="2" w16cid:durableId="846401725">
    <w:abstractNumId w:val="0"/>
  </w:num>
  <w:num w:numId="3" w16cid:durableId="343284933">
    <w:abstractNumId w:val="0"/>
  </w:num>
  <w:num w:numId="4" w16cid:durableId="49571587">
    <w:abstractNumId w:val="0"/>
  </w:num>
  <w:num w:numId="5" w16cid:durableId="1982684989">
    <w:abstractNumId w:val="0"/>
  </w:num>
  <w:num w:numId="6" w16cid:durableId="430126705">
    <w:abstractNumId w:val="1"/>
  </w:num>
  <w:num w:numId="7" w16cid:durableId="1752853467">
    <w:abstractNumId w:val="1"/>
  </w:num>
  <w:num w:numId="8" w16cid:durableId="1664234756">
    <w:abstractNumId w:val="3"/>
  </w:num>
  <w:num w:numId="9" w16cid:durableId="1694988614">
    <w:abstractNumId w:val="1"/>
  </w:num>
  <w:num w:numId="10" w16cid:durableId="1798058958">
    <w:abstractNumId w:val="1"/>
  </w:num>
  <w:num w:numId="11" w16cid:durableId="1534803441">
    <w:abstractNumId w:val="1"/>
  </w:num>
  <w:num w:numId="12" w16cid:durableId="1315452290">
    <w:abstractNumId w:val="0"/>
  </w:num>
  <w:num w:numId="13" w16cid:durableId="1323191717">
    <w:abstractNumId w:val="2"/>
  </w:num>
  <w:num w:numId="14" w16cid:durableId="1616791030">
    <w:abstractNumId w:val="1"/>
  </w:num>
  <w:num w:numId="15" w16cid:durableId="572206636">
    <w:abstractNumId w:val="1"/>
  </w:num>
  <w:num w:numId="16" w16cid:durableId="1616522585">
    <w:abstractNumId w:val="1"/>
  </w:num>
  <w:num w:numId="17" w16cid:durableId="1818909448">
    <w:abstractNumId w:val="1"/>
  </w:num>
  <w:num w:numId="18" w16cid:durableId="1609006422">
    <w:abstractNumId w:val="1"/>
  </w:num>
  <w:num w:numId="19" w16cid:durableId="1442265958">
    <w:abstractNumId w:val="1"/>
  </w:num>
  <w:num w:numId="20" w16cid:durableId="1446193952">
    <w:abstractNumId w:val="0"/>
  </w:num>
  <w:num w:numId="21" w16cid:durableId="1857309783">
    <w:abstractNumId w:val="0"/>
  </w:num>
  <w:num w:numId="22" w16cid:durableId="262493761">
    <w:abstractNumId w:val="1"/>
  </w:num>
  <w:num w:numId="23" w16cid:durableId="1876186799">
    <w:abstractNumId w:val="0"/>
  </w:num>
  <w:num w:numId="24" w16cid:durableId="362438493">
    <w:abstractNumId w:val="1"/>
  </w:num>
  <w:num w:numId="25" w16cid:durableId="901915872">
    <w:abstractNumId w:val="1"/>
  </w:num>
  <w:num w:numId="26" w16cid:durableId="51539178">
    <w:abstractNumId w:val="0"/>
  </w:num>
  <w:num w:numId="27" w16cid:durableId="850681967">
    <w:abstractNumId w:val="1"/>
  </w:num>
  <w:num w:numId="28" w16cid:durableId="1356464785">
    <w:abstractNumId w:val="0"/>
  </w:num>
  <w:num w:numId="29" w16cid:durableId="167524722">
    <w:abstractNumId w:val="1"/>
  </w:num>
  <w:num w:numId="30" w16cid:durableId="1001128806">
    <w:abstractNumId w:val="1"/>
  </w:num>
  <w:num w:numId="31" w16cid:durableId="1681348502">
    <w:abstractNumId w:val="1"/>
  </w:num>
  <w:num w:numId="32" w16cid:durableId="258030458">
    <w:abstractNumId w:val="1"/>
  </w:num>
  <w:num w:numId="33" w16cid:durableId="1292513694">
    <w:abstractNumId w:val="0"/>
  </w:num>
  <w:num w:numId="34" w16cid:durableId="1277560467">
    <w:abstractNumId w:val="1"/>
  </w:num>
  <w:num w:numId="35" w16cid:durableId="1375618909">
    <w:abstractNumId w:val="1"/>
  </w:num>
  <w:num w:numId="36" w16cid:durableId="944533674">
    <w:abstractNumId w:val="1"/>
  </w:num>
  <w:num w:numId="37" w16cid:durableId="1869178747">
    <w:abstractNumId w:val="1"/>
  </w:num>
  <w:num w:numId="38" w16cid:durableId="832379222">
    <w:abstractNumId w:val="1"/>
  </w:num>
  <w:num w:numId="39" w16cid:durableId="865558178">
    <w:abstractNumId w:val="1"/>
  </w:num>
  <w:num w:numId="40" w16cid:durableId="819809828">
    <w:abstractNumId w:val="4"/>
  </w:num>
  <w:num w:numId="41" w16cid:durableId="7276077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A3"/>
    <w:rsid w:val="00002C20"/>
    <w:rsid w:val="00005D81"/>
    <w:rsid w:val="00010AF2"/>
    <w:rsid w:val="00014DE6"/>
    <w:rsid w:val="000238CF"/>
    <w:rsid w:val="000321A1"/>
    <w:rsid w:val="0003352D"/>
    <w:rsid w:val="00034FB9"/>
    <w:rsid w:val="000350C7"/>
    <w:rsid w:val="00040DCB"/>
    <w:rsid w:val="00051192"/>
    <w:rsid w:val="00065D57"/>
    <w:rsid w:val="00072F70"/>
    <w:rsid w:val="00076908"/>
    <w:rsid w:val="0008073E"/>
    <w:rsid w:val="0008743C"/>
    <w:rsid w:val="000918FB"/>
    <w:rsid w:val="000942E7"/>
    <w:rsid w:val="000A40FC"/>
    <w:rsid w:val="000A6CF7"/>
    <w:rsid w:val="000A773A"/>
    <w:rsid w:val="000B2183"/>
    <w:rsid w:val="000B23D8"/>
    <w:rsid w:val="000C37BC"/>
    <w:rsid w:val="000D454B"/>
    <w:rsid w:val="000D5479"/>
    <w:rsid w:val="000E0007"/>
    <w:rsid w:val="000E18DA"/>
    <w:rsid w:val="000E24A1"/>
    <w:rsid w:val="000E2AFD"/>
    <w:rsid w:val="000E342D"/>
    <w:rsid w:val="000E3A98"/>
    <w:rsid w:val="000E6B94"/>
    <w:rsid w:val="00100C48"/>
    <w:rsid w:val="00100E47"/>
    <w:rsid w:val="001101F9"/>
    <w:rsid w:val="00120C78"/>
    <w:rsid w:val="0012540F"/>
    <w:rsid w:val="00150F94"/>
    <w:rsid w:val="00151914"/>
    <w:rsid w:val="00153E86"/>
    <w:rsid w:val="00160B67"/>
    <w:rsid w:val="00173A0A"/>
    <w:rsid w:val="0017760F"/>
    <w:rsid w:val="001846F7"/>
    <w:rsid w:val="00184F1C"/>
    <w:rsid w:val="00185110"/>
    <w:rsid w:val="00193D9B"/>
    <w:rsid w:val="001A0206"/>
    <w:rsid w:val="001A3AF1"/>
    <w:rsid w:val="001A7E04"/>
    <w:rsid w:val="001C11B5"/>
    <w:rsid w:val="001C663A"/>
    <w:rsid w:val="001C7086"/>
    <w:rsid w:val="001D3A5F"/>
    <w:rsid w:val="001D63E0"/>
    <w:rsid w:val="001E0708"/>
    <w:rsid w:val="001E32BE"/>
    <w:rsid w:val="001E6278"/>
    <w:rsid w:val="001E66F3"/>
    <w:rsid w:val="001F1A1B"/>
    <w:rsid w:val="001F3108"/>
    <w:rsid w:val="001F4E56"/>
    <w:rsid w:val="00202E65"/>
    <w:rsid w:val="00203238"/>
    <w:rsid w:val="00206824"/>
    <w:rsid w:val="00210D77"/>
    <w:rsid w:val="00216D93"/>
    <w:rsid w:val="00223D7D"/>
    <w:rsid w:val="002279EA"/>
    <w:rsid w:val="00233F47"/>
    <w:rsid w:val="0024198F"/>
    <w:rsid w:val="00251EF3"/>
    <w:rsid w:val="00251F2A"/>
    <w:rsid w:val="0025656C"/>
    <w:rsid w:val="00257F78"/>
    <w:rsid w:val="00265470"/>
    <w:rsid w:val="0026729C"/>
    <w:rsid w:val="00267756"/>
    <w:rsid w:val="00271C18"/>
    <w:rsid w:val="002720BF"/>
    <w:rsid w:val="00272FB5"/>
    <w:rsid w:val="002779D1"/>
    <w:rsid w:val="00280A62"/>
    <w:rsid w:val="00283EF1"/>
    <w:rsid w:val="00284B22"/>
    <w:rsid w:val="00285182"/>
    <w:rsid w:val="002852B7"/>
    <w:rsid w:val="0029356B"/>
    <w:rsid w:val="002A129C"/>
    <w:rsid w:val="002A599E"/>
    <w:rsid w:val="002B569C"/>
    <w:rsid w:val="002B65B9"/>
    <w:rsid w:val="002B7529"/>
    <w:rsid w:val="002C0FA5"/>
    <w:rsid w:val="002C4159"/>
    <w:rsid w:val="002D1B8C"/>
    <w:rsid w:val="002D2A77"/>
    <w:rsid w:val="002D56DD"/>
    <w:rsid w:val="002E165B"/>
    <w:rsid w:val="002E6C9F"/>
    <w:rsid w:val="0030017C"/>
    <w:rsid w:val="00302921"/>
    <w:rsid w:val="00305CFA"/>
    <w:rsid w:val="003073B9"/>
    <w:rsid w:val="00312D3D"/>
    <w:rsid w:val="00320ABB"/>
    <w:rsid w:val="00321269"/>
    <w:rsid w:val="00327650"/>
    <w:rsid w:val="0033341E"/>
    <w:rsid w:val="00345AF9"/>
    <w:rsid w:val="00350596"/>
    <w:rsid w:val="003548B3"/>
    <w:rsid w:val="0036302E"/>
    <w:rsid w:val="0036741E"/>
    <w:rsid w:val="00373BEA"/>
    <w:rsid w:val="00376CC9"/>
    <w:rsid w:val="00381722"/>
    <w:rsid w:val="00382529"/>
    <w:rsid w:val="00382620"/>
    <w:rsid w:val="00384419"/>
    <w:rsid w:val="00384DE1"/>
    <w:rsid w:val="00386746"/>
    <w:rsid w:val="003974E5"/>
    <w:rsid w:val="003A1F0E"/>
    <w:rsid w:val="003A2980"/>
    <w:rsid w:val="003A2EF0"/>
    <w:rsid w:val="003A4411"/>
    <w:rsid w:val="003D0D71"/>
    <w:rsid w:val="003D1C69"/>
    <w:rsid w:val="003D5634"/>
    <w:rsid w:val="003D6046"/>
    <w:rsid w:val="003E1284"/>
    <w:rsid w:val="003E383E"/>
    <w:rsid w:val="00400A7E"/>
    <w:rsid w:val="00402773"/>
    <w:rsid w:val="00403BA4"/>
    <w:rsid w:val="00413FE7"/>
    <w:rsid w:val="0043031F"/>
    <w:rsid w:val="00431120"/>
    <w:rsid w:val="004314F8"/>
    <w:rsid w:val="004413AD"/>
    <w:rsid w:val="004450F3"/>
    <w:rsid w:val="00456095"/>
    <w:rsid w:val="00463D58"/>
    <w:rsid w:val="00464272"/>
    <w:rsid w:val="00471D17"/>
    <w:rsid w:val="00472B6B"/>
    <w:rsid w:val="0047351C"/>
    <w:rsid w:val="00473E1F"/>
    <w:rsid w:val="00477321"/>
    <w:rsid w:val="0048059B"/>
    <w:rsid w:val="0048784A"/>
    <w:rsid w:val="004A0E3B"/>
    <w:rsid w:val="004A6DA6"/>
    <w:rsid w:val="004B727D"/>
    <w:rsid w:val="004B72A3"/>
    <w:rsid w:val="004B752E"/>
    <w:rsid w:val="004C20D5"/>
    <w:rsid w:val="004C40D8"/>
    <w:rsid w:val="004C59EC"/>
    <w:rsid w:val="004D302F"/>
    <w:rsid w:val="004D33E4"/>
    <w:rsid w:val="004D6D4F"/>
    <w:rsid w:val="004E2ADC"/>
    <w:rsid w:val="004F086B"/>
    <w:rsid w:val="004F122B"/>
    <w:rsid w:val="004F55C0"/>
    <w:rsid w:val="004F6E63"/>
    <w:rsid w:val="0050564E"/>
    <w:rsid w:val="00505CF6"/>
    <w:rsid w:val="00510D4B"/>
    <w:rsid w:val="005126FF"/>
    <w:rsid w:val="00512DB9"/>
    <w:rsid w:val="00532B8E"/>
    <w:rsid w:val="00533A67"/>
    <w:rsid w:val="00534A57"/>
    <w:rsid w:val="005428A7"/>
    <w:rsid w:val="00550FB2"/>
    <w:rsid w:val="0055116D"/>
    <w:rsid w:val="00553E1F"/>
    <w:rsid w:val="005563BD"/>
    <w:rsid w:val="00557440"/>
    <w:rsid w:val="00557D4F"/>
    <w:rsid w:val="00562025"/>
    <w:rsid w:val="00570814"/>
    <w:rsid w:val="0057426E"/>
    <w:rsid w:val="0057510B"/>
    <w:rsid w:val="00575516"/>
    <w:rsid w:val="005755A1"/>
    <w:rsid w:val="00577DD9"/>
    <w:rsid w:val="0058407D"/>
    <w:rsid w:val="005842A0"/>
    <w:rsid w:val="0059203F"/>
    <w:rsid w:val="00592993"/>
    <w:rsid w:val="0059641C"/>
    <w:rsid w:val="005A3AE3"/>
    <w:rsid w:val="005B23AD"/>
    <w:rsid w:val="005B311E"/>
    <w:rsid w:val="005B3554"/>
    <w:rsid w:val="005B3B75"/>
    <w:rsid w:val="005B7666"/>
    <w:rsid w:val="005C19EC"/>
    <w:rsid w:val="005C2ED2"/>
    <w:rsid w:val="005D44E8"/>
    <w:rsid w:val="005D77D0"/>
    <w:rsid w:val="005D7D97"/>
    <w:rsid w:val="005E1688"/>
    <w:rsid w:val="005E77F1"/>
    <w:rsid w:val="005F09CC"/>
    <w:rsid w:val="006014E1"/>
    <w:rsid w:val="00601C52"/>
    <w:rsid w:val="00610657"/>
    <w:rsid w:val="00611D3A"/>
    <w:rsid w:val="00624DC2"/>
    <w:rsid w:val="006353D6"/>
    <w:rsid w:val="00635A10"/>
    <w:rsid w:val="00643997"/>
    <w:rsid w:val="0065268F"/>
    <w:rsid w:val="00652692"/>
    <w:rsid w:val="0066472A"/>
    <w:rsid w:val="00664F6B"/>
    <w:rsid w:val="0066681B"/>
    <w:rsid w:val="00671672"/>
    <w:rsid w:val="00671821"/>
    <w:rsid w:val="00672B22"/>
    <w:rsid w:val="006735CE"/>
    <w:rsid w:val="00673C7B"/>
    <w:rsid w:val="00677E9E"/>
    <w:rsid w:val="00680B13"/>
    <w:rsid w:val="00681164"/>
    <w:rsid w:val="006868EB"/>
    <w:rsid w:val="00690EFC"/>
    <w:rsid w:val="006953D5"/>
    <w:rsid w:val="006A01CE"/>
    <w:rsid w:val="006A12F5"/>
    <w:rsid w:val="006A7505"/>
    <w:rsid w:val="006B0776"/>
    <w:rsid w:val="006B12DD"/>
    <w:rsid w:val="006B6078"/>
    <w:rsid w:val="006B6305"/>
    <w:rsid w:val="006C0913"/>
    <w:rsid w:val="006C1B1E"/>
    <w:rsid w:val="006C1EFC"/>
    <w:rsid w:val="006C7840"/>
    <w:rsid w:val="006C7DF8"/>
    <w:rsid w:val="006E4B19"/>
    <w:rsid w:val="007001C5"/>
    <w:rsid w:val="0070023E"/>
    <w:rsid w:val="00702D49"/>
    <w:rsid w:val="007047F7"/>
    <w:rsid w:val="00706483"/>
    <w:rsid w:val="007119A0"/>
    <w:rsid w:val="00711CF7"/>
    <w:rsid w:val="00713B48"/>
    <w:rsid w:val="00714176"/>
    <w:rsid w:val="0071719E"/>
    <w:rsid w:val="00723D29"/>
    <w:rsid w:val="007276B9"/>
    <w:rsid w:val="00730588"/>
    <w:rsid w:val="00736FDE"/>
    <w:rsid w:val="00737265"/>
    <w:rsid w:val="00737C03"/>
    <w:rsid w:val="00740790"/>
    <w:rsid w:val="00740F91"/>
    <w:rsid w:val="00743DBA"/>
    <w:rsid w:val="007454B2"/>
    <w:rsid w:val="00756CEA"/>
    <w:rsid w:val="007573B5"/>
    <w:rsid w:val="0076575E"/>
    <w:rsid w:val="007750F1"/>
    <w:rsid w:val="007774E4"/>
    <w:rsid w:val="007822F3"/>
    <w:rsid w:val="00784F35"/>
    <w:rsid w:val="00797888"/>
    <w:rsid w:val="007A24C5"/>
    <w:rsid w:val="007A5269"/>
    <w:rsid w:val="007A699B"/>
    <w:rsid w:val="007A6F74"/>
    <w:rsid w:val="007B077F"/>
    <w:rsid w:val="007C5A9C"/>
    <w:rsid w:val="007D04D5"/>
    <w:rsid w:val="007D25E5"/>
    <w:rsid w:val="007D2B2C"/>
    <w:rsid w:val="007E5C6D"/>
    <w:rsid w:val="007E7A23"/>
    <w:rsid w:val="007F03F8"/>
    <w:rsid w:val="007F1F2A"/>
    <w:rsid w:val="007F5450"/>
    <w:rsid w:val="00806D1B"/>
    <w:rsid w:val="00812225"/>
    <w:rsid w:val="00814159"/>
    <w:rsid w:val="00814497"/>
    <w:rsid w:val="00816BA6"/>
    <w:rsid w:val="00835ADC"/>
    <w:rsid w:val="00840A63"/>
    <w:rsid w:val="00843B3E"/>
    <w:rsid w:val="008473C3"/>
    <w:rsid w:val="008620AF"/>
    <w:rsid w:val="0086229B"/>
    <w:rsid w:val="00885512"/>
    <w:rsid w:val="00886B83"/>
    <w:rsid w:val="008922CB"/>
    <w:rsid w:val="00892C31"/>
    <w:rsid w:val="008A2D4C"/>
    <w:rsid w:val="008A517E"/>
    <w:rsid w:val="008B08E1"/>
    <w:rsid w:val="008B2334"/>
    <w:rsid w:val="008C453A"/>
    <w:rsid w:val="008D0A0D"/>
    <w:rsid w:val="008D411D"/>
    <w:rsid w:val="008F3AA9"/>
    <w:rsid w:val="008F4715"/>
    <w:rsid w:val="008F49E0"/>
    <w:rsid w:val="008F60C9"/>
    <w:rsid w:val="008F7177"/>
    <w:rsid w:val="008F7B2B"/>
    <w:rsid w:val="0090243C"/>
    <w:rsid w:val="00904275"/>
    <w:rsid w:val="00906928"/>
    <w:rsid w:val="0091379A"/>
    <w:rsid w:val="00917E1A"/>
    <w:rsid w:val="0092071B"/>
    <w:rsid w:val="009225A4"/>
    <w:rsid w:val="009320F0"/>
    <w:rsid w:val="00943152"/>
    <w:rsid w:val="00943744"/>
    <w:rsid w:val="00951016"/>
    <w:rsid w:val="00952ABA"/>
    <w:rsid w:val="00955E94"/>
    <w:rsid w:val="009722CA"/>
    <w:rsid w:val="0097321D"/>
    <w:rsid w:val="00973E5C"/>
    <w:rsid w:val="009838F3"/>
    <w:rsid w:val="00985D49"/>
    <w:rsid w:val="00990348"/>
    <w:rsid w:val="00990CD9"/>
    <w:rsid w:val="00992A8D"/>
    <w:rsid w:val="00993E6D"/>
    <w:rsid w:val="00994D63"/>
    <w:rsid w:val="009959B6"/>
    <w:rsid w:val="009A3D63"/>
    <w:rsid w:val="009A6491"/>
    <w:rsid w:val="009B3919"/>
    <w:rsid w:val="009C11E2"/>
    <w:rsid w:val="009E2F23"/>
    <w:rsid w:val="009E40F1"/>
    <w:rsid w:val="009E49B5"/>
    <w:rsid w:val="009E5915"/>
    <w:rsid w:val="009F0C57"/>
    <w:rsid w:val="009F4A6B"/>
    <w:rsid w:val="00A0019A"/>
    <w:rsid w:val="00A0492B"/>
    <w:rsid w:val="00A11DC9"/>
    <w:rsid w:val="00A134C5"/>
    <w:rsid w:val="00A145B7"/>
    <w:rsid w:val="00A1694F"/>
    <w:rsid w:val="00A201F9"/>
    <w:rsid w:val="00A20227"/>
    <w:rsid w:val="00A244EB"/>
    <w:rsid w:val="00A26527"/>
    <w:rsid w:val="00A3246F"/>
    <w:rsid w:val="00A34422"/>
    <w:rsid w:val="00A362E9"/>
    <w:rsid w:val="00A371B4"/>
    <w:rsid w:val="00A3755A"/>
    <w:rsid w:val="00A429AD"/>
    <w:rsid w:val="00A42F69"/>
    <w:rsid w:val="00A46F60"/>
    <w:rsid w:val="00A47CF9"/>
    <w:rsid w:val="00A56710"/>
    <w:rsid w:val="00A5675D"/>
    <w:rsid w:val="00A57337"/>
    <w:rsid w:val="00A601F0"/>
    <w:rsid w:val="00A65808"/>
    <w:rsid w:val="00A6692A"/>
    <w:rsid w:val="00A710F9"/>
    <w:rsid w:val="00A725B1"/>
    <w:rsid w:val="00A87BA5"/>
    <w:rsid w:val="00A90E41"/>
    <w:rsid w:val="00A95F3D"/>
    <w:rsid w:val="00A9785D"/>
    <w:rsid w:val="00AA1A55"/>
    <w:rsid w:val="00AA468D"/>
    <w:rsid w:val="00AB1F8A"/>
    <w:rsid w:val="00AB2C34"/>
    <w:rsid w:val="00AB5F91"/>
    <w:rsid w:val="00AD37DA"/>
    <w:rsid w:val="00AD3E21"/>
    <w:rsid w:val="00AE5E25"/>
    <w:rsid w:val="00AE6143"/>
    <w:rsid w:val="00AE6FCF"/>
    <w:rsid w:val="00AF1877"/>
    <w:rsid w:val="00AF3A4C"/>
    <w:rsid w:val="00AF7528"/>
    <w:rsid w:val="00B06139"/>
    <w:rsid w:val="00B11A29"/>
    <w:rsid w:val="00B134D8"/>
    <w:rsid w:val="00B17DA4"/>
    <w:rsid w:val="00B2465A"/>
    <w:rsid w:val="00B4284B"/>
    <w:rsid w:val="00B43FED"/>
    <w:rsid w:val="00B46C00"/>
    <w:rsid w:val="00B63098"/>
    <w:rsid w:val="00B645A1"/>
    <w:rsid w:val="00B70775"/>
    <w:rsid w:val="00B73DCD"/>
    <w:rsid w:val="00B74CB9"/>
    <w:rsid w:val="00B863CD"/>
    <w:rsid w:val="00B91918"/>
    <w:rsid w:val="00B9696C"/>
    <w:rsid w:val="00B96B80"/>
    <w:rsid w:val="00BA0835"/>
    <w:rsid w:val="00BA0EA5"/>
    <w:rsid w:val="00BA236E"/>
    <w:rsid w:val="00BA488B"/>
    <w:rsid w:val="00BB0665"/>
    <w:rsid w:val="00BC034B"/>
    <w:rsid w:val="00BC1B53"/>
    <w:rsid w:val="00BC487C"/>
    <w:rsid w:val="00BC74F3"/>
    <w:rsid w:val="00BD17EA"/>
    <w:rsid w:val="00BD2DC2"/>
    <w:rsid w:val="00BD4E67"/>
    <w:rsid w:val="00BD64D4"/>
    <w:rsid w:val="00BE34E1"/>
    <w:rsid w:val="00BE3B57"/>
    <w:rsid w:val="00BF295B"/>
    <w:rsid w:val="00C016CB"/>
    <w:rsid w:val="00C02500"/>
    <w:rsid w:val="00C03A06"/>
    <w:rsid w:val="00C05090"/>
    <w:rsid w:val="00C15C33"/>
    <w:rsid w:val="00C227A5"/>
    <w:rsid w:val="00C33BD1"/>
    <w:rsid w:val="00C37930"/>
    <w:rsid w:val="00C44B78"/>
    <w:rsid w:val="00C45777"/>
    <w:rsid w:val="00C610CD"/>
    <w:rsid w:val="00C63472"/>
    <w:rsid w:val="00C7681E"/>
    <w:rsid w:val="00C814EF"/>
    <w:rsid w:val="00C85D7A"/>
    <w:rsid w:val="00C871DD"/>
    <w:rsid w:val="00C873D0"/>
    <w:rsid w:val="00C94ED6"/>
    <w:rsid w:val="00C96E1B"/>
    <w:rsid w:val="00CB0FC3"/>
    <w:rsid w:val="00CB1C5E"/>
    <w:rsid w:val="00CB2600"/>
    <w:rsid w:val="00CB7A6E"/>
    <w:rsid w:val="00CC4C03"/>
    <w:rsid w:val="00CC4C65"/>
    <w:rsid w:val="00CD0116"/>
    <w:rsid w:val="00CD1FCF"/>
    <w:rsid w:val="00CD22BE"/>
    <w:rsid w:val="00CE295D"/>
    <w:rsid w:val="00CE3099"/>
    <w:rsid w:val="00CE4CE4"/>
    <w:rsid w:val="00CE6A3D"/>
    <w:rsid w:val="00CF7B89"/>
    <w:rsid w:val="00D06B49"/>
    <w:rsid w:val="00D17409"/>
    <w:rsid w:val="00D21D72"/>
    <w:rsid w:val="00D2537F"/>
    <w:rsid w:val="00D2673C"/>
    <w:rsid w:val="00D32925"/>
    <w:rsid w:val="00D3365F"/>
    <w:rsid w:val="00D41158"/>
    <w:rsid w:val="00D50DFB"/>
    <w:rsid w:val="00D51DA5"/>
    <w:rsid w:val="00D5503C"/>
    <w:rsid w:val="00D55A26"/>
    <w:rsid w:val="00D6072E"/>
    <w:rsid w:val="00D61A4B"/>
    <w:rsid w:val="00D6751D"/>
    <w:rsid w:val="00D7472A"/>
    <w:rsid w:val="00D76009"/>
    <w:rsid w:val="00D83AA8"/>
    <w:rsid w:val="00D8736C"/>
    <w:rsid w:val="00D90B80"/>
    <w:rsid w:val="00D93A2D"/>
    <w:rsid w:val="00D95055"/>
    <w:rsid w:val="00D97476"/>
    <w:rsid w:val="00DA23CB"/>
    <w:rsid w:val="00DA6839"/>
    <w:rsid w:val="00DB409D"/>
    <w:rsid w:val="00DC06F4"/>
    <w:rsid w:val="00DC39FE"/>
    <w:rsid w:val="00DC4BBE"/>
    <w:rsid w:val="00DC7AA1"/>
    <w:rsid w:val="00DD420F"/>
    <w:rsid w:val="00DD7D7A"/>
    <w:rsid w:val="00DE1FD5"/>
    <w:rsid w:val="00DE55AD"/>
    <w:rsid w:val="00DF1461"/>
    <w:rsid w:val="00DF6281"/>
    <w:rsid w:val="00DF7570"/>
    <w:rsid w:val="00E17FCD"/>
    <w:rsid w:val="00E2215B"/>
    <w:rsid w:val="00E23658"/>
    <w:rsid w:val="00E25143"/>
    <w:rsid w:val="00E27F69"/>
    <w:rsid w:val="00E31B3D"/>
    <w:rsid w:val="00E33CFC"/>
    <w:rsid w:val="00E36A49"/>
    <w:rsid w:val="00E37735"/>
    <w:rsid w:val="00E41F57"/>
    <w:rsid w:val="00E53021"/>
    <w:rsid w:val="00E56D3E"/>
    <w:rsid w:val="00E601EA"/>
    <w:rsid w:val="00E750B4"/>
    <w:rsid w:val="00E76FAB"/>
    <w:rsid w:val="00E84FEC"/>
    <w:rsid w:val="00E90AA9"/>
    <w:rsid w:val="00E96DDC"/>
    <w:rsid w:val="00E9798B"/>
    <w:rsid w:val="00EA5D47"/>
    <w:rsid w:val="00EA7656"/>
    <w:rsid w:val="00EB183E"/>
    <w:rsid w:val="00EC5E11"/>
    <w:rsid w:val="00ED3502"/>
    <w:rsid w:val="00ED4A0F"/>
    <w:rsid w:val="00ED7DE5"/>
    <w:rsid w:val="00EE48D2"/>
    <w:rsid w:val="00EF13ED"/>
    <w:rsid w:val="00EF3819"/>
    <w:rsid w:val="00EF4163"/>
    <w:rsid w:val="00EF4331"/>
    <w:rsid w:val="00EF7E14"/>
    <w:rsid w:val="00F02E0F"/>
    <w:rsid w:val="00F03F6E"/>
    <w:rsid w:val="00F076AD"/>
    <w:rsid w:val="00F174F4"/>
    <w:rsid w:val="00F26547"/>
    <w:rsid w:val="00F2707B"/>
    <w:rsid w:val="00F31728"/>
    <w:rsid w:val="00F32D00"/>
    <w:rsid w:val="00F336D8"/>
    <w:rsid w:val="00F4141A"/>
    <w:rsid w:val="00F414DB"/>
    <w:rsid w:val="00F50B2B"/>
    <w:rsid w:val="00F60D7B"/>
    <w:rsid w:val="00F64C60"/>
    <w:rsid w:val="00F64CE7"/>
    <w:rsid w:val="00F71EA3"/>
    <w:rsid w:val="00F73925"/>
    <w:rsid w:val="00F7455F"/>
    <w:rsid w:val="00F86652"/>
    <w:rsid w:val="00F8755B"/>
    <w:rsid w:val="00F9067F"/>
    <w:rsid w:val="00F90940"/>
    <w:rsid w:val="00F93792"/>
    <w:rsid w:val="00F944B9"/>
    <w:rsid w:val="00FA06B8"/>
    <w:rsid w:val="00FB342D"/>
    <w:rsid w:val="00FC18CC"/>
    <w:rsid w:val="00FC2461"/>
    <w:rsid w:val="00FC435D"/>
    <w:rsid w:val="00FC5A03"/>
    <w:rsid w:val="00FD3C21"/>
    <w:rsid w:val="00FE1292"/>
    <w:rsid w:val="00FE1E0C"/>
    <w:rsid w:val="00FE47A3"/>
    <w:rsid w:val="00FE5D62"/>
    <w:rsid w:val="00FE698F"/>
    <w:rsid w:val="00FF4052"/>
    <w:rsid w:val="00FF47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0B9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1EA3"/>
    <w:pPr>
      <w:spacing w:line="360" w:lineRule="auto"/>
      <w:jc w:val="both"/>
    </w:pPr>
    <w:rPr>
      <w:rFonts w:ascii="Calibri" w:hAnsi="Calibri"/>
      <w:kern w:val="0"/>
      <w:sz w:val="24"/>
      <w:szCs w:val="24"/>
      <w14:ligatures w14:val="none"/>
    </w:rPr>
  </w:style>
  <w:style w:type="paragraph" w:styleId="Heading1">
    <w:name w:val="heading 1"/>
    <w:basedOn w:val="DTDocumentTitle"/>
    <w:next w:val="Normal"/>
    <w:link w:val="Heading1Char"/>
    <w:uiPriority w:val="2"/>
    <w:qFormat/>
    <w:rsid w:val="00D8736C"/>
    <w:pPr>
      <w:outlineLvl w:val="0"/>
    </w:pPr>
    <w:rPr>
      <w:rFonts w:cs="Calibri"/>
    </w:rPr>
  </w:style>
  <w:style w:type="paragraph" w:styleId="Heading2">
    <w:name w:val="heading 2"/>
    <w:basedOn w:val="HL1HeadingLevel1"/>
    <w:next w:val="Normal"/>
    <w:link w:val="Heading2Char"/>
    <w:uiPriority w:val="2"/>
    <w:unhideWhenUsed/>
    <w:qFormat/>
    <w:rsid w:val="00D8736C"/>
    <w:pPr>
      <w:outlineLvl w:val="1"/>
    </w:pPr>
  </w:style>
  <w:style w:type="paragraph" w:styleId="Heading3">
    <w:name w:val="heading 3"/>
    <w:basedOn w:val="P1-N1Paragraph1-Number1"/>
    <w:next w:val="Normal"/>
    <w:link w:val="Heading3Char"/>
    <w:uiPriority w:val="2"/>
    <w:unhideWhenUsed/>
    <w:qFormat/>
    <w:rsid w:val="00D8736C"/>
    <w:pPr>
      <w:numPr>
        <w:numId w:val="0"/>
      </w:numPr>
      <w:outlineLvl w:val="2"/>
    </w:pPr>
    <w:rPr>
      <w:rFonts w:cs="Calibri"/>
      <w:b/>
      <w:bCs/>
      <w:sz w:val="28"/>
      <w:szCs w:val="28"/>
    </w:rPr>
  </w:style>
  <w:style w:type="paragraph" w:styleId="Heading4">
    <w:name w:val="heading 4"/>
    <w:basedOn w:val="Normal"/>
    <w:next w:val="Normal"/>
    <w:link w:val="Heading4Char"/>
    <w:uiPriority w:val="2"/>
    <w:unhideWhenUsed/>
    <w:qFormat/>
    <w:rsid w:val="00F71EA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71EA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71EA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71EA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71EA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1EA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BodyText">
    <w:name w:val="[BT] Body Text"/>
    <w:basedOn w:val="Normal"/>
    <w:link w:val="BTBodyTextChar"/>
    <w:uiPriority w:val="2"/>
    <w:qFormat/>
    <w:rsid w:val="00F71EA3"/>
  </w:style>
  <w:style w:type="character" w:customStyle="1" w:styleId="BTBodyTextChar">
    <w:name w:val="[BT] Body Text Char"/>
    <w:basedOn w:val="DefaultParagraphFont"/>
    <w:link w:val="BTBodyText"/>
    <w:uiPriority w:val="2"/>
    <w:rsid w:val="00F71EA3"/>
    <w:rPr>
      <w:rFonts w:ascii="Calibri" w:hAnsi="Calibri"/>
      <w:kern w:val="0"/>
      <w:sz w:val="24"/>
      <w:szCs w:val="24"/>
      <w14:ligatures w14:val="none"/>
    </w:rPr>
  </w:style>
  <w:style w:type="paragraph" w:customStyle="1" w:styleId="BTNSSBodyTextNoSpacingSmall">
    <w:name w:val="[BTNSS] Body Text No Spacing Small"/>
    <w:basedOn w:val="Normal"/>
    <w:link w:val="BTNSSBodyTextNoSpacingSmallChar"/>
    <w:uiPriority w:val="2"/>
    <w:rsid w:val="00F71EA3"/>
    <w:pPr>
      <w:spacing w:after="0" w:line="240" w:lineRule="auto"/>
    </w:pPr>
    <w:rPr>
      <w:sz w:val="8"/>
      <w:szCs w:val="8"/>
    </w:rPr>
  </w:style>
  <w:style w:type="character" w:customStyle="1" w:styleId="BTNSSBodyTextNoSpacingSmallChar">
    <w:name w:val="[BTNSS] Body Text No Spacing Small Char"/>
    <w:basedOn w:val="DefaultParagraphFont"/>
    <w:link w:val="BTNSSBodyTextNoSpacingSmall"/>
    <w:uiPriority w:val="2"/>
    <w:rsid w:val="00F71EA3"/>
    <w:rPr>
      <w:rFonts w:ascii="Calibri" w:hAnsi="Calibri"/>
      <w:kern w:val="0"/>
      <w:sz w:val="8"/>
      <w:szCs w:val="8"/>
      <w14:ligatures w14:val="none"/>
    </w:rPr>
  </w:style>
  <w:style w:type="paragraph" w:customStyle="1" w:styleId="P1-N1Paragraph1-Number1">
    <w:name w:val="[P1-N1] Paragraph 1 - Number 1"/>
    <w:basedOn w:val="BTBodyText"/>
    <w:link w:val="P1-N1Paragraph1-Number1Char"/>
    <w:uiPriority w:val="6"/>
    <w:qFormat/>
    <w:rsid w:val="00F71EA3"/>
    <w:pPr>
      <w:numPr>
        <w:numId w:val="1"/>
      </w:numPr>
    </w:pPr>
  </w:style>
  <w:style w:type="paragraph" w:customStyle="1" w:styleId="P2-B1Paragraph2-Bullet1">
    <w:name w:val="[P2-B1] Paragraph 2 - Bullet 1"/>
    <w:basedOn w:val="BTBodyText"/>
    <w:link w:val="P2-B1Paragraph2-Bullet1Char"/>
    <w:uiPriority w:val="6"/>
    <w:qFormat/>
    <w:rsid w:val="00F71EA3"/>
    <w:pPr>
      <w:numPr>
        <w:ilvl w:val="1"/>
        <w:numId w:val="1"/>
      </w:numPr>
      <w:spacing w:after="120"/>
    </w:pPr>
  </w:style>
  <w:style w:type="character" w:customStyle="1" w:styleId="P1-N1Paragraph1-Number1Char">
    <w:name w:val="[P1-N1] Paragraph 1 - Number 1 Char"/>
    <w:basedOn w:val="BTBodyTextChar"/>
    <w:link w:val="P1-N1Paragraph1-Number1"/>
    <w:uiPriority w:val="6"/>
    <w:rsid w:val="00F71EA3"/>
    <w:rPr>
      <w:rFonts w:ascii="Calibri" w:hAnsi="Calibri"/>
      <w:kern w:val="0"/>
      <w:sz w:val="24"/>
      <w:szCs w:val="24"/>
      <w14:ligatures w14:val="none"/>
    </w:rPr>
  </w:style>
  <w:style w:type="paragraph" w:customStyle="1" w:styleId="P3-B2Paragraph3-Bullet2">
    <w:name w:val="[P3-B2] Paragraph 3 - Bullet 2"/>
    <w:basedOn w:val="BTBodyText"/>
    <w:link w:val="P3-B2Paragraph3-Bullet2Char"/>
    <w:uiPriority w:val="6"/>
    <w:qFormat/>
    <w:rsid w:val="00F71EA3"/>
    <w:pPr>
      <w:numPr>
        <w:ilvl w:val="2"/>
        <w:numId w:val="1"/>
      </w:numPr>
      <w:spacing w:after="120"/>
    </w:pPr>
  </w:style>
  <w:style w:type="character" w:customStyle="1" w:styleId="P2-B1Paragraph2-Bullet1Char">
    <w:name w:val="[P2-B1] Paragraph 2 - Bullet 1 Char"/>
    <w:basedOn w:val="BTBodyTextChar"/>
    <w:link w:val="P2-B1Paragraph2-Bullet1"/>
    <w:uiPriority w:val="6"/>
    <w:rsid w:val="00F71EA3"/>
    <w:rPr>
      <w:rFonts w:ascii="Calibri" w:hAnsi="Calibri"/>
      <w:kern w:val="0"/>
      <w:sz w:val="24"/>
      <w:szCs w:val="24"/>
      <w14:ligatures w14:val="none"/>
    </w:rPr>
  </w:style>
  <w:style w:type="paragraph" w:customStyle="1" w:styleId="P4-B3Paragraph4-Bullet3">
    <w:name w:val="[P4-B3] Paragraph 4 - Bullet 3"/>
    <w:basedOn w:val="BTBodyText"/>
    <w:uiPriority w:val="6"/>
    <w:rsid w:val="00F71EA3"/>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F71EA3"/>
    <w:rPr>
      <w:rFonts w:ascii="Calibri" w:hAnsi="Calibri"/>
      <w:kern w:val="0"/>
      <w:sz w:val="24"/>
      <w:szCs w:val="24"/>
      <w14:ligatures w14:val="none"/>
    </w:rPr>
  </w:style>
  <w:style w:type="paragraph" w:customStyle="1" w:styleId="P5-B4Paragraph5-Bullet4">
    <w:name w:val="[P5-B4] Paragraph 5 - Bullet 4"/>
    <w:basedOn w:val="BTBodyText"/>
    <w:uiPriority w:val="6"/>
    <w:rsid w:val="00F71EA3"/>
    <w:pPr>
      <w:numPr>
        <w:ilvl w:val="4"/>
        <w:numId w:val="1"/>
      </w:numPr>
      <w:spacing w:after="120"/>
    </w:pPr>
  </w:style>
  <w:style w:type="paragraph" w:customStyle="1" w:styleId="P6-B5Paragraph6-Bullet5">
    <w:name w:val="[P6-B5] Paragraph 6 - Bullet 5"/>
    <w:basedOn w:val="BTBodyText"/>
    <w:uiPriority w:val="6"/>
    <w:rsid w:val="00F71EA3"/>
    <w:pPr>
      <w:numPr>
        <w:ilvl w:val="5"/>
        <w:numId w:val="1"/>
      </w:numPr>
      <w:spacing w:after="120"/>
      <w:ind w:left="5104" w:hanging="851"/>
    </w:pPr>
  </w:style>
  <w:style w:type="paragraph" w:customStyle="1" w:styleId="P7-B6Paragraph7-Bullet6">
    <w:name w:val="[P7-B6] Paragraph 7 - Bullet 6"/>
    <w:basedOn w:val="BTBodyText"/>
    <w:uiPriority w:val="6"/>
    <w:rsid w:val="00F71EA3"/>
    <w:pPr>
      <w:numPr>
        <w:ilvl w:val="6"/>
        <w:numId w:val="1"/>
      </w:numPr>
      <w:spacing w:after="120"/>
    </w:pPr>
  </w:style>
  <w:style w:type="paragraph" w:customStyle="1" w:styleId="P8-B7Paragraph8-Bullet7">
    <w:name w:val="[P8-B7] Paragraph 8 - Bullet 7"/>
    <w:basedOn w:val="BTBodyText"/>
    <w:uiPriority w:val="6"/>
    <w:rsid w:val="00F71EA3"/>
    <w:pPr>
      <w:numPr>
        <w:ilvl w:val="7"/>
        <w:numId w:val="1"/>
      </w:numPr>
      <w:spacing w:after="120"/>
      <w:ind w:left="6805" w:hanging="851"/>
    </w:pPr>
  </w:style>
  <w:style w:type="paragraph" w:customStyle="1" w:styleId="P9-B8Paragraph9-Bullet8">
    <w:name w:val="[P9-B8] Paragraph 9 - Bullet 8"/>
    <w:basedOn w:val="BTBodyText"/>
    <w:uiPriority w:val="6"/>
    <w:rsid w:val="00F71EA3"/>
    <w:pPr>
      <w:numPr>
        <w:ilvl w:val="8"/>
        <w:numId w:val="1"/>
      </w:numPr>
      <w:spacing w:after="120"/>
    </w:pPr>
  </w:style>
  <w:style w:type="paragraph" w:customStyle="1" w:styleId="HL1HeadingLevel1">
    <w:name w:val="[HL1] Heading Level 1"/>
    <w:basedOn w:val="Heading1"/>
    <w:next w:val="P1-N1Paragraph1-Number1"/>
    <w:link w:val="HL1HeadingLevel1Char"/>
    <w:uiPriority w:val="4"/>
    <w:qFormat/>
    <w:rsid w:val="00F71EA3"/>
    <w:pPr>
      <w:numPr>
        <w:numId w:val="2"/>
      </w:numPr>
    </w:pPr>
    <w:rPr>
      <w:b w:val="0"/>
      <w:caps/>
      <w:sz w:val="28"/>
    </w:rPr>
  </w:style>
  <w:style w:type="paragraph" w:customStyle="1" w:styleId="HL2HeadingLevel2">
    <w:name w:val="[HL2] Heading Level 2"/>
    <w:basedOn w:val="Heading2"/>
    <w:next w:val="P1-N1Paragraph1-Number1"/>
    <w:link w:val="HL2HeadingLevel2Char"/>
    <w:uiPriority w:val="4"/>
    <w:qFormat/>
    <w:rsid w:val="00F71EA3"/>
    <w:pPr>
      <w:numPr>
        <w:ilvl w:val="1"/>
      </w:numPr>
    </w:pPr>
    <w:rPr>
      <w:b/>
      <w:smallCaps w:val="0"/>
    </w:rPr>
  </w:style>
  <w:style w:type="character" w:customStyle="1" w:styleId="HL1HeadingLevel1Char">
    <w:name w:val="[HL1] Heading Level 1 Char"/>
    <w:basedOn w:val="BTBodyTextChar"/>
    <w:link w:val="HL1HeadingLevel1"/>
    <w:uiPriority w:val="4"/>
    <w:rsid w:val="00F71EA3"/>
    <w:rPr>
      <w:rFonts w:ascii="Calibri" w:eastAsiaTheme="majorEastAsia" w:hAnsi="Calibri" w:cstheme="majorBidi"/>
      <w:b/>
      <w:caps/>
      <w:kern w:val="0"/>
      <w:sz w:val="28"/>
      <w:szCs w:val="32"/>
      <w14:ligatures w14:val="none"/>
    </w:rPr>
  </w:style>
  <w:style w:type="paragraph" w:customStyle="1" w:styleId="HL3HeadingLevel3">
    <w:name w:val="[HL3] Heading Level 3"/>
    <w:basedOn w:val="Heading3"/>
    <w:next w:val="P1-N1Paragraph1-Number1"/>
    <w:uiPriority w:val="4"/>
    <w:qFormat/>
    <w:rsid w:val="00F71EA3"/>
    <w:pPr>
      <w:numPr>
        <w:ilvl w:val="2"/>
        <w:numId w:val="2"/>
      </w:numPr>
    </w:pPr>
    <w:rPr>
      <w:b w:val="0"/>
    </w:rPr>
  </w:style>
  <w:style w:type="character" w:customStyle="1" w:styleId="HL2HeadingLevel2Char">
    <w:name w:val="[HL2] Heading Level 2 Char"/>
    <w:basedOn w:val="BTBodyTextChar"/>
    <w:link w:val="HL2HeadingLevel2"/>
    <w:uiPriority w:val="4"/>
    <w:rsid w:val="00F71EA3"/>
    <w:rPr>
      <w:rFonts w:ascii="Calibri" w:eastAsiaTheme="majorEastAsia" w:hAnsi="Calibri" w:cstheme="majorBidi"/>
      <w:b/>
      <w:smallCaps/>
      <w:kern w:val="0"/>
      <w:sz w:val="28"/>
      <w:szCs w:val="26"/>
      <w14:ligatures w14:val="none"/>
    </w:rPr>
  </w:style>
  <w:style w:type="paragraph" w:customStyle="1" w:styleId="HL4HeadingLevel4">
    <w:name w:val="[HL4] Heading Level 4"/>
    <w:basedOn w:val="Heading4"/>
    <w:next w:val="P1-N1Paragraph1-Number1"/>
    <w:uiPriority w:val="4"/>
    <w:qFormat/>
    <w:rsid w:val="00F71EA3"/>
    <w:pPr>
      <w:numPr>
        <w:ilvl w:val="3"/>
        <w:numId w:val="2"/>
      </w:numPr>
      <w:spacing w:before="0" w:after="160"/>
    </w:pPr>
    <w:rPr>
      <w:rFonts w:ascii="Calibri" w:hAnsi="Calibri"/>
      <w:i w:val="0"/>
      <w:color w:val="auto"/>
      <w:u w:val="single"/>
    </w:rPr>
  </w:style>
  <w:style w:type="paragraph" w:customStyle="1" w:styleId="HL5HeadingLevel5">
    <w:name w:val="[HL5] Heading Level 5"/>
    <w:basedOn w:val="Heading5"/>
    <w:next w:val="P1-N1Paragraph1-Number1"/>
    <w:uiPriority w:val="4"/>
    <w:qFormat/>
    <w:rsid w:val="00F71EA3"/>
    <w:pPr>
      <w:numPr>
        <w:ilvl w:val="4"/>
        <w:numId w:val="2"/>
      </w:numPr>
      <w:spacing w:before="0" w:after="160"/>
    </w:pPr>
    <w:rPr>
      <w:rFonts w:ascii="Calibri" w:hAnsi="Calibri"/>
      <w:i/>
      <w:color w:val="auto"/>
    </w:rPr>
  </w:style>
  <w:style w:type="paragraph" w:customStyle="1" w:styleId="HL6HeadingLevel6">
    <w:name w:val="[HL6] Heading Level 6"/>
    <w:basedOn w:val="Heading6"/>
    <w:next w:val="P1-N1Paragraph1-Number1"/>
    <w:uiPriority w:val="4"/>
    <w:semiHidden/>
    <w:rsid w:val="00F71EA3"/>
    <w:pPr>
      <w:numPr>
        <w:ilvl w:val="5"/>
        <w:numId w:val="2"/>
      </w:numPr>
      <w:spacing w:before="0" w:after="160"/>
    </w:pPr>
    <w:rPr>
      <w:rFonts w:ascii="Calibri" w:hAnsi="Calibri"/>
      <w:color w:val="auto"/>
      <w:u w:val="single"/>
    </w:rPr>
  </w:style>
  <w:style w:type="paragraph" w:customStyle="1" w:styleId="HL7HeadingLevel7">
    <w:name w:val="[HL7] Heading Level 7"/>
    <w:basedOn w:val="Heading7"/>
    <w:next w:val="P1-N1Paragraph1-Number1"/>
    <w:uiPriority w:val="4"/>
    <w:semiHidden/>
    <w:rsid w:val="00F71EA3"/>
    <w:pPr>
      <w:numPr>
        <w:ilvl w:val="6"/>
        <w:numId w:val="2"/>
      </w:numPr>
      <w:spacing w:before="0" w:after="160"/>
    </w:pPr>
    <w:rPr>
      <w:rFonts w:ascii="Calibri" w:hAnsi="Calibri"/>
      <w:color w:val="auto"/>
    </w:rPr>
  </w:style>
  <w:style w:type="paragraph" w:customStyle="1" w:styleId="HL8HeadingLevel8">
    <w:name w:val="[HL8] Heading Level 8"/>
    <w:basedOn w:val="Heading8"/>
    <w:next w:val="P1-N1Paragraph1-Number1"/>
    <w:uiPriority w:val="4"/>
    <w:semiHidden/>
    <w:rsid w:val="00F71EA3"/>
    <w:pPr>
      <w:numPr>
        <w:ilvl w:val="7"/>
        <w:numId w:val="2"/>
      </w:numPr>
      <w:spacing w:before="0" w:after="160"/>
    </w:pPr>
    <w:rPr>
      <w:rFonts w:ascii="Calibri" w:hAnsi="Calibri"/>
      <w:color w:val="auto"/>
      <w:sz w:val="24"/>
      <w:u w:val="single"/>
    </w:rPr>
  </w:style>
  <w:style w:type="paragraph" w:customStyle="1" w:styleId="HL9HeadingLevel9">
    <w:name w:val="[HL9] Heading Level 9"/>
    <w:basedOn w:val="Heading9"/>
    <w:next w:val="P1-N1Paragraph1-Number1"/>
    <w:uiPriority w:val="4"/>
    <w:semiHidden/>
    <w:rsid w:val="00F71EA3"/>
    <w:pPr>
      <w:numPr>
        <w:ilvl w:val="8"/>
        <w:numId w:val="2"/>
      </w:numPr>
      <w:spacing w:before="0" w:after="160"/>
    </w:pPr>
    <w:rPr>
      <w:rFonts w:ascii="Calibri" w:hAnsi="Calibri"/>
      <w:color w:val="auto"/>
      <w:sz w:val="24"/>
    </w:rPr>
  </w:style>
  <w:style w:type="paragraph" w:customStyle="1" w:styleId="SHSectionHeading">
    <w:name w:val="[SH] Section Heading"/>
    <w:basedOn w:val="Heading1"/>
    <w:next w:val="BTBodyText"/>
    <w:link w:val="SHSectionHeadingChar"/>
    <w:uiPriority w:val="12"/>
    <w:qFormat/>
    <w:rsid w:val="00F71EA3"/>
    <w:rPr>
      <w:b w:val="0"/>
      <w:caps/>
      <w:sz w:val="24"/>
    </w:rPr>
  </w:style>
  <w:style w:type="character" w:customStyle="1" w:styleId="Heading1Char">
    <w:name w:val="Heading 1 Char"/>
    <w:basedOn w:val="DefaultParagraphFont"/>
    <w:link w:val="Heading1"/>
    <w:uiPriority w:val="2"/>
    <w:rsid w:val="00D8736C"/>
    <w:rPr>
      <w:rFonts w:ascii="Calibri" w:hAnsi="Calibri" w:cs="Calibri"/>
      <w:b/>
      <w:bCs/>
      <w:smallCaps/>
      <w:kern w:val="0"/>
      <w:sz w:val="36"/>
      <w:szCs w:val="36"/>
      <w14:ligatures w14:val="none"/>
    </w:rPr>
  </w:style>
  <w:style w:type="paragraph" w:styleId="TOCHeading">
    <w:name w:val="TOC Heading"/>
    <w:basedOn w:val="Normal"/>
    <w:next w:val="Normal"/>
    <w:uiPriority w:val="39"/>
    <w:unhideWhenUsed/>
    <w:qFormat/>
    <w:rsid w:val="00F71EA3"/>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F71EA3"/>
    <w:rPr>
      <w:rFonts w:ascii="Calibri" w:eastAsiaTheme="majorEastAsia" w:hAnsi="Calibri" w:cstheme="majorBidi"/>
      <w:b w:val="0"/>
      <w:bCs/>
      <w:caps/>
      <w:smallCaps/>
      <w:color w:val="2F5496" w:themeColor="accent1" w:themeShade="BF"/>
      <w:kern w:val="0"/>
      <w:sz w:val="24"/>
      <w:szCs w:val="32"/>
      <w14:ligatures w14:val="none"/>
    </w:rPr>
  </w:style>
  <w:style w:type="paragraph" w:styleId="TOC1">
    <w:name w:val="toc 1"/>
    <w:basedOn w:val="Normal"/>
    <w:next w:val="Normal"/>
    <w:autoRedefine/>
    <w:uiPriority w:val="39"/>
    <w:unhideWhenUsed/>
    <w:rsid w:val="00AF7528"/>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F71EA3"/>
    <w:pPr>
      <w:tabs>
        <w:tab w:val="left" w:pos="1276"/>
        <w:tab w:val="right" w:leader="dot" w:pos="9060"/>
      </w:tabs>
      <w:spacing w:before="120" w:after="100" w:line="240" w:lineRule="auto"/>
      <w:ind w:left="1276" w:hanging="851"/>
    </w:pPr>
    <w:rPr>
      <w:b/>
      <w:smallCaps/>
    </w:rPr>
  </w:style>
  <w:style w:type="character" w:styleId="Hyperlink">
    <w:name w:val="Hyperlink"/>
    <w:basedOn w:val="DefaultParagraphFont"/>
    <w:uiPriority w:val="99"/>
    <w:unhideWhenUsed/>
    <w:rsid w:val="00F71EA3"/>
    <w:rPr>
      <w:color w:val="0563C1" w:themeColor="hyperlink"/>
      <w:u w:val="single"/>
    </w:rPr>
  </w:style>
  <w:style w:type="table" w:styleId="TableGrid">
    <w:name w:val="Table Grid"/>
    <w:basedOn w:val="TableNormal"/>
    <w:uiPriority w:val="39"/>
    <w:rsid w:val="00F71EA3"/>
    <w:pPr>
      <w:spacing w:after="0" w:line="240" w:lineRule="auto"/>
      <w:jc w:val="both"/>
    </w:pPr>
    <w:rPr>
      <w:rFonts w:ascii="Calibri" w:hAnsi="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TableText">
    <w:name w:val="[TT] Table Text"/>
    <w:basedOn w:val="BTBodyText"/>
    <w:link w:val="TTTableTextChar"/>
    <w:uiPriority w:val="19"/>
    <w:qFormat/>
    <w:rsid w:val="00F71EA3"/>
    <w:pPr>
      <w:spacing w:before="40" w:after="40" w:line="240" w:lineRule="auto"/>
      <w:jc w:val="left"/>
    </w:pPr>
  </w:style>
  <w:style w:type="paragraph" w:customStyle="1" w:styleId="THTableHeading">
    <w:name w:val="[TH] Table Heading"/>
    <w:basedOn w:val="TTTableText"/>
    <w:link w:val="THTableHeadingChar"/>
    <w:uiPriority w:val="19"/>
    <w:qFormat/>
    <w:rsid w:val="00F71EA3"/>
    <w:rPr>
      <w:b/>
    </w:rPr>
  </w:style>
  <w:style w:type="character" w:customStyle="1" w:styleId="TTTableTextChar">
    <w:name w:val="[TT] Table Text Char"/>
    <w:basedOn w:val="BTBodyTextChar"/>
    <w:link w:val="TTTableText"/>
    <w:uiPriority w:val="19"/>
    <w:rsid w:val="00F71EA3"/>
    <w:rPr>
      <w:rFonts w:ascii="Calibri" w:hAnsi="Calibri"/>
      <w:kern w:val="0"/>
      <w:sz w:val="24"/>
      <w:szCs w:val="24"/>
      <w14:ligatures w14:val="none"/>
    </w:rPr>
  </w:style>
  <w:style w:type="character" w:customStyle="1" w:styleId="THTableHeadingChar">
    <w:name w:val="[TH] Table Heading Char"/>
    <w:basedOn w:val="TTTableTextChar"/>
    <w:link w:val="THTableHeading"/>
    <w:uiPriority w:val="19"/>
    <w:rsid w:val="00F71EA3"/>
    <w:rPr>
      <w:rFonts w:ascii="Calibri" w:hAnsi="Calibri"/>
      <w:b/>
      <w:kern w:val="0"/>
      <w:sz w:val="24"/>
      <w:szCs w:val="24"/>
      <w14:ligatures w14:val="none"/>
    </w:rPr>
  </w:style>
  <w:style w:type="paragraph" w:styleId="Header">
    <w:name w:val="header"/>
    <w:basedOn w:val="Normal"/>
    <w:link w:val="HeaderChar"/>
    <w:uiPriority w:val="99"/>
    <w:unhideWhenUsed/>
    <w:rsid w:val="00F71EA3"/>
    <w:pPr>
      <w:tabs>
        <w:tab w:val="center" w:pos="4536"/>
        <w:tab w:val="right" w:pos="9072"/>
      </w:tabs>
      <w:spacing w:after="0" w:line="240" w:lineRule="auto"/>
    </w:pPr>
    <w:rPr>
      <w:sz w:val="22"/>
    </w:rPr>
  </w:style>
  <w:style w:type="character" w:customStyle="1" w:styleId="HeaderChar">
    <w:name w:val="Header Char"/>
    <w:basedOn w:val="DefaultParagraphFont"/>
    <w:link w:val="Header"/>
    <w:uiPriority w:val="99"/>
    <w:rsid w:val="00F71EA3"/>
    <w:rPr>
      <w:rFonts w:ascii="Calibri" w:hAnsi="Calibri"/>
      <w:kern w:val="0"/>
      <w:szCs w:val="24"/>
      <w14:ligatures w14:val="none"/>
    </w:rPr>
  </w:style>
  <w:style w:type="paragraph" w:styleId="Footer">
    <w:name w:val="footer"/>
    <w:basedOn w:val="Normal"/>
    <w:link w:val="FooterChar"/>
    <w:uiPriority w:val="99"/>
    <w:unhideWhenUsed/>
    <w:rsid w:val="00F71EA3"/>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F71EA3"/>
    <w:rPr>
      <w:rFonts w:ascii="Calibri" w:hAnsi="Calibri"/>
      <w:kern w:val="0"/>
      <w:szCs w:val="24"/>
      <w14:ligatures w14:val="none"/>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Footnote Text Char1,Car,Cha"/>
    <w:basedOn w:val="Normal"/>
    <w:link w:val="FootnoteTextChar"/>
    <w:uiPriority w:val="5"/>
    <w:qFormat/>
    <w:rsid w:val="00F71EA3"/>
    <w:pPr>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5"/>
    <w:qFormat/>
    <w:rsid w:val="00F71EA3"/>
    <w:rPr>
      <w:rFonts w:ascii="Calibri" w:hAnsi="Calibri"/>
      <w:kern w:val="0"/>
      <w:sz w:val="18"/>
      <w:szCs w:val="20"/>
      <w14:ligatures w14:val="none"/>
    </w:rPr>
  </w:style>
  <w:style w:type="character" w:styleId="FootnoteReference">
    <w:name w:val="footnote reference"/>
    <w:aliases w:val="A4 Footnote Reference,Ref,de nota al pie,註腳內容,de nota al pie + (Asian) MS Mincho,11 pt,Footnote Reference1,Ref1,de nota al pie1,Style 15,註?腳Ò®é»,11 p,註?腳內—e,-E Fußnotenzeichen,註????腳內—e,f?,註??腳內—e,11,16 Point,Superscript 6 Point"/>
    <w:basedOn w:val="DefaultParagraphFont"/>
    <w:link w:val="CharChar6CharCharCharCharCharChar"/>
    <w:uiPriority w:val="5"/>
    <w:qFormat/>
    <w:rsid w:val="00F71EA3"/>
    <w:rPr>
      <w:rFonts w:ascii="Calibri" w:hAnsi="Calibri"/>
      <w:vertAlign w:val="superscript"/>
    </w:rPr>
  </w:style>
  <w:style w:type="paragraph" w:customStyle="1" w:styleId="WTODTWTODisputeTitle">
    <w:name w:val="[WTODT] WTO Dispute Title"/>
    <w:basedOn w:val="BTBodyText"/>
    <w:link w:val="WTODTWTODisputeTitleChar"/>
    <w:uiPriority w:val="27"/>
    <w:rsid w:val="00F71EA3"/>
    <w:pPr>
      <w:spacing w:line="240" w:lineRule="auto"/>
      <w:jc w:val="center"/>
    </w:pPr>
    <w:rPr>
      <w:b/>
      <w:bCs/>
      <w:smallCaps/>
      <w:sz w:val="40"/>
      <w:szCs w:val="40"/>
    </w:rPr>
  </w:style>
  <w:style w:type="paragraph" w:customStyle="1" w:styleId="DSNDSNumber">
    <w:name w:val="[DSN] DS Number"/>
    <w:basedOn w:val="BTBodyText"/>
    <w:link w:val="DSNDSNumberChar"/>
    <w:uiPriority w:val="27"/>
    <w:rsid w:val="00F71EA3"/>
    <w:pPr>
      <w:spacing w:line="240" w:lineRule="auto"/>
      <w:jc w:val="center"/>
    </w:pPr>
  </w:style>
  <w:style w:type="character" w:customStyle="1" w:styleId="WTODTWTODisputeTitleChar">
    <w:name w:val="[WTODT] WTO Dispute Title Char"/>
    <w:basedOn w:val="BTBodyTextChar"/>
    <w:link w:val="WTODTWTODisputeTitle"/>
    <w:uiPriority w:val="27"/>
    <w:rsid w:val="00F71EA3"/>
    <w:rPr>
      <w:rFonts w:ascii="Calibri" w:hAnsi="Calibri"/>
      <w:b/>
      <w:bCs/>
      <w:smallCaps/>
      <w:kern w:val="0"/>
      <w:sz w:val="40"/>
      <w:szCs w:val="40"/>
      <w14:ligatures w14:val="none"/>
    </w:rPr>
  </w:style>
  <w:style w:type="paragraph" w:customStyle="1" w:styleId="DTDocumentTitle">
    <w:name w:val="[DT] Document Title"/>
    <w:basedOn w:val="BTBodyText"/>
    <w:link w:val="DTDocumentTitleChar"/>
    <w:uiPriority w:val="27"/>
    <w:rsid w:val="00F71EA3"/>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F71EA3"/>
    <w:rPr>
      <w:rFonts w:ascii="Calibri" w:hAnsi="Calibri"/>
      <w:kern w:val="0"/>
      <w:sz w:val="24"/>
      <w:szCs w:val="24"/>
      <w14:ligatures w14:val="none"/>
    </w:rPr>
  </w:style>
  <w:style w:type="paragraph" w:customStyle="1" w:styleId="DDDocumentDate">
    <w:name w:val="[DD] Document Date"/>
    <w:basedOn w:val="BTBodyText"/>
    <w:link w:val="DDDocumentDateChar"/>
    <w:uiPriority w:val="27"/>
    <w:rsid w:val="00F71EA3"/>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F71EA3"/>
    <w:rPr>
      <w:rFonts w:ascii="Calibri" w:hAnsi="Calibri"/>
      <w:b/>
      <w:bCs/>
      <w:smallCaps/>
      <w:kern w:val="0"/>
      <w:sz w:val="36"/>
      <w:szCs w:val="36"/>
      <w14:ligatures w14:val="none"/>
    </w:rPr>
  </w:style>
  <w:style w:type="character" w:customStyle="1" w:styleId="DDDocumentDateChar">
    <w:name w:val="[DD] Document Date Char"/>
    <w:basedOn w:val="BTBodyTextChar"/>
    <w:link w:val="DDDocumentDate"/>
    <w:uiPriority w:val="27"/>
    <w:rsid w:val="00F71EA3"/>
    <w:rPr>
      <w:rFonts w:ascii="Calibri" w:hAnsi="Calibri"/>
      <w:kern w:val="0"/>
      <w:sz w:val="32"/>
      <w:szCs w:val="32"/>
      <w14:ligatures w14:val="none"/>
    </w:rPr>
  </w:style>
  <w:style w:type="paragraph" w:customStyle="1" w:styleId="CharChar6CharCharCharCharCharChar">
    <w:name w:val="Char Char6 Char Char Char Char Char Char"/>
    <w:aliases w:val="Char6 Char Char Char Char Char Char Char"/>
    <w:basedOn w:val="Normal"/>
    <w:link w:val="FootnoteReference"/>
    <w:uiPriority w:val="5"/>
    <w:qFormat/>
    <w:rsid w:val="00F71EA3"/>
    <w:pPr>
      <w:spacing w:after="240"/>
      <w:jc w:val="center"/>
    </w:pPr>
    <w:rPr>
      <w:kern w:val="2"/>
      <w:sz w:val="22"/>
      <w:szCs w:val="22"/>
      <w:vertAlign w:val="superscript"/>
      <w14:ligatures w14:val="standardContextual"/>
    </w:rPr>
  </w:style>
  <w:style w:type="character" w:customStyle="1" w:styleId="Heading2Char">
    <w:name w:val="Heading 2 Char"/>
    <w:basedOn w:val="DefaultParagraphFont"/>
    <w:link w:val="Heading2"/>
    <w:uiPriority w:val="2"/>
    <w:rsid w:val="00D8736C"/>
    <w:rPr>
      <w:rFonts w:ascii="Calibri" w:hAnsi="Calibri" w:cs="Calibri"/>
      <w:bCs/>
      <w:caps/>
      <w:smallCaps/>
      <w:kern w:val="0"/>
      <w:sz w:val="28"/>
      <w:szCs w:val="36"/>
      <w14:ligatures w14:val="none"/>
    </w:rPr>
  </w:style>
  <w:style w:type="character" w:customStyle="1" w:styleId="Heading3Char">
    <w:name w:val="Heading 3 Char"/>
    <w:basedOn w:val="DefaultParagraphFont"/>
    <w:link w:val="Heading3"/>
    <w:uiPriority w:val="2"/>
    <w:rsid w:val="00D8736C"/>
    <w:rPr>
      <w:rFonts w:ascii="Calibri" w:hAnsi="Calibri" w:cs="Calibri"/>
      <w:b/>
      <w:bCs/>
      <w:kern w:val="0"/>
      <w:sz w:val="28"/>
      <w:szCs w:val="28"/>
      <w14:ligatures w14:val="none"/>
    </w:rPr>
  </w:style>
  <w:style w:type="character" w:customStyle="1" w:styleId="Heading4Char">
    <w:name w:val="Heading 4 Char"/>
    <w:basedOn w:val="DefaultParagraphFont"/>
    <w:link w:val="Heading4"/>
    <w:uiPriority w:val="9"/>
    <w:semiHidden/>
    <w:rsid w:val="00F71EA3"/>
    <w:rPr>
      <w:rFonts w:asciiTheme="majorHAnsi" w:eastAsiaTheme="majorEastAsia" w:hAnsiTheme="majorHAnsi"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rsid w:val="00F71EA3"/>
    <w:rPr>
      <w:rFonts w:asciiTheme="majorHAnsi" w:eastAsiaTheme="majorEastAsia" w:hAnsiTheme="majorHAnsi" w:cstheme="majorBidi"/>
      <w:color w:val="2F5496"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F71EA3"/>
    <w:rPr>
      <w:rFonts w:asciiTheme="majorHAnsi" w:eastAsiaTheme="majorEastAsia" w:hAnsiTheme="majorHAnsi" w:cstheme="majorBidi"/>
      <w:color w:val="1F3763" w:themeColor="accent1" w:themeShade="7F"/>
      <w:kern w:val="0"/>
      <w:sz w:val="24"/>
      <w:szCs w:val="24"/>
      <w14:ligatures w14:val="none"/>
    </w:rPr>
  </w:style>
  <w:style w:type="character" w:customStyle="1" w:styleId="Heading7Char">
    <w:name w:val="Heading 7 Char"/>
    <w:basedOn w:val="DefaultParagraphFont"/>
    <w:link w:val="Heading7"/>
    <w:uiPriority w:val="9"/>
    <w:semiHidden/>
    <w:rsid w:val="00F71EA3"/>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8Char">
    <w:name w:val="Heading 8 Char"/>
    <w:basedOn w:val="DefaultParagraphFont"/>
    <w:link w:val="Heading8"/>
    <w:uiPriority w:val="9"/>
    <w:semiHidden/>
    <w:rsid w:val="00F71EA3"/>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F71EA3"/>
    <w:rPr>
      <w:rFonts w:asciiTheme="majorHAnsi" w:eastAsiaTheme="majorEastAsia" w:hAnsiTheme="majorHAnsi" w:cstheme="majorBidi"/>
      <w:i/>
      <w:iCs/>
      <w:color w:val="272727" w:themeColor="text1" w:themeTint="D8"/>
      <w:kern w:val="0"/>
      <w:sz w:val="21"/>
      <w:szCs w:val="21"/>
      <w14:ligatures w14:val="none"/>
    </w:rPr>
  </w:style>
  <w:style w:type="character" w:styleId="CommentReference">
    <w:name w:val="annotation reference"/>
    <w:basedOn w:val="DefaultParagraphFont"/>
    <w:uiPriority w:val="99"/>
    <w:semiHidden/>
    <w:unhideWhenUsed/>
    <w:rsid w:val="00806D1B"/>
    <w:rPr>
      <w:sz w:val="16"/>
      <w:szCs w:val="16"/>
    </w:rPr>
  </w:style>
  <w:style w:type="paragraph" w:styleId="CommentText">
    <w:name w:val="annotation text"/>
    <w:basedOn w:val="Normal"/>
    <w:link w:val="CommentTextChar"/>
    <w:uiPriority w:val="99"/>
    <w:unhideWhenUsed/>
    <w:rsid w:val="00806D1B"/>
    <w:pPr>
      <w:spacing w:line="240" w:lineRule="auto"/>
    </w:pPr>
    <w:rPr>
      <w:sz w:val="20"/>
      <w:szCs w:val="20"/>
    </w:rPr>
  </w:style>
  <w:style w:type="character" w:customStyle="1" w:styleId="CommentTextChar">
    <w:name w:val="Comment Text Char"/>
    <w:basedOn w:val="DefaultParagraphFont"/>
    <w:link w:val="CommentText"/>
    <w:uiPriority w:val="99"/>
    <w:rsid w:val="00806D1B"/>
    <w:rPr>
      <w:rFonts w:ascii="Calibri" w:hAnsi="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6D1B"/>
    <w:rPr>
      <w:b/>
      <w:bCs/>
    </w:rPr>
  </w:style>
  <w:style w:type="character" w:customStyle="1" w:styleId="CommentSubjectChar">
    <w:name w:val="Comment Subject Char"/>
    <w:basedOn w:val="CommentTextChar"/>
    <w:link w:val="CommentSubject"/>
    <w:uiPriority w:val="99"/>
    <w:semiHidden/>
    <w:rsid w:val="00806D1B"/>
    <w:rPr>
      <w:rFonts w:ascii="Calibri" w:hAnsi="Calibri"/>
      <w:b/>
      <w:bCs/>
      <w:kern w:val="0"/>
      <w:sz w:val="20"/>
      <w:szCs w:val="20"/>
      <w14:ligatures w14:val="none"/>
    </w:rPr>
  </w:style>
  <w:style w:type="paragraph" w:styleId="Revision">
    <w:name w:val="Revision"/>
    <w:hidden/>
    <w:uiPriority w:val="99"/>
    <w:semiHidden/>
    <w:rsid w:val="00671821"/>
    <w:pPr>
      <w:spacing w:after="0" w:line="240" w:lineRule="auto"/>
    </w:pPr>
    <w:rPr>
      <w:rFonts w:ascii="Calibri" w:hAnsi="Calibri"/>
      <w:kern w:val="0"/>
      <w:sz w:val="24"/>
      <w:szCs w:val="24"/>
      <w14:ligatures w14:val="none"/>
    </w:rPr>
  </w:style>
  <w:style w:type="numbering" w:customStyle="1" w:styleId="LegalHeadings">
    <w:name w:val="LegalHeadings"/>
    <w:uiPriority w:val="99"/>
    <w:rsid w:val="0012540F"/>
    <w:pPr>
      <w:numPr>
        <w:numId w:val="8"/>
      </w:numPr>
    </w:pPr>
  </w:style>
  <w:style w:type="paragraph" w:styleId="BodyText">
    <w:name w:val="Body Text"/>
    <w:basedOn w:val="Normal"/>
    <w:link w:val="BodyTextChar"/>
    <w:uiPriority w:val="1"/>
    <w:qFormat/>
    <w:rsid w:val="00072F70"/>
    <w:pPr>
      <w:spacing w:after="240" w:line="240" w:lineRule="auto"/>
    </w:pPr>
    <w:rPr>
      <w:rFonts w:ascii="Verdana" w:eastAsia="Calibri" w:hAnsi="Verdana" w:cs="Times New Roman"/>
      <w:sz w:val="18"/>
      <w:szCs w:val="22"/>
      <w:lang w:val="en-GB"/>
    </w:rPr>
  </w:style>
  <w:style w:type="character" w:customStyle="1" w:styleId="BodyTextChar">
    <w:name w:val="Body Text Char"/>
    <w:basedOn w:val="DefaultParagraphFont"/>
    <w:link w:val="BodyText"/>
    <w:uiPriority w:val="1"/>
    <w:rsid w:val="00072F70"/>
    <w:rPr>
      <w:rFonts w:ascii="Verdana" w:eastAsia="Calibri" w:hAnsi="Verdana" w:cs="Times New Roman"/>
      <w:kern w:val="0"/>
      <w:sz w:val="18"/>
      <w:lang w:val="en-GB"/>
      <w14:ligatures w14:val="none"/>
    </w:rPr>
  </w:style>
  <w:style w:type="paragraph" w:customStyle="1" w:styleId="Quotation">
    <w:name w:val="Quotation"/>
    <w:basedOn w:val="Normal"/>
    <w:uiPriority w:val="5"/>
    <w:qFormat/>
    <w:rsid w:val="00072F70"/>
    <w:pPr>
      <w:spacing w:after="240" w:line="240" w:lineRule="auto"/>
      <w:ind w:left="567" w:right="567"/>
    </w:pPr>
    <w:rPr>
      <w:rFonts w:ascii="Verdana" w:eastAsia="Calibri" w:hAnsi="Verdana" w:cs="Times New Roman"/>
      <w:sz w:val="18"/>
      <w:szCs w:val="18"/>
      <w:lang w:val="en-GB" w:eastAsia="en-GB"/>
    </w:rPr>
  </w:style>
  <w:style w:type="paragraph" w:customStyle="1" w:styleId="Panelquestion">
    <w:name w:val="Panel question"/>
    <w:basedOn w:val="Normal"/>
    <w:next w:val="Panelquestion2"/>
    <w:link w:val="PanelquestionChar"/>
    <w:qFormat/>
    <w:rsid w:val="00072F70"/>
    <w:pPr>
      <w:tabs>
        <w:tab w:val="left" w:pos="426"/>
      </w:tabs>
      <w:spacing w:before="240" w:after="240" w:line="240" w:lineRule="auto"/>
      <w:outlineLvl w:val="2"/>
    </w:pPr>
    <w:rPr>
      <w:rFonts w:ascii="Verdana" w:hAnsi="Verdana"/>
      <w:b/>
      <w:sz w:val="18"/>
      <w:szCs w:val="22"/>
      <w:lang w:val="en-GB"/>
    </w:rPr>
  </w:style>
  <w:style w:type="character" w:customStyle="1" w:styleId="PanelquestionChar">
    <w:name w:val="Panel question Char"/>
    <w:basedOn w:val="DefaultParagraphFont"/>
    <w:link w:val="Panelquestion"/>
    <w:rsid w:val="00072F70"/>
    <w:rPr>
      <w:rFonts w:ascii="Verdana" w:hAnsi="Verdana"/>
      <w:b/>
      <w:kern w:val="0"/>
      <w:sz w:val="18"/>
      <w:lang w:val="en-GB"/>
      <w14:ligatures w14:val="none"/>
    </w:rPr>
  </w:style>
  <w:style w:type="paragraph" w:customStyle="1" w:styleId="Panelquestion2">
    <w:name w:val="Panel question2"/>
    <w:basedOn w:val="BodyText2"/>
    <w:link w:val="Panelquestion2Char"/>
    <w:qFormat/>
    <w:rsid w:val="00072F70"/>
    <w:pPr>
      <w:tabs>
        <w:tab w:val="num" w:pos="360"/>
      </w:tabs>
      <w:spacing w:after="240" w:line="240" w:lineRule="auto"/>
      <w:outlineLvl w:val="3"/>
    </w:pPr>
    <w:rPr>
      <w:rFonts w:ascii="Verdana" w:eastAsia="Calibri" w:hAnsi="Verdana" w:cs="Times New Roman"/>
      <w:b/>
      <w:sz w:val="18"/>
      <w:szCs w:val="22"/>
      <w:lang w:val="en-GB"/>
    </w:rPr>
  </w:style>
  <w:style w:type="paragraph" w:styleId="BodyText2">
    <w:name w:val="Body Text 2"/>
    <w:basedOn w:val="Normal"/>
    <w:link w:val="BodyText2Char"/>
    <w:uiPriority w:val="99"/>
    <w:semiHidden/>
    <w:unhideWhenUsed/>
    <w:rsid w:val="00072F70"/>
    <w:pPr>
      <w:spacing w:after="120" w:line="480" w:lineRule="auto"/>
    </w:pPr>
  </w:style>
  <w:style w:type="character" w:customStyle="1" w:styleId="BodyText2Char">
    <w:name w:val="Body Text 2 Char"/>
    <w:basedOn w:val="DefaultParagraphFont"/>
    <w:link w:val="BodyText2"/>
    <w:uiPriority w:val="99"/>
    <w:semiHidden/>
    <w:rsid w:val="00072F70"/>
    <w:rPr>
      <w:rFonts w:ascii="Calibri" w:hAnsi="Calibri"/>
      <w:kern w:val="0"/>
      <w:sz w:val="24"/>
      <w:szCs w:val="24"/>
      <w14:ligatures w14:val="none"/>
    </w:rPr>
  </w:style>
  <w:style w:type="character" w:customStyle="1" w:styleId="Panelquestion2Char">
    <w:name w:val="Panel question2 Char"/>
    <w:basedOn w:val="BodyText2Char"/>
    <w:link w:val="Panelquestion2"/>
    <w:rsid w:val="00384DE1"/>
    <w:rPr>
      <w:rFonts w:ascii="Verdana" w:eastAsia="Calibri" w:hAnsi="Verdana" w:cs="Times New Roman"/>
      <w:b/>
      <w:kern w:val="0"/>
      <w:sz w:val="18"/>
      <w:szCs w:val="24"/>
      <w:lang w:val="en-GB"/>
      <w14:ligatures w14:val="none"/>
    </w:rPr>
  </w:style>
  <w:style w:type="paragraph" w:customStyle="1" w:styleId="Default">
    <w:name w:val="Default"/>
    <w:rsid w:val="00F64CE7"/>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UnresolvedMention">
    <w:name w:val="Unresolved Mention"/>
    <w:basedOn w:val="DefaultParagraphFont"/>
    <w:uiPriority w:val="99"/>
    <w:semiHidden/>
    <w:unhideWhenUsed/>
    <w:rsid w:val="00DC7AA1"/>
    <w:rPr>
      <w:color w:val="605E5C"/>
      <w:shd w:val="clear" w:color="auto" w:fill="E1DFDD"/>
    </w:rPr>
  </w:style>
  <w:style w:type="paragraph" w:styleId="Title">
    <w:name w:val="Title"/>
    <w:basedOn w:val="WTODTWTODisputeTitle"/>
    <w:next w:val="Normal"/>
    <w:link w:val="TitleChar"/>
    <w:uiPriority w:val="10"/>
    <w:qFormat/>
    <w:rsid w:val="00D8736C"/>
  </w:style>
  <w:style w:type="character" w:customStyle="1" w:styleId="TitleChar">
    <w:name w:val="Title Char"/>
    <w:basedOn w:val="DefaultParagraphFont"/>
    <w:link w:val="Title"/>
    <w:uiPriority w:val="10"/>
    <w:rsid w:val="00D8736C"/>
    <w:rPr>
      <w:rFonts w:ascii="Calibri" w:hAnsi="Calibri"/>
      <w:b/>
      <w:bCs/>
      <w:smallCaps/>
      <w:kern w:val="0"/>
      <w:sz w:val="40"/>
      <w:szCs w:val="4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1681">
      <w:bodyDiv w:val="1"/>
      <w:marLeft w:val="0"/>
      <w:marRight w:val="0"/>
      <w:marTop w:val="0"/>
      <w:marBottom w:val="0"/>
      <w:divBdr>
        <w:top w:val="none" w:sz="0" w:space="0" w:color="auto"/>
        <w:left w:val="none" w:sz="0" w:space="0" w:color="auto"/>
        <w:bottom w:val="none" w:sz="0" w:space="0" w:color="auto"/>
        <w:right w:val="none" w:sz="0" w:space="0" w:color="auto"/>
      </w:divBdr>
    </w:div>
    <w:div w:id="9059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wto.org/dol2fe/Pages/FE_Search/FE_S_S006.aspx?DataSource=Cat&amp;query=@Symbol=WT/DS273/R&amp;Language=English&amp;Context=ScriptedSearches&amp;languageUIChanged=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dol2fe/Pages/FE_Search/FE_S_S006.aspx?DataSource=Cat&amp;query=@Symbol=WT/DS184/AB/R&amp;Language=English&amp;Context=ScriptedSearches&amp;languageUIChanged=tr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wto.org/dol2fe/Pages/FE_Search/FE_S_S006.aspx?DataSource=Cat&amp;query=@Symbol=WT/DS194/R*&amp;Language=English&amp;Context=ScriptedSearches&amp;languageUIChanged=true" TargetMode="External"/><Relationship Id="rId4" Type="http://schemas.openxmlformats.org/officeDocument/2006/relationships/settings" Target="settings.xml"/><Relationship Id="rId9" Type="http://schemas.openxmlformats.org/officeDocument/2006/relationships/hyperlink" Target="https://docs.wto.org/dol2fe/Pages/FE_Search/FE_S_S006.aspx?DataSource=Cat&amp;query=@Symbol=WT/DS296/AB/R&amp;Language=English&amp;Context=ScriptedSearches&amp;languageUIChanged=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714D7-7903-4ADE-9A7B-45A9D7A3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1258</Words>
  <Characters>6900</Characters>
  <Application>Microsoft Office Word</Application>
  <DocSecurity>0</DocSecurity>
  <Lines>155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responses to panel questions in DS618</dc:title>
  <dc:subject/>
  <dc:creator/>
  <cp:keywords>[SEC=OFFICIAL]</cp:keywords>
  <dc:description/>
  <cp:lastModifiedBy/>
  <cp:revision>1</cp:revision>
  <dcterms:created xsi:type="dcterms:W3CDTF">2024-10-28T22:23:00Z</dcterms:created>
  <dcterms:modified xsi:type="dcterms:W3CDTF">2024-10-30T01:44:00Z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v=2022.1;a=SHA256;h=8772873934577E4DC015929053FC0A34A16EC5395812C02C296B13329B09F2C1</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2024-10-28T22:23:46Z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3DFFFB2B492A4982B744591F3C87B59A</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53C031DD9CB52591F46E76B29317BE1C</vt:lpwstr>
  </property>
  <property fmtid="{D5CDD505-2E9C-101B-9397-08002B2CF9AE}" pid="25" name="PM_Hash_Salt">
    <vt:lpwstr>5B581C545482168867DE5908DE3EA84A</vt:lpwstr>
  </property>
  <property fmtid="{D5CDD505-2E9C-101B-9397-08002B2CF9AE}" pid="26" name="PM_Hash_SHA1">
    <vt:lpwstr>FD938E4B55F6A891FEDE9975E7AC48AD2A05E45E</vt:lpwstr>
  </property>
  <property fmtid="{D5CDD505-2E9C-101B-9397-08002B2CF9AE}" pid="27" name="PM_SecurityClassification_Prev">
    <vt:lpwstr>OFFICIAL</vt:lpwstr>
  </property>
  <property fmtid="{D5CDD505-2E9C-101B-9397-08002B2CF9AE}" pid="28" name="PM_Qualifier_Prev">
    <vt:lpwstr/>
  </property>
</Properties>
</file>