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234C" w14:textId="77777777" w:rsidR="000F14E6" w:rsidRPr="00AE62EF" w:rsidRDefault="000F14E6" w:rsidP="000F14E6">
      <w:pPr>
        <w:pStyle w:val="BTNSSBodyTextNoSpacingSmall"/>
        <w:rPr>
          <w:rFonts w:cs="Calibri"/>
          <w:sz w:val="2"/>
          <w:szCs w:val="2"/>
        </w:rPr>
      </w:pPr>
      <w:r w:rsidRPr="00AE62EF">
        <w:rPr>
          <w:rFonts w:cs="Calibri"/>
          <w:sz w:val="2"/>
          <w:szCs w:val="2"/>
        </w:rPr>
        <w:t xml:space="preserve">  </w:t>
      </w:r>
      <w:bookmarkStart w:id="0" w:name="_Hlk155771199"/>
    </w:p>
    <w:p w14:paraId="4D5A0353" w14:textId="5653F925" w:rsidR="00003C87" w:rsidRPr="00AE62EF" w:rsidRDefault="00003C87" w:rsidP="008A24B1">
      <w:pPr>
        <w:pStyle w:val="BTBodyText"/>
        <w:spacing w:after="240"/>
        <w:jc w:val="center"/>
        <w:rPr>
          <w:rFonts w:cs="Calibri"/>
          <w:b/>
          <w:bCs/>
          <w:sz w:val="32"/>
          <w:szCs w:val="32"/>
        </w:rPr>
      </w:pPr>
      <w:bookmarkStart w:id="1" w:name="_Toc100253863"/>
      <w:bookmarkStart w:id="2" w:name="_Toc155884800"/>
      <w:r w:rsidRPr="00AE62EF">
        <w:rPr>
          <w:rFonts w:cs="Calibri"/>
          <w:b/>
          <w:bCs/>
          <w:sz w:val="32"/>
          <w:szCs w:val="32"/>
        </w:rPr>
        <w:t>Before the World Trade Organization</w:t>
      </w:r>
    </w:p>
    <w:p w14:paraId="113E6CAF" w14:textId="77777777" w:rsidR="00003C87" w:rsidRPr="00AE62EF" w:rsidRDefault="00003C87" w:rsidP="008A24B1">
      <w:pPr>
        <w:pStyle w:val="BTBodyText"/>
        <w:spacing w:after="240"/>
        <w:jc w:val="center"/>
        <w:rPr>
          <w:rFonts w:cs="Calibri"/>
          <w:b/>
          <w:bCs/>
          <w:sz w:val="32"/>
          <w:szCs w:val="32"/>
        </w:rPr>
      </w:pPr>
      <w:r w:rsidRPr="00AE62EF">
        <w:rPr>
          <w:rFonts w:cs="Calibri"/>
          <w:b/>
          <w:bCs/>
          <w:sz w:val="32"/>
          <w:szCs w:val="32"/>
        </w:rPr>
        <w:t>Panel Proceedings</w:t>
      </w:r>
    </w:p>
    <w:p w14:paraId="22DC2DC6" w14:textId="77777777" w:rsidR="00003C87" w:rsidRPr="00003C87" w:rsidRDefault="00003C87" w:rsidP="00CD7267">
      <w:pPr>
        <w:pStyle w:val="Title"/>
        <w:spacing w:before="4000"/>
      </w:pPr>
      <w:r w:rsidRPr="00003C87">
        <w:t>European Union – Countervailing Duties on Imports of Biodiesel from Indonesia</w:t>
      </w:r>
    </w:p>
    <w:p w14:paraId="73D4C13E" w14:textId="77777777" w:rsidR="00003C87" w:rsidRPr="00AE62EF" w:rsidRDefault="00003C87" w:rsidP="008A24B1">
      <w:pPr>
        <w:pStyle w:val="DSNDSNumber"/>
        <w:rPr>
          <w:rFonts w:cs="Calibri"/>
        </w:rPr>
      </w:pPr>
      <w:r w:rsidRPr="00CF617C">
        <w:t>(DS618)</w:t>
      </w:r>
    </w:p>
    <w:p w14:paraId="44067031" w14:textId="77777777" w:rsidR="00003C87" w:rsidRPr="00003C87" w:rsidRDefault="00003C87" w:rsidP="00CD7267">
      <w:pPr>
        <w:pStyle w:val="Heading1"/>
        <w:spacing w:before="4000"/>
      </w:pPr>
      <w:r w:rsidRPr="00003C87">
        <w:t>Third Party Oral Statement of Australia</w:t>
      </w:r>
    </w:p>
    <w:p w14:paraId="460AEDA1" w14:textId="77777777" w:rsidR="00003C87" w:rsidRPr="00505CF6" w:rsidRDefault="00003C87" w:rsidP="008A24B1">
      <w:pPr>
        <w:pStyle w:val="DTDocumentTitle"/>
        <w:rPr>
          <w:rFonts w:cs="Calibri"/>
          <w:i/>
          <w:iCs/>
        </w:rPr>
      </w:pPr>
      <w:r w:rsidRPr="00EF5898">
        <w:rPr>
          <w:rFonts w:cs="Calibri"/>
        </w:rPr>
        <w:t>As Delivered</w:t>
      </w:r>
    </w:p>
    <w:p w14:paraId="2C4B0D8F" w14:textId="77777777" w:rsidR="00003C87" w:rsidRPr="00AE62EF" w:rsidRDefault="00003C87" w:rsidP="008A24B1">
      <w:pPr>
        <w:pStyle w:val="DDDocumentDate"/>
        <w:rPr>
          <w:rFonts w:cs="Calibri"/>
        </w:rPr>
      </w:pPr>
      <w:r>
        <w:rPr>
          <w:rFonts w:cs="Calibri"/>
        </w:rPr>
        <w:t>9 October</w:t>
      </w:r>
      <w:r w:rsidRPr="00AE62EF">
        <w:rPr>
          <w:rFonts w:cs="Calibri"/>
        </w:rPr>
        <w:t xml:space="preserve"> 2024</w:t>
      </w:r>
    </w:p>
    <w:p w14:paraId="16B8F3B4" w14:textId="77777777" w:rsidR="000F14E6" w:rsidRPr="00AE62EF" w:rsidRDefault="000F14E6" w:rsidP="000F14E6">
      <w:pPr>
        <w:pStyle w:val="BTNSSBodyTextNoSpacingSmall"/>
        <w:rPr>
          <w:rFonts w:cs="Calibri"/>
        </w:rPr>
      </w:pPr>
    </w:p>
    <w:p w14:paraId="5069F61D" w14:textId="77777777" w:rsidR="000F14E6" w:rsidRPr="00AE62EF" w:rsidRDefault="000F14E6" w:rsidP="000F14E6">
      <w:pPr>
        <w:pStyle w:val="BTNSSBodyTextNoSpacingSmall"/>
        <w:rPr>
          <w:rFonts w:cs="Calibri"/>
        </w:rPr>
      </w:pPr>
      <w:r w:rsidRPr="00AE62EF">
        <w:rPr>
          <w:rFonts w:cs="Calibri"/>
        </w:rPr>
        <w:br w:type="page"/>
      </w:r>
    </w:p>
    <w:p w14:paraId="0C139972" w14:textId="77777777" w:rsidR="000F14E6" w:rsidRPr="00AE62EF" w:rsidRDefault="000F14E6" w:rsidP="000F14E6">
      <w:pPr>
        <w:pStyle w:val="BTNSSBodyTextNoSpacingSmall"/>
        <w:rPr>
          <w:rFonts w:cs="Calibri"/>
        </w:rPr>
      </w:pPr>
    </w:p>
    <w:p w14:paraId="66F254E5" w14:textId="77777777" w:rsidR="000F14E6" w:rsidRPr="00AE62EF" w:rsidRDefault="000F14E6" w:rsidP="00003C87">
      <w:pPr>
        <w:pStyle w:val="HL1HeadingLevel1"/>
      </w:pPr>
      <w:bookmarkStart w:id="3" w:name="_Toc157084383"/>
      <w:bookmarkStart w:id="4" w:name="_Toc177653824"/>
      <w:bookmarkEnd w:id="3"/>
      <w:r w:rsidRPr="00003C87">
        <w:t>Introduction</w:t>
      </w:r>
      <w:bookmarkEnd w:id="1"/>
      <w:bookmarkEnd w:id="2"/>
      <w:bookmarkEnd w:id="4"/>
      <w:r w:rsidRPr="00AE62EF">
        <w:t xml:space="preserve"> </w:t>
      </w:r>
    </w:p>
    <w:p w14:paraId="79AFD504" w14:textId="77777777" w:rsidR="000F14E6" w:rsidRPr="00915F71" w:rsidRDefault="000F14E6" w:rsidP="000F14E6">
      <w:pPr>
        <w:pStyle w:val="P1-N1Paragraph1-Number1"/>
        <w:rPr>
          <w:rFonts w:cs="Calibri"/>
          <w14:ligatures w14:val="standardContextual"/>
        </w:rPr>
      </w:pPr>
      <w:r w:rsidRPr="00915F71">
        <w:rPr>
          <w:rFonts w:cs="Calibri"/>
          <w14:ligatures w14:val="standardContextual"/>
        </w:rPr>
        <w:t xml:space="preserve">Chair, distinguished members of the Panel – good morning. Thank you for </w:t>
      </w:r>
      <w:r>
        <w:rPr>
          <w:rFonts w:cs="Calibri"/>
          <w14:ligatures w14:val="standardContextual"/>
        </w:rPr>
        <w:t>the</w:t>
      </w:r>
      <w:r w:rsidRPr="00915F71">
        <w:rPr>
          <w:rFonts w:cs="Calibri"/>
          <w14:ligatures w14:val="standardContextual"/>
        </w:rPr>
        <w:t xml:space="preserve"> opportunity for Australia to participate as a third party in this dispute, and to make an oral statement at this session.</w:t>
      </w:r>
      <w:r>
        <w:rPr>
          <w:rFonts w:cs="Calibri"/>
          <w14:ligatures w14:val="standardContextual"/>
        </w:rPr>
        <w:t xml:space="preserve"> </w:t>
      </w:r>
    </w:p>
    <w:p w14:paraId="698BF602" w14:textId="77777777" w:rsidR="000F14E6" w:rsidRPr="00CF74FD" w:rsidRDefault="000F14E6" w:rsidP="000F14E6">
      <w:pPr>
        <w:pStyle w:val="P1-N1Paragraph1-Number1"/>
        <w:rPr>
          <w:rFonts w:cs="Calibri"/>
        </w:rPr>
      </w:pPr>
      <w:r>
        <w:rPr>
          <w:rFonts w:cs="Calibri"/>
        </w:rPr>
        <w:t>Australia considers this case</w:t>
      </w:r>
      <w:r w:rsidRPr="001A7BB3">
        <w:rPr>
          <w:rFonts w:cs="Calibri"/>
        </w:rPr>
        <w:t xml:space="preserve"> raise</w:t>
      </w:r>
      <w:r>
        <w:rPr>
          <w:rFonts w:cs="Calibri"/>
        </w:rPr>
        <w:t>s</w:t>
      </w:r>
      <w:r w:rsidRPr="001A7BB3">
        <w:rPr>
          <w:rFonts w:cs="Calibri"/>
        </w:rPr>
        <w:t xml:space="preserve"> </w:t>
      </w:r>
      <w:r w:rsidRPr="00632394">
        <w:rPr>
          <w:rFonts w:cs="Calibri"/>
        </w:rPr>
        <w:t xml:space="preserve">important questions in relation to the application and interpretation of the </w:t>
      </w:r>
      <w:r>
        <w:rPr>
          <w:rFonts w:cs="Calibri"/>
        </w:rPr>
        <w:t>SCM Agreement</w:t>
      </w:r>
      <w:r w:rsidRPr="00632394">
        <w:rPr>
          <w:rFonts w:cs="Calibri"/>
        </w:rPr>
        <w:t xml:space="preserve">. I will make </w:t>
      </w:r>
      <w:r>
        <w:rPr>
          <w:rFonts w:cs="Calibri"/>
        </w:rPr>
        <w:t>two</w:t>
      </w:r>
      <w:r w:rsidRPr="00573B41">
        <w:rPr>
          <w:rFonts w:cs="Calibri"/>
        </w:rPr>
        <w:t xml:space="preserve"> key points. First, I will</w:t>
      </w:r>
      <w:r>
        <w:rPr>
          <w:rFonts w:cs="Calibri"/>
        </w:rPr>
        <w:t xml:space="preserve"> discuss the relationship between "financial contribution" and "income or price support" in Article 1.1(a) of the SCM </w:t>
      </w:r>
      <w:r w:rsidRPr="00CF74FD">
        <w:rPr>
          <w:rFonts w:cs="Calibri"/>
        </w:rPr>
        <w:t>Agreement. Second, I will discuss the calculation of a "benefit" under Articles 1.1(b) and 14(d) of the SCM Agreement.</w:t>
      </w:r>
    </w:p>
    <w:p w14:paraId="396998CC" w14:textId="77777777" w:rsidR="000F14E6" w:rsidRPr="00CF74FD" w:rsidRDefault="000F14E6" w:rsidP="000F14E6">
      <w:pPr>
        <w:pStyle w:val="P1-N1Paragraph1-Number1"/>
        <w:rPr>
          <w:rFonts w:cs="Calibri"/>
        </w:rPr>
      </w:pPr>
      <w:r w:rsidRPr="00CF74FD">
        <w:rPr>
          <w:rFonts w:cs="Calibri"/>
        </w:rPr>
        <w:t xml:space="preserve">Before turning to those key points, Australia recalls the importance of the standard of review of the Panel. The Panel's task is to assess whether, in light of the evidence on the record, the conclusions reached by the investigating authority are reasoned and adequate. In making an objective assessment of the matter before it, the key question for the Panel is whether the investigating authority has discharged its obligations under the Agreements. </w:t>
      </w:r>
    </w:p>
    <w:p w14:paraId="23179D6F" w14:textId="77777777" w:rsidR="000F14E6" w:rsidRPr="00CF74FD" w:rsidRDefault="000F14E6" w:rsidP="00003C87">
      <w:pPr>
        <w:pStyle w:val="Heading2"/>
      </w:pPr>
      <w:bookmarkStart w:id="5" w:name="_Toc177653825"/>
      <w:r w:rsidRPr="00CF74FD">
        <w:t xml:space="preserve">Financial Contribution "OR" Income or price support </w:t>
      </w:r>
      <w:bookmarkEnd w:id="5"/>
    </w:p>
    <w:p w14:paraId="5BFF5E33" w14:textId="77777777" w:rsidR="000F14E6" w:rsidRDefault="000F14E6" w:rsidP="000F14E6">
      <w:pPr>
        <w:pStyle w:val="P1-N1Paragraph1-Number1"/>
      </w:pPr>
      <w:r w:rsidRPr="00CF74FD">
        <w:t>An issue in contention in this dispute is whether the concepts of "</w:t>
      </w:r>
      <w:bookmarkStart w:id="6" w:name="_Hlk177483296"/>
      <w:r w:rsidRPr="00CF74FD">
        <w:t xml:space="preserve">financial contribution" and "income or price support" </w:t>
      </w:r>
      <w:bookmarkEnd w:id="6"/>
      <w:r w:rsidRPr="00CF74FD">
        <w:t>in</w:t>
      </w:r>
      <w:r>
        <w:t xml:space="preserve"> Article 1.1 of the SCM Agreement are mutually exclusive. </w:t>
      </w:r>
      <w:r w:rsidRPr="009E19B0">
        <w:t xml:space="preserve">Broadly, Indonesia takes the position they are mutually exclusive, whereas the European Union considers they are </w:t>
      </w:r>
      <w:r>
        <w:t>not</w:t>
      </w:r>
      <w:r w:rsidRPr="009E19B0">
        <w:t>.</w:t>
      </w:r>
      <w:r>
        <w:rPr>
          <w:rStyle w:val="FootnoteReference"/>
          <w:rFonts w:cs="Calibri"/>
        </w:rPr>
        <w:footnoteReference w:id="1"/>
      </w:r>
      <w:r w:rsidRPr="009E19B0">
        <w:t xml:space="preserve"> </w:t>
      </w:r>
    </w:p>
    <w:p w14:paraId="6ECDB12D" w14:textId="77777777" w:rsidR="000F14E6" w:rsidRDefault="000F14E6" w:rsidP="000F14E6">
      <w:pPr>
        <w:pStyle w:val="P1-N1Paragraph1-Number1"/>
      </w:pPr>
      <w:r>
        <w:t>Whether this is the case depends on the meaning of the word "</w:t>
      </w:r>
      <w:r>
        <w:rPr>
          <w:rFonts w:cs="Calibri"/>
        </w:rPr>
        <w:t>or" between Articles 1.1(a)(1) and 1.1(a)(2).</w:t>
      </w:r>
      <w:r>
        <w:t xml:space="preserve"> </w:t>
      </w:r>
      <w:r>
        <w:rPr>
          <w:rFonts w:cs="Calibri"/>
        </w:rPr>
        <w:t>Australia observes according to its plain and ordinary meaning, the conjunction "or" is capable of being exclusive or inclusive depending on its context.</w:t>
      </w:r>
      <w:r>
        <w:rPr>
          <w:rStyle w:val="FootnoteReference"/>
          <w:rFonts w:cs="Calibri"/>
        </w:rPr>
        <w:footnoteReference w:id="2"/>
      </w:r>
      <w:r>
        <w:t xml:space="preserve"> In the context of </w:t>
      </w:r>
      <w:r>
        <w:rPr>
          <w:rFonts w:cs="Calibri"/>
        </w:rPr>
        <w:t xml:space="preserve">Articles 1.1(a)(1) and 1.1(a)(2), Australia considers "or" is an inclusive term and, therefore, </w:t>
      </w:r>
      <w:r>
        <w:t>the concepts of "financial contribution" and "</w:t>
      </w:r>
      <w:r>
        <w:rPr>
          <w:rFonts w:cs="Calibri"/>
        </w:rPr>
        <w:t xml:space="preserve">income or price support" are </w:t>
      </w:r>
      <w:r w:rsidRPr="0003625E">
        <w:rPr>
          <w:rFonts w:cs="Calibri"/>
          <w:i/>
          <w:iCs/>
        </w:rPr>
        <w:t>not</w:t>
      </w:r>
      <w:r>
        <w:rPr>
          <w:rFonts w:cs="Calibri"/>
        </w:rPr>
        <w:t xml:space="preserve"> mutually exclusive. </w:t>
      </w:r>
    </w:p>
    <w:p w14:paraId="641305B4" w14:textId="77777777" w:rsidR="000F14E6" w:rsidRPr="00B63CE9" w:rsidRDefault="000F14E6" w:rsidP="000F14E6">
      <w:pPr>
        <w:pStyle w:val="P1-N1Paragraph1-Number1"/>
      </w:pPr>
      <w:r>
        <w:t>In this situation "or" exists between the concepts of "</w:t>
      </w:r>
      <w:r w:rsidRPr="00D52F5D">
        <w:t xml:space="preserve">financial contribution" </w:t>
      </w:r>
      <w:r>
        <w:t>and</w:t>
      </w:r>
      <w:r w:rsidRPr="00D52F5D">
        <w:t xml:space="preserve"> "income or price support"</w:t>
      </w:r>
      <w:r>
        <w:t>. The former is</w:t>
      </w:r>
      <w:r w:rsidRPr="00B63CE9">
        <w:rPr>
          <w:rFonts w:cs="Calibri"/>
        </w:rPr>
        <w:t xml:space="preserve"> "a definitional provision that sets forth an exhaustive, </w:t>
      </w:r>
      <w:r w:rsidRPr="00B63CE9">
        <w:rPr>
          <w:rFonts w:cs="Calibri"/>
        </w:rPr>
        <w:lastRenderedPageBreak/>
        <w:t>closed list [</w:t>
      </w:r>
      <w:r>
        <w:rPr>
          <w:rFonts w:cs="Calibri"/>
        </w:rPr>
        <w:t>.</w:t>
      </w:r>
      <w:r w:rsidRPr="00B63CE9">
        <w:rPr>
          <w:rFonts w:cs="Calibri"/>
        </w:rPr>
        <w:t>..] of the types of transactions that constitute financial contributions under the SCM Agreement".</w:t>
      </w:r>
      <w:r>
        <w:rPr>
          <w:rStyle w:val="FootnoteReference"/>
          <w:rFonts w:cs="Calibri"/>
        </w:rPr>
        <w:footnoteReference w:id="3"/>
      </w:r>
      <w:r w:rsidRPr="00B63CE9">
        <w:rPr>
          <w:rFonts w:cs="Calibri"/>
        </w:rPr>
        <w:t xml:space="preserve"> In contrast, the latter adopts the broad language of "</w:t>
      </w:r>
      <w:r w:rsidRPr="00B63CE9">
        <w:rPr>
          <w:rFonts w:cs="Calibri"/>
          <w:i/>
          <w:iCs/>
        </w:rPr>
        <w:t>any</w:t>
      </w:r>
      <w:r w:rsidRPr="00B63CE9">
        <w:rPr>
          <w:rFonts w:cs="Calibri"/>
        </w:rPr>
        <w:t xml:space="preserve"> </w:t>
      </w:r>
      <w:r w:rsidRPr="00B63CE9">
        <w:rPr>
          <w:rFonts w:cs="Calibri"/>
          <w:i/>
          <w:iCs/>
        </w:rPr>
        <w:t>form</w:t>
      </w:r>
      <w:r w:rsidRPr="00B63CE9">
        <w:rPr>
          <w:rFonts w:cs="Calibri"/>
        </w:rPr>
        <w:t xml:space="preserve"> of income or price support in the sense of Article XVI of GATT 1994"</w:t>
      </w:r>
      <w:r>
        <w:rPr>
          <w:rStyle w:val="FootnoteReference"/>
          <w:rFonts w:cs="Calibri"/>
        </w:rPr>
        <w:footnoteReference w:id="4"/>
      </w:r>
      <w:r w:rsidRPr="00B63CE9">
        <w:rPr>
          <w:rFonts w:cs="Calibri"/>
        </w:rPr>
        <w:t xml:space="preserve"> and has been described by the Appellate Body </w:t>
      </w:r>
      <w:r>
        <w:rPr>
          <w:rFonts w:cs="Calibri"/>
        </w:rPr>
        <w:t>as</w:t>
      </w:r>
      <w:r w:rsidRPr="00B63CE9">
        <w:rPr>
          <w:rFonts w:cs="Calibri"/>
        </w:rPr>
        <w:t xml:space="preserve"> broadening the range of government measures capable of providing subsidies.</w:t>
      </w:r>
      <w:r>
        <w:rPr>
          <w:rStyle w:val="FootnoteReference"/>
          <w:rFonts w:cs="Calibri"/>
        </w:rPr>
        <w:footnoteReference w:id="5"/>
      </w:r>
      <w:r w:rsidRPr="00B63CE9">
        <w:rPr>
          <w:rFonts w:cs="Calibri"/>
        </w:rPr>
        <w:t xml:space="preserve"> Previous panels have not suggested "income or price support" represented an exhaustive concept and have adopted </w:t>
      </w:r>
      <w:r>
        <w:rPr>
          <w:rFonts w:cs="Calibri"/>
        </w:rPr>
        <w:t>a relatively broad understanding</w:t>
      </w:r>
      <w:r w:rsidRPr="00B63CE9">
        <w:rPr>
          <w:rFonts w:cs="Calibri"/>
        </w:rPr>
        <w:t xml:space="preserve">. For example, the panel in </w:t>
      </w:r>
      <w:r w:rsidRPr="0010150A">
        <w:rPr>
          <w:i/>
          <w:iCs/>
        </w:rPr>
        <w:t>EU and Certain Member States — Palm Oil (Malaysia)</w:t>
      </w:r>
      <w:r>
        <w:rPr>
          <w:i/>
          <w:iCs/>
        </w:rPr>
        <w:t xml:space="preserve"> </w:t>
      </w:r>
      <w:r w:rsidRPr="00B63CE9">
        <w:rPr>
          <w:rFonts w:cs="Calibri"/>
        </w:rPr>
        <w:t>observed that "income support" is "direct government intervention in the market to ensure that income for certain enterprises or associated with certain activities is maintained at or above a particular level."</w:t>
      </w:r>
      <w:r>
        <w:rPr>
          <w:rStyle w:val="FootnoteReference"/>
          <w:rFonts w:cs="Calibri"/>
        </w:rPr>
        <w:footnoteReference w:id="6"/>
      </w:r>
      <w:r w:rsidRPr="00B63CE9">
        <w:rPr>
          <w:rFonts w:cs="Calibri"/>
        </w:rPr>
        <w:t xml:space="preserve"> </w:t>
      </w:r>
    </w:p>
    <w:p w14:paraId="48CEBC0E" w14:textId="77777777" w:rsidR="000F14E6" w:rsidRDefault="000F14E6" w:rsidP="000F14E6">
      <w:pPr>
        <w:pStyle w:val="P1-N1Paragraph1-Number1"/>
      </w:pPr>
      <w:r w:rsidRPr="00B63CE9">
        <w:rPr>
          <w:rFonts w:cs="Calibri"/>
        </w:rPr>
        <w:t>In other words, "or" sits between a closed list of subsidies and an open concept that broadens that list.</w:t>
      </w:r>
      <w:r>
        <w:rPr>
          <w:rFonts w:cs="Calibri"/>
        </w:rPr>
        <w:t xml:space="preserve"> Australia considers</w:t>
      </w:r>
      <w:r w:rsidRPr="00B63CE9">
        <w:rPr>
          <w:rFonts w:cs="Calibri"/>
        </w:rPr>
        <w:t xml:space="preserve"> </w:t>
      </w:r>
      <w:r>
        <w:rPr>
          <w:rFonts w:cs="Calibri"/>
        </w:rPr>
        <w:t xml:space="preserve">in order for the concepts to be mutually exclusive, both would need to be closed. Given this is not the case, the context supports an inclusive interpretation of "or". </w:t>
      </w:r>
    </w:p>
    <w:p w14:paraId="3E1153FB" w14:textId="77777777" w:rsidR="000F14E6" w:rsidRPr="006C37F1" w:rsidRDefault="000F14E6" w:rsidP="000F14E6">
      <w:pPr>
        <w:pStyle w:val="P1-N1Paragraph1-Number1"/>
      </w:pPr>
      <w:r w:rsidRPr="006C37F1">
        <w:rPr>
          <w:rFonts w:cs="Calibri"/>
        </w:rPr>
        <w:t xml:space="preserve">This understanding is also supported by the findings of previous panels, where they provide examples of "income or price support" that could also amount to "financial contributions". </w:t>
      </w:r>
      <w:r>
        <w:rPr>
          <w:rFonts w:cs="Calibri"/>
        </w:rPr>
        <w:t>For instance</w:t>
      </w:r>
      <w:r w:rsidRPr="006C37F1">
        <w:rPr>
          <w:rFonts w:cs="Calibri"/>
        </w:rPr>
        <w:t>,</w:t>
      </w:r>
      <w:r>
        <w:rPr>
          <w:rFonts w:cs="Calibri"/>
        </w:rPr>
        <w:t xml:space="preserve"> the </w:t>
      </w:r>
      <w:r w:rsidRPr="00B63CE9">
        <w:rPr>
          <w:rFonts w:cs="Calibri"/>
        </w:rPr>
        <w:t>panel</w:t>
      </w:r>
      <w:r>
        <w:rPr>
          <w:rFonts w:cs="Calibri"/>
        </w:rPr>
        <w:t>'s</w:t>
      </w:r>
      <w:r w:rsidRPr="00B63CE9">
        <w:rPr>
          <w:rFonts w:cs="Calibri"/>
        </w:rPr>
        <w:t xml:space="preserve"> </w:t>
      </w:r>
      <w:r>
        <w:rPr>
          <w:rFonts w:cs="Calibri"/>
        </w:rPr>
        <w:t xml:space="preserve">example </w:t>
      </w:r>
      <w:r w:rsidRPr="00B63CE9">
        <w:rPr>
          <w:rFonts w:cs="Calibri"/>
        </w:rPr>
        <w:t xml:space="preserve">in </w:t>
      </w:r>
      <w:r w:rsidRPr="00BF6D75">
        <w:rPr>
          <w:i/>
          <w:iCs/>
        </w:rPr>
        <w:t>EU and Certain Member States — Palm Oil (Malaysia)</w:t>
      </w:r>
      <w:r w:rsidRPr="00B63CE9">
        <w:rPr>
          <w:rFonts w:cs="Calibri"/>
        </w:rPr>
        <w:t xml:space="preserve"> </w:t>
      </w:r>
      <w:r>
        <w:rPr>
          <w:rFonts w:cs="Calibri"/>
        </w:rPr>
        <w:t>of income support as</w:t>
      </w:r>
      <w:r w:rsidRPr="006C37F1">
        <w:rPr>
          <w:rFonts w:cs="Calibri"/>
        </w:rPr>
        <w:t xml:space="preserve"> direct government intervention in the market could</w:t>
      </w:r>
      <w:r w:rsidRPr="00693BE8">
        <w:rPr>
          <w:rFonts w:cs="Calibri"/>
        </w:rPr>
        <w:t xml:space="preserve"> </w:t>
      </w:r>
      <w:r w:rsidRPr="006C37F1">
        <w:rPr>
          <w:rFonts w:cs="Calibri"/>
        </w:rPr>
        <w:t>also,</w:t>
      </w:r>
      <w:r>
        <w:rPr>
          <w:rStyle w:val="FootnoteReference"/>
          <w:rFonts w:cs="Calibri"/>
        </w:rPr>
        <w:footnoteReference w:id="7"/>
      </w:r>
      <w:r w:rsidRPr="006C37F1">
        <w:rPr>
          <w:rFonts w:cs="Calibri"/>
        </w:rPr>
        <w:t xml:space="preserve"> depending on the circumstances, amount to a direct transfer of funds under Article 1.1(a)(1)(i) of the SCM Agreement. If </w:t>
      </w:r>
      <w:r>
        <w:rPr>
          <w:rFonts w:cs="Calibri"/>
        </w:rPr>
        <w:t>"</w:t>
      </w:r>
      <w:r w:rsidRPr="00D52F5D">
        <w:t xml:space="preserve">financial contribution" </w:t>
      </w:r>
      <w:r>
        <w:t>and</w:t>
      </w:r>
      <w:r w:rsidRPr="00D52F5D">
        <w:t xml:space="preserve"> "income or price support"</w:t>
      </w:r>
      <w:r>
        <w:t xml:space="preserve"> </w:t>
      </w:r>
      <w:r w:rsidRPr="006C37F1">
        <w:rPr>
          <w:rFonts w:cs="Calibri"/>
        </w:rPr>
        <w:t xml:space="preserve">were mutually exclusive, it is improbable previous panels would </w:t>
      </w:r>
      <w:r>
        <w:rPr>
          <w:rFonts w:cs="Calibri"/>
        </w:rPr>
        <w:t>have made</w:t>
      </w:r>
      <w:r w:rsidRPr="006C37F1">
        <w:rPr>
          <w:rFonts w:cs="Calibri"/>
        </w:rPr>
        <w:t xml:space="preserve"> such findings.</w:t>
      </w:r>
    </w:p>
    <w:p w14:paraId="39CF976E" w14:textId="77777777" w:rsidR="000F14E6" w:rsidRDefault="000F14E6" w:rsidP="00003C87">
      <w:pPr>
        <w:pStyle w:val="Heading2"/>
      </w:pPr>
      <w:bookmarkStart w:id="7" w:name="_Toc177653826"/>
      <w:r>
        <w:t>The Calculation of "benefit"</w:t>
      </w:r>
      <w:bookmarkEnd w:id="0"/>
      <w:bookmarkEnd w:id="7"/>
    </w:p>
    <w:p w14:paraId="6BF1293B" w14:textId="77777777" w:rsidR="000F14E6" w:rsidRDefault="000F14E6" w:rsidP="000F14E6">
      <w:pPr>
        <w:pStyle w:val="P1-N1Paragraph1-Number1"/>
      </w:pPr>
      <w:r>
        <w:t xml:space="preserve">Another issue in dispute is whether the European Union acted inconsistently with Articles 1.1(b) and 14(d) of the SCM Agreement in </w:t>
      </w:r>
      <w:r w:rsidRPr="00A241ED">
        <w:t>determin</w:t>
      </w:r>
      <w:r>
        <w:t xml:space="preserve">ing </w:t>
      </w:r>
      <w:r w:rsidRPr="00A241ED">
        <w:t>that the provision of CPO confer</w:t>
      </w:r>
      <w:r>
        <w:t>red</w:t>
      </w:r>
      <w:r w:rsidRPr="00A241ED">
        <w:t xml:space="preserve"> a </w:t>
      </w:r>
      <w:r>
        <w:t>benefi</w:t>
      </w:r>
      <w:r w:rsidRPr="00A241ED">
        <w:t>t</w:t>
      </w:r>
      <w:r>
        <w:t xml:space="preserve"> upon Indonesian biodiesel producers.</w:t>
      </w:r>
      <w:r>
        <w:rPr>
          <w:rStyle w:val="FootnoteReference"/>
        </w:rPr>
        <w:footnoteReference w:id="8"/>
      </w:r>
    </w:p>
    <w:p w14:paraId="1DC7A735" w14:textId="77777777" w:rsidR="000F14E6" w:rsidRPr="009427AC" w:rsidRDefault="000F14E6" w:rsidP="000F14E6">
      <w:pPr>
        <w:pStyle w:val="P1-N1Paragraph1-Number1"/>
        <w:rPr>
          <w:rFonts w:eastAsia="Calibri"/>
          <w:lang w:val="en-GB" w:eastAsia="en-GB"/>
        </w:rPr>
      </w:pPr>
      <w:r>
        <w:t>I</w:t>
      </w:r>
      <w:r w:rsidRPr="00BA4EDD">
        <w:t xml:space="preserve">n order to determine whether a benefit exists, Article 14 is "relevant context" for interpreting Article 1.1(b). Article 14 contains the guidelines that an investigating authority </w:t>
      </w:r>
      <w:r w:rsidRPr="00BA4EDD">
        <w:lastRenderedPageBreak/>
        <w:t>may use to calculate the amount of a subsidy in terms of benefit to the recipient</w:t>
      </w:r>
      <w:r>
        <w:t xml:space="preserve">. </w:t>
      </w:r>
      <w:r w:rsidRPr="009427AC">
        <w:t>Article 14(d)</w:t>
      </w:r>
      <w:r>
        <w:t>, in particular,</w:t>
      </w:r>
      <w:r w:rsidRPr="009427AC">
        <w:t xml:space="preserve"> contains guidelines for determining whether government purchases</w:t>
      </w:r>
      <w:r>
        <w:t xml:space="preserve"> or provisions</w:t>
      </w:r>
      <w:r w:rsidRPr="009427AC">
        <w:t xml:space="preserve"> of goods make a recipient "better off" than it would otherwise be in the marketplace</w:t>
      </w:r>
      <w:r>
        <w:t>.</w:t>
      </w:r>
      <w:r>
        <w:rPr>
          <w:rFonts w:eastAsia="Calibri"/>
          <w:lang w:val="en-GB" w:eastAsia="en-GB"/>
        </w:rPr>
        <w:t xml:space="preserve"> </w:t>
      </w:r>
      <w:r w:rsidRPr="009427AC">
        <w:rPr>
          <w:rFonts w:eastAsia="Calibri"/>
          <w:lang w:val="en-GB" w:eastAsia="en-GB"/>
        </w:rPr>
        <w:t xml:space="preserve">This is ultimately a comparative exercise between the price of the </w:t>
      </w:r>
      <w:r>
        <w:rPr>
          <w:rFonts w:eastAsia="Calibri"/>
          <w:lang w:val="en-GB" w:eastAsia="en-GB"/>
        </w:rPr>
        <w:t xml:space="preserve">government purchased or </w:t>
      </w:r>
      <w:r w:rsidRPr="009427AC">
        <w:rPr>
          <w:rFonts w:eastAsia="Calibri"/>
          <w:lang w:val="en-GB" w:eastAsia="en-GB"/>
        </w:rPr>
        <w:t>provided good and an appropriately selected benchmark.</w:t>
      </w:r>
      <w:r w:rsidRPr="00850F09">
        <w:rPr>
          <w:rStyle w:val="FootnoteReference"/>
        </w:rPr>
        <w:t xml:space="preserve"> </w:t>
      </w:r>
      <w:r>
        <w:rPr>
          <w:rStyle w:val="FootnoteReference"/>
        </w:rPr>
        <w:footnoteReference w:id="9"/>
      </w:r>
    </w:p>
    <w:p w14:paraId="0F666FF4" w14:textId="77777777" w:rsidR="000F14E6" w:rsidRDefault="000F14E6" w:rsidP="000F14E6">
      <w:pPr>
        <w:pStyle w:val="P1-N1Paragraph1-Number1"/>
        <w:rPr>
          <w:rFonts w:eastAsia="Calibri"/>
          <w:lang w:eastAsia="en-GB"/>
        </w:rPr>
      </w:pPr>
      <w:r>
        <w:rPr>
          <w:rFonts w:eastAsia="Calibri"/>
          <w:lang w:eastAsia="en-GB"/>
        </w:rPr>
        <w:t>The Appellate Body has stated that "the prices at which the same or similar goods are sold by private suppliers in arm</w:t>
      </w:r>
      <w:r>
        <w:t>'</w:t>
      </w:r>
      <w:r>
        <w:rPr>
          <w:rFonts w:eastAsia="Calibri"/>
          <w:lang w:eastAsia="en-GB"/>
        </w:rPr>
        <w:t xml:space="preserve">s-length transactions in the country of provision" are "the </w:t>
      </w:r>
      <w:r w:rsidRPr="007E649A">
        <w:rPr>
          <w:rFonts w:eastAsia="Calibri"/>
          <w:i/>
          <w:iCs/>
          <w:lang w:eastAsia="en-GB"/>
        </w:rPr>
        <w:t>starting poin</w:t>
      </w:r>
      <w:r>
        <w:rPr>
          <w:rFonts w:eastAsia="Calibri"/>
          <w:i/>
          <w:iCs/>
          <w:lang w:eastAsia="en-GB"/>
        </w:rPr>
        <w:t>t</w:t>
      </w:r>
      <w:r>
        <w:rPr>
          <w:rFonts w:eastAsia="Calibri"/>
          <w:lang w:eastAsia="en-GB"/>
        </w:rPr>
        <w:t xml:space="preserve"> of the analysis in determining a benchmark for the purposes of Article 14(d) of the SCM Agreement".</w:t>
      </w:r>
      <w:r>
        <w:rPr>
          <w:rFonts w:eastAsia="Calibri"/>
          <w:vertAlign w:val="superscript"/>
          <w:lang w:eastAsia="en-GB"/>
        </w:rPr>
        <w:footnoteReference w:id="10"/>
      </w:r>
      <w:r>
        <w:rPr>
          <w:rFonts w:eastAsia="Calibri"/>
          <w:lang w:eastAsia="en-GB"/>
        </w:rPr>
        <w:t xml:space="preserve"> </w:t>
      </w:r>
    </w:p>
    <w:p w14:paraId="67E192FE" w14:textId="77777777" w:rsidR="000F14E6" w:rsidRPr="006C6D37" w:rsidRDefault="000F14E6" w:rsidP="000F14E6">
      <w:pPr>
        <w:pStyle w:val="P1-N1Paragraph1-Number1"/>
        <w:rPr>
          <w:rFonts w:eastAsia="Calibri"/>
          <w:lang w:eastAsia="en-GB"/>
        </w:rPr>
      </w:pPr>
      <w:r w:rsidRPr="006C6D37">
        <w:rPr>
          <w:rFonts w:eastAsia="Calibri"/>
          <w:lang w:eastAsia="en-GB"/>
        </w:rPr>
        <w:t>However,</w:t>
      </w:r>
      <w:r w:rsidRPr="006C6D37">
        <w:rPr>
          <w:rFonts w:eastAsia="Calibri"/>
          <w:lang w:val="en-GB" w:eastAsia="en-GB"/>
        </w:rPr>
        <w:t xml:space="preserve"> it is important to note the Appellate Body has also emphasised the "market orientation" of this inquiry.</w:t>
      </w:r>
      <w:r>
        <w:rPr>
          <w:rStyle w:val="FootnoteReference"/>
          <w:rFonts w:eastAsia="Calibri"/>
          <w:lang w:val="en-GB" w:eastAsia="en-GB"/>
        </w:rPr>
        <w:footnoteReference w:id="11"/>
      </w:r>
      <w:r w:rsidRPr="006C6D37">
        <w:rPr>
          <w:rFonts w:eastAsia="Calibri"/>
          <w:lang w:val="en-GB" w:eastAsia="en-GB"/>
        </w:rPr>
        <w:t xml:space="preserve"> In-country</w:t>
      </w:r>
      <w:r>
        <w:rPr>
          <w:rFonts w:eastAsia="Calibri"/>
          <w:lang w:val="en-GB" w:eastAsia="en-GB"/>
        </w:rPr>
        <w:t xml:space="preserve"> </w:t>
      </w:r>
      <w:r w:rsidRPr="006C6D37">
        <w:rPr>
          <w:rFonts w:eastAsia="Calibri"/>
          <w:lang w:val="en-GB" w:eastAsia="en-GB"/>
        </w:rPr>
        <w:t>prices of the relevant good will not be appropriate where</w:t>
      </w:r>
      <w:r>
        <w:t xml:space="preserve"> </w:t>
      </w:r>
      <w:r w:rsidRPr="006C6D37">
        <w:rPr>
          <w:rFonts w:eastAsia="Calibri"/>
          <w:lang w:val="en-GB" w:eastAsia="en-GB"/>
        </w:rPr>
        <w:t>they deviate from market-determined prices as a result of government intervention in the market</w:t>
      </w:r>
      <w:r>
        <w:rPr>
          <w:rFonts w:eastAsia="Calibri"/>
          <w:lang w:val="en-GB" w:eastAsia="en-GB"/>
        </w:rPr>
        <w:t>.</w:t>
      </w:r>
      <w:r>
        <w:rPr>
          <w:rStyle w:val="FootnoteReference"/>
          <w:rFonts w:eastAsia="Calibri"/>
          <w:lang w:val="en-GB" w:eastAsia="en-GB"/>
        </w:rPr>
        <w:footnoteReference w:id="12"/>
      </w:r>
      <w:r>
        <w:rPr>
          <w:rFonts w:eastAsia="Calibri"/>
          <w:lang w:eastAsia="en-GB"/>
        </w:rPr>
        <w:t xml:space="preserve"> Consequently, previous panels and </w:t>
      </w:r>
      <w:r w:rsidRPr="006C6D37">
        <w:rPr>
          <w:rFonts w:eastAsia="Calibri"/>
          <w:lang w:eastAsia="en-GB"/>
        </w:rPr>
        <w:t xml:space="preserve">the Appellate Body </w:t>
      </w:r>
      <w:r>
        <w:rPr>
          <w:rFonts w:eastAsia="Calibri"/>
          <w:lang w:eastAsia="en-GB"/>
        </w:rPr>
        <w:t>have</w:t>
      </w:r>
      <w:r w:rsidRPr="006C6D37">
        <w:rPr>
          <w:rFonts w:eastAsia="Calibri"/>
          <w:lang w:eastAsia="en-GB"/>
        </w:rPr>
        <w:t xml:space="preserve"> also </w:t>
      </w:r>
      <w:r>
        <w:t>acknowledged alternative benchmarks may be appropriate in certain circumstances.</w:t>
      </w:r>
      <w:r>
        <w:rPr>
          <w:rStyle w:val="FootnoteReference"/>
        </w:rPr>
        <w:footnoteReference w:id="13"/>
      </w:r>
      <w:r>
        <w:t xml:space="preserve"> The analysis necessary to arrive at such an appropriate benchmark will vary depending upon the circumstances of the case, the characteristics of the market being examined, and the nature, quantity, and quality of the information.</w:t>
      </w:r>
      <w:r>
        <w:rPr>
          <w:rStyle w:val="FootnoteReference"/>
        </w:rPr>
        <w:footnoteReference w:id="14"/>
      </w:r>
    </w:p>
    <w:p w14:paraId="53D112AF" w14:textId="77777777" w:rsidR="000F14E6" w:rsidRDefault="000F14E6" w:rsidP="000F14E6">
      <w:pPr>
        <w:pStyle w:val="P1-N1Paragraph1-Number1"/>
      </w:pPr>
      <w:r>
        <w:rPr>
          <w:rFonts w:asciiTheme="minorHAnsi" w:eastAsia="Calibri" w:hAnsiTheme="minorHAnsi" w:cstheme="minorHAnsi"/>
          <w:lang w:val="en-GB" w:eastAsia="en-GB"/>
        </w:rPr>
        <w:t>The</w:t>
      </w:r>
      <w:r>
        <w:rPr>
          <w:rFonts w:asciiTheme="minorHAnsi" w:eastAsia="Calibri" w:hAnsiTheme="minorHAnsi" w:cstheme="minorHAnsi"/>
          <w:lang w:eastAsia="en-GB"/>
        </w:rPr>
        <w:t xml:space="preserve"> Appellate Body has also recognised that the second sentence of Article 14(d) requires that </w:t>
      </w:r>
      <w:r>
        <w:rPr>
          <w:rFonts w:asciiTheme="minorHAnsi" w:eastAsia="Calibri" w:hAnsiTheme="minorHAnsi" w:cstheme="minorHAnsi"/>
          <w:lang w:val="en-GB" w:eastAsia="en-GB"/>
        </w:rPr>
        <w:t>the chosen benchmark must relate or refer to, or be connected with, the "prevailing market conditions" in the relevant country, and must reflect price, quality, availability, marketability, transportation and other conditions of purchase or sale.</w:t>
      </w:r>
      <w:r>
        <w:rPr>
          <w:rFonts w:asciiTheme="minorHAnsi" w:eastAsia="Calibri" w:hAnsiTheme="minorHAnsi" w:cstheme="minorHAnsi"/>
          <w:vertAlign w:val="superscript"/>
          <w:lang w:val="en-GB" w:eastAsia="en-GB"/>
        </w:rPr>
        <w:footnoteReference w:id="15"/>
      </w:r>
      <w:r>
        <w:rPr>
          <w:rFonts w:asciiTheme="minorHAnsi" w:eastAsia="Calibri" w:hAnsiTheme="minorHAnsi" w:cstheme="minorHAnsi"/>
          <w:lang w:val="en-GB" w:eastAsia="en-GB"/>
        </w:rPr>
        <w:t xml:space="preserve"> I</w:t>
      </w:r>
      <w:r>
        <w:rPr>
          <w:lang w:eastAsia="en-GB"/>
        </w:rPr>
        <w:t xml:space="preserve">n considering this requirement, the Appellate Body has observed that prevailing market conditions "consist of generally accepted characteristics of an area of economic activity in </w:t>
      </w:r>
      <w:r w:rsidRPr="007E649A">
        <w:rPr>
          <w:i/>
          <w:iCs/>
          <w:lang w:eastAsia="en-GB"/>
        </w:rPr>
        <w:t>which the forces of supply and demand interact to determine market prices</w:t>
      </w:r>
      <w:r>
        <w:rPr>
          <w:lang w:eastAsia="en-GB"/>
        </w:rPr>
        <w:t>"—once again reinforcing the need for benchmark prices to be market-determined.</w:t>
      </w:r>
      <w:r>
        <w:rPr>
          <w:vertAlign w:val="superscript"/>
          <w:lang w:eastAsia="en-GB"/>
        </w:rPr>
        <w:footnoteReference w:id="16"/>
      </w:r>
    </w:p>
    <w:p w14:paraId="16C69972" w14:textId="77777777" w:rsidR="000F14E6" w:rsidRPr="00A241ED" w:rsidRDefault="000F14E6" w:rsidP="000F14E6">
      <w:pPr>
        <w:pStyle w:val="P1-N1Paragraph1-Number1"/>
      </w:pPr>
      <w:r>
        <w:lastRenderedPageBreak/>
        <w:t>In the context of this dispute, it is notable that the European Union states it was seeking to "</w:t>
      </w:r>
      <w:r w:rsidRPr="00C67185">
        <w:t>avoid a situation in which it compared distorted prices with distorted prices.</w:t>
      </w:r>
      <w:r>
        <w:t>"</w:t>
      </w:r>
      <w:r>
        <w:rPr>
          <w:rStyle w:val="FootnoteReference"/>
        </w:rPr>
        <w:footnoteReference w:id="17"/>
      </w:r>
      <w:r>
        <w:t xml:space="preserve"> Thereby, suggesting that the European Union was seeking to find a market-determined benchmark consistent with the previous findings of the Appellate Body. However, whether the relevant benchmark needed to be adjusted to reflect prevailing market conditions and what type of any such adjustments would be required are questions of fact, which Australia is not in a position to comment on.</w:t>
      </w:r>
    </w:p>
    <w:p w14:paraId="5BF96408" w14:textId="77777777" w:rsidR="000F14E6" w:rsidRPr="00632394" w:rsidRDefault="000F14E6" w:rsidP="00CD7267">
      <w:pPr>
        <w:pStyle w:val="Heading2"/>
      </w:pPr>
      <w:bookmarkStart w:id="8" w:name="_Toc177653827"/>
      <w:r w:rsidRPr="00632394">
        <w:t>Conclusion</w:t>
      </w:r>
      <w:bookmarkEnd w:id="8"/>
    </w:p>
    <w:p w14:paraId="097F7AE6" w14:textId="77777777" w:rsidR="000F14E6" w:rsidRPr="00747BE6" w:rsidRDefault="000F14E6" w:rsidP="000F14E6">
      <w:pPr>
        <w:pStyle w:val="P1-N1Paragraph1-Number1"/>
      </w:pPr>
      <w:r w:rsidRPr="00632394">
        <w:t>Australia thanks the Panel for its</w:t>
      </w:r>
      <w:r>
        <w:t xml:space="preserve"> time</w:t>
      </w:r>
      <w:r w:rsidRPr="00632394">
        <w:t xml:space="preserve"> </w:t>
      </w:r>
      <w:r>
        <w:t xml:space="preserve">and Australia hopes that its comments will be useful for the Panel's </w:t>
      </w:r>
      <w:r w:rsidRPr="00632394">
        <w:t>consideration</w:t>
      </w:r>
      <w:r>
        <w:t xml:space="preserve"> of this matter.</w:t>
      </w:r>
    </w:p>
    <w:p w14:paraId="1B2DB2EB" w14:textId="77777777" w:rsidR="00656C4F" w:rsidRDefault="00656C4F"/>
    <w:sectPr w:rsidR="00656C4F" w:rsidSect="000F14E6">
      <w:headerReference w:type="default" r:id="rId7"/>
      <w:footerReference w:type="default" r:id="rId8"/>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2073" w14:textId="77777777" w:rsidR="006448B9" w:rsidRDefault="006448B9" w:rsidP="000F14E6">
      <w:pPr>
        <w:spacing w:after="0" w:line="240" w:lineRule="auto"/>
      </w:pPr>
      <w:r>
        <w:separator/>
      </w:r>
    </w:p>
  </w:endnote>
  <w:endnote w:type="continuationSeparator" w:id="0">
    <w:p w14:paraId="1243E90E" w14:textId="77777777" w:rsidR="006448B9" w:rsidRDefault="006448B9" w:rsidP="000F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AEAD" w14:textId="77777777" w:rsidR="000F14E6" w:rsidRDefault="000F14E6">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BFD1" w14:textId="77777777" w:rsidR="006448B9" w:rsidRDefault="006448B9" w:rsidP="000F14E6">
      <w:pPr>
        <w:spacing w:after="0" w:line="240" w:lineRule="auto"/>
      </w:pPr>
      <w:r>
        <w:separator/>
      </w:r>
    </w:p>
  </w:footnote>
  <w:footnote w:type="continuationSeparator" w:id="0">
    <w:p w14:paraId="5E7C4747" w14:textId="77777777" w:rsidR="006448B9" w:rsidRDefault="006448B9" w:rsidP="000F14E6">
      <w:pPr>
        <w:spacing w:after="0" w:line="240" w:lineRule="auto"/>
      </w:pPr>
      <w:r>
        <w:continuationSeparator/>
      </w:r>
    </w:p>
  </w:footnote>
  <w:footnote w:id="1">
    <w:p w14:paraId="7A9A83EC" w14:textId="77777777" w:rsidR="000F14E6" w:rsidRDefault="000F14E6" w:rsidP="000F14E6">
      <w:pPr>
        <w:pStyle w:val="FootnoteText"/>
      </w:pPr>
      <w:r>
        <w:rPr>
          <w:rStyle w:val="FootnoteReference"/>
        </w:rPr>
        <w:footnoteRef/>
      </w:r>
      <w:r>
        <w:t xml:space="preserve"> See Indonesia's first written submission, paras. 243-244; European Union's first written submission, paras. 308-309. </w:t>
      </w:r>
    </w:p>
  </w:footnote>
  <w:footnote w:id="2">
    <w:p w14:paraId="14C3E1AF" w14:textId="77777777" w:rsidR="000F14E6" w:rsidRDefault="000F14E6" w:rsidP="000F14E6">
      <w:pPr>
        <w:pStyle w:val="FootnoteText"/>
      </w:pPr>
      <w:r>
        <w:rPr>
          <w:rStyle w:val="FootnoteReference"/>
        </w:rPr>
        <w:footnoteRef/>
      </w:r>
      <w:r>
        <w:t xml:space="preserve"> See .e.g. </w:t>
      </w:r>
      <w:r w:rsidRPr="00DE367D">
        <w:t xml:space="preserve">J. </w:t>
      </w:r>
      <w:proofErr w:type="spellStart"/>
      <w:r w:rsidRPr="00DE367D">
        <w:t>Hurford</w:t>
      </w:r>
      <w:proofErr w:type="spellEnd"/>
      <w:r>
        <w:t>, "</w:t>
      </w:r>
      <w:r w:rsidRPr="00AB7D1A">
        <w:t>Exclusive or Inclusive Disjunction</w:t>
      </w:r>
      <w:r>
        <w:t xml:space="preserve">" (1974), Vol. 11, No. 3, </w:t>
      </w:r>
      <w:r w:rsidRPr="00FB2E72">
        <w:rPr>
          <w:i/>
          <w:iCs/>
        </w:rPr>
        <w:t>Foundations of Language</w:t>
      </w:r>
      <w:r>
        <w:t>, pp. 409-411.</w:t>
      </w:r>
    </w:p>
  </w:footnote>
  <w:footnote w:id="3">
    <w:p w14:paraId="39B5AE3F" w14:textId="77777777" w:rsidR="000F14E6" w:rsidRDefault="000F14E6" w:rsidP="000F14E6">
      <w:pPr>
        <w:pStyle w:val="FootnoteText"/>
      </w:pPr>
      <w:r>
        <w:rPr>
          <w:rStyle w:val="FootnoteReference"/>
        </w:rPr>
        <w:footnoteRef/>
      </w:r>
      <w:r>
        <w:t xml:space="preserve"> </w:t>
      </w:r>
      <w:r w:rsidRPr="00D52F5D">
        <w:t xml:space="preserve">Panel Report, </w:t>
      </w:r>
      <w:r w:rsidRPr="00D52F5D">
        <w:rPr>
          <w:i/>
          <w:iCs/>
        </w:rPr>
        <w:t>US – Large Civil Aircraft (2nd complaint)</w:t>
      </w:r>
      <w:r w:rsidRPr="00D52F5D">
        <w:t>, para. 7.955.</w:t>
      </w:r>
    </w:p>
  </w:footnote>
  <w:footnote w:id="4">
    <w:p w14:paraId="09EA7F28" w14:textId="77777777" w:rsidR="000F14E6" w:rsidRDefault="000F14E6" w:rsidP="000F14E6">
      <w:pPr>
        <w:pStyle w:val="FootnoteText"/>
      </w:pPr>
      <w:r>
        <w:rPr>
          <w:rStyle w:val="FootnoteReference"/>
        </w:rPr>
        <w:footnoteRef/>
      </w:r>
      <w:r>
        <w:t xml:space="preserve"> SCM Agreement, Art. 1.1(a)(2) (emphasis added). </w:t>
      </w:r>
    </w:p>
  </w:footnote>
  <w:footnote w:id="5">
    <w:p w14:paraId="041CD3F6" w14:textId="77777777" w:rsidR="000F14E6" w:rsidRDefault="000F14E6" w:rsidP="000F14E6">
      <w:pPr>
        <w:pStyle w:val="FootnoteText"/>
      </w:pPr>
      <w:r>
        <w:rPr>
          <w:rStyle w:val="FootnoteReference"/>
        </w:rPr>
        <w:footnoteRef/>
      </w:r>
      <w:r>
        <w:t xml:space="preserve"> </w:t>
      </w:r>
      <w:r w:rsidRPr="00C033AD">
        <w:t xml:space="preserve">Appellate Body Report, </w:t>
      </w:r>
      <w:r w:rsidRPr="00C033AD">
        <w:rPr>
          <w:i/>
          <w:iCs/>
        </w:rPr>
        <w:t>US – Softwood Lumber IV</w:t>
      </w:r>
      <w:r w:rsidRPr="00C033AD">
        <w:t>, para. 52</w:t>
      </w:r>
      <w:r>
        <w:t>.</w:t>
      </w:r>
    </w:p>
  </w:footnote>
  <w:footnote w:id="6">
    <w:p w14:paraId="60FC4135" w14:textId="77777777" w:rsidR="000F14E6" w:rsidRDefault="000F14E6" w:rsidP="000F14E6">
      <w:pPr>
        <w:pStyle w:val="FootnoteText"/>
      </w:pPr>
      <w:r>
        <w:rPr>
          <w:rStyle w:val="FootnoteReference"/>
        </w:rPr>
        <w:footnoteRef/>
      </w:r>
      <w:r>
        <w:t xml:space="preserve"> Panel Report, </w:t>
      </w:r>
      <w:r w:rsidRPr="0010150A">
        <w:rPr>
          <w:i/>
          <w:iCs/>
        </w:rPr>
        <w:t>EU and Certain Member States — Palm Oil (Malaysia)</w:t>
      </w:r>
      <w:r>
        <w:t xml:space="preserve">, para. 7.1354. See also Panel Report, </w:t>
      </w:r>
      <w:r>
        <w:rPr>
          <w:i/>
          <w:iCs/>
        </w:rPr>
        <w:t>China – GOES</w:t>
      </w:r>
      <w:r>
        <w:t>, paras. 7.83-7.88.</w:t>
      </w:r>
    </w:p>
  </w:footnote>
  <w:footnote w:id="7">
    <w:p w14:paraId="485E7AFA" w14:textId="77777777" w:rsidR="000F14E6" w:rsidRDefault="000F14E6" w:rsidP="000F14E6">
      <w:pPr>
        <w:pStyle w:val="FootnoteText"/>
      </w:pPr>
      <w:r>
        <w:rPr>
          <w:rStyle w:val="FootnoteReference"/>
        </w:rPr>
        <w:footnoteRef/>
      </w:r>
      <w:r>
        <w:t xml:space="preserve"> Panel Report, </w:t>
      </w:r>
      <w:r w:rsidRPr="0010150A">
        <w:rPr>
          <w:i/>
          <w:iCs/>
        </w:rPr>
        <w:t>EU and Certain Member States — Palm Oil (Malaysia)</w:t>
      </w:r>
      <w:r>
        <w:t>, para. 7.1354.</w:t>
      </w:r>
    </w:p>
  </w:footnote>
  <w:footnote w:id="8">
    <w:p w14:paraId="6BA091CC" w14:textId="77777777" w:rsidR="000F14E6" w:rsidRDefault="000F14E6" w:rsidP="000F14E6">
      <w:pPr>
        <w:pStyle w:val="FootnoteText"/>
      </w:pPr>
      <w:r>
        <w:rPr>
          <w:rStyle w:val="FootnoteReference"/>
        </w:rPr>
        <w:footnoteRef/>
      </w:r>
      <w:r>
        <w:t xml:space="preserve"> Indonesia's first written submission, para. 260.</w:t>
      </w:r>
    </w:p>
  </w:footnote>
  <w:footnote w:id="9">
    <w:p w14:paraId="0A063C2B" w14:textId="77777777" w:rsidR="000F14E6" w:rsidRDefault="000F14E6" w:rsidP="000F14E6">
      <w:pPr>
        <w:pStyle w:val="FootnoteText"/>
      </w:pPr>
      <w:r>
        <w:rPr>
          <w:rStyle w:val="FootnoteReference"/>
        </w:rPr>
        <w:footnoteRef/>
      </w:r>
      <w:r>
        <w:t xml:space="preserve"> See e.g. </w:t>
      </w:r>
      <w:r w:rsidRPr="00C157EC">
        <w:rPr>
          <w:rFonts w:asciiTheme="minorHAnsi" w:hAnsiTheme="minorHAnsi" w:cstheme="minorHAnsi"/>
          <w:szCs w:val="18"/>
        </w:rPr>
        <w:t>Appellate Body Report</w:t>
      </w:r>
      <w:r>
        <w:rPr>
          <w:rFonts w:asciiTheme="minorHAnsi" w:hAnsiTheme="minorHAnsi" w:cstheme="minorHAnsi"/>
          <w:szCs w:val="18"/>
        </w:rPr>
        <w:t>s</w:t>
      </w:r>
      <w:r w:rsidRPr="00C157EC">
        <w:rPr>
          <w:rFonts w:asciiTheme="minorHAnsi" w:hAnsiTheme="minorHAnsi" w:cstheme="minorHAnsi"/>
          <w:szCs w:val="18"/>
        </w:rPr>
        <w:t xml:space="preserve">, </w:t>
      </w:r>
      <w:r w:rsidRPr="00C157EC">
        <w:rPr>
          <w:rFonts w:asciiTheme="minorHAnsi" w:hAnsiTheme="minorHAnsi" w:cstheme="minorHAnsi"/>
          <w:i/>
          <w:iCs/>
          <w:szCs w:val="18"/>
        </w:rPr>
        <w:t>Canada – Renewable Energy</w:t>
      </w:r>
      <w:r w:rsidRPr="00C157EC">
        <w:rPr>
          <w:rFonts w:asciiTheme="minorHAnsi" w:hAnsiTheme="minorHAnsi" w:cstheme="minorHAnsi"/>
          <w:szCs w:val="18"/>
        </w:rPr>
        <w:t>, para. 5.163</w:t>
      </w:r>
      <w:r>
        <w:rPr>
          <w:rFonts w:asciiTheme="minorHAnsi" w:hAnsiTheme="minorHAnsi" w:cstheme="minorHAnsi"/>
          <w:szCs w:val="18"/>
        </w:rPr>
        <w:t>;</w:t>
      </w:r>
      <w:r w:rsidRPr="00C157EC">
        <w:rPr>
          <w:rFonts w:asciiTheme="minorHAnsi" w:hAnsiTheme="minorHAnsi" w:cstheme="minorHAnsi"/>
          <w:szCs w:val="18"/>
        </w:rPr>
        <w:t xml:space="preserve"> </w:t>
      </w:r>
      <w:r w:rsidRPr="00C157EC">
        <w:rPr>
          <w:rFonts w:asciiTheme="minorHAnsi" w:hAnsiTheme="minorHAnsi" w:cstheme="minorHAnsi"/>
          <w:i/>
          <w:iCs/>
          <w:szCs w:val="18"/>
        </w:rPr>
        <w:t>US — Countervailing Measures (China) (Article 21.5 – China)</w:t>
      </w:r>
      <w:r w:rsidRPr="00C157EC">
        <w:rPr>
          <w:rFonts w:asciiTheme="minorHAnsi" w:hAnsiTheme="minorHAnsi" w:cstheme="minorHAnsi"/>
          <w:szCs w:val="18"/>
        </w:rPr>
        <w:t>, paras. 5.134-5.135.</w:t>
      </w:r>
    </w:p>
  </w:footnote>
  <w:footnote w:id="10">
    <w:p w14:paraId="2C3EF73E" w14:textId="77777777" w:rsidR="000F14E6" w:rsidRPr="00C157EC" w:rsidRDefault="000F14E6" w:rsidP="000F14E6">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 4.154</w:t>
      </w:r>
      <w:r>
        <w:rPr>
          <w:rFonts w:asciiTheme="minorHAnsi" w:hAnsiTheme="minorHAnsi" w:cstheme="minorHAnsi"/>
          <w:szCs w:val="18"/>
        </w:rPr>
        <w:t>, (emphasis added)</w:t>
      </w:r>
      <w:r w:rsidRPr="00C157EC">
        <w:rPr>
          <w:rFonts w:asciiTheme="minorHAnsi" w:hAnsiTheme="minorHAnsi" w:cstheme="minorHAnsi"/>
          <w:szCs w:val="18"/>
        </w:rPr>
        <w:t>.</w:t>
      </w:r>
    </w:p>
  </w:footnote>
  <w:footnote w:id="11">
    <w:p w14:paraId="069FD327" w14:textId="77777777" w:rsidR="000F14E6" w:rsidRPr="00C157EC" w:rsidRDefault="000F14E6" w:rsidP="000F14E6">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 4.151.</w:t>
      </w:r>
    </w:p>
  </w:footnote>
  <w:footnote w:id="12">
    <w:p w14:paraId="3C74398A" w14:textId="77777777" w:rsidR="000F14E6" w:rsidRDefault="000F14E6" w:rsidP="000F14E6">
      <w:pPr>
        <w:pStyle w:val="FootnoteText"/>
      </w:pPr>
      <w:r>
        <w:rPr>
          <w:rStyle w:val="FootnoteReference"/>
        </w:rPr>
        <w:footnoteRef/>
      </w:r>
      <w:r>
        <w:t xml:space="preserve"> </w:t>
      </w:r>
      <w:r w:rsidRPr="00C157EC">
        <w:rPr>
          <w:rFonts w:asciiTheme="minorHAnsi" w:hAnsiTheme="minorHAnsi" w:cstheme="minorHAnsi"/>
          <w:szCs w:val="18"/>
        </w:rPr>
        <w:t xml:space="preserve">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w:t>
      </w:r>
      <w:r>
        <w:rPr>
          <w:rFonts w:asciiTheme="minorHAnsi" w:hAnsiTheme="minorHAnsi" w:cstheme="minorHAnsi"/>
          <w:szCs w:val="18"/>
        </w:rPr>
        <w:t xml:space="preserve"> 4.155.</w:t>
      </w:r>
    </w:p>
  </w:footnote>
  <w:footnote w:id="13">
    <w:p w14:paraId="51D029B7" w14:textId="77777777" w:rsidR="000F14E6" w:rsidRDefault="000F14E6" w:rsidP="000F14E6">
      <w:pPr>
        <w:pStyle w:val="FootnoteText"/>
      </w:pPr>
      <w:r>
        <w:rPr>
          <w:rStyle w:val="FootnoteReference"/>
        </w:rPr>
        <w:footnoteRef/>
      </w:r>
      <w:r>
        <w:t xml:space="preserve"> See e.g. </w:t>
      </w:r>
      <w:r w:rsidRPr="00C157EC">
        <w:rPr>
          <w:rFonts w:asciiTheme="minorHAnsi" w:hAnsiTheme="minorHAnsi" w:cstheme="minorHAnsi"/>
          <w:szCs w:val="18"/>
        </w:rPr>
        <w:t xml:space="preserve">Panel Report, </w:t>
      </w:r>
      <w:r w:rsidRPr="00C157EC">
        <w:rPr>
          <w:rFonts w:asciiTheme="minorHAnsi" w:hAnsiTheme="minorHAnsi" w:cstheme="minorHAnsi"/>
          <w:i/>
          <w:iCs/>
          <w:szCs w:val="18"/>
        </w:rPr>
        <w:t>US — Softwood Lumber VII</w:t>
      </w:r>
      <w:r w:rsidRPr="00C157EC">
        <w:rPr>
          <w:rFonts w:asciiTheme="minorHAnsi" w:hAnsiTheme="minorHAnsi" w:cstheme="minorHAnsi"/>
          <w:szCs w:val="18"/>
        </w:rPr>
        <w:t>, para. 7.145</w:t>
      </w:r>
      <w:r>
        <w:rPr>
          <w:rFonts w:asciiTheme="minorHAnsi" w:hAnsiTheme="minorHAnsi" w:cstheme="minorHAnsi"/>
          <w:szCs w:val="18"/>
        </w:rPr>
        <w:t xml:space="preserve">; </w:t>
      </w:r>
      <w:r w:rsidRPr="006C6D37">
        <w:rPr>
          <w:rFonts w:asciiTheme="minorHAnsi" w:hAnsiTheme="minorHAnsi" w:cstheme="minorHAnsi"/>
          <w:szCs w:val="18"/>
        </w:rPr>
        <w:t xml:space="preserve">Appellate Body Report, </w:t>
      </w:r>
      <w:r w:rsidRPr="006C6D37">
        <w:rPr>
          <w:rFonts w:asciiTheme="minorHAnsi" w:hAnsiTheme="minorHAnsi" w:cstheme="minorHAnsi"/>
          <w:i/>
          <w:iCs/>
          <w:szCs w:val="18"/>
          <w:lang w:val="en-GB"/>
        </w:rPr>
        <w:t>US – Softwood Lumber IV</w:t>
      </w:r>
      <w:r w:rsidRPr="006C6D37">
        <w:rPr>
          <w:rFonts w:asciiTheme="minorHAnsi" w:hAnsiTheme="minorHAnsi" w:cstheme="minorHAnsi"/>
          <w:szCs w:val="18"/>
          <w:lang w:val="en-GB"/>
        </w:rPr>
        <w:t>, para. 106.</w:t>
      </w:r>
    </w:p>
  </w:footnote>
  <w:footnote w:id="14">
    <w:p w14:paraId="39DD2F5E" w14:textId="77777777" w:rsidR="000F14E6" w:rsidRDefault="000F14E6" w:rsidP="000F14E6">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Appellate Body Report, </w:t>
      </w:r>
      <w:r>
        <w:rPr>
          <w:rFonts w:asciiTheme="minorHAnsi" w:hAnsiTheme="minorHAnsi" w:cstheme="minorHAnsi"/>
          <w:i/>
          <w:iCs/>
        </w:rPr>
        <w:t>US – Carbon Steel (India)</w:t>
      </w:r>
      <w:r>
        <w:rPr>
          <w:rFonts w:asciiTheme="minorHAnsi" w:hAnsiTheme="minorHAnsi" w:cstheme="minorHAnsi"/>
        </w:rPr>
        <w:t>, para. 4.157.</w:t>
      </w:r>
    </w:p>
  </w:footnote>
  <w:footnote w:id="15">
    <w:p w14:paraId="756EF379" w14:textId="77777777" w:rsidR="000F14E6" w:rsidRPr="00C157EC" w:rsidRDefault="000F14E6" w:rsidP="000F14E6">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lang w:val="en-GB"/>
        </w:rPr>
        <w:t>US – Softwood Lumber IV</w:t>
      </w:r>
      <w:r w:rsidRPr="00C157EC">
        <w:rPr>
          <w:rFonts w:asciiTheme="minorHAnsi" w:hAnsiTheme="minorHAnsi" w:cstheme="minorHAnsi"/>
          <w:szCs w:val="18"/>
          <w:lang w:val="en-GB"/>
        </w:rPr>
        <w:t>, para. 103.</w:t>
      </w:r>
    </w:p>
  </w:footnote>
  <w:footnote w:id="16">
    <w:p w14:paraId="3C7F705A" w14:textId="77777777" w:rsidR="000F14E6" w:rsidRPr="00C157EC" w:rsidRDefault="000F14E6" w:rsidP="000F14E6">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 4.150</w:t>
      </w:r>
      <w:r>
        <w:rPr>
          <w:rFonts w:asciiTheme="minorHAnsi" w:hAnsiTheme="minorHAnsi" w:cstheme="minorHAnsi"/>
          <w:szCs w:val="18"/>
        </w:rPr>
        <w:t>, (emphasis added)</w:t>
      </w:r>
      <w:r w:rsidRPr="00C157EC">
        <w:rPr>
          <w:rFonts w:asciiTheme="minorHAnsi" w:hAnsiTheme="minorHAnsi" w:cstheme="minorHAnsi"/>
          <w:szCs w:val="18"/>
        </w:rPr>
        <w:t>.</w:t>
      </w:r>
    </w:p>
  </w:footnote>
  <w:footnote w:id="17">
    <w:p w14:paraId="00060F3B" w14:textId="77777777" w:rsidR="000F14E6" w:rsidRDefault="000F14E6" w:rsidP="000F14E6">
      <w:pPr>
        <w:pStyle w:val="FootnoteText"/>
      </w:pPr>
      <w:r>
        <w:rPr>
          <w:rStyle w:val="FootnoteReference"/>
        </w:rPr>
        <w:footnoteRef/>
      </w:r>
      <w:r>
        <w:t xml:space="preserve"> European Union's first written submission, para. 361.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F872" w14:textId="77777777" w:rsidR="000F14E6" w:rsidRPr="000E24A1" w:rsidRDefault="000F14E6">
    <w:pPr>
      <w:pStyle w:val="Header"/>
      <w:rPr>
        <w:i/>
        <w:iCs/>
      </w:rPr>
    </w:pPr>
    <w:r>
      <w:rPr>
        <w:i/>
        <w:iCs/>
      </w:rPr>
      <w:t>EU – CVDs on Biodiesel (Indonesia)</w:t>
    </w:r>
    <w:r>
      <w:rPr>
        <w:i/>
        <w:iCs/>
      </w:rPr>
      <w:tab/>
    </w:r>
    <w:r w:rsidRPr="000E24A1">
      <w:rPr>
        <w:i/>
        <w:iCs/>
      </w:rPr>
      <w:tab/>
    </w:r>
    <w:r w:rsidRPr="00EF5898">
      <w:rPr>
        <w:i/>
        <w:iCs/>
      </w:rPr>
      <w:t>As delivered</w:t>
    </w:r>
  </w:p>
  <w:p w14:paraId="5281CEC2" w14:textId="77777777" w:rsidR="000F14E6" w:rsidRPr="000E24A1" w:rsidRDefault="000F14E6">
    <w:pPr>
      <w:pStyle w:val="Header"/>
      <w:rPr>
        <w:i/>
        <w:iCs/>
      </w:rPr>
    </w:pPr>
    <w:r>
      <w:t>DS618</w:t>
    </w:r>
    <w:r w:rsidRPr="000E24A1">
      <w:rPr>
        <w:i/>
        <w:iCs/>
      </w:rPr>
      <w:tab/>
    </w:r>
    <w:r w:rsidRPr="000E24A1">
      <w:rPr>
        <w:i/>
        <w:iCs/>
      </w:rPr>
      <w:tab/>
      <w:t>Third party oral statement of Australia</w:t>
    </w:r>
  </w:p>
  <w:p w14:paraId="58E5C974" w14:textId="77777777" w:rsidR="000F14E6" w:rsidRPr="000E24A1" w:rsidRDefault="000F14E6">
    <w:pPr>
      <w:pStyle w:val="Header"/>
      <w:rPr>
        <w:i/>
        <w:iCs/>
      </w:rPr>
    </w:pPr>
    <w:r w:rsidRPr="000E24A1">
      <w:rPr>
        <w:i/>
        <w:iCs/>
      </w:rPr>
      <w:t xml:space="preserve"> </w:t>
    </w:r>
    <w:r w:rsidRPr="000E24A1">
      <w:rPr>
        <w:i/>
        <w:iCs/>
      </w:rPr>
      <w:tab/>
    </w:r>
    <w:r w:rsidRPr="000E24A1">
      <w:rPr>
        <w:i/>
        <w:iCs/>
      </w:rPr>
      <w:tab/>
    </w:r>
    <w:r>
      <w:rPr>
        <w:i/>
        <w:iCs/>
      </w:rPr>
      <w:t xml:space="preserve">9 October </w:t>
    </w:r>
    <w:r w:rsidRPr="000E24A1">
      <w:rPr>
        <w:i/>
        <w:i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96"/>
    <w:multiLevelType w:val="multilevel"/>
    <w:tmpl w:val="055615B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1" w15:restartNumberingAfterBreak="0">
    <w:nsid w:val="28243105"/>
    <w:multiLevelType w:val="hybridMultilevel"/>
    <w:tmpl w:val="4CD859C8"/>
    <w:lvl w:ilvl="0" w:tplc="0C09000F">
      <w:start w:val="1"/>
      <w:numFmt w:val="decimal"/>
      <w:pStyle w:val="P1-N1Paragraph1-Number1"/>
      <w:lvlText w:val="%1."/>
      <w:lvlJc w:val="left"/>
      <w:pPr>
        <w:tabs>
          <w:tab w:val="num" w:pos="851"/>
        </w:tabs>
        <w:ind w:left="0" w:firstLine="0"/>
      </w:pPr>
      <w:rPr>
        <w:rFonts w:hint="default"/>
        <w:b w:val="0"/>
        <w:bCs w:val="0"/>
        <w:i w:val="0"/>
        <w:iCs w:val="0"/>
        <w:color w:val="auto"/>
        <w:vertAlign w:val="baseline"/>
      </w:rPr>
    </w:lvl>
    <w:lvl w:ilvl="1" w:tplc="0C090019">
      <w:start w:val="1"/>
      <w:numFmt w:val="lowerLetter"/>
      <w:pStyle w:val="P2-B1Paragraph2-Bullet1"/>
      <w:lvlText w:val="%2."/>
      <w:lvlJc w:val="left"/>
      <w:pPr>
        <w:ind w:left="1211"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num w:numId="1" w16cid:durableId="2069500102">
    <w:abstractNumId w:val="1"/>
  </w:num>
  <w:num w:numId="2" w16cid:durableId="84640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E6"/>
    <w:rsid w:val="00003C87"/>
    <w:rsid w:val="000F14E6"/>
    <w:rsid w:val="002E34DD"/>
    <w:rsid w:val="004F4AE3"/>
    <w:rsid w:val="006448B9"/>
    <w:rsid w:val="00656C4F"/>
    <w:rsid w:val="00870623"/>
    <w:rsid w:val="009C4A8D"/>
    <w:rsid w:val="00CD7267"/>
    <w:rsid w:val="00E10A33"/>
    <w:rsid w:val="00EC1FA3"/>
    <w:rsid w:val="00F26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83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14E6"/>
    <w:pPr>
      <w:spacing w:line="360" w:lineRule="auto"/>
      <w:jc w:val="both"/>
    </w:pPr>
    <w:rPr>
      <w:rFonts w:ascii="Calibri" w:hAnsi="Calibri"/>
      <w:kern w:val="0"/>
      <w:sz w:val="24"/>
      <w:szCs w:val="24"/>
      <w14:ligatures w14:val="none"/>
    </w:rPr>
  </w:style>
  <w:style w:type="paragraph" w:styleId="Heading1">
    <w:name w:val="heading 1"/>
    <w:basedOn w:val="DTDocumentTitle"/>
    <w:next w:val="Normal"/>
    <w:link w:val="Heading1Char"/>
    <w:uiPriority w:val="9"/>
    <w:qFormat/>
    <w:rsid w:val="00003C87"/>
    <w:pPr>
      <w:outlineLvl w:val="0"/>
    </w:pPr>
    <w:rPr>
      <w:rFonts w:cs="Calibri"/>
    </w:rPr>
  </w:style>
  <w:style w:type="paragraph" w:styleId="Heading2">
    <w:name w:val="heading 2"/>
    <w:basedOn w:val="HL1HeadingLevel1"/>
    <w:next w:val="Normal"/>
    <w:link w:val="Heading2Char"/>
    <w:uiPriority w:val="9"/>
    <w:unhideWhenUsed/>
    <w:qFormat/>
    <w:rsid w:val="00003C87"/>
    <w:pPr>
      <w:outlineLvl w:val="1"/>
    </w:pPr>
  </w:style>
  <w:style w:type="paragraph" w:styleId="Heading3">
    <w:name w:val="heading 3"/>
    <w:basedOn w:val="Normal"/>
    <w:next w:val="Normal"/>
    <w:link w:val="Heading3Char"/>
    <w:uiPriority w:val="9"/>
    <w:semiHidden/>
    <w:unhideWhenUsed/>
    <w:qFormat/>
    <w:rsid w:val="000F14E6"/>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F14E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14E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F14E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F14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F14E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14E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basedOn w:val="Normal"/>
    <w:link w:val="BTBodyTextChar"/>
    <w:uiPriority w:val="2"/>
    <w:qFormat/>
    <w:rsid w:val="000F14E6"/>
  </w:style>
  <w:style w:type="character" w:customStyle="1" w:styleId="BTBodyTextChar">
    <w:name w:val="[BT] Body Text Char"/>
    <w:basedOn w:val="DefaultParagraphFont"/>
    <w:link w:val="BTBodyText"/>
    <w:uiPriority w:val="2"/>
    <w:rsid w:val="000F14E6"/>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0F14E6"/>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0F14E6"/>
    <w:rPr>
      <w:rFonts w:ascii="Calibri" w:hAnsi="Calibri"/>
      <w:kern w:val="0"/>
      <w:sz w:val="8"/>
      <w:szCs w:val="8"/>
      <w14:ligatures w14:val="none"/>
    </w:rPr>
  </w:style>
  <w:style w:type="paragraph" w:customStyle="1" w:styleId="P1-N1Paragraph1-Number1">
    <w:name w:val="[P1-N1] Paragraph 1 - Number 1"/>
    <w:basedOn w:val="BTBodyText"/>
    <w:link w:val="P1-N1Paragraph1-Number1Char"/>
    <w:uiPriority w:val="6"/>
    <w:qFormat/>
    <w:rsid w:val="000F14E6"/>
    <w:pPr>
      <w:numPr>
        <w:numId w:val="1"/>
      </w:numPr>
    </w:pPr>
  </w:style>
  <w:style w:type="paragraph" w:customStyle="1" w:styleId="P2-B1Paragraph2-Bullet1">
    <w:name w:val="[P2-B1] Paragraph 2 - Bullet 1"/>
    <w:basedOn w:val="BTBodyText"/>
    <w:uiPriority w:val="6"/>
    <w:qFormat/>
    <w:rsid w:val="000F14E6"/>
    <w:pPr>
      <w:numPr>
        <w:ilvl w:val="1"/>
        <w:numId w:val="1"/>
      </w:numPr>
      <w:spacing w:after="120"/>
    </w:pPr>
  </w:style>
  <w:style w:type="character" w:customStyle="1" w:styleId="P1-N1Paragraph1-Number1Char">
    <w:name w:val="[P1-N1] Paragraph 1 - Number 1 Char"/>
    <w:basedOn w:val="BTBodyTextChar"/>
    <w:link w:val="P1-N1Paragraph1-Number1"/>
    <w:uiPriority w:val="6"/>
    <w:rsid w:val="000F14E6"/>
    <w:rPr>
      <w:rFonts w:ascii="Calibri" w:hAnsi="Calibri"/>
      <w:kern w:val="0"/>
      <w:sz w:val="24"/>
      <w:szCs w:val="24"/>
      <w14:ligatures w14:val="none"/>
    </w:rPr>
  </w:style>
  <w:style w:type="paragraph" w:customStyle="1" w:styleId="P3-B2Paragraph3-Bullet2">
    <w:name w:val="[P3-B2] Paragraph 3 - Bullet 2"/>
    <w:basedOn w:val="BTBodyText"/>
    <w:uiPriority w:val="6"/>
    <w:qFormat/>
    <w:rsid w:val="000F14E6"/>
    <w:pPr>
      <w:numPr>
        <w:ilvl w:val="2"/>
        <w:numId w:val="1"/>
      </w:numPr>
      <w:spacing w:after="120"/>
    </w:pPr>
  </w:style>
  <w:style w:type="paragraph" w:customStyle="1" w:styleId="P4-B3Paragraph4-Bullet3">
    <w:name w:val="[P4-B3] Paragraph 4 - Bullet 3"/>
    <w:basedOn w:val="BTBodyText"/>
    <w:uiPriority w:val="6"/>
    <w:rsid w:val="000F14E6"/>
    <w:pPr>
      <w:numPr>
        <w:ilvl w:val="3"/>
        <w:numId w:val="1"/>
      </w:numPr>
      <w:spacing w:after="120"/>
      <w:ind w:left="3403" w:hanging="851"/>
    </w:pPr>
  </w:style>
  <w:style w:type="paragraph" w:customStyle="1" w:styleId="P5-B4Paragraph5-Bullet4">
    <w:name w:val="[P5-B4] Paragraph 5 - Bullet 4"/>
    <w:basedOn w:val="BTBodyText"/>
    <w:uiPriority w:val="6"/>
    <w:rsid w:val="000F14E6"/>
    <w:pPr>
      <w:numPr>
        <w:ilvl w:val="4"/>
        <w:numId w:val="1"/>
      </w:numPr>
      <w:spacing w:after="120"/>
    </w:pPr>
  </w:style>
  <w:style w:type="paragraph" w:customStyle="1" w:styleId="P6-B5Paragraph6-Bullet5">
    <w:name w:val="[P6-B5] Paragraph 6 - Bullet 5"/>
    <w:basedOn w:val="BTBodyText"/>
    <w:uiPriority w:val="6"/>
    <w:rsid w:val="000F14E6"/>
    <w:pPr>
      <w:numPr>
        <w:ilvl w:val="5"/>
        <w:numId w:val="1"/>
      </w:numPr>
      <w:spacing w:after="120"/>
      <w:ind w:left="5104" w:hanging="851"/>
    </w:pPr>
  </w:style>
  <w:style w:type="paragraph" w:customStyle="1" w:styleId="P7-B6Paragraph7-Bullet6">
    <w:name w:val="[P7-B6] Paragraph 7 - Bullet 6"/>
    <w:basedOn w:val="BTBodyText"/>
    <w:uiPriority w:val="6"/>
    <w:rsid w:val="000F14E6"/>
    <w:pPr>
      <w:numPr>
        <w:ilvl w:val="6"/>
        <w:numId w:val="1"/>
      </w:numPr>
      <w:spacing w:after="120"/>
    </w:pPr>
  </w:style>
  <w:style w:type="paragraph" w:customStyle="1" w:styleId="P8-B7Paragraph8-Bullet7">
    <w:name w:val="[P8-B7] Paragraph 8 - Bullet 7"/>
    <w:basedOn w:val="BTBodyText"/>
    <w:uiPriority w:val="6"/>
    <w:rsid w:val="000F14E6"/>
    <w:pPr>
      <w:numPr>
        <w:ilvl w:val="7"/>
        <w:numId w:val="1"/>
      </w:numPr>
      <w:spacing w:after="120"/>
      <w:ind w:left="6805" w:hanging="851"/>
    </w:pPr>
  </w:style>
  <w:style w:type="paragraph" w:customStyle="1" w:styleId="P9-B8Paragraph9-Bullet8">
    <w:name w:val="[P9-B8] Paragraph 9 - Bullet 8"/>
    <w:basedOn w:val="BTBodyText"/>
    <w:uiPriority w:val="6"/>
    <w:rsid w:val="000F14E6"/>
    <w:pPr>
      <w:numPr>
        <w:ilvl w:val="8"/>
        <w:numId w:val="1"/>
      </w:numPr>
      <w:spacing w:after="120"/>
    </w:pPr>
  </w:style>
  <w:style w:type="paragraph" w:customStyle="1" w:styleId="HL1HeadingLevel1">
    <w:name w:val="[HL1] Heading Level 1"/>
    <w:basedOn w:val="Heading1"/>
    <w:next w:val="P1-N1Paragraph1-Number1"/>
    <w:link w:val="HL1HeadingLevel1Char"/>
    <w:uiPriority w:val="4"/>
    <w:qFormat/>
    <w:rsid w:val="000F14E6"/>
    <w:pPr>
      <w:numPr>
        <w:numId w:val="2"/>
      </w:numPr>
    </w:pPr>
    <w:rPr>
      <w:b w:val="0"/>
      <w:caps/>
      <w:sz w:val="28"/>
    </w:rPr>
  </w:style>
  <w:style w:type="paragraph" w:customStyle="1" w:styleId="HL2HeadingLevel2">
    <w:name w:val="[HL2] Heading Level 2"/>
    <w:basedOn w:val="Heading2"/>
    <w:next w:val="P1-N1Paragraph1-Number1"/>
    <w:uiPriority w:val="4"/>
    <w:qFormat/>
    <w:rsid w:val="000F14E6"/>
    <w:pPr>
      <w:numPr>
        <w:ilvl w:val="1"/>
      </w:numPr>
    </w:pPr>
    <w:rPr>
      <w:b/>
      <w:smallCaps w:val="0"/>
    </w:rPr>
  </w:style>
  <w:style w:type="character" w:customStyle="1" w:styleId="HL1HeadingLevel1Char">
    <w:name w:val="[HL1] Heading Level 1 Char"/>
    <w:basedOn w:val="BTBodyTextChar"/>
    <w:link w:val="HL1HeadingLevel1"/>
    <w:uiPriority w:val="4"/>
    <w:rsid w:val="000F14E6"/>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P1-N1Paragraph1-Number1"/>
    <w:uiPriority w:val="4"/>
    <w:qFormat/>
    <w:rsid w:val="000F14E6"/>
    <w:pPr>
      <w:numPr>
        <w:ilvl w:val="2"/>
        <w:numId w:val="2"/>
      </w:numPr>
      <w:spacing w:before="0" w:after="160"/>
    </w:pPr>
    <w:rPr>
      <w:rFonts w:ascii="Calibri" w:hAnsi="Calibri"/>
      <w:b/>
      <w:color w:val="auto"/>
    </w:rPr>
  </w:style>
  <w:style w:type="paragraph" w:customStyle="1" w:styleId="HL4HeadingLevel4">
    <w:name w:val="[HL4] Heading Level 4"/>
    <w:basedOn w:val="Heading4"/>
    <w:next w:val="P1-N1Paragraph1-Number1"/>
    <w:uiPriority w:val="4"/>
    <w:qFormat/>
    <w:rsid w:val="000F14E6"/>
    <w:pPr>
      <w:numPr>
        <w:ilvl w:val="3"/>
        <w:numId w:val="2"/>
      </w:numPr>
      <w:spacing w:before="0" w:after="160"/>
    </w:pPr>
    <w:rPr>
      <w:rFonts w:ascii="Calibri" w:hAnsi="Calibri"/>
      <w:i w:val="0"/>
      <w:color w:val="auto"/>
      <w:u w:val="single"/>
    </w:rPr>
  </w:style>
  <w:style w:type="paragraph" w:customStyle="1" w:styleId="HL5HeadingLevel5">
    <w:name w:val="[HL5] Heading Level 5"/>
    <w:basedOn w:val="Heading5"/>
    <w:next w:val="P1-N1Paragraph1-Number1"/>
    <w:uiPriority w:val="4"/>
    <w:qFormat/>
    <w:rsid w:val="000F14E6"/>
    <w:pPr>
      <w:numPr>
        <w:ilvl w:val="4"/>
        <w:numId w:val="2"/>
      </w:numPr>
      <w:spacing w:before="0" w:after="160"/>
    </w:pPr>
    <w:rPr>
      <w:rFonts w:ascii="Calibri" w:hAnsi="Calibri"/>
      <w:i/>
      <w:color w:val="auto"/>
    </w:rPr>
  </w:style>
  <w:style w:type="paragraph" w:customStyle="1" w:styleId="HL6HeadingLevel6">
    <w:name w:val="[HL6] Heading Level 6"/>
    <w:basedOn w:val="Heading6"/>
    <w:next w:val="P1-N1Paragraph1-Number1"/>
    <w:uiPriority w:val="4"/>
    <w:semiHidden/>
    <w:rsid w:val="000F14E6"/>
    <w:pPr>
      <w:numPr>
        <w:ilvl w:val="5"/>
        <w:numId w:val="2"/>
      </w:numPr>
      <w:spacing w:before="0" w:after="160"/>
    </w:pPr>
    <w:rPr>
      <w:rFonts w:ascii="Calibri" w:hAnsi="Calibri"/>
      <w:color w:val="auto"/>
      <w:u w:val="single"/>
    </w:rPr>
  </w:style>
  <w:style w:type="paragraph" w:customStyle="1" w:styleId="HL7HeadingLevel7">
    <w:name w:val="[HL7] Heading Level 7"/>
    <w:basedOn w:val="Heading7"/>
    <w:next w:val="P1-N1Paragraph1-Number1"/>
    <w:uiPriority w:val="4"/>
    <w:semiHidden/>
    <w:rsid w:val="000F14E6"/>
    <w:pPr>
      <w:numPr>
        <w:ilvl w:val="6"/>
        <w:numId w:val="2"/>
      </w:numPr>
      <w:spacing w:before="0" w:after="160"/>
    </w:pPr>
    <w:rPr>
      <w:rFonts w:ascii="Calibri" w:hAnsi="Calibri"/>
      <w:color w:val="auto"/>
    </w:rPr>
  </w:style>
  <w:style w:type="paragraph" w:customStyle="1" w:styleId="HL8HeadingLevel8">
    <w:name w:val="[HL8] Heading Level 8"/>
    <w:basedOn w:val="Heading8"/>
    <w:next w:val="P1-N1Paragraph1-Number1"/>
    <w:uiPriority w:val="4"/>
    <w:semiHidden/>
    <w:rsid w:val="000F14E6"/>
    <w:pPr>
      <w:numPr>
        <w:ilvl w:val="7"/>
        <w:numId w:val="2"/>
      </w:numPr>
      <w:spacing w:before="0" w:after="160"/>
    </w:pPr>
    <w:rPr>
      <w:rFonts w:ascii="Calibri" w:hAnsi="Calibri"/>
      <w:color w:val="auto"/>
      <w:sz w:val="24"/>
      <w:u w:val="single"/>
    </w:rPr>
  </w:style>
  <w:style w:type="paragraph" w:customStyle="1" w:styleId="HL9HeadingLevel9">
    <w:name w:val="[HL9] Heading Level 9"/>
    <w:basedOn w:val="Heading9"/>
    <w:next w:val="P1-N1Paragraph1-Number1"/>
    <w:uiPriority w:val="4"/>
    <w:semiHidden/>
    <w:rsid w:val="000F14E6"/>
    <w:pPr>
      <w:numPr>
        <w:ilvl w:val="8"/>
        <w:numId w:val="2"/>
      </w:numPr>
      <w:spacing w:before="0" w:after="160"/>
    </w:pPr>
    <w:rPr>
      <w:rFonts w:ascii="Calibri" w:hAnsi="Calibri"/>
      <w:color w:val="auto"/>
      <w:sz w:val="24"/>
    </w:rPr>
  </w:style>
  <w:style w:type="table" w:styleId="TableGrid">
    <w:name w:val="Table Grid"/>
    <w:basedOn w:val="TableNormal"/>
    <w:uiPriority w:val="39"/>
    <w:rsid w:val="000F14E6"/>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4E6"/>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0F14E6"/>
    <w:rPr>
      <w:rFonts w:ascii="Calibri" w:hAnsi="Calibri"/>
      <w:kern w:val="0"/>
      <w:szCs w:val="24"/>
      <w14:ligatures w14:val="none"/>
    </w:rPr>
  </w:style>
  <w:style w:type="paragraph" w:styleId="Footer">
    <w:name w:val="footer"/>
    <w:basedOn w:val="Normal"/>
    <w:link w:val="FooterChar"/>
    <w:uiPriority w:val="99"/>
    <w:unhideWhenUsed/>
    <w:rsid w:val="000F14E6"/>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F14E6"/>
    <w:rPr>
      <w:rFonts w:ascii="Calibri" w:hAnsi="Calibri"/>
      <w:kern w:val="0"/>
      <w:szCs w:val="24"/>
      <w14:ligatures w14:val="none"/>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rsid w:val="000F14E6"/>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sid w:val="000F14E6"/>
    <w:rPr>
      <w:rFonts w:ascii="Calibri" w:hAnsi="Calibri"/>
      <w:kern w:val="0"/>
      <w:sz w:val="18"/>
      <w:szCs w:val="20"/>
      <w14:ligatures w14:val="none"/>
    </w:rPr>
  </w:style>
  <w:style w:type="character" w:styleId="FootnoteReference">
    <w:name w:val="footnote reference"/>
    <w:aliases w:val="A4 Footnote Reference,Ref,de nota al pie,註腳內容,de nota al pie + (Asian) MS Mincho,11 pt,Footnote Reference1,Ref1,de nota al pie1,Style 15,註?腳Ò®é»,11 p,註?腳內—e,-E Fußnotenzeichen,註????腳內—e,f?,註??腳內—e,11,16 Point,Superscript 6 Point"/>
    <w:basedOn w:val="DefaultParagraphFont"/>
    <w:link w:val="CharChar6CharCharCharCharCharChar"/>
    <w:uiPriority w:val="5"/>
    <w:qFormat/>
    <w:rsid w:val="000F14E6"/>
    <w:rPr>
      <w:rFonts w:ascii="Calibri" w:hAnsi="Calibri"/>
      <w:vertAlign w:val="superscript"/>
    </w:rPr>
  </w:style>
  <w:style w:type="paragraph" w:customStyle="1" w:styleId="WTODTWTODisputeTitle">
    <w:name w:val="[WTODT] WTO Dispute Title"/>
    <w:basedOn w:val="BTBodyText"/>
    <w:link w:val="WTODTWTODisputeTitleChar"/>
    <w:uiPriority w:val="27"/>
    <w:rsid w:val="000F14E6"/>
    <w:pPr>
      <w:spacing w:line="240" w:lineRule="auto"/>
      <w:jc w:val="center"/>
    </w:pPr>
    <w:rPr>
      <w:b/>
      <w:bCs/>
      <w:smallCaps/>
      <w:sz w:val="40"/>
      <w:szCs w:val="40"/>
    </w:rPr>
  </w:style>
  <w:style w:type="paragraph" w:customStyle="1" w:styleId="DSNDSNumber">
    <w:name w:val="[DSN] DS Number"/>
    <w:basedOn w:val="BTBodyText"/>
    <w:link w:val="DSNDSNumberChar"/>
    <w:uiPriority w:val="27"/>
    <w:rsid w:val="000F14E6"/>
    <w:pPr>
      <w:spacing w:line="240" w:lineRule="auto"/>
      <w:jc w:val="center"/>
    </w:pPr>
  </w:style>
  <w:style w:type="character" w:customStyle="1" w:styleId="WTODTWTODisputeTitleChar">
    <w:name w:val="[WTODT] WTO Dispute Title Char"/>
    <w:basedOn w:val="BTBodyTextChar"/>
    <w:link w:val="WTODTWTODisputeTitle"/>
    <w:uiPriority w:val="27"/>
    <w:rsid w:val="000F14E6"/>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0F14E6"/>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0F14E6"/>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0F14E6"/>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0F14E6"/>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0F14E6"/>
    <w:rPr>
      <w:rFonts w:ascii="Calibri" w:hAnsi="Calibri"/>
      <w:kern w:val="0"/>
      <w:sz w:val="32"/>
      <w:szCs w:val="32"/>
      <w14:ligatures w14:val="none"/>
    </w:rPr>
  </w:style>
  <w:style w:type="paragraph" w:customStyle="1" w:styleId="CharChar6CharCharCharCharCharChar">
    <w:name w:val="Char Char6 Char Char Char Char Char Char"/>
    <w:aliases w:val="Char6 Char Char Char Char Char Char Char"/>
    <w:basedOn w:val="Normal"/>
    <w:link w:val="FootnoteReference"/>
    <w:uiPriority w:val="5"/>
    <w:qFormat/>
    <w:rsid w:val="000F14E6"/>
    <w:pPr>
      <w:spacing w:after="240"/>
      <w:jc w:val="center"/>
    </w:pPr>
    <w:rPr>
      <w:kern w:val="2"/>
      <w:sz w:val="22"/>
      <w:szCs w:val="22"/>
      <w:vertAlign w:val="superscript"/>
      <w14:ligatures w14:val="standardContextual"/>
    </w:rPr>
  </w:style>
  <w:style w:type="character" w:customStyle="1" w:styleId="Heading1Char">
    <w:name w:val="Heading 1 Char"/>
    <w:basedOn w:val="DefaultParagraphFont"/>
    <w:link w:val="Heading1"/>
    <w:uiPriority w:val="9"/>
    <w:rsid w:val="00003C87"/>
    <w:rPr>
      <w:rFonts w:ascii="Calibri" w:hAnsi="Calibri" w:cs="Calibri"/>
      <w:b/>
      <w:bCs/>
      <w:smallCaps/>
      <w:kern w:val="0"/>
      <w:sz w:val="36"/>
      <w:szCs w:val="36"/>
      <w14:ligatures w14:val="none"/>
    </w:rPr>
  </w:style>
  <w:style w:type="character" w:customStyle="1" w:styleId="Heading2Char">
    <w:name w:val="Heading 2 Char"/>
    <w:basedOn w:val="DefaultParagraphFont"/>
    <w:link w:val="Heading2"/>
    <w:uiPriority w:val="9"/>
    <w:rsid w:val="00003C87"/>
    <w:rPr>
      <w:rFonts w:ascii="Calibri" w:hAnsi="Calibri" w:cs="Calibri"/>
      <w:bCs/>
      <w:caps/>
      <w:smallCaps/>
      <w:kern w:val="0"/>
      <w:sz w:val="28"/>
      <w:szCs w:val="36"/>
      <w14:ligatures w14:val="none"/>
    </w:rPr>
  </w:style>
  <w:style w:type="character" w:customStyle="1" w:styleId="Heading3Char">
    <w:name w:val="Heading 3 Char"/>
    <w:basedOn w:val="DefaultParagraphFont"/>
    <w:link w:val="Heading3"/>
    <w:uiPriority w:val="9"/>
    <w:semiHidden/>
    <w:rsid w:val="000F14E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0F14E6"/>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0F14E6"/>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0F14E6"/>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0F14E6"/>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0F14E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0F14E6"/>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WTODTWTODisputeTitle"/>
    <w:next w:val="Normal"/>
    <w:link w:val="TitleChar"/>
    <w:uiPriority w:val="10"/>
    <w:qFormat/>
    <w:rsid w:val="00003C87"/>
  </w:style>
  <w:style w:type="character" w:customStyle="1" w:styleId="TitleChar">
    <w:name w:val="Title Char"/>
    <w:basedOn w:val="DefaultParagraphFont"/>
    <w:link w:val="Title"/>
    <w:uiPriority w:val="10"/>
    <w:rsid w:val="00003C87"/>
    <w:rPr>
      <w:rFonts w:ascii="Calibri" w:hAnsi="Calibri"/>
      <w:b/>
      <w:bCs/>
      <w:smallCaps/>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1121</Words>
  <Characters>6153</Characters>
  <Application>Microsoft Office Word</Application>
  <DocSecurity>0</DocSecurity>
  <Lines>100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third party oral statement in DS618</dc:title>
  <dc:subject/>
  <dc:creator/>
  <cp:keywords>[SEC=OFFICIAL]</cp:keywords>
  <dc:description/>
  <cp:lastModifiedBy/>
  <cp:revision>1</cp:revision>
  <dcterms:created xsi:type="dcterms:W3CDTF">2024-10-24T05:14:00Z</dcterms:created>
  <dcterms:modified xsi:type="dcterms:W3CDTF">2024-10-30T01:47:00Z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v=2022.1;a=SHA256;h=446452198ED0A4EB265E4D9A842239BF1AF8F8D06FC2DD3F3ECFBA1EAD5D6EDB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2024-10-24T05:25:20Z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5D0C64F48FC6467B93344F6BB1627CA1</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04642A6D69667325349A601D63230FF6</vt:lpwstr>
  </property>
  <property fmtid="{D5CDD505-2E9C-101B-9397-08002B2CF9AE}" pid="25" name="PM_Hash_Salt">
    <vt:lpwstr>C68ACEEB92558910D0EB3AF4ACBFF356</vt:lpwstr>
  </property>
  <property fmtid="{D5CDD505-2E9C-101B-9397-08002B2CF9AE}" pid="26" name="PM_Hash_SHA1">
    <vt:lpwstr>65120A60DDCFF465C07F77F9149682A55F704813</vt:lpwstr>
  </property>
  <property fmtid="{D5CDD505-2E9C-101B-9397-08002B2CF9AE}" pid="27" name="PM_SecurityClassification_Prev">
    <vt:lpwstr>OFFICIAL</vt:lpwstr>
  </property>
  <property fmtid="{D5CDD505-2E9C-101B-9397-08002B2CF9AE}" pid="28" name="PM_Qualifier_Prev">
    <vt:lpwstr/>
  </property>
</Properties>
</file>