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417C4" w14:textId="77777777" w:rsidR="00354A06" w:rsidRPr="0007327B" w:rsidRDefault="00354A06" w:rsidP="005714C3">
      <w:pPr>
        <w:pStyle w:val="BTNSSBodyTextNoSpacingSmall"/>
        <w:rPr>
          <w:sz w:val="2"/>
          <w:szCs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5714C3" w:rsidRPr="00CF617C" w14:paraId="410E2700" w14:textId="77777777" w:rsidTr="008A4C51">
        <w:trPr>
          <w:trHeight w:val="4365"/>
        </w:trPr>
        <w:tc>
          <w:tcPr>
            <w:tcW w:w="9060" w:type="dxa"/>
          </w:tcPr>
          <w:p w14:paraId="0180AEF2" w14:textId="77777777" w:rsidR="005714C3" w:rsidRPr="00CF617C" w:rsidRDefault="005714C3" w:rsidP="005714C3">
            <w:pPr>
              <w:pStyle w:val="BTBodyText"/>
              <w:spacing w:after="240"/>
              <w:jc w:val="center"/>
              <w:rPr>
                <w:b/>
                <w:bCs/>
                <w:sz w:val="32"/>
                <w:szCs w:val="32"/>
              </w:rPr>
            </w:pPr>
            <w:r w:rsidRPr="00CF617C">
              <w:rPr>
                <w:b/>
                <w:bCs/>
                <w:sz w:val="32"/>
                <w:szCs w:val="32"/>
              </w:rPr>
              <w:t>Before the World Trade Organization</w:t>
            </w:r>
          </w:p>
          <w:p w14:paraId="40C42D64" w14:textId="77777777" w:rsidR="005714C3" w:rsidRPr="00CF617C" w:rsidRDefault="005714C3" w:rsidP="005714C3">
            <w:pPr>
              <w:pStyle w:val="BTBodyText"/>
              <w:spacing w:after="240"/>
              <w:jc w:val="center"/>
              <w:rPr>
                <w:b/>
                <w:bCs/>
                <w:sz w:val="32"/>
                <w:szCs w:val="32"/>
              </w:rPr>
            </w:pPr>
            <w:r w:rsidRPr="00CF617C">
              <w:rPr>
                <w:b/>
                <w:bCs/>
                <w:sz w:val="32"/>
                <w:szCs w:val="32"/>
              </w:rPr>
              <w:t>Panel Proceedings</w:t>
            </w:r>
          </w:p>
        </w:tc>
      </w:tr>
      <w:tr w:rsidR="005714C3" w:rsidRPr="00CF617C" w14:paraId="789C0AC3" w14:textId="77777777" w:rsidTr="00BE0B1C">
        <w:trPr>
          <w:trHeight w:val="737"/>
        </w:trPr>
        <w:tc>
          <w:tcPr>
            <w:tcW w:w="9060" w:type="dxa"/>
          </w:tcPr>
          <w:p w14:paraId="56FB0FDA" w14:textId="2E83F580" w:rsidR="005714C3" w:rsidRPr="00CF617C" w:rsidRDefault="0024781F" w:rsidP="00DA5381">
            <w:pPr>
              <w:pStyle w:val="WTODTWTODisputeTitle"/>
            </w:pPr>
            <w:r w:rsidRPr="00CF617C">
              <w:t>E</w:t>
            </w:r>
            <w:r w:rsidR="00AB7688" w:rsidRPr="00CF617C">
              <w:t>uropean Union</w:t>
            </w:r>
            <w:r w:rsidRPr="00CF617C">
              <w:t xml:space="preserve"> </w:t>
            </w:r>
            <w:r w:rsidR="00447404" w:rsidRPr="00CF617C">
              <w:t>–</w:t>
            </w:r>
            <w:r w:rsidRPr="00CF617C">
              <w:t xml:space="preserve"> </w:t>
            </w:r>
            <w:r w:rsidR="00447404" w:rsidRPr="00CF617C">
              <w:t>C</w:t>
            </w:r>
            <w:r w:rsidR="00AB7688" w:rsidRPr="00CF617C">
              <w:t>ountervailing Duties on Imports of Biodiesel from Indonesia</w:t>
            </w:r>
          </w:p>
        </w:tc>
      </w:tr>
      <w:tr w:rsidR="005714C3" w:rsidRPr="00CF617C" w14:paraId="1AE3599C" w14:textId="77777777" w:rsidTr="008A4C51">
        <w:trPr>
          <w:trHeight w:val="3175"/>
        </w:trPr>
        <w:tc>
          <w:tcPr>
            <w:tcW w:w="9060" w:type="dxa"/>
          </w:tcPr>
          <w:p w14:paraId="1555E29D" w14:textId="0FE51822" w:rsidR="005714C3" w:rsidRPr="00CF617C" w:rsidRDefault="005714C3" w:rsidP="00DA5381">
            <w:pPr>
              <w:pStyle w:val="DSNDSNumber"/>
            </w:pPr>
            <w:r w:rsidRPr="00CF617C">
              <w:t>(DS</w:t>
            </w:r>
            <w:r w:rsidR="00674CB1" w:rsidRPr="00CF617C">
              <w:t>61</w:t>
            </w:r>
            <w:r w:rsidR="004464D8" w:rsidRPr="00CF617C">
              <w:t>8</w:t>
            </w:r>
            <w:r w:rsidR="00674CB1" w:rsidRPr="00CF617C">
              <w:t>)</w:t>
            </w:r>
          </w:p>
        </w:tc>
      </w:tr>
      <w:tr w:rsidR="005714C3" w:rsidRPr="00CF617C" w14:paraId="2F27BF4C" w14:textId="77777777" w:rsidTr="00DD4BA0">
        <w:trPr>
          <w:trHeight w:val="3798"/>
        </w:trPr>
        <w:tc>
          <w:tcPr>
            <w:tcW w:w="9060" w:type="dxa"/>
          </w:tcPr>
          <w:p w14:paraId="1EF16E78" w14:textId="1AB1149B" w:rsidR="005714C3" w:rsidRPr="00CF617C" w:rsidRDefault="00674CB1" w:rsidP="00DA5381">
            <w:pPr>
              <w:pStyle w:val="DTDocumentTitle"/>
            </w:pPr>
            <w:r w:rsidRPr="00CF617C">
              <w:t>Third</w:t>
            </w:r>
            <w:r w:rsidR="00E35EA2" w:rsidRPr="00CF617C">
              <w:t xml:space="preserve"> </w:t>
            </w:r>
            <w:r w:rsidRPr="00CF617C">
              <w:t>Party Written Submission of Australia</w:t>
            </w:r>
          </w:p>
        </w:tc>
      </w:tr>
      <w:tr w:rsidR="005714C3" w:rsidRPr="00CF617C" w14:paraId="678637BD" w14:textId="77777777" w:rsidTr="00BE0B1C">
        <w:trPr>
          <w:trHeight w:val="624"/>
        </w:trPr>
        <w:tc>
          <w:tcPr>
            <w:tcW w:w="9060" w:type="dxa"/>
          </w:tcPr>
          <w:p w14:paraId="22E287F3" w14:textId="245B43AF" w:rsidR="005714C3" w:rsidRPr="00CF617C" w:rsidRDefault="007B62D0" w:rsidP="00DA5381">
            <w:pPr>
              <w:pStyle w:val="DDDocumentDate"/>
            </w:pPr>
            <w:r w:rsidRPr="00CF617C">
              <w:t>29 July 202</w:t>
            </w:r>
            <w:r w:rsidR="00D54094" w:rsidRPr="00CF617C">
              <w:t>4</w:t>
            </w:r>
          </w:p>
        </w:tc>
      </w:tr>
    </w:tbl>
    <w:p w14:paraId="23152BEC" w14:textId="77777777" w:rsidR="005714C3" w:rsidRPr="00CF617C" w:rsidRDefault="005714C3" w:rsidP="00BE0B1C">
      <w:pPr>
        <w:pStyle w:val="BTNSSBodyTextNoSpacingSmall"/>
      </w:pPr>
    </w:p>
    <w:p w14:paraId="7E42C38A" w14:textId="77777777" w:rsidR="00006269" w:rsidRPr="00CF617C" w:rsidRDefault="00006269" w:rsidP="00BE0B1C">
      <w:pPr>
        <w:pStyle w:val="BTNSSBodyTextNoSpacingSmall"/>
      </w:pPr>
      <w:r w:rsidRPr="00CF617C">
        <w:br w:type="page"/>
      </w:r>
    </w:p>
    <w:p w14:paraId="625477EC" w14:textId="77777777" w:rsidR="00F01A73" w:rsidRPr="00CF617C" w:rsidRDefault="00F01A73" w:rsidP="00F01A73">
      <w:pPr>
        <w:pStyle w:val="BTNSSBodyTextNoSpacingSmall"/>
        <w:rPr>
          <w:sz w:val="2"/>
          <w:szCs w:val="2"/>
        </w:rPr>
      </w:pPr>
    </w:p>
    <w:sdt>
      <w:sdtPr>
        <w:rPr>
          <w:lang w:val="en-AU"/>
        </w:rPr>
        <w:id w:val="-1730524273"/>
        <w:docPartObj>
          <w:docPartGallery w:val="Table of Contents"/>
          <w:docPartUnique/>
        </w:docPartObj>
      </w:sdtPr>
      <w:sdtContent>
        <w:p w14:paraId="5D897D10" w14:textId="77777777" w:rsidR="00D47F18" w:rsidRPr="00CF617C" w:rsidRDefault="00D47F18">
          <w:pPr>
            <w:pStyle w:val="TOCHeading"/>
            <w:rPr>
              <w:lang w:val="en-AU"/>
            </w:rPr>
          </w:pPr>
          <w:r w:rsidRPr="00CF617C">
            <w:rPr>
              <w:lang w:val="en-AU"/>
            </w:rPr>
            <w:t>Table of Contents</w:t>
          </w:r>
        </w:p>
        <w:p w14:paraId="4B48D17E" w14:textId="4CCD0177" w:rsidR="009F1349" w:rsidRDefault="00F945DB">
          <w:pPr>
            <w:pStyle w:val="TOC1"/>
            <w:rPr>
              <w:rFonts w:asciiTheme="minorHAnsi" w:eastAsiaTheme="minorEastAsia" w:hAnsiTheme="minorHAnsi"/>
              <w:b w:val="0"/>
              <w:caps w:val="0"/>
              <w:noProof/>
              <w:kern w:val="2"/>
              <w:sz w:val="22"/>
              <w:szCs w:val="22"/>
              <w:lang w:eastAsia="en-AU"/>
              <w14:ligatures w14:val="standardContextual"/>
            </w:rPr>
          </w:pPr>
          <w:r w:rsidRPr="00CF617C">
            <w:fldChar w:fldCharType="begin"/>
          </w:r>
          <w:r w:rsidRPr="00CF617C">
            <w:instrText xml:space="preserve"> TOC \o "1-5" \h \z \u </w:instrText>
          </w:r>
          <w:r w:rsidRPr="00CF617C">
            <w:fldChar w:fldCharType="separate"/>
          </w:r>
          <w:hyperlink w:anchor="_Toc173163516" w:history="1">
            <w:r w:rsidR="009F1349" w:rsidRPr="00E73CDB">
              <w:rPr>
                <w:rStyle w:val="Hyperlink"/>
                <w:noProof/>
              </w:rPr>
              <w:t>Table of Cases</w:t>
            </w:r>
            <w:r w:rsidR="009F1349">
              <w:rPr>
                <w:noProof/>
                <w:webHidden/>
              </w:rPr>
              <w:tab/>
            </w:r>
            <w:r w:rsidR="009F1349">
              <w:rPr>
                <w:noProof/>
                <w:webHidden/>
              </w:rPr>
              <w:fldChar w:fldCharType="begin"/>
            </w:r>
            <w:r w:rsidR="009F1349">
              <w:rPr>
                <w:noProof/>
                <w:webHidden/>
              </w:rPr>
              <w:instrText xml:space="preserve"> PAGEREF _Toc173163516 \h </w:instrText>
            </w:r>
            <w:r w:rsidR="009F1349">
              <w:rPr>
                <w:noProof/>
                <w:webHidden/>
              </w:rPr>
            </w:r>
            <w:r w:rsidR="009F1349">
              <w:rPr>
                <w:noProof/>
                <w:webHidden/>
              </w:rPr>
              <w:fldChar w:fldCharType="separate"/>
            </w:r>
            <w:r w:rsidR="00526BD5">
              <w:rPr>
                <w:noProof/>
                <w:webHidden/>
              </w:rPr>
              <w:t>3</w:t>
            </w:r>
            <w:r w:rsidR="009F1349">
              <w:rPr>
                <w:noProof/>
                <w:webHidden/>
              </w:rPr>
              <w:fldChar w:fldCharType="end"/>
            </w:r>
          </w:hyperlink>
        </w:p>
        <w:p w14:paraId="439999C7" w14:textId="622420D6" w:rsidR="009F1349" w:rsidRDefault="00000000">
          <w:pPr>
            <w:pStyle w:val="TOC1"/>
            <w:rPr>
              <w:rFonts w:asciiTheme="minorHAnsi" w:eastAsiaTheme="minorEastAsia" w:hAnsiTheme="minorHAnsi"/>
              <w:b w:val="0"/>
              <w:caps w:val="0"/>
              <w:noProof/>
              <w:kern w:val="2"/>
              <w:sz w:val="22"/>
              <w:szCs w:val="22"/>
              <w:lang w:eastAsia="en-AU"/>
              <w14:ligatures w14:val="standardContextual"/>
            </w:rPr>
          </w:pPr>
          <w:hyperlink w:anchor="_Toc173163517" w:history="1">
            <w:r w:rsidR="009F1349" w:rsidRPr="00E73CDB">
              <w:rPr>
                <w:rStyle w:val="Hyperlink"/>
                <w:noProof/>
              </w:rPr>
              <w:t>List of Acronyms, Abbreviations and Short Forms</w:t>
            </w:r>
            <w:r w:rsidR="009F1349">
              <w:rPr>
                <w:noProof/>
                <w:webHidden/>
              </w:rPr>
              <w:tab/>
            </w:r>
            <w:r w:rsidR="009F1349">
              <w:rPr>
                <w:noProof/>
                <w:webHidden/>
              </w:rPr>
              <w:fldChar w:fldCharType="begin"/>
            </w:r>
            <w:r w:rsidR="009F1349">
              <w:rPr>
                <w:noProof/>
                <w:webHidden/>
              </w:rPr>
              <w:instrText xml:space="preserve"> PAGEREF _Toc173163517 \h </w:instrText>
            </w:r>
            <w:r w:rsidR="009F1349">
              <w:rPr>
                <w:noProof/>
                <w:webHidden/>
              </w:rPr>
            </w:r>
            <w:r w:rsidR="009F1349">
              <w:rPr>
                <w:noProof/>
                <w:webHidden/>
              </w:rPr>
              <w:fldChar w:fldCharType="separate"/>
            </w:r>
            <w:r w:rsidR="00526BD5">
              <w:rPr>
                <w:noProof/>
                <w:webHidden/>
              </w:rPr>
              <w:t>4</w:t>
            </w:r>
            <w:r w:rsidR="009F1349">
              <w:rPr>
                <w:noProof/>
                <w:webHidden/>
              </w:rPr>
              <w:fldChar w:fldCharType="end"/>
            </w:r>
          </w:hyperlink>
        </w:p>
        <w:p w14:paraId="76AD3A4F" w14:textId="01A5012A" w:rsidR="009F1349" w:rsidRDefault="00000000">
          <w:pPr>
            <w:pStyle w:val="TOC1"/>
            <w:rPr>
              <w:rFonts w:asciiTheme="minorHAnsi" w:eastAsiaTheme="minorEastAsia" w:hAnsiTheme="minorHAnsi"/>
              <w:b w:val="0"/>
              <w:caps w:val="0"/>
              <w:noProof/>
              <w:kern w:val="2"/>
              <w:sz w:val="22"/>
              <w:szCs w:val="22"/>
              <w:lang w:eastAsia="en-AU"/>
              <w14:ligatures w14:val="standardContextual"/>
            </w:rPr>
          </w:pPr>
          <w:hyperlink w:anchor="_Toc173163518" w:history="1">
            <w:r w:rsidR="009F1349" w:rsidRPr="00E73CDB">
              <w:rPr>
                <w:rStyle w:val="Hyperlink"/>
                <w:noProof/>
              </w:rPr>
              <w:t>I.</w:t>
            </w:r>
            <w:r w:rsidR="009F1349">
              <w:rPr>
                <w:rFonts w:asciiTheme="minorHAnsi" w:eastAsiaTheme="minorEastAsia" w:hAnsiTheme="minorHAnsi"/>
                <w:b w:val="0"/>
                <w:caps w:val="0"/>
                <w:noProof/>
                <w:kern w:val="2"/>
                <w:sz w:val="22"/>
                <w:szCs w:val="22"/>
                <w:lang w:eastAsia="en-AU"/>
                <w14:ligatures w14:val="standardContextual"/>
              </w:rPr>
              <w:tab/>
            </w:r>
            <w:r w:rsidR="009F1349" w:rsidRPr="00E73CDB">
              <w:rPr>
                <w:rStyle w:val="Hyperlink"/>
                <w:noProof/>
              </w:rPr>
              <w:t>Introduction</w:t>
            </w:r>
            <w:r w:rsidR="009F1349">
              <w:rPr>
                <w:noProof/>
                <w:webHidden/>
              </w:rPr>
              <w:tab/>
            </w:r>
            <w:r w:rsidR="009F1349">
              <w:rPr>
                <w:noProof/>
                <w:webHidden/>
              </w:rPr>
              <w:fldChar w:fldCharType="begin"/>
            </w:r>
            <w:r w:rsidR="009F1349">
              <w:rPr>
                <w:noProof/>
                <w:webHidden/>
              </w:rPr>
              <w:instrText xml:space="preserve"> PAGEREF _Toc173163518 \h </w:instrText>
            </w:r>
            <w:r w:rsidR="009F1349">
              <w:rPr>
                <w:noProof/>
                <w:webHidden/>
              </w:rPr>
            </w:r>
            <w:r w:rsidR="009F1349">
              <w:rPr>
                <w:noProof/>
                <w:webHidden/>
              </w:rPr>
              <w:fldChar w:fldCharType="separate"/>
            </w:r>
            <w:r w:rsidR="00526BD5">
              <w:rPr>
                <w:noProof/>
                <w:webHidden/>
              </w:rPr>
              <w:t>5</w:t>
            </w:r>
            <w:r w:rsidR="009F1349">
              <w:rPr>
                <w:noProof/>
                <w:webHidden/>
              </w:rPr>
              <w:fldChar w:fldCharType="end"/>
            </w:r>
          </w:hyperlink>
        </w:p>
        <w:p w14:paraId="6EA2F2CA" w14:textId="355E0065" w:rsidR="009F1349" w:rsidRDefault="00000000">
          <w:pPr>
            <w:pStyle w:val="TOC1"/>
            <w:rPr>
              <w:rFonts w:asciiTheme="minorHAnsi" w:eastAsiaTheme="minorEastAsia" w:hAnsiTheme="minorHAnsi"/>
              <w:b w:val="0"/>
              <w:caps w:val="0"/>
              <w:noProof/>
              <w:kern w:val="2"/>
              <w:sz w:val="22"/>
              <w:szCs w:val="22"/>
              <w:lang w:eastAsia="en-AU"/>
              <w14:ligatures w14:val="standardContextual"/>
            </w:rPr>
          </w:pPr>
          <w:hyperlink w:anchor="_Toc173163519" w:history="1">
            <w:r w:rsidR="009F1349" w:rsidRPr="00E73CDB">
              <w:rPr>
                <w:rStyle w:val="Hyperlink"/>
                <w:rFonts w:cs="Calibri"/>
                <w:noProof/>
              </w:rPr>
              <w:t>II.</w:t>
            </w:r>
            <w:r w:rsidR="009F1349">
              <w:rPr>
                <w:rFonts w:asciiTheme="minorHAnsi" w:eastAsiaTheme="minorEastAsia" w:hAnsiTheme="minorHAnsi"/>
                <w:b w:val="0"/>
                <w:caps w:val="0"/>
                <w:noProof/>
                <w:kern w:val="2"/>
                <w:sz w:val="22"/>
                <w:szCs w:val="22"/>
                <w:lang w:eastAsia="en-AU"/>
                <w14:ligatures w14:val="standardContextual"/>
              </w:rPr>
              <w:tab/>
            </w:r>
            <w:r w:rsidR="009F1349" w:rsidRPr="00E73CDB">
              <w:rPr>
                <w:rStyle w:val="Hyperlink"/>
                <w:rFonts w:cs="Calibri"/>
                <w:noProof/>
              </w:rPr>
              <w:t>Standard of review</w:t>
            </w:r>
            <w:r w:rsidR="009F1349">
              <w:rPr>
                <w:noProof/>
                <w:webHidden/>
              </w:rPr>
              <w:tab/>
            </w:r>
            <w:r w:rsidR="009F1349">
              <w:rPr>
                <w:noProof/>
                <w:webHidden/>
              </w:rPr>
              <w:fldChar w:fldCharType="begin"/>
            </w:r>
            <w:r w:rsidR="009F1349">
              <w:rPr>
                <w:noProof/>
                <w:webHidden/>
              </w:rPr>
              <w:instrText xml:space="preserve"> PAGEREF _Toc173163519 \h </w:instrText>
            </w:r>
            <w:r w:rsidR="009F1349">
              <w:rPr>
                <w:noProof/>
                <w:webHidden/>
              </w:rPr>
            </w:r>
            <w:r w:rsidR="009F1349">
              <w:rPr>
                <w:noProof/>
                <w:webHidden/>
              </w:rPr>
              <w:fldChar w:fldCharType="separate"/>
            </w:r>
            <w:r w:rsidR="00526BD5">
              <w:rPr>
                <w:noProof/>
                <w:webHidden/>
              </w:rPr>
              <w:t>5</w:t>
            </w:r>
            <w:r w:rsidR="009F1349">
              <w:rPr>
                <w:noProof/>
                <w:webHidden/>
              </w:rPr>
              <w:fldChar w:fldCharType="end"/>
            </w:r>
          </w:hyperlink>
        </w:p>
        <w:p w14:paraId="7C492697" w14:textId="3CC9CC81" w:rsidR="009F1349" w:rsidRDefault="00000000">
          <w:pPr>
            <w:pStyle w:val="TOC1"/>
            <w:rPr>
              <w:rFonts w:asciiTheme="minorHAnsi" w:eastAsiaTheme="minorEastAsia" w:hAnsiTheme="minorHAnsi"/>
              <w:b w:val="0"/>
              <w:caps w:val="0"/>
              <w:noProof/>
              <w:kern w:val="2"/>
              <w:sz w:val="22"/>
              <w:szCs w:val="22"/>
              <w:lang w:eastAsia="en-AU"/>
              <w14:ligatures w14:val="standardContextual"/>
            </w:rPr>
          </w:pPr>
          <w:hyperlink w:anchor="_Toc173163520" w:history="1">
            <w:r w:rsidR="009F1349" w:rsidRPr="00E73CDB">
              <w:rPr>
                <w:rStyle w:val="Hyperlink"/>
                <w:noProof/>
              </w:rPr>
              <w:t>III.</w:t>
            </w:r>
            <w:r w:rsidR="009F1349">
              <w:rPr>
                <w:rFonts w:asciiTheme="minorHAnsi" w:eastAsiaTheme="minorEastAsia" w:hAnsiTheme="minorHAnsi"/>
                <w:b w:val="0"/>
                <w:caps w:val="0"/>
                <w:noProof/>
                <w:kern w:val="2"/>
                <w:sz w:val="22"/>
                <w:szCs w:val="22"/>
                <w:lang w:eastAsia="en-AU"/>
                <w14:ligatures w14:val="standardContextual"/>
              </w:rPr>
              <w:tab/>
            </w:r>
            <w:r w:rsidR="009F1349" w:rsidRPr="00E73CDB">
              <w:rPr>
                <w:rStyle w:val="Hyperlink"/>
                <w:noProof/>
              </w:rPr>
              <w:t>Existence of a financial contribution under Article 1.1(a)(1)(iv) OF The SCM Agreement</w:t>
            </w:r>
            <w:r w:rsidR="009F1349">
              <w:rPr>
                <w:noProof/>
                <w:webHidden/>
              </w:rPr>
              <w:tab/>
            </w:r>
            <w:r w:rsidR="009F1349">
              <w:rPr>
                <w:noProof/>
                <w:webHidden/>
              </w:rPr>
              <w:fldChar w:fldCharType="begin"/>
            </w:r>
            <w:r w:rsidR="009F1349">
              <w:rPr>
                <w:noProof/>
                <w:webHidden/>
              </w:rPr>
              <w:instrText xml:space="preserve"> PAGEREF _Toc173163520 \h </w:instrText>
            </w:r>
            <w:r w:rsidR="009F1349">
              <w:rPr>
                <w:noProof/>
                <w:webHidden/>
              </w:rPr>
            </w:r>
            <w:r w:rsidR="009F1349">
              <w:rPr>
                <w:noProof/>
                <w:webHidden/>
              </w:rPr>
              <w:fldChar w:fldCharType="separate"/>
            </w:r>
            <w:r w:rsidR="00526BD5">
              <w:rPr>
                <w:noProof/>
                <w:webHidden/>
              </w:rPr>
              <w:t>6</w:t>
            </w:r>
            <w:r w:rsidR="009F1349">
              <w:rPr>
                <w:noProof/>
                <w:webHidden/>
              </w:rPr>
              <w:fldChar w:fldCharType="end"/>
            </w:r>
          </w:hyperlink>
        </w:p>
        <w:p w14:paraId="1D5A6EC3" w14:textId="71E723C4" w:rsidR="009F1349" w:rsidRDefault="00000000">
          <w:pPr>
            <w:pStyle w:val="TOC2"/>
            <w:rPr>
              <w:rFonts w:asciiTheme="minorHAnsi" w:eastAsiaTheme="minorEastAsia" w:hAnsiTheme="minorHAnsi"/>
              <w:b w:val="0"/>
              <w:smallCaps w:val="0"/>
              <w:noProof/>
              <w:kern w:val="2"/>
              <w:sz w:val="22"/>
              <w:szCs w:val="22"/>
              <w:lang w:eastAsia="en-AU"/>
              <w14:ligatures w14:val="standardContextual"/>
            </w:rPr>
          </w:pPr>
          <w:hyperlink w:anchor="_Toc173163521" w:history="1">
            <w:r w:rsidR="009F1349" w:rsidRPr="00E73CDB">
              <w:rPr>
                <w:rStyle w:val="Hyperlink"/>
                <w:noProof/>
              </w:rPr>
              <w:t>A.</w:t>
            </w:r>
            <w:r w:rsidR="009F1349">
              <w:rPr>
                <w:rFonts w:asciiTheme="minorHAnsi" w:eastAsiaTheme="minorEastAsia" w:hAnsiTheme="minorHAnsi"/>
                <w:b w:val="0"/>
                <w:smallCaps w:val="0"/>
                <w:noProof/>
                <w:kern w:val="2"/>
                <w:sz w:val="22"/>
                <w:szCs w:val="22"/>
                <w:lang w:eastAsia="en-AU"/>
                <w14:ligatures w14:val="standardContextual"/>
              </w:rPr>
              <w:tab/>
            </w:r>
            <w:r w:rsidR="009F1349" w:rsidRPr="00E73CDB">
              <w:rPr>
                <w:rStyle w:val="Hyperlink"/>
                <w:noProof/>
              </w:rPr>
              <w:t>"Normally … vested in the government"</w:t>
            </w:r>
            <w:r w:rsidR="009F1349">
              <w:rPr>
                <w:noProof/>
                <w:webHidden/>
              </w:rPr>
              <w:tab/>
            </w:r>
            <w:r w:rsidR="009F1349">
              <w:rPr>
                <w:noProof/>
                <w:webHidden/>
              </w:rPr>
              <w:fldChar w:fldCharType="begin"/>
            </w:r>
            <w:r w:rsidR="009F1349">
              <w:rPr>
                <w:noProof/>
                <w:webHidden/>
              </w:rPr>
              <w:instrText xml:space="preserve"> PAGEREF _Toc173163521 \h </w:instrText>
            </w:r>
            <w:r w:rsidR="009F1349">
              <w:rPr>
                <w:noProof/>
                <w:webHidden/>
              </w:rPr>
            </w:r>
            <w:r w:rsidR="009F1349">
              <w:rPr>
                <w:noProof/>
                <w:webHidden/>
              </w:rPr>
              <w:fldChar w:fldCharType="separate"/>
            </w:r>
            <w:r w:rsidR="00526BD5">
              <w:rPr>
                <w:noProof/>
                <w:webHidden/>
              </w:rPr>
              <w:t>6</w:t>
            </w:r>
            <w:r w:rsidR="009F1349">
              <w:rPr>
                <w:noProof/>
                <w:webHidden/>
              </w:rPr>
              <w:fldChar w:fldCharType="end"/>
            </w:r>
          </w:hyperlink>
        </w:p>
        <w:p w14:paraId="3157E4B7" w14:textId="02EF6924" w:rsidR="009F1349" w:rsidRDefault="00000000">
          <w:pPr>
            <w:pStyle w:val="TOC2"/>
            <w:rPr>
              <w:rFonts w:asciiTheme="minorHAnsi" w:eastAsiaTheme="minorEastAsia" w:hAnsiTheme="minorHAnsi"/>
              <w:b w:val="0"/>
              <w:smallCaps w:val="0"/>
              <w:noProof/>
              <w:kern w:val="2"/>
              <w:sz w:val="22"/>
              <w:szCs w:val="22"/>
              <w:lang w:eastAsia="en-AU"/>
              <w14:ligatures w14:val="standardContextual"/>
            </w:rPr>
          </w:pPr>
          <w:hyperlink w:anchor="_Toc173163522" w:history="1">
            <w:r w:rsidR="009F1349" w:rsidRPr="00E73CDB">
              <w:rPr>
                <w:rStyle w:val="Hyperlink"/>
                <w:noProof/>
              </w:rPr>
              <w:t>B.</w:t>
            </w:r>
            <w:r w:rsidR="009F1349">
              <w:rPr>
                <w:rFonts w:asciiTheme="minorHAnsi" w:eastAsiaTheme="minorEastAsia" w:hAnsiTheme="minorHAnsi"/>
                <w:b w:val="0"/>
                <w:smallCaps w:val="0"/>
                <w:noProof/>
                <w:kern w:val="2"/>
                <w:sz w:val="22"/>
                <w:szCs w:val="22"/>
                <w:lang w:eastAsia="en-AU"/>
                <w14:ligatures w14:val="standardContextual"/>
              </w:rPr>
              <w:tab/>
            </w:r>
            <w:r w:rsidR="009F1349" w:rsidRPr="00E73CDB">
              <w:rPr>
                <w:rStyle w:val="Hyperlink"/>
                <w:noProof/>
              </w:rPr>
              <w:t>"Entrusts or directs"</w:t>
            </w:r>
            <w:r w:rsidR="009F1349">
              <w:rPr>
                <w:noProof/>
                <w:webHidden/>
              </w:rPr>
              <w:tab/>
            </w:r>
            <w:r w:rsidR="009F1349">
              <w:rPr>
                <w:noProof/>
                <w:webHidden/>
              </w:rPr>
              <w:fldChar w:fldCharType="begin"/>
            </w:r>
            <w:r w:rsidR="009F1349">
              <w:rPr>
                <w:noProof/>
                <w:webHidden/>
              </w:rPr>
              <w:instrText xml:space="preserve"> PAGEREF _Toc173163522 \h </w:instrText>
            </w:r>
            <w:r w:rsidR="009F1349">
              <w:rPr>
                <w:noProof/>
                <w:webHidden/>
              </w:rPr>
            </w:r>
            <w:r w:rsidR="009F1349">
              <w:rPr>
                <w:noProof/>
                <w:webHidden/>
              </w:rPr>
              <w:fldChar w:fldCharType="separate"/>
            </w:r>
            <w:r w:rsidR="00526BD5">
              <w:rPr>
                <w:noProof/>
                <w:webHidden/>
              </w:rPr>
              <w:t>9</w:t>
            </w:r>
            <w:r w:rsidR="009F1349">
              <w:rPr>
                <w:noProof/>
                <w:webHidden/>
              </w:rPr>
              <w:fldChar w:fldCharType="end"/>
            </w:r>
          </w:hyperlink>
        </w:p>
        <w:p w14:paraId="13EE0AF6" w14:textId="0869DBC0" w:rsidR="009F1349" w:rsidRDefault="00000000">
          <w:pPr>
            <w:pStyle w:val="TOC1"/>
            <w:rPr>
              <w:rFonts w:asciiTheme="minorHAnsi" w:eastAsiaTheme="minorEastAsia" w:hAnsiTheme="minorHAnsi"/>
              <w:b w:val="0"/>
              <w:caps w:val="0"/>
              <w:noProof/>
              <w:kern w:val="2"/>
              <w:sz w:val="22"/>
              <w:szCs w:val="22"/>
              <w:lang w:eastAsia="en-AU"/>
              <w14:ligatures w14:val="standardContextual"/>
            </w:rPr>
          </w:pPr>
          <w:hyperlink w:anchor="_Toc173163523" w:history="1">
            <w:r w:rsidR="009F1349" w:rsidRPr="00E73CDB">
              <w:rPr>
                <w:rStyle w:val="Hyperlink"/>
                <w:noProof/>
              </w:rPr>
              <w:t>IV.</w:t>
            </w:r>
            <w:r w:rsidR="009F1349">
              <w:rPr>
                <w:rFonts w:asciiTheme="minorHAnsi" w:eastAsiaTheme="minorEastAsia" w:hAnsiTheme="minorHAnsi"/>
                <w:b w:val="0"/>
                <w:caps w:val="0"/>
                <w:noProof/>
                <w:kern w:val="2"/>
                <w:sz w:val="22"/>
                <w:szCs w:val="22"/>
                <w:lang w:eastAsia="en-AU"/>
                <w14:ligatures w14:val="standardContextual"/>
              </w:rPr>
              <w:tab/>
            </w:r>
            <w:r w:rsidR="009F1349" w:rsidRPr="00E73CDB">
              <w:rPr>
                <w:rStyle w:val="Hyperlink"/>
                <w:noProof/>
              </w:rPr>
              <w:t>Conclusion</w:t>
            </w:r>
            <w:r w:rsidR="009F1349">
              <w:rPr>
                <w:noProof/>
                <w:webHidden/>
              </w:rPr>
              <w:tab/>
            </w:r>
            <w:r w:rsidR="009F1349">
              <w:rPr>
                <w:noProof/>
                <w:webHidden/>
              </w:rPr>
              <w:fldChar w:fldCharType="begin"/>
            </w:r>
            <w:r w:rsidR="009F1349">
              <w:rPr>
                <w:noProof/>
                <w:webHidden/>
              </w:rPr>
              <w:instrText xml:space="preserve"> PAGEREF _Toc173163523 \h </w:instrText>
            </w:r>
            <w:r w:rsidR="009F1349">
              <w:rPr>
                <w:noProof/>
                <w:webHidden/>
              </w:rPr>
            </w:r>
            <w:r w:rsidR="009F1349">
              <w:rPr>
                <w:noProof/>
                <w:webHidden/>
              </w:rPr>
              <w:fldChar w:fldCharType="separate"/>
            </w:r>
            <w:r w:rsidR="00526BD5">
              <w:rPr>
                <w:noProof/>
                <w:webHidden/>
              </w:rPr>
              <w:t>12</w:t>
            </w:r>
            <w:r w:rsidR="009F1349">
              <w:rPr>
                <w:noProof/>
                <w:webHidden/>
              </w:rPr>
              <w:fldChar w:fldCharType="end"/>
            </w:r>
          </w:hyperlink>
        </w:p>
        <w:p w14:paraId="231F010A" w14:textId="2E2747F9" w:rsidR="004D7079" w:rsidRPr="00CF617C" w:rsidRDefault="00F945DB" w:rsidP="00A915B3">
          <w:pPr>
            <w:pStyle w:val="TOC1"/>
          </w:pPr>
          <w:r w:rsidRPr="00CF617C">
            <w:fldChar w:fldCharType="end"/>
          </w:r>
          <w:r w:rsidR="00613CFE" w:rsidRPr="00CF617C">
            <w:br w:type="page"/>
          </w:r>
        </w:p>
      </w:sdtContent>
    </w:sdt>
    <w:p w14:paraId="70BB4CAC" w14:textId="77777777" w:rsidR="008257F2" w:rsidRDefault="008257F2" w:rsidP="00646950">
      <w:pPr>
        <w:pStyle w:val="SHSectionHeading"/>
      </w:pPr>
      <w:bookmarkStart w:id="0" w:name="_Toc148689582"/>
    </w:p>
    <w:p w14:paraId="7B5946E0" w14:textId="7B6F1D13" w:rsidR="00646950" w:rsidRPr="00CF617C" w:rsidRDefault="00646950" w:rsidP="00646950">
      <w:pPr>
        <w:pStyle w:val="SHSectionHeading"/>
      </w:pPr>
      <w:bookmarkStart w:id="1" w:name="_Toc173163516"/>
      <w:r w:rsidRPr="00CF617C">
        <w:t>Table of Cases</w:t>
      </w:r>
      <w:bookmarkEnd w:id="0"/>
      <w:bookmarkEnd w:id="1"/>
    </w:p>
    <w:tbl>
      <w:tblPr>
        <w:tblStyle w:val="TableGrid"/>
        <w:tblW w:w="5000" w:type="pct"/>
        <w:tblLook w:val="04A0" w:firstRow="1" w:lastRow="0" w:firstColumn="1" w:lastColumn="0" w:noHBand="0" w:noVBand="1"/>
      </w:tblPr>
      <w:tblGrid>
        <w:gridCol w:w="2261"/>
        <w:gridCol w:w="6799"/>
      </w:tblGrid>
      <w:tr w:rsidR="004759DD" w:rsidRPr="00CF617C" w14:paraId="671292EB" w14:textId="77777777" w:rsidTr="0012704C">
        <w:trPr>
          <w:cantSplit/>
          <w:trHeight w:val="397"/>
          <w:tblHeader/>
        </w:trPr>
        <w:tc>
          <w:tcPr>
            <w:tcW w:w="2261" w:type="dxa"/>
            <w:shd w:val="clear" w:color="auto" w:fill="D9D9D9" w:themeFill="background1" w:themeFillShade="D9"/>
          </w:tcPr>
          <w:p w14:paraId="4025EB8D" w14:textId="77777777" w:rsidR="00613CFE" w:rsidRPr="00CF617C" w:rsidRDefault="00613CFE" w:rsidP="00D63B48">
            <w:pPr>
              <w:pStyle w:val="THTableHeading"/>
              <w:jc w:val="center"/>
            </w:pPr>
            <w:r w:rsidRPr="00CF617C">
              <w:t>Short Title</w:t>
            </w:r>
          </w:p>
        </w:tc>
        <w:tc>
          <w:tcPr>
            <w:tcW w:w="6799" w:type="dxa"/>
            <w:shd w:val="clear" w:color="auto" w:fill="D9D9D9" w:themeFill="background1" w:themeFillShade="D9"/>
          </w:tcPr>
          <w:p w14:paraId="09CA4AC8" w14:textId="77777777" w:rsidR="00613CFE" w:rsidRPr="00CF617C" w:rsidRDefault="00613CFE" w:rsidP="00D63B48">
            <w:pPr>
              <w:pStyle w:val="THTableHeading"/>
              <w:jc w:val="center"/>
            </w:pPr>
            <w:r w:rsidRPr="00CF617C">
              <w:t>Full Case Title and Citation</w:t>
            </w:r>
          </w:p>
        </w:tc>
      </w:tr>
      <w:tr w:rsidR="008D37B4" w:rsidRPr="00CF617C" w14:paraId="44D01A35" w14:textId="77777777" w:rsidTr="0012704C">
        <w:trPr>
          <w:cantSplit/>
          <w:trHeight w:val="397"/>
        </w:trPr>
        <w:tc>
          <w:tcPr>
            <w:tcW w:w="2261" w:type="dxa"/>
          </w:tcPr>
          <w:p w14:paraId="08DF38C4" w14:textId="7E8A4EC6" w:rsidR="008D37B4" w:rsidRPr="007C5F06" w:rsidRDefault="008D37B4" w:rsidP="00570A6D">
            <w:pPr>
              <w:pStyle w:val="TTTableText"/>
              <w:rPr>
                <w:i/>
                <w:iCs/>
              </w:rPr>
            </w:pPr>
            <w:r w:rsidRPr="00F95004">
              <w:rPr>
                <w:i/>
                <w:iCs/>
              </w:rPr>
              <w:t>EC - Countervailing Measures on DRAM Chips</w:t>
            </w:r>
          </w:p>
        </w:tc>
        <w:tc>
          <w:tcPr>
            <w:tcW w:w="6799" w:type="dxa"/>
          </w:tcPr>
          <w:p w14:paraId="76917205" w14:textId="716EDB99" w:rsidR="008D37B4" w:rsidRPr="00570A6D" w:rsidRDefault="008D37B4" w:rsidP="00570A6D">
            <w:pPr>
              <w:pStyle w:val="TTTableText"/>
            </w:pPr>
            <w:r>
              <w:t>Panel Report,</w:t>
            </w:r>
            <w:r w:rsidR="00AF0867">
              <w:t xml:space="preserve"> </w:t>
            </w:r>
            <w:r w:rsidR="00AF0867" w:rsidRPr="00AF0867">
              <w:rPr>
                <w:i/>
                <w:lang w:val="en-GB"/>
              </w:rPr>
              <w:t>European Communities – Countervailing Measures on Dynamic Random Access Memory Chips from Korea</w:t>
            </w:r>
            <w:r w:rsidR="00AF0867" w:rsidRPr="00AF0867">
              <w:rPr>
                <w:lang w:val="en-GB"/>
              </w:rPr>
              <w:t>, WT/DS299/R, adopted 3 August 2005, DSR 2005:XVIII, p. 8671</w:t>
            </w:r>
          </w:p>
        </w:tc>
      </w:tr>
      <w:tr w:rsidR="002F4568" w:rsidRPr="00CF617C" w14:paraId="70E2F139" w14:textId="77777777" w:rsidTr="0012704C">
        <w:trPr>
          <w:cantSplit/>
          <w:trHeight w:val="397"/>
        </w:trPr>
        <w:tc>
          <w:tcPr>
            <w:tcW w:w="2261" w:type="dxa"/>
          </w:tcPr>
          <w:p w14:paraId="1C3BD395" w14:textId="361C5EB8" w:rsidR="002F4568" w:rsidRPr="00293736" w:rsidRDefault="002F4568" w:rsidP="002F4568">
            <w:pPr>
              <w:pStyle w:val="TTTableText"/>
              <w:rPr>
                <w:i/>
                <w:iCs/>
              </w:rPr>
            </w:pPr>
            <w:r w:rsidRPr="00153426">
              <w:rPr>
                <w:i/>
                <w:iCs/>
              </w:rPr>
              <w:t>Japan – DRAM</w:t>
            </w:r>
            <w:r w:rsidR="00B744C6">
              <w:rPr>
                <w:i/>
                <w:iCs/>
              </w:rPr>
              <w:t>s</w:t>
            </w:r>
            <w:r w:rsidRPr="00153426">
              <w:rPr>
                <w:i/>
                <w:iCs/>
              </w:rPr>
              <w:t xml:space="preserve"> (Korea)</w:t>
            </w:r>
          </w:p>
        </w:tc>
        <w:tc>
          <w:tcPr>
            <w:tcW w:w="6799" w:type="dxa"/>
          </w:tcPr>
          <w:p w14:paraId="3E30CADA" w14:textId="363F7E16" w:rsidR="002F4568" w:rsidRDefault="002F4568" w:rsidP="002F4568">
            <w:pPr>
              <w:pStyle w:val="TTTableText"/>
            </w:pPr>
            <w:r>
              <w:t>Appellate Body Report,</w:t>
            </w:r>
            <w:r w:rsidR="006641EE">
              <w:t xml:space="preserve"> </w:t>
            </w:r>
            <w:r w:rsidR="006641EE" w:rsidRPr="006641EE">
              <w:rPr>
                <w:i/>
                <w:lang w:val="en-GB"/>
              </w:rPr>
              <w:t>Japan – Countervailing Duties on Dynamic Random Access Memories from Korea</w:t>
            </w:r>
            <w:r w:rsidR="006641EE" w:rsidRPr="006641EE">
              <w:rPr>
                <w:lang w:val="en-GB"/>
              </w:rPr>
              <w:t>, WT/DS336/AB/R and Corr.1, adopted 17 December 2007, DSR 2007:VII, p. 2703</w:t>
            </w:r>
          </w:p>
        </w:tc>
      </w:tr>
      <w:tr w:rsidR="002F4568" w:rsidRPr="00CF617C" w14:paraId="1596EB97" w14:textId="77777777" w:rsidTr="0012704C">
        <w:trPr>
          <w:cantSplit/>
          <w:trHeight w:val="397"/>
        </w:trPr>
        <w:tc>
          <w:tcPr>
            <w:tcW w:w="2261" w:type="dxa"/>
          </w:tcPr>
          <w:p w14:paraId="09C6C0FA" w14:textId="06F4C77C" w:rsidR="002F4568" w:rsidRPr="007C5F06" w:rsidRDefault="002F4568" w:rsidP="002F4568">
            <w:pPr>
              <w:pStyle w:val="TTTableText"/>
              <w:rPr>
                <w:i/>
                <w:iCs/>
              </w:rPr>
            </w:pPr>
            <w:r w:rsidRPr="00293736">
              <w:rPr>
                <w:i/>
                <w:iCs/>
              </w:rPr>
              <w:t>Japan – DRAM</w:t>
            </w:r>
            <w:r w:rsidR="00B744C6">
              <w:rPr>
                <w:i/>
                <w:iCs/>
              </w:rPr>
              <w:t>s</w:t>
            </w:r>
            <w:r w:rsidRPr="00293736">
              <w:rPr>
                <w:i/>
                <w:iCs/>
              </w:rPr>
              <w:t xml:space="preserve"> (Korea)</w:t>
            </w:r>
          </w:p>
        </w:tc>
        <w:tc>
          <w:tcPr>
            <w:tcW w:w="6799" w:type="dxa"/>
          </w:tcPr>
          <w:p w14:paraId="28E5DE89" w14:textId="18DD7A95" w:rsidR="002F4568" w:rsidRPr="00570A6D" w:rsidRDefault="002F4568" w:rsidP="002F4568">
            <w:pPr>
              <w:pStyle w:val="TTTableText"/>
            </w:pPr>
            <w:r>
              <w:t>Panel Report,</w:t>
            </w:r>
            <w:r w:rsidR="00C55E04">
              <w:t xml:space="preserve"> </w:t>
            </w:r>
            <w:r w:rsidR="00C55E04" w:rsidRPr="00C55E04">
              <w:rPr>
                <w:i/>
                <w:lang w:val="en-GB"/>
              </w:rPr>
              <w:t>Japan – Countervailing Duties on Dynamic Random Access Memories from Korea</w:t>
            </w:r>
            <w:r w:rsidR="00C55E04" w:rsidRPr="00C55E04">
              <w:rPr>
                <w:lang w:val="en-GB"/>
              </w:rPr>
              <w:t>, WT/DS336/R, adopted 17 December 2007, as modified by Appellate Body Report WT/DS336/AB/R, DSR 2007:VII, p. 2805</w:t>
            </w:r>
          </w:p>
        </w:tc>
      </w:tr>
      <w:tr w:rsidR="00570A6D" w:rsidRPr="00CF617C" w14:paraId="57A67A28" w14:textId="77777777" w:rsidTr="0012704C">
        <w:trPr>
          <w:cantSplit/>
          <w:trHeight w:val="397"/>
        </w:trPr>
        <w:tc>
          <w:tcPr>
            <w:tcW w:w="2261" w:type="dxa"/>
          </w:tcPr>
          <w:p w14:paraId="079C7800" w14:textId="5E393E79" w:rsidR="00570A6D" w:rsidRDefault="00570A6D" w:rsidP="00570A6D">
            <w:pPr>
              <w:pStyle w:val="TTTableText"/>
              <w:rPr>
                <w:i/>
                <w:iCs/>
                <w:szCs w:val="18"/>
              </w:rPr>
            </w:pPr>
            <w:r w:rsidRPr="007C5F06">
              <w:rPr>
                <w:i/>
                <w:iCs/>
              </w:rPr>
              <w:t>US – Anti-Dumping and Countervailing Duties (China)</w:t>
            </w:r>
          </w:p>
        </w:tc>
        <w:tc>
          <w:tcPr>
            <w:tcW w:w="6799" w:type="dxa"/>
          </w:tcPr>
          <w:p w14:paraId="18B44ACE" w14:textId="23DF6E60" w:rsidR="00570A6D" w:rsidRPr="00570A6D" w:rsidRDefault="00570A6D" w:rsidP="00570A6D">
            <w:pPr>
              <w:pStyle w:val="TTTableText"/>
              <w:rPr>
                <w:szCs w:val="18"/>
              </w:rPr>
            </w:pPr>
            <w:r w:rsidRPr="00570A6D">
              <w:t>Appellate Body Report,</w:t>
            </w:r>
            <w:r w:rsidR="009457BF">
              <w:t xml:space="preserve"> </w:t>
            </w:r>
            <w:r w:rsidR="009457BF" w:rsidRPr="009457BF">
              <w:rPr>
                <w:i/>
                <w:iCs/>
                <w:lang w:val="en-GB"/>
              </w:rPr>
              <w:t>United States – Definitive Anti-Dumping and Countervailing Duties on Certain Products from China</w:t>
            </w:r>
            <w:r w:rsidR="009457BF" w:rsidRPr="009457BF">
              <w:rPr>
                <w:lang w:val="en-GB"/>
              </w:rPr>
              <w:t>, WT/DS379/AB/R, adopted 25 March 2011, DSR 2011:V, p. 2869</w:t>
            </w:r>
          </w:p>
        </w:tc>
      </w:tr>
      <w:tr w:rsidR="007957F0" w:rsidRPr="00CF617C" w14:paraId="1188E83B" w14:textId="77777777" w:rsidTr="0012704C">
        <w:trPr>
          <w:cantSplit/>
          <w:trHeight w:val="397"/>
        </w:trPr>
        <w:tc>
          <w:tcPr>
            <w:tcW w:w="2261" w:type="dxa"/>
          </w:tcPr>
          <w:p w14:paraId="28C4450F" w14:textId="1F76197F" w:rsidR="007957F0" w:rsidRDefault="007957F0" w:rsidP="007957F0">
            <w:pPr>
              <w:pStyle w:val="TTTableText"/>
              <w:rPr>
                <w:i/>
                <w:iCs/>
                <w:szCs w:val="18"/>
              </w:rPr>
            </w:pPr>
            <w:r w:rsidRPr="00C35E9F">
              <w:rPr>
                <w:i/>
                <w:iCs/>
              </w:rPr>
              <w:t>US – Carbon Steel (India)</w:t>
            </w:r>
            <w:r w:rsidRPr="00C35E9F">
              <w:t xml:space="preserve">, </w:t>
            </w:r>
          </w:p>
        </w:tc>
        <w:tc>
          <w:tcPr>
            <w:tcW w:w="6799" w:type="dxa"/>
          </w:tcPr>
          <w:p w14:paraId="0C9A2BA4" w14:textId="6F17768F" w:rsidR="007957F0" w:rsidRPr="007957F0" w:rsidRDefault="007957F0" w:rsidP="007957F0">
            <w:pPr>
              <w:pStyle w:val="TTTableText"/>
              <w:rPr>
                <w:szCs w:val="18"/>
              </w:rPr>
            </w:pPr>
            <w:r w:rsidRPr="007957F0">
              <w:t>Appellate Body Report</w:t>
            </w:r>
            <w:r w:rsidR="008338AB">
              <w:t xml:space="preserve">, </w:t>
            </w:r>
            <w:r w:rsidR="008338AB" w:rsidRPr="008338AB">
              <w:rPr>
                <w:i/>
                <w:lang w:val="en-GB"/>
              </w:rPr>
              <w:t>United States – Countervailing Measures on Certain Hot-Rolled Carbon Steel Flat Products from India</w:t>
            </w:r>
            <w:r w:rsidR="008338AB" w:rsidRPr="008338AB">
              <w:rPr>
                <w:lang w:val="en-GB"/>
              </w:rPr>
              <w:t>, WT/DS436/AB/R, adopted 19 December 2014, DSR 2014:V, p. 1727</w:t>
            </w:r>
          </w:p>
        </w:tc>
      </w:tr>
      <w:tr w:rsidR="004759DD" w:rsidRPr="00CF617C" w14:paraId="28F74F71" w14:textId="77777777" w:rsidTr="0012704C">
        <w:trPr>
          <w:cantSplit/>
          <w:trHeight w:val="397"/>
        </w:trPr>
        <w:tc>
          <w:tcPr>
            <w:tcW w:w="2261" w:type="dxa"/>
          </w:tcPr>
          <w:p w14:paraId="0C06B1BF" w14:textId="1C204704" w:rsidR="00613CFE" w:rsidRPr="00CF617C" w:rsidRDefault="00CE4BF9" w:rsidP="00D63B48">
            <w:pPr>
              <w:pStyle w:val="TTTableText"/>
            </w:pPr>
            <w:r>
              <w:rPr>
                <w:i/>
                <w:iCs/>
                <w:szCs w:val="18"/>
              </w:rPr>
              <w:t>US – Countervailing Duty Investigation on DRAMs</w:t>
            </w:r>
          </w:p>
        </w:tc>
        <w:tc>
          <w:tcPr>
            <w:tcW w:w="6799" w:type="dxa"/>
          </w:tcPr>
          <w:p w14:paraId="77DD948C" w14:textId="2ABAED52" w:rsidR="00613CFE" w:rsidRPr="00CF617C" w:rsidRDefault="00CE4BF9" w:rsidP="00D63B48">
            <w:pPr>
              <w:pStyle w:val="TTTableText"/>
            </w:pPr>
            <w:r>
              <w:rPr>
                <w:szCs w:val="18"/>
              </w:rPr>
              <w:t xml:space="preserve">Appellate Body Report, </w:t>
            </w:r>
            <w:r w:rsidR="000B7552" w:rsidRPr="000B7552">
              <w:rPr>
                <w:i/>
                <w:szCs w:val="18"/>
                <w:lang w:val="en-GB"/>
              </w:rPr>
              <w:t>United States – Countervailing Duty Investigation on Dynamic Random Access Memory Semiconductors (DRAMS) from Korea</w:t>
            </w:r>
            <w:r w:rsidR="000B7552" w:rsidRPr="000B7552">
              <w:rPr>
                <w:szCs w:val="18"/>
                <w:lang w:val="en-GB"/>
              </w:rPr>
              <w:t>, WT/DS296/AB/R, adopted 20 July 2005, DSR 2005:XVI, p. 8131</w:t>
            </w:r>
          </w:p>
        </w:tc>
      </w:tr>
      <w:tr w:rsidR="00041871" w:rsidRPr="00CF617C" w14:paraId="2946A654" w14:textId="77777777" w:rsidTr="0012704C">
        <w:trPr>
          <w:cantSplit/>
          <w:trHeight w:val="397"/>
        </w:trPr>
        <w:tc>
          <w:tcPr>
            <w:tcW w:w="2261" w:type="dxa"/>
          </w:tcPr>
          <w:p w14:paraId="133607E5" w14:textId="2F8D33ED" w:rsidR="00041871" w:rsidRDefault="00041871" w:rsidP="00D63B48">
            <w:pPr>
              <w:pStyle w:val="TTTableText"/>
              <w:rPr>
                <w:i/>
                <w:iCs/>
                <w:szCs w:val="18"/>
              </w:rPr>
            </w:pPr>
            <w:r w:rsidRPr="00BA081E">
              <w:rPr>
                <w:i/>
                <w:iCs/>
              </w:rPr>
              <w:t>US – Countervailing Measures (China) (Article 21.5 – China)</w:t>
            </w:r>
          </w:p>
        </w:tc>
        <w:tc>
          <w:tcPr>
            <w:tcW w:w="6799" w:type="dxa"/>
          </w:tcPr>
          <w:p w14:paraId="1AD99C1C" w14:textId="463B27EE" w:rsidR="00041871" w:rsidRDefault="00041871" w:rsidP="00D63B48">
            <w:pPr>
              <w:pStyle w:val="TTTableText"/>
              <w:rPr>
                <w:color w:val="000000"/>
              </w:rPr>
            </w:pPr>
            <w:r>
              <w:rPr>
                <w:color w:val="000000"/>
              </w:rPr>
              <w:t>Appellate Body Report,</w:t>
            </w:r>
            <w:r w:rsidR="0075530D">
              <w:rPr>
                <w:color w:val="000000"/>
              </w:rPr>
              <w:t xml:space="preserve"> </w:t>
            </w:r>
            <w:r w:rsidR="0075530D" w:rsidRPr="0075530D">
              <w:rPr>
                <w:i/>
                <w:iCs/>
                <w:color w:val="000000"/>
                <w:lang w:val="en-GB"/>
              </w:rPr>
              <w:t>United States – Countervailing Duty Measures on Certain Products from China – Recourse to Article 21.5 of the DSU by China,</w:t>
            </w:r>
            <w:r w:rsidR="0075530D" w:rsidRPr="0075530D">
              <w:rPr>
                <w:iCs/>
                <w:color w:val="000000"/>
                <w:lang w:val="en-GB"/>
              </w:rPr>
              <w:t xml:space="preserve"> WT/DS437/AB/RW and Add.1, </w:t>
            </w:r>
            <w:r w:rsidR="0075530D" w:rsidRPr="0075530D">
              <w:rPr>
                <w:color w:val="000000"/>
                <w:lang w:val="en-GB"/>
              </w:rPr>
              <w:t>adopted 15 August 2019, DSR 2019:IX, p. 4737</w:t>
            </w:r>
          </w:p>
        </w:tc>
      </w:tr>
      <w:tr w:rsidR="00A91D40" w:rsidRPr="00CF617C" w14:paraId="583540B6" w14:textId="77777777" w:rsidTr="0012704C">
        <w:trPr>
          <w:cantSplit/>
          <w:trHeight w:val="397"/>
        </w:trPr>
        <w:tc>
          <w:tcPr>
            <w:tcW w:w="2261" w:type="dxa"/>
          </w:tcPr>
          <w:p w14:paraId="550E12DA" w14:textId="5DEB32BE" w:rsidR="00A91D40" w:rsidRPr="00CF617C" w:rsidRDefault="00CE4BF9" w:rsidP="00D63B48">
            <w:pPr>
              <w:pStyle w:val="TTTableText"/>
              <w:rPr>
                <w:i/>
                <w:iCs/>
              </w:rPr>
            </w:pPr>
            <w:r>
              <w:rPr>
                <w:i/>
                <w:iCs/>
                <w:szCs w:val="18"/>
              </w:rPr>
              <w:t>US – Softwood Lumber IV</w:t>
            </w:r>
          </w:p>
        </w:tc>
        <w:tc>
          <w:tcPr>
            <w:tcW w:w="6799" w:type="dxa"/>
          </w:tcPr>
          <w:p w14:paraId="17F61FF9" w14:textId="523C985D" w:rsidR="00A91D40" w:rsidRPr="00CF617C" w:rsidRDefault="00CE4BF9" w:rsidP="00D63B48">
            <w:pPr>
              <w:pStyle w:val="TTTableText"/>
              <w:rPr>
                <w:color w:val="000000"/>
              </w:rPr>
            </w:pPr>
            <w:r>
              <w:rPr>
                <w:color w:val="000000"/>
              </w:rPr>
              <w:t>Appellate Body Report</w:t>
            </w:r>
            <w:r w:rsidR="00A817A2">
              <w:rPr>
                <w:color w:val="000000"/>
              </w:rPr>
              <w:t xml:space="preserve">, </w:t>
            </w:r>
            <w:r w:rsidR="00A817A2" w:rsidRPr="00A817A2">
              <w:rPr>
                <w:i/>
                <w:color w:val="000000"/>
                <w:lang w:val="en-GB"/>
              </w:rPr>
              <w:t>United States – Final Countervailing Duty Determination with Respect to Certain Softwood Lumber from Canada</w:t>
            </w:r>
            <w:r w:rsidR="00A817A2" w:rsidRPr="00A817A2">
              <w:rPr>
                <w:color w:val="000000"/>
                <w:lang w:val="en-GB"/>
              </w:rPr>
              <w:t>, WT/DS257/AB/R, adopted 17 February 2004, DSR 2004:II, p. 571</w:t>
            </w:r>
          </w:p>
        </w:tc>
      </w:tr>
      <w:tr w:rsidR="00CE4BF9" w:rsidRPr="00CF617C" w14:paraId="14F3E9F4" w14:textId="77777777" w:rsidTr="0012704C">
        <w:trPr>
          <w:cantSplit/>
          <w:trHeight w:val="397"/>
        </w:trPr>
        <w:tc>
          <w:tcPr>
            <w:tcW w:w="2261" w:type="dxa"/>
          </w:tcPr>
          <w:p w14:paraId="5C9BC850" w14:textId="14B40E79" w:rsidR="00CE4BF9" w:rsidRPr="00CF617C" w:rsidRDefault="00CE4BF9" w:rsidP="00D63B48">
            <w:pPr>
              <w:pStyle w:val="TTTableText"/>
              <w:rPr>
                <w:i/>
                <w:iCs/>
              </w:rPr>
            </w:pPr>
            <w:r>
              <w:rPr>
                <w:i/>
                <w:iCs/>
                <w:szCs w:val="18"/>
              </w:rPr>
              <w:t>US – Softwood Lumber VI (Article 21.5 – Canada)</w:t>
            </w:r>
          </w:p>
        </w:tc>
        <w:tc>
          <w:tcPr>
            <w:tcW w:w="6799" w:type="dxa"/>
          </w:tcPr>
          <w:p w14:paraId="5F6085A5" w14:textId="4D2C8E00" w:rsidR="00CE4BF9" w:rsidRPr="00CF617C" w:rsidRDefault="00CE4BF9" w:rsidP="00D63B48">
            <w:pPr>
              <w:pStyle w:val="TTTableText"/>
              <w:rPr>
                <w:color w:val="000000"/>
              </w:rPr>
            </w:pPr>
            <w:r>
              <w:rPr>
                <w:color w:val="000000"/>
              </w:rPr>
              <w:t>Appellate Body Report,</w:t>
            </w:r>
            <w:r w:rsidR="004D1585">
              <w:rPr>
                <w:color w:val="000000"/>
              </w:rPr>
              <w:t xml:space="preserve"> </w:t>
            </w:r>
            <w:r w:rsidR="004D1585" w:rsidRPr="004D1585">
              <w:rPr>
                <w:i/>
                <w:color w:val="000000"/>
                <w:lang w:val="en-GB"/>
              </w:rPr>
              <w:t>United States – Investigation of the International Trade Commission in Softwood Lumber from Canada – Recourse to Article 21.5 of the DSU by Canada</w:t>
            </w:r>
            <w:r w:rsidR="004D1585" w:rsidRPr="004D1585">
              <w:rPr>
                <w:color w:val="000000"/>
                <w:lang w:val="en-GB"/>
              </w:rPr>
              <w:t>, WT/DS277/AB/RW, adopted 9 May 2006, and Corr.1, DSR 2006:XI, p. 4865</w:t>
            </w:r>
          </w:p>
        </w:tc>
      </w:tr>
    </w:tbl>
    <w:p w14:paraId="4DB0225A" w14:textId="680E74FD" w:rsidR="004D7079" w:rsidRPr="00CF617C" w:rsidRDefault="004D7079" w:rsidP="004D7079">
      <w:pPr>
        <w:pStyle w:val="BTNSSBodyTextNoSpacingSmall"/>
      </w:pPr>
    </w:p>
    <w:p w14:paraId="0DAB075F" w14:textId="77777777" w:rsidR="00613CFE" w:rsidRPr="00CF617C" w:rsidRDefault="00613CFE" w:rsidP="004D7079">
      <w:pPr>
        <w:pStyle w:val="BTNSSBodyTextNoSpacingSmall"/>
      </w:pPr>
    </w:p>
    <w:p w14:paraId="21B36D26" w14:textId="36E0164A" w:rsidR="008257F2" w:rsidRDefault="008257F2" w:rsidP="004524CE">
      <w:pPr>
        <w:pStyle w:val="SHSectionHeading"/>
      </w:pPr>
      <w:r>
        <w:br w:type="page"/>
      </w:r>
    </w:p>
    <w:p w14:paraId="4DC3EDE6" w14:textId="77777777" w:rsidR="008257F2" w:rsidRDefault="008257F2" w:rsidP="004524CE">
      <w:pPr>
        <w:pStyle w:val="SHSectionHeading"/>
      </w:pPr>
    </w:p>
    <w:p w14:paraId="7922AF42" w14:textId="5954B513" w:rsidR="008A1191" w:rsidRPr="00CF617C" w:rsidRDefault="004524CE" w:rsidP="004524CE">
      <w:pPr>
        <w:pStyle w:val="SHSectionHeading"/>
      </w:pPr>
      <w:bookmarkStart w:id="2" w:name="_Toc173163517"/>
      <w:r w:rsidRPr="00CF617C">
        <w:t>List of Acronyms, Abbreviations and Short Forms</w:t>
      </w:r>
      <w:bookmarkEnd w:id="2"/>
    </w:p>
    <w:tbl>
      <w:tblPr>
        <w:tblStyle w:val="TableGrid"/>
        <w:tblW w:w="5000" w:type="pct"/>
        <w:tblLook w:val="04A0" w:firstRow="1" w:lastRow="0" w:firstColumn="1" w:lastColumn="0" w:noHBand="0" w:noVBand="1"/>
      </w:tblPr>
      <w:tblGrid>
        <w:gridCol w:w="2263"/>
        <w:gridCol w:w="6797"/>
      </w:tblGrid>
      <w:tr w:rsidR="008A1191" w:rsidRPr="00CF617C" w14:paraId="02A242B4" w14:textId="77777777" w:rsidTr="00CB0AD3">
        <w:trPr>
          <w:cantSplit/>
          <w:trHeight w:val="397"/>
          <w:tblHeader/>
        </w:trPr>
        <w:tc>
          <w:tcPr>
            <w:tcW w:w="2263" w:type="dxa"/>
            <w:shd w:val="clear" w:color="auto" w:fill="D9D9D9" w:themeFill="background1" w:themeFillShade="D9"/>
          </w:tcPr>
          <w:p w14:paraId="42AA6BA4" w14:textId="77777777" w:rsidR="008A1191" w:rsidRPr="00CF617C" w:rsidRDefault="008A1191" w:rsidP="008A4C51">
            <w:pPr>
              <w:pStyle w:val="THTableHeading"/>
              <w:jc w:val="center"/>
            </w:pPr>
            <w:r w:rsidRPr="00CF617C">
              <w:t>Abbreviation</w:t>
            </w:r>
          </w:p>
        </w:tc>
        <w:tc>
          <w:tcPr>
            <w:tcW w:w="6797" w:type="dxa"/>
            <w:shd w:val="clear" w:color="auto" w:fill="D9D9D9" w:themeFill="background1" w:themeFillShade="D9"/>
          </w:tcPr>
          <w:p w14:paraId="1EF04560" w14:textId="77777777" w:rsidR="008A1191" w:rsidRPr="00CF617C" w:rsidRDefault="008A1191" w:rsidP="008A4C51">
            <w:pPr>
              <w:pStyle w:val="THTableHeading"/>
              <w:jc w:val="center"/>
            </w:pPr>
            <w:r w:rsidRPr="00CF617C">
              <w:t>Full Form or Description</w:t>
            </w:r>
          </w:p>
        </w:tc>
      </w:tr>
      <w:tr w:rsidR="00ED381C" w:rsidRPr="00CF617C" w14:paraId="46E18835" w14:textId="77777777" w:rsidTr="00CB0AD3">
        <w:trPr>
          <w:cantSplit/>
          <w:trHeight w:val="397"/>
        </w:trPr>
        <w:tc>
          <w:tcPr>
            <w:tcW w:w="2263" w:type="dxa"/>
          </w:tcPr>
          <w:p w14:paraId="32134798" w14:textId="3495A16C" w:rsidR="00ED381C" w:rsidRPr="00CF617C" w:rsidRDefault="00510F1C" w:rsidP="008A4C51">
            <w:pPr>
              <w:pStyle w:val="TTTableText"/>
            </w:pPr>
            <w:r w:rsidRPr="00CF617C">
              <w:t xml:space="preserve">Provisional </w:t>
            </w:r>
            <w:r w:rsidR="00CB0AD3" w:rsidRPr="00CF617C">
              <w:t>Regulation</w:t>
            </w:r>
          </w:p>
        </w:tc>
        <w:tc>
          <w:tcPr>
            <w:tcW w:w="6797" w:type="dxa"/>
          </w:tcPr>
          <w:p w14:paraId="28AE6EE8" w14:textId="4762D96C" w:rsidR="00ED381C" w:rsidRPr="00CF617C" w:rsidRDefault="00CB0AD3" w:rsidP="008A4C51">
            <w:pPr>
              <w:pStyle w:val="TTTableText"/>
              <w:rPr>
                <w:rFonts w:asciiTheme="minorHAnsi" w:hAnsiTheme="minorHAnsi" w:cstheme="minorHAnsi"/>
              </w:rPr>
            </w:pPr>
            <w:r w:rsidRPr="00CF617C">
              <w:rPr>
                <w:rFonts w:asciiTheme="minorHAnsi" w:hAnsiTheme="minorHAnsi" w:cstheme="minorHAnsi"/>
              </w:rPr>
              <w:t>Commission Implementing Regulation (EU) 2019/1344 of 12 August 2019 imposing a provisional countervailing duty on imports of biodiesel originating in Indonesia</w:t>
            </w:r>
          </w:p>
        </w:tc>
      </w:tr>
      <w:tr w:rsidR="00ED381C" w:rsidRPr="00CF617C" w14:paraId="717487F7" w14:textId="77777777" w:rsidTr="00CB0AD3">
        <w:trPr>
          <w:cantSplit/>
          <w:trHeight w:val="397"/>
        </w:trPr>
        <w:tc>
          <w:tcPr>
            <w:tcW w:w="2263" w:type="dxa"/>
          </w:tcPr>
          <w:p w14:paraId="55332F7F" w14:textId="797D57CA" w:rsidR="00ED381C" w:rsidRPr="00CF617C" w:rsidRDefault="00ED381C" w:rsidP="008A4C51">
            <w:pPr>
              <w:pStyle w:val="TTTableText"/>
            </w:pPr>
            <w:r w:rsidRPr="00CF617C">
              <w:t>Commission</w:t>
            </w:r>
          </w:p>
        </w:tc>
        <w:tc>
          <w:tcPr>
            <w:tcW w:w="6797" w:type="dxa"/>
          </w:tcPr>
          <w:p w14:paraId="27B1F79A" w14:textId="3625B31B" w:rsidR="00ED381C" w:rsidRPr="00CF617C" w:rsidRDefault="00ED381C" w:rsidP="008A4C51">
            <w:pPr>
              <w:pStyle w:val="TTTableText"/>
              <w:rPr>
                <w:rFonts w:asciiTheme="minorHAnsi" w:hAnsiTheme="minorHAnsi" w:cstheme="minorHAnsi"/>
              </w:rPr>
            </w:pPr>
            <w:r w:rsidRPr="00CF617C">
              <w:rPr>
                <w:rFonts w:asciiTheme="minorHAnsi" w:hAnsiTheme="minorHAnsi" w:cstheme="minorHAnsi"/>
              </w:rPr>
              <w:t>European Commission</w:t>
            </w:r>
          </w:p>
        </w:tc>
      </w:tr>
      <w:tr w:rsidR="00C56CBA" w:rsidRPr="00CF617C" w14:paraId="2BEBCD06" w14:textId="77777777" w:rsidTr="00CB0AD3">
        <w:trPr>
          <w:cantSplit/>
          <w:trHeight w:val="397"/>
        </w:trPr>
        <w:tc>
          <w:tcPr>
            <w:tcW w:w="2263" w:type="dxa"/>
          </w:tcPr>
          <w:p w14:paraId="046DB6A0" w14:textId="2DD42695" w:rsidR="00C56CBA" w:rsidRPr="00CF617C" w:rsidRDefault="00C56CBA" w:rsidP="008A4C51">
            <w:pPr>
              <w:pStyle w:val="TTTableText"/>
            </w:pPr>
            <w:r w:rsidRPr="00CF617C">
              <w:t>CPO</w:t>
            </w:r>
          </w:p>
        </w:tc>
        <w:tc>
          <w:tcPr>
            <w:tcW w:w="6797" w:type="dxa"/>
          </w:tcPr>
          <w:p w14:paraId="0003C6BC" w14:textId="18263BDF" w:rsidR="00C56CBA" w:rsidRPr="00CF617C" w:rsidRDefault="00C56CBA" w:rsidP="008A4C51">
            <w:pPr>
              <w:pStyle w:val="TTTableText"/>
              <w:rPr>
                <w:rFonts w:asciiTheme="minorHAnsi" w:hAnsiTheme="minorHAnsi" w:cstheme="minorHAnsi"/>
              </w:rPr>
            </w:pPr>
            <w:r w:rsidRPr="00CF617C">
              <w:rPr>
                <w:rFonts w:asciiTheme="minorHAnsi" w:hAnsiTheme="minorHAnsi" w:cstheme="minorHAnsi"/>
              </w:rPr>
              <w:t>Crude palm oil</w:t>
            </w:r>
          </w:p>
        </w:tc>
      </w:tr>
      <w:tr w:rsidR="00B47637" w:rsidRPr="00CF617C" w14:paraId="426ACAB5" w14:textId="77777777" w:rsidTr="00CB0AD3">
        <w:trPr>
          <w:cantSplit/>
          <w:trHeight w:val="397"/>
        </w:trPr>
        <w:tc>
          <w:tcPr>
            <w:tcW w:w="2263" w:type="dxa"/>
          </w:tcPr>
          <w:p w14:paraId="23B35730" w14:textId="6A8894A1" w:rsidR="00B47637" w:rsidRPr="00CF617C" w:rsidRDefault="00B47637" w:rsidP="008A4C51">
            <w:pPr>
              <w:pStyle w:val="TTTableText"/>
            </w:pPr>
            <w:r w:rsidRPr="00CF617C">
              <w:t>Definitive Regulation</w:t>
            </w:r>
          </w:p>
        </w:tc>
        <w:tc>
          <w:tcPr>
            <w:tcW w:w="6797" w:type="dxa"/>
          </w:tcPr>
          <w:p w14:paraId="3224A215" w14:textId="38FBCF54" w:rsidR="00B47637" w:rsidRPr="00CF617C" w:rsidRDefault="00510F1C" w:rsidP="008A4C51">
            <w:pPr>
              <w:pStyle w:val="TTTableText"/>
              <w:rPr>
                <w:rFonts w:asciiTheme="minorHAnsi" w:hAnsiTheme="minorHAnsi" w:cstheme="minorHAnsi"/>
              </w:rPr>
            </w:pPr>
            <w:r w:rsidRPr="00CF617C">
              <w:rPr>
                <w:rFonts w:asciiTheme="minorHAnsi" w:hAnsiTheme="minorHAnsi" w:cstheme="minorHAnsi"/>
              </w:rPr>
              <w:t xml:space="preserve">Commission Implementing Regulation (EU) 2019/2092 of 28 November 2019 imposing a </w:t>
            </w:r>
            <w:r w:rsidR="008F0665" w:rsidRPr="00CF617C">
              <w:rPr>
                <w:rFonts w:asciiTheme="minorHAnsi" w:hAnsiTheme="minorHAnsi" w:cstheme="minorHAnsi"/>
              </w:rPr>
              <w:t>definitive</w:t>
            </w:r>
            <w:r w:rsidRPr="00CF617C">
              <w:rPr>
                <w:rFonts w:asciiTheme="minorHAnsi" w:hAnsiTheme="minorHAnsi" w:cstheme="minorHAnsi"/>
              </w:rPr>
              <w:t xml:space="preserve"> countervailing duty on imports of biodiesel originating in Indonesia</w:t>
            </w:r>
          </w:p>
        </w:tc>
      </w:tr>
      <w:tr w:rsidR="008A1191" w:rsidRPr="00CF617C" w14:paraId="6D12C15E" w14:textId="77777777" w:rsidTr="00CB0AD3">
        <w:trPr>
          <w:cantSplit/>
          <w:trHeight w:val="397"/>
        </w:trPr>
        <w:tc>
          <w:tcPr>
            <w:tcW w:w="2263" w:type="dxa"/>
          </w:tcPr>
          <w:p w14:paraId="25E5AA2A" w14:textId="787A1020" w:rsidR="008A1191" w:rsidRPr="00CF617C" w:rsidRDefault="003C7AA9" w:rsidP="008A4C51">
            <w:pPr>
              <w:pStyle w:val="TTTableText"/>
            </w:pPr>
            <w:r w:rsidRPr="00CF617C">
              <w:t>DSU</w:t>
            </w:r>
          </w:p>
        </w:tc>
        <w:tc>
          <w:tcPr>
            <w:tcW w:w="6797" w:type="dxa"/>
          </w:tcPr>
          <w:p w14:paraId="76BDDEA1" w14:textId="229A241D" w:rsidR="008A1191" w:rsidRPr="00CF617C" w:rsidRDefault="003C7AA9" w:rsidP="008A4C51">
            <w:pPr>
              <w:pStyle w:val="TTTableText"/>
            </w:pPr>
            <w:r w:rsidRPr="00CF617C">
              <w:rPr>
                <w:rFonts w:asciiTheme="minorHAnsi" w:hAnsiTheme="minorHAnsi" w:cstheme="minorHAnsi"/>
              </w:rPr>
              <w:t>Understanding</w:t>
            </w:r>
            <w:r w:rsidRPr="00CF617C">
              <w:rPr>
                <w:rFonts w:asciiTheme="minorHAnsi" w:hAnsiTheme="minorHAnsi" w:cstheme="minorHAnsi"/>
                <w:spacing w:val="-7"/>
              </w:rPr>
              <w:t xml:space="preserve"> </w:t>
            </w:r>
            <w:r w:rsidRPr="00CF617C">
              <w:rPr>
                <w:rFonts w:asciiTheme="minorHAnsi" w:hAnsiTheme="minorHAnsi" w:cstheme="minorHAnsi"/>
              </w:rPr>
              <w:t>on</w:t>
            </w:r>
            <w:r w:rsidRPr="00CF617C">
              <w:rPr>
                <w:rFonts w:asciiTheme="minorHAnsi" w:hAnsiTheme="minorHAnsi" w:cstheme="minorHAnsi"/>
                <w:spacing w:val="-7"/>
              </w:rPr>
              <w:t xml:space="preserve"> </w:t>
            </w:r>
            <w:r w:rsidRPr="00CF617C">
              <w:rPr>
                <w:rFonts w:asciiTheme="minorHAnsi" w:hAnsiTheme="minorHAnsi" w:cstheme="minorHAnsi"/>
              </w:rPr>
              <w:t>Rules</w:t>
            </w:r>
            <w:r w:rsidRPr="00CF617C">
              <w:rPr>
                <w:rFonts w:asciiTheme="minorHAnsi" w:hAnsiTheme="minorHAnsi" w:cstheme="minorHAnsi"/>
                <w:spacing w:val="-5"/>
              </w:rPr>
              <w:t xml:space="preserve"> </w:t>
            </w:r>
            <w:r w:rsidRPr="00CF617C">
              <w:rPr>
                <w:rFonts w:asciiTheme="minorHAnsi" w:hAnsiTheme="minorHAnsi" w:cstheme="minorHAnsi"/>
              </w:rPr>
              <w:t>and</w:t>
            </w:r>
            <w:r w:rsidRPr="00CF617C">
              <w:rPr>
                <w:rFonts w:asciiTheme="minorHAnsi" w:hAnsiTheme="minorHAnsi" w:cstheme="minorHAnsi"/>
                <w:spacing w:val="-7"/>
              </w:rPr>
              <w:t xml:space="preserve"> </w:t>
            </w:r>
            <w:r w:rsidRPr="00CF617C">
              <w:rPr>
                <w:rFonts w:asciiTheme="minorHAnsi" w:hAnsiTheme="minorHAnsi" w:cstheme="minorHAnsi"/>
              </w:rPr>
              <w:t>Procedures</w:t>
            </w:r>
            <w:r w:rsidRPr="00CF617C">
              <w:rPr>
                <w:rFonts w:asciiTheme="minorHAnsi" w:hAnsiTheme="minorHAnsi" w:cstheme="minorHAnsi"/>
                <w:spacing w:val="-7"/>
              </w:rPr>
              <w:t xml:space="preserve"> </w:t>
            </w:r>
            <w:r w:rsidRPr="00CF617C">
              <w:rPr>
                <w:rFonts w:asciiTheme="minorHAnsi" w:hAnsiTheme="minorHAnsi" w:cstheme="minorHAnsi"/>
              </w:rPr>
              <w:t>Governing</w:t>
            </w:r>
            <w:r w:rsidRPr="00CF617C">
              <w:rPr>
                <w:rFonts w:asciiTheme="minorHAnsi" w:hAnsiTheme="minorHAnsi" w:cstheme="minorHAnsi"/>
                <w:spacing w:val="-7"/>
              </w:rPr>
              <w:t xml:space="preserve"> </w:t>
            </w:r>
            <w:r w:rsidRPr="00CF617C">
              <w:rPr>
                <w:rFonts w:asciiTheme="minorHAnsi" w:hAnsiTheme="minorHAnsi" w:cstheme="minorHAnsi"/>
              </w:rPr>
              <w:t>the Settlement of Disputes</w:t>
            </w:r>
          </w:p>
        </w:tc>
      </w:tr>
      <w:tr w:rsidR="00410A74" w:rsidRPr="00CF617C" w14:paraId="1F846D92" w14:textId="77777777" w:rsidTr="00CB0AD3">
        <w:trPr>
          <w:cantSplit/>
          <w:trHeight w:val="397"/>
        </w:trPr>
        <w:tc>
          <w:tcPr>
            <w:tcW w:w="2263" w:type="dxa"/>
          </w:tcPr>
          <w:p w14:paraId="42A19B01" w14:textId="3C8D0246" w:rsidR="00410A74" w:rsidRPr="00CF617C" w:rsidRDefault="00410A74" w:rsidP="001D6CE1">
            <w:pPr>
              <w:pStyle w:val="TTTableText"/>
            </w:pPr>
            <w:r w:rsidRPr="00CF617C">
              <w:t>GOI</w:t>
            </w:r>
          </w:p>
        </w:tc>
        <w:tc>
          <w:tcPr>
            <w:tcW w:w="6797" w:type="dxa"/>
          </w:tcPr>
          <w:p w14:paraId="4CC43DD2" w14:textId="27F338A8" w:rsidR="00410A74" w:rsidRPr="00CF617C" w:rsidRDefault="00410A74" w:rsidP="001D6CE1">
            <w:pPr>
              <w:pStyle w:val="TTTableText"/>
            </w:pPr>
            <w:r w:rsidRPr="00CF617C">
              <w:t>Government of Indonesia</w:t>
            </w:r>
          </w:p>
        </w:tc>
      </w:tr>
      <w:tr w:rsidR="001D6CE1" w:rsidRPr="00CF617C" w14:paraId="691C39D1" w14:textId="77777777" w:rsidTr="00CB0AD3">
        <w:trPr>
          <w:cantSplit/>
          <w:trHeight w:val="397"/>
        </w:trPr>
        <w:tc>
          <w:tcPr>
            <w:tcW w:w="2263" w:type="dxa"/>
          </w:tcPr>
          <w:p w14:paraId="73B977F4" w14:textId="61936409" w:rsidR="001D6CE1" w:rsidRPr="00CF617C" w:rsidRDefault="001D6CE1" w:rsidP="001D6CE1">
            <w:pPr>
              <w:pStyle w:val="TTTableText"/>
            </w:pPr>
            <w:r w:rsidRPr="00CF617C">
              <w:t>Member</w:t>
            </w:r>
          </w:p>
        </w:tc>
        <w:tc>
          <w:tcPr>
            <w:tcW w:w="6797" w:type="dxa"/>
          </w:tcPr>
          <w:p w14:paraId="2D3BC5B3" w14:textId="6E7186F5" w:rsidR="001D6CE1" w:rsidRPr="00CF617C" w:rsidRDefault="001D6CE1" w:rsidP="001D6CE1">
            <w:pPr>
              <w:pStyle w:val="TTTableText"/>
            </w:pPr>
            <w:r w:rsidRPr="00CF617C">
              <w:t>Member of the World Trade Organization</w:t>
            </w:r>
          </w:p>
        </w:tc>
      </w:tr>
      <w:tr w:rsidR="00646950" w:rsidRPr="00CF617C" w14:paraId="5B0CF7B1" w14:textId="77777777" w:rsidTr="00CB0AD3">
        <w:trPr>
          <w:cantSplit/>
          <w:trHeight w:val="397"/>
        </w:trPr>
        <w:tc>
          <w:tcPr>
            <w:tcW w:w="2263" w:type="dxa"/>
          </w:tcPr>
          <w:p w14:paraId="69795DBB" w14:textId="53F5AA06" w:rsidR="00646950" w:rsidRPr="00CF617C" w:rsidRDefault="00CE2B82" w:rsidP="008A4C51">
            <w:pPr>
              <w:pStyle w:val="TTTableText"/>
            </w:pPr>
            <w:r w:rsidRPr="00CF617C">
              <w:t>SCM Agreement</w:t>
            </w:r>
          </w:p>
        </w:tc>
        <w:tc>
          <w:tcPr>
            <w:tcW w:w="6797" w:type="dxa"/>
          </w:tcPr>
          <w:p w14:paraId="674A5CB6" w14:textId="499341FE" w:rsidR="57A6B59E" w:rsidRPr="00CF617C" w:rsidRDefault="00D66BE8" w:rsidP="57A6B59E">
            <w:pPr>
              <w:spacing w:before="40" w:after="40"/>
            </w:pPr>
            <w:r w:rsidRPr="00CF617C">
              <w:rPr>
                <w:rFonts w:eastAsia="Calibri" w:cs="Calibri"/>
              </w:rPr>
              <w:t xml:space="preserve">WTO </w:t>
            </w:r>
            <w:r w:rsidR="57A6B59E" w:rsidRPr="00CF617C">
              <w:rPr>
                <w:rFonts w:eastAsia="Calibri" w:cs="Calibri"/>
              </w:rPr>
              <w:t xml:space="preserve">Agreement on </w:t>
            </w:r>
            <w:r w:rsidR="00FF6EC7" w:rsidRPr="00CF617C">
              <w:rPr>
                <w:rFonts w:eastAsia="Calibri" w:cs="Calibri"/>
              </w:rPr>
              <w:t>Subsidies and Countervailing Measures</w:t>
            </w:r>
          </w:p>
        </w:tc>
      </w:tr>
      <w:tr w:rsidR="001D6CE1" w:rsidRPr="00CF617C" w14:paraId="190C56FB" w14:textId="77777777" w:rsidTr="00CB0AD3">
        <w:trPr>
          <w:cantSplit/>
          <w:trHeight w:val="397"/>
        </w:trPr>
        <w:tc>
          <w:tcPr>
            <w:tcW w:w="2263" w:type="dxa"/>
          </w:tcPr>
          <w:p w14:paraId="16A72AD3" w14:textId="11FE2CF0" w:rsidR="001D6CE1" w:rsidRPr="00CF617C" w:rsidRDefault="00410A74" w:rsidP="001D6CE1">
            <w:pPr>
              <w:pStyle w:val="TTTableText"/>
            </w:pPr>
            <w:r w:rsidRPr="00CF617C">
              <w:t>Vienna Convention</w:t>
            </w:r>
          </w:p>
        </w:tc>
        <w:tc>
          <w:tcPr>
            <w:tcW w:w="6797" w:type="dxa"/>
          </w:tcPr>
          <w:p w14:paraId="26229DCC" w14:textId="5411E148" w:rsidR="001D6CE1" w:rsidRPr="00CF617C" w:rsidRDefault="00410A74" w:rsidP="001D6CE1">
            <w:pPr>
              <w:pStyle w:val="TTTableText"/>
            </w:pPr>
            <w:r w:rsidRPr="00CF617C">
              <w:t>Vienna Convention on the Law of Treaties (1969)</w:t>
            </w:r>
          </w:p>
        </w:tc>
      </w:tr>
      <w:tr w:rsidR="003C7AA9" w:rsidRPr="00CF617C" w14:paraId="602AB201" w14:textId="77777777" w:rsidTr="00CB0AD3">
        <w:trPr>
          <w:cantSplit/>
          <w:trHeight w:val="397"/>
        </w:trPr>
        <w:tc>
          <w:tcPr>
            <w:tcW w:w="2263" w:type="dxa"/>
          </w:tcPr>
          <w:p w14:paraId="5FF5DA87" w14:textId="2B2313AD" w:rsidR="003C7AA9" w:rsidRPr="00CF617C" w:rsidRDefault="003C7AA9" w:rsidP="008A4C51">
            <w:pPr>
              <w:pStyle w:val="TTTableText"/>
            </w:pPr>
            <w:r w:rsidRPr="00CF617C">
              <w:t>WTO</w:t>
            </w:r>
          </w:p>
        </w:tc>
        <w:tc>
          <w:tcPr>
            <w:tcW w:w="6797" w:type="dxa"/>
          </w:tcPr>
          <w:p w14:paraId="75CD4DB3" w14:textId="3F3EB3BB" w:rsidR="003C7AA9" w:rsidRPr="00CF617C" w:rsidRDefault="003C7AA9" w:rsidP="008A4C51">
            <w:pPr>
              <w:pStyle w:val="TTTableText"/>
            </w:pPr>
            <w:r w:rsidRPr="00CF617C">
              <w:t>World Trade O</w:t>
            </w:r>
            <w:r w:rsidR="007E3FA3" w:rsidRPr="00CF617C">
              <w:t>r</w:t>
            </w:r>
            <w:r w:rsidRPr="00CF617C">
              <w:t>ganization</w:t>
            </w:r>
          </w:p>
        </w:tc>
      </w:tr>
    </w:tbl>
    <w:p w14:paraId="30E47B86" w14:textId="77777777" w:rsidR="00613CFE" w:rsidRPr="00CF617C" w:rsidRDefault="00613CFE" w:rsidP="00613CFE">
      <w:pPr>
        <w:pStyle w:val="BTBodyText"/>
      </w:pPr>
    </w:p>
    <w:p w14:paraId="6F3B666B" w14:textId="77777777" w:rsidR="00613CFE" w:rsidRPr="00CF617C" w:rsidRDefault="00613CFE" w:rsidP="00613CFE">
      <w:pPr>
        <w:pStyle w:val="BTBodyText"/>
      </w:pPr>
      <w:r w:rsidRPr="00CF617C">
        <w:br w:type="page"/>
      </w:r>
    </w:p>
    <w:p w14:paraId="320859F7" w14:textId="73F4C82B" w:rsidR="00D52A17" w:rsidRPr="00CF617C" w:rsidRDefault="00BA2270" w:rsidP="00BE4E04">
      <w:pPr>
        <w:pStyle w:val="HL1HeadingLevel1"/>
      </w:pPr>
      <w:bookmarkStart w:id="3" w:name="_Toc173163518"/>
      <w:r w:rsidRPr="00CF617C">
        <w:lastRenderedPageBreak/>
        <w:t>Introduction</w:t>
      </w:r>
      <w:bookmarkEnd w:id="3"/>
    </w:p>
    <w:p w14:paraId="4A6C7721" w14:textId="304B381E" w:rsidR="00CE2B82" w:rsidRPr="00CF617C" w:rsidRDefault="00A15003" w:rsidP="00CE2B82">
      <w:pPr>
        <w:pStyle w:val="P1-N1Paragraph1-Number1"/>
        <w:rPr>
          <w:rFonts w:cs="Calibri"/>
        </w:rPr>
      </w:pPr>
      <w:bookmarkStart w:id="4" w:name="_Hlk150330665"/>
      <w:r w:rsidRPr="00CF617C">
        <w:rPr>
          <w:rFonts w:cs="Calibri"/>
        </w:rPr>
        <w:t xml:space="preserve"> </w:t>
      </w:r>
      <w:r w:rsidR="00CE2B82" w:rsidRPr="00CF617C">
        <w:rPr>
          <w:rFonts w:cs="Calibri"/>
        </w:rPr>
        <w:t>Australia welcomes the opportunity to present its views to the Panel</w:t>
      </w:r>
      <w:r w:rsidR="009F676F" w:rsidRPr="00CF617C">
        <w:rPr>
          <w:rFonts w:cs="Calibri"/>
        </w:rPr>
        <w:t xml:space="preserve"> regarding</w:t>
      </w:r>
      <w:r w:rsidR="00661A91" w:rsidRPr="00CF617C">
        <w:rPr>
          <w:rFonts w:cs="Calibri"/>
        </w:rPr>
        <w:t xml:space="preserve"> the application and interpretation of </w:t>
      </w:r>
      <w:r w:rsidR="00E121F8" w:rsidRPr="00CF617C">
        <w:rPr>
          <w:rFonts w:cs="Calibri"/>
        </w:rPr>
        <w:t xml:space="preserve">Article 1.1(a)(1)(iv) of the </w:t>
      </w:r>
      <w:r w:rsidR="00661A91" w:rsidRPr="00CF617C">
        <w:rPr>
          <w:rFonts w:cs="Calibri"/>
        </w:rPr>
        <w:t>SCM Agreement.</w:t>
      </w:r>
      <w:r w:rsidR="00533027" w:rsidRPr="00CF617C">
        <w:rPr>
          <w:rFonts w:cs="Calibri"/>
        </w:rPr>
        <w:t xml:space="preserve"> It is important that this provision is properly interpreted so that </w:t>
      </w:r>
      <w:r w:rsidR="00606E3B" w:rsidRPr="00CF617C">
        <w:rPr>
          <w:rFonts w:cs="Calibri"/>
        </w:rPr>
        <w:t xml:space="preserve">its </w:t>
      </w:r>
      <w:r w:rsidR="00533027" w:rsidRPr="00CF617C">
        <w:rPr>
          <w:rFonts w:cs="Calibri"/>
        </w:rPr>
        <w:t>anti-circumvention objective</w:t>
      </w:r>
      <w:r w:rsidR="00533027" w:rsidRPr="00CF617C">
        <w:rPr>
          <w:rStyle w:val="FootnoteReference"/>
        </w:rPr>
        <w:footnoteReference w:id="2"/>
      </w:r>
      <w:r w:rsidR="00533027" w:rsidRPr="00CF617C">
        <w:rPr>
          <w:sz w:val="16"/>
          <w:szCs w:val="16"/>
        </w:rPr>
        <w:t xml:space="preserve"> </w:t>
      </w:r>
      <w:r w:rsidR="00533027" w:rsidRPr="00CF617C">
        <w:rPr>
          <w:rFonts w:cs="Calibri"/>
        </w:rPr>
        <w:t xml:space="preserve"> is given meaningful effect, and is not unduly constrained by overly narrow legal interpretations.</w:t>
      </w:r>
    </w:p>
    <w:p w14:paraId="3E22FD03" w14:textId="7DBAFD7D" w:rsidR="00CE2B82" w:rsidRPr="00CF617C" w:rsidRDefault="00CE2B82" w:rsidP="00CE2B82">
      <w:pPr>
        <w:pStyle w:val="P1-N1Paragraph1-Number1"/>
        <w:rPr>
          <w:rFonts w:cs="Calibri"/>
        </w:rPr>
      </w:pPr>
      <w:r w:rsidRPr="00CF617C">
        <w:rPr>
          <w:rFonts w:cs="Calibri"/>
        </w:rPr>
        <w:t>In this submission, Australia will address two issues raised in this dispute</w:t>
      </w:r>
      <w:r w:rsidR="00F06334" w:rsidRPr="00CF617C">
        <w:rPr>
          <w:rFonts w:cs="Calibri"/>
        </w:rPr>
        <w:t xml:space="preserve"> </w:t>
      </w:r>
      <w:r w:rsidR="00604CE4" w:rsidRPr="00CF617C">
        <w:rPr>
          <w:rFonts w:cs="Calibri"/>
        </w:rPr>
        <w:t xml:space="preserve">concerning </w:t>
      </w:r>
      <w:r w:rsidR="00F06334" w:rsidRPr="00CF617C">
        <w:rPr>
          <w:rFonts w:cs="Calibri"/>
        </w:rPr>
        <w:t xml:space="preserve"> Article 1.1(a)(1)(iv)</w:t>
      </w:r>
      <w:r w:rsidR="00604CE4" w:rsidRPr="00CF617C">
        <w:rPr>
          <w:rFonts w:cs="Calibri"/>
        </w:rPr>
        <w:t xml:space="preserve"> of the SCM Agreement</w:t>
      </w:r>
      <w:r w:rsidR="00100546">
        <w:rPr>
          <w:rFonts w:cs="Calibri"/>
        </w:rPr>
        <w:t>:</w:t>
      </w:r>
    </w:p>
    <w:p w14:paraId="49833DA6" w14:textId="2E51D1FB" w:rsidR="00CE2B82" w:rsidRPr="00CF617C" w:rsidRDefault="00E37682" w:rsidP="00CE2B82">
      <w:pPr>
        <w:pStyle w:val="P2-B1Paragraph2-Bullet1"/>
      </w:pPr>
      <w:r w:rsidRPr="00CF617C">
        <w:t xml:space="preserve">the legal standard </w:t>
      </w:r>
      <w:r w:rsidR="00606E3B" w:rsidRPr="00CF617C">
        <w:t xml:space="preserve">and application </w:t>
      </w:r>
      <w:r w:rsidRPr="00CF617C">
        <w:t xml:space="preserve">of </w:t>
      </w:r>
      <w:r w:rsidR="008C4542" w:rsidRPr="00CF617C">
        <w:t>"</w:t>
      </w:r>
      <w:r w:rsidRPr="00CF617C">
        <w:t>normally</w:t>
      </w:r>
      <w:r w:rsidR="00CF617C">
        <w:t xml:space="preserve"> </w:t>
      </w:r>
      <w:r w:rsidRPr="00CF617C">
        <w:t>… vested in the government</w:t>
      </w:r>
      <w:r w:rsidR="008C4542" w:rsidRPr="00CF617C">
        <w:t>"</w:t>
      </w:r>
      <w:r w:rsidRPr="00CF617C">
        <w:t>; and</w:t>
      </w:r>
    </w:p>
    <w:p w14:paraId="4880AC71" w14:textId="0D078FC9" w:rsidR="00F06334" w:rsidRPr="00CF617C" w:rsidRDefault="00E37682" w:rsidP="00F06334">
      <w:pPr>
        <w:pStyle w:val="P2-B1Paragraph2-Bullet1"/>
      </w:pPr>
      <w:r w:rsidRPr="00CF617C">
        <w:t xml:space="preserve">the legal standard and </w:t>
      </w:r>
      <w:r w:rsidR="00604CE4" w:rsidRPr="00CF617C">
        <w:t>application of</w:t>
      </w:r>
      <w:r w:rsidRPr="00CF617C">
        <w:t xml:space="preserve"> </w:t>
      </w:r>
      <w:r w:rsidR="008C4542" w:rsidRPr="00CF617C">
        <w:t>"</w:t>
      </w:r>
      <w:r w:rsidR="00F06334" w:rsidRPr="00CF617C">
        <w:t>entrusts or directs</w:t>
      </w:r>
      <w:r w:rsidR="008C4542" w:rsidRPr="00CF617C">
        <w:t>"</w:t>
      </w:r>
      <w:r w:rsidR="00F06334" w:rsidRPr="00CF617C">
        <w:t>.</w:t>
      </w:r>
    </w:p>
    <w:p w14:paraId="5E6FB4DD" w14:textId="3BF38F11" w:rsidR="000873EF" w:rsidRPr="00CF617C" w:rsidRDefault="000873EF" w:rsidP="000873EF">
      <w:pPr>
        <w:pStyle w:val="P1-N1Paragraph1-Number1"/>
      </w:pPr>
      <w:r w:rsidRPr="00CF617C">
        <w:t>Australia does not present any position on the specific facts of this dispute</w:t>
      </w:r>
      <w:r w:rsidR="00916B74" w:rsidRPr="00CF617C">
        <w:t>, and reserves the right to raise other issues at the third party hearing before the Panel.</w:t>
      </w:r>
      <w:r w:rsidR="00EB0C8F" w:rsidRPr="00CF617C">
        <w:t xml:space="preserve"> </w:t>
      </w:r>
    </w:p>
    <w:p w14:paraId="697C9533" w14:textId="5F130985" w:rsidR="00EA3812" w:rsidRPr="00CF617C" w:rsidRDefault="00EA3812" w:rsidP="00EA3812">
      <w:pPr>
        <w:pStyle w:val="HL1HeadingLevel1"/>
        <w:rPr>
          <w:rFonts w:cs="Calibri"/>
        </w:rPr>
      </w:pPr>
      <w:bookmarkStart w:id="5" w:name="_Toc166589609"/>
      <w:bookmarkStart w:id="6" w:name="_Toc173163519"/>
      <w:bookmarkStart w:id="7" w:name="_Hlk149124386"/>
      <w:bookmarkEnd w:id="4"/>
      <w:r w:rsidRPr="00CF617C">
        <w:rPr>
          <w:rFonts w:cs="Calibri"/>
        </w:rPr>
        <w:t>Standard of review</w:t>
      </w:r>
      <w:bookmarkEnd w:id="5"/>
      <w:bookmarkEnd w:id="6"/>
    </w:p>
    <w:p w14:paraId="58A00A6C" w14:textId="0AC548FF" w:rsidR="001F714A" w:rsidRPr="00CF617C" w:rsidRDefault="00A915B3" w:rsidP="000D52F3">
      <w:pPr>
        <w:pStyle w:val="P1-N1Paragraph1-Number1"/>
        <w:rPr>
          <w:rFonts w:cs="Calibri"/>
        </w:rPr>
      </w:pPr>
      <w:r w:rsidRPr="00CF617C">
        <w:t>The</w:t>
      </w:r>
      <w:r w:rsidR="001F714A" w:rsidRPr="00CF617C">
        <w:t xml:space="preserve"> task before the Panel is to test whether an investigating authority's reasoning is </w:t>
      </w:r>
      <w:r w:rsidR="00B84C8F" w:rsidRPr="00CF617C">
        <w:t>"</w:t>
      </w:r>
      <w:r w:rsidR="001F714A" w:rsidRPr="00CF617C">
        <w:t>coherent and internally consistent</w:t>
      </w:r>
      <w:r w:rsidR="00B84C8F" w:rsidRPr="00CF617C">
        <w:t>"</w:t>
      </w:r>
      <w:r w:rsidR="001F714A" w:rsidRPr="00CF617C">
        <w:t xml:space="preserve">, and to </w:t>
      </w:r>
      <w:r w:rsidR="00B84C8F" w:rsidRPr="00CF617C">
        <w:t>"e</w:t>
      </w:r>
      <w:r w:rsidR="001F714A" w:rsidRPr="00CF617C">
        <w:t>xamine whether, in the light of the evidence on the record, the conclusions reached by the investigating authority are reasoned and adequate</w:t>
      </w:r>
      <w:r w:rsidR="00B84C8F" w:rsidRPr="00CF617C">
        <w:t>"</w:t>
      </w:r>
      <w:r w:rsidR="000940D4">
        <w:t>.</w:t>
      </w:r>
      <w:r w:rsidR="003473A1" w:rsidRPr="00CF617C">
        <w:rPr>
          <w:rStyle w:val="FootnoteReference"/>
        </w:rPr>
        <w:footnoteReference w:id="3"/>
      </w:r>
      <w:r w:rsidR="00CE60B8" w:rsidRPr="00CF617C">
        <w:t xml:space="preserve"> In order to make that assessment, it </w:t>
      </w:r>
      <w:r w:rsidR="000D52F3" w:rsidRPr="00CF617C">
        <w:t>will</w:t>
      </w:r>
      <w:r w:rsidR="00A11EB8" w:rsidRPr="00CF617C">
        <w:t xml:space="preserve"> typically</w:t>
      </w:r>
      <w:r w:rsidR="000D52F3" w:rsidRPr="00CF617C">
        <w:t xml:space="preserve"> be necessary for </w:t>
      </w:r>
      <w:r w:rsidR="00A11EB8" w:rsidRPr="00CF617C">
        <w:t>a panel</w:t>
      </w:r>
      <w:r w:rsidR="000D52F3" w:rsidRPr="00CF617C">
        <w:t xml:space="preserve"> to consider the </w:t>
      </w:r>
      <w:r w:rsidR="002B6C2F" w:rsidRPr="00CF617C">
        <w:t xml:space="preserve">ordinary meaning of various terms </w:t>
      </w:r>
      <w:r w:rsidR="00AD5FBA" w:rsidRPr="00CF617C">
        <w:t>under</w:t>
      </w:r>
      <w:r w:rsidR="00CC20E8" w:rsidRPr="00CF617C">
        <w:t xml:space="preserve"> the</w:t>
      </w:r>
      <w:r w:rsidR="00AD5FBA" w:rsidRPr="00CF617C">
        <w:t xml:space="preserve"> </w:t>
      </w:r>
      <w:r w:rsidR="00A11EB8" w:rsidRPr="00CF617C">
        <w:t>covered agreements</w:t>
      </w:r>
      <w:r w:rsidR="008E5768">
        <w:t xml:space="preserve"> in their context and</w:t>
      </w:r>
      <w:r w:rsidR="00AD5FBA" w:rsidRPr="00CF617C">
        <w:t xml:space="preserve"> in light of </w:t>
      </w:r>
      <w:r w:rsidR="008D1B50">
        <w:t xml:space="preserve">the </w:t>
      </w:r>
      <w:r w:rsidR="000D52F3" w:rsidRPr="00CF617C">
        <w:t>object and purpose</w:t>
      </w:r>
      <w:r w:rsidR="007C5940">
        <w:t xml:space="preserve"> of the treaty.</w:t>
      </w:r>
      <w:r w:rsidR="00AD5FBA" w:rsidRPr="00CF617C">
        <w:rPr>
          <w:rStyle w:val="FootnoteReference"/>
        </w:rPr>
        <w:footnoteReference w:id="4"/>
      </w:r>
      <w:r w:rsidR="008909BE" w:rsidRPr="00CF617C">
        <w:t xml:space="preserve"> </w:t>
      </w:r>
      <w:r w:rsidR="00A11EB8" w:rsidRPr="00CF617C">
        <w:t>This does not require a</w:t>
      </w:r>
      <w:r w:rsidR="008E36C4" w:rsidRPr="00CF617C">
        <w:t xml:space="preserve"> panel </w:t>
      </w:r>
      <w:r w:rsidR="00A11EB8" w:rsidRPr="00CF617C">
        <w:t>in every</w:t>
      </w:r>
      <w:r w:rsidR="00670B63" w:rsidRPr="00CF617C">
        <w:t xml:space="preserve"> case </w:t>
      </w:r>
      <w:r w:rsidR="00A11EB8" w:rsidRPr="00CF617C">
        <w:t xml:space="preserve">to </w:t>
      </w:r>
      <w:r w:rsidR="001F714A" w:rsidRPr="00CF617C">
        <w:t xml:space="preserve">delineate a general </w:t>
      </w:r>
      <w:r w:rsidR="008E36C4" w:rsidRPr="00CF617C">
        <w:t>legal standard</w:t>
      </w:r>
      <w:r w:rsidR="00670B63" w:rsidRPr="00CF617C">
        <w:t xml:space="preserve"> </w:t>
      </w:r>
      <w:r w:rsidR="00A11EB8" w:rsidRPr="00CF617C">
        <w:t xml:space="preserve">arising from the relevant </w:t>
      </w:r>
      <w:r w:rsidR="000F49C6">
        <w:t xml:space="preserve">phrase or </w:t>
      </w:r>
      <w:r w:rsidR="00CC20E8" w:rsidRPr="00CF617C">
        <w:t>term</w:t>
      </w:r>
      <w:r w:rsidR="001F714A" w:rsidRPr="00CF617C">
        <w:t>. Rather</w:t>
      </w:r>
      <w:r w:rsidR="00B12525">
        <w:t>,</w:t>
      </w:r>
      <w:r w:rsidR="001F714A" w:rsidRPr="00CF617C">
        <w:t xml:space="preserve"> Australia respectfully submits the Panel should confine itself to making an </w:t>
      </w:r>
      <w:r w:rsidR="00B84C8F" w:rsidRPr="00CF617C">
        <w:t>"</w:t>
      </w:r>
      <w:r w:rsidR="001F714A" w:rsidRPr="00CF617C">
        <w:t>objective assessment of the matter before it</w:t>
      </w:r>
      <w:r w:rsidR="00B84C8F" w:rsidRPr="00CF617C">
        <w:t>"</w:t>
      </w:r>
      <w:r w:rsidR="00670B63" w:rsidRPr="00CF617C">
        <w:t>,</w:t>
      </w:r>
      <w:r w:rsidR="00670B63" w:rsidRPr="00CF617C">
        <w:rPr>
          <w:rStyle w:val="FootnoteReference"/>
        </w:rPr>
        <w:footnoteReference w:id="5"/>
      </w:r>
      <w:r w:rsidR="001F714A" w:rsidRPr="00CF617C">
        <w:t xml:space="preserve"> in order to determine whether the Commission discharged its obligations as an investigating authority. </w:t>
      </w:r>
    </w:p>
    <w:p w14:paraId="72595E5D" w14:textId="302AC1D9" w:rsidR="00923832" w:rsidRPr="00CF617C" w:rsidRDefault="00BA2270" w:rsidP="00CB7112">
      <w:pPr>
        <w:pStyle w:val="HL1HeadingLevel1"/>
      </w:pPr>
      <w:bookmarkStart w:id="8" w:name="_Toc173163520"/>
      <w:bookmarkEnd w:id="7"/>
      <w:r w:rsidRPr="00CF617C">
        <w:lastRenderedPageBreak/>
        <w:t>E</w:t>
      </w:r>
      <w:r w:rsidR="00923832" w:rsidRPr="00CF617C">
        <w:t>xistence of a financial contribution</w:t>
      </w:r>
      <w:r w:rsidR="00D3323F" w:rsidRPr="00CF617C">
        <w:t xml:space="preserve"> under Article</w:t>
      </w:r>
      <w:r w:rsidR="000738D2" w:rsidRPr="00CF617C">
        <w:t> </w:t>
      </w:r>
      <w:r w:rsidR="00D3323F" w:rsidRPr="00CF617C">
        <w:t>1.1(a)(1)(iv)</w:t>
      </w:r>
      <w:r w:rsidR="00670B63" w:rsidRPr="00CF617C">
        <w:t xml:space="preserve"> OF The SCM Agreement</w:t>
      </w:r>
      <w:bookmarkEnd w:id="8"/>
    </w:p>
    <w:p w14:paraId="6C9B478C" w14:textId="653098A5" w:rsidR="000A2B5E" w:rsidRPr="00CF617C" w:rsidRDefault="007F0CA3" w:rsidP="00983B3B">
      <w:pPr>
        <w:pStyle w:val="P1-N1Paragraph1-Number1"/>
      </w:pPr>
      <w:r w:rsidRPr="00CF617C">
        <w:t>The SCM Agreement provides a framework that</w:t>
      </w:r>
      <w:r w:rsidR="000738D2" w:rsidRPr="00CF617C">
        <w:t xml:space="preserve">, </w:t>
      </w:r>
      <w:r w:rsidR="000738D2" w:rsidRPr="00CF617C">
        <w:rPr>
          <w:i/>
          <w:iCs/>
        </w:rPr>
        <w:t>inter alia</w:t>
      </w:r>
      <w:r w:rsidR="000738D2" w:rsidRPr="00CF617C">
        <w:t>,</w:t>
      </w:r>
      <w:r w:rsidRPr="00CF617C">
        <w:t xml:space="preserve"> governs the application of countervailing duties by a WTO Member. It sets out the substantive and procedural requirements that must be met in order for countervailing duties to be applied. As the </w:t>
      </w:r>
      <w:r w:rsidR="005B6938" w:rsidRPr="00CF617C">
        <w:t xml:space="preserve">Appellate Body has stated, </w:t>
      </w:r>
      <w:r w:rsidR="00841EE8" w:rsidRPr="00CF617C">
        <w:t>the object and purpose of the SCM Agreement "reflects a delicate balance between the Members that sought to impose more disciplines on the use of subsidies and those that sought to impose more disciplines on the application of countervailing measures … This balance must be bo</w:t>
      </w:r>
      <w:r w:rsidR="00F24BE3" w:rsidRPr="00CF617C">
        <w:t>r</w:t>
      </w:r>
      <w:r w:rsidR="00841EE8" w:rsidRPr="00CF617C">
        <w:t>ne in mind in interpreting paragraph (iv)</w:t>
      </w:r>
      <w:r w:rsidR="0094537B">
        <w:t xml:space="preserve"> </w:t>
      </w:r>
      <w:r w:rsidR="00261261" w:rsidRPr="00CF617C">
        <w:t>…</w:t>
      </w:r>
      <w:r w:rsidR="00841EE8" w:rsidRPr="00CF617C">
        <w:t>"</w:t>
      </w:r>
      <w:r w:rsidR="00841EE8" w:rsidRPr="00CF617C">
        <w:rPr>
          <w:rStyle w:val="FootnoteReference"/>
        </w:rPr>
        <w:footnoteReference w:id="6"/>
      </w:r>
    </w:p>
    <w:p w14:paraId="12E8692D" w14:textId="1C571C0E" w:rsidR="006437A9" w:rsidRPr="00CF617C" w:rsidRDefault="006437A9" w:rsidP="009C44A3">
      <w:pPr>
        <w:pStyle w:val="P1-N1Paragraph1-Number1"/>
      </w:pPr>
      <w:r w:rsidRPr="00CF617C">
        <w:t xml:space="preserve">Article 1.1(a)(1)(iv) of the SCM Agreement is </w:t>
      </w:r>
      <w:r w:rsidR="00CB1C42" w:rsidRPr="00CF617C">
        <w:t>essentially</w:t>
      </w:r>
      <w:r w:rsidRPr="00CF617C">
        <w:t xml:space="preserve"> </w:t>
      </w:r>
      <w:r w:rsidR="004D7FD4" w:rsidRPr="00CF617C">
        <w:t xml:space="preserve">an </w:t>
      </w:r>
      <w:r w:rsidRPr="00CF617C">
        <w:t>anti-circumvention provisio</w:t>
      </w:r>
      <w:r w:rsidR="00CB1C42" w:rsidRPr="00CF617C">
        <w:t>n,</w:t>
      </w:r>
      <w:r w:rsidR="00CB1C42" w:rsidRPr="00CF617C">
        <w:rPr>
          <w:rStyle w:val="FootnoteReference"/>
        </w:rPr>
        <w:footnoteReference w:id="7"/>
      </w:r>
      <w:r w:rsidRPr="00CF617C">
        <w:rPr>
          <w:sz w:val="16"/>
          <w:szCs w:val="16"/>
        </w:rPr>
        <w:t xml:space="preserve"> </w:t>
      </w:r>
      <w:r w:rsidRPr="00CF617C">
        <w:t xml:space="preserve">which </w:t>
      </w:r>
      <w:r w:rsidR="00C26DF5" w:rsidRPr="00CF617C">
        <w:t xml:space="preserve">is </w:t>
      </w:r>
      <w:r w:rsidR="00B84C8F" w:rsidRPr="00CF617C">
        <w:t>"</w:t>
      </w:r>
      <w:r w:rsidR="00C26DF5" w:rsidRPr="00CF617C">
        <w:t>intended to ensure that governments do not evade their obligations under the SCM Agreement by using private bodies to take actions that would otherwise fall within Article 1.1(a)(1), were they to be taken by the government itself</w:t>
      </w:r>
      <w:r w:rsidR="00B84C8F" w:rsidRPr="00CF617C">
        <w:t>"</w:t>
      </w:r>
      <w:r w:rsidR="00BD3335">
        <w:t>.</w:t>
      </w:r>
      <w:r w:rsidR="00C26DF5" w:rsidRPr="00CF617C">
        <w:rPr>
          <w:rStyle w:val="FootnoteReference"/>
        </w:rPr>
        <w:footnoteReference w:id="8"/>
      </w:r>
      <w:r w:rsidRPr="00CF617C">
        <w:t xml:space="preserve"> </w:t>
      </w:r>
    </w:p>
    <w:p w14:paraId="5DDEAE81" w14:textId="4C3DF6AF" w:rsidR="0057306A" w:rsidRPr="00CF617C" w:rsidRDefault="00A57B8E" w:rsidP="00983B3B">
      <w:pPr>
        <w:pStyle w:val="P1-N1Paragraph1-Number1"/>
      </w:pPr>
      <w:r w:rsidRPr="00CF617C">
        <w:t>Australia</w:t>
      </w:r>
      <w:r w:rsidR="00FB5700" w:rsidRPr="00CF617C">
        <w:t>'</w:t>
      </w:r>
      <w:r w:rsidRPr="00CF617C">
        <w:t>s comments on this provision first address the</w:t>
      </w:r>
      <w:r w:rsidR="0057306A" w:rsidRPr="00CF617C">
        <w:t xml:space="preserve"> phrase </w:t>
      </w:r>
      <w:r w:rsidR="00B84C8F" w:rsidRPr="00CF617C">
        <w:t>"</w:t>
      </w:r>
      <w:r w:rsidR="0057306A" w:rsidRPr="00CF617C">
        <w:t>normally … vested in the government</w:t>
      </w:r>
      <w:r w:rsidR="00B84C8F" w:rsidRPr="00CF617C">
        <w:t>"</w:t>
      </w:r>
      <w:r w:rsidR="0057306A" w:rsidRPr="00CF617C">
        <w:t>, because this reflects the order of analysis of both parties.</w:t>
      </w:r>
      <w:r w:rsidR="0049287A" w:rsidRPr="00CF617C">
        <w:rPr>
          <w:rStyle w:val="FootnoteReference"/>
        </w:rPr>
        <w:footnoteReference w:id="9"/>
      </w:r>
      <w:r w:rsidR="0078445A" w:rsidRPr="00CF617C">
        <w:t xml:space="preserve"> We then address the phrase </w:t>
      </w:r>
      <w:r w:rsidR="00110907" w:rsidRPr="00CF617C">
        <w:t>"</w:t>
      </w:r>
      <w:r w:rsidR="0078445A" w:rsidRPr="00CF617C">
        <w:t>entrusts or directs</w:t>
      </w:r>
      <w:r w:rsidR="00110907" w:rsidRPr="00CF617C">
        <w:t>"</w:t>
      </w:r>
      <w:r w:rsidR="0078445A" w:rsidRPr="00CF617C">
        <w:t>.</w:t>
      </w:r>
    </w:p>
    <w:p w14:paraId="33C73E30" w14:textId="2A109FF9" w:rsidR="00B6387E" w:rsidRPr="00CF617C" w:rsidRDefault="00B84C8F" w:rsidP="00B6387E">
      <w:pPr>
        <w:pStyle w:val="HL2HeadingLevel2"/>
      </w:pPr>
      <w:bookmarkStart w:id="9" w:name="_Toc173163521"/>
      <w:r w:rsidRPr="00CF617C">
        <w:t>"</w:t>
      </w:r>
      <w:r w:rsidR="00B6387E" w:rsidRPr="00CF617C">
        <w:t>Normally</w:t>
      </w:r>
      <w:r w:rsidR="001F273C" w:rsidRPr="00CF617C">
        <w:t xml:space="preserve"> …</w:t>
      </w:r>
      <w:r w:rsidR="00B6387E" w:rsidRPr="00CF617C">
        <w:t xml:space="preserve"> vested in the government</w:t>
      </w:r>
      <w:r w:rsidRPr="00CF617C">
        <w:t>"</w:t>
      </w:r>
      <w:bookmarkEnd w:id="9"/>
    </w:p>
    <w:p w14:paraId="017D4A26" w14:textId="461D1BF2" w:rsidR="00A513A2" w:rsidRPr="00CF617C" w:rsidRDefault="00E76E51" w:rsidP="003A173F">
      <w:pPr>
        <w:pStyle w:val="P1-N1Paragraph1-Number1"/>
      </w:pPr>
      <w:r w:rsidRPr="00CF617C">
        <w:t xml:space="preserve">A key point of divergence between the parties </w:t>
      </w:r>
      <w:r w:rsidR="00704F73" w:rsidRPr="00CF617C">
        <w:t>is the</w:t>
      </w:r>
      <w:r w:rsidRPr="00CF617C">
        <w:t xml:space="preserve"> </w:t>
      </w:r>
      <w:r w:rsidR="00704F73" w:rsidRPr="00CF617C">
        <w:t>standard to</w:t>
      </w:r>
      <w:r w:rsidR="000730EB" w:rsidRPr="00CF617C">
        <w:t xml:space="preserve"> establish that </w:t>
      </w:r>
      <w:r w:rsidR="00D2435D" w:rsidRPr="00CF617C">
        <w:t>a relevant function under Article 1.1(a)(1)(iv)</w:t>
      </w:r>
      <w:r w:rsidR="00090DE7" w:rsidRPr="00CF617C">
        <w:t xml:space="preserve"> </w:t>
      </w:r>
      <w:r w:rsidR="004E6041" w:rsidRPr="00CF617C">
        <w:t>"</w:t>
      </w:r>
      <w:r w:rsidR="00090DE7" w:rsidRPr="00CF617C">
        <w:t>would normally be vested in the government</w:t>
      </w:r>
      <w:r w:rsidR="004E6041" w:rsidRPr="00CF617C">
        <w:t>"</w:t>
      </w:r>
      <w:r w:rsidR="00090DE7" w:rsidRPr="00CF617C">
        <w:t>.</w:t>
      </w:r>
      <w:r w:rsidR="00653AFA" w:rsidRPr="00CF617C">
        <w:rPr>
          <w:rStyle w:val="FootnoteReference"/>
        </w:rPr>
        <w:footnoteReference w:id="10"/>
      </w:r>
      <w:r w:rsidR="00090DE7" w:rsidRPr="00CF617C">
        <w:t xml:space="preserve"> </w:t>
      </w:r>
      <w:r w:rsidR="00F308D3" w:rsidRPr="00CF617C">
        <w:t xml:space="preserve">While </w:t>
      </w:r>
      <w:r w:rsidR="00C77319" w:rsidRPr="00CF617C">
        <w:t>Indonesia</w:t>
      </w:r>
      <w:r w:rsidR="0025262D" w:rsidRPr="00CF617C">
        <w:t>'</w:t>
      </w:r>
      <w:r w:rsidR="00C77319" w:rsidRPr="00CF617C">
        <w:t>s</w:t>
      </w:r>
      <w:r w:rsidR="00F308D3" w:rsidRPr="00CF617C">
        <w:t xml:space="preserve"> arguments </w:t>
      </w:r>
      <w:r w:rsidR="00017C03" w:rsidRPr="00CF617C">
        <w:t xml:space="preserve">centre on the requirement to address the situation </w:t>
      </w:r>
      <w:r w:rsidR="00017C03" w:rsidRPr="00CF617C">
        <w:rPr>
          <w:i/>
          <w:iCs/>
        </w:rPr>
        <w:t>in Indonesia</w:t>
      </w:r>
      <w:r w:rsidR="00017C03" w:rsidRPr="00CF617C">
        <w:t>,</w:t>
      </w:r>
      <w:r w:rsidR="002C019A" w:rsidRPr="00CF617C">
        <w:rPr>
          <w:rStyle w:val="FootnoteReference"/>
        </w:rPr>
        <w:footnoteReference w:id="11"/>
      </w:r>
      <w:r w:rsidR="00F308D3" w:rsidRPr="00CF617C">
        <w:t xml:space="preserve"> </w:t>
      </w:r>
      <w:r w:rsidR="00090DE7" w:rsidRPr="00CF617C">
        <w:t>Indonesia</w:t>
      </w:r>
      <w:r w:rsidR="001F6EF5" w:rsidRPr="00CF617C">
        <w:t>'</w:t>
      </w:r>
      <w:r w:rsidR="00017C03" w:rsidRPr="00CF617C">
        <w:t>s submission</w:t>
      </w:r>
      <w:r w:rsidR="00F65643" w:rsidRPr="00CF617C">
        <w:t>s</w:t>
      </w:r>
      <w:r w:rsidR="00017C03" w:rsidRPr="00CF617C">
        <w:t xml:space="preserve"> also</w:t>
      </w:r>
      <w:r w:rsidR="00090DE7" w:rsidRPr="00CF617C">
        <w:t xml:space="preserve"> </w:t>
      </w:r>
      <w:r w:rsidR="00C05292" w:rsidRPr="00CF617C">
        <w:t xml:space="preserve">seem </w:t>
      </w:r>
      <w:r w:rsidR="00C06981" w:rsidRPr="00CF617C">
        <w:t xml:space="preserve">to </w:t>
      </w:r>
      <w:r w:rsidR="00594376" w:rsidRPr="00CF617C">
        <w:t xml:space="preserve">implicitly </w:t>
      </w:r>
      <w:r w:rsidR="00F13E19" w:rsidRPr="00CF617C">
        <w:t>argue</w:t>
      </w:r>
      <w:r w:rsidR="00C05292" w:rsidRPr="00CF617C">
        <w:t xml:space="preserve"> </w:t>
      </w:r>
      <w:r w:rsidR="00F13E19" w:rsidRPr="00CF617C">
        <w:t xml:space="preserve">for </w:t>
      </w:r>
      <w:r w:rsidR="002D0093">
        <w:t xml:space="preserve">a </w:t>
      </w:r>
      <w:r w:rsidR="00E32FB2" w:rsidRPr="00CF617C">
        <w:t xml:space="preserve">threshold </w:t>
      </w:r>
      <w:r w:rsidR="007B4912" w:rsidRPr="00CF617C">
        <w:t>requirement of "predominant"</w:t>
      </w:r>
      <w:r w:rsidR="006023E0" w:rsidRPr="00CF617C">
        <w:t xml:space="preserve"> </w:t>
      </w:r>
      <w:r w:rsidR="009D3021" w:rsidRPr="00CF617C">
        <w:t>government</w:t>
      </w:r>
      <w:r w:rsidR="00F6790C" w:rsidRPr="00CF617C">
        <w:t xml:space="preserve"> </w:t>
      </w:r>
      <w:r w:rsidR="00F13E19" w:rsidRPr="00CF617C">
        <w:t>practic</w:t>
      </w:r>
      <w:r w:rsidR="0080141C" w:rsidRPr="00CF617C">
        <w:t>e</w:t>
      </w:r>
      <w:r w:rsidR="00F65643" w:rsidRPr="00CF617C">
        <w:t>.</w:t>
      </w:r>
      <w:r w:rsidR="006B7897" w:rsidRPr="00CF617C">
        <w:t xml:space="preserve"> </w:t>
      </w:r>
      <w:r w:rsidR="0061651B" w:rsidRPr="00CF617C">
        <w:t xml:space="preserve">For example, </w:t>
      </w:r>
      <w:r w:rsidR="00C61FB1" w:rsidRPr="00CF617C">
        <w:t xml:space="preserve">Indonesia </w:t>
      </w:r>
      <w:r w:rsidR="00841B8E" w:rsidRPr="00CF617C">
        <w:t xml:space="preserve">states that </w:t>
      </w:r>
      <w:r w:rsidR="00272A31" w:rsidRPr="00CF617C">
        <w:t>"[a]t a minimum, the Commission should have analy</w:t>
      </w:r>
      <w:r w:rsidR="00835CCB" w:rsidRPr="00CF617C">
        <w:t>z</w:t>
      </w:r>
      <w:r w:rsidR="00272A31" w:rsidRPr="00CF617C">
        <w:t xml:space="preserve">ed whether, from a traditional and historic perspective, </w:t>
      </w:r>
      <w:r w:rsidR="00272A31" w:rsidRPr="00CF617C">
        <w:lastRenderedPageBreak/>
        <w:t>the GOI has engaged in the provision of raw materials, and specifically, CPO …"</w:t>
      </w:r>
      <w:r w:rsidR="00272A31" w:rsidRPr="00CF617C">
        <w:rPr>
          <w:rStyle w:val="FootnoteReference"/>
        </w:rPr>
        <w:footnoteReference w:id="12"/>
      </w:r>
      <w:r w:rsidR="00272A31" w:rsidRPr="00CF617C">
        <w:t xml:space="preserve"> </w:t>
      </w:r>
      <w:r w:rsidR="00821B2C" w:rsidRPr="00CF617C">
        <w:t>It further notes that "</w:t>
      </w:r>
      <w:r w:rsidR="006B7E21" w:rsidRPr="00CF617C">
        <w:t xml:space="preserve">in Indonesia, </w:t>
      </w:r>
      <w:r w:rsidR="00821B2C" w:rsidRPr="00CF617C">
        <w:t>CPO is provided predominantly by private companies and smallholders. The GOI does not control the supply of CPO</w:t>
      </w:r>
      <w:r w:rsidR="009A2A9C" w:rsidRPr="00CF617C">
        <w:t>,</w:t>
      </w:r>
      <w:r w:rsidR="00821B2C" w:rsidRPr="00CF617C">
        <w:t xml:space="preserve"> </w:t>
      </w:r>
      <w:r w:rsidR="009A2A9C" w:rsidRPr="00CF617C">
        <w:t>and there is no indication that CPO producers have been given responsibility for the supply of CPO by the GOI.</w:t>
      </w:r>
      <w:r w:rsidR="00821B2C" w:rsidRPr="00CF617C">
        <w:t>"</w:t>
      </w:r>
      <w:r w:rsidR="0085273E" w:rsidRPr="00CF617C">
        <w:rPr>
          <w:rStyle w:val="FootnoteReference"/>
        </w:rPr>
        <w:footnoteReference w:id="13"/>
      </w:r>
      <w:r w:rsidR="00821B2C" w:rsidRPr="00CF617C">
        <w:t xml:space="preserve"> </w:t>
      </w:r>
      <w:r w:rsidR="00902D76">
        <w:t xml:space="preserve">Through its arguments </w:t>
      </w:r>
      <w:r w:rsidR="00174888" w:rsidRPr="00CF617C">
        <w:t xml:space="preserve">elevating </w:t>
      </w:r>
      <w:r w:rsidR="00676720" w:rsidRPr="00CF617C">
        <w:t>the scope of government practice as</w:t>
      </w:r>
      <w:r w:rsidR="00174888" w:rsidRPr="00CF617C">
        <w:t xml:space="preserve"> </w:t>
      </w:r>
      <w:r w:rsidR="00676720" w:rsidRPr="00CF617C">
        <w:t xml:space="preserve">the </w:t>
      </w:r>
      <w:r w:rsidR="00174888" w:rsidRPr="00CF617C">
        <w:t xml:space="preserve">determining factor in the consideration of the "normally vested" criterion, </w:t>
      </w:r>
      <w:r w:rsidR="007544B4" w:rsidRPr="00CF617C">
        <w:t xml:space="preserve">Indonesia </w:t>
      </w:r>
      <w:r w:rsidR="00D4284A" w:rsidRPr="00CF617C">
        <w:t xml:space="preserve">essentially </w:t>
      </w:r>
      <w:r w:rsidR="007544B4" w:rsidRPr="00CF617C">
        <w:t>imports</w:t>
      </w:r>
      <w:r w:rsidR="00174888" w:rsidRPr="00CF617C">
        <w:t xml:space="preserve"> a threshold of </w:t>
      </w:r>
      <w:r w:rsidR="00B65546" w:rsidRPr="00CF617C">
        <w:t xml:space="preserve">"predominant" government </w:t>
      </w:r>
      <w:r w:rsidR="007544B4" w:rsidRPr="00CF617C">
        <w:t>practice</w:t>
      </w:r>
      <w:r w:rsidR="00654F32" w:rsidRPr="00CF617C">
        <w:t xml:space="preserve"> </w:t>
      </w:r>
      <w:r w:rsidR="007544B4" w:rsidRPr="00CF617C">
        <w:t>into t</w:t>
      </w:r>
      <w:r w:rsidR="00174888" w:rsidRPr="00CF617C">
        <w:t>hat criterion.</w:t>
      </w:r>
    </w:p>
    <w:p w14:paraId="0916D1C6" w14:textId="1745701C" w:rsidR="00B6387E" w:rsidRPr="00CF617C" w:rsidRDefault="00C05292" w:rsidP="003A173F">
      <w:pPr>
        <w:pStyle w:val="P1-N1Paragraph1-Number1"/>
      </w:pPr>
      <w:r w:rsidRPr="00CF617C">
        <w:t xml:space="preserve">The European Union </w:t>
      </w:r>
      <w:r w:rsidR="00417745" w:rsidRPr="00CF617C">
        <w:t xml:space="preserve">argues that Article 1.1(a)(1)(iv) </w:t>
      </w:r>
      <w:r w:rsidR="00B84C8F" w:rsidRPr="00CF617C">
        <w:t>"</w:t>
      </w:r>
      <w:r w:rsidR="00E85EE4" w:rsidRPr="00CF617C">
        <w:t xml:space="preserve">should be </w:t>
      </w:r>
      <w:r w:rsidR="00D66990">
        <w:t>understood</w:t>
      </w:r>
      <w:r w:rsidR="00E85EE4" w:rsidRPr="00CF617C">
        <w:t xml:space="preserve"> as reflecting that certain functions are inherently governmental in natur</w:t>
      </w:r>
      <w:r w:rsidR="00B84C8F" w:rsidRPr="00CF617C">
        <w:t>e</w:t>
      </w:r>
      <w:r w:rsidR="00B941DB" w:rsidRPr="00CF617C">
        <w:t xml:space="preserve">. Hence, </w:t>
      </w:r>
      <w:r w:rsidR="003A173F" w:rsidRPr="00CF617C">
        <w:t xml:space="preserve">the specific practice in the WTO Member in question (even if substantiated) does not necessarily (still less automatically) operate so as to displace a finding that there has been a delegation of a function </w:t>
      </w:r>
      <w:r w:rsidR="0038786F" w:rsidRPr="00CF617C">
        <w:t>'</w:t>
      </w:r>
      <w:r w:rsidR="003A173F" w:rsidRPr="00CF617C">
        <w:t>normally vested in the government</w:t>
      </w:r>
      <w:r w:rsidR="0038786F" w:rsidRPr="00CF617C">
        <w:t>'</w:t>
      </w:r>
      <w:r w:rsidR="0074109F" w:rsidRPr="00CF617C">
        <w:t>"</w:t>
      </w:r>
      <w:r w:rsidR="00AD1C36">
        <w:t>.</w:t>
      </w:r>
      <w:r w:rsidR="00876FF6" w:rsidRPr="00CF617C">
        <w:rPr>
          <w:rStyle w:val="FootnoteReference"/>
        </w:rPr>
        <w:footnoteReference w:id="14"/>
      </w:r>
      <w:r w:rsidR="00690C40" w:rsidRPr="00CF617C">
        <w:t xml:space="preserve"> Such </w:t>
      </w:r>
      <w:r w:rsidR="00B84C8F" w:rsidRPr="00CF617C">
        <w:t>"</w:t>
      </w:r>
      <w:r w:rsidR="00690C40" w:rsidRPr="00CF617C">
        <w:t>core functions include those which have an intrinsic connection to the exercise of sovereign rights, such as the provision of raw materials.</w:t>
      </w:r>
      <w:r w:rsidR="00B84C8F" w:rsidRPr="00CF617C">
        <w:t>"</w:t>
      </w:r>
      <w:r w:rsidR="00690C40" w:rsidRPr="00CF617C">
        <w:rPr>
          <w:rStyle w:val="FootnoteReference"/>
        </w:rPr>
        <w:footnoteReference w:id="15"/>
      </w:r>
    </w:p>
    <w:p w14:paraId="6FF328A9" w14:textId="13D2958F" w:rsidR="00543DCD" w:rsidRPr="009648FE" w:rsidRDefault="008B2926" w:rsidP="00B6387E">
      <w:pPr>
        <w:pStyle w:val="P1-N1Paragraph1-Number1"/>
      </w:pPr>
      <w:r w:rsidRPr="00CF617C">
        <w:t>The phrase</w:t>
      </w:r>
      <w:r w:rsidR="001F273C" w:rsidRPr="00CF617C">
        <w:t xml:space="preserve"> </w:t>
      </w:r>
      <w:r w:rsidR="00B84C8F" w:rsidRPr="00CF617C">
        <w:t>"</w:t>
      </w:r>
      <w:r w:rsidR="001F273C" w:rsidRPr="00CF617C">
        <w:t xml:space="preserve">normally </w:t>
      </w:r>
      <w:r w:rsidR="00125A64">
        <w:t xml:space="preserve">… </w:t>
      </w:r>
      <w:r w:rsidR="001F273C" w:rsidRPr="00CF617C">
        <w:t>vested</w:t>
      </w:r>
      <w:r w:rsidR="00125A64">
        <w:t xml:space="preserve"> </w:t>
      </w:r>
      <w:r w:rsidR="001F273C" w:rsidRPr="00CF617C">
        <w:t>in the government</w:t>
      </w:r>
      <w:r w:rsidR="00B84C8F" w:rsidRPr="00CF617C">
        <w:t>"</w:t>
      </w:r>
      <w:r w:rsidRPr="00CF617C">
        <w:t xml:space="preserve"> in Article 1.1(a)(1)(iv) </w:t>
      </w:r>
      <w:r w:rsidR="001D3CC6" w:rsidRPr="00CF617C">
        <w:t xml:space="preserve">is not defined in the SCM Agreement and nor </w:t>
      </w:r>
      <w:r w:rsidRPr="00CF617C">
        <w:t xml:space="preserve">has </w:t>
      </w:r>
      <w:r w:rsidR="001D3CC6" w:rsidRPr="00CF617C">
        <w:t xml:space="preserve">its meaning </w:t>
      </w:r>
      <w:r w:rsidRPr="00CF617C">
        <w:t xml:space="preserve">been </w:t>
      </w:r>
      <w:r w:rsidR="001D3CC6" w:rsidRPr="00CF617C">
        <w:t>comprehensively</w:t>
      </w:r>
      <w:r w:rsidRPr="00CF617C">
        <w:t xml:space="preserve"> addressed in previous disputes.</w:t>
      </w:r>
      <w:r w:rsidR="001F273C" w:rsidRPr="00CF617C">
        <w:t xml:space="preserve"> </w:t>
      </w:r>
      <w:r w:rsidR="003A53AE" w:rsidRPr="00CF617C">
        <w:t xml:space="preserve">Australia's submissions do not seek to </w:t>
      </w:r>
      <w:r w:rsidR="0008000B" w:rsidRPr="00CF617C">
        <w:t>conclusively define thi</w:t>
      </w:r>
      <w:r w:rsidR="00543DCD" w:rsidRPr="00CF617C">
        <w:t xml:space="preserve">s </w:t>
      </w:r>
      <w:r w:rsidR="00201E4A" w:rsidRPr="00CF617C">
        <w:t>phrase</w:t>
      </w:r>
      <w:r w:rsidR="003A53AE" w:rsidRPr="00CF617C">
        <w:t xml:space="preserve">. Rather, </w:t>
      </w:r>
      <w:r w:rsidR="00543DCD" w:rsidRPr="00CF617C">
        <w:t xml:space="preserve">and in keeping with the necessarily fact-specific nature of </w:t>
      </w:r>
      <w:r w:rsidR="00F21B77" w:rsidRPr="00CF617C">
        <w:t>t</w:t>
      </w:r>
      <w:r w:rsidR="00A26386" w:rsidRPr="00CF617C">
        <w:t xml:space="preserve">hat assessment, we </w:t>
      </w:r>
      <w:r w:rsidR="005B22D3" w:rsidRPr="00CF617C">
        <w:t xml:space="preserve">provide </w:t>
      </w:r>
      <w:r w:rsidR="005B22D3" w:rsidRPr="009648FE">
        <w:t>our views on</w:t>
      </w:r>
      <w:r w:rsidR="00F75BB6" w:rsidRPr="009648FE">
        <w:t xml:space="preserve"> </w:t>
      </w:r>
      <w:r w:rsidR="00CD28C4" w:rsidRPr="009648FE">
        <w:t>the</w:t>
      </w:r>
      <w:r w:rsidR="00437CA2" w:rsidRPr="009648FE">
        <w:t xml:space="preserve"> relevant</w:t>
      </w:r>
      <w:r w:rsidR="00CD28C4" w:rsidRPr="009648FE">
        <w:t xml:space="preserve"> </w:t>
      </w:r>
      <w:r w:rsidR="00437CA2" w:rsidRPr="009648FE">
        <w:t>limits of that</w:t>
      </w:r>
      <w:r w:rsidR="00BD39CF" w:rsidRPr="009648FE">
        <w:t xml:space="preserve"> </w:t>
      </w:r>
      <w:r w:rsidRPr="009648FE">
        <w:t xml:space="preserve">legal </w:t>
      </w:r>
      <w:r w:rsidR="00CD28C4" w:rsidRPr="009648FE">
        <w:t>standard</w:t>
      </w:r>
      <w:r w:rsidR="00A05592" w:rsidRPr="009648FE">
        <w:t xml:space="preserve"> and its application.</w:t>
      </w:r>
    </w:p>
    <w:p w14:paraId="1B8372CF" w14:textId="7448C47B" w:rsidR="00CA355A" w:rsidRPr="009648FE" w:rsidRDefault="00F75BB6" w:rsidP="008D7BAF">
      <w:pPr>
        <w:pStyle w:val="P1-N1Paragraph1-Number1"/>
      </w:pPr>
      <w:r w:rsidRPr="009648FE">
        <w:t>I</w:t>
      </w:r>
      <w:r w:rsidR="002E2F26" w:rsidRPr="009648FE">
        <w:t>n th</w:t>
      </w:r>
      <w:r w:rsidRPr="009648FE">
        <w:t>at</w:t>
      </w:r>
      <w:r w:rsidR="002E2F26" w:rsidRPr="009648FE">
        <w:t xml:space="preserve"> </w:t>
      </w:r>
      <w:r w:rsidR="002A6528" w:rsidRPr="009648FE">
        <w:t xml:space="preserve">regard, </w:t>
      </w:r>
      <w:r w:rsidR="008A3D43" w:rsidRPr="009648FE">
        <w:t>Australia finds</w:t>
      </w:r>
      <w:r w:rsidR="00953DC1" w:rsidRPr="009648FE">
        <w:t xml:space="preserve"> no support for </w:t>
      </w:r>
      <w:r w:rsidR="00D738A9" w:rsidRPr="009648FE">
        <w:t xml:space="preserve">a narrow </w:t>
      </w:r>
      <w:r w:rsidR="002D5553" w:rsidRPr="009648FE">
        <w:t xml:space="preserve">standard which is </w:t>
      </w:r>
      <w:r w:rsidR="00FA5A4F" w:rsidRPr="009648FE">
        <w:t xml:space="preserve">automatically </w:t>
      </w:r>
      <w:r w:rsidR="002D5553" w:rsidRPr="009648FE">
        <w:t xml:space="preserve">determined by </w:t>
      </w:r>
      <w:r w:rsidR="000725FA" w:rsidRPr="009648FE">
        <w:t>predominant government</w:t>
      </w:r>
      <w:r w:rsidR="00E0257D" w:rsidRPr="009648FE">
        <w:t xml:space="preserve"> </w:t>
      </w:r>
      <w:r w:rsidR="00D738A9" w:rsidRPr="009648FE">
        <w:t>practice</w:t>
      </w:r>
      <w:r w:rsidR="00830AC9" w:rsidRPr="009648FE">
        <w:t xml:space="preserve"> </w:t>
      </w:r>
      <w:r w:rsidR="00E0257D" w:rsidRPr="009648FE">
        <w:t>of the relevant function,</w:t>
      </w:r>
      <w:r w:rsidR="00D61B79" w:rsidRPr="009648FE">
        <w:t xml:space="preserve"> </w:t>
      </w:r>
      <w:r w:rsidR="000725FA" w:rsidRPr="009648FE">
        <w:t>by</w:t>
      </w:r>
      <w:r w:rsidR="003D468A" w:rsidRPr="009648FE">
        <w:t xml:space="preserve"> the Member in question</w:t>
      </w:r>
      <w:r w:rsidR="00D738A9" w:rsidRPr="009648FE">
        <w:t>.</w:t>
      </w:r>
      <w:r w:rsidR="006A2E64" w:rsidRPr="009648FE">
        <w:t xml:space="preserve"> </w:t>
      </w:r>
      <w:r w:rsidR="00D738A9" w:rsidRPr="009648FE">
        <w:t xml:space="preserve">Indeed, </w:t>
      </w:r>
      <w:r w:rsidR="00A72275" w:rsidRPr="009648FE">
        <w:t xml:space="preserve">the </w:t>
      </w:r>
      <w:r w:rsidR="00DD46A8" w:rsidRPr="009648FE">
        <w:t>Appellate Body</w:t>
      </w:r>
      <w:r w:rsidR="00A72275" w:rsidRPr="009648FE">
        <w:t xml:space="preserve"> </w:t>
      </w:r>
      <w:r w:rsidR="00A15003" w:rsidRPr="009648FE">
        <w:t xml:space="preserve">statement </w:t>
      </w:r>
      <w:r w:rsidR="00882EFD" w:rsidRPr="009648FE">
        <w:t xml:space="preserve">upon </w:t>
      </w:r>
      <w:r w:rsidR="00543DCD" w:rsidRPr="009648FE">
        <w:t>which Indonesia relies</w:t>
      </w:r>
      <w:r w:rsidR="0033420A" w:rsidRPr="009648FE">
        <w:t>,</w:t>
      </w:r>
      <w:r w:rsidR="00543DCD" w:rsidRPr="009648FE">
        <w:t xml:space="preserve"> refers</w:t>
      </w:r>
      <w:r w:rsidR="00DD46A8" w:rsidRPr="009648FE">
        <w:t xml:space="preserve"> to "</w:t>
      </w:r>
      <w:r w:rsidR="00B74400" w:rsidRPr="009648FE">
        <w:t>what would ordinarily</w:t>
      </w:r>
      <w:r w:rsidR="00B74400" w:rsidRPr="009648FE">
        <w:rPr>
          <w:i/>
          <w:iCs/>
        </w:rPr>
        <w:t xml:space="preserve"> </w:t>
      </w:r>
      <w:r w:rsidR="00B74400" w:rsidRPr="009648FE">
        <w:t xml:space="preserve">be considered </w:t>
      </w:r>
      <w:r w:rsidR="00DD46A8" w:rsidRPr="009648FE">
        <w:t xml:space="preserve">governmental practice </w:t>
      </w:r>
      <w:r w:rsidR="00DD46A8" w:rsidRPr="009648FE">
        <w:rPr>
          <w:i/>
          <w:iCs/>
        </w:rPr>
        <w:t xml:space="preserve">in the legal order </w:t>
      </w:r>
      <w:r w:rsidR="00DD46A8" w:rsidRPr="009648FE">
        <w:t>of the relevant Member"</w:t>
      </w:r>
      <w:r w:rsidR="00DD46A8" w:rsidRPr="009648FE">
        <w:rPr>
          <w:rStyle w:val="FootnoteReference"/>
        </w:rPr>
        <w:footnoteReference w:id="16"/>
      </w:r>
      <w:r w:rsidR="00DD46A8" w:rsidRPr="009648FE">
        <w:t xml:space="preserve"> </w:t>
      </w:r>
      <w:r w:rsidR="000544BB" w:rsidRPr="009648FE">
        <w:t xml:space="preserve">– and </w:t>
      </w:r>
      <w:r w:rsidR="00DD46A8" w:rsidRPr="009648FE">
        <w:t xml:space="preserve">not </w:t>
      </w:r>
      <w:r w:rsidR="000544BB" w:rsidRPr="009648FE">
        <w:t xml:space="preserve">to the concept of </w:t>
      </w:r>
      <w:r w:rsidR="000544BB" w:rsidRPr="009648FE">
        <w:rPr>
          <w:i/>
          <w:iCs/>
        </w:rPr>
        <w:t>actual</w:t>
      </w:r>
      <w:r w:rsidR="000544BB" w:rsidRPr="009648FE">
        <w:t xml:space="preserve"> practice</w:t>
      </w:r>
      <w:r w:rsidR="008907A4" w:rsidRPr="009648FE">
        <w:t xml:space="preserve">. </w:t>
      </w:r>
      <w:r w:rsidR="003A2689" w:rsidRPr="009648FE">
        <w:t xml:space="preserve">Such a narrow interpretation is </w:t>
      </w:r>
      <w:r w:rsidR="00E27239" w:rsidRPr="009648FE">
        <w:t xml:space="preserve">also </w:t>
      </w:r>
      <w:r w:rsidR="00E27239" w:rsidRPr="009648FE">
        <w:lastRenderedPageBreak/>
        <w:t>inconsistent with</w:t>
      </w:r>
      <w:r w:rsidR="00235EF5" w:rsidRPr="009648FE">
        <w:t xml:space="preserve"> the </w:t>
      </w:r>
      <w:r w:rsidR="003704DE" w:rsidRPr="009648FE">
        <w:t>ordinary meaning of the word "</w:t>
      </w:r>
      <w:r w:rsidR="00CB12BB" w:rsidRPr="009648FE">
        <w:t xml:space="preserve">vests", </w:t>
      </w:r>
      <w:r w:rsidR="00420DD5" w:rsidRPr="009648FE">
        <w:t xml:space="preserve">which </w:t>
      </w:r>
      <w:r w:rsidR="004F082D" w:rsidRPr="009648FE">
        <w:t>is</w:t>
      </w:r>
      <w:r w:rsidR="004F082D" w:rsidRPr="00CF617C">
        <w:t xml:space="preserve"> "[t]o place, settle or secure (something)</w:t>
      </w:r>
      <w:r w:rsidR="00A85C98" w:rsidRPr="00CF617C">
        <w:t xml:space="preserve"> in the possession of a person or persons."</w:t>
      </w:r>
      <w:r w:rsidR="00A85C98" w:rsidRPr="00CF617C">
        <w:rPr>
          <w:rStyle w:val="FootnoteReference"/>
        </w:rPr>
        <w:footnoteReference w:id="17"/>
      </w:r>
      <w:r w:rsidR="00A85C98" w:rsidRPr="00CF617C">
        <w:t xml:space="preserve"> </w:t>
      </w:r>
      <w:r w:rsidR="00EB2948" w:rsidRPr="00CF617C">
        <w:t>Th</w:t>
      </w:r>
      <w:r w:rsidR="00705D26" w:rsidRPr="00CF617C">
        <w:t>at</w:t>
      </w:r>
      <w:r w:rsidR="00EB2948" w:rsidRPr="00CF617C">
        <w:t xml:space="preserve"> definition </w:t>
      </w:r>
      <w:r w:rsidR="00F03523" w:rsidRPr="00CF617C">
        <w:t>does not speak to</w:t>
      </w:r>
      <w:r w:rsidR="00EB2948" w:rsidRPr="00CF617C">
        <w:t>, nor limit,</w:t>
      </w:r>
      <w:r w:rsidR="00F03523" w:rsidRPr="00CF617C">
        <w:t xml:space="preserve"> the </w:t>
      </w:r>
      <w:r w:rsidR="00420DD5" w:rsidRPr="00CF617C">
        <w:rPr>
          <w:i/>
          <w:iCs/>
        </w:rPr>
        <w:t xml:space="preserve">evidence </w:t>
      </w:r>
      <w:r w:rsidR="005B6D19" w:rsidRPr="00CF617C">
        <w:t xml:space="preserve">through which </w:t>
      </w:r>
      <w:r w:rsidR="00EB2948" w:rsidRPr="00CF617C">
        <w:t xml:space="preserve">it </w:t>
      </w:r>
      <w:r w:rsidR="005B6D19" w:rsidRPr="00CF617C">
        <w:t>must be demonstrated.</w:t>
      </w:r>
      <w:r w:rsidR="007B3675" w:rsidRPr="00CF617C">
        <w:t xml:space="preserve"> </w:t>
      </w:r>
      <w:r w:rsidR="00155317" w:rsidRPr="00CF617C">
        <w:t xml:space="preserve">Finally, that interpretation is </w:t>
      </w:r>
      <w:r w:rsidR="00155317" w:rsidRPr="009648FE">
        <w:t xml:space="preserve">incongruous with the final line of Article 1.1(a)(1)(iv), which refers to what is </w:t>
      </w:r>
      <w:r w:rsidR="00C11D95" w:rsidRPr="009648FE">
        <w:t>"</w:t>
      </w:r>
      <w:r w:rsidR="00155317" w:rsidRPr="009648FE">
        <w:t>normally followed by governments</w:t>
      </w:r>
      <w:r w:rsidR="00E00867" w:rsidRPr="009648FE">
        <w:t>"</w:t>
      </w:r>
      <w:r w:rsidR="00155317" w:rsidRPr="009648FE">
        <w:t xml:space="preserve"> (i.e. in </w:t>
      </w:r>
      <w:r w:rsidR="00E00867" w:rsidRPr="009648FE">
        <w:t>a</w:t>
      </w:r>
      <w:r w:rsidR="00C11D95" w:rsidRPr="009648FE">
        <w:t xml:space="preserve"> broad rather than specific sense</w:t>
      </w:r>
      <w:r w:rsidR="00155317" w:rsidRPr="009648FE">
        <w:t>)</w:t>
      </w:r>
      <w:r w:rsidR="00C11D95" w:rsidRPr="009648FE">
        <w:t>.</w:t>
      </w:r>
    </w:p>
    <w:p w14:paraId="39D1FD3D" w14:textId="059A6805" w:rsidR="00E357A5" w:rsidRPr="009648FE" w:rsidRDefault="00D33AF7" w:rsidP="007B3675">
      <w:pPr>
        <w:pStyle w:val="P1-N1Paragraph1-Number1"/>
      </w:pPr>
      <w:r w:rsidRPr="009648FE">
        <w:t>W</w:t>
      </w:r>
      <w:r w:rsidR="00E357A5" w:rsidRPr="009648FE">
        <w:t xml:space="preserve">hile </w:t>
      </w:r>
      <w:r w:rsidR="004C123F" w:rsidRPr="009648FE">
        <w:t xml:space="preserve">actual </w:t>
      </w:r>
      <w:r w:rsidR="00E357A5" w:rsidRPr="009648FE">
        <w:t xml:space="preserve">practice may in certain circumstances be one </w:t>
      </w:r>
      <w:r w:rsidR="00D25647" w:rsidRPr="009648FE">
        <w:t xml:space="preserve">evidentiary factor in </w:t>
      </w:r>
      <w:r w:rsidR="00A262FA" w:rsidRPr="009648FE">
        <w:t>considering whether</w:t>
      </w:r>
      <w:r w:rsidR="00E357A5" w:rsidRPr="009648FE">
        <w:t xml:space="preserve"> </w:t>
      </w:r>
      <w:r w:rsidRPr="009648FE">
        <w:t xml:space="preserve">a </w:t>
      </w:r>
      <w:r w:rsidR="00E357A5" w:rsidRPr="009648FE">
        <w:t>function is "normally vested in the government"</w:t>
      </w:r>
      <w:r w:rsidR="00C7191C">
        <w:t xml:space="preserve">, </w:t>
      </w:r>
      <w:r w:rsidR="00E357A5" w:rsidRPr="009648FE">
        <w:t xml:space="preserve">it is </w:t>
      </w:r>
      <w:r w:rsidR="00032772" w:rsidRPr="009648FE">
        <w:t>not necessarily</w:t>
      </w:r>
      <w:r w:rsidR="004B2167" w:rsidRPr="009648FE">
        <w:t xml:space="preserve"> </w:t>
      </w:r>
      <w:r w:rsidR="00E357A5" w:rsidRPr="009648FE">
        <w:t xml:space="preserve">the </w:t>
      </w:r>
      <w:r w:rsidR="00E357A5" w:rsidRPr="009648FE">
        <w:rPr>
          <w:i/>
          <w:iCs/>
        </w:rPr>
        <w:t xml:space="preserve">only </w:t>
      </w:r>
      <w:r w:rsidR="00E357A5" w:rsidRPr="009648FE">
        <w:t xml:space="preserve">way of </w:t>
      </w:r>
      <w:r w:rsidR="009F480C" w:rsidRPr="009648FE">
        <w:t>satisfying</w:t>
      </w:r>
      <w:r w:rsidR="00E357A5" w:rsidRPr="009648FE">
        <w:t xml:space="preserve"> that criterion</w:t>
      </w:r>
      <w:r w:rsidR="00872520">
        <w:t xml:space="preserve"> legally - or factually.</w:t>
      </w:r>
      <w:r w:rsidR="00E357A5" w:rsidRPr="009648FE">
        <w:rPr>
          <w:rStyle w:val="FootnoteReference"/>
        </w:rPr>
        <w:footnoteReference w:id="18"/>
      </w:r>
      <w:r w:rsidR="006C7069" w:rsidRPr="009648FE">
        <w:t xml:space="preserve"> </w:t>
      </w:r>
      <w:r w:rsidR="000B1E04" w:rsidRPr="009648FE">
        <w:t>N</w:t>
      </w:r>
      <w:r w:rsidR="006C7069" w:rsidRPr="009648FE">
        <w:t>or</w:t>
      </w:r>
      <w:r w:rsidR="00B107BD" w:rsidRPr="009648FE">
        <w:t xml:space="preserve"> therefore</w:t>
      </w:r>
      <w:r w:rsidR="000B1E04" w:rsidRPr="009648FE">
        <w:t xml:space="preserve"> can actual practice</w:t>
      </w:r>
      <w:r w:rsidR="005319A9" w:rsidRPr="009648FE">
        <w:t xml:space="preserve"> -</w:t>
      </w:r>
      <w:r w:rsidR="00A70DC0" w:rsidRPr="009648FE">
        <w:t xml:space="preserve"> let alone "predominant practice"</w:t>
      </w:r>
      <w:r w:rsidR="000B1E04" w:rsidRPr="009648FE">
        <w:t xml:space="preserve"> in the Member in question</w:t>
      </w:r>
      <w:r w:rsidR="005319A9" w:rsidRPr="009648FE">
        <w:t xml:space="preserve"> -</w:t>
      </w:r>
      <w:r w:rsidR="004F2BA4" w:rsidRPr="009648FE">
        <w:t xml:space="preserve"> automatically</w:t>
      </w:r>
      <w:r w:rsidR="006C7069" w:rsidRPr="009648FE">
        <w:t xml:space="preserve"> </w:t>
      </w:r>
      <w:r w:rsidR="000B1E04" w:rsidRPr="009648FE">
        <w:t xml:space="preserve">be </w:t>
      </w:r>
      <w:r w:rsidR="006C7069" w:rsidRPr="009648FE">
        <w:t>the determining factor</w:t>
      </w:r>
      <w:r w:rsidR="00B822C4" w:rsidRPr="009648FE">
        <w:t xml:space="preserve"> for that criterion</w:t>
      </w:r>
      <w:r w:rsidR="00872520">
        <w:t>,</w:t>
      </w:r>
      <w:r w:rsidR="00B425CB" w:rsidRPr="009648FE">
        <w:t xml:space="preserve"> in </w:t>
      </w:r>
      <w:r w:rsidR="00872520">
        <w:t>every case.</w:t>
      </w:r>
    </w:p>
    <w:p w14:paraId="3C4DAE7B" w14:textId="5A6FAD45" w:rsidR="000548D1" w:rsidRPr="00CF617C" w:rsidRDefault="00565774" w:rsidP="00385E08">
      <w:pPr>
        <w:pStyle w:val="P1-N1Paragraph1-Number1"/>
      </w:pPr>
      <w:r w:rsidRPr="009648FE">
        <w:t>In general terms</w:t>
      </w:r>
      <w:r w:rsidR="000161EC" w:rsidRPr="009648FE">
        <w:t xml:space="preserve">, </w:t>
      </w:r>
      <w:r w:rsidR="007541AD" w:rsidRPr="009648FE">
        <w:t>Aust</w:t>
      </w:r>
      <w:r w:rsidR="002D2470" w:rsidRPr="009648FE">
        <w:t>ralia</w:t>
      </w:r>
      <w:r w:rsidR="007541AD" w:rsidRPr="009648FE">
        <w:t xml:space="preserve"> finds the European Union</w:t>
      </w:r>
      <w:r w:rsidR="00101BCC" w:rsidRPr="009648FE">
        <w:t>'</w:t>
      </w:r>
      <w:r w:rsidR="007541AD" w:rsidRPr="009648FE">
        <w:t xml:space="preserve">s </w:t>
      </w:r>
      <w:r w:rsidR="00C35B5C" w:rsidRPr="009648FE">
        <w:t>position</w:t>
      </w:r>
      <w:r w:rsidR="000F5D71" w:rsidRPr="009648FE">
        <w:t xml:space="preserve"> </w:t>
      </w:r>
      <w:r w:rsidR="009E01FD" w:rsidRPr="009648FE">
        <w:t>regarding</w:t>
      </w:r>
      <w:r w:rsidR="00C35B5C" w:rsidRPr="009648FE">
        <w:t xml:space="preserve"> the</w:t>
      </w:r>
      <w:r w:rsidR="00F938C9" w:rsidRPr="009648FE">
        <w:t xml:space="preserve"> importance of </w:t>
      </w:r>
      <w:r w:rsidR="00B84C8F" w:rsidRPr="009648FE">
        <w:t>"</w:t>
      </w:r>
      <w:r w:rsidR="00F938C9" w:rsidRPr="009648FE">
        <w:t>a</w:t>
      </w:r>
      <w:r w:rsidR="00FB6B7D" w:rsidRPr="009648FE">
        <w:t xml:space="preserve"> </w:t>
      </w:r>
      <w:r w:rsidR="007E3D2C">
        <w:t xml:space="preserve">broader </w:t>
      </w:r>
      <w:r w:rsidR="00FB6B7D" w:rsidRPr="009648FE">
        <w:t xml:space="preserve">consideration of the functions which would typically be considered to have </w:t>
      </w:r>
      <w:r w:rsidR="002D2470" w:rsidRPr="009648FE">
        <w:t xml:space="preserve">[a] </w:t>
      </w:r>
      <w:r w:rsidR="00101BCC" w:rsidRPr="009648FE">
        <w:t>'</w:t>
      </w:r>
      <w:r w:rsidR="002D2470" w:rsidRPr="009648FE">
        <w:t>governmental</w:t>
      </w:r>
      <w:r w:rsidR="009A1BE9" w:rsidRPr="009648FE">
        <w:t>'</w:t>
      </w:r>
      <w:r w:rsidR="002D2470" w:rsidRPr="009648FE">
        <w:t xml:space="preserve"> quality</w:t>
      </w:r>
      <w:r w:rsidR="00B84C8F" w:rsidRPr="009648FE">
        <w:t>"</w:t>
      </w:r>
      <w:r w:rsidR="00F938C9" w:rsidRPr="009648FE">
        <w:rPr>
          <w:rStyle w:val="FootnoteReference"/>
        </w:rPr>
        <w:footnoteReference w:id="19"/>
      </w:r>
      <w:r w:rsidR="002D2470" w:rsidRPr="009648FE">
        <w:t xml:space="preserve"> </w:t>
      </w:r>
      <w:r w:rsidR="006A3AD9" w:rsidRPr="009648FE">
        <w:t xml:space="preserve">in Article 1.1(a)(1)(iv) </w:t>
      </w:r>
      <w:r w:rsidR="000F5D71" w:rsidRPr="009648FE">
        <w:t xml:space="preserve">- </w:t>
      </w:r>
      <w:r w:rsidR="002D2470" w:rsidRPr="009648FE">
        <w:t>to be</w:t>
      </w:r>
      <w:r w:rsidR="00232AF5" w:rsidRPr="009648FE">
        <w:t xml:space="preserve"> </w:t>
      </w:r>
      <w:r w:rsidR="006A3AD9" w:rsidRPr="009648FE">
        <w:t>logically</w:t>
      </w:r>
      <w:r w:rsidR="002D2470" w:rsidRPr="009648FE">
        <w:t xml:space="preserve"> compelling</w:t>
      </w:r>
      <w:r w:rsidR="007541AD" w:rsidRPr="009648FE">
        <w:t xml:space="preserve">. </w:t>
      </w:r>
      <w:r w:rsidR="00005C49" w:rsidRPr="009648FE">
        <w:t xml:space="preserve">Otherwise, </w:t>
      </w:r>
      <w:r w:rsidR="006A3AD9" w:rsidRPr="009648FE">
        <w:t>th</w:t>
      </w:r>
      <w:r w:rsidR="001A0681" w:rsidRPr="009648FE">
        <w:t xml:space="preserve">at provision </w:t>
      </w:r>
      <w:r w:rsidR="007C592E" w:rsidRPr="009648FE">
        <w:t xml:space="preserve">might </w:t>
      </w:r>
      <w:r w:rsidR="001A0681" w:rsidRPr="009648FE">
        <w:t xml:space="preserve">be </w:t>
      </w:r>
      <w:r w:rsidR="004D70E4" w:rsidRPr="009648FE">
        <w:t>applicable only</w:t>
      </w:r>
      <w:r w:rsidR="005D396E" w:rsidRPr="009648FE">
        <w:t xml:space="preserve"> to situations w</w:t>
      </w:r>
      <w:r w:rsidR="00972907" w:rsidRPr="009648FE">
        <w:t>here a Member</w:t>
      </w:r>
      <w:r w:rsidR="00101BCC" w:rsidRPr="009648FE">
        <w:t>'</w:t>
      </w:r>
      <w:r w:rsidR="00972907" w:rsidRPr="009648FE">
        <w:t>s</w:t>
      </w:r>
      <w:r w:rsidR="00972907" w:rsidRPr="00CF617C">
        <w:t xml:space="preserve"> circumvention was </w:t>
      </w:r>
      <w:r w:rsidR="009126EB" w:rsidRPr="00CF617C">
        <w:t>obvious</w:t>
      </w:r>
      <w:r w:rsidR="00BA5B22" w:rsidRPr="00CF617C">
        <w:t xml:space="preserve"> (e.g. through </w:t>
      </w:r>
      <w:r w:rsidR="00785F12">
        <w:t>direct</w:t>
      </w:r>
      <w:r w:rsidR="00BA5B22" w:rsidRPr="00CF617C">
        <w:t xml:space="preserve"> </w:t>
      </w:r>
      <w:r w:rsidR="00381BF4" w:rsidRPr="00CF617C">
        <w:t>transfer</w:t>
      </w:r>
      <w:r w:rsidR="00BA5B22" w:rsidRPr="00CF617C">
        <w:t xml:space="preserve"> of government conduct </w:t>
      </w:r>
      <w:r w:rsidR="00381BF4" w:rsidRPr="00CF617C">
        <w:t>to a</w:t>
      </w:r>
      <w:r w:rsidR="00BA5B22" w:rsidRPr="00CF617C">
        <w:t xml:space="preserve"> private entity)</w:t>
      </w:r>
      <w:r w:rsidR="00544B46" w:rsidRPr="00CF617C">
        <w:t xml:space="preserve"> </w:t>
      </w:r>
      <w:r w:rsidR="008A5DAE" w:rsidRPr="00CF617C">
        <w:t xml:space="preserve">– </w:t>
      </w:r>
      <w:r w:rsidR="00C74F76" w:rsidRPr="00CF617C">
        <w:t xml:space="preserve">effectively nullifying </w:t>
      </w:r>
      <w:r w:rsidR="00972907" w:rsidRPr="00CF617C">
        <w:t>it</w:t>
      </w:r>
      <w:r w:rsidR="000F5D71" w:rsidRPr="00CF617C">
        <w:t>s</w:t>
      </w:r>
      <w:r w:rsidR="00972907" w:rsidRPr="00CF617C">
        <w:t xml:space="preserve"> </w:t>
      </w:r>
      <w:r w:rsidR="00C35B5C" w:rsidRPr="00CF617C">
        <w:t xml:space="preserve">anti-circumvention </w:t>
      </w:r>
      <w:r w:rsidR="00C74F76" w:rsidRPr="00CF617C">
        <w:t>objective.</w:t>
      </w:r>
      <w:r w:rsidR="007541AD" w:rsidRPr="00CF617C">
        <w:t xml:space="preserve"> </w:t>
      </w:r>
    </w:p>
    <w:p w14:paraId="6BE7E157" w14:textId="40389F2E" w:rsidR="00061BDC" w:rsidRPr="00CF617C" w:rsidRDefault="00111B2E" w:rsidP="00385E08">
      <w:pPr>
        <w:pStyle w:val="P1-N1Paragraph1-Number1"/>
      </w:pPr>
      <w:r w:rsidRPr="00CF617C">
        <w:t xml:space="preserve">Nonetheless, </w:t>
      </w:r>
      <w:r w:rsidR="008A54AA" w:rsidRPr="00CF617C">
        <w:t xml:space="preserve">in </w:t>
      </w:r>
      <w:r w:rsidR="000548D1" w:rsidRPr="00CF617C">
        <w:t>Australia</w:t>
      </w:r>
      <w:r w:rsidR="00C77319" w:rsidRPr="00CF617C">
        <w:t>'</w:t>
      </w:r>
      <w:r w:rsidR="008A54AA" w:rsidRPr="00CF617C">
        <w:t xml:space="preserve">s view, </w:t>
      </w:r>
      <w:r w:rsidR="00AC061F" w:rsidRPr="00CF617C">
        <w:t>any reasoning based upon the</w:t>
      </w:r>
      <w:r w:rsidR="00D207B5" w:rsidRPr="00CF617C">
        <w:t xml:space="preserve"> "normally vested" criterion </w:t>
      </w:r>
      <w:r w:rsidR="00AC061F" w:rsidRPr="00CF617C">
        <w:t xml:space="preserve">must be properly applied </w:t>
      </w:r>
      <w:r w:rsidR="0081147B" w:rsidRPr="00CF617C">
        <w:t>to the facts</w:t>
      </w:r>
      <w:r w:rsidR="00CB01FD" w:rsidRPr="00CF617C">
        <w:t xml:space="preserve"> at question</w:t>
      </w:r>
      <w:r w:rsidR="0081147B" w:rsidRPr="00CF617C">
        <w:t>.</w:t>
      </w:r>
      <w:r w:rsidR="00D0359E" w:rsidRPr="00CF617C">
        <w:t xml:space="preserve"> </w:t>
      </w:r>
      <w:r w:rsidR="007C73AE" w:rsidRPr="00CF617C">
        <w:t xml:space="preserve">The focus of Australia's submission </w:t>
      </w:r>
      <w:r w:rsidR="00C21A64" w:rsidRPr="00CF617C">
        <w:t xml:space="preserve">in this regard </w:t>
      </w:r>
      <w:r w:rsidR="007C73AE" w:rsidRPr="00CF617C">
        <w:t>concerns the concept of national sovereignty over natural resources.</w:t>
      </w:r>
    </w:p>
    <w:p w14:paraId="3878A18D" w14:textId="35C671CE" w:rsidR="007B26F6" w:rsidRPr="00CF617C" w:rsidRDefault="003016B4" w:rsidP="00B47B6E">
      <w:pPr>
        <w:pStyle w:val="P1-N1Paragraph1-Number1"/>
      </w:pPr>
      <w:r w:rsidRPr="00CF617C">
        <w:t xml:space="preserve">Before </w:t>
      </w:r>
      <w:r w:rsidR="00994DD1" w:rsidRPr="00CF617C">
        <w:t>setting</w:t>
      </w:r>
      <w:r w:rsidR="001D38A9" w:rsidRPr="00CF617C">
        <w:t xml:space="preserve"> out</w:t>
      </w:r>
      <w:r w:rsidR="0095437A" w:rsidRPr="00CF617C">
        <w:t xml:space="preserve"> its</w:t>
      </w:r>
      <w:r w:rsidR="001D38A9" w:rsidRPr="00CF617C">
        <w:t xml:space="preserve"> </w:t>
      </w:r>
      <w:r w:rsidR="00082608" w:rsidRPr="00CF617C">
        <w:t xml:space="preserve">views </w:t>
      </w:r>
      <w:r w:rsidR="0081147B" w:rsidRPr="00CF617C">
        <w:t>on this point,</w:t>
      </w:r>
      <w:r w:rsidR="00082608" w:rsidRPr="00CF617C">
        <w:t xml:space="preserve"> </w:t>
      </w:r>
      <w:r w:rsidR="00B67C45" w:rsidRPr="00CF617C">
        <w:t>Australia</w:t>
      </w:r>
      <w:r w:rsidR="000F7972" w:rsidRPr="00CF617C">
        <w:t xml:space="preserve"> </w:t>
      </w:r>
      <w:r w:rsidRPr="00CF617C">
        <w:t xml:space="preserve">first </w:t>
      </w:r>
      <w:r w:rsidR="00A72A08" w:rsidRPr="00CF617C">
        <w:t>notes</w:t>
      </w:r>
      <w:r w:rsidR="000F7972" w:rsidRPr="00CF617C">
        <w:t xml:space="preserve"> significant diffe</w:t>
      </w:r>
      <w:r w:rsidR="008F27C8" w:rsidRPr="00CF617C">
        <w:t xml:space="preserve">rences between Indonesia </w:t>
      </w:r>
      <w:r w:rsidR="00591C60" w:rsidRPr="00CF617C">
        <w:t>and the Euro</w:t>
      </w:r>
      <w:r w:rsidR="0054745E" w:rsidRPr="00CF617C">
        <w:t>p</w:t>
      </w:r>
      <w:r w:rsidR="00591C60" w:rsidRPr="00CF617C">
        <w:t>ean Union</w:t>
      </w:r>
      <w:r w:rsidR="00896834" w:rsidRPr="00CF617C">
        <w:t xml:space="preserve"> regarding</w:t>
      </w:r>
      <w:r w:rsidR="00C80C83" w:rsidRPr="00CF617C">
        <w:t xml:space="preserve"> the relevant</w:t>
      </w:r>
      <w:r w:rsidR="008F27C8" w:rsidRPr="00CF617C">
        <w:t xml:space="preserve"> </w:t>
      </w:r>
      <w:r w:rsidR="00A72A08" w:rsidRPr="00CF617C">
        <w:t>"</w:t>
      </w:r>
      <w:r w:rsidR="008F27C8" w:rsidRPr="00CF617C">
        <w:t>function</w:t>
      </w:r>
      <w:r w:rsidR="00A72A08" w:rsidRPr="00CF617C">
        <w:t>"</w:t>
      </w:r>
      <w:r w:rsidR="008F27C8" w:rsidRPr="00CF617C">
        <w:t xml:space="preserve"> </w:t>
      </w:r>
      <w:r w:rsidR="005170C5" w:rsidRPr="00CF617C">
        <w:t xml:space="preserve">identified by </w:t>
      </w:r>
      <w:r w:rsidR="005170C5" w:rsidRPr="00CF617C">
        <w:lastRenderedPageBreak/>
        <w:t>the Commission</w:t>
      </w:r>
      <w:r w:rsidR="0074447D" w:rsidRPr="00CF617C">
        <w:t>.</w:t>
      </w:r>
      <w:r w:rsidR="008258CB" w:rsidRPr="00CF617C">
        <w:rPr>
          <w:rStyle w:val="FootnoteReference"/>
        </w:rPr>
        <w:footnoteReference w:id="20"/>
      </w:r>
      <w:r w:rsidR="008F27C8" w:rsidRPr="00CF617C">
        <w:t xml:space="preserve"> </w:t>
      </w:r>
      <w:r w:rsidR="000830A9" w:rsidRPr="00CF617C">
        <w:t xml:space="preserve">Without taking a view on </w:t>
      </w:r>
      <w:r w:rsidR="00E46EE9" w:rsidRPr="00CF617C">
        <w:t xml:space="preserve">either </w:t>
      </w:r>
      <w:r w:rsidR="00727E7B" w:rsidRPr="00CF617C">
        <w:t xml:space="preserve">identified </w:t>
      </w:r>
      <w:r w:rsidR="00E46EE9" w:rsidRPr="00CF617C">
        <w:t xml:space="preserve">position, Australia makes some </w:t>
      </w:r>
      <w:r w:rsidR="00D22026" w:rsidRPr="00CF617C">
        <w:t xml:space="preserve">observations </w:t>
      </w:r>
      <w:r w:rsidR="00E46EE9" w:rsidRPr="00CF617C">
        <w:t xml:space="preserve">which </w:t>
      </w:r>
      <w:r w:rsidR="00953C94" w:rsidRPr="00CF617C">
        <w:t xml:space="preserve">may </w:t>
      </w:r>
      <w:r w:rsidR="006F78D5" w:rsidRPr="00CF617C">
        <w:t>assist the</w:t>
      </w:r>
      <w:r w:rsidR="00661B09" w:rsidRPr="00CF617C">
        <w:t xml:space="preserve"> </w:t>
      </w:r>
      <w:r w:rsidR="005F20A4" w:rsidRPr="00CF617C">
        <w:t>Panel</w:t>
      </w:r>
      <w:r w:rsidR="00C21A64" w:rsidRPr="00CF617C">
        <w:t>.</w:t>
      </w:r>
    </w:p>
    <w:p w14:paraId="266A40F9" w14:textId="1A646F0F" w:rsidR="00061BDC" w:rsidRPr="00CF617C" w:rsidRDefault="005D3790" w:rsidP="00BF7D8B">
      <w:pPr>
        <w:pStyle w:val="P1-N1Paragraph1-Number1"/>
      </w:pPr>
      <w:r w:rsidRPr="009648FE">
        <w:t>In Australia</w:t>
      </w:r>
      <w:r w:rsidR="008E7CD2" w:rsidRPr="00CF617C">
        <w:t>'</w:t>
      </w:r>
      <w:r w:rsidRPr="009648FE">
        <w:t xml:space="preserve">s view, sovereign rights over natural resources </w:t>
      </w:r>
      <w:r w:rsidR="00EE238B" w:rsidRPr="009648FE">
        <w:t xml:space="preserve">do not </w:t>
      </w:r>
      <w:r w:rsidRPr="009648FE">
        <w:t>automatically extend to goods which are manufactured from those resources</w:t>
      </w:r>
      <w:r w:rsidR="00EE238B" w:rsidRPr="009648FE">
        <w:t xml:space="preserve"> (i.e. "downstream</w:t>
      </w:r>
      <w:r w:rsidR="00FB7387" w:rsidRPr="009648FE">
        <w:t xml:space="preserve"> goods</w:t>
      </w:r>
      <w:r w:rsidR="00EE238B" w:rsidRPr="009648FE">
        <w:t>").</w:t>
      </w:r>
      <w:r w:rsidRPr="009648FE">
        <w:t xml:space="preserve"> This </w:t>
      </w:r>
      <w:r w:rsidR="003D3B5B" w:rsidRPr="009648FE">
        <w:t>logic is</w:t>
      </w:r>
      <w:r w:rsidRPr="009648FE">
        <w:t xml:space="preserve"> </w:t>
      </w:r>
      <w:r w:rsidR="00535837" w:rsidRPr="009648FE">
        <w:t xml:space="preserve">broadly </w:t>
      </w:r>
      <w:r w:rsidRPr="009648FE">
        <w:t xml:space="preserve">illustrated through </w:t>
      </w:r>
      <w:r w:rsidR="00BF7D8B" w:rsidRPr="009648FE">
        <w:t xml:space="preserve">the Appellate Body's </w:t>
      </w:r>
      <w:r w:rsidR="003A4BF2" w:rsidRPr="009648FE">
        <w:t xml:space="preserve">related </w:t>
      </w:r>
      <w:r w:rsidR="00BF7D8B" w:rsidRPr="009648FE">
        <w:t>analysis of</w:t>
      </w:r>
      <w:r w:rsidR="00661D4C" w:rsidRPr="009648FE">
        <w:t xml:space="preserve"> </w:t>
      </w:r>
      <w:r w:rsidR="00C71A0B" w:rsidRPr="009648FE">
        <w:t xml:space="preserve">the government </w:t>
      </w:r>
      <w:r w:rsidR="009A477A" w:rsidRPr="009648FE">
        <w:t xml:space="preserve">"making available" </w:t>
      </w:r>
      <w:r w:rsidR="00C71A0B" w:rsidRPr="009648FE">
        <w:t>goods which are natural resources</w:t>
      </w:r>
      <w:r w:rsidR="00A16430" w:rsidRPr="009648FE">
        <w:t>,</w:t>
      </w:r>
      <w:r w:rsidR="00C71A0B" w:rsidRPr="009648FE">
        <w:t xml:space="preserve"> under subparagraph (iii)</w:t>
      </w:r>
      <w:r w:rsidR="00BF7D8B" w:rsidRPr="009648FE">
        <w:t xml:space="preserve"> of Article 1.1(a)(1)</w:t>
      </w:r>
      <w:r w:rsidR="00C71A0B" w:rsidRPr="009648FE">
        <w:t>.</w:t>
      </w:r>
      <w:r w:rsidR="001958CD" w:rsidRPr="009648FE">
        <w:rPr>
          <w:rStyle w:val="FootnoteReference"/>
        </w:rPr>
        <w:footnoteReference w:id="21"/>
      </w:r>
      <w:r w:rsidR="00C71A0B" w:rsidRPr="009648FE">
        <w:t xml:space="preserve"> </w:t>
      </w:r>
      <w:r w:rsidR="00B41913" w:rsidRPr="009648FE">
        <w:t>Previous</w:t>
      </w:r>
      <w:r w:rsidR="00B41913" w:rsidRPr="00CF617C">
        <w:t xml:space="preserve"> disputes addressing </w:t>
      </w:r>
      <w:r w:rsidR="00661D4C" w:rsidRPr="00CF617C">
        <w:t>such</w:t>
      </w:r>
      <w:r w:rsidR="00C71A0B" w:rsidRPr="00CF617C">
        <w:t xml:space="preserve"> facts</w:t>
      </w:r>
      <w:r w:rsidR="005448EE" w:rsidRPr="00CF617C">
        <w:rPr>
          <w:rStyle w:val="FootnoteReference"/>
        </w:rPr>
        <w:footnoteReference w:id="22"/>
      </w:r>
      <w:r w:rsidR="00C71A0B" w:rsidRPr="00CF617C">
        <w:t xml:space="preserve"> </w:t>
      </w:r>
      <w:r w:rsidR="00E3667A" w:rsidRPr="00CF617C">
        <w:t xml:space="preserve">have </w:t>
      </w:r>
      <w:r w:rsidR="00061BDC" w:rsidRPr="00CF617C">
        <w:t>established a requirement for a</w:t>
      </w:r>
      <w:r w:rsidR="00E3667A" w:rsidRPr="00CF617C">
        <w:t xml:space="preserve"> "reasonably proximate relationship" between </w:t>
      </w:r>
      <w:r w:rsidR="007A25B7" w:rsidRPr="00CF617C">
        <w:t xml:space="preserve">the </w:t>
      </w:r>
      <w:r w:rsidR="00F32A67" w:rsidRPr="00CF617C">
        <w:t xml:space="preserve">relevant governmental act and </w:t>
      </w:r>
      <w:r w:rsidR="00E3667A" w:rsidRPr="00CF617C">
        <w:t>the output</w:t>
      </w:r>
      <w:r w:rsidR="005A47C0" w:rsidRPr="00CF617C">
        <w:t xml:space="preserve"> </w:t>
      </w:r>
      <w:r w:rsidR="003A0236" w:rsidRPr="00CF617C">
        <w:t>(i.e. "good"</w:t>
      </w:r>
      <w:r w:rsidR="00F916A0" w:rsidRPr="00CF617C">
        <w:t xml:space="preserve"> under subparagraph </w:t>
      </w:r>
      <w:r w:rsidR="00624FA2" w:rsidRPr="00CF617C">
        <w:t>(</w:t>
      </w:r>
      <w:r w:rsidR="00F916A0" w:rsidRPr="00CF617C">
        <w:t>iii)).</w:t>
      </w:r>
      <w:r w:rsidR="00E3667A" w:rsidRPr="00CF617C">
        <w:rPr>
          <w:rStyle w:val="FootnoteReference"/>
        </w:rPr>
        <w:footnoteReference w:id="23"/>
      </w:r>
      <w:r w:rsidR="00E3667A" w:rsidRPr="00CF617C">
        <w:t xml:space="preserve"> </w:t>
      </w:r>
      <w:r w:rsidR="00CB777A" w:rsidRPr="00CF617C">
        <w:t xml:space="preserve">In those circumstances, </w:t>
      </w:r>
      <w:r w:rsidR="009B0E09" w:rsidRPr="00CF617C">
        <w:t>"</w:t>
      </w:r>
      <w:r w:rsidR="00CB777A" w:rsidRPr="00CF617C">
        <w:t>a</w:t>
      </w:r>
      <w:r w:rsidR="00E3667A" w:rsidRPr="00CF617C">
        <w:t xml:space="preserve"> government must have some control over the </w:t>
      </w:r>
      <w:r w:rsidR="00E3667A" w:rsidRPr="00CF617C">
        <w:rPr>
          <w:i/>
          <w:iCs/>
        </w:rPr>
        <w:t xml:space="preserve">availability </w:t>
      </w:r>
      <w:r w:rsidR="00E3667A" w:rsidRPr="00CF617C">
        <w:t>of a specific thing being 'made available'"</w:t>
      </w:r>
      <w:r w:rsidR="00E3667A" w:rsidRPr="00CF617C">
        <w:rPr>
          <w:rStyle w:val="FootnoteReference"/>
        </w:rPr>
        <w:footnoteReference w:id="24"/>
      </w:r>
      <w:r w:rsidR="00E3667A" w:rsidRPr="00CF617C">
        <w:t xml:space="preserve"> in order to be able to </w:t>
      </w:r>
      <w:r w:rsidR="00C6172B" w:rsidRPr="00CF617C">
        <w:t>"</w:t>
      </w:r>
      <w:r w:rsidR="009A477A" w:rsidRPr="00CF617C">
        <w:t>make available</w:t>
      </w:r>
      <w:r w:rsidR="00C6172B" w:rsidRPr="00CF617C">
        <w:t>"</w:t>
      </w:r>
      <w:r w:rsidR="00BA0445" w:rsidRPr="00CF617C">
        <w:t xml:space="preserve"> that</w:t>
      </w:r>
      <w:r w:rsidR="00BA0445" w:rsidRPr="00CF617C">
        <w:rPr>
          <w:i/>
          <w:iCs/>
        </w:rPr>
        <w:t xml:space="preserve"> </w:t>
      </w:r>
      <w:r w:rsidR="00BA0445" w:rsidRPr="00CF617C">
        <w:t>goo</w:t>
      </w:r>
      <w:r w:rsidR="006C6837" w:rsidRPr="00CF617C">
        <w:t>d</w:t>
      </w:r>
      <w:r w:rsidR="00BA0445" w:rsidRPr="00CF617C">
        <w:t>.</w:t>
      </w:r>
      <w:r w:rsidR="00896F5C" w:rsidRPr="00CF617C">
        <w:t xml:space="preserve"> </w:t>
      </w:r>
    </w:p>
    <w:p w14:paraId="38825104" w14:textId="1830F333" w:rsidR="0009626E" w:rsidRPr="00CF617C" w:rsidRDefault="00A63C57" w:rsidP="00DD6E87">
      <w:pPr>
        <w:pStyle w:val="P1-N1Paragraph1-Number1"/>
      </w:pPr>
      <w:r w:rsidRPr="00CF617C">
        <w:t>In the same vein,</w:t>
      </w:r>
      <w:r w:rsidR="005D3790" w:rsidRPr="00CF617C">
        <w:t xml:space="preserve"> Australia finds it hard to reconcile any argument which seeks to automatically extend a "governmental function" </w:t>
      </w:r>
      <w:r w:rsidRPr="00CF617C">
        <w:t>linked to</w:t>
      </w:r>
      <w:r w:rsidR="005D3790" w:rsidRPr="00CF617C">
        <w:t xml:space="preserve"> sovereignty over natural resources, to cover</w:t>
      </w:r>
      <w:r w:rsidR="00C5646D" w:rsidRPr="00CF617C">
        <w:t xml:space="preserve"> </w:t>
      </w:r>
      <w:r w:rsidR="005D3790" w:rsidRPr="00CF617C">
        <w:t xml:space="preserve">products </w:t>
      </w:r>
      <w:r w:rsidR="00C5646D" w:rsidRPr="00CF617C">
        <w:t xml:space="preserve">manufactured </w:t>
      </w:r>
      <w:r w:rsidR="0064331B" w:rsidRPr="00CF617C">
        <w:t xml:space="preserve">by third parties, </w:t>
      </w:r>
      <w:r w:rsidR="00C5646D" w:rsidRPr="00CF617C">
        <w:t>from</w:t>
      </w:r>
      <w:r w:rsidR="000B01D3" w:rsidRPr="00CF617C">
        <w:t xml:space="preserve"> </w:t>
      </w:r>
      <w:r w:rsidR="00557CB4" w:rsidRPr="00CF617C">
        <w:t>those</w:t>
      </w:r>
      <w:r w:rsidR="005D3790" w:rsidRPr="00CF617C">
        <w:t xml:space="preserve"> resources. </w:t>
      </w:r>
      <w:r w:rsidR="000B01D3" w:rsidRPr="00CF617C">
        <w:t xml:space="preserve">Let alone, products which are </w:t>
      </w:r>
      <w:r w:rsidR="00F10220" w:rsidRPr="00CF617C">
        <w:t xml:space="preserve">manufactured </w:t>
      </w:r>
      <w:r w:rsidR="000B01D3" w:rsidRPr="00CF617C">
        <w:t xml:space="preserve">from </w:t>
      </w:r>
      <w:r w:rsidR="00526E28" w:rsidRPr="00CF617C">
        <w:t xml:space="preserve">resources harvested from </w:t>
      </w:r>
      <w:r w:rsidR="000B01D3" w:rsidRPr="00CF617C">
        <w:t>plantation</w:t>
      </w:r>
      <w:r w:rsidR="007D793F" w:rsidRPr="00CF617C">
        <w:t xml:space="preserve">s. </w:t>
      </w:r>
      <w:r w:rsidR="007839C2" w:rsidRPr="00CF617C">
        <w:t xml:space="preserve">While Australia forms no conclusions on the facts, CPO </w:t>
      </w:r>
      <w:r w:rsidR="00333B4D" w:rsidRPr="00CF617C">
        <w:t>would generally seem to have the characteristics of</w:t>
      </w:r>
      <w:r w:rsidR="007839C2" w:rsidRPr="00CF617C">
        <w:t xml:space="preserve"> a </w:t>
      </w:r>
      <w:r w:rsidR="00F10220" w:rsidRPr="00CF617C">
        <w:t xml:space="preserve">manufactured (i.e. processed) </w:t>
      </w:r>
      <w:r w:rsidR="007839C2" w:rsidRPr="00CF617C">
        <w:t xml:space="preserve">product. </w:t>
      </w:r>
    </w:p>
    <w:p w14:paraId="6AF856C7" w14:textId="7BCD0350" w:rsidR="001505E3" w:rsidRPr="00CF617C" w:rsidRDefault="00252099" w:rsidP="00B071BD">
      <w:pPr>
        <w:pStyle w:val="HL2HeadingLevel2"/>
      </w:pPr>
      <w:bookmarkStart w:id="10" w:name="_Toc173163522"/>
      <w:r w:rsidRPr="00CF617C">
        <w:t>"</w:t>
      </w:r>
      <w:r w:rsidR="00A70D86" w:rsidRPr="00CF617C">
        <w:t>Entrust</w:t>
      </w:r>
      <w:r w:rsidR="00B05867" w:rsidRPr="00CF617C">
        <w:t>s or directs</w:t>
      </w:r>
      <w:r w:rsidRPr="00CF617C">
        <w:t>"</w:t>
      </w:r>
      <w:bookmarkEnd w:id="10"/>
    </w:p>
    <w:p w14:paraId="3DA25D99" w14:textId="60ECDEE9" w:rsidR="00BD3001" w:rsidRPr="00CF617C" w:rsidRDefault="00675F59" w:rsidP="00BD3001">
      <w:pPr>
        <w:pStyle w:val="P1-N1Paragraph1-Number1"/>
        <w:rPr>
          <w:b/>
          <w:bCs/>
        </w:rPr>
      </w:pPr>
      <w:r w:rsidRPr="00CF617C">
        <w:t>The parties also di</w:t>
      </w:r>
      <w:r w:rsidR="0056311F" w:rsidRPr="00CF617C">
        <w:t>verge</w:t>
      </w:r>
      <w:r w:rsidRPr="00CF617C">
        <w:t xml:space="preserve"> </w:t>
      </w:r>
      <w:r w:rsidR="00971F04" w:rsidRPr="00CF617C">
        <w:t xml:space="preserve">to some extent on </w:t>
      </w:r>
      <w:r w:rsidR="0056311F" w:rsidRPr="00CF617C">
        <w:t>the scope of the legal standard</w:t>
      </w:r>
      <w:r w:rsidR="00C13DB2" w:rsidRPr="00CF617C">
        <w:t xml:space="preserve"> </w:t>
      </w:r>
      <w:r w:rsidR="00714B6A" w:rsidRPr="00CF617C">
        <w:t>of the phrase</w:t>
      </w:r>
      <w:r w:rsidR="00C13DB2" w:rsidRPr="00CF617C">
        <w:t xml:space="preserve"> </w:t>
      </w:r>
      <w:r w:rsidR="00252099" w:rsidRPr="00CF617C">
        <w:t>"</w:t>
      </w:r>
      <w:r w:rsidR="00714B6A" w:rsidRPr="00CF617C">
        <w:t>entrusts o</w:t>
      </w:r>
      <w:r w:rsidR="00971F04" w:rsidRPr="00CF617C">
        <w:t>r</w:t>
      </w:r>
      <w:r w:rsidR="00714B6A" w:rsidRPr="00CF617C">
        <w:t xml:space="preserve"> directs</w:t>
      </w:r>
      <w:r w:rsidR="00252099" w:rsidRPr="00CF617C">
        <w:t>"</w:t>
      </w:r>
      <w:r w:rsidR="00714B6A" w:rsidRPr="00CF617C">
        <w:t xml:space="preserve"> under</w:t>
      </w:r>
      <w:r w:rsidR="00C13DB2" w:rsidRPr="00CF617C">
        <w:t xml:space="preserve"> Article</w:t>
      </w:r>
      <w:r w:rsidR="005F7A21" w:rsidRPr="00CF617C">
        <w:t xml:space="preserve"> </w:t>
      </w:r>
      <w:r w:rsidR="00C13DB2" w:rsidRPr="00CF617C">
        <w:t>1.1(a)(1)(iv).</w:t>
      </w:r>
      <w:r w:rsidR="00432AED" w:rsidRPr="00CF617C">
        <w:t xml:space="preserve"> </w:t>
      </w:r>
      <w:r w:rsidR="000C68FC" w:rsidRPr="00CF617C">
        <w:t xml:space="preserve">Indonesia argues that </w:t>
      </w:r>
      <w:r w:rsidR="001C34BB" w:rsidRPr="00CF617C">
        <w:t xml:space="preserve">a finding of entrustment or direction </w:t>
      </w:r>
      <w:r w:rsidR="00714B6A" w:rsidRPr="00CF617C">
        <w:t xml:space="preserve">by the Commission </w:t>
      </w:r>
      <w:r w:rsidR="001C34BB" w:rsidRPr="00CF617C">
        <w:t xml:space="preserve">in this context required </w:t>
      </w:r>
      <w:r w:rsidR="00252099" w:rsidRPr="00CF617C">
        <w:t>"</w:t>
      </w:r>
      <w:r w:rsidR="00C700B1" w:rsidRPr="00CF617C">
        <w:t>'</w:t>
      </w:r>
      <w:r w:rsidR="001C34BB" w:rsidRPr="00CF617C">
        <w:t>an explicit and affirmative action of delegation or command</w:t>
      </w:r>
      <w:r w:rsidR="00C700B1" w:rsidRPr="00CF617C">
        <w:t>'</w:t>
      </w:r>
      <w:r w:rsidR="001C34BB" w:rsidRPr="00CF617C">
        <w:t xml:space="preserve"> on the part of the GOI </w:t>
      </w:r>
      <w:r w:rsidR="00DD3079" w:rsidRPr="00CF617C">
        <w:t xml:space="preserve">to the Indonesian CPO </w:t>
      </w:r>
      <w:r w:rsidR="00DD3079" w:rsidRPr="00CF617C">
        <w:lastRenderedPageBreak/>
        <w:t>producers</w:t>
      </w:r>
      <w:r w:rsidR="00EE16CF" w:rsidRPr="00CF617C">
        <w:t>"</w:t>
      </w:r>
      <w:r w:rsidR="00E15679">
        <w:t>.</w:t>
      </w:r>
      <w:r w:rsidR="00DD3079" w:rsidRPr="00CF617C">
        <w:rPr>
          <w:rStyle w:val="FootnoteReference"/>
        </w:rPr>
        <w:footnoteReference w:id="25"/>
      </w:r>
      <w:r w:rsidR="00BD3001" w:rsidRPr="00CF617C">
        <w:t xml:space="preserve"> The European Union </w:t>
      </w:r>
      <w:r w:rsidR="0087104C" w:rsidRPr="00CF617C">
        <w:t xml:space="preserve">counters that </w:t>
      </w:r>
      <w:r w:rsidR="00EE16CF" w:rsidRPr="00CF617C">
        <w:t>"</w:t>
      </w:r>
      <w:r w:rsidR="001E031A" w:rsidRPr="00CF617C">
        <w:t xml:space="preserve">more subtle forms of </w:t>
      </w:r>
      <w:r w:rsidR="00C700B1" w:rsidRPr="00CF617C">
        <w:t>'</w:t>
      </w:r>
      <w:r w:rsidR="001E031A" w:rsidRPr="00CF617C">
        <w:t>direction</w:t>
      </w:r>
      <w:r w:rsidR="00C700B1" w:rsidRPr="00CF617C">
        <w:t>'</w:t>
      </w:r>
      <w:r w:rsidR="001E031A" w:rsidRPr="00CF617C">
        <w:t xml:space="preserve"> and </w:t>
      </w:r>
      <w:r w:rsidR="00C700B1" w:rsidRPr="00CF617C">
        <w:t>'</w:t>
      </w:r>
      <w:r w:rsidR="001E031A" w:rsidRPr="00CF617C">
        <w:t>entrustment</w:t>
      </w:r>
      <w:r w:rsidR="00C700B1" w:rsidRPr="00CF617C">
        <w:t>'</w:t>
      </w:r>
      <w:r w:rsidR="001E031A" w:rsidRPr="00CF617C">
        <w:t xml:space="preserve"> should not be excluded from [the standard</w:t>
      </w:r>
      <w:r w:rsidR="008274BF" w:rsidRPr="00CF617C">
        <w:t>'</w:t>
      </w:r>
      <w:r w:rsidR="001E031A" w:rsidRPr="00CF617C">
        <w:t>s] scope</w:t>
      </w:r>
      <w:r w:rsidR="00EE16CF" w:rsidRPr="00CF617C">
        <w:t>"</w:t>
      </w:r>
      <w:r w:rsidR="001E031A" w:rsidRPr="00CF617C">
        <w:t>,</w:t>
      </w:r>
      <w:r w:rsidR="00A80A2D" w:rsidRPr="00CF617C">
        <w:rPr>
          <w:rStyle w:val="FootnoteReference"/>
        </w:rPr>
        <w:footnoteReference w:id="26"/>
      </w:r>
      <w:r w:rsidR="001E031A" w:rsidRPr="00CF617C">
        <w:t xml:space="preserve"> referring</w:t>
      </w:r>
      <w:r w:rsidR="009F19B9" w:rsidRPr="00CF617C">
        <w:t>,</w:t>
      </w:r>
      <w:r w:rsidR="001E031A" w:rsidRPr="00CF617C">
        <w:t xml:space="preserve"> </w:t>
      </w:r>
      <w:r w:rsidR="009F19B9" w:rsidRPr="00CF617C">
        <w:rPr>
          <w:i/>
          <w:iCs/>
        </w:rPr>
        <w:t>inter alia</w:t>
      </w:r>
      <w:r w:rsidR="009F19B9" w:rsidRPr="00CF617C">
        <w:t xml:space="preserve">, </w:t>
      </w:r>
      <w:r w:rsidR="00C700B1" w:rsidRPr="00CF617C">
        <w:t>to</w:t>
      </w:r>
      <w:r w:rsidR="001E031A" w:rsidRPr="00CF617C">
        <w:t xml:space="preserve"> the efficacy of Article</w:t>
      </w:r>
      <w:r w:rsidR="00D56D2C" w:rsidRPr="00CF617C">
        <w:t xml:space="preserve"> </w:t>
      </w:r>
      <w:r w:rsidR="001E031A" w:rsidRPr="00CF617C">
        <w:t>1.1(a)(1)(iv)</w:t>
      </w:r>
      <w:r w:rsidR="00A80A2D" w:rsidRPr="00CF617C">
        <w:rPr>
          <w:rStyle w:val="FootnoteReference"/>
        </w:rPr>
        <w:footnoteReference w:id="27"/>
      </w:r>
      <w:r w:rsidR="00DE6168" w:rsidRPr="00CF617C">
        <w:t xml:space="preserve"> and to the </w:t>
      </w:r>
      <w:r w:rsidR="00BD3001" w:rsidRPr="00CF617C">
        <w:t>Appellate Body</w:t>
      </w:r>
      <w:r w:rsidR="00D57BCB" w:rsidRPr="00CF617C">
        <w:t>'</w:t>
      </w:r>
      <w:r w:rsidR="00BD3001" w:rsidRPr="00CF617C">
        <w:t xml:space="preserve">s statements in </w:t>
      </w:r>
      <w:r w:rsidR="00BD3001" w:rsidRPr="00CF617C">
        <w:rPr>
          <w:i/>
          <w:iCs/>
        </w:rPr>
        <w:t>US</w:t>
      </w:r>
      <w:r w:rsidR="0036064D">
        <w:rPr>
          <w:i/>
          <w:iCs/>
        </w:rPr>
        <w:t> - </w:t>
      </w:r>
      <w:r w:rsidR="00BD3001" w:rsidRPr="00CF617C">
        <w:rPr>
          <w:i/>
          <w:iCs/>
        </w:rPr>
        <w:t>Countervailing Duty Investigation on DRAMS</w:t>
      </w:r>
      <w:r w:rsidR="00BD3001" w:rsidRPr="00CF617C">
        <w:t xml:space="preserve"> in support of its</w:t>
      </w:r>
      <w:r w:rsidR="00DE6168" w:rsidRPr="00CF617C">
        <w:t xml:space="preserve"> position.</w:t>
      </w:r>
      <w:r w:rsidR="00A93605" w:rsidRPr="00CF617C">
        <w:rPr>
          <w:rStyle w:val="FootnoteReference"/>
        </w:rPr>
        <w:footnoteReference w:id="28"/>
      </w:r>
    </w:p>
    <w:p w14:paraId="5E2C0AA0" w14:textId="4358DA61" w:rsidR="00592FE9" w:rsidRPr="00CF617C" w:rsidRDefault="007408FD" w:rsidP="00592FE9">
      <w:pPr>
        <w:pStyle w:val="P1-N1Paragraph1-Number1"/>
        <w:rPr>
          <w:b/>
          <w:bCs/>
        </w:rPr>
      </w:pPr>
      <w:r w:rsidRPr="00CF617C">
        <w:t xml:space="preserve">Australia </w:t>
      </w:r>
      <w:r w:rsidR="00B57829" w:rsidRPr="00CF617C">
        <w:t xml:space="preserve">agrees with </w:t>
      </w:r>
      <w:r w:rsidR="0093136E" w:rsidRPr="00CF617C">
        <w:t>the</w:t>
      </w:r>
      <w:r w:rsidRPr="00CF617C">
        <w:t xml:space="preserve"> European Union</w:t>
      </w:r>
      <w:r w:rsidR="004F2D08" w:rsidRPr="00CF617C">
        <w:t>'</w:t>
      </w:r>
      <w:r w:rsidRPr="00CF617C">
        <w:t>s</w:t>
      </w:r>
      <w:r w:rsidR="00B0369C" w:rsidRPr="00CF617C">
        <w:t xml:space="preserve"> broader</w:t>
      </w:r>
      <w:r w:rsidRPr="00CF617C">
        <w:t xml:space="preserve"> interpretation</w:t>
      </w:r>
      <w:r w:rsidR="00B0369C" w:rsidRPr="00CF617C">
        <w:t xml:space="preserve"> of entrustment or direction</w:t>
      </w:r>
      <w:r w:rsidR="001B4163">
        <w:t>,</w:t>
      </w:r>
      <w:r w:rsidR="00663D59" w:rsidRPr="00CF617C">
        <w:rPr>
          <w:rStyle w:val="FootnoteReference"/>
        </w:rPr>
        <w:footnoteReference w:id="29"/>
      </w:r>
      <w:r w:rsidR="004721AB" w:rsidRPr="00CF617C">
        <w:t xml:space="preserve"> which is supported by </w:t>
      </w:r>
      <w:r w:rsidR="00311892" w:rsidRPr="00CF617C">
        <w:t xml:space="preserve">the </w:t>
      </w:r>
      <w:r w:rsidR="004721AB" w:rsidRPr="00CF617C">
        <w:t xml:space="preserve">ordinary meaning of </w:t>
      </w:r>
      <w:r w:rsidR="00AA19D9">
        <w:t>those term</w:t>
      </w:r>
      <w:r w:rsidR="00E03F28">
        <w:t>s</w:t>
      </w:r>
      <w:r w:rsidR="004721AB" w:rsidRPr="00CF617C">
        <w:t>.</w:t>
      </w:r>
      <w:r w:rsidR="00874C84" w:rsidRPr="00CF617C">
        <w:t xml:space="preserve"> </w:t>
      </w:r>
      <w:r w:rsidR="00531D91" w:rsidRPr="00CF617C">
        <w:t xml:space="preserve">According to the Oxford English Dictionary, "entrust" </w:t>
      </w:r>
      <w:r w:rsidR="001A2935" w:rsidRPr="00CF617C">
        <w:t>means to "assign the responsibility for something</w:t>
      </w:r>
      <w:r w:rsidR="004A3AAB">
        <w:t xml:space="preserve"> …</w:t>
      </w:r>
      <w:r w:rsidR="001A2935" w:rsidRPr="00CF617C">
        <w:t>"</w:t>
      </w:r>
      <w:r w:rsidR="00360C18" w:rsidRPr="00CF617C">
        <w:t>. The term</w:t>
      </w:r>
      <w:r w:rsidR="00175763" w:rsidRPr="00CF617C">
        <w:t xml:space="preserve"> </w:t>
      </w:r>
      <w:r w:rsidR="001A2935" w:rsidRPr="00CF617C">
        <w:t xml:space="preserve">"direct" </w:t>
      </w:r>
      <w:r w:rsidR="00175763" w:rsidRPr="00CF617C">
        <w:t>can mean "</w:t>
      </w:r>
      <w:r w:rsidR="003E323F" w:rsidRPr="00CF617C">
        <w:t xml:space="preserve">to give directions", "to give </w:t>
      </w:r>
      <w:r w:rsidR="004A30EF" w:rsidRPr="00CF617C">
        <w:t>authoritative</w:t>
      </w:r>
      <w:r w:rsidR="003E323F" w:rsidRPr="00CF617C">
        <w:t xml:space="preserve"> instructions to</w:t>
      </w:r>
      <w:r w:rsidR="004A30EF" w:rsidRPr="00CF617C">
        <w:t>"</w:t>
      </w:r>
      <w:r w:rsidR="005970C1" w:rsidRPr="00CF617C">
        <w:t>, to "</w:t>
      </w:r>
      <w:r w:rsidR="008F43E9" w:rsidRPr="00CF617C">
        <w:t xml:space="preserve">regulate, control, govern the actions of" </w:t>
      </w:r>
      <w:r w:rsidR="00F40863" w:rsidRPr="00CF617C">
        <w:t>and "to regulate the course of</w:t>
      </w:r>
      <w:r w:rsidR="004564F1" w:rsidRPr="00CF617C">
        <w:t>".</w:t>
      </w:r>
      <w:r w:rsidR="004564F1" w:rsidRPr="00CF617C">
        <w:rPr>
          <w:rStyle w:val="FootnoteReference"/>
        </w:rPr>
        <w:footnoteReference w:id="30"/>
      </w:r>
      <w:r w:rsidR="00175763" w:rsidRPr="00CF617C">
        <w:t xml:space="preserve"> </w:t>
      </w:r>
      <w:r w:rsidR="004564F1" w:rsidRPr="00CF617C">
        <w:t>N</w:t>
      </w:r>
      <w:r w:rsidR="00332D2B" w:rsidRPr="00CF617C">
        <w:t>otably, n</w:t>
      </w:r>
      <w:r w:rsidR="004564F1" w:rsidRPr="00CF617C">
        <w:t xml:space="preserve">either term </w:t>
      </w:r>
      <w:r w:rsidR="00667F76" w:rsidRPr="00CF617C">
        <w:t>excludes subtle</w:t>
      </w:r>
      <w:r w:rsidR="000E119F" w:rsidRPr="00CF617C">
        <w:t xml:space="preserve"> or informal</w:t>
      </w:r>
      <w:r w:rsidR="00667F76" w:rsidRPr="00CF617C">
        <w:t xml:space="preserve"> forms of communication.</w:t>
      </w:r>
      <w:r w:rsidR="00747A15" w:rsidRPr="00CF617C">
        <w:rPr>
          <w:rStyle w:val="FootnoteReference"/>
        </w:rPr>
        <w:footnoteReference w:id="31"/>
      </w:r>
      <w:r w:rsidR="00667F76" w:rsidRPr="00CF617C">
        <w:t xml:space="preserve"> In that connection,</w:t>
      </w:r>
      <w:r w:rsidR="000D6AFA" w:rsidRPr="00CF617C">
        <w:t xml:space="preserve"> we agree with the Appellate Body that</w:t>
      </w:r>
      <w:r w:rsidR="00BF52BB" w:rsidRPr="00CF617C">
        <w:t xml:space="preserve"> </w:t>
      </w:r>
      <w:r w:rsidR="00EE16CF" w:rsidRPr="00CF617C">
        <w:t>"</w:t>
      </w:r>
      <w:r w:rsidR="00B97D7D" w:rsidRPr="00CF617C">
        <w:t xml:space="preserve">an interpretation of the term </w:t>
      </w:r>
      <w:r w:rsidR="004F2D08" w:rsidRPr="00CF617C">
        <w:t>'</w:t>
      </w:r>
      <w:r w:rsidR="00B97D7D" w:rsidRPr="00CF617C">
        <w:t>entrusts</w:t>
      </w:r>
      <w:r w:rsidR="004F2D08" w:rsidRPr="00CF617C">
        <w:t>'</w:t>
      </w:r>
      <w:r w:rsidR="00B97D7D" w:rsidRPr="00CF617C">
        <w:t xml:space="preserve"> that is limited to acts of </w:t>
      </w:r>
      <w:r w:rsidR="004F2D08" w:rsidRPr="00CF617C">
        <w:t>'</w:t>
      </w:r>
      <w:r w:rsidR="00B97D7D" w:rsidRPr="00CF617C">
        <w:t>delegation</w:t>
      </w:r>
      <w:r w:rsidR="004F2D08" w:rsidRPr="00CF617C">
        <w:t>'</w:t>
      </w:r>
      <w:r w:rsidR="00B97D7D" w:rsidRPr="00CF617C">
        <w:t xml:space="preserve"> is too narrow</w:t>
      </w:r>
      <w:r w:rsidR="00EE16CF" w:rsidRPr="00CF617C">
        <w:t>"</w:t>
      </w:r>
      <w:r w:rsidR="00B97D7D" w:rsidRPr="00CF617C">
        <w:rPr>
          <w:rStyle w:val="FootnoteReference"/>
        </w:rPr>
        <w:footnoteReference w:id="32"/>
      </w:r>
      <w:r w:rsidR="00B97D7D" w:rsidRPr="00CF617C">
        <w:t xml:space="preserve"> and</w:t>
      </w:r>
      <w:r w:rsidR="00DF7D06" w:rsidRPr="00CF617C">
        <w:t xml:space="preserve"> </w:t>
      </w:r>
      <w:r w:rsidR="00EE16CF" w:rsidRPr="00CF617C">
        <w:t>"</w:t>
      </w:r>
      <w:r w:rsidR="00DF7D06" w:rsidRPr="00CF617C">
        <w:t xml:space="preserve">an interpretation of the term </w:t>
      </w:r>
      <w:r w:rsidR="004F2D08" w:rsidRPr="00CF617C">
        <w:t>'</w:t>
      </w:r>
      <w:r w:rsidR="00DF7D06" w:rsidRPr="00CF617C">
        <w:t>directs</w:t>
      </w:r>
      <w:r w:rsidR="004F2D08" w:rsidRPr="00CF617C">
        <w:t>'</w:t>
      </w:r>
      <w:r w:rsidR="00DF7D06" w:rsidRPr="00CF617C">
        <w:t xml:space="preserve"> that is limited to acts of </w:t>
      </w:r>
      <w:r w:rsidR="00DF4F0F" w:rsidRPr="00CF617C">
        <w:t>'</w:t>
      </w:r>
      <w:r w:rsidR="00DF7D06" w:rsidRPr="00CF617C">
        <w:t>command</w:t>
      </w:r>
      <w:r w:rsidR="00DF4F0F" w:rsidRPr="00CF617C">
        <w:t>'</w:t>
      </w:r>
      <w:r w:rsidR="00DF7D06" w:rsidRPr="00CF617C">
        <w:t xml:space="preserve"> is also too narrow</w:t>
      </w:r>
      <w:r w:rsidR="00EE16CF" w:rsidRPr="00CF617C">
        <w:t>"</w:t>
      </w:r>
      <w:r w:rsidR="00DF7D06" w:rsidRPr="00CF617C">
        <w:t>.</w:t>
      </w:r>
      <w:r w:rsidR="0096222F" w:rsidRPr="00CF617C">
        <w:rPr>
          <w:rStyle w:val="FootnoteReference"/>
        </w:rPr>
        <w:footnoteReference w:id="33"/>
      </w:r>
      <w:r w:rsidR="00B97D7D" w:rsidRPr="00CF617C">
        <w:t xml:space="preserve"> </w:t>
      </w:r>
      <w:r w:rsidR="00592FE9" w:rsidRPr="00CF617C">
        <w:t xml:space="preserve"> </w:t>
      </w:r>
    </w:p>
    <w:p w14:paraId="63557831" w14:textId="0F986F67" w:rsidR="00DA61B9" w:rsidRPr="00CF617C" w:rsidRDefault="00DA61B9" w:rsidP="00DA61B9">
      <w:pPr>
        <w:pStyle w:val="P1-N1Paragraph1-Number1"/>
        <w:rPr>
          <w:b/>
          <w:bCs/>
        </w:rPr>
      </w:pPr>
      <w:r w:rsidRPr="00CF617C">
        <w:t>Further, and as a previous panel stated</w:t>
      </w:r>
      <w:r w:rsidR="00D631F0" w:rsidRPr="00CF617C">
        <w:t>:</w:t>
      </w:r>
    </w:p>
    <w:p w14:paraId="77C54A75" w14:textId="36D51534" w:rsidR="00D631F0" w:rsidRPr="00D33AF7" w:rsidRDefault="00D631F0" w:rsidP="00CA6E04">
      <w:pPr>
        <w:pStyle w:val="QQuotation"/>
      </w:pPr>
      <w:r w:rsidRPr="00CF617C">
        <w:t>…the focus of Article 1.1(a)(1)(iv)</w:t>
      </w:r>
      <w:r w:rsidR="00B362C2" w:rsidRPr="00CF617C">
        <w:t xml:space="preserve"> would be significantly undermined if an "explicit" act was required in all instances. </w:t>
      </w:r>
      <w:r w:rsidRPr="00CF617C">
        <w:t xml:space="preserve">After all, this provision is supposed to encapsulate those instances where the government attempts to execute a particular policy by operating through a private body. In other words, it is trying to ensure that indirect government action does not fall outside the scope of the SCM Agreement. If we were to limit the scope of Article 1.1(a)(1)(iv) to only those instances where the government acted "explicitly", governments would be able to circumvent their commitments under this provision by removing those elements that were </w:t>
      </w:r>
      <w:r w:rsidRPr="00D33AF7">
        <w:t>"explicit".</w:t>
      </w:r>
      <w:r w:rsidR="00B362C2" w:rsidRPr="00D33AF7">
        <w:rPr>
          <w:rStyle w:val="FootnoteReference"/>
        </w:rPr>
        <w:footnoteReference w:id="34"/>
      </w:r>
    </w:p>
    <w:p w14:paraId="063B2EFF" w14:textId="207776B1" w:rsidR="00D33AF7" w:rsidRDefault="00667F76" w:rsidP="00D33AF7">
      <w:pPr>
        <w:pStyle w:val="P1-N1Paragraph1-Number1"/>
        <w:rPr>
          <w:b/>
          <w:bCs/>
        </w:rPr>
      </w:pPr>
      <w:r w:rsidRPr="00D33AF7">
        <w:t xml:space="preserve">In summary, and to refer to a statement of a previous panel, "Article 1.1(a)(1) of the SCM Agreement does not require that the government's entrustment or direction be </w:t>
      </w:r>
      <w:r w:rsidRPr="00D33AF7">
        <w:lastRenderedPageBreak/>
        <w:t>conveyed to the private bodies in a particular way"</w:t>
      </w:r>
      <w:r w:rsidR="00E9496C">
        <w:t>,</w:t>
      </w:r>
      <w:r w:rsidRPr="00D33AF7">
        <w:rPr>
          <w:rStyle w:val="FootnoteReference"/>
        </w:rPr>
        <w:footnoteReference w:id="35"/>
      </w:r>
      <w:r w:rsidRPr="00D33AF7">
        <w:t xml:space="preserve"> let alone through an "explicit</w:t>
      </w:r>
      <w:r w:rsidR="00DB56E3" w:rsidRPr="00D33AF7">
        <w:t>"</w:t>
      </w:r>
      <w:r w:rsidR="00DB56E3">
        <w:t xml:space="preserve"> </w:t>
      </w:r>
      <w:r w:rsidRPr="00D33AF7">
        <w:t>delegation or command</w:t>
      </w:r>
      <w:r w:rsidR="00DB56E3">
        <w:t>,</w:t>
      </w:r>
      <w:r w:rsidRPr="00D33AF7">
        <w:t xml:space="preserve"> as advocated by Indonesia.</w:t>
      </w:r>
      <w:r w:rsidRPr="00D33AF7">
        <w:rPr>
          <w:rStyle w:val="FootnoteReference"/>
        </w:rPr>
        <w:footnoteReference w:id="36"/>
      </w:r>
      <w:r w:rsidRPr="00D33AF7">
        <w:t xml:space="preserve"> </w:t>
      </w:r>
    </w:p>
    <w:p w14:paraId="7AFB242C" w14:textId="7E22559C" w:rsidR="00592FE9" w:rsidRPr="009648FE" w:rsidRDefault="00A55DD1" w:rsidP="00D33AF7">
      <w:pPr>
        <w:pStyle w:val="P1-N1Paragraph1-Number1"/>
        <w:rPr>
          <w:b/>
          <w:bCs/>
        </w:rPr>
      </w:pPr>
      <w:r w:rsidRPr="00CF617C">
        <w:t xml:space="preserve">Australia </w:t>
      </w:r>
      <w:r w:rsidR="00663D59" w:rsidRPr="00CF617C">
        <w:t xml:space="preserve">also </w:t>
      </w:r>
      <w:r w:rsidRPr="00CF617C">
        <w:t>observes the Commission</w:t>
      </w:r>
      <w:r w:rsidR="00DF4F0F" w:rsidRPr="00CF617C">
        <w:t>'</w:t>
      </w:r>
      <w:r w:rsidRPr="00CF617C">
        <w:t xml:space="preserve">s reference to the term </w:t>
      </w:r>
      <w:r w:rsidR="00EE16CF" w:rsidRPr="00CF617C">
        <w:t>"</w:t>
      </w:r>
      <w:r w:rsidRPr="00CF617C">
        <w:t>induced</w:t>
      </w:r>
      <w:r w:rsidR="00EE16CF" w:rsidRPr="00CF617C">
        <w:t>"</w:t>
      </w:r>
      <w:r w:rsidR="001E516D" w:rsidRPr="00CF617C">
        <w:t>,</w:t>
      </w:r>
      <w:r w:rsidRPr="00CF617C">
        <w:t xml:space="preserve"> in its </w:t>
      </w:r>
      <w:r w:rsidR="00387E47" w:rsidRPr="00CF617C">
        <w:t xml:space="preserve">provisional </w:t>
      </w:r>
      <w:r w:rsidRPr="00CF617C">
        <w:t>finding</w:t>
      </w:r>
      <w:r w:rsidR="00DE476D" w:rsidRPr="00CF617C">
        <w:t xml:space="preserve"> of</w:t>
      </w:r>
      <w:r w:rsidRPr="00CF617C">
        <w:t xml:space="preserve"> entrustment or </w:t>
      </w:r>
      <w:r w:rsidR="00874C84" w:rsidRPr="00CF617C">
        <w:t>direction with respect to CPO</w:t>
      </w:r>
      <w:r w:rsidRPr="00CF617C">
        <w:t>.</w:t>
      </w:r>
      <w:r w:rsidRPr="00CF617C">
        <w:rPr>
          <w:rStyle w:val="FootnoteReference"/>
        </w:rPr>
        <w:footnoteReference w:id="37"/>
      </w:r>
      <w:r w:rsidRPr="00CF617C">
        <w:t xml:space="preserve"> </w:t>
      </w:r>
      <w:r w:rsidR="00592FE9" w:rsidRPr="00CF617C">
        <w:t xml:space="preserve">Following from the </w:t>
      </w:r>
      <w:r w:rsidR="00592FE9" w:rsidRPr="009648FE">
        <w:t xml:space="preserve">above </w:t>
      </w:r>
      <w:r w:rsidR="004E7A99" w:rsidRPr="009648FE">
        <w:t>reasoning</w:t>
      </w:r>
      <w:r w:rsidR="00592FE9" w:rsidRPr="009648FE">
        <w:t xml:space="preserve">, </w:t>
      </w:r>
      <w:r w:rsidR="00455A1A" w:rsidRPr="009648FE">
        <w:t xml:space="preserve">Australia considers that it is possible, in appropriate circumstances, for inducement to </w:t>
      </w:r>
      <w:r w:rsidR="002519AE" w:rsidRPr="009648FE">
        <w:t>support a finding of</w:t>
      </w:r>
      <w:r w:rsidR="00455A1A" w:rsidRPr="009648FE">
        <w:t xml:space="preserve"> entrustment or direction</w:t>
      </w:r>
      <w:r w:rsidR="003534EA" w:rsidRPr="009648FE">
        <w:t xml:space="preserve">. </w:t>
      </w:r>
      <w:r w:rsidR="00EA7DA8" w:rsidRPr="009648FE">
        <w:t>Subtle</w:t>
      </w:r>
      <w:r w:rsidR="000523C4" w:rsidRPr="009648FE">
        <w:t xml:space="preserve"> and informal</w:t>
      </w:r>
      <w:r w:rsidR="00043DA0" w:rsidRPr="009648FE">
        <w:t xml:space="preserve"> </w:t>
      </w:r>
      <w:r w:rsidR="000523C4" w:rsidRPr="009648FE">
        <w:t>means</w:t>
      </w:r>
      <w:r w:rsidR="00043DA0" w:rsidRPr="009648FE">
        <w:t xml:space="preserve"> of "direction" and "entrustment" are not excluded from the scope of Article 1.1(a)(1)(iv), where properly supported on the evidence.</w:t>
      </w:r>
    </w:p>
    <w:p w14:paraId="575ADD72" w14:textId="1ACA19B6" w:rsidR="00730CB4" w:rsidRPr="009648FE" w:rsidRDefault="00266D72" w:rsidP="00592FE9">
      <w:pPr>
        <w:pStyle w:val="P1-N1Paragraph1-Number1"/>
        <w:rPr>
          <w:b/>
          <w:bCs/>
        </w:rPr>
      </w:pPr>
      <w:r w:rsidRPr="009648FE">
        <w:t>A</w:t>
      </w:r>
      <w:r w:rsidR="001F2346" w:rsidRPr="009648FE">
        <w:t xml:space="preserve"> critical </w:t>
      </w:r>
      <w:r w:rsidR="009A1B2A" w:rsidRPr="009648FE">
        <w:t xml:space="preserve">issue </w:t>
      </w:r>
      <w:r w:rsidR="004E7A99" w:rsidRPr="009648FE">
        <w:t xml:space="preserve">is </w:t>
      </w:r>
      <w:r w:rsidR="00DD16DA" w:rsidRPr="009648FE">
        <w:t>the</w:t>
      </w:r>
      <w:r w:rsidR="00736E15" w:rsidRPr="009648FE">
        <w:t xml:space="preserve"> </w:t>
      </w:r>
      <w:r w:rsidR="00DF70E5" w:rsidRPr="009648FE">
        <w:t>investigative authority</w:t>
      </w:r>
      <w:r w:rsidR="00B02901" w:rsidRPr="009648FE">
        <w:t>'</w:t>
      </w:r>
      <w:r w:rsidR="00DF70E5" w:rsidRPr="009648FE">
        <w:t xml:space="preserve">s assessment of the </w:t>
      </w:r>
      <w:r w:rsidR="00F01281" w:rsidRPr="009648FE">
        <w:t xml:space="preserve">evidence </w:t>
      </w:r>
      <w:r w:rsidR="00DF70E5" w:rsidRPr="009648FE">
        <w:t xml:space="preserve">in support of any </w:t>
      </w:r>
      <w:r w:rsidR="001F2346" w:rsidRPr="009648FE">
        <w:t>su</w:t>
      </w:r>
      <w:r w:rsidR="00364CF0" w:rsidRPr="009648FE">
        <w:t>c</w:t>
      </w:r>
      <w:r w:rsidR="001F2346" w:rsidRPr="009648FE">
        <w:t>h finding.</w:t>
      </w:r>
      <w:r w:rsidR="00592FE9" w:rsidRPr="009648FE">
        <w:rPr>
          <w:b/>
          <w:bCs/>
        </w:rPr>
        <w:t xml:space="preserve"> </w:t>
      </w:r>
      <w:r w:rsidR="00730CB4" w:rsidRPr="009648FE">
        <w:t xml:space="preserve">As a previous panel </w:t>
      </w:r>
      <w:r w:rsidR="00364CF0" w:rsidRPr="009648FE">
        <w:t>state</w:t>
      </w:r>
      <w:r w:rsidR="00FE7F32" w:rsidRPr="009648FE">
        <w:t>d</w:t>
      </w:r>
      <w:r w:rsidR="00364CF0" w:rsidRPr="009648FE">
        <w:t>:</w:t>
      </w:r>
    </w:p>
    <w:p w14:paraId="501C1D6F" w14:textId="3CB47A21" w:rsidR="009101E5" w:rsidRPr="009648FE" w:rsidRDefault="00364CF0" w:rsidP="00CA6E04">
      <w:pPr>
        <w:pStyle w:val="QQuotation"/>
      </w:pPr>
      <w:r w:rsidRPr="009648FE">
        <w:t>[t]</w:t>
      </w:r>
      <w:r w:rsidR="009101E5" w:rsidRPr="009648FE">
        <w:t>he key is being able to identify such entrustment or direction in each factual circumstance. This will obviously need to be determined, on a case-by</w:t>
      </w:r>
      <w:r w:rsidR="003664AE" w:rsidRPr="009648FE">
        <w:t xml:space="preserve"> </w:t>
      </w:r>
      <w:r w:rsidR="009101E5" w:rsidRPr="009648FE">
        <w:t>case basis, whether an investigating authority could reasonably have concluded on the basis of all of the relevant and probative evidence before it that such entrustment or direction existed.</w:t>
      </w:r>
      <w:r w:rsidR="009101E5" w:rsidRPr="009648FE">
        <w:rPr>
          <w:rStyle w:val="FootnoteReference"/>
        </w:rPr>
        <w:footnoteReference w:id="38"/>
      </w:r>
    </w:p>
    <w:p w14:paraId="4F482EA6" w14:textId="316B6C04" w:rsidR="007C683C" w:rsidRPr="00CF617C" w:rsidRDefault="007F076F" w:rsidP="00592FE9">
      <w:pPr>
        <w:pStyle w:val="P1-N1Paragraph1-Number1"/>
        <w:rPr>
          <w:b/>
          <w:bCs/>
        </w:rPr>
      </w:pPr>
      <w:r w:rsidRPr="009648FE">
        <w:t xml:space="preserve">In that connection, </w:t>
      </w:r>
      <w:r w:rsidR="00CB6D78" w:rsidRPr="009648FE">
        <w:t xml:space="preserve">a guiding principle is that </w:t>
      </w:r>
      <w:r w:rsidRPr="009648FE">
        <w:t>evidence in support of</w:t>
      </w:r>
      <w:r w:rsidR="001E1399" w:rsidRPr="009648FE">
        <w:t xml:space="preserve"> </w:t>
      </w:r>
      <w:r w:rsidR="00EC4196" w:rsidRPr="009648FE">
        <w:t>"</w:t>
      </w:r>
      <w:r w:rsidR="001E1399" w:rsidRPr="009648FE">
        <w:t>entrustment or direction</w:t>
      </w:r>
      <w:r w:rsidR="00EC4196" w:rsidRPr="009648FE">
        <w:t>"</w:t>
      </w:r>
      <w:r w:rsidR="001E1399" w:rsidRPr="009648FE">
        <w:t xml:space="preserve"> </w:t>
      </w:r>
      <w:r w:rsidRPr="009648FE">
        <w:t>should support a</w:t>
      </w:r>
      <w:r w:rsidR="00D10A2F" w:rsidRPr="009648FE">
        <w:t xml:space="preserve"> </w:t>
      </w:r>
      <w:r w:rsidR="00EC4196" w:rsidRPr="009648FE">
        <w:t>"</w:t>
      </w:r>
      <w:r w:rsidR="00D10A2F" w:rsidRPr="009648FE">
        <w:t>demonstrable link between the government and the</w:t>
      </w:r>
      <w:r w:rsidR="00E72207" w:rsidRPr="009648FE">
        <w:t xml:space="preserve"> </w:t>
      </w:r>
      <w:r w:rsidR="00D10A2F" w:rsidRPr="009648FE">
        <w:t>conduct of the private body</w:t>
      </w:r>
      <w:r w:rsidR="00BA081E" w:rsidRPr="00D33AF7">
        <w:t>"</w:t>
      </w:r>
      <w:r w:rsidR="00D10A2F" w:rsidRPr="009648FE">
        <w:t>.</w:t>
      </w:r>
      <w:r w:rsidR="00FA786F" w:rsidRPr="009648FE">
        <w:rPr>
          <w:rStyle w:val="FootnoteReference"/>
        </w:rPr>
        <w:footnoteReference w:id="39"/>
      </w:r>
      <w:r w:rsidR="00A40ED4" w:rsidRPr="009648FE">
        <w:t xml:space="preserve"> </w:t>
      </w:r>
      <w:r w:rsidR="00736E15" w:rsidRPr="009648FE">
        <w:t xml:space="preserve">The Appellate Body </w:t>
      </w:r>
      <w:r w:rsidR="007F65F1" w:rsidRPr="009648FE">
        <w:t xml:space="preserve">has </w:t>
      </w:r>
      <w:r w:rsidR="009A1B2A" w:rsidRPr="009648FE">
        <w:t>elaborated upon this as a</w:t>
      </w:r>
      <w:r w:rsidR="007F65F1" w:rsidRPr="009648FE">
        <w:t xml:space="preserve"> requirement for </w:t>
      </w:r>
      <w:r w:rsidR="00EC4196" w:rsidRPr="009648FE">
        <w:t>"</w:t>
      </w:r>
      <w:r w:rsidR="009A1B2A" w:rsidRPr="009648FE">
        <w:t>an affirmative demonstration of the link between the government and the specific conduct</w:t>
      </w:r>
      <w:r w:rsidR="00257994" w:rsidRPr="009648FE">
        <w:t xml:space="preserve"> [of the private body]</w:t>
      </w:r>
      <w:r w:rsidR="00A53210" w:rsidRPr="009648FE">
        <w:t>"</w:t>
      </w:r>
      <w:r w:rsidR="00E72207" w:rsidRPr="009648FE">
        <w:t>.</w:t>
      </w:r>
      <w:r w:rsidR="009A1B2A" w:rsidRPr="009648FE">
        <w:rPr>
          <w:rStyle w:val="FootnoteReference"/>
        </w:rPr>
        <w:footnoteReference w:id="40"/>
      </w:r>
      <w:r w:rsidR="00E72207" w:rsidRPr="009648FE">
        <w:t xml:space="preserve"> </w:t>
      </w:r>
      <w:r w:rsidR="00D46283" w:rsidRPr="009648FE">
        <w:t>As the Appellate</w:t>
      </w:r>
      <w:r w:rsidR="00D46283" w:rsidRPr="00CF617C">
        <w:t xml:space="preserve"> Body has also stated, </w:t>
      </w:r>
      <w:r w:rsidR="007F5399" w:rsidRPr="00CF617C">
        <w:t>"</w:t>
      </w:r>
      <w:r w:rsidR="00D46283" w:rsidRPr="00CF617C">
        <w:t xml:space="preserve">government </w:t>
      </w:r>
      <w:r w:rsidR="00D57BCB" w:rsidRPr="00CF617C">
        <w:t>'</w:t>
      </w:r>
      <w:r w:rsidR="00D46283" w:rsidRPr="00CF617C">
        <w:t>entrustment</w:t>
      </w:r>
      <w:r w:rsidR="00D57BCB" w:rsidRPr="00CF617C">
        <w:t>'</w:t>
      </w:r>
      <w:r w:rsidR="00D46283" w:rsidRPr="00CF617C">
        <w:t xml:space="preserve"> or </w:t>
      </w:r>
      <w:r w:rsidR="00D57BCB" w:rsidRPr="00CF617C">
        <w:t>'</w:t>
      </w:r>
      <w:r w:rsidR="00D46283" w:rsidRPr="00CF617C">
        <w:t>direction</w:t>
      </w:r>
      <w:r w:rsidR="00D57BCB" w:rsidRPr="00CF617C">
        <w:t>' c</w:t>
      </w:r>
      <w:r w:rsidR="00D46283" w:rsidRPr="00CF617C">
        <w:t>annot be inadvertent or a mere by-product of government</w:t>
      </w:r>
      <w:r w:rsidR="00CD1D90">
        <w:t>al</w:t>
      </w:r>
      <w:r w:rsidR="00D46283" w:rsidRPr="00CF617C">
        <w:t xml:space="preserve"> regulation.</w:t>
      </w:r>
      <w:r w:rsidR="007F5399" w:rsidRPr="00CF617C">
        <w:t>"</w:t>
      </w:r>
      <w:r w:rsidR="00D46283" w:rsidRPr="00CF617C">
        <w:rPr>
          <w:rStyle w:val="FootnoteReference"/>
        </w:rPr>
        <w:footnoteReference w:id="41"/>
      </w:r>
    </w:p>
    <w:p w14:paraId="16A18EAE" w14:textId="6F38FC05" w:rsidR="00EC3354" w:rsidRPr="00CF617C" w:rsidRDefault="00B5694E" w:rsidP="0014468B">
      <w:pPr>
        <w:pStyle w:val="P1-N1Paragraph1-Number1"/>
      </w:pPr>
      <w:r w:rsidRPr="00CF617C">
        <w:t>Finally,</w:t>
      </w:r>
      <w:r w:rsidR="00AC306E" w:rsidRPr="00CF617C">
        <w:t xml:space="preserve"> </w:t>
      </w:r>
      <w:r w:rsidR="00F5119F" w:rsidRPr="00CF617C">
        <w:t>Australia</w:t>
      </w:r>
      <w:r w:rsidR="00AC306E" w:rsidRPr="00CF617C">
        <w:t xml:space="preserve"> briefly address</w:t>
      </w:r>
      <w:r w:rsidR="00F5119F" w:rsidRPr="00CF617C">
        <w:t>es</w:t>
      </w:r>
      <w:r w:rsidR="00AC306E" w:rsidRPr="00CF617C">
        <w:t xml:space="preserve"> the</w:t>
      </w:r>
      <w:r w:rsidR="00E153C0" w:rsidRPr="00CF617C">
        <w:t xml:space="preserve"> type of evidence which might support a finding of entrustment or direction</w:t>
      </w:r>
      <w:r w:rsidR="00AC306E" w:rsidRPr="00CF617C">
        <w:t>.</w:t>
      </w:r>
      <w:r w:rsidR="00E153C0" w:rsidRPr="00CF617C">
        <w:t xml:space="preserve"> </w:t>
      </w:r>
      <w:r w:rsidR="00AC306E" w:rsidRPr="00CF617C">
        <w:t>As the</w:t>
      </w:r>
      <w:r w:rsidR="00E153C0" w:rsidRPr="00CF617C">
        <w:t xml:space="preserve"> </w:t>
      </w:r>
      <w:r w:rsidR="00A40037" w:rsidRPr="00CF617C">
        <w:t>p</w:t>
      </w:r>
      <w:r w:rsidR="00E153C0" w:rsidRPr="00CF617C">
        <w:t>anel</w:t>
      </w:r>
      <w:r w:rsidR="00AC306E" w:rsidRPr="00CF617C">
        <w:t xml:space="preserve"> observed</w:t>
      </w:r>
      <w:r w:rsidR="00E153C0" w:rsidRPr="00CF617C">
        <w:t xml:space="preserve"> in </w:t>
      </w:r>
      <w:r w:rsidR="00E153C0" w:rsidRPr="00CF617C">
        <w:rPr>
          <w:i/>
          <w:iCs/>
        </w:rPr>
        <w:t>Japan – DRAM</w:t>
      </w:r>
      <w:r w:rsidR="00B744C6">
        <w:rPr>
          <w:i/>
          <w:iCs/>
        </w:rPr>
        <w:t>s</w:t>
      </w:r>
      <w:r w:rsidR="00E153C0" w:rsidRPr="00CF617C">
        <w:rPr>
          <w:i/>
          <w:iCs/>
        </w:rPr>
        <w:t xml:space="preserve"> (Korea)</w:t>
      </w:r>
      <w:r w:rsidR="00AC306E" w:rsidRPr="00CF617C">
        <w:rPr>
          <w:i/>
          <w:iCs/>
        </w:rPr>
        <w:t>,</w:t>
      </w:r>
      <w:r w:rsidR="00E35EA3" w:rsidRPr="00CF617C">
        <w:rPr>
          <w:b/>
          <w:bCs/>
        </w:rPr>
        <w:t xml:space="preserve"> </w:t>
      </w:r>
      <w:r w:rsidR="00E153C0" w:rsidRPr="00CF617C">
        <w:t xml:space="preserve">"entrustment or direction of a private body will rarely be formal, or explicit. For this reason, allegations of government entrustment or direction are likely to be based on pieces of circumstantial </w:t>
      </w:r>
      <w:r w:rsidR="00E153C0" w:rsidRPr="00CF617C">
        <w:lastRenderedPageBreak/>
        <w:t>evidence"</w:t>
      </w:r>
      <w:r w:rsidR="00EC3354" w:rsidRPr="00CF617C">
        <w:t>.</w:t>
      </w:r>
      <w:r w:rsidR="00E35EA3" w:rsidRPr="00CF617C">
        <w:rPr>
          <w:rStyle w:val="FootnoteReference"/>
        </w:rPr>
        <w:footnoteReference w:id="42"/>
      </w:r>
      <w:r w:rsidR="00E153C0" w:rsidRPr="00CF617C">
        <w:t xml:space="preserve"> </w:t>
      </w:r>
      <w:r w:rsidR="00272FD0" w:rsidRPr="00CF617C">
        <w:t>Therefore, in the context of such an examination,</w:t>
      </w:r>
      <w:r w:rsidR="000922AC" w:rsidRPr="00CF617C">
        <w:t xml:space="preserve"> </w:t>
      </w:r>
      <w:r w:rsidR="00F5119F" w:rsidRPr="00CF617C">
        <w:t xml:space="preserve">Australia </w:t>
      </w:r>
      <w:r w:rsidR="002F0D67" w:rsidRPr="00CF617C">
        <w:t>notes the</w:t>
      </w:r>
      <w:r w:rsidR="00F5119F" w:rsidRPr="00CF617C">
        <w:t xml:space="preserve"> foll</w:t>
      </w:r>
      <w:r w:rsidR="00A2082B" w:rsidRPr="00CF617C">
        <w:t>ow</w:t>
      </w:r>
      <w:r w:rsidR="00F5119F" w:rsidRPr="00CF617C">
        <w:t xml:space="preserve">ing guidance provide by the panel </w:t>
      </w:r>
      <w:r w:rsidR="00F5119F" w:rsidRPr="00CF617C">
        <w:rPr>
          <w:i/>
          <w:iCs/>
        </w:rPr>
        <w:t>in</w:t>
      </w:r>
      <w:r w:rsidR="00F5119F" w:rsidRPr="00CF617C">
        <w:t xml:space="preserve"> </w:t>
      </w:r>
      <w:r w:rsidR="00F5119F" w:rsidRPr="00CF617C">
        <w:rPr>
          <w:i/>
          <w:iCs/>
        </w:rPr>
        <w:t xml:space="preserve">Japan </w:t>
      </w:r>
      <w:r w:rsidR="00A2082B" w:rsidRPr="00CF617C">
        <w:rPr>
          <w:i/>
          <w:iCs/>
        </w:rPr>
        <w:t>– DRAM</w:t>
      </w:r>
      <w:r w:rsidR="00B744C6">
        <w:rPr>
          <w:i/>
          <w:iCs/>
        </w:rPr>
        <w:t>s</w:t>
      </w:r>
      <w:r w:rsidR="00A2082B" w:rsidRPr="00CF617C">
        <w:rPr>
          <w:i/>
          <w:iCs/>
        </w:rPr>
        <w:t xml:space="preserve"> (Korea)</w:t>
      </w:r>
      <w:r w:rsidR="00272FD0" w:rsidRPr="00CF617C">
        <w:t>:</w:t>
      </w:r>
    </w:p>
    <w:p w14:paraId="58E61AE0" w14:textId="2451E5D3" w:rsidR="00E153C0" w:rsidRPr="00CF617C" w:rsidRDefault="00C07F33" w:rsidP="00EC3354">
      <w:pPr>
        <w:pStyle w:val="QQuotation"/>
      </w:pPr>
      <w:r w:rsidRPr="00CF617C">
        <w:t>[i]</w:t>
      </w:r>
      <w:r w:rsidR="00F069C5" w:rsidRPr="00CF617C">
        <w:t xml:space="preserve">n the case of alleged government entrustment or direction, it </w:t>
      </w:r>
      <w:r w:rsidR="00E153C0" w:rsidRPr="00CF617C">
        <w:t>reasonable for an investigating authority to seek to determine the motivations behind certain actions or statements by government agencies or representatives</w:t>
      </w:r>
      <w:r w:rsidR="00DF09E7" w:rsidRPr="00CF617C">
        <w:t xml:space="preserve"> …</w:t>
      </w:r>
      <w:r w:rsidR="00E153C0" w:rsidRPr="00CF617C">
        <w:t xml:space="preserve"> </w:t>
      </w:r>
      <w:r w:rsidR="00E153C0" w:rsidRPr="00CF617C">
        <w:rPr>
          <w:b/>
          <w:bCs/>
        </w:rPr>
        <w:t>Identifying motive and intent can assist</w:t>
      </w:r>
      <w:r w:rsidR="00E153C0" w:rsidRPr="00CF617C">
        <w:t xml:space="preserve"> in determining whether such </w:t>
      </w:r>
      <w:r w:rsidR="00804050" w:rsidRPr="00CF617C">
        <w:t>[a message] was conveyed.</w:t>
      </w:r>
      <w:r w:rsidR="00E153C0" w:rsidRPr="00CF617C">
        <w:t xml:space="preserve"> Provided appropriate caution is exercised in assessing the reliability of evidence, in our view an investigating authority may do so on the basis of statements properly attributed to named government agencies or representatives, in the absence of express denials, corrections, or other evidence to the contrary.</w:t>
      </w:r>
      <w:r w:rsidR="00B1258A" w:rsidRPr="00CF617C">
        <w:rPr>
          <w:rStyle w:val="FootnoteReference"/>
        </w:rPr>
        <w:footnoteReference w:id="43"/>
      </w:r>
    </w:p>
    <w:p w14:paraId="14ABE610" w14:textId="398A421B" w:rsidR="00CB7112" w:rsidRPr="00CF617C" w:rsidRDefault="00CB7112" w:rsidP="00CB7112">
      <w:pPr>
        <w:pStyle w:val="HL1HeadingLevel1"/>
      </w:pPr>
      <w:bookmarkStart w:id="11" w:name="_Toc173163523"/>
      <w:r w:rsidRPr="00CF617C">
        <w:t>Conclusion</w:t>
      </w:r>
      <w:bookmarkEnd w:id="11"/>
      <w:r w:rsidR="00646950" w:rsidRPr="00CF617C">
        <w:t xml:space="preserve"> </w:t>
      </w:r>
    </w:p>
    <w:p w14:paraId="2863AE15" w14:textId="51179A1B" w:rsidR="000F4147" w:rsidRPr="00CF617C" w:rsidRDefault="000F4147" w:rsidP="00626EC1">
      <w:pPr>
        <w:pStyle w:val="P1-N1Paragraph1-Number1"/>
        <w:rPr>
          <w:rFonts w:cs="Calibri"/>
        </w:rPr>
      </w:pPr>
      <w:r w:rsidRPr="00CF617C">
        <w:rPr>
          <w:rFonts w:cs="Calibri"/>
        </w:rPr>
        <w:t>Australia considers it evident from the text of Article 1.1(a)(1) of the SCM Agreement that the negotiators of the SCM Agreement were alive to the risk that WTO Members may attempt to circumvent the disciplines in the SCM Agreement.</w:t>
      </w:r>
      <w:r w:rsidR="00792F4A" w:rsidRPr="00CF617C">
        <w:rPr>
          <w:rStyle w:val="FootnoteReference"/>
          <w:rFonts w:cs="Calibri"/>
        </w:rPr>
        <w:footnoteReference w:id="44"/>
      </w:r>
      <w:r w:rsidR="00AF7D5E" w:rsidRPr="00CF617C">
        <w:rPr>
          <w:rFonts w:cs="Calibri"/>
        </w:rPr>
        <w:t xml:space="preserve"> </w:t>
      </w:r>
      <w:r w:rsidR="00792F4A" w:rsidRPr="00CF617C">
        <w:rPr>
          <w:rFonts w:cs="Calibri"/>
        </w:rPr>
        <w:t>Systemically, it</w:t>
      </w:r>
      <w:r w:rsidR="00D57C73" w:rsidRPr="00CF617C">
        <w:rPr>
          <w:rFonts w:cs="Calibri"/>
        </w:rPr>
        <w:t xml:space="preserve"> is </w:t>
      </w:r>
      <w:r w:rsidR="00C374C2" w:rsidRPr="00CF617C">
        <w:rPr>
          <w:rFonts w:cs="Calibri"/>
        </w:rPr>
        <w:t xml:space="preserve">therefore </w:t>
      </w:r>
      <w:r w:rsidR="00D57C73" w:rsidRPr="00CF617C">
        <w:rPr>
          <w:rFonts w:cs="Calibri"/>
        </w:rPr>
        <w:t>of fundamental importance that the ant</w:t>
      </w:r>
      <w:r w:rsidR="00A40037" w:rsidRPr="00CF617C">
        <w:rPr>
          <w:rFonts w:cs="Calibri"/>
        </w:rPr>
        <w:t>i</w:t>
      </w:r>
      <w:r w:rsidR="00D57C73" w:rsidRPr="00CF617C">
        <w:rPr>
          <w:rFonts w:cs="Calibri"/>
        </w:rPr>
        <w:t>-circumvention objective in Article 1.1(a)(1)(iv) is given meaningful effect</w:t>
      </w:r>
      <w:r w:rsidR="003C106E" w:rsidRPr="00CF617C">
        <w:rPr>
          <w:rFonts w:cs="Calibri"/>
        </w:rPr>
        <w:t>,</w:t>
      </w:r>
      <w:r w:rsidR="007D40CA" w:rsidRPr="00CF617C">
        <w:rPr>
          <w:rFonts w:cs="Calibri"/>
        </w:rPr>
        <w:t xml:space="preserve"> and</w:t>
      </w:r>
      <w:r w:rsidR="003C106E" w:rsidRPr="00CF617C">
        <w:rPr>
          <w:rFonts w:cs="Calibri"/>
        </w:rPr>
        <w:t xml:space="preserve"> is</w:t>
      </w:r>
      <w:r w:rsidR="007D40CA" w:rsidRPr="00CF617C">
        <w:rPr>
          <w:rFonts w:cs="Calibri"/>
        </w:rPr>
        <w:t xml:space="preserve"> not unduly constr</w:t>
      </w:r>
      <w:r w:rsidR="008522A3" w:rsidRPr="00CF617C">
        <w:rPr>
          <w:rFonts w:cs="Calibri"/>
        </w:rPr>
        <w:t xml:space="preserve">ained by </w:t>
      </w:r>
      <w:r w:rsidR="005B7E78" w:rsidRPr="00CF617C">
        <w:rPr>
          <w:rFonts w:cs="Calibri"/>
        </w:rPr>
        <w:t xml:space="preserve">overly narrow </w:t>
      </w:r>
      <w:r w:rsidR="001F15D5" w:rsidRPr="00CF617C">
        <w:rPr>
          <w:rFonts w:cs="Calibri"/>
        </w:rPr>
        <w:t>interpretations.</w:t>
      </w:r>
      <w:r w:rsidR="004347FF" w:rsidRPr="00CF617C">
        <w:rPr>
          <w:rFonts w:cs="Calibri"/>
        </w:rPr>
        <w:t xml:space="preserve"> Conversely, Australia also respectfully </w:t>
      </w:r>
      <w:r w:rsidR="00B003BC" w:rsidRPr="00CF617C">
        <w:rPr>
          <w:rFonts w:cs="Calibri"/>
        </w:rPr>
        <w:t>recalls that the Panel should</w:t>
      </w:r>
      <w:r w:rsidR="004347FF" w:rsidRPr="00CF617C">
        <w:rPr>
          <w:rFonts w:cs="Calibri"/>
        </w:rPr>
        <w:t xml:space="preserve"> </w:t>
      </w:r>
      <w:r w:rsidR="003C106E" w:rsidRPr="00CF617C">
        <w:rPr>
          <w:rFonts w:cs="Calibri"/>
        </w:rPr>
        <w:t>limit</w:t>
      </w:r>
      <w:r w:rsidR="004347FF" w:rsidRPr="00CF617C">
        <w:rPr>
          <w:rFonts w:cs="Calibri"/>
        </w:rPr>
        <w:t xml:space="preserve"> </w:t>
      </w:r>
      <w:r w:rsidR="005B7E78" w:rsidRPr="00CF617C">
        <w:rPr>
          <w:rFonts w:cs="Calibri"/>
        </w:rPr>
        <w:t xml:space="preserve">its </w:t>
      </w:r>
      <w:r w:rsidR="00A76841" w:rsidRPr="00CF617C">
        <w:rPr>
          <w:rFonts w:cs="Calibri"/>
        </w:rPr>
        <w:t>analysis to the specific facts at issue in this dispute</w:t>
      </w:r>
      <w:r w:rsidR="00B003BC" w:rsidRPr="00CF617C">
        <w:rPr>
          <w:rFonts w:cs="Calibri"/>
        </w:rPr>
        <w:t xml:space="preserve"> </w:t>
      </w:r>
      <w:r w:rsidR="00090225" w:rsidRPr="00CF617C">
        <w:rPr>
          <w:rFonts w:cs="Calibri"/>
        </w:rPr>
        <w:t xml:space="preserve">- </w:t>
      </w:r>
      <w:r w:rsidR="00B003BC" w:rsidRPr="00CF617C">
        <w:rPr>
          <w:rFonts w:cs="Calibri"/>
        </w:rPr>
        <w:t xml:space="preserve">and not </w:t>
      </w:r>
      <w:r w:rsidR="00090225" w:rsidRPr="00CF617C">
        <w:rPr>
          <w:rFonts w:cs="Calibri"/>
        </w:rPr>
        <w:t>engage in broader analysis than is required</w:t>
      </w:r>
      <w:r w:rsidR="00665DA5" w:rsidRPr="00CF617C">
        <w:rPr>
          <w:rFonts w:cs="Calibri"/>
        </w:rPr>
        <w:t xml:space="preserve"> to discharge that function.</w:t>
      </w:r>
    </w:p>
    <w:p w14:paraId="26A60D16" w14:textId="52AA9BAE" w:rsidR="00626EC1" w:rsidRPr="00CF617C" w:rsidRDefault="004347FF" w:rsidP="004347FF">
      <w:pPr>
        <w:pStyle w:val="P1-N1Paragraph1-Number1"/>
      </w:pPr>
      <w:r w:rsidRPr="00CF617C">
        <w:t>Australia thanks the Panel for the opportunity to submit its views on the issues raised in this dispute.</w:t>
      </w:r>
    </w:p>
    <w:sectPr w:rsidR="00626EC1" w:rsidRPr="00CF617C" w:rsidSect="008F5B14">
      <w:headerReference w:type="default" r:id="rId7"/>
      <w:footerReference w:type="default" r:id="rId8"/>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F059F" w14:textId="77777777" w:rsidR="00452D2B" w:rsidRDefault="00452D2B" w:rsidP="00006269">
      <w:pPr>
        <w:spacing w:after="0" w:line="240" w:lineRule="auto"/>
      </w:pPr>
      <w:r>
        <w:separator/>
      </w:r>
    </w:p>
  </w:endnote>
  <w:endnote w:type="continuationSeparator" w:id="0">
    <w:p w14:paraId="78A618A9" w14:textId="77777777" w:rsidR="00452D2B" w:rsidRDefault="00452D2B" w:rsidP="00006269">
      <w:pPr>
        <w:spacing w:after="0" w:line="240" w:lineRule="auto"/>
      </w:pPr>
      <w:r>
        <w:continuationSeparator/>
      </w:r>
    </w:p>
  </w:endnote>
  <w:endnote w:type="continuationNotice" w:id="1">
    <w:p w14:paraId="6BB090AC" w14:textId="77777777" w:rsidR="00452D2B" w:rsidRDefault="00452D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2FD6C" w14:textId="77777777" w:rsidR="00AB418A" w:rsidRDefault="00AB418A">
    <w:pPr>
      <w:pStyle w:val="Footer"/>
    </w:pPr>
    <w:r>
      <w:ptab w:relativeTo="margin" w:alignment="right" w:leader="none"/>
    </w:r>
    <w:r w:rsidRPr="00006269">
      <w:fldChar w:fldCharType="begin"/>
    </w:r>
    <w:r w:rsidRPr="00006269">
      <w:instrText xml:space="preserve"> PAGE   \* MERGEFORMAT </w:instrText>
    </w:r>
    <w:r w:rsidRPr="00006269">
      <w:fldChar w:fldCharType="separate"/>
    </w:r>
    <w:r w:rsidRPr="00006269">
      <w:rPr>
        <w:noProof/>
      </w:rPr>
      <w:t>1</w:t>
    </w:r>
    <w:r w:rsidRPr="0000626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317E7" w14:textId="77777777" w:rsidR="00452D2B" w:rsidRDefault="00452D2B" w:rsidP="00006269">
      <w:pPr>
        <w:spacing w:after="0" w:line="240" w:lineRule="auto"/>
      </w:pPr>
      <w:r>
        <w:separator/>
      </w:r>
    </w:p>
  </w:footnote>
  <w:footnote w:type="continuationSeparator" w:id="0">
    <w:p w14:paraId="7D70FD59" w14:textId="77777777" w:rsidR="00452D2B" w:rsidRDefault="00452D2B" w:rsidP="00006269">
      <w:pPr>
        <w:spacing w:after="0" w:line="240" w:lineRule="auto"/>
      </w:pPr>
      <w:r>
        <w:continuationSeparator/>
      </w:r>
    </w:p>
  </w:footnote>
  <w:footnote w:type="continuationNotice" w:id="1">
    <w:p w14:paraId="09188F62" w14:textId="77777777" w:rsidR="00452D2B" w:rsidRDefault="00452D2B">
      <w:pPr>
        <w:spacing w:after="0" w:line="240" w:lineRule="auto"/>
      </w:pPr>
    </w:p>
  </w:footnote>
  <w:footnote w:id="2">
    <w:p w14:paraId="685B9DC1" w14:textId="2DB3E5C1" w:rsidR="00533027" w:rsidRDefault="00533027" w:rsidP="00B91920">
      <w:pPr>
        <w:pStyle w:val="FootnoteText"/>
        <w:jc w:val="left"/>
      </w:pPr>
      <w:r>
        <w:rPr>
          <w:rStyle w:val="FootnoteReference"/>
        </w:rPr>
        <w:footnoteRef/>
      </w:r>
      <w:r w:rsidR="00B91920">
        <w:rPr>
          <w:szCs w:val="18"/>
        </w:rPr>
        <w:t xml:space="preserve"> A</w:t>
      </w:r>
      <w:r>
        <w:rPr>
          <w:szCs w:val="18"/>
        </w:rPr>
        <w:t xml:space="preserve">ppellate Body Report, </w:t>
      </w:r>
      <w:r>
        <w:rPr>
          <w:i/>
          <w:iCs/>
          <w:szCs w:val="18"/>
        </w:rPr>
        <w:t>US – Softwood Lumber IV</w:t>
      </w:r>
      <w:r>
        <w:rPr>
          <w:szCs w:val="18"/>
        </w:rPr>
        <w:t>, para. 52</w:t>
      </w:r>
      <w:r w:rsidR="00CD6166">
        <w:rPr>
          <w:szCs w:val="18"/>
        </w:rPr>
        <w:t xml:space="preserve"> as quoted with approval in Appellate Body Report, </w:t>
      </w:r>
      <w:r w:rsidR="00CD6166">
        <w:rPr>
          <w:i/>
          <w:iCs/>
          <w:szCs w:val="18"/>
        </w:rPr>
        <w:t>US</w:t>
      </w:r>
      <w:r w:rsidR="00B91920">
        <w:rPr>
          <w:i/>
          <w:iCs/>
          <w:szCs w:val="18"/>
        </w:rPr>
        <w:t> </w:t>
      </w:r>
      <w:r w:rsidR="00CD6166">
        <w:rPr>
          <w:i/>
          <w:iCs/>
          <w:szCs w:val="18"/>
        </w:rPr>
        <w:t>–</w:t>
      </w:r>
      <w:r w:rsidR="00B91920">
        <w:rPr>
          <w:i/>
          <w:iCs/>
          <w:szCs w:val="18"/>
        </w:rPr>
        <w:t> </w:t>
      </w:r>
      <w:r w:rsidR="00CD6166">
        <w:rPr>
          <w:i/>
          <w:iCs/>
          <w:szCs w:val="18"/>
        </w:rPr>
        <w:t>Countervailing Duty Investigation on DRAMs</w:t>
      </w:r>
      <w:r w:rsidR="00CD6166">
        <w:rPr>
          <w:szCs w:val="18"/>
        </w:rPr>
        <w:t>, para. 113.</w:t>
      </w:r>
    </w:p>
  </w:footnote>
  <w:footnote w:id="3">
    <w:p w14:paraId="54E3644B" w14:textId="2CB50A24" w:rsidR="003473A1" w:rsidRDefault="003473A1">
      <w:pPr>
        <w:pStyle w:val="FootnoteText"/>
      </w:pPr>
      <w:r>
        <w:rPr>
          <w:rStyle w:val="FootnoteReference"/>
        </w:rPr>
        <w:footnoteRef/>
      </w:r>
      <w:r>
        <w:t xml:space="preserve"> </w:t>
      </w:r>
      <w:r>
        <w:rPr>
          <w:szCs w:val="18"/>
        </w:rPr>
        <w:t xml:space="preserve">Appellate Body Report, </w:t>
      </w:r>
      <w:r>
        <w:rPr>
          <w:i/>
          <w:iCs/>
          <w:szCs w:val="18"/>
        </w:rPr>
        <w:t>US – Softwood Lumber VI (Article 21.5 – Canada)</w:t>
      </w:r>
      <w:r>
        <w:rPr>
          <w:szCs w:val="18"/>
        </w:rPr>
        <w:t xml:space="preserve">, para. 93. </w:t>
      </w:r>
      <w:r>
        <w:t xml:space="preserve"> </w:t>
      </w:r>
    </w:p>
  </w:footnote>
  <w:footnote w:id="4">
    <w:p w14:paraId="78D0F9E7" w14:textId="22A7CBEF" w:rsidR="00AD5FBA" w:rsidRDefault="00AD5FBA">
      <w:pPr>
        <w:pStyle w:val="FootnoteText"/>
      </w:pPr>
      <w:r>
        <w:rPr>
          <w:rStyle w:val="FootnoteReference"/>
        </w:rPr>
        <w:footnoteRef/>
      </w:r>
      <w:r>
        <w:t xml:space="preserve"> Article 31 of the Vienna Convention.</w:t>
      </w:r>
    </w:p>
  </w:footnote>
  <w:footnote w:id="5">
    <w:p w14:paraId="5196E586" w14:textId="53820702" w:rsidR="00670B63" w:rsidRDefault="00670B63">
      <w:pPr>
        <w:pStyle w:val="FootnoteText"/>
      </w:pPr>
      <w:r>
        <w:rPr>
          <w:rStyle w:val="FootnoteReference"/>
        </w:rPr>
        <w:footnoteRef/>
      </w:r>
      <w:r>
        <w:t xml:space="preserve"> Article 11 of the DSU.</w:t>
      </w:r>
    </w:p>
  </w:footnote>
  <w:footnote w:id="6">
    <w:p w14:paraId="2BA2FDF9" w14:textId="046B8B7C" w:rsidR="00841EE8" w:rsidRPr="00BF2101" w:rsidRDefault="00841EE8">
      <w:pPr>
        <w:pStyle w:val="FootnoteText"/>
      </w:pPr>
      <w:r>
        <w:rPr>
          <w:rStyle w:val="FootnoteReference"/>
        </w:rPr>
        <w:footnoteRef/>
      </w:r>
      <w:r>
        <w:t xml:space="preserve"> Appellate Body Report, </w:t>
      </w:r>
      <w:r w:rsidR="007746CF">
        <w:rPr>
          <w:i/>
          <w:iCs/>
        </w:rPr>
        <w:t>US – Countervailing Duty Investigation on DRAMs</w:t>
      </w:r>
      <w:r w:rsidR="007746CF">
        <w:t>, para. 115.</w:t>
      </w:r>
      <w:r w:rsidR="00A3795B">
        <w:t xml:space="preserve"> See also, Appellate Body Report, </w:t>
      </w:r>
      <w:r w:rsidR="00BF2101">
        <w:rPr>
          <w:i/>
          <w:iCs/>
        </w:rPr>
        <w:t>US – Softwood Lumber IV</w:t>
      </w:r>
      <w:r w:rsidR="00BF2101">
        <w:t>, para. 64. (footnote omitted)</w:t>
      </w:r>
    </w:p>
  </w:footnote>
  <w:footnote w:id="7">
    <w:p w14:paraId="0EFB9B16" w14:textId="1495C131" w:rsidR="00CB1C42" w:rsidRDefault="00CB1C42">
      <w:pPr>
        <w:pStyle w:val="FootnoteText"/>
      </w:pPr>
      <w:r>
        <w:rPr>
          <w:rStyle w:val="FootnoteReference"/>
        </w:rPr>
        <w:footnoteRef/>
      </w:r>
      <w:r>
        <w:t xml:space="preserve"> </w:t>
      </w:r>
      <w:r>
        <w:rPr>
          <w:szCs w:val="18"/>
        </w:rPr>
        <w:t xml:space="preserve">Appellate Body Report, </w:t>
      </w:r>
      <w:r>
        <w:rPr>
          <w:i/>
          <w:iCs/>
          <w:szCs w:val="18"/>
        </w:rPr>
        <w:t>US – Softwood Lumber IV</w:t>
      </w:r>
      <w:r>
        <w:rPr>
          <w:szCs w:val="18"/>
        </w:rPr>
        <w:t>, para. 52</w:t>
      </w:r>
      <w:r w:rsidR="00AE27B9">
        <w:rPr>
          <w:szCs w:val="18"/>
        </w:rPr>
        <w:t xml:space="preserve"> as quoted with approval in Appellate Body Report, </w:t>
      </w:r>
      <w:r w:rsidR="003303B9">
        <w:rPr>
          <w:i/>
          <w:iCs/>
          <w:szCs w:val="18"/>
        </w:rPr>
        <w:t>US – Countervailing Duty Investigation on DRAMs</w:t>
      </w:r>
      <w:r w:rsidR="003303B9">
        <w:rPr>
          <w:szCs w:val="18"/>
        </w:rPr>
        <w:t>, para. 113.</w:t>
      </w:r>
      <w:r w:rsidR="00240E4A">
        <w:t xml:space="preserve"> </w:t>
      </w:r>
    </w:p>
  </w:footnote>
  <w:footnote w:id="8">
    <w:p w14:paraId="6EBCC112" w14:textId="2901B48B" w:rsidR="00C26DF5" w:rsidRPr="000F35F5" w:rsidRDefault="00C26DF5">
      <w:pPr>
        <w:pStyle w:val="FootnoteText"/>
      </w:pPr>
      <w:r w:rsidRPr="000F35F5">
        <w:rPr>
          <w:rStyle w:val="FootnoteReference"/>
        </w:rPr>
        <w:footnoteRef/>
      </w:r>
      <w:r w:rsidRPr="000F35F5">
        <w:t xml:space="preserve"> </w:t>
      </w:r>
      <w:r w:rsidR="00487CD6" w:rsidRPr="000F35F5">
        <w:t xml:space="preserve">Appellate Body Report, </w:t>
      </w:r>
      <w:r w:rsidR="002A0DBF" w:rsidRPr="000F35F5">
        <w:rPr>
          <w:i/>
          <w:iCs/>
        </w:rPr>
        <w:t>US – Countervailing Duty Investigation on DRAMS</w:t>
      </w:r>
      <w:r w:rsidR="004124D1" w:rsidRPr="000F35F5">
        <w:t>,</w:t>
      </w:r>
      <w:r w:rsidR="002A0DBF" w:rsidRPr="000F35F5">
        <w:t xml:space="preserve"> para. </w:t>
      </w:r>
      <w:r w:rsidR="006F463B" w:rsidRPr="000F35F5">
        <w:t>113</w:t>
      </w:r>
      <w:r w:rsidR="002A0DBF" w:rsidRPr="000F35F5">
        <w:t>.</w:t>
      </w:r>
    </w:p>
  </w:footnote>
  <w:footnote w:id="9">
    <w:p w14:paraId="6C9D70E7" w14:textId="55FA31E8" w:rsidR="0049287A" w:rsidRDefault="0049287A">
      <w:pPr>
        <w:pStyle w:val="FootnoteText"/>
      </w:pPr>
      <w:r w:rsidRPr="000F35F5">
        <w:rPr>
          <w:rStyle w:val="FootnoteReference"/>
        </w:rPr>
        <w:footnoteRef/>
      </w:r>
      <w:r w:rsidRPr="000F35F5">
        <w:t xml:space="preserve"> See the European Union</w:t>
      </w:r>
      <w:r w:rsidR="002B763A" w:rsidRPr="00CF617C">
        <w:t>'</w:t>
      </w:r>
      <w:r w:rsidRPr="000F35F5">
        <w:t xml:space="preserve">s first written submission, para. </w:t>
      </w:r>
      <w:r w:rsidR="00F234B7">
        <w:t>176</w:t>
      </w:r>
      <w:r w:rsidRPr="000F35F5">
        <w:t>.</w:t>
      </w:r>
    </w:p>
  </w:footnote>
  <w:footnote w:id="10">
    <w:p w14:paraId="1242E1EF" w14:textId="400AA1A4" w:rsidR="00653AFA" w:rsidRDefault="00653AFA">
      <w:pPr>
        <w:pStyle w:val="FootnoteText"/>
      </w:pPr>
      <w:r>
        <w:rPr>
          <w:rStyle w:val="FootnoteReference"/>
        </w:rPr>
        <w:footnoteRef/>
      </w:r>
      <w:r>
        <w:t xml:space="preserve"> For convenience, Australia refers to this as the </w:t>
      </w:r>
      <w:r w:rsidR="004A28C0">
        <w:t>"</w:t>
      </w:r>
      <w:r>
        <w:t>normally vested</w:t>
      </w:r>
      <w:r w:rsidR="004A28C0">
        <w:t>"</w:t>
      </w:r>
      <w:r>
        <w:t xml:space="preserve"> criterion, or the phrase </w:t>
      </w:r>
      <w:r w:rsidR="004A28C0">
        <w:t>"</w:t>
      </w:r>
      <w:r>
        <w:t>normally vested in the government</w:t>
      </w:r>
      <w:r w:rsidR="004A28C0">
        <w:t>"</w:t>
      </w:r>
      <w:r w:rsidR="00F21B77">
        <w:t>, in this submission.</w:t>
      </w:r>
    </w:p>
  </w:footnote>
  <w:footnote w:id="11">
    <w:p w14:paraId="570F93AC" w14:textId="4FC893AC" w:rsidR="002C019A" w:rsidRDefault="002C019A">
      <w:pPr>
        <w:pStyle w:val="FootnoteText"/>
      </w:pPr>
      <w:r>
        <w:rPr>
          <w:rStyle w:val="FootnoteReference"/>
        </w:rPr>
        <w:footnoteRef/>
      </w:r>
      <w:r>
        <w:t xml:space="preserve"> See Indonesia</w:t>
      </w:r>
      <w:r w:rsidRPr="001E0D2E">
        <w:t>'</w:t>
      </w:r>
      <w:r>
        <w:t>s first written submission, para</w:t>
      </w:r>
      <w:r w:rsidR="00657811">
        <w:t>s</w:t>
      </w:r>
      <w:r>
        <w:t>.</w:t>
      </w:r>
      <w:r w:rsidR="00657811">
        <w:t xml:space="preserve"> 185 -</w:t>
      </w:r>
      <w:r>
        <w:t xml:space="preserve"> 186</w:t>
      </w:r>
      <w:r w:rsidR="007A7FF5">
        <w:t xml:space="preserve"> and also para. 190.</w:t>
      </w:r>
    </w:p>
  </w:footnote>
  <w:footnote w:id="12">
    <w:p w14:paraId="6B353B58" w14:textId="502BC443" w:rsidR="00272A31" w:rsidRDefault="00272A31" w:rsidP="00272A31">
      <w:pPr>
        <w:pStyle w:val="FootnoteText"/>
      </w:pPr>
      <w:r>
        <w:rPr>
          <w:rStyle w:val="FootnoteReference"/>
        </w:rPr>
        <w:footnoteRef/>
      </w:r>
      <w:r>
        <w:t xml:space="preserve"> Indonesia’s first written submission, para. 190. Indonesia subsequently </w:t>
      </w:r>
      <w:r w:rsidR="001C7475">
        <w:t>states</w:t>
      </w:r>
      <w:r>
        <w:t xml:space="preserve"> that "no less than 93% of national palm oil planted land [in Indonesia] is owned by private companies and/or smallholders.</w:t>
      </w:r>
      <w:r w:rsidR="00F15790">
        <w:t xml:space="preserve"> This notwithstanding, </w:t>
      </w:r>
      <w:r w:rsidR="00F7358D">
        <w:t>[the Commission]</w:t>
      </w:r>
      <w:r w:rsidR="00F15790">
        <w:t xml:space="preserve"> asserts that all of these private companies and smallholders exercise a governmental function …</w:t>
      </w:r>
      <w:r w:rsidR="00570A6D">
        <w:t>"</w:t>
      </w:r>
      <w:r>
        <w:t xml:space="preserve"> (para. 192).</w:t>
      </w:r>
    </w:p>
  </w:footnote>
  <w:footnote w:id="13">
    <w:p w14:paraId="5F569B66" w14:textId="471662CA" w:rsidR="0085273E" w:rsidRDefault="0085273E">
      <w:pPr>
        <w:pStyle w:val="FootnoteText"/>
      </w:pPr>
      <w:r>
        <w:rPr>
          <w:rStyle w:val="FootnoteReference"/>
        </w:rPr>
        <w:footnoteRef/>
      </w:r>
      <w:r>
        <w:t xml:space="preserve"> Indonesia’s first written submission, para. </w:t>
      </w:r>
      <w:r w:rsidR="003F0A0E">
        <w:t>206.</w:t>
      </w:r>
    </w:p>
  </w:footnote>
  <w:footnote w:id="14">
    <w:p w14:paraId="71E1635F" w14:textId="02E6D665" w:rsidR="00876FF6" w:rsidRDefault="00876FF6">
      <w:pPr>
        <w:pStyle w:val="FootnoteText"/>
      </w:pPr>
      <w:r>
        <w:rPr>
          <w:rStyle w:val="FootnoteReference"/>
        </w:rPr>
        <w:footnoteRef/>
      </w:r>
      <w:r>
        <w:t xml:space="preserve"> European Union’s first written submission, para. </w:t>
      </w:r>
      <w:r w:rsidR="0074109F">
        <w:t>2</w:t>
      </w:r>
      <w:r w:rsidR="00704F73">
        <w:t>22.</w:t>
      </w:r>
    </w:p>
  </w:footnote>
  <w:footnote w:id="15">
    <w:p w14:paraId="5901CC72" w14:textId="0520BC7A" w:rsidR="00690C40" w:rsidRDefault="00690C40">
      <w:pPr>
        <w:pStyle w:val="FootnoteText"/>
      </w:pPr>
      <w:r>
        <w:rPr>
          <w:rStyle w:val="FootnoteReference"/>
        </w:rPr>
        <w:footnoteRef/>
      </w:r>
      <w:r>
        <w:t xml:space="preserve"> European Union’s first written submission, para. </w:t>
      </w:r>
      <w:r w:rsidR="0020709F">
        <w:t>226.</w:t>
      </w:r>
    </w:p>
  </w:footnote>
  <w:footnote w:id="16">
    <w:p w14:paraId="514701BF" w14:textId="4C0C3F21" w:rsidR="00DD46A8" w:rsidRPr="004B1D8A" w:rsidRDefault="00DD46A8">
      <w:pPr>
        <w:pStyle w:val="FootnoteText"/>
      </w:pPr>
      <w:r>
        <w:rPr>
          <w:rStyle w:val="FootnoteReference"/>
        </w:rPr>
        <w:footnoteRef/>
      </w:r>
      <w:r>
        <w:t xml:space="preserve"> Appellate Body Report, </w:t>
      </w:r>
      <w:r>
        <w:rPr>
          <w:i/>
          <w:iCs/>
        </w:rPr>
        <w:t>US – Anti-Dumping and Countervailing Duties (China)</w:t>
      </w:r>
      <w:r w:rsidR="004B1D8A">
        <w:t>, para</w:t>
      </w:r>
      <w:r w:rsidR="00617A07">
        <w:t>. 297</w:t>
      </w:r>
      <w:r w:rsidR="00C05554">
        <w:t xml:space="preserve"> </w:t>
      </w:r>
      <w:r w:rsidR="00A61B70">
        <w:t>(emphasis added). See also, Indonesia's first written submission, para. 184.</w:t>
      </w:r>
      <w:r w:rsidR="00AD2E23">
        <w:t xml:space="preserve"> Australia </w:t>
      </w:r>
      <w:r w:rsidR="00E12397">
        <w:t xml:space="preserve">further </w:t>
      </w:r>
      <w:r w:rsidR="008D5ABE">
        <w:t xml:space="preserve">observes </w:t>
      </w:r>
      <w:r w:rsidR="00AD2E23">
        <w:t xml:space="preserve">that </w:t>
      </w:r>
      <w:r w:rsidR="002631F9">
        <w:t xml:space="preserve">the Appellate Body's statements were not specifically directed at the meaning of the phrase "normally </w:t>
      </w:r>
      <w:r w:rsidR="00125A64">
        <w:t xml:space="preserve">… </w:t>
      </w:r>
      <w:r w:rsidR="002631F9">
        <w:t xml:space="preserve">vested in the government" – but rather, were </w:t>
      </w:r>
      <w:r w:rsidR="000E7AA2">
        <w:t>directed to a contextual examination</w:t>
      </w:r>
      <w:r w:rsidR="00167F34">
        <w:t xml:space="preserve"> </w:t>
      </w:r>
      <w:r w:rsidR="000E7AA2">
        <w:t xml:space="preserve">of considerations for determining whether or not a specific entity </w:t>
      </w:r>
      <w:r w:rsidR="00803507">
        <w:t>wa</w:t>
      </w:r>
      <w:r w:rsidR="000E7AA2">
        <w:t xml:space="preserve">s a </w:t>
      </w:r>
      <w:r w:rsidR="00EA3F05">
        <w:t>"</w:t>
      </w:r>
      <w:r w:rsidR="000E7AA2">
        <w:t>public body</w:t>
      </w:r>
      <w:r w:rsidR="00EA3F05">
        <w:t>"</w:t>
      </w:r>
      <w:r w:rsidR="008370E6">
        <w:t xml:space="preserve">. In Australia's view, this </w:t>
      </w:r>
      <w:r w:rsidR="00720674">
        <w:t>reduces the persuasiveness of the Appellate Body's statement</w:t>
      </w:r>
      <w:r w:rsidR="000E7AA2">
        <w:t xml:space="preserve"> with respect to </w:t>
      </w:r>
      <w:r w:rsidR="00167F34">
        <w:t xml:space="preserve">the meaning of </w:t>
      </w:r>
      <w:r w:rsidR="000E7AA2">
        <w:t>"normally vested in the government"</w:t>
      </w:r>
      <w:r w:rsidR="00461258">
        <w:t>.</w:t>
      </w:r>
    </w:p>
  </w:footnote>
  <w:footnote w:id="17">
    <w:p w14:paraId="1061CB8D" w14:textId="38C1EC40" w:rsidR="00A85C98" w:rsidRDefault="00A85C98">
      <w:pPr>
        <w:pStyle w:val="FootnoteText"/>
      </w:pPr>
      <w:r>
        <w:rPr>
          <w:rStyle w:val="FootnoteReference"/>
        </w:rPr>
        <w:footnoteRef/>
      </w:r>
      <w:r>
        <w:t xml:space="preserve"> Oxford English </w:t>
      </w:r>
      <w:r w:rsidR="00674332">
        <w:t>Dictionary</w:t>
      </w:r>
      <w:r>
        <w:t>.</w:t>
      </w:r>
    </w:p>
  </w:footnote>
  <w:footnote w:id="18">
    <w:p w14:paraId="6A59F460" w14:textId="031320C8" w:rsidR="00E357A5" w:rsidRPr="00DE7A80" w:rsidRDefault="00E357A5" w:rsidP="00E357A5">
      <w:pPr>
        <w:pStyle w:val="FootnoteText"/>
      </w:pPr>
      <w:r>
        <w:rPr>
          <w:rStyle w:val="FootnoteReference"/>
        </w:rPr>
        <w:footnoteRef/>
      </w:r>
      <w:r>
        <w:t xml:space="preserve"> The Panel's reasoning in Panel Report, </w:t>
      </w:r>
      <w:r>
        <w:rPr>
          <w:i/>
          <w:iCs/>
        </w:rPr>
        <w:t>US – Countervailing Duty Investigation on DRA</w:t>
      </w:r>
      <w:r w:rsidR="00570A6D">
        <w:rPr>
          <w:i/>
          <w:iCs/>
        </w:rPr>
        <w:t>Ms</w:t>
      </w:r>
      <w:r>
        <w:rPr>
          <w:i/>
          <w:iCs/>
        </w:rPr>
        <w:t xml:space="preserve"> </w:t>
      </w:r>
      <w:r>
        <w:t xml:space="preserve">supports this position. The Panel was not persuaded by the argument that a loan must be made pursuant to a governmental programme in order to be "normally vested in the government". Entrustment or direction by a government to a commercial bank, to provide a "conventional loan", could also satisfy the standard of a function "normally vested in the government": fn. 57. This reasoning was not overturned on appeal. Australia makes no comment on the Panel's reasoning that "to the extent that loans and restructuring measures involve taxation or revenue expenditure, they are capable of falling within the scope of that provision." Rather, we point to this passage to observe that the Panel did not require </w:t>
      </w:r>
      <w:r>
        <w:rPr>
          <w:i/>
          <w:iCs/>
        </w:rPr>
        <w:t xml:space="preserve">actual </w:t>
      </w:r>
      <w:r>
        <w:t>practice of the specific function by the government, as evidenced by a specific "governmental programme".</w:t>
      </w:r>
    </w:p>
  </w:footnote>
  <w:footnote w:id="19">
    <w:p w14:paraId="399D3DC6" w14:textId="6F597614" w:rsidR="00F938C9" w:rsidRDefault="00F938C9">
      <w:pPr>
        <w:pStyle w:val="FootnoteText"/>
      </w:pPr>
      <w:r>
        <w:rPr>
          <w:rStyle w:val="FootnoteReference"/>
        </w:rPr>
        <w:footnoteRef/>
      </w:r>
      <w:r>
        <w:t xml:space="preserve"> European</w:t>
      </w:r>
      <w:r w:rsidR="002D4FF6">
        <w:t xml:space="preserve"> Union</w:t>
      </w:r>
      <w:r w:rsidR="002D4FF6" w:rsidRPr="00CF617C">
        <w:t>'</w:t>
      </w:r>
      <w:r>
        <w:t>s first written submission, para. 182.</w:t>
      </w:r>
      <w:r w:rsidR="004A5024">
        <w:t xml:space="preserve"> (footnote omitted)</w:t>
      </w:r>
    </w:p>
  </w:footnote>
  <w:footnote w:id="20">
    <w:p w14:paraId="541D0AAF" w14:textId="7FB51BC4" w:rsidR="008258CB" w:rsidRDefault="008258CB">
      <w:pPr>
        <w:pStyle w:val="FootnoteText"/>
      </w:pPr>
      <w:r>
        <w:rPr>
          <w:rStyle w:val="FootnoteReference"/>
        </w:rPr>
        <w:footnoteRef/>
      </w:r>
      <w:r>
        <w:t xml:space="preserve"> Indonesia considers that the relevant </w:t>
      </w:r>
      <w:r w:rsidR="00C56CBA">
        <w:t>"</w:t>
      </w:r>
      <w:r>
        <w:t>function</w:t>
      </w:r>
      <w:r w:rsidR="00C56CBA">
        <w:t>"</w:t>
      </w:r>
      <w:r>
        <w:t xml:space="preserve"> </w:t>
      </w:r>
      <w:r w:rsidR="0074447D">
        <w:t xml:space="preserve">under Article 1.1(a)(1)(iv) </w:t>
      </w:r>
      <w:r>
        <w:t xml:space="preserve">was the </w:t>
      </w:r>
      <w:r w:rsidR="00C56CBA">
        <w:t>"</w:t>
      </w:r>
      <w:r>
        <w:t>supply</w:t>
      </w:r>
      <w:r w:rsidR="00C56CBA">
        <w:t>"</w:t>
      </w:r>
      <w:r>
        <w:t xml:space="preserve"> of CPO (i.e. under Article 1.1(a)(1)(iii)).</w:t>
      </w:r>
      <w:r w:rsidR="004721AB">
        <w:t xml:space="preserve"> (See Indonesia</w:t>
      </w:r>
      <w:r w:rsidR="00127B90" w:rsidRPr="00CF617C">
        <w:t>'</w:t>
      </w:r>
      <w:r w:rsidR="004721AB">
        <w:t xml:space="preserve">s first written submission, para. 186). </w:t>
      </w:r>
      <w:r w:rsidRPr="00E908F5">
        <w:t xml:space="preserve">The European Union argues that the relevant function identified by the Commission </w:t>
      </w:r>
      <w:r w:rsidR="00446989" w:rsidRPr="00E908F5">
        <w:t>"</w:t>
      </w:r>
      <w:r w:rsidRPr="00E908F5">
        <w:t>is the implementa</w:t>
      </w:r>
      <w:r>
        <w:t xml:space="preserve">tion of a policy of ensuring the provision of CPO (a raw material) to local biodiesel producers for </w:t>
      </w:r>
      <w:r w:rsidRPr="008E1B56">
        <w:rPr>
          <w:u w:val="single"/>
        </w:rPr>
        <w:t>LTAR</w:t>
      </w:r>
      <w:r w:rsidRPr="00671D84">
        <w:t xml:space="preserve"> </w:t>
      </w:r>
      <w:r>
        <w:t xml:space="preserve">[and] which the Commission found to be a function </w:t>
      </w:r>
      <w:r w:rsidR="008E7CD2" w:rsidRPr="00CF617C">
        <w:t>'</w:t>
      </w:r>
      <w:r w:rsidR="006E699E">
        <w:rPr>
          <w:rFonts w:asciiTheme="minorHAnsi" w:hAnsiTheme="minorHAnsi"/>
        </w:rPr>
        <w:t>normally</w:t>
      </w:r>
      <w:r>
        <w:t xml:space="preserve"> vested in government</w:t>
      </w:r>
      <w:r w:rsidR="008E7CD2" w:rsidRPr="00CF617C">
        <w:t>'</w:t>
      </w:r>
      <w:r>
        <w:t xml:space="preserve"> …</w:t>
      </w:r>
      <w:r w:rsidR="00767DA2" w:rsidRPr="00074A03">
        <w:t xml:space="preserve"> In other words,</w:t>
      </w:r>
      <w:r w:rsidR="00767DA2" w:rsidRPr="00767DA2">
        <w:rPr>
          <w:u w:val="single"/>
        </w:rPr>
        <w:t xml:space="preserve"> the function that has been entrusted is the government policy of providing support to a specific industry and thereby sacrificing revenue.</w:t>
      </w:r>
      <w:r w:rsidR="00446989">
        <w:t>"</w:t>
      </w:r>
      <w:r w:rsidR="002A7FFB">
        <w:t xml:space="preserve"> (European Union</w:t>
      </w:r>
      <w:r w:rsidR="00127B90" w:rsidRPr="00CF617C">
        <w:t>'</w:t>
      </w:r>
      <w:r w:rsidR="002A7FFB">
        <w:t xml:space="preserve">s first written submission, paras. 179. (emphasis original)) </w:t>
      </w:r>
      <w:r w:rsidR="001D48BF">
        <w:t>It argues that the supply of CPO for LTAR was "</w:t>
      </w:r>
      <w:r w:rsidR="008871B6">
        <w:t>[</w:t>
      </w:r>
      <w:r w:rsidR="001D48BF">
        <w:t>o</w:t>
      </w:r>
      <w:r w:rsidR="008871B6">
        <w:t>]</w:t>
      </w:r>
      <w:r w:rsidR="001D48BF">
        <w:t>ne measure of several", which</w:t>
      </w:r>
      <w:r w:rsidR="003813DD">
        <w:t xml:space="preserve"> the GOI used to achieve its policy objective</w:t>
      </w:r>
      <w:r w:rsidR="001D48BF">
        <w:t xml:space="preserve"> </w:t>
      </w:r>
      <w:r w:rsidR="002A7FFB">
        <w:t xml:space="preserve">(European Union’s first written submission, para 251. </w:t>
      </w:r>
      <w:r w:rsidR="00532041">
        <w:t>See also,</w:t>
      </w:r>
      <w:r w:rsidR="00127B90">
        <w:t xml:space="preserve"> European Union</w:t>
      </w:r>
      <w:r w:rsidR="00127B90" w:rsidRPr="00CF617C">
        <w:t>'</w:t>
      </w:r>
      <w:r w:rsidR="00127B90">
        <w:t>s first written submission,</w:t>
      </w:r>
      <w:r w:rsidR="00532041">
        <w:t xml:space="preserve"> para</w:t>
      </w:r>
      <w:r w:rsidR="00C44145">
        <w:t>s</w:t>
      </w:r>
      <w:r w:rsidR="00532041">
        <w:t>. 237</w:t>
      </w:r>
      <w:r w:rsidR="003813DD">
        <w:t xml:space="preserve"> and</w:t>
      </w:r>
      <w:r w:rsidR="00233A08">
        <w:t xml:space="preserve"> </w:t>
      </w:r>
      <w:r w:rsidR="00C44145">
        <w:t>249</w:t>
      </w:r>
      <w:r w:rsidR="00233A08">
        <w:t>.</w:t>
      </w:r>
    </w:p>
  </w:footnote>
  <w:footnote w:id="21">
    <w:p w14:paraId="5BEE5004" w14:textId="721AF544" w:rsidR="001958CD" w:rsidRDefault="001958CD">
      <w:pPr>
        <w:pStyle w:val="FootnoteText"/>
      </w:pPr>
      <w:r>
        <w:rPr>
          <w:rStyle w:val="FootnoteReference"/>
        </w:rPr>
        <w:footnoteRef/>
      </w:r>
      <w:r>
        <w:t xml:space="preserve"> Australia makes this observation</w:t>
      </w:r>
      <w:r w:rsidR="003D3B5B">
        <w:t xml:space="preserve"> for illustrative purposes and</w:t>
      </w:r>
      <w:r>
        <w:t xml:space="preserve"> by way of comparison</w:t>
      </w:r>
      <w:r w:rsidR="003D3B5B">
        <w:t>. We do not suggest</w:t>
      </w:r>
      <w:r>
        <w:t xml:space="preserve"> that </w:t>
      </w:r>
      <w:r w:rsidR="0023614B">
        <w:t>a</w:t>
      </w:r>
      <w:r w:rsidR="003D3B5B">
        <w:t>n analysis of the requirements</w:t>
      </w:r>
      <w:r w:rsidR="0023614B">
        <w:t xml:space="preserve"> under subparagraph (iii) is directly relevant to the Panel</w:t>
      </w:r>
      <w:r w:rsidR="00AA0945" w:rsidRPr="00CF617C">
        <w:t>'</w:t>
      </w:r>
      <w:r w:rsidR="0023614B">
        <w:t>s examination under Article 1.1(a)(1)(iv).</w:t>
      </w:r>
    </w:p>
  </w:footnote>
  <w:footnote w:id="22">
    <w:p w14:paraId="3763CE84" w14:textId="6104C128" w:rsidR="005448EE" w:rsidRDefault="005448EE">
      <w:pPr>
        <w:pStyle w:val="FootnoteText"/>
      </w:pPr>
      <w:r>
        <w:rPr>
          <w:rStyle w:val="FootnoteReference"/>
        </w:rPr>
        <w:footnoteRef/>
      </w:r>
      <w:r>
        <w:t xml:space="preserve"> For example, </w:t>
      </w:r>
      <w:r w:rsidR="008750EC">
        <w:t xml:space="preserve">the provision of </w:t>
      </w:r>
      <w:r w:rsidR="008750EC" w:rsidRPr="00CF617C">
        <w:t>timber</w:t>
      </w:r>
      <w:r w:rsidR="00024B06" w:rsidRPr="00CF617C">
        <w:t xml:space="preserve"> logs</w:t>
      </w:r>
      <w:r w:rsidRPr="00CF617C">
        <w:t xml:space="preserve"> and</w:t>
      </w:r>
      <w:r>
        <w:t xml:space="preserve"> iron ore.</w:t>
      </w:r>
    </w:p>
  </w:footnote>
  <w:footnote w:id="23">
    <w:p w14:paraId="494C319D" w14:textId="07900406" w:rsidR="00E3667A" w:rsidRPr="007D429F" w:rsidRDefault="00E3667A" w:rsidP="00E3667A">
      <w:pPr>
        <w:pStyle w:val="FootnoteText"/>
      </w:pPr>
      <w:r>
        <w:rPr>
          <w:rStyle w:val="FootnoteReference"/>
        </w:rPr>
        <w:footnoteRef/>
      </w:r>
      <w:r>
        <w:t xml:space="preserve"> See Appellate Body Reports, </w:t>
      </w:r>
      <w:r>
        <w:rPr>
          <w:i/>
          <w:iCs/>
        </w:rPr>
        <w:t>US – Carbon Steel (India)</w:t>
      </w:r>
      <w:r>
        <w:t>, para</w:t>
      </w:r>
      <w:r w:rsidR="00D14493">
        <w:t>s</w:t>
      </w:r>
      <w:r>
        <w:t xml:space="preserve">. </w:t>
      </w:r>
      <w:r w:rsidR="00D14493">
        <w:t xml:space="preserve">4.74 - </w:t>
      </w:r>
      <w:r>
        <w:t>4.75</w:t>
      </w:r>
      <w:r w:rsidR="0077142F">
        <w:t xml:space="preserve">; </w:t>
      </w:r>
      <w:r w:rsidR="0077142F">
        <w:rPr>
          <w:i/>
          <w:iCs/>
        </w:rPr>
        <w:t>US – Softwood Lumber IV</w:t>
      </w:r>
      <w:r w:rsidR="0077142F">
        <w:t>, para. 71.</w:t>
      </w:r>
      <w:r w:rsidR="009A477A">
        <w:t xml:space="preserve"> For avoidance of </w:t>
      </w:r>
      <w:r w:rsidR="009A477A" w:rsidRPr="0074277C">
        <w:t xml:space="preserve">doubt, Australia </w:t>
      </w:r>
      <w:r w:rsidR="0074277C" w:rsidRPr="0074277C">
        <w:t xml:space="preserve">is </w:t>
      </w:r>
      <w:r w:rsidR="009A477A" w:rsidRPr="0074277C">
        <w:t>not</w:t>
      </w:r>
      <w:r w:rsidR="009A477A">
        <w:t xml:space="preserve"> seeking to import a "reasonably proximate" requirement into the standard of "normally vested in the government"</w:t>
      </w:r>
      <w:r w:rsidR="00A570DA">
        <w:t>.</w:t>
      </w:r>
      <w:r w:rsidR="004B48DE">
        <w:t xml:space="preserve"> </w:t>
      </w:r>
      <w:r w:rsidR="009A477A">
        <w:t xml:space="preserve">Our comments do not go to the substantive content of the "normally vested" criterion at all. </w:t>
      </w:r>
    </w:p>
  </w:footnote>
  <w:footnote w:id="24">
    <w:p w14:paraId="0B184328" w14:textId="77777777" w:rsidR="00E3667A" w:rsidRPr="00591A80" w:rsidRDefault="00E3667A" w:rsidP="00E3667A">
      <w:pPr>
        <w:pStyle w:val="FootnoteText"/>
      </w:pPr>
      <w:r>
        <w:rPr>
          <w:rStyle w:val="FootnoteReference"/>
        </w:rPr>
        <w:footnoteRef/>
      </w:r>
      <w:r>
        <w:t xml:space="preserve"> Appellate Body Report, </w:t>
      </w:r>
      <w:r>
        <w:rPr>
          <w:i/>
          <w:iCs/>
        </w:rPr>
        <w:t>US – Softwood Lumber IV</w:t>
      </w:r>
      <w:r>
        <w:t>, para. 71. (emphasis added)</w:t>
      </w:r>
    </w:p>
  </w:footnote>
  <w:footnote w:id="25">
    <w:p w14:paraId="5028B7D7" w14:textId="0D826E1D" w:rsidR="00DD3079" w:rsidRDefault="00DD3079">
      <w:pPr>
        <w:pStyle w:val="FootnoteText"/>
      </w:pPr>
      <w:r>
        <w:rPr>
          <w:rStyle w:val="FootnoteReference"/>
        </w:rPr>
        <w:footnoteRef/>
      </w:r>
      <w:r>
        <w:t xml:space="preserve"> Indonesia</w:t>
      </w:r>
      <w:r w:rsidR="001A415B" w:rsidRPr="00CF617C">
        <w:t>'</w:t>
      </w:r>
      <w:r>
        <w:t>s first written submission, para. 211.</w:t>
      </w:r>
    </w:p>
  </w:footnote>
  <w:footnote w:id="26">
    <w:p w14:paraId="5A2EC665" w14:textId="428C466D" w:rsidR="00A80A2D" w:rsidRDefault="00A80A2D">
      <w:pPr>
        <w:pStyle w:val="FootnoteText"/>
      </w:pPr>
      <w:r>
        <w:rPr>
          <w:rStyle w:val="FootnoteReference"/>
        </w:rPr>
        <w:footnoteRef/>
      </w:r>
      <w:r>
        <w:t xml:space="preserve"> European Union</w:t>
      </w:r>
      <w:r w:rsidR="001A415B" w:rsidRPr="00CF617C">
        <w:t>'</w:t>
      </w:r>
      <w:r>
        <w:t>s first written submission, para. 278.</w:t>
      </w:r>
    </w:p>
  </w:footnote>
  <w:footnote w:id="27">
    <w:p w14:paraId="46410A56" w14:textId="1A79F9CD" w:rsidR="00A80A2D" w:rsidRDefault="00A80A2D">
      <w:pPr>
        <w:pStyle w:val="FootnoteText"/>
      </w:pPr>
      <w:r>
        <w:rPr>
          <w:rStyle w:val="FootnoteReference"/>
        </w:rPr>
        <w:footnoteRef/>
      </w:r>
      <w:r>
        <w:t xml:space="preserve"> European Union</w:t>
      </w:r>
      <w:r w:rsidR="001A415B" w:rsidRPr="00CF617C">
        <w:t>'</w:t>
      </w:r>
      <w:r>
        <w:t>s first written submission, para. 278.</w:t>
      </w:r>
    </w:p>
  </w:footnote>
  <w:footnote w:id="28">
    <w:p w14:paraId="29FBD9C9" w14:textId="142BECEA" w:rsidR="00A93605" w:rsidRDefault="00A93605">
      <w:pPr>
        <w:pStyle w:val="FootnoteText"/>
      </w:pPr>
      <w:r>
        <w:rPr>
          <w:rStyle w:val="FootnoteReference"/>
        </w:rPr>
        <w:footnoteRef/>
      </w:r>
      <w:r>
        <w:t xml:space="preserve"> European Union</w:t>
      </w:r>
      <w:r w:rsidR="001A415B" w:rsidRPr="00CF617C">
        <w:t>'</w:t>
      </w:r>
      <w:r>
        <w:t>s first written submission, paras. 263 – 264.</w:t>
      </w:r>
    </w:p>
  </w:footnote>
  <w:footnote w:id="29">
    <w:p w14:paraId="272FA4DB" w14:textId="31328129" w:rsidR="00663D59" w:rsidRDefault="00663D59">
      <w:pPr>
        <w:pStyle w:val="FootnoteText"/>
      </w:pPr>
      <w:r>
        <w:rPr>
          <w:rStyle w:val="FootnoteReference"/>
        </w:rPr>
        <w:footnoteRef/>
      </w:r>
      <w:r>
        <w:t xml:space="preserve"> As </w:t>
      </w:r>
      <w:r w:rsidR="004F2D08">
        <w:t xml:space="preserve">quoted at paragraph </w:t>
      </w:r>
      <w:r w:rsidR="00921C73" w:rsidRPr="00CF617C">
        <w:t>1</w:t>
      </w:r>
      <w:r w:rsidR="00CF617C" w:rsidRPr="00CF617C">
        <w:t>8</w:t>
      </w:r>
      <w:r w:rsidR="004F2D08">
        <w:t xml:space="preserve"> of this submission, above.</w:t>
      </w:r>
    </w:p>
  </w:footnote>
  <w:footnote w:id="30">
    <w:p w14:paraId="32F852B5" w14:textId="31DDAE73" w:rsidR="004564F1" w:rsidRDefault="004564F1">
      <w:pPr>
        <w:pStyle w:val="FootnoteText"/>
      </w:pPr>
      <w:r>
        <w:rPr>
          <w:rStyle w:val="FootnoteReference"/>
        </w:rPr>
        <w:footnoteRef/>
      </w:r>
      <w:r>
        <w:t xml:space="preserve"> Oxford English Dictionary.</w:t>
      </w:r>
    </w:p>
  </w:footnote>
  <w:footnote w:id="31">
    <w:p w14:paraId="6F01D5B1" w14:textId="5D741C0B" w:rsidR="00747A15" w:rsidRDefault="00747A15" w:rsidP="00747A15">
      <w:pPr>
        <w:pStyle w:val="FootnoteText"/>
      </w:pPr>
      <w:r>
        <w:rPr>
          <w:rStyle w:val="FootnoteReference"/>
        </w:rPr>
        <w:footnoteRef/>
      </w:r>
      <w:r>
        <w:t xml:space="preserve"> Australia </w:t>
      </w:r>
      <w:r w:rsidR="00BC5279">
        <w:t xml:space="preserve">also </w:t>
      </w:r>
      <w:r>
        <w:t xml:space="preserve">notes </w:t>
      </w:r>
      <w:r w:rsidR="002C7635">
        <w:t xml:space="preserve">the </w:t>
      </w:r>
      <w:r>
        <w:t>Appellate Body statement that a finding of "entrustment or direction"</w:t>
      </w:r>
      <w:r w:rsidDel="009906FB">
        <w:t xml:space="preserve"> </w:t>
      </w:r>
      <w:r>
        <w:t>requires th</w:t>
      </w:r>
      <w:r w:rsidR="002132F8">
        <w:t>at th</w:t>
      </w:r>
      <w:r>
        <w:t xml:space="preserve">e government "give responsibility to a private body – or exercise its authority over a private body – in order to effectuate a financial contribution": Appellate Body Report, </w:t>
      </w:r>
      <w:r w:rsidRPr="00CA6E04">
        <w:rPr>
          <w:i/>
          <w:iCs/>
        </w:rPr>
        <w:t>US – Countervailing Duty Investigation on DRAM</w:t>
      </w:r>
      <w:r w:rsidR="008D37B4">
        <w:rPr>
          <w:i/>
          <w:iCs/>
        </w:rPr>
        <w:t>s</w:t>
      </w:r>
      <w:r>
        <w:t>, para. 1</w:t>
      </w:r>
      <w:r w:rsidR="003012C5">
        <w:t>13</w:t>
      </w:r>
      <w:r>
        <w:t xml:space="preserve">. </w:t>
      </w:r>
    </w:p>
  </w:footnote>
  <w:footnote w:id="32">
    <w:p w14:paraId="58A059C5" w14:textId="269E6F82" w:rsidR="00B97D7D" w:rsidRDefault="00B97D7D">
      <w:pPr>
        <w:pStyle w:val="FootnoteText"/>
      </w:pPr>
      <w:r>
        <w:rPr>
          <w:rStyle w:val="FootnoteReference"/>
        </w:rPr>
        <w:footnoteRef/>
      </w:r>
      <w:r>
        <w:t xml:space="preserve"> Appellate Body Report, </w:t>
      </w:r>
      <w:r>
        <w:rPr>
          <w:i/>
          <w:iCs/>
        </w:rPr>
        <w:t>US – Countervailing Duty Investigation on DRAMs</w:t>
      </w:r>
      <w:r>
        <w:t>, para. 110.</w:t>
      </w:r>
    </w:p>
  </w:footnote>
  <w:footnote w:id="33">
    <w:p w14:paraId="02D3CA7A" w14:textId="48C43B0F" w:rsidR="0096222F" w:rsidRDefault="0096222F">
      <w:pPr>
        <w:pStyle w:val="FootnoteText"/>
      </w:pPr>
      <w:r>
        <w:rPr>
          <w:rStyle w:val="FootnoteReference"/>
        </w:rPr>
        <w:footnoteRef/>
      </w:r>
      <w:r>
        <w:t xml:space="preserve"> Appellate Body Report, </w:t>
      </w:r>
      <w:r>
        <w:rPr>
          <w:i/>
          <w:iCs/>
        </w:rPr>
        <w:t>US – Countervailing Duty Investigation on DRAMs</w:t>
      </w:r>
      <w:r>
        <w:t>, para. 111.</w:t>
      </w:r>
    </w:p>
  </w:footnote>
  <w:footnote w:id="34">
    <w:p w14:paraId="279B3F10" w14:textId="6F3B40CF" w:rsidR="00B362C2" w:rsidRPr="00364CF0" w:rsidRDefault="00B362C2">
      <w:pPr>
        <w:pStyle w:val="FootnoteText"/>
      </w:pPr>
      <w:r>
        <w:rPr>
          <w:rStyle w:val="FootnoteReference"/>
        </w:rPr>
        <w:footnoteRef/>
      </w:r>
      <w:r>
        <w:t xml:space="preserve"> </w:t>
      </w:r>
      <w:r w:rsidR="00364CF0" w:rsidRPr="00F95004">
        <w:t xml:space="preserve">Panel Report, </w:t>
      </w:r>
      <w:r w:rsidR="00364CF0" w:rsidRPr="00F95004">
        <w:rPr>
          <w:i/>
          <w:iCs/>
        </w:rPr>
        <w:t>EC - Countervailing Measures on DRAM Chips</w:t>
      </w:r>
      <w:r w:rsidR="00364CF0">
        <w:t>, fn. 65.</w:t>
      </w:r>
    </w:p>
  </w:footnote>
  <w:footnote w:id="35">
    <w:p w14:paraId="2270D01B" w14:textId="2E11B8B3" w:rsidR="00667F76" w:rsidRPr="00F95004" w:rsidRDefault="00667F76" w:rsidP="00667F76">
      <w:pPr>
        <w:pStyle w:val="FootnoteText"/>
      </w:pPr>
      <w:r>
        <w:rPr>
          <w:rStyle w:val="FootnoteReference"/>
        </w:rPr>
        <w:footnoteRef/>
      </w:r>
      <w:r>
        <w:t xml:space="preserve"> </w:t>
      </w:r>
      <w:r w:rsidRPr="00F95004">
        <w:t xml:space="preserve">Panel Report, </w:t>
      </w:r>
      <w:r w:rsidRPr="00F95004">
        <w:rPr>
          <w:i/>
          <w:iCs/>
        </w:rPr>
        <w:t>EC - Countervailing Measures on DRAM Chips</w:t>
      </w:r>
      <w:r>
        <w:rPr>
          <w:i/>
          <w:iCs/>
        </w:rPr>
        <w:t xml:space="preserve"> </w:t>
      </w:r>
      <w:r>
        <w:t>para. 7.57, on the "form" of entrustment or direction.</w:t>
      </w:r>
    </w:p>
  </w:footnote>
  <w:footnote w:id="36">
    <w:p w14:paraId="5CEC6BFB" w14:textId="77777777" w:rsidR="00667F76" w:rsidRDefault="00667F76" w:rsidP="00667F76">
      <w:pPr>
        <w:pStyle w:val="FootnoteText"/>
      </w:pPr>
      <w:r>
        <w:rPr>
          <w:rStyle w:val="FootnoteReference"/>
        </w:rPr>
        <w:footnoteRef/>
      </w:r>
      <w:r>
        <w:t xml:space="preserve"> Indonesia’s first written submission, para. 212.</w:t>
      </w:r>
    </w:p>
  </w:footnote>
  <w:footnote w:id="37">
    <w:p w14:paraId="1A907C14" w14:textId="4AB1B548" w:rsidR="00A55DD1" w:rsidRDefault="00A55DD1">
      <w:pPr>
        <w:pStyle w:val="FootnoteText"/>
      </w:pPr>
      <w:r>
        <w:rPr>
          <w:rStyle w:val="FootnoteReference"/>
        </w:rPr>
        <w:footnoteRef/>
      </w:r>
      <w:r>
        <w:t xml:space="preserve"> </w:t>
      </w:r>
      <w:r w:rsidR="00387E47">
        <w:t>Provisional Regulation</w:t>
      </w:r>
      <w:r>
        <w:t>, recital (203)</w:t>
      </w:r>
      <w:r w:rsidR="006062DD">
        <w:t>, as confirmed in the Definitive Regulation (see recital (161)).</w:t>
      </w:r>
    </w:p>
  </w:footnote>
  <w:footnote w:id="38">
    <w:p w14:paraId="54FA5329" w14:textId="546E2D17" w:rsidR="009101E5" w:rsidRDefault="009101E5">
      <w:pPr>
        <w:pStyle w:val="FootnoteText"/>
      </w:pPr>
      <w:r>
        <w:rPr>
          <w:rStyle w:val="FootnoteReference"/>
        </w:rPr>
        <w:footnoteRef/>
      </w:r>
      <w:r>
        <w:t xml:space="preserve"> </w:t>
      </w:r>
      <w:r w:rsidRPr="00F95004">
        <w:t xml:space="preserve">Panel Report, </w:t>
      </w:r>
      <w:r w:rsidRPr="00F95004">
        <w:rPr>
          <w:i/>
          <w:iCs/>
        </w:rPr>
        <w:t>EC - Countervailing Measures on DRAM Chips</w:t>
      </w:r>
      <w:r w:rsidR="00364CF0">
        <w:t>,</w:t>
      </w:r>
      <w:r>
        <w:rPr>
          <w:i/>
          <w:iCs/>
        </w:rPr>
        <w:t xml:space="preserve"> </w:t>
      </w:r>
      <w:r>
        <w:t>para. 7.57</w:t>
      </w:r>
      <w:r w:rsidR="00170F78">
        <w:t>. (footnote omitted)</w:t>
      </w:r>
    </w:p>
  </w:footnote>
  <w:footnote w:id="39">
    <w:p w14:paraId="190E3BFE" w14:textId="16BDF200" w:rsidR="00FA786F" w:rsidRPr="00291ADC" w:rsidRDefault="00FA786F">
      <w:pPr>
        <w:pStyle w:val="FootnoteText"/>
      </w:pPr>
      <w:r>
        <w:rPr>
          <w:rStyle w:val="FootnoteReference"/>
        </w:rPr>
        <w:footnoteRef/>
      </w:r>
      <w:r>
        <w:t xml:space="preserve"> Appellate Body Report, </w:t>
      </w:r>
      <w:r>
        <w:rPr>
          <w:i/>
          <w:iCs/>
        </w:rPr>
        <w:t>US – Countervailing Duty Investigation on DRAMs</w:t>
      </w:r>
      <w:r>
        <w:t>, para. 11</w:t>
      </w:r>
      <w:r w:rsidR="00A15B01">
        <w:t>2</w:t>
      </w:r>
      <w:r>
        <w:t>.</w:t>
      </w:r>
      <w:r w:rsidR="00291ADC">
        <w:t xml:space="preserve"> See also, Appellate Body Report,</w:t>
      </w:r>
      <w:r w:rsidR="00291ADC" w:rsidRPr="00BA081E">
        <w:rPr>
          <w:i/>
          <w:iCs/>
        </w:rPr>
        <w:t xml:space="preserve"> US – Countervailing Measures (China) (Article 21</w:t>
      </w:r>
      <w:r w:rsidR="007538ED" w:rsidRPr="00BA081E">
        <w:rPr>
          <w:i/>
          <w:iCs/>
        </w:rPr>
        <w:t>.</w:t>
      </w:r>
      <w:r w:rsidR="00291ADC" w:rsidRPr="00BA081E">
        <w:rPr>
          <w:i/>
          <w:iCs/>
        </w:rPr>
        <w:t xml:space="preserve">5 – China), </w:t>
      </w:r>
      <w:r w:rsidR="00291ADC">
        <w:t>para. 5.103</w:t>
      </w:r>
      <w:r w:rsidR="007733B8">
        <w:t>.</w:t>
      </w:r>
    </w:p>
  </w:footnote>
  <w:footnote w:id="40">
    <w:p w14:paraId="2A3E9136" w14:textId="666D3B87" w:rsidR="009A1B2A" w:rsidRPr="009A1B2A" w:rsidRDefault="009A1B2A">
      <w:pPr>
        <w:pStyle w:val="FootnoteText"/>
      </w:pPr>
      <w:r>
        <w:rPr>
          <w:rStyle w:val="FootnoteReference"/>
        </w:rPr>
        <w:footnoteRef/>
      </w:r>
      <w:r>
        <w:t xml:space="preserve"> Appellate Body Report, </w:t>
      </w:r>
      <w:r>
        <w:rPr>
          <w:i/>
          <w:iCs/>
        </w:rPr>
        <w:t>US – Anti-Dumping and Countervailing Duties (China)</w:t>
      </w:r>
      <w:r>
        <w:t xml:space="preserve">, para. </w:t>
      </w:r>
      <w:r w:rsidR="00843AAC">
        <w:t>28</w:t>
      </w:r>
      <w:r w:rsidR="00B43CE2">
        <w:t>4</w:t>
      </w:r>
      <w:r w:rsidR="00843AAC">
        <w:t>.</w:t>
      </w:r>
      <w:r w:rsidR="00DD16DA">
        <w:t xml:space="preserve"> (emphasis </w:t>
      </w:r>
      <w:r w:rsidR="00936A68">
        <w:t>removed)</w:t>
      </w:r>
    </w:p>
  </w:footnote>
  <w:footnote w:id="41">
    <w:p w14:paraId="79D00715" w14:textId="2A7F70B6" w:rsidR="00D46283" w:rsidRDefault="00D46283">
      <w:pPr>
        <w:pStyle w:val="FootnoteText"/>
      </w:pPr>
      <w:r>
        <w:rPr>
          <w:rStyle w:val="FootnoteReference"/>
        </w:rPr>
        <w:footnoteRef/>
      </w:r>
      <w:r w:rsidR="00D962F7">
        <w:t xml:space="preserve"> </w:t>
      </w:r>
      <w:r w:rsidRPr="00D46283">
        <w:t xml:space="preserve">Appellate Body Report, </w:t>
      </w:r>
      <w:r w:rsidRPr="00D46283">
        <w:rPr>
          <w:i/>
          <w:iCs/>
        </w:rPr>
        <w:t>US – Countervailing Duty Investigation on DRAMs</w:t>
      </w:r>
      <w:r w:rsidRPr="00D46283">
        <w:t>, para. 114</w:t>
      </w:r>
      <w:r>
        <w:t>.</w:t>
      </w:r>
      <w:r w:rsidR="00BD46BE">
        <w:t xml:space="preserve"> (footnote omitted)</w:t>
      </w:r>
    </w:p>
  </w:footnote>
  <w:footnote w:id="42">
    <w:p w14:paraId="6546C876" w14:textId="4112844D" w:rsidR="00E35EA3" w:rsidRPr="00E35EA3" w:rsidRDefault="00E35EA3">
      <w:pPr>
        <w:pStyle w:val="FootnoteText"/>
      </w:pPr>
      <w:r>
        <w:rPr>
          <w:rStyle w:val="FootnoteReference"/>
        </w:rPr>
        <w:footnoteRef/>
      </w:r>
      <w:r>
        <w:t xml:space="preserve"> Panel Report, </w:t>
      </w:r>
      <w:r>
        <w:rPr>
          <w:i/>
          <w:iCs/>
        </w:rPr>
        <w:t>Japan – DRAM</w:t>
      </w:r>
      <w:r w:rsidR="00B744C6">
        <w:rPr>
          <w:i/>
          <w:iCs/>
        </w:rPr>
        <w:t>s</w:t>
      </w:r>
      <w:r>
        <w:rPr>
          <w:i/>
          <w:iCs/>
        </w:rPr>
        <w:t xml:space="preserve"> (Korea)</w:t>
      </w:r>
      <w:r>
        <w:t>, para. 7.73.</w:t>
      </w:r>
      <w:r w:rsidR="00481480">
        <w:t xml:space="preserve"> </w:t>
      </w:r>
      <w:r w:rsidR="00C3258E">
        <w:t xml:space="preserve">See also, Appellate Body Report, </w:t>
      </w:r>
      <w:r w:rsidR="00407408">
        <w:rPr>
          <w:i/>
          <w:iCs/>
        </w:rPr>
        <w:t>US – Countervailing Duty Investigation on DRAMs</w:t>
      </w:r>
      <w:r w:rsidR="00407408">
        <w:t xml:space="preserve">, fn. </w:t>
      </w:r>
      <w:r w:rsidR="00186D38">
        <w:t>277</w:t>
      </w:r>
      <w:r w:rsidR="00971A25">
        <w:t xml:space="preserve">: </w:t>
      </w:r>
      <w:r w:rsidR="00BD7AB6">
        <w:t>"</w:t>
      </w:r>
      <w:r w:rsidR="00971A25">
        <w:t xml:space="preserve">… </w:t>
      </w:r>
      <w:r w:rsidR="00BD7AB6">
        <w:t>[a holistic]</w:t>
      </w:r>
      <w:r w:rsidR="00971A25">
        <w:t xml:space="preserve"> approach is particularly relevant </w:t>
      </w:r>
      <w:r w:rsidR="00971A25" w:rsidRPr="00DF03C5">
        <w:rPr>
          <w:b/>
          <w:bCs/>
        </w:rPr>
        <w:t>in cases of entrustment or direction under Article 1.1(a)(1)(iv), where much of the evidence that is publicly-available, and therefore readily accessible to interested parties and the investigating authority, will likely be of a circumstantial nature</w:t>
      </w:r>
      <w:r w:rsidR="00971A25">
        <w:t>.</w:t>
      </w:r>
      <w:r w:rsidR="00BD7AB6">
        <w:t>" (emphasis added)</w:t>
      </w:r>
    </w:p>
  </w:footnote>
  <w:footnote w:id="43">
    <w:p w14:paraId="50EA93C1" w14:textId="179D8A6D" w:rsidR="00B1258A" w:rsidRDefault="00B1258A">
      <w:pPr>
        <w:pStyle w:val="FootnoteText"/>
      </w:pPr>
      <w:r>
        <w:rPr>
          <w:rStyle w:val="FootnoteReference"/>
        </w:rPr>
        <w:footnoteRef/>
      </w:r>
      <w:r>
        <w:t xml:space="preserve"> Panel Report, </w:t>
      </w:r>
      <w:r>
        <w:rPr>
          <w:i/>
          <w:iCs/>
        </w:rPr>
        <w:t>Japan – DRAM</w:t>
      </w:r>
      <w:r w:rsidR="00B744C6">
        <w:rPr>
          <w:i/>
          <w:iCs/>
        </w:rPr>
        <w:t>s</w:t>
      </w:r>
      <w:r>
        <w:rPr>
          <w:i/>
          <w:iCs/>
        </w:rPr>
        <w:t xml:space="preserve"> (Korea)</w:t>
      </w:r>
      <w:r>
        <w:t>, para. 7.</w:t>
      </w:r>
      <w:r w:rsidR="00DF09E7">
        <w:t>104</w:t>
      </w:r>
      <w:r w:rsidR="00DF03C5">
        <w:t xml:space="preserve"> (emphasis added)</w:t>
      </w:r>
      <w:r w:rsidR="00DF09E7">
        <w:t>.</w:t>
      </w:r>
      <w:r w:rsidR="0015175B">
        <w:t xml:space="preserve"> The Appellate Body did not criticise this approach, on appeal.</w:t>
      </w:r>
      <w:r w:rsidR="00F75BE1">
        <w:t xml:space="preserve"> See for example, Appellate Body Report, </w:t>
      </w:r>
      <w:r w:rsidR="00F75BE1">
        <w:rPr>
          <w:i/>
          <w:iCs/>
        </w:rPr>
        <w:t>Japan – DRA</w:t>
      </w:r>
      <w:r w:rsidR="00B744C6">
        <w:rPr>
          <w:i/>
          <w:iCs/>
        </w:rPr>
        <w:t>Ms</w:t>
      </w:r>
      <w:r w:rsidR="00F75BE1">
        <w:rPr>
          <w:i/>
          <w:iCs/>
        </w:rPr>
        <w:t xml:space="preserve"> (Korea)</w:t>
      </w:r>
      <w:r w:rsidR="00F75BE1">
        <w:t>, para. 134.</w:t>
      </w:r>
    </w:p>
  </w:footnote>
  <w:footnote w:id="44">
    <w:p w14:paraId="2CFCF6D6" w14:textId="0A9AC78A" w:rsidR="00792F4A" w:rsidRDefault="00792F4A">
      <w:pPr>
        <w:pStyle w:val="FootnoteText"/>
      </w:pPr>
      <w:r>
        <w:rPr>
          <w:rStyle w:val="FootnoteReference"/>
        </w:rPr>
        <w:footnoteRef/>
      </w:r>
      <w:r>
        <w:t xml:space="preserve"> This is general comment, and not an observation on the </w:t>
      </w:r>
      <w:r w:rsidR="00C374C2">
        <w:t>facts of this dispute.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A715" w14:textId="5BA6E545" w:rsidR="00AB418A" w:rsidRDefault="00447404">
    <w:pPr>
      <w:pStyle w:val="Header"/>
    </w:pPr>
    <w:r>
      <w:rPr>
        <w:i/>
        <w:iCs/>
      </w:rPr>
      <w:t>EU</w:t>
    </w:r>
    <w:r w:rsidR="00AB418A">
      <w:rPr>
        <w:i/>
        <w:iCs/>
      </w:rPr>
      <w:t xml:space="preserve"> – </w:t>
    </w:r>
    <w:r>
      <w:rPr>
        <w:i/>
        <w:iCs/>
      </w:rPr>
      <w:t>CVDs on Biodiesel (Indonesia)</w:t>
    </w:r>
    <w:r w:rsidR="00AB418A">
      <w:ptab w:relativeTo="margin" w:alignment="right" w:leader="none"/>
    </w:r>
    <w:r w:rsidR="00AB418A">
      <w:t>Third</w:t>
    </w:r>
    <w:r w:rsidR="00E35EA2">
      <w:t xml:space="preserve"> </w:t>
    </w:r>
    <w:r w:rsidR="00AB7688">
      <w:t>p</w:t>
    </w:r>
    <w:r w:rsidR="00AB418A">
      <w:t xml:space="preserve">arty </w:t>
    </w:r>
    <w:r w:rsidR="00AB7688">
      <w:t>w</w:t>
    </w:r>
    <w:r w:rsidR="00AB418A">
      <w:t xml:space="preserve">ritten </w:t>
    </w:r>
    <w:r w:rsidR="00AB7688">
      <w:t>s</w:t>
    </w:r>
    <w:r w:rsidR="00AB418A">
      <w:t>ubmission of Australia</w:t>
    </w:r>
  </w:p>
  <w:p w14:paraId="3BC1D088" w14:textId="6A33B925" w:rsidR="00AB418A" w:rsidRDefault="00AB418A">
    <w:pPr>
      <w:pStyle w:val="Header"/>
    </w:pPr>
    <w:r>
      <w:t>DS61</w:t>
    </w:r>
    <w:r w:rsidR="00447404">
      <w:t>8</w:t>
    </w:r>
    <w:r>
      <w:ptab w:relativeTo="margin" w:alignment="right" w:leader="none"/>
    </w:r>
    <w:r w:rsidR="00447404">
      <w:t>29 July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259A"/>
    <w:multiLevelType w:val="hybridMultilevel"/>
    <w:tmpl w:val="C0784592"/>
    <w:lvl w:ilvl="0" w:tplc="AE1A8D56">
      <w:start w:val="1"/>
      <w:numFmt w:val="decimal"/>
      <w:pStyle w:val="FCFigureCaption"/>
      <w:lvlText w:val="Figure %1"/>
      <w:lvlJc w:val="left"/>
      <w:pPr>
        <w:tabs>
          <w:tab w:val="num" w:pos="1134"/>
        </w:tabs>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74046F"/>
    <w:multiLevelType w:val="hybridMultilevel"/>
    <w:tmpl w:val="DDD01E9E"/>
    <w:lvl w:ilvl="0" w:tplc="F6281E4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165CB4"/>
    <w:multiLevelType w:val="hybridMultilevel"/>
    <w:tmpl w:val="66AC58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C8A4596"/>
    <w:multiLevelType w:val="multilevel"/>
    <w:tmpl w:val="3EF6F766"/>
    <w:lvl w:ilvl="0">
      <w:start w:val="1"/>
      <w:numFmt w:val="upperRoman"/>
      <w:pStyle w:val="HL1HeadingLevel1"/>
      <w:lvlText w:val="%1."/>
      <w:lvlJc w:val="left"/>
      <w:pPr>
        <w:tabs>
          <w:tab w:val="num" w:pos="851"/>
        </w:tabs>
        <w:ind w:left="851" w:hanging="851"/>
      </w:pPr>
      <w:rPr>
        <w:rFonts w:hint="default"/>
      </w:rPr>
    </w:lvl>
    <w:lvl w:ilvl="1">
      <w:start w:val="1"/>
      <w:numFmt w:val="upperLetter"/>
      <w:pStyle w:val="HL2HeadingLevel2"/>
      <w:lvlText w:val="%2."/>
      <w:lvlJc w:val="left"/>
      <w:pPr>
        <w:tabs>
          <w:tab w:val="num" w:pos="1702"/>
        </w:tabs>
        <w:ind w:left="1702" w:hanging="851"/>
      </w:pPr>
      <w:rPr>
        <w:rFonts w:hint="default"/>
      </w:rPr>
    </w:lvl>
    <w:lvl w:ilvl="2">
      <w:start w:val="1"/>
      <w:numFmt w:val="decimal"/>
      <w:pStyle w:val="HL3HeadingLevel3"/>
      <w:lvlText w:val="%3."/>
      <w:lvlJc w:val="left"/>
      <w:pPr>
        <w:tabs>
          <w:tab w:val="num" w:pos="2553"/>
        </w:tabs>
        <w:ind w:left="2553" w:hanging="851"/>
      </w:pPr>
      <w:rPr>
        <w:rFonts w:hint="default"/>
      </w:rPr>
    </w:lvl>
    <w:lvl w:ilvl="3">
      <w:start w:val="1"/>
      <w:numFmt w:val="lowerLetter"/>
      <w:pStyle w:val="HL4HeadingLevel4"/>
      <w:lvlText w:val="(%4)"/>
      <w:lvlJc w:val="left"/>
      <w:pPr>
        <w:tabs>
          <w:tab w:val="num" w:pos="3404"/>
        </w:tabs>
        <w:ind w:left="3404" w:hanging="851"/>
      </w:pPr>
      <w:rPr>
        <w:rFonts w:hint="default"/>
        <w:u w:val="single"/>
      </w:rPr>
    </w:lvl>
    <w:lvl w:ilvl="4">
      <w:start w:val="1"/>
      <w:numFmt w:val="lowerRoman"/>
      <w:pStyle w:val="HL5HeadingLevel5"/>
      <w:lvlText w:val="%5."/>
      <w:lvlJc w:val="left"/>
      <w:pPr>
        <w:tabs>
          <w:tab w:val="num" w:pos="4255"/>
        </w:tabs>
        <w:ind w:left="4255" w:hanging="851"/>
      </w:pPr>
      <w:rPr>
        <w:rFonts w:hint="default"/>
      </w:rPr>
    </w:lvl>
    <w:lvl w:ilvl="5">
      <w:start w:val="1"/>
      <w:numFmt w:val="upperLetter"/>
      <w:pStyle w:val="HL6HeadingLevel6"/>
      <w:lvlText w:val="(%6)"/>
      <w:lvlJc w:val="left"/>
      <w:pPr>
        <w:tabs>
          <w:tab w:val="num" w:pos="5103"/>
        </w:tabs>
        <w:ind w:left="5103" w:hanging="848"/>
      </w:pPr>
      <w:rPr>
        <w:rFonts w:hint="default"/>
      </w:rPr>
    </w:lvl>
    <w:lvl w:ilvl="6">
      <w:start w:val="1"/>
      <w:numFmt w:val="decimal"/>
      <w:pStyle w:val="HL7HeadingLevel7"/>
      <w:lvlText w:val="(%7)"/>
      <w:lvlJc w:val="left"/>
      <w:pPr>
        <w:tabs>
          <w:tab w:val="num" w:pos="5954"/>
        </w:tabs>
        <w:ind w:left="5954" w:hanging="851"/>
      </w:pPr>
      <w:rPr>
        <w:rFonts w:hint="default"/>
      </w:rPr>
    </w:lvl>
    <w:lvl w:ilvl="7">
      <w:start w:val="1"/>
      <w:numFmt w:val="lowerLetter"/>
      <w:pStyle w:val="HL8HeadingLevel8"/>
      <w:lvlText w:val="%8."/>
      <w:lvlJc w:val="left"/>
      <w:pPr>
        <w:tabs>
          <w:tab w:val="num" w:pos="6804"/>
        </w:tabs>
        <w:ind w:left="6804" w:hanging="850"/>
      </w:pPr>
      <w:rPr>
        <w:rFonts w:hint="default"/>
      </w:rPr>
    </w:lvl>
    <w:lvl w:ilvl="8">
      <w:start w:val="1"/>
      <w:numFmt w:val="lowerRoman"/>
      <w:pStyle w:val="HL9HeadingLevel9"/>
      <w:lvlText w:val="%9)"/>
      <w:lvlJc w:val="left"/>
      <w:pPr>
        <w:tabs>
          <w:tab w:val="num" w:pos="7655"/>
        </w:tabs>
        <w:ind w:left="7655" w:hanging="851"/>
      </w:pPr>
      <w:rPr>
        <w:rFonts w:hint="default"/>
      </w:rPr>
    </w:lvl>
  </w:abstractNum>
  <w:abstractNum w:abstractNumId="4" w15:restartNumberingAfterBreak="0">
    <w:nsid w:val="14053123"/>
    <w:multiLevelType w:val="hybridMultilevel"/>
    <w:tmpl w:val="B1B88952"/>
    <w:lvl w:ilvl="0" w:tplc="0C090019">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1E1415D6"/>
    <w:multiLevelType w:val="hybridMultilevel"/>
    <w:tmpl w:val="92961C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4CA8E90">
      <w:start w:val="6"/>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400CD3"/>
    <w:multiLevelType w:val="hybridMultilevel"/>
    <w:tmpl w:val="6BCAB8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243105"/>
    <w:multiLevelType w:val="hybridMultilevel"/>
    <w:tmpl w:val="3F621B30"/>
    <w:lvl w:ilvl="0" w:tplc="FFFFFFFF">
      <w:start w:val="1"/>
      <w:numFmt w:val="decimal"/>
      <w:pStyle w:val="P1-N1Paragraph1-Number1"/>
      <w:lvlText w:val="%1."/>
      <w:lvlJc w:val="left"/>
      <w:pPr>
        <w:tabs>
          <w:tab w:val="num" w:pos="851"/>
        </w:tabs>
        <w:ind w:left="0" w:firstLine="0"/>
      </w:pPr>
      <w:rPr>
        <w:b w:val="0"/>
        <w:bCs w:val="0"/>
        <w:i w:val="0"/>
        <w:iCs w:val="0"/>
      </w:rPr>
    </w:lvl>
    <w:lvl w:ilvl="1" w:tplc="A036DD04">
      <w:start w:val="1"/>
      <w:numFmt w:val="lowerRoman"/>
      <w:pStyle w:val="P2-B1Paragraph2-Bullet1"/>
      <w:lvlText w:val="%2."/>
      <w:lvlJc w:val="right"/>
      <w:pPr>
        <w:ind w:left="1211" w:hanging="360"/>
      </w:pPr>
      <w:rPr>
        <w:i w:val="0"/>
        <w:iCs w:val="0"/>
      </w:rPr>
    </w:lvl>
    <w:lvl w:ilvl="2" w:tplc="9F3EA8EE">
      <w:start w:val="1"/>
      <w:numFmt w:val="bullet"/>
      <w:pStyle w:val="P3-B2Paragraph3-Bullet2"/>
      <w:lvlText w:val="–"/>
      <w:lvlJc w:val="left"/>
      <w:pPr>
        <w:tabs>
          <w:tab w:val="num" w:pos="2552"/>
        </w:tabs>
        <w:ind w:left="2552" w:hanging="851"/>
      </w:pPr>
      <w:rPr>
        <w:rFonts w:ascii="Calibri" w:eastAsiaTheme="minorHAnsi" w:hAnsi="Calibri" w:cs="Calibri" w:hint="default"/>
      </w:rPr>
    </w:lvl>
    <w:lvl w:ilvl="3" w:tplc="0C20942A">
      <w:start w:val="1"/>
      <w:numFmt w:val="bullet"/>
      <w:pStyle w:val="P4-B3Paragraph4-Bullet3"/>
      <w:lvlText w:val="o"/>
      <w:lvlJc w:val="left"/>
      <w:pPr>
        <w:tabs>
          <w:tab w:val="num" w:pos="3402"/>
        </w:tabs>
        <w:ind w:left="3402" w:hanging="850"/>
      </w:pPr>
      <w:rPr>
        <w:rFonts w:ascii="Courier New" w:hAnsi="Courier New" w:hint="default"/>
      </w:rPr>
    </w:lvl>
    <w:lvl w:ilvl="4" w:tplc="B388F3E6">
      <w:start w:val="1"/>
      <w:numFmt w:val="bullet"/>
      <w:pStyle w:val="P5-B4Paragraph5-Bullet4"/>
      <w:lvlText w:val=""/>
      <w:lvlJc w:val="left"/>
      <w:pPr>
        <w:tabs>
          <w:tab w:val="num" w:pos="4253"/>
        </w:tabs>
        <w:ind w:left="4253" w:hanging="851"/>
      </w:pPr>
      <w:rPr>
        <w:rFonts w:ascii="Wingdings" w:hAnsi="Wingdings" w:hint="default"/>
      </w:rPr>
    </w:lvl>
    <w:lvl w:ilvl="5" w:tplc="041E423A">
      <w:start w:val="1"/>
      <w:numFmt w:val="bullet"/>
      <w:pStyle w:val="P6-B5Paragraph6-Bullet5"/>
      <w:lvlText w:val=""/>
      <w:lvlJc w:val="left"/>
      <w:pPr>
        <w:tabs>
          <w:tab w:val="num" w:pos="5103"/>
        </w:tabs>
        <w:ind w:left="5103" w:hanging="850"/>
      </w:pPr>
      <w:rPr>
        <w:rFonts w:ascii="Wingdings" w:hAnsi="Wingdings" w:hint="default"/>
      </w:rPr>
    </w:lvl>
    <w:lvl w:ilvl="6" w:tplc="B914B13C">
      <w:start w:val="1"/>
      <w:numFmt w:val="bullet"/>
      <w:pStyle w:val="P7-B6Paragraph7-Bullet6"/>
      <w:lvlText w:val=""/>
      <w:lvlJc w:val="left"/>
      <w:pPr>
        <w:tabs>
          <w:tab w:val="num" w:pos="5954"/>
        </w:tabs>
        <w:ind w:left="5954" w:hanging="851"/>
      </w:pPr>
      <w:rPr>
        <w:rFonts w:ascii="Symbol" w:hAnsi="Symbol" w:hint="default"/>
      </w:rPr>
    </w:lvl>
    <w:lvl w:ilvl="7" w:tplc="B136EC4E">
      <w:start w:val="1"/>
      <w:numFmt w:val="bullet"/>
      <w:pStyle w:val="P8-B7Paragraph8-Bullet7"/>
      <w:lvlText w:val="–"/>
      <w:lvlJc w:val="left"/>
      <w:pPr>
        <w:tabs>
          <w:tab w:val="num" w:pos="6804"/>
        </w:tabs>
        <w:ind w:left="6804" w:hanging="850"/>
      </w:pPr>
      <w:rPr>
        <w:rFonts w:ascii="Calibri" w:eastAsiaTheme="minorHAnsi" w:hAnsi="Calibri" w:cs="Calibri" w:hint="default"/>
      </w:rPr>
    </w:lvl>
    <w:lvl w:ilvl="8" w:tplc="7B3C086C">
      <w:start w:val="1"/>
      <w:numFmt w:val="bullet"/>
      <w:pStyle w:val="P9-B8Paragraph9-Bullet8"/>
      <w:lvlText w:val="o"/>
      <w:lvlJc w:val="left"/>
      <w:pPr>
        <w:tabs>
          <w:tab w:val="num" w:pos="7655"/>
        </w:tabs>
        <w:ind w:left="7655" w:hanging="851"/>
      </w:pPr>
      <w:rPr>
        <w:rFonts w:ascii="Courier New" w:hAnsi="Courier New" w:hint="default"/>
      </w:rPr>
    </w:lvl>
  </w:abstractNum>
  <w:abstractNum w:abstractNumId="8" w15:restartNumberingAfterBreak="0">
    <w:nsid w:val="36F93A71"/>
    <w:multiLevelType w:val="hybridMultilevel"/>
    <w:tmpl w:val="BF906C54"/>
    <w:lvl w:ilvl="0" w:tplc="687CDF3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8C28BA"/>
    <w:multiLevelType w:val="hybridMultilevel"/>
    <w:tmpl w:val="28BE73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95D1099"/>
    <w:multiLevelType w:val="multilevel"/>
    <w:tmpl w:val="79A4006C"/>
    <w:lvl w:ilvl="0">
      <w:start w:val="1"/>
      <w:numFmt w:val="upperLetter"/>
      <w:pStyle w:val="AHL1AnnexHeadingLevel1"/>
      <w:lvlText w:val="ANNEX %1"/>
      <w:lvlJc w:val="left"/>
      <w:pPr>
        <w:tabs>
          <w:tab w:val="num" w:pos="1418"/>
        </w:tabs>
        <w:ind w:left="1418" w:hanging="1418"/>
      </w:pPr>
      <w:rPr>
        <w:rFonts w:hint="default"/>
      </w:rPr>
    </w:lvl>
    <w:lvl w:ilvl="1">
      <w:start w:val="1"/>
      <w:numFmt w:val="decimal"/>
      <w:pStyle w:val="AHL2AnnexHeadingLevel2"/>
      <w:lvlText w:val="%1.%2"/>
      <w:lvlJc w:val="left"/>
      <w:pPr>
        <w:tabs>
          <w:tab w:val="num" w:pos="851"/>
        </w:tabs>
        <w:ind w:left="851" w:hanging="851"/>
      </w:pPr>
      <w:rPr>
        <w:rFonts w:hint="default"/>
      </w:rPr>
    </w:lvl>
    <w:lvl w:ilvl="2">
      <w:start w:val="1"/>
      <w:numFmt w:val="decimal"/>
      <w:pStyle w:val="AHL3AnnexHeadingLevel3"/>
      <w:lvlText w:val="%1.%2.%3"/>
      <w:lvlJc w:val="left"/>
      <w:pPr>
        <w:tabs>
          <w:tab w:val="num" w:pos="1701"/>
        </w:tabs>
        <w:ind w:left="1701" w:hanging="850"/>
      </w:pPr>
      <w:rPr>
        <w:rFonts w:hint="default"/>
      </w:rPr>
    </w:lvl>
    <w:lvl w:ilvl="3">
      <w:start w:val="1"/>
      <w:numFmt w:val="decimal"/>
      <w:pStyle w:val="AHL4AnnexHeadingLevel4"/>
      <w:lvlText w:val="%1.%2.%3.%4"/>
      <w:lvlJc w:val="left"/>
      <w:pPr>
        <w:tabs>
          <w:tab w:val="num" w:pos="2835"/>
        </w:tabs>
        <w:ind w:left="2835" w:hanging="1134"/>
      </w:pPr>
      <w:rPr>
        <w:rFonts w:hint="default"/>
        <w:u w:val="single"/>
      </w:rPr>
    </w:lvl>
    <w:lvl w:ilvl="4">
      <w:start w:val="1"/>
      <w:numFmt w:val="none"/>
      <w:pStyle w:val="AHL5AnnexHeadingLevel5"/>
      <w:lvlText w:val=""/>
      <w:lvlJc w:val="left"/>
      <w:pPr>
        <w:ind w:left="2552" w:firstLine="0"/>
      </w:pPr>
      <w:rPr>
        <w:rFonts w:hint="default"/>
      </w:rPr>
    </w:lvl>
    <w:lvl w:ilvl="5">
      <w:start w:val="1"/>
      <w:numFmt w:val="none"/>
      <w:pStyle w:val="AHL6AnnexHeadingLevel6"/>
      <w:lvlText w:val=""/>
      <w:lvlJc w:val="left"/>
      <w:pPr>
        <w:ind w:left="3402" w:firstLine="0"/>
      </w:pPr>
      <w:rPr>
        <w:rFonts w:hint="default"/>
      </w:rPr>
    </w:lvl>
    <w:lvl w:ilvl="6">
      <w:start w:val="1"/>
      <w:numFmt w:val="none"/>
      <w:pStyle w:val="AHL7AnnexHeadingLevel7"/>
      <w:lvlText w:val=""/>
      <w:lvlJc w:val="left"/>
      <w:pPr>
        <w:ind w:left="4253" w:firstLine="0"/>
      </w:pPr>
      <w:rPr>
        <w:rFonts w:hint="default"/>
      </w:rPr>
    </w:lvl>
    <w:lvl w:ilvl="7">
      <w:start w:val="1"/>
      <w:numFmt w:val="none"/>
      <w:pStyle w:val="AHL8AnnexHeadingLevel8"/>
      <w:lvlText w:val=""/>
      <w:lvlJc w:val="left"/>
      <w:pPr>
        <w:ind w:left="5103" w:firstLine="0"/>
      </w:pPr>
      <w:rPr>
        <w:rFonts w:hint="default"/>
      </w:rPr>
    </w:lvl>
    <w:lvl w:ilvl="8">
      <w:start w:val="1"/>
      <w:numFmt w:val="none"/>
      <w:pStyle w:val="AHL9AnnexHeadingLevel9"/>
      <w:lvlText w:val=""/>
      <w:lvlJc w:val="left"/>
      <w:pPr>
        <w:ind w:left="5954" w:firstLine="0"/>
      </w:pPr>
      <w:rPr>
        <w:rFonts w:hint="default"/>
      </w:rPr>
    </w:lvl>
  </w:abstractNum>
  <w:abstractNum w:abstractNumId="11" w15:restartNumberingAfterBreak="0">
    <w:nsid w:val="5ADE4510"/>
    <w:multiLevelType w:val="hybridMultilevel"/>
    <w:tmpl w:val="8CE00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197C3C"/>
    <w:multiLevelType w:val="hybridMultilevel"/>
    <w:tmpl w:val="9A80A822"/>
    <w:lvl w:ilvl="0" w:tplc="C2D4BBC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577587B"/>
    <w:multiLevelType w:val="multilevel"/>
    <w:tmpl w:val="235000D0"/>
    <w:styleLink w:val="CurrentList1"/>
    <w:lvl w:ilvl="0">
      <w:start w:val="1"/>
      <w:numFmt w:val="decimal"/>
      <w:lvlText w:val="%1."/>
      <w:lvlJc w:val="left"/>
      <w:pPr>
        <w:tabs>
          <w:tab w:val="num" w:pos="851"/>
        </w:tabs>
        <w:ind w:left="0" w:firstLine="0"/>
      </w:pPr>
      <w:rPr>
        <w:rFonts w:hint="default"/>
      </w:rPr>
    </w:lvl>
    <w:lvl w:ilvl="1">
      <w:start w:val="1"/>
      <w:numFmt w:val="lowerRoman"/>
      <w:lvlText w:val="%2."/>
      <w:lvlJc w:val="right"/>
      <w:pPr>
        <w:ind w:left="1211" w:hanging="360"/>
      </w:pPr>
    </w:lvl>
    <w:lvl w:ilvl="2">
      <w:start w:val="1"/>
      <w:numFmt w:val="bullet"/>
      <w:lvlText w:val="–"/>
      <w:lvlJc w:val="left"/>
      <w:pPr>
        <w:tabs>
          <w:tab w:val="num" w:pos="2552"/>
        </w:tabs>
        <w:ind w:left="2552" w:hanging="851"/>
      </w:pPr>
      <w:rPr>
        <w:rFonts w:ascii="Calibri" w:eastAsiaTheme="minorHAnsi" w:hAnsi="Calibri" w:cs="Calibri" w:hint="default"/>
      </w:rPr>
    </w:lvl>
    <w:lvl w:ilvl="3">
      <w:start w:val="1"/>
      <w:numFmt w:val="bullet"/>
      <w:lvlText w:val="o"/>
      <w:lvlJc w:val="left"/>
      <w:pPr>
        <w:tabs>
          <w:tab w:val="num" w:pos="3402"/>
        </w:tabs>
        <w:ind w:left="3402" w:hanging="850"/>
      </w:pPr>
      <w:rPr>
        <w:rFonts w:ascii="Courier New" w:hAnsi="Courier New" w:hint="default"/>
      </w:rPr>
    </w:lvl>
    <w:lvl w:ilvl="4">
      <w:start w:val="1"/>
      <w:numFmt w:val="bullet"/>
      <w:lvlText w:val=""/>
      <w:lvlJc w:val="left"/>
      <w:pPr>
        <w:tabs>
          <w:tab w:val="num" w:pos="4253"/>
        </w:tabs>
        <w:ind w:left="4253" w:hanging="851"/>
      </w:pPr>
      <w:rPr>
        <w:rFonts w:ascii="Wingdings" w:hAnsi="Wingdings" w:hint="default"/>
      </w:rPr>
    </w:lvl>
    <w:lvl w:ilvl="5">
      <w:start w:val="1"/>
      <w:numFmt w:val="bullet"/>
      <w:lvlText w:val=""/>
      <w:lvlJc w:val="left"/>
      <w:pPr>
        <w:tabs>
          <w:tab w:val="num" w:pos="5103"/>
        </w:tabs>
        <w:ind w:left="5103" w:hanging="850"/>
      </w:pPr>
      <w:rPr>
        <w:rFonts w:ascii="Wingdings" w:hAnsi="Wingdings" w:hint="default"/>
      </w:rPr>
    </w:lvl>
    <w:lvl w:ilvl="6">
      <w:start w:val="1"/>
      <w:numFmt w:val="bullet"/>
      <w:lvlText w:val=""/>
      <w:lvlJc w:val="left"/>
      <w:pPr>
        <w:tabs>
          <w:tab w:val="num" w:pos="5954"/>
        </w:tabs>
        <w:ind w:left="5954" w:hanging="851"/>
      </w:pPr>
      <w:rPr>
        <w:rFonts w:ascii="Symbol" w:hAnsi="Symbol" w:hint="default"/>
      </w:rPr>
    </w:lvl>
    <w:lvl w:ilvl="7">
      <w:start w:val="1"/>
      <w:numFmt w:val="bullet"/>
      <w:lvlText w:val="–"/>
      <w:lvlJc w:val="left"/>
      <w:pPr>
        <w:tabs>
          <w:tab w:val="num" w:pos="6804"/>
        </w:tabs>
        <w:ind w:left="6804" w:hanging="850"/>
      </w:pPr>
      <w:rPr>
        <w:rFonts w:ascii="Calibri" w:eastAsiaTheme="minorHAnsi" w:hAnsi="Calibri" w:cs="Calibri" w:hint="default"/>
      </w:rPr>
    </w:lvl>
    <w:lvl w:ilvl="8">
      <w:start w:val="1"/>
      <w:numFmt w:val="bullet"/>
      <w:lvlText w:val="o"/>
      <w:lvlJc w:val="left"/>
      <w:pPr>
        <w:tabs>
          <w:tab w:val="num" w:pos="7655"/>
        </w:tabs>
        <w:ind w:left="7655" w:hanging="851"/>
      </w:pPr>
      <w:rPr>
        <w:rFonts w:ascii="Courier New" w:hAnsi="Courier New" w:hint="default"/>
      </w:rPr>
    </w:lvl>
  </w:abstractNum>
  <w:abstractNum w:abstractNumId="14" w15:restartNumberingAfterBreak="0">
    <w:nsid w:val="67CE0D86"/>
    <w:multiLevelType w:val="hybridMultilevel"/>
    <w:tmpl w:val="48F8E010"/>
    <w:lvl w:ilvl="0" w:tplc="15ACE29E">
      <w:start w:val="1"/>
      <w:numFmt w:val="decimal"/>
      <w:pStyle w:val="TCTableCaption"/>
      <w:lvlText w:val="Table %1"/>
      <w:lvlJc w:val="left"/>
      <w:pPr>
        <w:tabs>
          <w:tab w:val="num" w:pos="1134"/>
        </w:tabs>
        <w:ind w:left="1134" w:hanging="113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9471DE3"/>
    <w:multiLevelType w:val="hybridMultilevel"/>
    <w:tmpl w:val="F8C68B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CED68F46">
      <w:start w:val="4"/>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754781"/>
    <w:multiLevelType w:val="hybridMultilevel"/>
    <w:tmpl w:val="B5B677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05F2BD1"/>
    <w:multiLevelType w:val="hybridMultilevel"/>
    <w:tmpl w:val="60C6E9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6305D6"/>
    <w:multiLevelType w:val="hybridMultilevel"/>
    <w:tmpl w:val="F86E59D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 w15:restartNumberingAfterBreak="0">
    <w:nsid w:val="7FDD452F"/>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41156085">
    <w:abstractNumId w:val="7"/>
  </w:num>
  <w:num w:numId="2" w16cid:durableId="1222060973">
    <w:abstractNumId w:val="3"/>
  </w:num>
  <w:num w:numId="3" w16cid:durableId="1777096341">
    <w:abstractNumId w:val="7"/>
  </w:num>
  <w:num w:numId="4" w16cid:durableId="1727102767">
    <w:abstractNumId w:val="0"/>
  </w:num>
  <w:num w:numId="5" w16cid:durableId="1731464749">
    <w:abstractNumId w:val="14"/>
  </w:num>
  <w:num w:numId="6" w16cid:durableId="1351838105">
    <w:abstractNumId w:val="10"/>
  </w:num>
  <w:num w:numId="7" w16cid:durableId="798884275">
    <w:abstractNumId w:val="10"/>
  </w:num>
  <w:num w:numId="8" w16cid:durableId="1524174141">
    <w:abstractNumId w:val="3"/>
  </w:num>
  <w:num w:numId="9" w16cid:durableId="1559046933">
    <w:abstractNumId w:val="9"/>
  </w:num>
  <w:num w:numId="10" w16cid:durableId="665086504">
    <w:abstractNumId w:val="16"/>
  </w:num>
  <w:num w:numId="11" w16cid:durableId="308902894">
    <w:abstractNumId w:val="5"/>
  </w:num>
  <w:num w:numId="12" w16cid:durableId="1201626415">
    <w:abstractNumId w:val="7"/>
  </w:num>
  <w:num w:numId="13" w16cid:durableId="968976956">
    <w:abstractNumId w:val="7"/>
  </w:num>
  <w:num w:numId="14" w16cid:durableId="1909924874">
    <w:abstractNumId w:val="7"/>
  </w:num>
  <w:num w:numId="15" w16cid:durableId="507453776">
    <w:abstractNumId w:val="7"/>
  </w:num>
  <w:num w:numId="16" w16cid:durableId="1518929770">
    <w:abstractNumId w:val="7"/>
  </w:num>
  <w:num w:numId="17" w16cid:durableId="420029683">
    <w:abstractNumId w:val="18"/>
  </w:num>
  <w:num w:numId="18" w16cid:durableId="542980321">
    <w:abstractNumId w:val="15"/>
  </w:num>
  <w:num w:numId="19" w16cid:durableId="1039553015">
    <w:abstractNumId w:val="7"/>
    <w:lvlOverride w:ilvl="0"/>
    <w:lvlOverride w:ilvl="1">
      <w:startOverride w:val="1"/>
    </w:lvlOverride>
    <w:lvlOverride w:ilvl="2"/>
    <w:lvlOverride w:ilvl="3"/>
    <w:lvlOverride w:ilvl="4"/>
    <w:lvlOverride w:ilvl="5"/>
    <w:lvlOverride w:ilvl="6"/>
    <w:lvlOverride w:ilvl="7"/>
    <w:lvlOverride w:ilvl="8"/>
  </w:num>
  <w:num w:numId="20" w16cid:durableId="19312352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3395297">
    <w:abstractNumId w:val="5"/>
  </w:num>
  <w:num w:numId="22" w16cid:durableId="1430462690">
    <w:abstractNumId w:val="12"/>
  </w:num>
  <w:num w:numId="23" w16cid:durableId="2029208737">
    <w:abstractNumId w:val="7"/>
  </w:num>
  <w:num w:numId="24" w16cid:durableId="90785646">
    <w:abstractNumId w:val="13"/>
  </w:num>
  <w:num w:numId="25" w16cid:durableId="1232959068">
    <w:abstractNumId w:val="17"/>
  </w:num>
  <w:num w:numId="26" w16cid:durableId="1294675179">
    <w:abstractNumId w:val="2"/>
  </w:num>
  <w:num w:numId="27" w16cid:durableId="219101125">
    <w:abstractNumId w:val="1"/>
  </w:num>
  <w:num w:numId="28" w16cid:durableId="1393239732">
    <w:abstractNumId w:val="8"/>
  </w:num>
  <w:num w:numId="29" w16cid:durableId="1354454018">
    <w:abstractNumId w:val="6"/>
  </w:num>
  <w:num w:numId="30" w16cid:durableId="1408841158">
    <w:abstractNumId w:val="11"/>
  </w:num>
  <w:num w:numId="31" w16cid:durableId="848643794">
    <w:abstractNumId w:val="4"/>
  </w:num>
  <w:num w:numId="32" w16cid:durableId="8715782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85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54C"/>
    <w:rsid w:val="00000BD1"/>
    <w:rsid w:val="0000179C"/>
    <w:rsid w:val="000018A6"/>
    <w:rsid w:val="00004009"/>
    <w:rsid w:val="00005C49"/>
    <w:rsid w:val="00006269"/>
    <w:rsid w:val="000070F8"/>
    <w:rsid w:val="0001010E"/>
    <w:rsid w:val="00010BCD"/>
    <w:rsid w:val="00010DD9"/>
    <w:rsid w:val="0001149B"/>
    <w:rsid w:val="00011797"/>
    <w:rsid w:val="00011C52"/>
    <w:rsid w:val="00013F6E"/>
    <w:rsid w:val="0001457C"/>
    <w:rsid w:val="00014B47"/>
    <w:rsid w:val="00014EBA"/>
    <w:rsid w:val="000158A7"/>
    <w:rsid w:val="00016097"/>
    <w:rsid w:val="000161EC"/>
    <w:rsid w:val="00016BF5"/>
    <w:rsid w:val="00016F54"/>
    <w:rsid w:val="00017C03"/>
    <w:rsid w:val="00017D76"/>
    <w:rsid w:val="00021AD0"/>
    <w:rsid w:val="00022189"/>
    <w:rsid w:val="00022A4A"/>
    <w:rsid w:val="000231AA"/>
    <w:rsid w:val="000235CB"/>
    <w:rsid w:val="00023C47"/>
    <w:rsid w:val="00024B06"/>
    <w:rsid w:val="00024F55"/>
    <w:rsid w:val="00025483"/>
    <w:rsid w:val="0002553F"/>
    <w:rsid w:val="00025541"/>
    <w:rsid w:val="00025B43"/>
    <w:rsid w:val="000303A8"/>
    <w:rsid w:val="00030A32"/>
    <w:rsid w:val="00030AC9"/>
    <w:rsid w:val="00031577"/>
    <w:rsid w:val="00032772"/>
    <w:rsid w:val="000332DC"/>
    <w:rsid w:val="00034E60"/>
    <w:rsid w:val="00035185"/>
    <w:rsid w:val="000362F5"/>
    <w:rsid w:val="00036689"/>
    <w:rsid w:val="0004042E"/>
    <w:rsid w:val="00040482"/>
    <w:rsid w:val="00040FEE"/>
    <w:rsid w:val="00041661"/>
    <w:rsid w:val="00041871"/>
    <w:rsid w:val="0004197A"/>
    <w:rsid w:val="000425E8"/>
    <w:rsid w:val="000429A3"/>
    <w:rsid w:val="00042C46"/>
    <w:rsid w:val="00043244"/>
    <w:rsid w:val="00043811"/>
    <w:rsid w:val="00043951"/>
    <w:rsid w:val="00043DA0"/>
    <w:rsid w:val="000453F8"/>
    <w:rsid w:val="00046BAF"/>
    <w:rsid w:val="00046CE9"/>
    <w:rsid w:val="00047146"/>
    <w:rsid w:val="000472AF"/>
    <w:rsid w:val="000476F1"/>
    <w:rsid w:val="00050C08"/>
    <w:rsid w:val="000522D5"/>
    <w:rsid w:val="000523C4"/>
    <w:rsid w:val="00052C3A"/>
    <w:rsid w:val="00052F29"/>
    <w:rsid w:val="000534E3"/>
    <w:rsid w:val="000536F1"/>
    <w:rsid w:val="00053B66"/>
    <w:rsid w:val="000544BB"/>
    <w:rsid w:val="000545C2"/>
    <w:rsid w:val="000547C3"/>
    <w:rsid w:val="000548D0"/>
    <w:rsid w:val="000548D1"/>
    <w:rsid w:val="00055986"/>
    <w:rsid w:val="00056E23"/>
    <w:rsid w:val="00057AAF"/>
    <w:rsid w:val="00058A6C"/>
    <w:rsid w:val="00060D05"/>
    <w:rsid w:val="00061BDC"/>
    <w:rsid w:val="00061CBA"/>
    <w:rsid w:val="00062475"/>
    <w:rsid w:val="000630A1"/>
    <w:rsid w:val="00064011"/>
    <w:rsid w:val="000662B0"/>
    <w:rsid w:val="00067C44"/>
    <w:rsid w:val="000704C9"/>
    <w:rsid w:val="00070534"/>
    <w:rsid w:val="000716BD"/>
    <w:rsid w:val="000725FA"/>
    <w:rsid w:val="000730EB"/>
    <w:rsid w:val="0007327B"/>
    <w:rsid w:val="000738D2"/>
    <w:rsid w:val="0007440D"/>
    <w:rsid w:val="00074750"/>
    <w:rsid w:val="00074A03"/>
    <w:rsid w:val="00074BE9"/>
    <w:rsid w:val="00075783"/>
    <w:rsid w:val="00076B02"/>
    <w:rsid w:val="00076F71"/>
    <w:rsid w:val="000772C8"/>
    <w:rsid w:val="000773E3"/>
    <w:rsid w:val="0007779F"/>
    <w:rsid w:val="0008000B"/>
    <w:rsid w:val="000804AF"/>
    <w:rsid w:val="00081188"/>
    <w:rsid w:val="00081602"/>
    <w:rsid w:val="000824D2"/>
    <w:rsid w:val="00082549"/>
    <w:rsid w:val="00082608"/>
    <w:rsid w:val="000830A9"/>
    <w:rsid w:val="0008371E"/>
    <w:rsid w:val="00083BAF"/>
    <w:rsid w:val="00084B9D"/>
    <w:rsid w:val="00084C1E"/>
    <w:rsid w:val="0008552C"/>
    <w:rsid w:val="00085720"/>
    <w:rsid w:val="00085810"/>
    <w:rsid w:val="00086FB1"/>
    <w:rsid w:val="000873EF"/>
    <w:rsid w:val="00087748"/>
    <w:rsid w:val="00090225"/>
    <w:rsid w:val="000909F9"/>
    <w:rsid w:val="00090DE7"/>
    <w:rsid w:val="000918D4"/>
    <w:rsid w:val="000922AC"/>
    <w:rsid w:val="00092936"/>
    <w:rsid w:val="00092A98"/>
    <w:rsid w:val="00092E92"/>
    <w:rsid w:val="00093175"/>
    <w:rsid w:val="00093743"/>
    <w:rsid w:val="00093BD6"/>
    <w:rsid w:val="000940D4"/>
    <w:rsid w:val="000948AF"/>
    <w:rsid w:val="000950D2"/>
    <w:rsid w:val="0009626E"/>
    <w:rsid w:val="000967F7"/>
    <w:rsid w:val="00097007"/>
    <w:rsid w:val="00097A84"/>
    <w:rsid w:val="000A0497"/>
    <w:rsid w:val="000A2A47"/>
    <w:rsid w:val="000A2B5E"/>
    <w:rsid w:val="000A2F2E"/>
    <w:rsid w:val="000A4370"/>
    <w:rsid w:val="000A506F"/>
    <w:rsid w:val="000A5D41"/>
    <w:rsid w:val="000A7406"/>
    <w:rsid w:val="000B01D3"/>
    <w:rsid w:val="000B1D4B"/>
    <w:rsid w:val="000B1E04"/>
    <w:rsid w:val="000B215F"/>
    <w:rsid w:val="000B23BD"/>
    <w:rsid w:val="000B3B1A"/>
    <w:rsid w:val="000B53DB"/>
    <w:rsid w:val="000B59F6"/>
    <w:rsid w:val="000B5EF8"/>
    <w:rsid w:val="000B6069"/>
    <w:rsid w:val="000B7552"/>
    <w:rsid w:val="000B7CCA"/>
    <w:rsid w:val="000C10D3"/>
    <w:rsid w:val="000C14F5"/>
    <w:rsid w:val="000C168B"/>
    <w:rsid w:val="000C29FB"/>
    <w:rsid w:val="000C2A13"/>
    <w:rsid w:val="000C4C72"/>
    <w:rsid w:val="000C664F"/>
    <w:rsid w:val="000C68FC"/>
    <w:rsid w:val="000C6905"/>
    <w:rsid w:val="000C69EE"/>
    <w:rsid w:val="000C6C8F"/>
    <w:rsid w:val="000C6F55"/>
    <w:rsid w:val="000D0B96"/>
    <w:rsid w:val="000D291B"/>
    <w:rsid w:val="000D2C51"/>
    <w:rsid w:val="000D3B36"/>
    <w:rsid w:val="000D4646"/>
    <w:rsid w:val="000D52F3"/>
    <w:rsid w:val="000D6AFA"/>
    <w:rsid w:val="000E008D"/>
    <w:rsid w:val="000E0F10"/>
    <w:rsid w:val="000E119F"/>
    <w:rsid w:val="000E1E37"/>
    <w:rsid w:val="000E2A61"/>
    <w:rsid w:val="000E4404"/>
    <w:rsid w:val="000E44ED"/>
    <w:rsid w:val="000E4C65"/>
    <w:rsid w:val="000E61F4"/>
    <w:rsid w:val="000E77CF"/>
    <w:rsid w:val="000E7AA2"/>
    <w:rsid w:val="000F007C"/>
    <w:rsid w:val="000F0E14"/>
    <w:rsid w:val="000F0E20"/>
    <w:rsid w:val="000F1120"/>
    <w:rsid w:val="000F14CA"/>
    <w:rsid w:val="000F1E27"/>
    <w:rsid w:val="000F2519"/>
    <w:rsid w:val="000F35D1"/>
    <w:rsid w:val="000F35F5"/>
    <w:rsid w:val="000F389B"/>
    <w:rsid w:val="000F3C24"/>
    <w:rsid w:val="000F4147"/>
    <w:rsid w:val="000F49C6"/>
    <w:rsid w:val="000F512F"/>
    <w:rsid w:val="000F59AA"/>
    <w:rsid w:val="000F5A63"/>
    <w:rsid w:val="000F5D71"/>
    <w:rsid w:val="000F630A"/>
    <w:rsid w:val="000F6681"/>
    <w:rsid w:val="000F69F5"/>
    <w:rsid w:val="000F7972"/>
    <w:rsid w:val="00100546"/>
    <w:rsid w:val="0010119C"/>
    <w:rsid w:val="00101BCC"/>
    <w:rsid w:val="00101DDE"/>
    <w:rsid w:val="001028C5"/>
    <w:rsid w:val="001035D6"/>
    <w:rsid w:val="00104BD7"/>
    <w:rsid w:val="00106B66"/>
    <w:rsid w:val="00106F48"/>
    <w:rsid w:val="0010715F"/>
    <w:rsid w:val="0010725E"/>
    <w:rsid w:val="001074FC"/>
    <w:rsid w:val="001079EC"/>
    <w:rsid w:val="00110114"/>
    <w:rsid w:val="00110907"/>
    <w:rsid w:val="00110FFE"/>
    <w:rsid w:val="0011128A"/>
    <w:rsid w:val="00111B2E"/>
    <w:rsid w:val="001122C0"/>
    <w:rsid w:val="00112E02"/>
    <w:rsid w:val="00113095"/>
    <w:rsid w:val="00113DA9"/>
    <w:rsid w:val="00114101"/>
    <w:rsid w:val="00114126"/>
    <w:rsid w:val="00114F81"/>
    <w:rsid w:val="0011547E"/>
    <w:rsid w:val="001175A1"/>
    <w:rsid w:val="001179EE"/>
    <w:rsid w:val="0012040D"/>
    <w:rsid w:val="00120C27"/>
    <w:rsid w:val="0012151F"/>
    <w:rsid w:val="0012266F"/>
    <w:rsid w:val="001229AF"/>
    <w:rsid w:val="00124339"/>
    <w:rsid w:val="00124547"/>
    <w:rsid w:val="00124CF8"/>
    <w:rsid w:val="0012563F"/>
    <w:rsid w:val="00125A64"/>
    <w:rsid w:val="00126822"/>
    <w:rsid w:val="001269B5"/>
    <w:rsid w:val="0012704C"/>
    <w:rsid w:val="00127B90"/>
    <w:rsid w:val="00131095"/>
    <w:rsid w:val="0013192F"/>
    <w:rsid w:val="0013208A"/>
    <w:rsid w:val="00132570"/>
    <w:rsid w:val="00132975"/>
    <w:rsid w:val="001346C7"/>
    <w:rsid w:val="00135C4C"/>
    <w:rsid w:val="00135D90"/>
    <w:rsid w:val="001363C0"/>
    <w:rsid w:val="00136D1B"/>
    <w:rsid w:val="00137022"/>
    <w:rsid w:val="001374B6"/>
    <w:rsid w:val="001409F8"/>
    <w:rsid w:val="00140DF4"/>
    <w:rsid w:val="00140FCB"/>
    <w:rsid w:val="00143494"/>
    <w:rsid w:val="00144F95"/>
    <w:rsid w:val="00145673"/>
    <w:rsid w:val="00145A07"/>
    <w:rsid w:val="00145A17"/>
    <w:rsid w:val="001478FB"/>
    <w:rsid w:val="001500AB"/>
    <w:rsid w:val="001505C8"/>
    <w:rsid w:val="001505E3"/>
    <w:rsid w:val="00150C17"/>
    <w:rsid w:val="00151750"/>
    <w:rsid w:val="0015175B"/>
    <w:rsid w:val="001535E0"/>
    <w:rsid w:val="00154981"/>
    <w:rsid w:val="00154DB1"/>
    <w:rsid w:val="00155317"/>
    <w:rsid w:val="001554CC"/>
    <w:rsid w:val="001570CB"/>
    <w:rsid w:val="0015729F"/>
    <w:rsid w:val="001607A6"/>
    <w:rsid w:val="0016120B"/>
    <w:rsid w:val="001618BF"/>
    <w:rsid w:val="0016217F"/>
    <w:rsid w:val="0016224B"/>
    <w:rsid w:val="00163915"/>
    <w:rsid w:val="00163B72"/>
    <w:rsid w:val="00164136"/>
    <w:rsid w:val="00164B53"/>
    <w:rsid w:val="00164B96"/>
    <w:rsid w:val="00165108"/>
    <w:rsid w:val="00165E0D"/>
    <w:rsid w:val="00165EC7"/>
    <w:rsid w:val="00167007"/>
    <w:rsid w:val="00167F34"/>
    <w:rsid w:val="00170206"/>
    <w:rsid w:val="00170F78"/>
    <w:rsid w:val="0017192E"/>
    <w:rsid w:val="00172A73"/>
    <w:rsid w:val="00173F09"/>
    <w:rsid w:val="00174888"/>
    <w:rsid w:val="00174F30"/>
    <w:rsid w:val="001751C9"/>
    <w:rsid w:val="0017543F"/>
    <w:rsid w:val="00175558"/>
    <w:rsid w:val="00175763"/>
    <w:rsid w:val="00176AA5"/>
    <w:rsid w:val="001773A0"/>
    <w:rsid w:val="00180A97"/>
    <w:rsid w:val="001824D4"/>
    <w:rsid w:val="00182727"/>
    <w:rsid w:val="001845F3"/>
    <w:rsid w:val="001846DD"/>
    <w:rsid w:val="001864A5"/>
    <w:rsid w:val="001869D1"/>
    <w:rsid w:val="00186D38"/>
    <w:rsid w:val="001904F3"/>
    <w:rsid w:val="00190C5B"/>
    <w:rsid w:val="0019130D"/>
    <w:rsid w:val="00192D06"/>
    <w:rsid w:val="00193BC1"/>
    <w:rsid w:val="0019432E"/>
    <w:rsid w:val="0019472F"/>
    <w:rsid w:val="001958CD"/>
    <w:rsid w:val="00196039"/>
    <w:rsid w:val="0019676B"/>
    <w:rsid w:val="001A00C1"/>
    <w:rsid w:val="001A0681"/>
    <w:rsid w:val="001A0A79"/>
    <w:rsid w:val="001A1434"/>
    <w:rsid w:val="001A21A7"/>
    <w:rsid w:val="001A2935"/>
    <w:rsid w:val="001A2AF7"/>
    <w:rsid w:val="001A30EA"/>
    <w:rsid w:val="001A350B"/>
    <w:rsid w:val="001A415B"/>
    <w:rsid w:val="001A41B7"/>
    <w:rsid w:val="001A42EA"/>
    <w:rsid w:val="001A504C"/>
    <w:rsid w:val="001A6F7A"/>
    <w:rsid w:val="001A754B"/>
    <w:rsid w:val="001A7689"/>
    <w:rsid w:val="001A7801"/>
    <w:rsid w:val="001B09E0"/>
    <w:rsid w:val="001B0B0C"/>
    <w:rsid w:val="001B0CC2"/>
    <w:rsid w:val="001B2362"/>
    <w:rsid w:val="001B3CCE"/>
    <w:rsid w:val="001B4163"/>
    <w:rsid w:val="001B6F63"/>
    <w:rsid w:val="001B7D2D"/>
    <w:rsid w:val="001C1D3E"/>
    <w:rsid w:val="001C2826"/>
    <w:rsid w:val="001C34BB"/>
    <w:rsid w:val="001C369E"/>
    <w:rsid w:val="001C3E99"/>
    <w:rsid w:val="001C4D1A"/>
    <w:rsid w:val="001C635A"/>
    <w:rsid w:val="001C6980"/>
    <w:rsid w:val="001C7475"/>
    <w:rsid w:val="001C7BB0"/>
    <w:rsid w:val="001C7F52"/>
    <w:rsid w:val="001D0297"/>
    <w:rsid w:val="001D11EF"/>
    <w:rsid w:val="001D38A9"/>
    <w:rsid w:val="001D3CC6"/>
    <w:rsid w:val="001D48BF"/>
    <w:rsid w:val="001D4F40"/>
    <w:rsid w:val="001D55A9"/>
    <w:rsid w:val="001D678F"/>
    <w:rsid w:val="001D6CDC"/>
    <w:rsid w:val="001D6CE1"/>
    <w:rsid w:val="001D6DB3"/>
    <w:rsid w:val="001D705B"/>
    <w:rsid w:val="001E031A"/>
    <w:rsid w:val="001E0D2E"/>
    <w:rsid w:val="001E1399"/>
    <w:rsid w:val="001E2D7D"/>
    <w:rsid w:val="001E3ECF"/>
    <w:rsid w:val="001E4F66"/>
    <w:rsid w:val="001E516D"/>
    <w:rsid w:val="001E7C2A"/>
    <w:rsid w:val="001F0E6F"/>
    <w:rsid w:val="001F11EB"/>
    <w:rsid w:val="001F15D5"/>
    <w:rsid w:val="001F2346"/>
    <w:rsid w:val="001F2359"/>
    <w:rsid w:val="001F273C"/>
    <w:rsid w:val="001F359B"/>
    <w:rsid w:val="001F3D5E"/>
    <w:rsid w:val="001F46B7"/>
    <w:rsid w:val="001F51D6"/>
    <w:rsid w:val="001F683B"/>
    <w:rsid w:val="001F6DBA"/>
    <w:rsid w:val="001F6EF5"/>
    <w:rsid w:val="001F714A"/>
    <w:rsid w:val="00200EC8"/>
    <w:rsid w:val="00201E4A"/>
    <w:rsid w:val="00202152"/>
    <w:rsid w:val="00203329"/>
    <w:rsid w:val="002048FE"/>
    <w:rsid w:val="0020497F"/>
    <w:rsid w:val="00204B01"/>
    <w:rsid w:val="00205299"/>
    <w:rsid w:val="00205F2B"/>
    <w:rsid w:val="00205F49"/>
    <w:rsid w:val="00206785"/>
    <w:rsid w:val="00206E7A"/>
    <w:rsid w:val="0020709F"/>
    <w:rsid w:val="002070FA"/>
    <w:rsid w:val="002074D5"/>
    <w:rsid w:val="00207752"/>
    <w:rsid w:val="002105D2"/>
    <w:rsid w:val="00212CBA"/>
    <w:rsid w:val="002132F8"/>
    <w:rsid w:val="0021350E"/>
    <w:rsid w:val="00213F0B"/>
    <w:rsid w:val="00213F6E"/>
    <w:rsid w:val="002140A1"/>
    <w:rsid w:val="0021517C"/>
    <w:rsid w:val="0021517E"/>
    <w:rsid w:val="00215AE5"/>
    <w:rsid w:val="002206E4"/>
    <w:rsid w:val="00222EFE"/>
    <w:rsid w:val="00223199"/>
    <w:rsid w:val="0022332B"/>
    <w:rsid w:val="00223AC0"/>
    <w:rsid w:val="0022472C"/>
    <w:rsid w:val="0022544B"/>
    <w:rsid w:val="002263D2"/>
    <w:rsid w:val="00226BE6"/>
    <w:rsid w:val="00226F8E"/>
    <w:rsid w:val="00227D0E"/>
    <w:rsid w:val="00230197"/>
    <w:rsid w:val="00230543"/>
    <w:rsid w:val="0023272D"/>
    <w:rsid w:val="00232966"/>
    <w:rsid w:val="00232AF5"/>
    <w:rsid w:val="00233974"/>
    <w:rsid w:val="00233A08"/>
    <w:rsid w:val="00234188"/>
    <w:rsid w:val="0023464F"/>
    <w:rsid w:val="00235538"/>
    <w:rsid w:val="00235592"/>
    <w:rsid w:val="00235894"/>
    <w:rsid w:val="00235EF5"/>
    <w:rsid w:val="0023614B"/>
    <w:rsid w:val="0024076B"/>
    <w:rsid w:val="002408DE"/>
    <w:rsid w:val="00240E4A"/>
    <w:rsid w:val="00240EB5"/>
    <w:rsid w:val="002418E2"/>
    <w:rsid w:val="00241D86"/>
    <w:rsid w:val="0024376C"/>
    <w:rsid w:val="00244AAF"/>
    <w:rsid w:val="00244B88"/>
    <w:rsid w:val="00245FA1"/>
    <w:rsid w:val="00246287"/>
    <w:rsid w:val="0024679E"/>
    <w:rsid w:val="0024781F"/>
    <w:rsid w:val="00247D00"/>
    <w:rsid w:val="00250CCE"/>
    <w:rsid w:val="002519AE"/>
    <w:rsid w:val="00251A8F"/>
    <w:rsid w:val="00252099"/>
    <w:rsid w:val="0025262D"/>
    <w:rsid w:val="002529DD"/>
    <w:rsid w:val="0025353C"/>
    <w:rsid w:val="002538E3"/>
    <w:rsid w:val="002539A5"/>
    <w:rsid w:val="00254AF2"/>
    <w:rsid w:val="00255779"/>
    <w:rsid w:val="00255BD7"/>
    <w:rsid w:val="0025637F"/>
    <w:rsid w:val="0025672A"/>
    <w:rsid w:val="00256B78"/>
    <w:rsid w:val="0025782E"/>
    <w:rsid w:val="00257994"/>
    <w:rsid w:val="002600C5"/>
    <w:rsid w:val="002600C7"/>
    <w:rsid w:val="00260205"/>
    <w:rsid w:val="002603E6"/>
    <w:rsid w:val="00260FAE"/>
    <w:rsid w:val="00261261"/>
    <w:rsid w:val="0026128E"/>
    <w:rsid w:val="002628FF"/>
    <w:rsid w:val="002631F9"/>
    <w:rsid w:val="00263270"/>
    <w:rsid w:val="0026362C"/>
    <w:rsid w:val="00263B70"/>
    <w:rsid w:val="0026465C"/>
    <w:rsid w:val="00264EA4"/>
    <w:rsid w:val="0026510D"/>
    <w:rsid w:val="00266A01"/>
    <w:rsid w:val="00266CD3"/>
    <w:rsid w:val="00266D72"/>
    <w:rsid w:val="00266F48"/>
    <w:rsid w:val="0027013A"/>
    <w:rsid w:val="0027078C"/>
    <w:rsid w:val="002709E0"/>
    <w:rsid w:val="0027288F"/>
    <w:rsid w:val="00272A31"/>
    <w:rsid w:val="00272E36"/>
    <w:rsid w:val="00272FD0"/>
    <w:rsid w:val="002745CE"/>
    <w:rsid w:val="00274E68"/>
    <w:rsid w:val="002765F3"/>
    <w:rsid w:val="002774D9"/>
    <w:rsid w:val="00280210"/>
    <w:rsid w:val="002814C0"/>
    <w:rsid w:val="00283DB2"/>
    <w:rsid w:val="00284006"/>
    <w:rsid w:val="002845D9"/>
    <w:rsid w:val="002856F3"/>
    <w:rsid w:val="00285B61"/>
    <w:rsid w:val="00285EC2"/>
    <w:rsid w:val="002865AA"/>
    <w:rsid w:val="002865C2"/>
    <w:rsid w:val="00286F21"/>
    <w:rsid w:val="00290566"/>
    <w:rsid w:val="002905FF"/>
    <w:rsid w:val="0029071C"/>
    <w:rsid w:val="0029109A"/>
    <w:rsid w:val="00291ADC"/>
    <w:rsid w:val="00292A3B"/>
    <w:rsid w:val="00293160"/>
    <w:rsid w:val="002940D7"/>
    <w:rsid w:val="00295262"/>
    <w:rsid w:val="00295BA5"/>
    <w:rsid w:val="002960F9"/>
    <w:rsid w:val="00297BD0"/>
    <w:rsid w:val="002A0DBF"/>
    <w:rsid w:val="002A0DCD"/>
    <w:rsid w:val="002A1273"/>
    <w:rsid w:val="002A1295"/>
    <w:rsid w:val="002A15AD"/>
    <w:rsid w:val="002A2761"/>
    <w:rsid w:val="002A3E9A"/>
    <w:rsid w:val="002A4763"/>
    <w:rsid w:val="002A4A14"/>
    <w:rsid w:val="002A5624"/>
    <w:rsid w:val="002A613C"/>
    <w:rsid w:val="002A6528"/>
    <w:rsid w:val="002A7538"/>
    <w:rsid w:val="002A7FFB"/>
    <w:rsid w:val="002B0A73"/>
    <w:rsid w:val="002B0B0B"/>
    <w:rsid w:val="002B13F2"/>
    <w:rsid w:val="002B1FDC"/>
    <w:rsid w:val="002B31EA"/>
    <w:rsid w:val="002B36A6"/>
    <w:rsid w:val="002B4CE4"/>
    <w:rsid w:val="002B6C2F"/>
    <w:rsid w:val="002B763A"/>
    <w:rsid w:val="002B7A1E"/>
    <w:rsid w:val="002C019A"/>
    <w:rsid w:val="002C0205"/>
    <w:rsid w:val="002C12D5"/>
    <w:rsid w:val="002C1856"/>
    <w:rsid w:val="002C242D"/>
    <w:rsid w:val="002C2B44"/>
    <w:rsid w:val="002C3322"/>
    <w:rsid w:val="002C36F8"/>
    <w:rsid w:val="002C42FA"/>
    <w:rsid w:val="002C4528"/>
    <w:rsid w:val="002C4893"/>
    <w:rsid w:val="002C5E6B"/>
    <w:rsid w:val="002C757D"/>
    <w:rsid w:val="002C7635"/>
    <w:rsid w:val="002D0093"/>
    <w:rsid w:val="002D08B5"/>
    <w:rsid w:val="002D0CDD"/>
    <w:rsid w:val="002D2470"/>
    <w:rsid w:val="002D308F"/>
    <w:rsid w:val="002D313B"/>
    <w:rsid w:val="002D4B5C"/>
    <w:rsid w:val="002D4FF6"/>
    <w:rsid w:val="002D5383"/>
    <w:rsid w:val="002D5553"/>
    <w:rsid w:val="002D5C90"/>
    <w:rsid w:val="002D642D"/>
    <w:rsid w:val="002D6722"/>
    <w:rsid w:val="002D67B7"/>
    <w:rsid w:val="002D75F1"/>
    <w:rsid w:val="002D7C3F"/>
    <w:rsid w:val="002E24A4"/>
    <w:rsid w:val="002E2E83"/>
    <w:rsid w:val="002E2F26"/>
    <w:rsid w:val="002E43F3"/>
    <w:rsid w:val="002E78FC"/>
    <w:rsid w:val="002E7FCD"/>
    <w:rsid w:val="002F071E"/>
    <w:rsid w:val="002F0D67"/>
    <w:rsid w:val="002F1025"/>
    <w:rsid w:val="002F1614"/>
    <w:rsid w:val="002F1C99"/>
    <w:rsid w:val="002F2DE1"/>
    <w:rsid w:val="002F332D"/>
    <w:rsid w:val="002F42E7"/>
    <w:rsid w:val="002F433F"/>
    <w:rsid w:val="002F4568"/>
    <w:rsid w:val="002F6A7B"/>
    <w:rsid w:val="002F6C1B"/>
    <w:rsid w:val="003004DB"/>
    <w:rsid w:val="003005A3"/>
    <w:rsid w:val="00300D66"/>
    <w:rsid w:val="00300F68"/>
    <w:rsid w:val="003012C5"/>
    <w:rsid w:val="003016B4"/>
    <w:rsid w:val="003036FB"/>
    <w:rsid w:val="00305E63"/>
    <w:rsid w:val="0031054B"/>
    <w:rsid w:val="0031057D"/>
    <w:rsid w:val="0031181D"/>
    <w:rsid w:val="00311892"/>
    <w:rsid w:val="00312BFB"/>
    <w:rsid w:val="00313D68"/>
    <w:rsid w:val="00314263"/>
    <w:rsid w:val="00314D95"/>
    <w:rsid w:val="00314ECB"/>
    <w:rsid w:val="00317837"/>
    <w:rsid w:val="00317C2C"/>
    <w:rsid w:val="00317DA6"/>
    <w:rsid w:val="00322DE8"/>
    <w:rsid w:val="00322FA7"/>
    <w:rsid w:val="00323150"/>
    <w:rsid w:val="00323D58"/>
    <w:rsid w:val="00324B18"/>
    <w:rsid w:val="0032541B"/>
    <w:rsid w:val="0032545D"/>
    <w:rsid w:val="00325C42"/>
    <w:rsid w:val="0032664A"/>
    <w:rsid w:val="003274A4"/>
    <w:rsid w:val="003279E7"/>
    <w:rsid w:val="003301AC"/>
    <w:rsid w:val="003303B9"/>
    <w:rsid w:val="00330582"/>
    <w:rsid w:val="00331211"/>
    <w:rsid w:val="003315A8"/>
    <w:rsid w:val="00331717"/>
    <w:rsid w:val="003318FB"/>
    <w:rsid w:val="00331E58"/>
    <w:rsid w:val="00332109"/>
    <w:rsid w:val="0033241E"/>
    <w:rsid w:val="00332D2B"/>
    <w:rsid w:val="00333B4D"/>
    <w:rsid w:val="0033420A"/>
    <w:rsid w:val="00335593"/>
    <w:rsid w:val="00336853"/>
    <w:rsid w:val="00336897"/>
    <w:rsid w:val="00336A38"/>
    <w:rsid w:val="0033722F"/>
    <w:rsid w:val="003415E7"/>
    <w:rsid w:val="0034182B"/>
    <w:rsid w:val="00341984"/>
    <w:rsid w:val="0034307B"/>
    <w:rsid w:val="003430FB"/>
    <w:rsid w:val="00343C7D"/>
    <w:rsid w:val="00343D91"/>
    <w:rsid w:val="003453DF"/>
    <w:rsid w:val="003456FE"/>
    <w:rsid w:val="0034577B"/>
    <w:rsid w:val="00345833"/>
    <w:rsid w:val="003473A1"/>
    <w:rsid w:val="00347584"/>
    <w:rsid w:val="00347762"/>
    <w:rsid w:val="00347A9B"/>
    <w:rsid w:val="0035125A"/>
    <w:rsid w:val="00351524"/>
    <w:rsid w:val="0035285F"/>
    <w:rsid w:val="00352C73"/>
    <w:rsid w:val="003534EA"/>
    <w:rsid w:val="0035391A"/>
    <w:rsid w:val="00354A06"/>
    <w:rsid w:val="00355394"/>
    <w:rsid w:val="00355ACF"/>
    <w:rsid w:val="00356877"/>
    <w:rsid w:val="0036064D"/>
    <w:rsid w:val="00360C18"/>
    <w:rsid w:val="00362B63"/>
    <w:rsid w:val="003634F6"/>
    <w:rsid w:val="0036390A"/>
    <w:rsid w:val="00364345"/>
    <w:rsid w:val="00364CF0"/>
    <w:rsid w:val="00365C51"/>
    <w:rsid w:val="00365F14"/>
    <w:rsid w:val="00365F96"/>
    <w:rsid w:val="00366027"/>
    <w:rsid w:val="003664AE"/>
    <w:rsid w:val="00367EE0"/>
    <w:rsid w:val="003701D2"/>
    <w:rsid w:val="003704DE"/>
    <w:rsid w:val="003705A7"/>
    <w:rsid w:val="00370D1F"/>
    <w:rsid w:val="00371258"/>
    <w:rsid w:val="00371AAB"/>
    <w:rsid w:val="00371AB3"/>
    <w:rsid w:val="00372D49"/>
    <w:rsid w:val="00372E15"/>
    <w:rsid w:val="00373873"/>
    <w:rsid w:val="003771FC"/>
    <w:rsid w:val="00380306"/>
    <w:rsid w:val="00380454"/>
    <w:rsid w:val="00380795"/>
    <w:rsid w:val="003811E7"/>
    <w:rsid w:val="003813DD"/>
    <w:rsid w:val="00381BF4"/>
    <w:rsid w:val="003822DC"/>
    <w:rsid w:val="0038247C"/>
    <w:rsid w:val="003825A0"/>
    <w:rsid w:val="00382D6B"/>
    <w:rsid w:val="00383F40"/>
    <w:rsid w:val="00385E08"/>
    <w:rsid w:val="003868EC"/>
    <w:rsid w:val="003870F6"/>
    <w:rsid w:val="0038786F"/>
    <w:rsid w:val="00387E47"/>
    <w:rsid w:val="003925A5"/>
    <w:rsid w:val="00392C1D"/>
    <w:rsid w:val="00393440"/>
    <w:rsid w:val="00394B36"/>
    <w:rsid w:val="00394DA4"/>
    <w:rsid w:val="003952ED"/>
    <w:rsid w:val="0039620C"/>
    <w:rsid w:val="00396AB9"/>
    <w:rsid w:val="00396B82"/>
    <w:rsid w:val="00396CC4"/>
    <w:rsid w:val="003972F7"/>
    <w:rsid w:val="003A00C3"/>
    <w:rsid w:val="003A0236"/>
    <w:rsid w:val="003A10EE"/>
    <w:rsid w:val="003A173F"/>
    <w:rsid w:val="003A2236"/>
    <w:rsid w:val="003A2689"/>
    <w:rsid w:val="003A2991"/>
    <w:rsid w:val="003A2CE4"/>
    <w:rsid w:val="003A3FC8"/>
    <w:rsid w:val="003A4BF2"/>
    <w:rsid w:val="003A4E57"/>
    <w:rsid w:val="003A53AE"/>
    <w:rsid w:val="003A56A4"/>
    <w:rsid w:val="003A5EE8"/>
    <w:rsid w:val="003A617F"/>
    <w:rsid w:val="003A6CBF"/>
    <w:rsid w:val="003A703B"/>
    <w:rsid w:val="003B13B6"/>
    <w:rsid w:val="003B2208"/>
    <w:rsid w:val="003B3647"/>
    <w:rsid w:val="003B572B"/>
    <w:rsid w:val="003B6218"/>
    <w:rsid w:val="003B6F08"/>
    <w:rsid w:val="003B7804"/>
    <w:rsid w:val="003C106E"/>
    <w:rsid w:val="003C1494"/>
    <w:rsid w:val="003C19D9"/>
    <w:rsid w:val="003C2003"/>
    <w:rsid w:val="003C34F8"/>
    <w:rsid w:val="003C54A4"/>
    <w:rsid w:val="003C5624"/>
    <w:rsid w:val="003C5BDF"/>
    <w:rsid w:val="003C65B0"/>
    <w:rsid w:val="003C6819"/>
    <w:rsid w:val="003C6DA6"/>
    <w:rsid w:val="003C7AA9"/>
    <w:rsid w:val="003C7DEA"/>
    <w:rsid w:val="003D210C"/>
    <w:rsid w:val="003D37DF"/>
    <w:rsid w:val="003D3B5B"/>
    <w:rsid w:val="003D468A"/>
    <w:rsid w:val="003D5320"/>
    <w:rsid w:val="003D5A61"/>
    <w:rsid w:val="003E01DD"/>
    <w:rsid w:val="003E0750"/>
    <w:rsid w:val="003E153A"/>
    <w:rsid w:val="003E1ABE"/>
    <w:rsid w:val="003E1CE7"/>
    <w:rsid w:val="003E323F"/>
    <w:rsid w:val="003E54F9"/>
    <w:rsid w:val="003E5AAA"/>
    <w:rsid w:val="003E6ADF"/>
    <w:rsid w:val="003F0A0E"/>
    <w:rsid w:val="003F13A6"/>
    <w:rsid w:val="003F1FF3"/>
    <w:rsid w:val="003F2707"/>
    <w:rsid w:val="003F2C72"/>
    <w:rsid w:val="003F4663"/>
    <w:rsid w:val="003F6F46"/>
    <w:rsid w:val="003F7BF7"/>
    <w:rsid w:val="00400537"/>
    <w:rsid w:val="00400611"/>
    <w:rsid w:val="0040108F"/>
    <w:rsid w:val="004021EA"/>
    <w:rsid w:val="00403CA9"/>
    <w:rsid w:val="00404AFB"/>
    <w:rsid w:val="00405892"/>
    <w:rsid w:val="00405CFE"/>
    <w:rsid w:val="00407408"/>
    <w:rsid w:val="004074DF"/>
    <w:rsid w:val="00410A74"/>
    <w:rsid w:val="00411C59"/>
    <w:rsid w:val="004124D1"/>
    <w:rsid w:val="00412ADD"/>
    <w:rsid w:val="004140D9"/>
    <w:rsid w:val="00415303"/>
    <w:rsid w:val="00417745"/>
    <w:rsid w:val="00417B08"/>
    <w:rsid w:val="00420443"/>
    <w:rsid w:val="00420737"/>
    <w:rsid w:val="00420DD5"/>
    <w:rsid w:val="00421539"/>
    <w:rsid w:val="00421BC4"/>
    <w:rsid w:val="0042260C"/>
    <w:rsid w:val="00422C96"/>
    <w:rsid w:val="00424AD3"/>
    <w:rsid w:val="00427544"/>
    <w:rsid w:val="004275A6"/>
    <w:rsid w:val="0042794E"/>
    <w:rsid w:val="00432AED"/>
    <w:rsid w:val="00432DF9"/>
    <w:rsid w:val="004342E7"/>
    <w:rsid w:val="004347FF"/>
    <w:rsid w:val="004353FF"/>
    <w:rsid w:val="004354B1"/>
    <w:rsid w:val="00435DE5"/>
    <w:rsid w:val="00437CA2"/>
    <w:rsid w:val="00442B47"/>
    <w:rsid w:val="00443CC9"/>
    <w:rsid w:val="00445573"/>
    <w:rsid w:val="0044581B"/>
    <w:rsid w:val="004464D8"/>
    <w:rsid w:val="00446989"/>
    <w:rsid w:val="00447404"/>
    <w:rsid w:val="0045073A"/>
    <w:rsid w:val="00450D71"/>
    <w:rsid w:val="0045105B"/>
    <w:rsid w:val="0045137A"/>
    <w:rsid w:val="00451CF0"/>
    <w:rsid w:val="004524CE"/>
    <w:rsid w:val="00452D2B"/>
    <w:rsid w:val="00453C6C"/>
    <w:rsid w:val="004548A6"/>
    <w:rsid w:val="00454A8F"/>
    <w:rsid w:val="00455A1A"/>
    <w:rsid w:val="00455E94"/>
    <w:rsid w:val="004564F1"/>
    <w:rsid w:val="0045675C"/>
    <w:rsid w:val="00460350"/>
    <w:rsid w:val="00461258"/>
    <w:rsid w:val="004615E7"/>
    <w:rsid w:val="00461F31"/>
    <w:rsid w:val="004620AA"/>
    <w:rsid w:val="004624AB"/>
    <w:rsid w:val="00462D95"/>
    <w:rsid w:val="004639F5"/>
    <w:rsid w:val="00463AFF"/>
    <w:rsid w:val="00463BA8"/>
    <w:rsid w:val="00463CD4"/>
    <w:rsid w:val="00463F0C"/>
    <w:rsid w:val="0046442B"/>
    <w:rsid w:val="004647D4"/>
    <w:rsid w:val="004677DD"/>
    <w:rsid w:val="00467CA4"/>
    <w:rsid w:val="00467FD2"/>
    <w:rsid w:val="00471DE9"/>
    <w:rsid w:val="004721AB"/>
    <w:rsid w:val="004732EB"/>
    <w:rsid w:val="004741BB"/>
    <w:rsid w:val="004742D3"/>
    <w:rsid w:val="00474CE6"/>
    <w:rsid w:val="00475284"/>
    <w:rsid w:val="004759DD"/>
    <w:rsid w:val="004769FE"/>
    <w:rsid w:val="00477519"/>
    <w:rsid w:val="00477538"/>
    <w:rsid w:val="00477B15"/>
    <w:rsid w:val="004800C8"/>
    <w:rsid w:val="004800F3"/>
    <w:rsid w:val="00481480"/>
    <w:rsid w:val="004824B7"/>
    <w:rsid w:val="00484511"/>
    <w:rsid w:val="00485336"/>
    <w:rsid w:val="00485AD5"/>
    <w:rsid w:val="00486CE7"/>
    <w:rsid w:val="00487CD6"/>
    <w:rsid w:val="00491C32"/>
    <w:rsid w:val="00492278"/>
    <w:rsid w:val="0049287A"/>
    <w:rsid w:val="00493CB7"/>
    <w:rsid w:val="00494F9A"/>
    <w:rsid w:val="004A28C0"/>
    <w:rsid w:val="004A30EF"/>
    <w:rsid w:val="004A32D6"/>
    <w:rsid w:val="004A3AAB"/>
    <w:rsid w:val="004A4140"/>
    <w:rsid w:val="004A420D"/>
    <w:rsid w:val="004A461D"/>
    <w:rsid w:val="004A5024"/>
    <w:rsid w:val="004A71EA"/>
    <w:rsid w:val="004A76B2"/>
    <w:rsid w:val="004B16E4"/>
    <w:rsid w:val="004B1D8A"/>
    <w:rsid w:val="004B2167"/>
    <w:rsid w:val="004B3255"/>
    <w:rsid w:val="004B3592"/>
    <w:rsid w:val="004B47FB"/>
    <w:rsid w:val="004B48DE"/>
    <w:rsid w:val="004B518F"/>
    <w:rsid w:val="004B64DD"/>
    <w:rsid w:val="004B7120"/>
    <w:rsid w:val="004B7262"/>
    <w:rsid w:val="004B7E66"/>
    <w:rsid w:val="004C0151"/>
    <w:rsid w:val="004C0BF5"/>
    <w:rsid w:val="004C0D8E"/>
    <w:rsid w:val="004C123F"/>
    <w:rsid w:val="004C235B"/>
    <w:rsid w:val="004C335E"/>
    <w:rsid w:val="004C35F3"/>
    <w:rsid w:val="004C5649"/>
    <w:rsid w:val="004C6040"/>
    <w:rsid w:val="004C6ED3"/>
    <w:rsid w:val="004C6EF9"/>
    <w:rsid w:val="004C7E93"/>
    <w:rsid w:val="004D01E2"/>
    <w:rsid w:val="004D033E"/>
    <w:rsid w:val="004D1585"/>
    <w:rsid w:val="004D1DC9"/>
    <w:rsid w:val="004D2C3D"/>
    <w:rsid w:val="004D353B"/>
    <w:rsid w:val="004D51DB"/>
    <w:rsid w:val="004D5A5D"/>
    <w:rsid w:val="004D6433"/>
    <w:rsid w:val="004D6BFA"/>
    <w:rsid w:val="004D6D5A"/>
    <w:rsid w:val="004D7079"/>
    <w:rsid w:val="004D70E4"/>
    <w:rsid w:val="004D7C3F"/>
    <w:rsid w:val="004D7FD4"/>
    <w:rsid w:val="004E0935"/>
    <w:rsid w:val="004E0D9E"/>
    <w:rsid w:val="004E16E9"/>
    <w:rsid w:val="004E3043"/>
    <w:rsid w:val="004E405E"/>
    <w:rsid w:val="004E4C4A"/>
    <w:rsid w:val="004E6041"/>
    <w:rsid w:val="004E63BC"/>
    <w:rsid w:val="004E66B3"/>
    <w:rsid w:val="004E72C4"/>
    <w:rsid w:val="004E7A99"/>
    <w:rsid w:val="004E7B6D"/>
    <w:rsid w:val="004F00A2"/>
    <w:rsid w:val="004F082D"/>
    <w:rsid w:val="004F144E"/>
    <w:rsid w:val="004F2169"/>
    <w:rsid w:val="004F2BA4"/>
    <w:rsid w:val="004F2D08"/>
    <w:rsid w:val="004F2F47"/>
    <w:rsid w:val="004F2FE4"/>
    <w:rsid w:val="004F329E"/>
    <w:rsid w:val="004F497B"/>
    <w:rsid w:val="004F5015"/>
    <w:rsid w:val="004F5C6C"/>
    <w:rsid w:val="004F5D97"/>
    <w:rsid w:val="004F7B26"/>
    <w:rsid w:val="0050080F"/>
    <w:rsid w:val="00501A85"/>
    <w:rsid w:val="00501FB8"/>
    <w:rsid w:val="00503CEE"/>
    <w:rsid w:val="00503F27"/>
    <w:rsid w:val="0050598F"/>
    <w:rsid w:val="00505CB1"/>
    <w:rsid w:val="00505D7D"/>
    <w:rsid w:val="00507120"/>
    <w:rsid w:val="00510F1C"/>
    <w:rsid w:val="005114B6"/>
    <w:rsid w:val="00511DFC"/>
    <w:rsid w:val="00511F9F"/>
    <w:rsid w:val="00512911"/>
    <w:rsid w:val="00512C39"/>
    <w:rsid w:val="00512F2D"/>
    <w:rsid w:val="005134D0"/>
    <w:rsid w:val="00513A57"/>
    <w:rsid w:val="00514117"/>
    <w:rsid w:val="0051472D"/>
    <w:rsid w:val="005147C9"/>
    <w:rsid w:val="0051567E"/>
    <w:rsid w:val="005170C5"/>
    <w:rsid w:val="005200AA"/>
    <w:rsid w:val="00521BBD"/>
    <w:rsid w:val="005231DB"/>
    <w:rsid w:val="005236F2"/>
    <w:rsid w:val="00523CCB"/>
    <w:rsid w:val="00524AAE"/>
    <w:rsid w:val="00524AEA"/>
    <w:rsid w:val="00525CB3"/>
    <w:rsid w:val="00526BD5"/>
    <w:rsid w:val="00526E28"/>
    <w:rsid w:val="0053104B"/>
    <w:rsid w:val="0053191D"/>
    <w:rsid w:val="005319A9"/>
    <w:rsid w:val="00531D91"/>
    <w:rsid w:val="00532041"/>
    <w:rsid w:val="005324DC"/>
    <w:rsid w:val="00533027"/>
    <w:rsid w:val="005333DD"/>
    <w:rsid w:val="00535837"/>
    <w:rsid w:val="00535EC4"/>
    <w:rsid w:val="005364B9"/>
    <w:rsid w:val="00536FCC"/>
    <w:rsid w:val="0053716A"/>
    <w:rsid w:val="005408D0"/>
    <w:rsid w:val="00541278"/>
    <w:rsid w:val="005414D3"/>
    <w:rsid w:val="005416B6"/>
    <w:rsid w:val="005423DD"/>
    <w:rsid w:val="00542C19"/>
    <w:rsid w:val="00542DF6"/>
    <w:rsid w:val="00542E3F"/>
    <w:rsid w:val="005437AA"/>
    <w:rsid w:val="00543906"/>
    <w:rsid w:val="005439C5"/>
    <w:rsid w:val="00543DCD"/>
    <w:rsid w:val="005448EE"/>
    <w:rsid w:val="00544933"/>
    <w:rsid w:val="005449B3"/>
    <w:rsid w:val="00544B46"/>
    <w:rsid w:val="00545A36"/>
    <w:rsid w:val="005468A9"/>
    <w:rsid w:val="00546F97"/>
    <w:rsid w:val="00547020"/>
    <w:rsid w:val="0054720A"/>
    <w:rsid w:val="0054745E"/>
    <w:rsid w:val="00547F08"/>
    <w:rsid w:val="005500D1"/>
    <w:rsid w:val="005502F4"/>
    <w:rsid w:val="00551A74"/>
    <w:rsid w:val="00553507"/>
    <w:rsid w:val="005538BF"/>
    <w:rsid w:val="00553C7E"/>
    <w:rsid w:val="00557CB4"/>
    <w:rsid w:val="0056012E"/>
    <w:rsid w:val="005601B0"/>
    <w:rsid w:val="005602C5"/>
    <w:rsid w:val="005617C3"/>
    <w:rsid w:val="0056283B"/>
    <w:rsid w:val="0056311F"/>
    <w:rsid w:val="005642FC"/>
    <w:rsid w:val="00564BD9"/>
    <w:rsid w:val="0056527C"/>
    <w:rsid w:val="00565774"/>
    <w:rsid w:val="005657C5"/>
    <w:rsid w:val="00567F12"/>
    <w:rsid w:val="00570290"/>
    <w:rsid w:val="00570A6D"/>
    <w:rsid w:val="005714C3"/>
    <w:rsid w:val="005720D3"/>
    <w:rsid w:val="0057306A"/>
    <w:rsid w:val="00573E07"/>
    <w:rsid w:val="00575A38"/>
    <w:rsid w:val="00575F43"/>
    <w:rsid w:val="0057611C"/>
    <w:rsid w:val="005778E6"/>
    <w:rsid w:val="00583DD9"/>
    <w:rsid w:val="00583EB6"/>
    <w:rsid w:val="005840A5"/>
    <w:rsid w:val="0058581F"/>
    <w:rsid w:val="0058590A"/>
    <w:rsid w:val="0058699E"/>
    <w:rsid w:val="0059160A"/>
    <w:rsid w:val="00591C60"/>
    <w:rsid w:val="00591D14"/>
    <w:rsid w:val="0059241C"/>
    <w:rsid w:val="00592883"/>
    <w:rsid w:val="00592FE9"/>
    <w:rsid w:val="00593103"/>
    <w:rsid w:val="0059312D"/>
    <w:rsid w:val="005939A7"/>
    <w:rsid w:val="00593E3E"/>
    <w:rsid w:val="0059436B"/>
    <w:rsid w:val="00594376"/>
    <w:rsid w:val="00595CEE"/>
    <w:rsid w:val="00595EE6"/>
    <w:rsid w:val="005970C1"/>
    <w:rsid w:val="005975BE"/>
    <w:rsid w:val="00597F1B"/>
    <w:rsid w:val="005A04D7"/>
    <w:rsid w:val="005A0D88"/>
    <w:rsid w:val="005A2235"/>
    <w:rsid w:val="005A2333"/>
    <w:rsid w:val="005A2A9C"/>
    <w:rsid w:val="005A3490"/>
    <w:rsid w:val="005A47C0"/>
    <w:rsid w:val="005A504D"/>
    <w:rsid w:val="005A5687"/>
    <w:rsid w:val="005A64BD"/>
    <w:rsid w:val="005A690D"/>
    <w:rsid w:val="005B0918"/>
    <w:rsid w:val="005B096C"/>
    <w:rsid w:val="005B1D22"/>
    <w:rsid w:val="005B202C"/>
    <w:rsid w:val="005B22D3"/>
    <w:rsid w:val="005B3689"/>
    <w:rsid w:val="005B3C19"/>
    <w:rsid w:val="005B57E5"/>
    <w:rsid w:val="005B6258"/>
    <w:rsid w:val="005B6710"/>
    <w:rsid w:val="005B673D"/>
    <w:rsid w:val="005B6938"/>
    <w:rsid w:val="005B6D19"/>
    <w:rsid w:val="005B7E78"/>
    <w:rsid w:val="005C0E21"/>
    <w:rsid w:val="005C1C7F"/>
    <w:rsid w:val="005C3074"/>
    <w:rsid w:val="005C43C0"/>
    <w:rsid w:val="005C6108"/>
    <w:rsid w:val="005D0570"/>
    <w:rsid w:val="005D0615"/>
    <w:rsid w:val="005D0800"/>
    <w:rsid w:val="005D1DE7"/>
    <w:rsid w:val="005D3790"/>
    <w:rsid w:val="005D396E"/>
    <w:rsid w:val="005D5FCB"/>
    <w:rsid w:val="005E065F"/>
    <w:rsid w:val="005E14B5"/>
    <w:rsid w:val="005E1921"/>
    <w:rsid w:val="005E1FAC"/>
    <w:rsid w:val="005E4300"/>
    <w:rsid w:val="005E4378"/>
    <w:rsid w:val="005E4B45"/>
    <w:rsid w:val="005E5A82"/>
    <w:rsid w:val="005E66D1"/>
    <w:rsid w:val="005E6A4E"/>
    <w:rsid w:val="005E7CD7"/>
    <w:rsid w:val="005F0A0C"/>
    <w:rsid w:val="005F0D91"/>
    <w:rsid w:val="005F0DD5"/>
    <w:rsid w:val="005F1717"/>
    <w:rsid w:val="005F1E8A"/>
    <w:rsid w:val="005F20A4"/>
    <w:rsid w:val="005F425D"/>
    <w:rsid w:val="005F4454"/>
    <w:rsid w:val="005F6259"/>
    <w:rsid w:val="005F65E1"/>
    <w:rsid w:val="005F6820"/>
    <w:rsid w:val="005F71DB"/>
    <w:rsid w:val="005F77B3"/>
    <w:rsid w:val="005F79D5"/>
    <w:rsid w:val="005F7A21"/>
    <w:rsid w:val="0060069A"/>
    <w:rsid w:val="00601567"/>
    <w:rsid w:val="006023E0"/>
    <w:rsid w:val="00604CE4"/>
    <w:rsid w:val="0060552F"/>
    <w:rsid w:val="00605644"/>
    <w:rsid w:val="00605F76"/>
    <w:rsid w:val="00605F9F"/>
    <w:rsid w:val="006062DD"/>
    <w:rsid w:val="006069BA"/>
    <w:rsid w:val="00606B1E"/>
    <w:rsid w:val="00606E3B"/>
    <w:rsid w:val="00606FDE"/>
    <w:rsid w:val="006075AC"/>
    <w:rsid w:val="006114CB"/>
    <w:rsid w:val="00612F56"/>
    <w:rsid w:val="00613172"/>
    <w:rsid w:val="00613CFE"/>
    <w:rsid w:val="0061432C"/>
    <w:rsid w:val="006145B3"/>
    <w:rsid w:val="00614F11"/>
    <w:rsid w:val="006153DF"/>
    <w:rsid w:val="0061558C"/>
    <w:rsid w:val="0061605F"/>
    <w:rsid w:val="0061651B"/>
    <w:rsid w:val="006170F3"/>
    <w:rsid w:val="00617A07"/>
    <w:rsid w:val="0062041F"/>
    <w:rsid w:val="00620851"/>
    <w:rsid w:val="00620916"/>
    <w:rsid w:val="006220E2"/>
    <w:rsid w:val="00623608"/>
    <w:rsid w:val="00624A21"/>
    <w:rsid w:val="00624FA2"/>
    <w:rsid w:val="00625569"/>
    <w:rsid w:val="006256CF"/>
    <w:rsid w:val="00626EC1"/>
    <w:rsid w:val="00626FA6"/>
    <w:rsid w:val="00627D91"/>
    <w:rsid w:val="00631C3B"/>
    <w:rsid w:val="00634698"/>
    <w:rsid w:val="00635225"/>
    <w:rsid w:val="00635E0D"/>
    <w:rsid w:val="00636010"/>
    <w:rsid w:val="0063715A"/>
    <w:rsid w:val="006374D0"/>
    <w:rsid w:val="006400A4"/>
    <w:rsid w:val="00641098"/>
    <w:rsid w:val="00642FE6"/>
    <w:rsid w:val="0064331B"/>
    <w:rsid w:val="006437A9"/>
    <w:rsid w:val="00646950"/>
    <w:rsid w:val="00650C84"/>
    <w:rsid w:val="00651C61"/>
    <w:rsid w:val="00652AFF"/>
    <w:rsid w:val="0065302B"/>
    <w:rsid w:val="00653490"/>
    <w:rsid w:val="00653ADC"/>
    <w:rsid w:val="00653AFA"/>
    <w:rsid w:val="00654F32"/>
    <w:rsid w:val="006550D0"/>
    <w:rsid w:val="00655A1D"/>
    <w:rsid w:val="00655AFC"/>
    <w:rsid w:val="006566B5"/>
    <w:rsid w:val="00656AD6"/>
    <w:rsid w:val="00656D1A"/>
    <w:rsid w:val="00656F59"/>
    <w:rsid w:val="00657811"/>
    <w:rsid w:val="006604E8"/>
    <w:rsid w:val="00660DB6"/>
    <w:rsid w:val="00661906"/>
    <w:rsid w:val="00661A91"/>
    <w:rsid w:val="00661B09"/>
    <w:rsid w:val="00661D1C"/>
    <w:rsid w:val="00661D4C"/>
    <w:rsid w:val="00661D84"/>
    <w:rsid w:val="006631FE"/>
    <w:rsid w:val="00663336"/>
    <w:rsid w:val="00663338"/>
    <w:rsid w:val="00663BE2"/>
    <w:rsid w:val="00663D59"/>
    <w:rsid w:val="006641EE"/>
    <w:rsid w:val="00664AE0"/>
    <w:rsid w:val="00665DA5"/>
    <w:rsid w:val="006667C2"/>
    <w:rsid w:val="00667637"/>
    <w:rsid w:val="00667F76"/>
    <w:rsid w:val="006704D9"/>
    <w:rsid w:val="00670656"/>
    <w:rsid w:val="00670B63"/>
    <w:rsid w:val="006714D0"/>
    <w:rsid w:val="0067185A"/>
    <w:rsid w:val="00671A1D"/>
    <w:rsid w:val="00671D84"/>
    <w:rsid w:val="00672488"/>
    <w:rsid w:val="00673EC1"/>
    <w:rsid w:val="00674332"/>
    <w:rsid w:val="00674534"/>
    <w:rsid w:val="00674CB1"/>
    <w:rsid w:val="00675218"/>
    <w:rsid w:val="00675BA7"/>
    <w:rsid w:val="00675F59"/>
    <w:rsid w:val="006763FD"/>
    <w:rsid w:val="00676720"/>
    <w:rsid w:val="00676B18"/>
    <w:rsid w:val="00676B56"/>
    <w:rsid w:val="00676FBE"/>
    <w:rsid w:val="006778A5"/>
    <w:rsid w:val="00677B9C"/>
    <w:rsid w:val="0068138F"/>
    <w:rsid w:val="006813B9"/>
    <w:rsid w:val="00681BB2"/>
    <w:rsid w:val="00682329"/>
    <w:rsid w:val="00682773"/>
    <w:rsid w:val="00682B1B"/>
    <w:rsid w:val="0068575B"/>
    <w:rsid w:val="006858A9"/>
    <w:rsid w:val="00686CC5"/>
    <w:rsid w:val="00687E31"/>
    <w:rsid w:val="00690840"/>
    <w:rsid w:val="00690C40"/>
    <w:rsid w:val="006918E7"/>
    <w:rsid w:val="00692B75"/>
    <w:rsid w:val="00694821"/>
    <w:rsid w:val="00695257"/>
    <w:rsid w:val="00695D05"/>
    <w:rsid w:val="0069723A"/>
    <w:rsid w:val="00697572"/>
    <w:rsid w:val="006A108C"/>
    <w:rsid w:val="006A2E30"/>
    <w:rsid w:val="006A2E64"/>
    <w:rsid w:val="006A2EFA"/>
    <w:rsid w:val="006A3AD9"/>
    <w:rsid w:val="006A4FA2"/>
    <w:rsid w:val="006A70A0"/>
    <w:rsid w:val="006B061F"/>
    <w:rsid w:val="006B1B33"/>
    <w:rsid w:val="006B1C9A"/>
    <w:rsid w:val="006B2DF5"/>
    <w:rsid w:val="006B30E0"/>
    <w:rsid w:val="006B4104"/>
    <w:rsid w:val="006B555A"/>
    <w:rsid w:val="006B5E1B"/>
    <w:rsid w:val="006B61CA"/>
    <w:rsid w:val="006B7897"/>
    <w:rsid w:val="006B7E21"/>
    <w:rsid w:val="006C1D90"/>
    <w:rsid w:val="006C377F"/>
    <w:rsid w:val="006C3979"/>
    <w:rsid w:val="006C5896"/>
    <w:rsid w:val="006C6837"/>
    <w:rsid w:val="006C6E7A"/>
    <w:rsid w:val="006C7069"/>
    <w:rsid w:val="006D023D"/>
    <w:rsid w:val="006D050F"/>
    <w:rsid w:val="006D1DAC"/>
    <w:rsid w:val="006D1DCB"/>
    <w:rsid w:val="006D27C5"/>
    <w:rsid w:val="006D369A"/>
    <w:rsid w:val="006D425C"/>
    <w:rsid w:val="006D4BE4"/>
    <w:rsid w:val="006D7A40"/>
    <w:rsid w:val="006D7A71"/>
    <w:rsid w:val="006E100B"/>
    <w:rsid w:val="006E1B47"/>
    <w:rsid w:val="006E2F9F"/>
    <w:rsid w:val="006E314A"/>
    <w:rsid w:val="006E325A"/>
    <w:rsid w:val="006E3B6C"/>
    <w:rsid w:val="006E3E07"/>
    <w:rsid w:val="006E3FF2"/>
    <w:rsid w:val="006E54DC"/>
    <w:rsid w:val="006E699E"/>
    <w:rsid w:val="006E6AC6"/>
    <w:rsid w:val="006E6B87"/>
    <w:rsid w:val="006F155C"/>
    <w:rsid w:val="006F189E"/>
    <w:rsid w:val="006F1CC8"/>
    <w:rsid w:val="006F396A"/>
    <w:rsid w:val="006F463B"/>
    <w:rsid w:val="006F50BF"/>
    <w:rsid w:val="006F518F"/>
    <w:rsid w:val="006F5903"/>
    <w:rsid w:val="006F5F31"/>
    <w:rsid w:val="006F6208"/>
    <w:rsid w:val="006F65CE"/>
    <w:rsid w:val="006F78D5"/>
    <w:rsid w:val="006F7C2F"/>
    <w:rsid w:val="007003B5"/>
    <w:rsid w:val="00701992"/>
    <w:rsid w:val="00701AAC"/>
    <w:rsid w:val="00701EB8"/>
    <w:rsid w:val="00702105"/>
    <w:rsid w:val="007035E0"/>
    <w:rsid w:val="00704151"/>
    <w:rsid w:val="00704F73"/>
    <w:rsid w:val="007053F3"/>
    <w:rsid w:val="00705D26"/>
    <w:rsid w:val="007068A5"/>
    <w:rsid w:val="00706C90"/>
    <w:rsid w:val="00706CC5"/>
    <w:rsid w:val="00706E5D"/>
    <w:rsid w:val="007077A2"/>
    <w:rsid w:val="0070787F"/>
    <w:rsid w:val="00707EE6"/>
    <w:rsid w:val="00711EFA"/>
    <w:rsid w:val="00714B6A"/>
    <w:rsid w:val="00717788"/>
    <w:rsid w:val="00720674"/>
    <w:rsid w:val="00720F6B"/>
    <w:rsid w:val="00723425"/>
    <w:rsid w:val="007235A7"/>
    <w:rsid w:val="007236C3"/>
    <w:rsid w:val="00723B19"/>
    <w:rsid w:val="00724EC4"/>
    <w:rsid w:val="00727519"/>
    <w:rsid w:val="007278B6"/>
    <w:rsid w:val="00727E7B"/>
    <w:rsid w:val="00730902"/>
    <w:rsid w:val="00730CB4"/>
    <w:rsid w:val="00731247"/>
    <w:rsid w:val="00732C40"/>
    <w:rsid w:val="00732DB8"/>
    <w:rsid w:val="0073327B"/>
    <w:rsid w:val="00733700"/>
    <w:rsid w:val="00733F28"/>
    <w:rsid w:val="007346EC"/>
    <w:rsid w:val="007347E2"/>
    <w:rsid w:val="00735BB7"/>
    <w:rsid w:val="00736071"/>
    <w:rsid w:val="00736090"/>
    <w:rsid w:val="00736511"/>
    <w:rsid w:val="0073667C"/>
    <w:rsid w:val="00736B17"/>
    <w:rsid w:val="00736E15"/>
    <w:rsid w:val="00737544"/>
    <w:rsid w:val="007377FC"/>
    <w:rsid w:val="00737DC6"/>
    <w:rsid w:val="0074044F"/>
    <w:rsid w:val="007408FD"/>
    <w:rsid w:val="0074109F"/>
    <w:rsid w:val="0074277C"/>
    <w:rsid w:val="00742A8E"/>
    <w:rsid w:val="00743D40"/>
    <w:rsid w:val="00743E0A"/>
    <w:rsid w:val="007440CE"/>
    <w:rsid w:val="0074447D"/>
    <w:rsid w:val="00744499"/>
    <w:rsid w:val="007449A4"/>
    <w:rsid w:val="0074725D"/>
    <w:rsid w:val="00747764"/>
    <w:rsid w:val="00747A15"/>
    <w:rsid w:val="007500A3"/>
    <w:rsid w:val="0075117E"/>
    <w:rsid w:val="00751E5E"/>
    <w:rsid w:val="00752167"/>
    <w:rsid w:val="0075267F"/>
    <w:rsid w:val="00752C6A"/>
    <w:rsid w:val="0075354C"/>
    <w:rsid w:val="007538ED"/>
    <w:rsid w:val="007541AD"/>
    <w:rsid w:val="007544B4"/>
    <w:rsid w:val="0075485A"/>
    <w:rsid w:val="00754E39"/>
    <w:rsid w:val="0075530D"/>
    <w:rsid w:val="00755A70"/>
    <w:rsid w:val="00756783"/>
    <w:rsid w:val="00757100"/>
    <w:rsid w:val="00757425"/>
    <w:rsid w:val="00761085"/>
    <w:rsid w:val="00761BA7"/>
    <w:rsid w:val="007630FC"/>
    <w:rsid w:val="00763E50"/>
    <w:rsid w:val="007646D6"/>
    <w:rsid w:val="0076488C"/>
    <w:rsid w:val="00767383"/>
    <w:rsid w:val="00767DA2"/>
    <w:rsid w:val="0077136F"/>
    <w:rsid w:val="0077142F"/>
    <w:rsid w:val="00771EF7"/>
    <w:rsid w:val="0077234B"/>
    <w:rsid w:val="007726C7"/>
    <w:rsid w:val="00772F4B"/>
    <w:rsid w:val="00773088"/>
    <w:rsid w:val="007733B8"/>
    <w:rsid w:val="007734EF"/>
    <w:rsid w:val="007744FA"/>
    <w:rsid w:val="007746CF"/>
    <w:rsid w:val="00774701"/>
    <w:rsid w:val="00774AD1"/>
    <w:rsid w:val="007766B7"/>
    <w:rsid w:val="00776C44"/>
    <w:rsid w:val="007772B0"/>
    <w:rsid w:val="00777D22"/>
    <w:rsid w:val="007802D6"/>
    <w:rsid w:val="007817C5"/>
    <w:rsid w:val="0078223E"/>
    <w:rsid w:val="00782749"/>
    <w:rsid w:val="00782BE9"/>
    <w:rsid w:val="007839BA"/>
    <w:rsid w:val="007839C2"/>
    <w:rsid w:val="00783F6C"/>
    <w:rsid w:val="0078445A"/>
    <w:rsid w:val="00784B1B"/>
    <w:rsid w:val="00785050"/>
    <w:rsid w:val="0078562A"/>
    <w:rsid w:val="00785F12"/>
    <w:rsid w:val="0079111F"/>
    <w:rsid w:val="00791E95"/>
    <w:rsid w:val="00792606"/>
    <w:rsid w:val="00792F4A"/>
    <w:rsid w:val="00793447"/>
    <w:rsid w:val="007934C4"/>
    <w:rsid w:val="00793BFD"/>
    <w:rsid w:val="00795605"/>
    <w:rsid w:val="007957F0"/>
    <w:rsid w:val="00796A33"/>
    <w:rsid w:val="007977B0"/>
    <w:rsid w:val="00797A9B"/>
    <w:rsid w:val="007A0747"/>
    <w:rsid w:val="007A0959"/>
    <w:rsid w:val="007A186F"/>
    <w:rsid w:val="007A19CB"/>
    <w:rsid w:val="007A24F8"/>
    <w:rsid w:val="007A25B7"/>
    <w:rsid w:val="007A34A1"/>
    <w:rsid w:val="007A3EF1"/>
    <w:rsid w:val="007A3F13"/>
    <w:rsid w:val="007A40B8"/>
    <w:rsid w:val="007A50A6"/>
    <w:rsid w:val="007A5B56"/>
    <w:rsid w:val="007A661D"/>
    <w:rsid w:val="007A74B3"/>
    <w:rsid w:val="007A751D"/>
    <w:rsid w:val="007A79A4"/>
    <w:rsid w:val="007A7FF5"/>
    <w:rsid w:val="007B012C"/>
    <w:rsid w:val="007B1F2E"/>
    <w:rsid w:val="007B254B"/>
    <w:rsid w:val="007B26F6"/>
    <w:rsid w:val="007B28E4"/>
    <w:rsid w:val="007B3675"/>
    <w:rsid w:val="007B367F"/>
    <w:rsid w:val="007B4912"/>
    <w:rsid w:val="007B4A2D"/>
    <w:rsid w:val="007B4AFE"/>
    <w:rsid w:val="007B60CB"/>
    <w:rsid w:val="007B62D0"/>
    <w:rsid w:val="007B6D28"/>
    <w:rsid w:val="007B6F60"/>
    <w:rsid w:val="007B6FCB"/>
    <w:rsid w:val="007B73D7"/>
    <w:rsid w:val="007C0CD3"/>
    <w:rsid w:val="007C15FC"/>
    <w:rsid w:val="007C1C33"/>
    <w:rsid w:val="007C1FB1"/>
    <w:rsid w:val="007C452F"/>
    <w:rsid w:val="007C55B9"/>
    <w:rsid w:val="007C592E"/>
    <w:rsid w:val="007C5940"/>
    <w:rsid w:val="007C5A23"/>
    <w:rsid w:val="007C5C69"/>
    <w:rsid w:val="007C5DCA"/>
    <w:rsid w:val="007C683C"/>
    <w:rsid w:val="007C73AE"/>
    <w:rsid w:val="007C7776"/>
    <w:rsid w:val="007D163B"/>
    <w:rsid w:val="007D1A40"/>
    <w:rsid w:val="007D33AA"/>
    <w:rsid w:val="007D40CA"/>
    <w:rsid w:val="007D4260"/>
    <w:rsid w:val="007D5A7A"/>
    <w:rsid w:val="007D6BDB"/>
    <w:rsid w:val="007D77DD"/>
    <w:rsid w:val="007D793F"/>
    <w:rsid w:val="007D7950"/>
    <w:rsid w:val="007D7B2E"/>
    <w:rsid w:val="007E070D"/>
    <w:rsid w:val="007E0AAC"/>
    <w:rsid w:val="007E16D6"/>
    <w:rsid w:val="007E1939"/>
    <w:rsid w:val="007E2298"/>
    <w:rsid w:val="007E2A2B"/>
    <w:rsid w:val="007E3D2C"/>
    <w:rsid w:val="007E3FA3"/>
    <w:rsid w:val="007E424B"/>
    <w:rsid w:val="007E4628"/>
    <w:rsid w:val="007E479B"/>
    <w:rsid w:val="007E5259"/>
    <w:rsid w:val="007E59AC"/>
    <w:rsid w:val="007E6790"/>
    <w:rsid w:val="007E7DB4"/>
    <w:rsid w:val="007F0619"/>
    <w:rsid w:val="007F076F"/>
    <w:rsid w:val="007F0CA3"/>
    <w:rsid w:val="007F1592"/>
    <w:rsid w:val="007F222F"/>
    <w:rsid w:val="007F25A8"/>
    <w:rsid w:val="007F2778"/>
    <w:rsid w:val="007F30DB"/>
    <w:rsid w:val="007F398C"/>
    <w:rsid w:val="007F5158"/>
    <w:rsid w:val="007F5399"/>
    <w:rsid w:val="007F6313"/>
    <w:rsid w:val="007F65E6"/>
    <w:rsid w:val="007F65F1"/>
    <w:rsid w:val="007F74E7"/>
    <w:rsid w:val="00800159"/>
    <w:rsid w:val="0080141C"/>
    <w:rsid w:val="00803507"/>
    <w:rsid w:val="00804050"/>
    <w:rsid w:val="00806405"/>
    <w:rsid w:val="0080674D"/>
    <w:rsid w:val="00806794"/>
    <w:rsid w:val="0080798E"/>
    <w:rsid w:val="00807B12"/>
    <w:rsid w:val="0081147B"/>
    <w:rsid w:val="008114ED"/>
    <w:rsid w:val="0081154E"/>
    <w:rsid w:val="0081277E"/>
    <w:rsid w:val="00813D6E"/>
    <w:rsid w:val="008152B3"/>
    <w:rsid w:val="0081571D"/>
    <w:rsid w:val="00816FD9"/>
    <w:rsid w:val="00817031"/>
    <w:rsid w:val="00817552"/>
    <w:rsid w:val="00817F18"/>
    <w:rsid w:val="008181A2"/>
    <w:rsid w:val="00821418"/>
    <w:rsid w:val="00821448"/>
    <w:rsid w:val="00821B2C"/>
    <w:rsid w:val="00822A77"/>
    <w:rsid w:val="00823F6B"/>
    <w:rsid w:val="008242B5"/>
    <w:rsid w:val="008257F2"/>
    <w:rsid w:val="008258CB"/>
    <w:rsid w:val="00826D42"/>
    <w:rsid w:val="008274BF"/>
    <w:rsid w:val="008276D4"/>
    <w:rsid w:val="00830060"/>
    <w:rsid w:val="00830AC9"/>
    <w:rsid w:val="00831C6E"/>
    <w:rsid w:val="008338AB"/>
    <w:rsid w:val="008344D1"/>
    <w:rsid w:val="00834FD5"/>
    <w:rsid w:val="0083589D"/>
    <w:rsid w:val="00835CCB"/>
    <w:rsid w:val="008370E6"/>
    <w:rsid w:val="00837296"/>
    <w:rsid w:val="008375A5"/>
    <w:rsid w:val="008403D9"/>
    <w:rsid w:val="00840682"/>
    <w:rsid w:val="00840872"/>
    <w:rsid w:val="00840DB6"/>
    <w:rsid w:val="00841738"/>
    <w:rsid w:val="00841B8E"/>
    <w:rsid w:val="00841EE8"/>
    <w:rsid w:val="00841EEC"/>
    <w:rsid w:val="0084212C"/>
    <w:rsid w:val="00842E47"/>
    <w:rsid w:val="00843AAC"/>
    <w:rsid w:val="008452D6"/>
    <w:rsid w:val="00846A8B"/>
    <w:rsid w:val="00847D56"/>
    <w:rsid w:val="0085125A"/>
    <w:rsid w:val="00851D07"/>
    <w:rsid w:val="008522A3"/>
    <w:rsid w:val="0085273E"/>
    <w:rsid w:val="008539CA"/>
    <w:rsid w:val="0085435E"/>
    <w:rsid w:val="008544E6"/>
    <w:rsid w:val="008555CE"/>
    <w:rsid w:val="00855858"/>
    <w:rsid w:val="00857593"/>
    <w:rsid w:val="00860A1F"/>
    <w:rsid w:val="00860B33"/>
    <w:rsid w:val="0086146F"/>
    <w:rsid w:val="0086215C"/>
    <w:rsid w:val="0086226C"/>
    <w:rsid w:val="00863091"/>
    <w:rsid w:val="008630DF"/>
    <w:rsid w:val="008631D5"/>
    <w:rsid w:val="00864C6F"/>
    <w:rsid w:val="00864EFB"/>
    <w:rsid w:val="00865181"/>
    <w:rsid w:val="008651F5"/>
    <w:rsid w:val="008654C0"/>
    <w:rsid w:val="00866B3E"/>
    <w:rsid w:val="008676A1"/>
    <w:rsid w:val="00867D90"/>
    <w:rsid w:val="0087100E"/>
    <w:rsid w:val="0087104C"/>
    <w:rsid w:val="00871059"/>
    <w:rsid w:val="0087185B"/>
    <w:rsid w:val="00871E41"/>
    <w:rsid w:val="00872520"/>
    <w:rsid w:val="008727C8"/>
    <w:rsid w:val="00873665"/>
    <w:rsid w:val="00874C84"/>
    <w:rsid w:val="008750EC"/>
    <w:rsid w:val="00875646"/>
    <w:rsid w:val="008765D3"/>
    <w:rsid w:val="00876A03"/>
    <w:rsid w:val="00876DC6"/>
    <w:rsid w:val="00876FF6"/>
    <w:rsid w:val="008770DB"/>
    <w:rsid w:val="00877BDC"/>
    <w:rsid w:val="00877C1A"/>
    <w:rsid w:val="00880CF5"/>
    <w:rsid w:val="00881E67"/>
    <w:rsid w:val="00882EBD"/>
    <w:rsid w:val="00882EFD"/>
    <w:rsid w:val="008842CD"/>
    <w:rsid w:val="0088439F"/>
    <w:rsid w:val="00884921"/>
    <w:rsid w:val="00884B60"/>
    <w:rsid w:val="00886025"/>
    <w:rsid w:val="008871B6"/>
    <w:rsid w:val="00887792"/>
    <w:rsid w:val="008907A4"/>
    <w:rsid w:val="008909BE"/>
    <w:rsid w:val="008910AF"/>
    <w:rsid w:val="008917A3"/>
    <w:rsid w:val="008922A5"/>
    <w:rsid w:val="008923D2"/>
    <w:rsid w:val="008924CE"/>
    <w:rsid w:val="008929A5"/>
    <w:rsid w:val="00892B15"/>
    <w:rsid w:val="008931B4"/>
    <w:rsid w:val="00893296"/>
    <w:rsid w:val="0089366B"/>
    <w:rsid w:val="00893ACD"/>
    <w:rsid w:val="00895556"/>
    <w:rsid w:val="00896834"/>
    <w:rsid w:val="00896C45"/>
    <w:rsid w:val="00896DD8"/>
    <w:rsid w:val="00896F5C"/>
    <w:rsid w:val="008A0365"/>
    <w:rsid w:val="008A1191"/>
    <w:rsid w:val="008A168C"/>
    <w:rsid w:val="008A2768"/>
    <w:rsid w:val="008A3D43"/>
    <w:rsid w:val="008A3F4A"/>
    <w:rsid w:val="008A438F"/>
    <w:rsid w:val="008A4C51"/>
    <w:rsid w:val="008A54AA"/>
    <w:rsid w:val="008A5DAE"/>
    <w:rsid w:val="008A5E76"/>
    <w:rsid w:val="008A5FE8"/>
    <w:rsid w:val="008A72FD"/>
    <w:rsid w:val="008A7B3C"/>
    <w:rsid w:val="008B0202"/>
    <w:rsid w:val="008B05D4"/>
    <w:rsid w:val="008B0BBD"/>
    <w:rsid w:val="008B0D97"/>
    <w:rsid w:val="008B2926"/>
    <w:rsid w:val="008B3189"/>
    <w:rsid w:val="008B3A0F"/>
    <w:rsid w:val="008B68E3"/>
    <w:rsid w:val="008B76C6"/>
    <w:rsid w:val="008C03B0"/>
    <w:rsid w:val="008C03E2"/>
    <w:rsid w:val="008C1917"/>
    <w:rsid w:val="008C27F6"/>
    <w:rsid w:val="008C2A06"/>
    <w:rsid w:val="008C2E03"/>
    <w:rsid w:val="008C2EF8"/>
    <w:rsid w:val="008C302F"/>
    <w:rsid w:val="008C3EBB"/>
    <w:rsid w:val="008C4542"/>
    <w:rsid w:val="008C544E"/>
    <w:rsid w:val="008C556C"/>
    <w:rsid w:val="008C58E1"/>
    <w:rsid w:val="008C61D3"/>
    <w:rsid w:val="008C6E58"/>
    <w:rsid w:val="008D0543"/>
    <w:rsid w:val="008D1B50"/>
    <w:rsid w:val="008D1C44"/>
    <w:rsid w:val="008D1E35"/>
    <w:rsid w:val="008D27CC"/>
    <w:rsid w:val="008D2DEB"/>
    <w:rsid w:val="008D37B4"/>
    <w:rsid w:val="008D5ABE"/>
    <w:rsid w:val="008D7795"/>
    <w:rsid w:val="008D7BAF"/>
    <w:rsid w:val="008E0031"/>
    <w:rsid w:val="008E01C0"/>
    <w:rsid w:val="008E04B1"/>
    <w:rsid w:val="008E0CB0"/>
    <w:rsid w:val="008E1B53"/>
    <w:rsid w:val="008E1B56"/>
    <w:rsid w:val="008E36C4"/>
    <w:rsid w:val="008E3E65"/>
    <w:rsid w:val="008E5768"/>
    <w:rsid w:val="008E58E0"/>
    <w:rsid w:val="008E5B3A"/>
    <w:rsid w:val="008E6119"/>
    <w:rsid w:val="008E6E1A"/>
    <w:rsid w:val="008E7CD2"/>
    <w:rsid w:val="008F0665"/>
    <w:rsid w:val="008F0CE7"/>
    <w:rsid w:val="008F1560"/>
    <w:rsid w:val="008F1F61"/>
    <w:rsid w:val="008F27C8"/>
    <w:rsid w:val="008F27CF"/>
    <w:rsid w:val="008F336B"/>
    <w:rsid w:val="008F3B56"/>
    <w:rsid w:val="008F425B"/>
    <w:rsid w:val="008F43E9"/>
    <w:rsid w:val="008F5ACF"/>
    <w:rsid w:val="008F5B14"/>
    <w:rsid w:val="008F5B32"/>
    <w:rsid w:val="008F6323"/>
    <w:rsid w:val="008F7779"/>
    <w:rsid w:val="00900927"/>
    <w:rsid w:val="00902D76"/>
    <w:rsid w:val="00904523"/>
    <w:rsid w:val="00905A7F"/>
    <w:rsid w:val="00906F56"/>
    <w:rsid w:val="009075AE"/>
    <w:rsid w:val="009101E5"/>
    <w:rsid w:val="00911074"/>
    <w:rsid w:val="009110F6"/>
    <w:rsid w:val="0091186B"/>
    <w:rsid w:val="009126EB"/>
    <w:rsid w:val="009146EC"/>
    <w:rsid w:val="00914F93"/>
    <w:rsid w:val="00915760"/>
    <w:rsid w:val="00915794"/>
    <w:rsid w:val="009161AE"/>
    <w:rsid w:val="00916B74"/>
    <w:rsid w:val="00916DD6"/>
    <w:rsid w:val="00917A12"/>
    <w:rsid w:val="00921034"/>
    <w:rsid w:val="0092144C"/>
    <w:rsid w:val="00921B10"/>
    <w:rsid w:val="00921C73"/>
    <w:rsid w:val="00922C91"/>
    <w:rsid w:val="00923832"/>
    <w:rsid w:val="00923D1C"/>
    <w:rsid w:val="00923D23"/>
    <w:rsid w:val="00927B30"/>
    <w:rsid w:val="0093054A"/>
    <w:rsid w:val="00930799"/>
    <w:rsid w:val="0093136E"/>
    <w:rsid w:val="0093374D"/>
    <w:rsid w:val="009349C5"/>
    <w:rsid w:val="00935F3A"/>
    <w:rsid w:val="009360EA"/>
    <w:rsid w:val="00936A68"/>
    <w:rsid w:val="00940C80"/>
    <w:rsid w:val="009410A9"/>
    <w:rsid w:val="00941E4C"/>
    <w:rsid w:val="00942AB0"/>
    <w:rsid w:val="009441C2"/>
    <w:rsid w:val="009442A5"/>
    <w:rsid w:val="0094537B"/>
    <w:rsid w:val="009457BF"/>
    <w:rsid w:val="00946235"/>
    <w:rsid w:val="00946819"/>
    <w:rsid w:val="0094753E"/>
    <w:rsid w:val="009477BF"/>
    <w:rsid w:val="0094785F"/>
    <w:rsid w:val="009500C5"/>
    <w:rsid w:val="00952B84"/>
    <w:rsid w:val="0095382C"/>
    <w:rsid w:val="00953C94"/>
    <w:rsid w:val="00953DC1"/>
    <w:rsid w:val="00954346"/>
    <w:rsid w:val="0095437A"/>
    <w:rsid w:val="009544E7"/>
    <w:rsid w:val="0095476E"/>
    <w:rsid w:val="00954EEF"/>
    <w:rsid w:val="00955962"/>
    <w:rsid w:val="0095646A"/>
    <w:rsid w:val="009568A8"/>
    <w:rsid w:val="00961040"/>
    <w:rsid w:val="0096222F"/>
    <w:rsid w:val="00962C06"/>
    <w:rsid w:val="00962CEF"/>
    <w:rsid w:val="0096353C"/>
    <w:rsid w:val="009648FE"/>
    <w:rsid w:val="00964988"/>
    <w:rsid w:val="00965A30"/>
    <w:rsid w:val="009660C6"/>
    <w:rsid w:val="009660D1"/>
    <w:rsid w:val="0096636C"/>
    <w:rsid w:val="009667FB"/>
    <w:rsid w:val="00967839"/>
    <w:rsid w:val="00967DD8"/>
    <w:rsid w:val="00967E6D"/>
    <w:rsid w:val="0097026C"/>
    <w:rsid w:val="009713D5"/>
    <w:rsid w:val="00971A25"/>
    <w:rsid w:val="00971E76"/>
    <w:rsid w:val="00971F04"/>
    <w:rsid w:val="00972531"/>
    <w:rsid w:val="00972907"/>
    <w:rsid w:val="00972DDC"/>
    <w:rsid w:val="00973C17"/>
    <w:rsid w:val="00974564"/>
    <w:rsid w:val="0097531B"/>
    <w:rsid w:val="00976AAC"/>
    <w:rsid w:val="009805D6"/>
    <w:rsid w:val="00981DEF"/>
    <w:rsid w:val="00982909"/>
    <w:rsid w:val="009833CE"/>
    <w:rsid w:val="00983423"/>
    <w:rsid w:val="00983B3B"/>
    <w:rsid w:val="00983F18"/>
    <w:rsid w:val="00985BC8"/>
    <w:rsid w:val="00987983"/>
    <w:rsid w:val="00987DC9"/>
    <w:rsid w:val="009906FB"/>
    <w:rsid w:val="00990BB6"/>
    <w:rsid w:val="00990F4C"/>
    <w:rsid w:val="00991E72"/>
    <w:rsid w:val="00992EA2"/>
    <w:rsid w:val="00993101"/>
    <w:rsid w:val="00994DD1"/>
    <w:rsid w:val="009950B3"/>
    <w:rsid w:val="00996D36"/>
    <w:rsid w:val="00996EC3"/>
    <w:rsid w:val="009973B0"/>
    <w:rsid w:val="009A1B2A"/>
    <w:rsid w:val="009A1BE9"/>
    <w:rsid w:val="009A1D37"/>
    <w:rsid w:val="009A201A"/>
    <w:rsid w:val="009A2A9C"/>
    <w:rsid w:val="009A477A"/>
    <w:rsid w:val="009A4B9C"/>
    <w:rsid w:val="009A67D7"/>
    <w:rsid w:val="009B05D6"/>
    <w:rsid w:val="009B0BA5"/>
    <w:rsid w:val="009B0E09"/>
    <w:rsid w:val="009B1E13"/>
    <w:rsid w:val="009B2CD4"/>
    <w:rsid w:val="009B31B8"/>
    <w:rsid w:val="009B42EA"/>
    <w:rsid w:val="009B6095"/>
    <w:rsid w:val="009B6570"/>
    <w:rsid w:val="009B670E"/>
    <w:rsid w:val="009C10D1"/>
    <w:rsid w:val="009C1C00"/>
    <w:rsid w:val="009C2B7B"/>
    <w:rsid w:val="009C2E99"/>
    <w:rsid w:val="009C3136"/>
    <w:rsid w:val="009C37A3"/>
    <w:rsid w:val="009C459C"/>
    <w:rsid w:val="009C515F"/>
    <w:rsid w:val="009C59A6"/>
    <w:rsid w:val="009C60EB"/>
    <w:rsid w:val="009C6145"/>
    <w:rsid w:val="009C74CA"/>
    <w:rsid w:val="009D1A9D"/>
    <w:rsid w:val="009D277C"/>
    <w:rsid w:val="009D2CBD"/>
    <w:rsid w:val="009D2DD1"/>
    <w:rsid w:val="009D2DD8"/>
    <w:rsid w:val="009D3021"/>
    <w:rsid w:val="009D51BC"/>
    <w:rsid w:val="009D5EDC"/>
    <w:rsid w:val="009D65BD"/>
    <w:rsid w:val="009D66EE"/>
    <w:rsid w:val="009D7824"/>
    <w:rsid w:val="009D78D8"/>
    <w:rsid w:val="009E004D"/>
    <w:rsid w:val="009E01FD"/>
    <w:rsid w:val="009E04E3"/>
    <w:rsid w:val="009E197F"/>
    <w:rsid w:val="009E1F50"/>
    <w:rsid w:val="009E2DFB"/>
    <w:rsid w:val="009E309C"/>
    <w:rsid w:val="009E36FD"/>
    <w:rsid w:val="009E5E2C"/>
    <w:rsid w:val="009F092A"/>
    <w:rsid w:val="009F0BD4"/>
    <w:rsid w:val="009F1349"/>
    <w:rsid w:val="009F1711"/>
    <w:rsid w:val="009F19B9"/>
    <w:rsid w:val="009F480C"/>
    <w:rsid w:val="009F5B6C"/>
    <w:rsid w:val="009F5DF8"/>
    <w:rsid w:val="009F6339"/>
    <w:rsid w:val="009F676F"/>
    <w:rsid w:val="009F6B45"/>
    <w:rsid w:val="009F736B"/>
    <w:rsid w:val="00A0054E"/>
    <w:rsid w:val="00A01EC3"/>
    <w:rsid w:val="00A02EA9"/>
    <w:rsid w:val="00A04C90"/>
    <w:rsid w:val="00A05592"/>
    <w:rsid w:val="00A05967"/>
    <w:rsid w:val="00A07A5A"/>
    <w:rsid w:val="00A10442"/>
    <w:rsid w:val="00A1088E"/>
    <w:rsid w:val="00A117DF"/>
    <w:rsid w:val="00A11EB8"/>
    <w:rsid w:val="00A12B8C"/>
    <w:rsid w:val="00A12EFA"/>
    <w:rsid w:val="00A137E6"/>
    <w:rsid w:val="00A14295"/>
    <w:rsid w:val="00A14D11"/>
    <w:rsid w:val="00A15003"/>
    <w:rsid w:val="00A15807"/>
    <w:rsid w:val="00A15B01"/>
    <w:rsid w:val="00A16430"/>
    <w:rsid w:val="00A170AB"/>
    <w:rsid w:val="00A1730B"/>
    <w:rsid w:val="00A17BEF"/>
    <w:rsid w:val="00A2082B"/>
    <w:rsid w:val="00A21FF2"/>
    <w:rsid w:val="00A223E4"/>
    <w:rsid w:val="00A227C1"/>
    <w:rsid w:val="00A23591"/>
    <w:rsid w:val="00A23605"/>
    <w:rsid w:val="00A24BA8"/>
    <w:rsid w:val="00A24BEE"/>
    <w:rsid w:val="00A24CA2"/>
    <w:rsid w:val="00A261D8"/>
    <w:rsid w:val="00A262FA"/>
    <w:rsid w:val="00A26386"/>
    <w:rsid w:val="00A27ECD"/>
    <w:rsid w:val="00A30DFE"/>
    <w:rsid w:val="00A31AF4"/>
    <w:rsid w:val="00A31E82"/>
    <w:rsid w:val="00A31F6B"/>
    <w:rsid w:val="00A322A9"/>
    <w:rsid w:val="00A32B3B"/>
    <w:rsid w:val="00A337A7"/>
    <w:rsid w:val="00A33FA5"/>
    <w:rsid w:val="00A34ED5"/>
    <w:rsid w:val="00A351B1"/>
    <w:rsid w:val="00A35CAD"/>
    <w:rsid w:val="00A35F65"/>
    <w:rsid w:val="00A3795B"/>
    <w:rsid w:val="00A3E26E"/>
    <w:rsid w:val="00A40037"/>
    <w:rsid w:val="00A40ED4"/>
    <w:rsid w:val="00A411B3"/>
    <w:rsid w:val="00A42CD2"/>
    <w:rsid w:val="00A43B9D"/>
    <w:rsid w:val="00A44936"/>
    <w:rsid w:val="00A451F3"/>
    <w:rsid w:val="00A46B74"/>
    <w:rsid w:val="00A47178"/>
    <w:rsid w:val="00A47780"/>
    <w:rsid w:val="00A513A2"/>
    <w:rsid w:val="00A51DDA"/>
    <w:rsid w:val="00A51E02"/>
    <w:rsid w:val="00A522A4"/>
    <w:rsid w:val="00A52D03"/>
    <w:rsid w:val="00A53210"/>
    <w:rsid w:val="00A53558"/>
    <w:rsid w:val="00A5375A"/>
    <w:rsid w:val="00A539D5"/>
    <w:rsid w:val="00A53DDF"/>
    <w:rsid w:val="00A54F00"/>
    <w:rsid w:val="00A5508D"/>
    <w:rsid w:val="00A559DB"/>
    <w:rsid w:val="00A55AC2"/>
    <w:rsid w:val="00A55DD1"/>
    <w:rsid w:val="00A56752"/>
    <w:rsid w:val="00A56BD1"/>
    <w:rsid w:val="00A570DA"/>
    <w:rsid w:val="00A574C9"/>
    <w:rsid w:val="00A57AD9"/>
    <w:rsid w:val="00A57B8E"/>
    <w:rsid w:val="00A607AD"/>
    <w:rsid w:val="00A608E4"/>
    <w:rsid w:val="00A616E5"/>
    <w:rsid w:val="00A61B70"/>
    <w:rsid w:val="00A62A64"/>
    <w:rsid w:val="00A62B63"/>
    <w:rsid w:val="00A630AE"/>
    <w:rsid w:val="00A63B48"/>
    <w:rsid w:val="00A63C57"/>
    <w:rsid w:val="00A65606"/>
    <w:rsid w:val="00A657B9"/>
    <w:rsid w:val="00A6765F"/>
    <w:rsid w:val="00A67731"/>
    <w:rsid w:val="00A7002B"/>
    <w:rsid w:val="00A7073D"/>
    <w:rsid w:val="00A70D86"/>
    <w:rsid w:val="00A70DC0"/>
    <w:rsid w:val="00A71B8F"/>
    <w:rsid w:val="00A72275"/>
    <w:rsid w:val="00A727A6"/>
    <w:rsid w:val="00A72A08"/>
    <w:rsid w:val="00A73B02"/>
    <w:rsid w:val="00A7415A"/>
    <w:rsid w:val="00A752CA"/>
    <w:rsid w:val="00A76014"/>
    <w:rsid w:val="00A76074"/>
    <w:rsid w:val="00A761D6"/>
    <w:rsid w:val="00A76841"/>
    <w:rsid w:val="00A80A2D"/>
    <w:rsid w:val="00A80B7D"/>
    <w:rsid w:val="00A81312"/>
    <w:rsid w:val="00A817A2"/>
    <w:rsid w:val="00A823C5"/>
    <w:rsid w:val="00A837CB"/>
    <w:rsid w:val="00A848D7"/>
    <w:rsid w:val="00A858CC"/>
    <w:rsid w:val="00A85C98"/>
    <w:rsid w:val="00A85F7A"/>
    <w:rsid w:val="00A864A2"/>
    <w:rsid w:val="00A86CCE"/>
    <w:rsid w:val="00A900B6"/>
    <w:rsid w:val="00A90F74"/>
    <w:rsid w:val="00A910AB"/>
    <w:rsid w:val="00A9159F"/>
    <w:rsid w:val="00A915B3"/>
    <w:rsid w:val="00A91D40"/>
    <w:rsid w:val="00A93605"/>
    <w:rsid w:val="00A93E08"/>
    <w:rsid w:val="00A93E64"/>
    <w:rsid w:val="00A942B3"/>
    <w:rsid w:val="00A94406"/>
    <w:rsid w:val="00A966A7"/>
    <w:rsid w:val="00A977A6"/>
    <w:rsid w:val="00A97B91"/>
    <w:rsid w:val="00AA0698"/>
    <w:rsid w:val="00AA0780"/>
    <w:rsid w:val="00AA0945"/>
    <w:rsid w:val="00AA0A64"/>
    <w:rsid w:val="00AA19D9"/>
    <w:rsid w:val="00AA33AD"/>
    <w:rsid w:val="00AA35B4"/>
    <w:rsid w:val="00AA382C"/>
    <w:rsid w:val="00AA384A"/>
    <w:rsid w:val="00AA3C51"/>
    <w:rsid w:val="00AA4BF1"/>
    <w:rsid w:val="00AA675E"/>
    <w:rsid w:val="00AA68E7"/>
    <w:rsid w:val="00AA78E9"/>
    <w:rsid w:val="00AA7CBB"/>
    <w:rsid w:val="00AB0B40"/>
    <w:rsid w:val="00AB1308"/>
    <w:rsid w:val="00AB3F56"/>
    <w:rsid w:val="00AB418A"/>
    <w:rsid w:val="00AB42C4"/>
    <w:rsid w:val="00AB5734"/>
    <w:rsid w:val="00AB5B95"/>
    <w:rsid w:val="00AB7688"/>
    <w:rsid w:val="00AC03F0"/>
    <w:rsid w:val="00AC061F"/>
    <w:rsid w:val="00AC17E0"/>
    <w:rsid w:val="00AC2998"/>
    <w:rsid w:val="00AC2CBD"/>
    <w:rsid w:val="00AC306E"/>
    <w:rsid w:val="00AC4A0D"/>
    <w:rsid w:val="00AC4EB9"/>
    <w:rsid w:val="00AC4F20"/>
    <w:rsid w:val="00AC5C6C"/>
    <w:rsid w:val="00AC7B39"/>
    <w:rsid w:val="00AD0459"/>
    <w:rsid w:val="00AD1C36"/>
    <w:rsid w:val="00AD1D2A"/>
    <w:rsid w:val="00AD2E23"/>
    <w:rsid w:val="00AD3124"/>
    <w:rsid w:val="00AD31C4"/>
    <w:rsid w:val="00AD430D"/>
    <w:rsid w:val="00AD4ADD"/>
    <w:rsid w:val="00AD4AEA"/>
    <w:rsid w:val="00AD52FF"/>
    <w:rsid w:val="00AD5ACE"/>
    <w:rsid w:val="00AD5F2F"/>
    <w:rsid w:val="00AD5FBA"/>
    <w:rsid w:val="00AD717C"/>
    <w:rsid w:val="00AE0713"/>
    <w:rsid w:val="00AE1192"/>
    <w:rsid w:val="00AE27B9"/>
    <w:rsid w:val="00AE2E28"/>
    <w:rsid w:val="00AE4EF6"/>
    <w:rsid w:val="00AE621B"/>
    <w:rsid w:val="00AE6328"/>
    <w:rsid w:val="00AE6611"/>
    <w:rsid w:val="00AE6A21"/>
    <w:rsid w:val="00AE7CD6"/>
    <w:rsid w:val="00AF0867"/>
    <w:rsid w:val="00AF0D43"/>
    <w:rsid w:val="00AF17C6"/>
    <w:rsid w:val="00AF1CAE"/>
    <w:rsid w:val="00AF4DE4"/>
    <w:rsid w:val="00AF6455"/>
    <w:rsid w:val="00AF66D9"/>
    <w:rsid w:val="00AF77BB"/>
    <w:rsid w:val="00AF7D5E"/>
    <w:rsid w:val="00B003BC"/>
    <w:rsid w:val="00B00D27"/>
    <w:rsid w:val="00B012FE"/>
    <w:rsid w:val="00B0197E"/>
    <w:rsid w:val="00B024B2"/>
    <w:rsid w:val="00B02901"/>
    <w:rsid w:val="00B029BD"/>
    <w:rsid w:val="00B03559"/>
    <w:rsid w:val="00B0369C"/>
    <w:rsid w:val="00B03F76"/>
    <w:rsid w:val="00B04BD8"/>
    <w:rsid w:val="00B05867"/>
    <w:rsid w:val="00B0676E"/>
    <w:rsid w:val="00B071BD"/>
    <w:rsid w:val="00B07527"/>
    <w:rsid w:val="00B107BD"/>
    <w:rsid w:val="00B10942"/>
    <w:rsid w:val="00B10D0E"/>
    <w:rsid w:val="00B118A2"/>
    <w:rsid w:val="00B12525"/>
    <w:rsid w:val="00B1258A"/>
    <w:rsid w:val="00B12933"/>
    <w:rsid w:val="00B12BB5"/>
    <w:rsid w:val="00B1336C"/>
    <w:rsid w:val="00B13474"/>
    <w:rsid w:val="00B136A2"/>
    <w:rsid w:val="00B13CD4"/>
    <w:rsid w:val="00B144BD"/>
    <w:rsid w:val="00B15D11"/>
    <w:rsid w:val="00B17B39"/>
    <w:rsid w:val="00B20115"/>
    <w:rsid w:val="00B20C46"/>
    <w:rsid w:val="00B21044"/>
    <w:rsid w:val="00B2105A"/>
    <w:rsid w:val="00B21695"/>
    <w:rsid w:val="00B21DC7"/>
    <w:rsid w:val="00B21EC1"/>
    <w:rsid w:val="00B22749"/>
    <w:rsid w:val="00B22ADA"/>
    <w:rsid w:val="00B22DF2"/>
    <w:rsid w:val="00B234C5"/>
    <w:rsid w:val="00B2414F"/>
    <w:rsid w:val="00B24881"/>
    <w:rsid w:val="00B2595E"/>
    <w:rsid w:val="00B25F32"/>
    <w:rsid w:val="00B264E1"/>
    <w:rsid w:val="00B27ED8"/>
    <w:rsid w:val="00B30852"/>
    <w:rsid w:val="00B30ECD"/>
    <w:rsid w:val="00B313B6"/>
    <w:rsid w:val="00B31EC2"/>
    <w:rsid w:val="00B32A82"/>
    <w:rsid w:val="00B32DF4"/>
    <w:rsid w:val="00B3398C"/>
    <w:rsid w:val="00B33F7C"/>
    <w:rsid w:val="00B34390"/>
    <w:rsid w:val="00B34C85"/>
    <w:rsid w:val="00B35A42"/>
    <w:rsid w:val="00B362C2"/>
    <w:rsid w:val="00B36745"/>
    <w:rsid w:val="00B36BF4"/>
    <w:rsid w:val="00B36F52"/>
    <w:rsid w:val="00B372D8"/>
    <w:rsid w:val="00B37CAF"/>
    <w:rsid w:val="00B37F19"/>
    <w:rsid w:val="00B4042E"/>
    <w:rsid w:val="00B41276"/>
    <w:rsid w:val="00B41913"/>
    <w:rsid w:val="00B425CB"/>
    <w:rsid w:val="00B43CE2"/>
    <w:rsid w:val="00B43EE7"/>
    <w:rsid w:val="00B455DD"/>
    <w:rsid w:val="00B46649"/>
    <w:rsid w:val="00B46750"/>
    <w:rsid w:val="00B46AA3"/>
    <w:rsid w:val="00B46C53"/>
    <w:rsid w:val="00B47637"/>
    <w:rsid w:val="00B47B6E"/>
    <w:rsid w:val="00B5042A"/>
    <w:rsid w:val="00B52235"/>
    <w:rsid w:val="00B52743"/>
    <w:rsid w:val="00B53287"/>
    <w:rsid w:val="00B54C00"/>
    <w:rsid w:val="00B5515B"/>
    <w:rsid w:val="00B553B1"/>
    <w:rsid w:val="00B55C48"/>
    <w:rsid w:val="00B564BB"/>
    <w:rsid w:val="00B5694E"/>
    <w:rsid w:val="00B57829"/>
    <w:rsid w:val="00B61586"/>
    <w:rsid w:val="00B61ED2"/>
    <w:rsid w:val="00B6271F"/>
    <w:rsid w:val="00B6387E"/>
    <w:rsid w:val="00B65546"/>
    <w:rsid w:val="00B661F8"/>
    <w:rsid w:val="00B67433"/>
    <w:rsid w:val="00B67C45"/>
    <w:rsid w:val="00B70F3D"/>
    <w:rsid w:val="00B71A93"/>
    <w:rsid w:val="00B73466"/>
    <w:rsid w:val="00B73821"/>
    <w:rsid w:val="00B74400"/>
    <w:rsid w:val="00B744C6"/>
    <w:rsid w:val="00B7466C"/>
    <w:rsid w:val="00B74B6E"/>
    <w:rsid w:val="00B751DF"/>
    <w:rsid w:val="00B76360"/>
    <w:rsid w:val="00B764FC"/>
    <w:rsid w:val="00B765FB"/>
    <w:rsid w:val="00B805EA"/>
    <w:rsid w:val="00B80E42"/>
    <w:rsid w:val="00B818CC"/>
    <w:rsid w:val="00B81C28"/>
    <w:rsid w:val="00B821BC"/>
    <w:rsid w:val="00B822C4"/>
    <w:rsid w:val="00B825B4"/>
    <w:rsid w:val="00B840AB"/>
    <w:rsid w:val="00B842F6"/>
    <w:rsid w:val="00B849F9"/>
    <w:rsid w:val="00B84C8F"/>
    <w:rsid w:val="00B85C1B"/>
    <w:rsid w:val="00B86DB7"/>
    <w:rsid w:val="00B87DC8"/>
    <w:rsid w:val="00B90D33"/>
    <w:rsid w:val="00B91405"/>
    <w:rsid w:val="00B91817"/>
    <w:rsid w:val="00B91920"/>
    <w:rsid w:val="00B91C1B"/>
    <w:rsid w:val="00B920B9"/>
    <w:rsid w:val="00B920C6"/>
    <w:rsid w:val="00B921EB"/>
    <w:rsid w:val="00B92788"/>
    <w:rsid w:val="00B941DB"/>
    <w:rsid w:val="00B955D4"/>
    <w:rsid w:val="00B96110"/>
    <w:rsid w:val="00B96619"/>
    <w:rsid w:val="00B967FF"/>
    <w:rsid w:val="00B96C1C"/>
    <w:rsid w:val="00B9719A"/>
    <w:rsid w:val="00B9740F"/>
    <w:rsid w:val="00B97D7D"/>
    <w:rsid w:val="00BA0445"/>
    <w:rsid w:val="00BA081E"/>
    <w:rsid w:val="00BA2270"/>
    <w:rsid w:val="00BA2383"/>
    <w:rsid w:val="00BA246C"/>
    <w:rsid w:val="00BA425E"/>
    <w:rsid w:val="00BA5B22"/>
    <w:rsid w:val="00BA5E2C"/>
    <w:rsid w:val="00BA64B8"/>
    <w:rsid w:val="00BA6DE0"/>
    <w:rsid w:val="00BA74DD"/>
    <w:rsid w:val="00BA7965"/>
    <w:rsid w:val="00BB1B7C"/>
    <w:rsid w:val="00BB1BF0"/>
    <w:rsid w:val="00BB22A1"/>
    <w:rsid w:val="00BB3C6F"/>
    <w:rsid w:val="00BB5861"/>
    <w:rsid w:val="00BB65A3"/>
    <w:rsid w:val="00BC09F7"/>
    <w:rsid w:val="00BC0C16"/>
    <w:rsid w:val="00BC0CE3"/>
    <w:rsid w:val="00BC107D"/>
    <w:rsid w:val="00BC198F"/>
    <w:rsid w:val="00BC2132"/>
    <w:rsid w:val="00BC23A0"/>
    <w:rsid w:val="00BC2749"/>
    <w:rsid w:val="00BC2BB7"/>
    <w:rsid w:val="00BC2D29"/>
    <w:rsid w:val="00BC5279"/>
    <w:rsid w:val="00BC6B5F"/>
    <w:rsid w:val="00BC7263"/>
    <w:rsid w:val="00BC75A6"/>
    <w:rsid w:val="00BC7EFB"/>
    <w:rsid w:val="00BD0331"/>
    <w:rsid w:val="00BD0995"/>
    <w:rsid w:val="00BD0E60"/>
    <w:rsid w:val="00BD3001"/>
    <w:rsid w:val="00BD302F"/>
    <w:rsid w:val="00BD3335"/>
    <w:rsid w:val="00BD39CF"/>
    <w:rsid w:val="00BD3E7E"/>
    <w:rsid w:val="00BD4152"/>
    <w:rsid w:val="00BD44DB"/>
    <w:rsid w:val="00BD45B5"/>
    <w:rsid w:val="00BD46BE"/>
    <w:rsid w:val="00BD509B"/>
    <w:rsid w:val="00BD53D1"/>
    <w:rsid w:val="00BD58D9"/>
    <w:rsid w:val="00BD59A7"/>
    <w:rsid w:val="00BD62C8"/>
    <w:rsid w:val="00BD6368"/>
    <w:rsid w:val="00BD6AB6"/>
    <w:rsid w:val="00BD71A8"/>
    <w:rsid w:val="00BD7AB6"/>
    <w:rsid w:val="00BE0B1C"/>
    <w:rsid w:val="00BE0B3B"/>
    <w:rsid w:val="00BE1C75"/>
    <w:rsid w:val="00BE4105"/>
    <w:rsid w:val="00BE4161"/>
    <w:rsid w:val="00BE44EC"/>
    <w:rsid w:val="00BE4E04"/>
    <w:rsid w:val="00BE507E"/>
    <w:rsid w:val="00BE559A"/>
    <w:rsid w:val="00BE618C"/>
    <w:rsid w:val="00BE6401"/>
    <w:rsid w:val="00BF03E8"/>
    <w:rsid w:val="00BF0CBB"/>
    <w:rsid w:val="00BF1207"/>
    <w:rsid w:val="00BF2101"/>
    <w:rsid w:val="00BF2E2B"/>
    <w:rsid w:val="00BF2EB9"/>
    <w:rsid w:val="00BF34E6"/>
    <w:rsid w:val="00BF4469"/>
    <w:rsid w:val="00BF4AE2"/>
    <w:rsid w:val="00BF4D42"/>
    <w:rsid w:val="00BF52BB"/>
    <w:rsid w:val="00BF7D8B"/>
    <w:rsid w:val="00C0356E"/>
    <w:rsid w:val="00C03764"/>
    <w:rsid w:val="00C05292"/>
    <w:rsid w:val="00C05554"/>
    <w:rsid w:val="00C05BF0"/>
    <w:rsid w:val="00C06981"/>
    <w:rsid w:val="00C07B27"/>
    <w:rsid w:val="00C07F33"/>
    <w:rsid w:val="00C10015"/>
    <w:rsid w:val="00C10266"/>
    <w:rsid w:val="00C103EF"/>
    <w:rsid w:val="00C105A7"/>
    <w:rsid w:val="00C10B7E"/>
    <w:rsid w:val="00C10D29"/>
    <w:rsid w:val="00C11D95"/>
    <w:rsid w:val="00C125B2"/>
    <w:rsid w:val="00C126BB"/>
    <w:rsid w:val="00C13DB2"/>
    <w:rsid w:val="00C14C09"/>
    <w:rsid w:val="00C155CF"/>
    <w:rsid w:val="00C158FE"/>
    <w:rsid w:val="00C16D64"/>
    <w:rsid w:val="00C172DF"/>
    <w:rsid w:val="00C17A3F"/>
    <w:rsid w:val="00C20475"/>
    <w:rsid w:val="00C21A64"/>
    <w:rsid w:val="00C21CD3"/>
    <w:rsid w:val="00C22056"/>
    <w:rsid w:val="00C24A27"/>
    <w:rsid w:val="00C25C6A"/>
    <w:rsid w:val="00C25D93"/>
    <w:rsid w:val="00C266EF"/>
    <w:rsid w:val="00C26759"/>
    <w:rsid w:val="00C26DF5"/>
    <w:rsid w:val="00C26E25"/>
    <w:rsid w:val="00C3068F"/>
    <w:rsid w:val="00C30D8D"/>
    <w:rsid w:val="00C3258E"/>
    <w:rsid w:val="00C3280F"/>
    <w:rsid w:val="00C35B5C"/>
    <w:rsid w:val="00C35CA3"/>
    <w:rsid w:val="00C36804"/>
    <w:rsid w:val="00C36FBA"/>
    <w:rsid w:val="00C374C2"/>
    <w:rsid w:val="00C4033F"/>
    <w:rsid w:val="00C42922"/>
    <w:rsid w:val="00C43620"/>
    <w:rsid w:val="00C44145"/>
    <w:rsid w:val="00C45312"/>
    <w:rsid w:val="00C45722"/>
    <w:rsid w:val="00C45EAB"/>
    <w:rsid w:val="00C466F6"/>
    <w:rsid w:val="00C46A26"/>
    <w:rsid w:val="00C46C24"/>
    <w:rsid w:val="00C46D7A"/>
    <w:rsid w:val="00C506AF"/>
    <w:rsid w:val="00C54CA3"/>
    <w:rsid w:val="00C54D3C"/>
    <w:rsid w:val="00C55B80"/>
    <w:rsid w:val="00C55E04"/>
    <w:rsid w:val="00C5646D"/>
    <w:rsid w:val="00C56CBA"/>
    <w:rsid w:val="00C56D10"/>
    <w:rsid w:val="00C56F94"/>
    <w:rsid w:val="00C579A2"/>
    <w:rsid w:val="00C57A17"/>
    <w:rsid w:val="00C6096D"/>
    <w:rsid w:val="00C61391"/>
    <w:rsid w:val="00C6172B"/>
    <w:rsid w:val="00C61FB1"/>
    <w:rsid w:val="00C62461"/>
    <w:rsid w:val="00C62D56"/>
    <w:rsid w:val="00C6377B"/>
    <w:rsid w:val="00C63970"/>
    <w:rsid w:val="00C6520D"/>
    <w:rsid w:val="00C678B0"/>
    <w:rsid w:val="00C67DDC"/>
    <w:rsid w:val="00C67FC9"/>
    <w:rsid w:val="00C700B1"/>
    <w:rsid w:val="00C70EAC"/>
    <w:rsid w:val="00C715A9"/>
    <w:rsid w:val="00C7191C"/>
    <w:rsid w:val="00C71A0B"/>
    <w:rsid w:val="00C73188"/>
    <w:rsid w:val="00C73310"/>
    <w:rsid w:val="00C7372D"/>
    <w:rsid w:val="00C737AF"/>
    <w:rsid w:val="00C73E6D"/>
    <w:rsid w:val="00C740D8"/>
    <w:rsid w:val="00C74121"/>
    <w:rsid w:val="00C74471"/>
    <w:rsid w:val="00C74F76"/>
    <w:rsid w:val="00C75CD8"/>
    <w:rsid w:val="00C77041"/>
    <w:rsid w:val="00C77319"/>
    <w:rsid w:val="00C77D4F"/>
    <w:rsid w:val="00C8024C"/>
    <w:rsid w:val="00C80C83"/>
    <w:rsid w:val="00C81363"/>
    <w:rsid w:val="00C819D9"/>
    <w:rsid w:val="00C81BE7"/>
    <w:rsid w:val="00C82385"/>
    <w:rsid w:val="00C828B0"/>
    <w:rsid w:val="00C828BA"/>
    <w:rsid w:val="00C8369C"/>
    <w:rsid w:val="00C83BB1"/>
    <w:rsid w:val="00C83D06"/>
    <w:rsid w:val="00C83E39"/>
    <w:rsid w:val="00C84084"/>
    <w:rsid w:val="00C84AED"/>
    <w:rsid w:val="00C85BAC"/>
    <w:rsid w:val="00C86CDE"/>
    <w:rsid w:val="00C90A7A"/>
    <w:rsid w:val="00C90D90"/>
    <w:rsid w:val="00C91C27"/>
    <w:rsid w:val="00C91D10"/>
    <w:rsid w:val="00C92075"/>
    <w:rsid w:val="00C922CE"/>
    <w:rsid w:val="00C924FE"/>
    <w:rsid w:val="00C929DC"/>
    <w:rsid w:val="00C93194"/>
    <w:rsid w:val="00C93BE1"/>
    <w:rsid w:val="00C94A64"/>
    <w:rsid w:val="00C9697E"/>
    <w:rsid w:val="00C96D64"/>
    <w:rsid w:val="00C971A5"/>
    <w:rsid w:val="00CA05AF"/>
    <w:rsid w:val="00CA0EA9"/>
    <w:rsid w:val="00CA13AE"/>
    <w:rsid w:val="00CA22E8"/>
    <w:rsid w:val="00CA2FC1"/>
    <w:rsid w:val="00CA355A"/>
    <w:rsid w:val="00CA59D2"/>
    <w:rsid w:val="00CA6E04"/>
    <w:rsid w:val="00CA71BB"/>
    <w:rsid w:val="00CA7BC5"/>
    <w:rsid w:val="00CB01FD"/>
    <w:rsid w:val="00CB069D"/>
    <w:rsid w:val="00CB075E"/>
    <w:rsid w:val="00CB0778"/>
    <w:rsid w:val="00CB0AC9"/>
    <w:rsid w:val="00CB0AD3"/>
    <w:rsid w:val="00CB0D68"/>
    <w:rsid w:val="00CB12BB"/>
    <w:rsid w:val="00CB1C42"/>
    <w:rsid w:val="00CB3660"/>
    <w:rsid w:val="00CB39D2"/>
    <w:rsid w:val="00CB3A98"/>
    <w:rsid w:val="00CB3D7B"/>
    <w:rsid w:val="00CB40CB"/>
    <w:rsid w:val="00CB44DB"/>
    <w:rsid w:val="00CB5182"/>
    <w:rsid w:val="00CB52B9"/>
    <w:rsid w:val="00CB564E"/>
    <w:rsid w:val="00CB6D78"/>
    <w:rsid w:val="00CB6F02"/>
    <w:rsid w:val="00CB7112"/>
    <w:rsid w:val="00CB777A"/>
    <w:rsid w:val="00CC10BF"/>
    <w:rsid w:val="00CC1762"/>
    <w:rsid w:val="00CC1BBF"/>
    <w:rsid w:val="00CC20E8"/>
    <w:rsid w:val="00CC4A2F"/>
    <w:rsid w:val="00CC597C"/>
    <w:rsid w:val="00CC5E89"/>
    <w:rsid w:val="00CC608A"/>
    <w:rsid w:val="00CC7923"/>
    <w:rsid w:val="00CD1B9D"/>
    <w:rsid w:val="00CD1D90"/>
    <w:rsid w:val="00CD20E8"/>
    <w:rsid w:val="00CD28C4"/>
    <w:rsid w:val="00CD2DB1"/>
    <w:rsid w:val="00CD5454"/>
    <w:rsid w:val="00CD593A"/>
    <w:rsid w:val="00CD5AEE"/>
    <w:rsid w:val="00CD5F17"/>
    <w:rsid w:val="00CD6166"/>
    <w:rsid w:val="00CE0CDD"/>
    <w:rsid w:val="00CE21C5"/>
    <w:rsid w:val="00CE2424"/>
    <w:rsid w:val="00CE2B82"/>
    <w:rsid w:val="00CE3156"/>
    <w:rsid w:val="00CE345C"/>
    <w:rsid w:val="00CE3720"/>
    <w:rsid w:val="00CE4BF9"/>
    <w:rsid w:val="00CE60B8"/>
    <w:rsid w:val="00CE6291"/>
    <w:rsid w:val="00CE66A1"/>
    <w:rsid w:val="00CE6CD1"/>
    <w:rsid w:val="00CE6E90"/>
    <w:rsid w:val="00CE72F4"/>
    <w:rsid w:val="00CE7DA9"/>
    <w:rsid w:val="00CF0FB3"/>
    <w:rsid w:val="00CF123C"/>
    <w:rsid w:val="00CF2D24"/>
    <w:rsid w:val="00CF2F90"/>
    <w:rsid w:val="00CF43DC"/>
    <w:rsid w:val="00CF5474"/>
    <w:rsid w:val="00CF5E83"/>
    <w:rsid w:val="00CF617C"/>
    <w:rsid w:val="00CF70C8"/>
    <w:rsid w:val="00CF7700"/>
    <w:rsid w:val="00D0359E"/>
    <w:rsid w:val="00D06727"/>
    <w:rsid w:val="00D0687F"/>
    <w:rsid w:val="00D06B12"/>
    <w:rsid w:val="00D06BEF"/>
    <w:rsid w:val="00D07C9D"/>
    <w:rsid w:val="00D10A2F"/>
    <w:rsid w:val="00D118C4"/>
    <w:rsid w:val="00D12397"/>
    <w:rsid w:val="00D1347F"/>
    <w:rsid w:val="00D13872"/>
    <w:rsid w:val="00D14493"/>
    <w:rsid w:val="00D157BF"/>
    <w:rsid w:val="00D15F4A"/>
    <w:rsid w:val="00D161FF"/>
    <w:rsid w:val="00D163D2"/>
    <w:rsid w:val="00D207B5"/>
    <w:rsid w:val="00D20B0C"/>
    <w:rsid w:val="00D22026"/>
    <w:rsid w:val="00D2220E"/>
    <w:rsid w:val="00D22796"/>
    <w:rsid w:val="00D2435D"/>
    <w:rsid w:val="00D25647"/>
    <w:rsid w:val="00D26E1B"/>
    <w:rsid w:val="00D2798F"/>
    <w:rsid w:val="00D330EB"/>
    <w:rsid w:val="00D3323F"/>
    <w:rsid w:val="00D332F3"/>
    <w:rsid w:val="00D33AF7"/>
    <w:rsid w:val="00D347E3"/>
    <w:rsid w:val="00D35A61"/>
    <w:rsid w:val="00D364F9"/>
    <w:rsid w:val="00D36654"/>
    <w:rsid w:val="00D36AD6"/>
    <w:rsid w:val="00D373BD"/>
    <w:rsid w:val="00D37D59"/>
    <w:rsid w:val="00D4111C"/>
    <w:rsid w:val="00D41716"/>
    <w:rsid w:val="00D41D31"/>
    <w:rsid w:val="00D42598"/>
    <w:rsid w:val="00D4284A"/>
    <w:rsid w:val="00D42CE5"/>
    <w:rsid w:val="00D435F1"/>
    <w:rsid w:val="00D436C7"/>
    <w:rsid w:val="00D44CEF"/>
    <w:rsid w:val="00D456CA"/>
    <w:rsid w:val="00D46283"/>
    <w:rsid w:val="00D46363"/>
    <w:rsid w:val="00D46474"/>
    <w:rsid w:val="00D46BAD"/>
    <w:rsid w:val="00D47AEB"/>
    <w:rsid w:val="00D47F18"/>
    <w:rsid w:val="00D50F84"/>
    <w:rsid w:val="00D5128A"/>
    <w:rsid w:val="00D51591"/>
    <w:rsid w:val="00D51909"/>
    <w:rsid w:val="00D51C01"/>
    <w:rsid w:val="00D51D0A"/>
    <w:rsid w:val="00D51E83"/>
    <w:rsid w:val="00D52037"/>
    <w:rsid w:val="00D5203C"/>
    <w:rsid w:val="00D52A17"/>
    <w:rsid w:val="00D5361E"/>
    <w:rsid w:val="00D53842"/>
    <w:rsid w:val="00D54094"/>
    <w:rsid w:val="00D55C93"/>
    <w:rsid w:val="00D56D2C"/>
    <w:rsid w:val="00D57657"/>
    <w:rsid w:val="00D57BCB"/>
    <w:rsid w:val="00D57C73"/>
    <w:rsid w:val="00D600E9"/>
    <w:rsid w:val="00D61B79"/>
    <w:rsid w:val="00D6313D"/>
    <w:rsid w:val="00D631F0"/>
    <w:rsid w:val="00D639B2"/>
    <w:rsid w:val="00D63B48"/>
    <w:rsid w:val="00D64A86"/>
    <w:rsid w:val="00D64BC8"/>
    <w:rsid w:val="00D64FCB"/>
    <w:rsid w:val="00D65930"/>
    <w:rsid w:val="00D66990"/>
    <w:rsid w:val="00D66997"/>
    <w:rsid w:val="00D669F4"/>
    <w:rsid w:val="00D66BE8"/>
    <w:rsid w:val="00D66C9C"/>
    <w:rsid w:val="00D66F02"/>
    <w:rsid w:val="00D7057D"/>
    <w:rsid w:val="00D7187A"/>
    <w:rsid w:val="00D738A9"/>
    <w:rsid w:val="00D756F8"/>
    <w:rsid w:val="00D75789"/>
    <w:rsid w:val="00D75CDC"/>
    <w:rsid w:val="00D771E9"/>
    <w:rsid w:val="00D80B7D"/>
    <w:rsid w:val="00D80E88"/>
    <w:rsid w:val="00D81B88"/>
    <w:rsid w:val="00D81E5C"/>
    <w:rsid w:val="00D81ED6"/>
    <w:rsid w:val="00D836DB"/>
    <w:rsid w:val="00D83F97"/>
    <w:rsid w:val="00D842EB"/>
    <w:rsid w:val="00D85B14"/>
    <w:rsid w:val="00D86EB2"/>
    <w:rsid w:val="00D8707E"/>
    <w:rsid w:val="00D87258"/>
    <w:rsid w:val="00D872DA"/>
    <w:rsid w:val="00D875D9"/>
    <w:rsid w:val="00D87E45"/>
    <w:rsid w:val="00D913A8"/>
    <w:rsid w:val="00D920B2"/>
    <w:rsid w:val="00D94896"/>
    <w:rsid w:val="00D9515E"/>
    <w:rsid w:val="00D952D2"/>
    <w:rsid w:val="00D95E5D"/>
    <w:rsid w:val="00D962F7"/>
    <w:rsid w:val="00D96714"/>
    <w:rsid w:val="00D97E3D"/>
    <w:rsid w:val="00DA1255"/>
    <w:rsid w:val="00DA3852"/>
    <w:rsid w:val="00DA4109"/>
    <w:rsid w:val="00DA5381"/>
    <w:rsid w:val="00DA5CB0"/>
    <w:rsid w:val="00DA61B9"/>
    <w:rsid w:val="00DA7C7D"/>
    <w:rsid w:val="00DA7F8A"/>
    <w:rsid w:val="00DB0228"/>
    <w:rsid w:val="00DB08A2"/>
    <w:rsid w:val="00DB0B35"/>
    <w:rsid w:val="00DB1276"/>
    <w:rsid w:val="00DB44F6"/>
    <w:rsid w:val="00DB44FD"/>
    <w:rsid w:val="00DB56E3"/>
    <w:rsid w:val="00DB572E"/>
    <w:rsid w:val="00DB58A0"/>
    <w:rsid w:val="00DB592F"/>
    <w:rsid w:val="00DB5A58"/>
    <w:rsid w:val="00DB679D"/>
    <w:rsid w:val="00DB68EC"/>
    <w:rsid w:val="00DB6D81"/>
    <w:rsid w:val="00DB733B"/>
    <w:rsid w:val="00DB7728"/>
    <w:rsid w:val="00DB78A7"/>
    <w:rsid w:val="00DC0A86"/>
    <w:rsid w:val="00DC1156"/>
    <w:rsid w:val="00DC1306"/>
    <w:rsid w:val="00DC15AF"/>
    <w:rsid w:val="00DC2D10"/>
    <w:rsid w:val="00DC3086"/>
    <w:rsid w:val="00DC3195"/>
    <w:rsid w:val="00DC37F5"/>
    <w:rsid w:val="00DC4EB1"/>
    <w:rsid w:val="00DC73E1"/>
    <w:rsid w:val="00DD16DA"/>
    <w:rsid w:val="00DD175C"/>
    <w:rsid w:val="00DD2FCE"/>
    <w:rsid w:val="00DD3079"/>
    <w:rsid w:val="00DD3D02"/>
    <w:rsid w:val="00DD401E"/>
    <w:rsid w:val="00DD46A8"/>
    <w:rsid w:val="00DD4BA0"/>
    <w:rsid w:val="00DD5405"/>
    <w:rsid w:val="00DD5511"/>
    <w:rsid w:val="00DD6E87"/>
    <w:rsid w:val="00DD7F67"/>
    <w:rsid w:val="00DE019D"/>
    <w:rsid w:val="00DE0F91"/>
    <w:rsid w:val="00DE1AA9"/>
    <w:rsid w:val="00DE2C71"/>
    <w:rsid w:val="00DE3D0F"/>
    <w:rsid w:val="00DE476D"/>
    <w:rsid w:val="00DE47DC"/>
    <w:rsid w:val="00DE4B0B"/>
    <w:rsid w:val="00DE5264"/>
    <w:rsid w:val="00DE527E"/>
    <w:rsid w:val="00DE5C17"/>
    <w:rsid w:val="00DE5FA4"/>
    <w:rsid w:val="00DE6168"/>
    <w:rsid w:val="00DE6ECA"/>
    <w:rsid w:val="00DE7A80"/>
    <w:rsid w:val="00DF03C5"/>
    <w:rsid w:val="00DF093E"/>
    <w:rsid w:val="00DF09E7"/>
    <w:rsid w:val="00DF1BB1"/>
    <w:rsid w:val="00DF2643"/>
    <w:rsid w:val="00DF2F8A"/>
    <w:rsid w:val="00DF4383"/>
    <w:rsid w:val="00DF4F0F"/>
    <w:rsid w:val="00DF544C"/>
    <w:rsid w:val="00DF6048"/>
    <w:rsid w:val="00DF61D9"/>
    <w:rsid w:val="00DF6580"/>
    <w:rsid w:val="00DF6615"/>
    <w:rsid w:val="00DF6BAA"/>
    <w:rsid w:val="00DF70E5"/>
    <w:rsid w:val="00DF7226"/>
    <w:rsid w:val="00DF7B63"/>
    <w:rsid w:val="00DF7D06"/>
    <w:rsid w:val="00E00867"/>
    <w:rsid w:val="00E00AD9"/>
    <w:rsid w:val="00E010C4"/>
    <w:rsid w:val="00E01580"/>
    <w:rsid w:val="00E018D1"/>
    <w:rsid w:val="00E01905"/>
    <w:rsid w:val="00E022A3"/>
    <w:rsid w:val="00E0257D"/>
    <w:rsid w:val="00E03440"/>
    <w:rsid w:val="00E03F28"/>
    <w:rsid w:val="00E045A7"/>
    <w:rsid w:val="00E0638F"/>
    <w:rsid w:val="00E100BF"/>
    <w:rsid w:val="00E1052B"/>
    <w:rsid w:val="00E11F2D"/>
    <w:rsid w:val="00E121F8"/>
    <w:rsid w:val="00E12397"/>
    <w:rsid w:val="00E12869"/>
    <w:rsid w:val="00E1288A"/>
    <w:rsid w:val="00E153C0"/>
    <w:rsid w:val="00E15679"/>
    <w:rsid w:val="00E204E9"/>
    <w:rsid w:val="00E21008"/>
    <w:rsid w:val="00E21513"/>
    <w:rsid w:val="00E24C4E"/>
    <w:rsid w:val="00E252C2"/>
    <w:rsid w:val="00E25E73"/>
    <w:rsid w:val="00E26E85"/>
    <w:rsid w:val="00E26FA8"/>
    <w:rsid w:val="00E27239"/>
    <w:rsid w:val="00E318F0"/>
    <w:rsid w:val="00E320AA"/>
    <w:rsid w:val="00E326F2"/>
    <w:rsid w:val="00E32FB2"/>
    <w:rsid w:val="00E33DEB"/>
    <w:rsid w:val="00E3420A"/>
    <w:rsid w:val="00E357A5"/>
    <w:rsid w:val="00E35EA2"/>
    <w:rsid w:val="00E35EA3"/>
    <w:rsid w:val="00E3667A"/>
    <w:rsid w:val="00E367C3"/>
    <w:rsid w:val="00E36EA9"/>
    <w:rsid w:val="00E370AE"/>
    <w:rsid w:val="00E37682"/>
    <w:rsid w:val="00E3E5A6"/>
    <w:rsid w:val="00E4027B"/>
    <w:rsid w:val="00E406B8"/>
    <w:rsid w:val="00E40E06"/>
    <w:rsid w:val="00E41E1C"/>
    <w:rsid w:val="00E424FD"/>
    <w:rsid w:val="00E427AB"/>
    <w:rsid w:val="00E44D27"/>
    <w:rsid w:val="00E44D53"/>
    <w:rsid w:val="00E45CAC"/>
    <w:rsid w:val="00E46A06"/>
    <w:rsid w:val="00E46EE9"/>
    <w:rsid w:val="00E515D2"/>
    <w:rsid w:val="00E5163F"/>
    <w:rsid w:val="00E52F19"/>
    <w:rsid w:val="00E5332D"/>
    <w:rsid w:val="00E53EBF"/>
    <w:rsid w:val="00E5482D"/>
    <w:rsid w:val="00E60170"/>
    <w:rsid w:val="00E60685"/>
    <w:rsid w:val="00E6230A"/>
    <w:rsid w:val="00E63E1C"/>
    <w:rsid w:val="00E644BD"/>
    <w:rsid w:val="00E65E94"/>
    <w:rsid w:val="00E66A49"/>
    <w:rsid w:val="00E66F97"/>
    <w:rsid w:val="00E67978"/>
    <w:rsid w:val="00E717FB"/>
    <w:rsid w:val="00E71884"/>
    <w:rsid w:val="00E71A45"/>
    <w:rsid w:val="00E72207"/>
    <w:rsid w:val="00E72837"/>
    <w:rsid w:val="00E73B3D"/>
    <w:rsid w:val="00E740AA"/>
    <w:rsid w:val="00E74DB3"/>
    <w:rsid w:val="00E74E5D"/>
    <w:rsid w:val="00E765F3"/>
    <w:rsid w:val="00E768B5"/>
    <w:rsid w:val="00E76E51"/>
    <w:rsid w:val="00E76FD0"/>
    <w:rsid w:val="00E779C5"/>
    <w:rsid w:val="00E77D11"/>
    <w:rsid w:val="00E806E9"/>
    <w:rsid w:val="00E8132B"/>
    <w:rsid w:val="00E82657"/>
    <w:rsid w:val="00E82F34"/>
    <w:rsid w:val="00E85474"/>
    <w:rsid w:val="00E85501"/>
    <w:rsid w:val="00E85A18"/>
    <w:rsid w:val="00E85EE4"/>
    <w:rsid w:val="00E86029"/>
    <w:rsid w:val="00E8692B"/>
    <w:rsid w:val="00E874BF"/>
    <w:rsid w:val="00E90685"/>
    <w:rsid w:val="00E908F5"/>
    <w:rsid w:val="00E93100"/>
    <w:rsid w:val="00E939E1"/>
    <w:rsid w:val="00E94283"/>
    <w:rsid w:val="00E9496C"/>
    <w:rsid w:val="00E94BDA"/>
    <w:rsid w:val="00E950D3"/>
    <w:rsid w:val="00E95900"/>
    <w:rsid w:val="00E959F0"/>
    <w:rsid w:val="00E95B3E"/>
    <w:rsid w:val="00E96394"/>
    <w:rsid w:val="00E96A32"/>
    <w:rsid w:val="00EA0195"/>
    <w:rsid w:val="00EA20A2"/>
    <w:rsid w:val="00EA30A5"/>
    <w:rsid w:val="00EA3560"/>
    <w:rsid w:val="00EA3812"/>
    <w:rsid w:val="00EA3C97"/>
    <w:rsid w:val="00EA3F05"/>
    <w:rsid w:val="00EA4090"/>
    <w:rsid w:val="00EA489A"/>
    <w:rsid w:val="00EA529E"/>
    <w:rsid w:val="00EA54D1"/>
    <w:rsid w:val="00EA576E"/>
    <w:rsid w:val="00EA6007"/>
    <w:rsid w:val="00EA656F"/>
    <w:rsid w:val="00EA7BAD"/>
    <w:rsid w:val="00EA7DA8"/>
    <w:rsid w:val="00EA7DCB"/>
    <w:rsid w:val="00EB03B5"/>
    <w:rsid w:val="00EB0C8F"/>
    <w:rsid w:val="00EB1578"/>
    <w:rsid w:val="00EB21E8"/>
    <w:rsid w:val="00EB287F"/>
    <w:rsid w:val="00EB2948"/>
    <w:rsid w:val="00EB34FA"/>
    <w:rsid w:val="00EB3AEC"/>
    <w:rsid w:val="00EB4FB0"/>
    <w:rsid w:val="00EB5615"/>
    <w:rsid w:val="00EB5E54"/>
    <w:rsid w:val="00EB60AC"/>
    <w:rsid w:val="00EB7097"/>
    <w:rsid w:val="00EB7A78"/>
    <w:rsid w:val="00EC0F64"/>
    <w:rsid w:val="00EC1C70"/>
    <w:rsid w:val="00EC21D1"/>
    <w:rsid w:val="00EC22BB"/>
    <w:rsid w:val="00EC245A"/>
    <w:rsid w:val="00EC2D5B"/>
    <w:rsid w:val="00EC30B2"/>
    <w:rsid w:val="00EC3354"/>
    <w:rsid w:val="00EC3391"/>
    <w:rsid w:val="00EC38A3"/>
    <w:rsid w:val="00EC4196"/>
    <w:rsid w:val="00EC4287"/>
    <w:rsid w:val="00ED0C37"/>
    <w:rsid w:val="00ED0F88"/>
    <w:rsid w:val="00ED105D"/>
    <w:rsid w:val="00ED1747"/>
    <w:rsid w:val="00ED1789"/>
    <w:rsid w:val="00ED18CD"/>
    <w:rsid w:val="00ED2E59"/>
    <w:rsid w:val="00ED381C"/>
    <w:rsid w:val="00ED3D2C"/>
    <w:rsid w:val="00ED792A"/>
    <w:rsid w:val="00ED7B2C"/>
    <w:rsid w:val="00ED7B9A"/>
    <w:rsid w:val="00EE0395"/>
    <w:rsid w:val="00EE097B"/>
    <w:rsid w:val="00EE0A9F"/>
    <w:rsid w:val="00EE131E"/>
    <w:rsid w:val="00EE16CF"/>
    <w:rsid w:val="00EE238B"/>
    <w:rsid w:val="00EE241A"/>
    <w:rsid w:val="00EE2820"/>
    <w:rsid w:val="00EE2892"/>
    <w:rsid w:val="00EE2B90"/>
    <w:rsid w:val="00EE3BF1"/>
    <w:rsid w:val="00EE3BFE"/>
    <w:rsid w:val="00EE4547"/>
    <w:rsid w:val="00EE47D1"/>
    <w:rsid w:val="00EE5739"/>
    <w:rsid w:val="00EE63E3"/>
    <w:rsid w:val="00EE6C76"/>
    <w:rsid w:val="00EE712E"/>
    <w:rsid w:val="00EF043D"/>
    <w:rsid w:val="00EF14E1"/>
    <w:rsid w:val="00EF16B1"/>
    <w:rsid w:val="00EF199A"/>
    <w:rsid w:val="00EF1F63"/>
    <w:rsid w:val="00EF2274"/>
    <w:rsid w:val="00EF2547"/>
    <w:rsid w:val="00EF2C6C"/>
    <w:rsid w:val="00EF303F"/>
    <w:rsid w:val="00EF3E73"/>
    <w:rsid w:val="00EF4D82"/>
    <w:rsid w:val="00EF5F19"/>
    <w:rsid w:val="00F01281"/>
    <w:rsid w:val="00F01A73"/>
    <w:rsid w:val="00F02930"/>
    <w:rsid w:val="00F03523"/>
    <w:rsid w:val="00F03AD4"/>
    <w:rsid w:val="00F044D6"/>
    <w:rsid w:val="00F049A6"/>
    <w:rsid w:val="00F06334"/>
    <w:rsid w:val="00F069C5"/>
    <w:rsid w:val="00F06E74"/>
    <w:rsid w:val="00F10220"/>
    <w:rsid w:val="00F10C6A"/>
    <w:rsid w:val="00F10E86"/>
    <w:rsid w:val="00F11A3A"/>
    <w:rsid w:val="00F11C0D"/>
    <w:rsid w:val="00F12BD7"/>
    <w:rsid w:val="00F12CC1"/>
    <w:rsid w:val="00F13E19"/>
    <w:rsid w:val="00F15690"/>
    <w:rsid w:val="00F156EC"/>
    <w:rsid w:val="00F15790"/>
    <w:rsid w:val="00F164AC"/>
    <w:rsid w:val="00F166E3"/>
    <w:rsid w:val="00F17867"/>
    <w:rsid w:val="00F178FE"/>
    <w:rsid w:val="00F20263"/>
    <w:rsid w:val="00F206F9"/>
    <w:rsid w:val="00F20EA2"/>
    <w:rsid w:val="00F2142D"/>
    <w:rsid w:val="00F21540"/>
    <w:rsid w:val="00F21B77"/>
    <w:rsid w:val="00F221F6"/>
    <w:rsid w:val="00F234B7"/>
    <w:rsid w:val="00F24279"/>
    <w:rsid w:val="00F24BE3"/>
    <w:rsid w:val="00F24CB6"/>
    <w:rsid w:val="00F25C43"/>
    <w:rsid w:val="00F27063"/>
    <w:rsid w:val="00F27BE5"/>
    <w:rsid w:val="00F302FA"/>
    <w:rsid w:val="00F308D3"/>
    <w:rsid w:val="00F30A80"/>
    <w:rsid w:val="00F328C1"/>
    <w:rsid w:val="00F32A67"/>
    <w:rsid w:val="00F33865"/>
    <w:rsid w:val="00F34010"/>
    <w:rsid w:val="00F35B88"/>
    <w:rsid w:val="00F35E2B"/>
    <w:rsid w:val="00F362C5"/>
    <w:rsid w:val="00F36E5B"/>
    <w:rsid w:val="00F37F58"/>
    <w:rsid w:val="00F40164"/>
    <w:rsid w:val="00F40863"/>
    <w:rsid w:val="00F40CC2"/>
    <w:rsid w:val="00F40E3B"/>
    <w:rsid w:val="00F4221D"/>
    <w:rsid w:val="00F429F0"/>
    <w:rsid w:val="00F43182"/>
    <w:rsid w:val="00F436D9"/>
    <w:rsid w:val="00F45A7E"/>
    <w:rsid w:val="00F47941"/>
    <w:rsid w:val="00F50F6F"/>
    <w:rsid w:val="00F5119F"/>
    <w:rsid w:val="00F544DD"/>
    <w:rsid w:val="00F5588A"/>
    <w:rsid w:val="00F5613B"/>
    <w:rsid w:val="00F5734B"/>
    <w:rsid w:val="00F57DC7"/>
    <w:rsid w:val="00F600AA"/>
    <w:rsid w:val="00F6078E"/>
    <w:rsid w:val="00F60DC7"/>
    <w:rsid w:val="00F62D0F"/>
    <w:rsid w:val="00F631D2"/>
    <w:rsid w:val="00F641D5"/>
    <w:rsid w:val="00F65643"/>
    <w:rsid w:val="00F666E3"/>
    <w:rsid w:val="00F6790C"/>
    <w:rsid w:val="00F70B4F"/>
    <w:rsid w:val="00F723BB"/>
    <w:rsid w:val="00F731E9"/>
    <w:rsid w:val="00F7358D"/>
    <w:rsid w:val="00F7367E"/>
    <w:rsid w:val="00F7467D"/>
    <w:rsid w:val="00F75BB6"/>
    <w:rsid w:val="00F75BE1"/>
    <w:rsid w:val="00F75C13"/>
    <w:rsid w:val="00F767E3"/>
    <w:rsid w:val="00F76D29"/>
    <w:rsid w:val="00F77A9E"/>
    <w:rsid w:val="00F812CB"/>
    <w:rsid w:val="00F8196C"/>
    <w:rsid w:val="00F81CE6"/>
    <w:rsid w:val="00F81E68"/>
    <w:rsid w:val="00F83A56"/>
    <w:rsid w:val="00F84076"/>
    <w:rsid w:val="00F8523E"/>
    <w:rsid w:val="00F856C3"/>
    <w:rsid w:val="00F861A2"/>
    <w:rsid w:val="00F8630C"/>
    <w:rsid w:val="00F874A4"/>
    <w:rsid w:val="00F9141B"/>
    <w:rsid w:val="00F916A0"/>
    <w:rsid w:val="00F91C05"/>
    <w:rsid w:val="00F91EC1"/>
    <w:rsid w:val="00F938C9"/>
    <w:rsid w:val="00F93B1A"/>
    <w:rsid w:val="00F93F5B"/>
    <w:rsid w:val="00F945DB"/>
    <w:rsid w:val="00F95004"/>
    <w:rsid w:val="00F9572F"/>
    <w:rsid w:val="00F973B1"/>
    <w:rsid w:val="00FA02E7"/>
    <w:rsid w:val="00FA1545"/>
    <w:rsid w:val="00FA2C65"/>
    <w:rsid w:val="00FA2F0E"/>
    <w:rsid w:val="00FA3211"/>
    <w:rsid w:val="00FA355A"/>
    <w:rsid w:val="00FA41AD"/>
    <w:rsid w:val="00FA46A0"/>
    <w:rsid w:val="00FA5A4F"/>
    <w:rsid w:val="00FA6235"/>
    <w:rsid w:val="00FA629B"/>
    <w:rsid w:val="00FA7350"/>
    <w:rsid w:val="00FA786F"/>
    <w:rsid w:val="00FA78D4"/>
    <w:rsid w:val="00FB1EE2"/>
    <w:rsid w:val="00FB359A"/>
    <w:rsid w:val="00FB3845"/>
    <w:rsid w:val="00FB5700"/>
    <w:rsid w:val="00FB5818"/>
    <w:rsid w:val="00FB59EA"/>
    <w:rsid w:val="00FB66F1"/>
    <w:rsid w:val="00FB67B2"/>
    <w:rsid w:val="00FB6B7D"/>
    <w:rsid w:val="00FB7387"/>
    <w:rsid w:val="00FC05C0"/>
    <w:rsid w:val="00FC090A"/>
    <w:rsid w:val="00FC0E3D"/>
    <w:rsid w:val="00FC103A"/>
    <w:rsid w:val="00FC1217"/>
    <w:rsid w:val="00FC2504"/>
    <w:rsid w:val="00FC2FEF"/>
    <w:rsid w:val="00FC36BC"/>
    <w:rsid w:val="00FC388E"/>
    <w:rsid w:val="00FC5929"/>
    <w:rsid w:val="00FC6048"/>
    <w:rsid w:val="00FC6953"/>
    <w:rsid w:val="00FD25CE"/>
    <w:rsid w:val="00FD347F"/>
    <w:rsid w:val="00FD3CFD"/>
    <w:rsid w:val="00FD440E"/>
    <w:rsid w:val="00FD5B3C"/>
    <w:rsid w:val="00FD5F6B"/>
    <w:rsid w:val="00FD7691"/>
    <w:rsid w:val="00FD78C7"/>
    <w:rsid w:val="00FE0110"/>
    <w:rsid w:val="00FE396C"/>
    <w:rsid w:val="00FE3BBA"/>
    <w:rsid w:val="00FE525A"/>
    <w:rsid w:val="00FE59C3"/>
    <w:rsid w:val="00FE605B"/>
    <w:rsid w:val="00FE6B5D"/>
    <w:rsid w:val="00FE7F32"/>
    <w:rsid w:val="00FF1BC3"/>
    <w:rsid w:val="00FF1D6B"/>
    <w:rsid w:val="00FF2BB1"/>
    <w:rsid w:val="00FF3196"/>
    <w:rsid w:val="00FF521C"/>
    <w:rsid w:val="00FF6B5A"/>
    <w:rsid w:val="00FF6BC1"/>
    <w:rsid w:val="00FF6EC7"/>
    <w:rsid w:val="010ED476"/>
    <w:rsid w:val="0122BCE4"/>
    <w:rsid w:val="01276D85"/>
    <w:rsid w:val="015300A5"/>
    <w:rsid w:val="01E048F9"/>
    <w:rsid w:val="021BB512"/>
    <w:rsid w:val="021EE9D1"/>
    <w:rsid w:val="029C21D3"/>
    <w:rsid w:val="029D5B77"/>
    <w:rsid w:val="029E7883"/>
    <w:rsid w:val="032290F8"/>
    <w:rsid w:val="036227AF"/>
    <w:rsid w:val="0375B103"/>
    <w:rsid w:val="040C06B0"/>
    <w:rsid w:val="044F3E9D"/>
    <w:rsid w:val="0461E74C"/>
    <w:rsid w:val="04A2A9DF"/>
    <w:rsid w:val="0580AD81"/>
    <w:rsid w:val="05EB0EFE"/>
    <w:rsid w:val="06488E40"/>
    <w:rsid w:val="06C0C6F2"/>
    <w:rsid w:val="06D889D2"/>
    <w:rsid w:val="06EE971F"/>
    <w:rsid w:val="07D9ACF1"/>
    <w:rsid w:val="080BFFDD"/>
    <w:rsid w:val="085B9B34"/>
    <w:rsid w:val="087185DC"/>
    <w:rsid w:val="089A6498"/>
    <w:rsid w:val="09368F9A"/>
    <w:rsid w:val="094E7DCF"/>
    <w:rsid w:val="0984ECE6"/>
    <w:rsid w:val="099EC785"/>
    <w:rsid w:val="09F51F20"/>
    <w:rsid w:val="0A44F758"/>
    <w:rsid w:val="0A5DD923"/>
    <w:rsid w:val="0A729D14"/>
    <w:rsid w:val="0AA3CE8E"/>
    <w:rsid w:val="0AE786AF"/>
    <w:rsid w:val="0B2977F0"/>
    <w:rsid w:val="0B2F7240"/>
    <w:rsid w:val="0B384704"/>
    <w:rsid w:val="0C8224D6"/>
    <w:rsid w:val="0D1DACCA"/>
    <w:rsid w:val="0D232E71"/>
    <w:rsid w:val="0D375E84"/>
    <w:rsid w:val="0D397017"/>
    <w:rsid w:val="0D8773CD"/>
    <w:rsid w:val="0DD950EA"/>
    <w:rsid w:val="0DF108DF"/>
    <w:rsid w:val="0E257AF7"/>
    <w:rsid w:val="0E30959F"/>
    <w:rsid w:val="0EA0E011"/>
    <w:rsid w:val="0ECFEDB3"/>
    <w:rsid w:val="0EE308F6"/>
    <w:rsid w:val="0F253406"/>
    <w:rsid w:val="0F53D2A5"/>
    <w:rsid w:val="0F9B8A41"/>
    <w:rsid w:val="103438CB"/>
    <w:rsid w:val="1044D126"/>
    <w:rsid w:val="10C5F48B"/>
    <w:rsid w:val="10CD497C"/>
    <w:rsid w:val="10EFED7F"/>
    <w:rsid w:val="10F7A51A"/>
    <w:rsid w:val="1118E03B"/>
    <w:rsid w:val="113844E9"/>
    <w:rsid w:val="11C69702"/>
    <w:rsid w:val="11CA7DF1"/>
    <w:rsid w:val="11EC3F3E"/>
    <w:rsid w:val="1264349B"/>
    <w:rsid w:val="12BAF996"/>
    <w:rsid w:val="12CDC31E"/>
    <w:rsid w:val="12D0F0AD"/>
    <w:rsid w:val="133B5705"/>
    <w:rsid w:val="134B6D9A"/>
    <w:rsid w:val="13822962"/>
    <w:rsid w:val="13D40CE5"/>
    <w:rsid w:val="13FA9B88"/>
    <w:rsid w:val="146E0937"/>
    <w:rsid w:val="14827224"/>
    <w:rsid w:val="149A17DC"/>
    <w:rsid w:val="14FD0BA4"/>
    <w:rsid w:val="151EB3BF"/>
    <w:rsid w:val="155C2BC0"/>
    <w:rsid w:val="15D066C9"/>
    <w:rsid w:val="1634E7F2"/>
    <w:rsid w:val="163FF359"/>
    <w:rsid w:val="167572C8"/>
    <w:rsid w:val="167C01DE"/>
    <w:rsid w:val="174A35B7"/>
    <w:rsid w:val="178B03ED"/>
    <w:rsid w:val="17ADCD0F"/>
    <w:rsid w:val="1834BFE0"/>
    <w:rsid w:val="1851FC23"/>
    <w:rsid w:val="18FFE357"/>
    <w:rsid w:val="190CE5F7"/>
    <w:rsid w:val="19191A48"/>
    <w:rsid w:val="19988E3D"/>
    <w:rsid w:val="199A175B"/>
    <w:rsid w:val="19D8ECA3"/>
    <w:rsid w:val="1A086622"/>
    <w:rsid w:val="1A136E20"/>
    <w:rsid w:val="1A2957EB"/>
    <w:rsid w:val="1A3BDC20"/>
    <w:rsid w:val="1A6444A9"/>
    <w:rsid w:val="1A69AA3B"/>
    <w:rsid w:val="1AE521AF"/>
    <w:rsid w:val="1B6827B6"/>
    <w:rsid w:val="1B83C205"/>
    <w:rsid w:val="1C146D69"/>
    <w:rsid w:val="1C1FCA90"/>
    <w:rsid w:val="1C2D3174"/>
    <w:rsid w:val="1C37DB59"/>
    <w:rsid w:val="1D071648"/>
    <w:rsid w:val="1DA0398E"/>
    <w:rsid w:val="1DA28649"/>
    <w:rsid w:val="1DFCA278"/>
    <w:rsid w:val="1E37CED8"/>
    <w:rsid w:val="1E5D3B2A"/>
    <w:rsid w:val="1EB8B8AD"/>
    <w:rsid w:val="1F4B61D8"/>
    <w:rsid w:val="1F4C30ED"/>
    <w:rsid w:val="1F826E01"/>
    <w:rsid w:val="1F877A00"/>
    <w:rsid w:val="1F90CD90"/>
    <w:rsid w:val="1F96DA37"/>
    <w:rsid w:val="1FB1CE7F"/>
    <w:rsid w:val="203DB15C"/>
    <w:rsid w:val="20E687A3"/>
    <w:rsid w:val="210E2447"/>
    <w:rsid w:val="2110F8E7"/>
    <w:rsid w:val="218AEEAF"/>
    <w:rsid w:val="22473989"/>
    <w:rsid w:val="227FDAF7"/>
    <w:rsid w:val="2301DA34"/>
    <w:rsid w:val="237E9BB9"/>
    <w:rsid w:val="239617B0"/>
    <w:rsid w:val="23F21FD0"/>
    <w:rsid w:val="24497307"/>
    <w:rsid w:val="249662FE"/>
    <w:rsid w:val="24AC977D"/>
    <w:rsid w:val="256DCB19"/>
    <w:rsid w:val="25F38FE8"/>
    <w:rsid w:val="262B90D6"/>
    <w:rsid w:val="26866FD1"/>
    <w:rsid w:val="26901F25"/>
    <w:rsid w:val="269B8F0B"/>
    <w:rsid w:val="26C1995A"/>
    <w:rsid w:val="274A9402"/>
    <w:rsid w:val="2789971C"/>
    <w:rsid w:val="27A54B9F"/>
    <w:rsid w:val="27F29E35"/>
    <w:rsid w:val="2847EF85"/>
    <w:rsid w:val="284D8579"/>
    <w:rsid w:val="2877174C"/>
    <w:rsid w:val="288E149A"/>
    <w:rsid w:val="28DEDE79"/>
    <w:rsid w:val="28F63968"/>
    <w:rsid w:val="29487C68"/>
    <w:rsid w:val="298A603F"/>
    <w:rsid w:val="29CCF4DF"/>
    <w:rsid w:val="29E712F2"/>
    <w:rsid w:val="29EBF789"/>
    <w:rsid w:val="2A1BBF63"/>
    <w:rsid w:val="2A3C9653"/>
    <w:rsid w:val="2A54CE92"/>
    <w:rsid w:val="2A60B256"/>
    <w:rsid w:val="2AB6D283"/>
    <w:rsid w:val="2B29A816"/>
    <w:rsid w:val="2BC5CA2C"/>
    <w:rsid w:val="2BD297F7"/>
    <w:rsid w:val="2BEEE9A0"/>
    <w:rsid w:val="2BFD27C6"/>
    <w:rsid w:val="2C072B05"/>
    <w:rsid w:val="2C148EF6"/>
    <w:rsid w:val="2CC598A7"/>
    <w:rsid w:val="2D37C12B"/>
    <w:rsid w:val="2EA6E83B"/>
    <w:rsid w:val="2ECAC421"/>
    <w:rsid w:val="2EE23087"/>
    <w:rsid w:val="2F41361D"/>
    <w:rsid w:val="2F6F2C16"/>
    <w:rsid w:val="300AB0E2"/>
    <w:rsid w:val="3011DA22"/>
    <w:rsid w:val="3041423A"/>
    <w:rsid w:val="3053EF62"/>
    <w:rsid w:val="305FB443"/>
    <w:rsid w:val="30935BC4"/>
    <w:rsid w:val="30CD4467"/>
    <w:rsid w:val="30F75761"/>
    <w:rsid w:val="313BD718"/>
    <w:rsid w:val="3141A7BD"/>
    <w:rsid w:val="314C28FE"/>
    <w:rsid w:val="3283F8B6"/>
    <w:rsid w:val="328E5AA1"/>
    <w:rsid w:val="32C2FCFD"/>
    <w:rsid w:val="3331F234"/>
    <w:rsid w:val="33B4B102"/>
    <w:rsid w:val="33F198FC"/>
    <w:rsid w:val="33F7DD5A"/>
    <w:rsid w:val="33FD1E58"/>
    <w:rsid w:val="347C0F7C"/>
    <w:rsid w:val="34FE761F"/>
    <w:rsid w:val="35209A5C"/>
    <w:rsid w:val="3555CD25"/>
    <w:rsid w:val="358118DF"/>
    <w:rsid w:val="364796DF"/>
    <w:rsid w:val="3677FC8D"/>
    <w:rsid w:val="367CC5CB"/>
    <w:rsid w:val="3684CF27"/>
    <w:rsid w:val="368DEE94"/>
    <w:rsid w:val="37C65AEC"/>
    <w:rsid w:val="37E8E53B"/>
    <w:rsid w:val="380BBC4B"/>
    <w:rsid w:val="3861E98A"/>
    <w:rsid w:val="389074D5"/>
    <w:rsid w:val="38B5A64C"/>
    <w:rsid w:val="3919EE47"/>
    <w:rsid w:val="392B6A24"/>
    <w:rsid w:val="394367FB"/>
    <w:rsid w:val="39586BD0"/>
    <w:rsid w:val="3961A6A1"/>
    <w:rsid w:val="39967956"/>
    <w:rsid w:val="39C7ED03"/>
    <w:rsid w:val="39EDAD90"/>
    <w:rsid w:val="3A020846"/>
    <w:rsid w:val="3A720BD9"/>
    <w:rsid w:val="3B3CBE9B"/>
    <w:rsid w:val="3B7D0796"/>
    <w:rsid w:val="3B938F41"/>
    <w:rsid w:val="3BA1E185"/>
    <w:rsid w:val="3BB6BCA2"/>
    <w:rsid w:val="3C5304D3"/>
    <w:rsid w:val="3C6B8880"/>
    <w:rsid w:val="3CAE218F"/>
    <w:rsid w:val="3CF4CCE0"/>
    <w:rsid w:val="3D069CCA"/>
    <w:rsid w:val="3D2A5D29"/>
    <w:rsid w:val="3D68341D"/>
    <w:rsid w:val="3D7685E2"/>
    <w:rsid w:val="3DA3A036"/>
    <w:rsid w:val="3DFE9759"/>
    <w:rsid w:val="3E890DEC"/>
    <w:rsid w:val="3E8C19A2"/>
    <w:rsid w:val="3EC88EAC"/>
    <w:rsid w:val="3F3392F1"/>
    <w:rsid w:val="3F7A1C18"/>
    <w:rsid w:val="3FF1C334"/>
    <w:rsid w:val="403300B9"/>
    <w:rsid w:val="4040596D"/>
    <w:rsid w:val="40F20AC0"/>
    <w:rsid w:val="40F4AC32"/>
    <w:rsid w:val="412FD3F0"/>
    <w:rsid w:val="4225B853"/>
    <w:rsid w:val="42372E5F"/>
    <w:rsid w:val="4258943E"/>
    <w:rsid w:val="4290232F"/>
    <w:rsid w:val="42971EEB"/>
    <w:rsid w:val="42D8E2D9"/>
    <w:rsid w:val="42E0CB0D"/>
    <w:rsid w:val="43034B98"/>
    <w:rsid w:val="43088CAC"/>
    <w:rsid w:val="430B5A90"/>
    <w:rsid w:val="4359CFA4"/>
    <w:rsid w:val="436FB912"/>
    <w:rsid w:val="43894B76"/>
    <w:rsid w:val="43920420"/>
    <w:rsid w:val="43BDBCD5"/>
    <w:rsid w:val="445D34B4"/>
    <w:rsid w:val="44C0F702"/>
    <w:rsid w:val="44CE5260"/>
    <w:rsid w:val="452B34CF"/>
    <w:rsid w:val="45360A08"/>
    <w:rsid w:val="45411A5A"/>
    <w:rsid w:val="45AD8DDF"/>
    <w:rsid w:val="45ADF286"/>
    <w:rsid w:val="469C7EE4"/>
    <w:rsid w:val="46A1134D"/>
    <w:rsid w:val="47411E21"/>
    <w:rsid w:val="4754B043"/>
    <w:rsid w:val="477A1835"/>
    <w:rsid w:val="4794A36F"/>
    <w:rsid w:val="47A7FBEA"/>
    <w:rsid w:val="47AAC464"/>
    <w:rsid w:val="480CA972"/>
    <w:rsid w:val="485C701B"/>
    <w:rsid w:val="4876E707"/>
    <w:rsid w:val="48886EF8"/>
    <w:rsid w:val="48EF58CC"/>
    <w:rsid w:val="4949861E"/>
    <w:rsid w:val="497D8CE4"/>
    <w:rsid w:val="498FFEEF"/>
    <w:rsid w:val="49D6679C"/>
    <w:rsid w:val="49DDA6A9"/>
    <w:rsid w:val="49EB6EE0"/>
    <w:rsid w:val="49F9CA3E"/>
    <w:rsid w:val="4A1ACAAF"/>
    <w:rsid w:val="4A4A583D"/>
    <w:rsid w:val="4A88FD9B"/>
    <w:rsid w:val="4A8B292D"/>
    <w:rsid w:val="4AB1EDF8"/>
    <w:rsid w:val="4ACC9046"/>
    <w:rsid w:val="4AD55795"/>
    <w:rsid w:val="4AD6ABE1"/>
    <w:rsid w:val="4B097BDA"/>
    <w:rsid w:val="4B8619B2"/>
    <w:rsid w:val="4B8EF807"/>
    <w:rsid w:val="4BBCDB62"/>
    <w:rsid w:val="4C0DD131"/>
    <w:rsid w:val="4C2AA300"/>
    <w:rsid w:val="4C2C5663"/>
    <w:rsid w:val="4C6566F2"/>
    <w:rsid w:val="4CA8568C"/>
    <w:rsid w:val="4CC0E88A"/>
    <w:rsid w:val="4CF08892"/>
    <w:rsid w:val="4D2BDD92"/>
    <w:rsid w:val="4DA6B71A"/>
    <w:rsid w:val="4DCE599F"/>
    <w:rsid w:val="4DD3FD44"/>
    <w:rsid w:val="4DDB1458"/>
    <w:rsid w:val="4E172299"/>
    <w:rsid w:val="4E9EDDC7"/>
    <w:rsid w:val="4EAD839F"/>
    <w:rsid w:val="4F319A7C"/>
    <w:rsid w:val="4F5CA32B"/>
    <w:rsid w:val="4FFFDA06"/>
    <w:rsid w:val="50249FD8"/>
    <w:rsid w:val="50B0A7CF"/>
    <w:rsid w:val="50D2B773"/>
    <w:rsid w:val="50E14254"/>
    <w:rsid w:val="51EB588C"/>
    <w:rsid w:val="51FE398B"/>
    <w:rsid w:val="52010FE5"/>
    <w:rsid w:val="52051ECD"/>
    <w:rsid w:val="52AA6348"/>
    <w:rsid w:val="5305F0C0"/>
    <w:rsid w:val="53B12922"/>
    <w:rsid w:val="53B5E616"/>
    <w:rsid w:val="53BC0628"/>
    <w:rsid w:val="5409B704"/>
    <w:rsid w:val="5430AF9B"/>
    <w:rsid w:val="54314C7A"/>
    <w:rsid w:val="544A04E0"/>
    <w:rsid w:val="5454911B"/>
    <w:rsid w:val="545C67CD"/>
    <w:rsid w:val="54A2727E"/>
    <w:rsid w:val="54C61B83"/>
    <w:rsid w:val="54CA76B5"/>
    <w:rsid w:val="54D54CD8"/>
    <w:rsid w:val="55271F7C"/>
    <w:rsid w:val="555F2333"/>
    <w:rsid w:val="5627A72E"/>
    <w:rsid w:val="5639E39F"/>
    <w:rsid w:val="565EA56F"/>
    <w:rsid w:val="567FC70D"/>
    <w:rsid w:val="56E4819A"/>
    <w:rsid w:val="56FAC583"/>
    <w:rsid w:val="5717D08D"/>
    <w:rsid w:val="573F3CED"/>
    <w:rsid w:val="575205D9"/>
    <w:rsid w:val="57A6B59E"/>
    <w:rsid w:val="57D0C6A8"/>
    <w:rsid w:val="582B717F"/>
    <w:rsid w:val="588B9C23"/>
    <w:rsid w:val="58B68CE5"/>
    <w:rsid w:val="58BA8EDE"/>
    <w:rsid w:val="58CC9778"/>
    <w:rsid w:val="5901952B"/>
    <w:rsid w:val="59146F84"/>
    <w:rsid w:val="59ABF66D"/>
    <w:rsid w:val="59DBD82C"/>
    <w:rsid w:val="59F02313"/>
    <w:rsid w:val="59F57748"/>
    <w:rsid w:val="5A1313DD"/>
    <w:rsid w:val="5A15C0CF"/>
    <w:rsid w:val="5A7D9C2A"/>
    <w:rsid w:val="5AF348DF"/>
    <w:rsid w:val="5B25CB53"/>
    <w:rsid w:val="5B3A45BC"/>
    <w:rsid w:val="5B3C8893"/>
    <w:rsid w:val="5B994824"/>
    <w:rsid w:val="5BBC8A91"/>
    <w:rsid w:val="5C369B78"/>
    <w:rsid w:val="5CA5078E"/>
    <w:rsid w:val="5CB44D51"/>
    <w:rsid w:val="5D1B266A"/>
    <w:rsid w:val="5DD27A8D"/>
    <w:rsid w:val="5E8D9BB9"/>
    <w:rsid w:val="5E952194"/>
    <w:rsid w:val="5EED0FC3"/>
    <w:rsid w:val="5EF23287"/>
    <w:rsid w:val="5F49915D"/>
    <w:rsid w:val="5F5FE69C"/>
    <w:rsid w:val="5FF34B9D"/>
    <w:rsid w:val="6003ADF2"/>
    <w:rsid w:val="601AB891"/>
    <w:rsid w:val="6071A21D"/>
    <w:rsid w:val="618A678B"/>
    <w:rsid w:val="61962C96"/>
    <w:rsid w:val="61BFF8E9"/>
    <w:rsid w:val="61C14559"/>
    <w:rsid w:val="61D568A8"/>
    <w:rsid w:val="6253DE2D"/>
    <w:rsid w:val="627F9AE1"/>
    <w:rsid w:val="629B2405"/>
    <w:rsid w:val="62D9CC55"/>
    <w:rsid w:val="636F7EAA"/>
    <w:rsid w:val="63BD9186"/>
    <w:rsid w:val="63F1B910"/>
    <w:rsid w:val="65409CBE"/>
    <w:rsid w:val="65672477"/>
    <w:rsid w:val="6579DA5F"/>
    <w:rsid w:val="65852159"/>
    <w:rsid w:val="6594B924"/>
    <w:rsid w:val="65B2996D"/>
    <w:rsid w:val="65CCDBA2"/>
    <w:rsid w:val="65E8A619"/>
    <w:rsid w:val="660764FD"/>
    <w:rsid w:val="66221B2F"/>
    <w:rsid w:val="665D1F6F"/>
    <w:rsid w:val="66886EA3"/>
    <w:rsid w:val="66B3C121"/>
    <w:rsid w:val="66DB7F83"/>
    <w:rsid w:val="67472702"/>
    <w:rsid w:val="676E9528"/>
    <w:rsid w:val="677F7B28"/>
    <w:rsid w:val="67E7E10B"/>
    <w:rsid w:val="67FB9787"/>
    <w:rsid w:val="68849E18"/>
    <w:rsid w:val="68C932BE"/>
    <w:rsid w:val="68D72B34"/>
    <w:rsid w:val="68FD26C6"/>
    <w:rsid w:val="6909EE51"/>
    <w:rsid w:val="69379FCD"/>
    <w:rsid w:val="69887304"/>
    <w:rsid w:val="69AF1599"/>
    <w:rsid w:val="6A3CFFE5"/>
    <w:rsid w:val="6A9770FE"/>
    <w:rsid w:val="6AF565FF"/>
    <w:rsid w:val="6B015252"/>
    <w:rsid w:val="6B4C2D78"/>
    <w:rsid w:val="6BC17101"/>
    <w:rsid w:val="6BC516A5"/>
    <w:rsid w:val="6BE60589"/>
    <w:rsid w:val="6CED6130"/>
    <w:rsid w:val="6D2C2BD7"/>
    <w:rsid w:val="6E306F4B"/>
    <w:rsid w:val="6E8C5E27"/>
    <w:rsid w:val="6E95C0F7"/>
    <w:rsid w:val="6EB350D2"/>
    <w:rsid w:val="6F12E477"/>
    <w:rsid w:val="6F13E393"/>
    <w:rsid w:val="6FDB51FA"/>
    <w:rsid w:val="700815E1"/>
    <w:rsid w:val="700B8176"/>
    <w:rsid w:val="7057DA0A"/>
    <w:rsid w:val="70672101"/>
    <w:rsid w:val="711185F7"/>
    <w:rsid w:val="71BF7E32"/>
    <w:rsid w:val="71BF9ED6"/>
    <w:rsid w:val="725DCCE2"/>
    <w:rsid w:val="7286A28C"/>
    <w:rsid w:val="72ADE0CE"/>
    <w:rsid w:val="72C2722A"/>
    <w:rsid w:val="72F0A4D4"/>
    <w:rsid w:val="73219AF5"/>
    <w:rsid w:val="73302B4E"/>
    <w:rsid w:val="7365E9CD"/>
    <w:rsid w:val="7416556A"/>
    <w:rsid w:val="7481F73D"/>
    <w:rsid w:val="74FF341C"/>
    <w:rsid w:val="7545E8DD"/>
    <w:rsid w:val="7587C5C8"/>
    <w:rsid w:val="75A5C4B3"/>
    <w:rsid w:val="760B2C74"/>
    <w:rsid w:val="76422FD3"/>
    <w:rsid w:val="76444B70"/>
    <w:rsid w:val="7660A3BE"/>
    <w:rsid w:val="7682F3ED"/>
    <w:rsid w:val="76AC2B87"/>
    <w:rsid w:val="77242E72"/>
    <w:rsid w:val="77528BDA"/>
    <w:rsid w:val="779AF03C"/>
    <w:rsid w:val="7845F7BC"/>
    <w:rsid w:val="785F5388"/>
    <w:rsid w:val="787DD8BA"/>
    <w:rsid w:val="78969899"/>
    <w:rsid w:val="78C6EAFD"/>
    <w:rsid w:val="78D23968"/>
    <w:rsid w:val="79811EED"/>
    <w:rsid w:val="7A11D21C"/>
    <w:rsid w:val="7ACB134C"/>
    <w:rsid w:val="7AE2D79E"/>
    <w:rsid w:val="7AE800C5"/>
    <w:rsid w:val="7B037569"/>
    <w:rsid w:val="7B4932D3"/>
    <w:rsid w:val="7B70F189"/>
    <w:rsid w:val="7B85C13E"/>
    <w:rsid w:val="7BA9CF28"/>
    <w:rsid w:val="7BD603EC"/>
    <w:rsid w:val="7BD91621"/>
    <w:rsid w:val="7C06BA16"/>
    <w:rsid w:val="7C2A1E5E"/>
    <w:rsid w:val="7C5EE3F4"/>
    <w:rsid w:val="7C61F1B5"/>
    <w:rsid w:val="7C7FABAA"/>
    <w:rsid w:val="7CD32111"/>
    <w:rsid w:val="7CF9D51D"/>
    <w:rsid w:val="7D32C4AB"/>
    <w:rsid w:val="7D63481D"/>
    <w:rsid w:val="7D747727"/>
    <w:rsid w:val="7D8014ED"/>
    <w:rsid w:val="7DDFFD18"/>
    <w:rsid w:val="7DE2C083"/>
    <w:rsid w:val="7E442BA3"/>
    <w:rsid w:val="7E77E15A"/>
    <w:rsid w:val="7EBCD849"/>
    <w:rsid w:val="7EC63EEB"/>
    <w:rsid w:val="7EC646A9"/>
    <w:rsid w:val="7F1E818E"/>
    <w:rsid w:val="7F5F9E5A"/>
    <w:rsid w:val="7FCC72FC"/>
    <w:rsid w:val="7FD897B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9BF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4"/>
        <w:lang w:val="en-AU"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8"/>
    <w:lsdException w:name="Emphasis" w:semiHidden="1"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98"/>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semiHidden="1" w:uiPriority="98"/>
    <w:lsdException w:name="Subtle Reference" w:semiHidden="1" w:uiPriority="98"/>
    <w:lsdException w:name="Intense Reference" w:semiHidden="1" w:uiPriority="98"/>
    <w:lsdException w:name="Book Title" w:semiHidden="1"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47D1"/>
  </w:style>
  <w:style w:type="paragraph" w:styleId="Heading1">
    <w:name w:val="heading 1"/>
    <w:basedOn w:val="Normal"/>
    <w:next w:val="BTBodyText"/>
    <w:link w:val="Heading1Char"/>
    <w:uiPriority w:val="33"/>
    <w:rsid w:val="00887792"/>
    <w:pPr>
      <w:keepNext/>
      <w:keepLines/>
      <w:outlineLvl w:val="0"/>
    </w:pPr>
    <w:rPr>
      <w:rFonts w:eastAsiaTheme="majorEastAsia" w:cstheme="majorBidi"/>
      <w:b/>
      <w:caps/>
      <w:sz w:val="28"/>
      <w:szCs w:val="32"/>
    </w:rPr>
  </w:style>
  <w:style w:type="paragraph" w:styleId="Heading2">
    <w:name w:val="heading 2"/>
    <w:basedOn w:val="Normal"/>
    <w:next w:val="BTBodyText"/>
    <w:link w:val="Heading2Char"/>
    <w:uiPriority w:val="33"/>
    <w:unhideWhenUsed/>
    <w:rsid w:val="00887792"/>
    <w:pPr>
      <w:keepNext/>
      <w:keepLines/>
      <w:outlineLvl w:val="1"/>
    </w:pPr>
    <w:rPr>
      <w:rFonts w:eastAsiaTheme="majorEastAsia" w:cstheme="majorBidi"/>
      <w:b/>
      <w:smallCaps/>
      <w:sz w:val="28"/>
      <w:szCs w:val="26"/>
    </w:rPr>
  </w:style>
  <w:style w:type="paragraph" w:styleId="Heading3">
    <w:name w:val="heading 3"/>
    <w:basedOn w:val="Normal"/>
    <w:next w:val="BTBodyText"/>
    <w:link w:val="Heading3Char"/>
    <w:uiPriority w:val="33"/>
    <w:unhideWhenUsed/>
    <w:rsid w:val="00887792"/>
    <w:pPr>
      <w:keepNext/>
      <w:keepLines/>
      <w:outlineLvl w:val="2"/>
    </w:pPr>
    <w:rPr>
      <w:rFonts w:eastAsiaTheme="majorEastAsia" w:cstheme="majorBidi"/>
      <w:b/>
    </w:rPr>
  </w:style>
  <w:style w:type="paragraph" w:styleId="Heading4">
    <w:name w:val="heading 4"/>
    <w:basedOn w:val="Normal"/>
    <w:next w:val="BTBodyText"/>
    <w:link w:val="Heading4Char"/>
    <w:uiPriority w:val="33"/>
    <w:unhideWhenUsed/>
    <w:rsid w:val="00887792"/>
    <w:pPr>
      <w:keepNext/>
      <w:keepLines/>
      <w:outlineLvl w:val="3"/>
    </w:pPr>
    <w:rPr>
      <w:rFonts w:eastAsiaTheme="majorEastAsia" w:cstheme="majorBidi"/>
      <w:iCs/>
      <w:u w:val="single"/>
    </w:rPr>
  </w:style>
  <w:style w:type="paragraph" w:styleId="Heading5">
    <w:name w:val="heading 5"/>
    <w:basedOn w:val="Normal"/>
    <w:next w:val="BTBodyText"/>
    <w:link w:val="Heading5Char"/>
    <w:uiPriority w:val="33"/>
    <w:unhideWhenUsed/>
    <w:rsid w:val="00887792"/>
    <w:pPr>
      <w:keepNext/>
      <w:keepLines/>
      <w:outlineLvl w:val="4"/>
    </w:pPr>
    <w:rPr>
      <w:rFonts w:eastAsiaTheme="majorEastAsia" w:cstheme="majorBidi"/>
      <w:i/>
    </w:rPr>
  </w:style>
  <w:style w:type="paragraph" w:styleId="Heading6">
    <w:name w:val="heading 6"/>
    <w:basedOn w:val="Normal"/>
    <w:next w:val="BTBodyText"/>
    <w:link w:val="Heading6Char"/>
    <w:uiPriority w:val="33"/>
    <w:unhideWhenUsed/>
    <w:rsid w:val="00887792"/>
    <w:pPr>
      <w:keepNext/>
      <w:keepLines/>
      <w:outlineLvl w:val="5"/>
    </w:pPr>
    <w:rPr>
      <w:rFonts w:eastAsiaTheme="majorEastAsia" w:cstheme="majorBidi"/>
      <w:u w:val="single"/>
    </w:rPr>
  </w:style>
  <w:style w:type="paragraph" w:styleId="Heading7">
    <w:name w:val="heading 7"/>
    <w:basedOn w:val="Normal"/>
    <w:next w:val="BTBodyText"/>
    <w:link w:val="Heading7Char"/>
    <w:uiPriority w:val="33"/>
    <w:unhideWhenUsed/>
    <w:rsid w:val="00887792"/>
    <w:pPr>
      <w:keepNext/>
      <w:keepLines/>
      <w:outlineLvl w:val="6"/>
    </w:pPr>
    <w:rPr>
      <w:rFonts w:eastAsiaTheme="majorEastAsia" w:cstheme="majorBidi"/>
      <w:i/>
      <w:iCs/>
    </w:rPr>
  </w:style>
  <w:style w:type="paragraph" w:styleId="Heading8">
    <w:name w:val="heading 8"/>
    <w:basedOn w:val="Normal"/>
    <w:next w:val="BTBodyText"/>
    <w:link w:val="Heading8Char"/>
    <w:uiPriority w:val="33"/>
    <w:unhideWhenUsed/>
    <w:rsid w:val="00887792"/>
    <w:pPr>
      <w:keepNext/>
      <w:keepLines/>
      <w:outlineLvl w:val="7"/>
    </w:pPr>
    <w:rPr>
      <w:rFonts w:eastAsiaTheme="majorEastAsia" w:cstheme="majorBidi"/>
      <w:szCs w:val="21"/>
      <w:u w:val="single"/>
    </w:rPr>
  </w:style>
  <w:style w:type="paragraph" w:styleId="Heading9">
    <w:name w:val="heading 9"/>
    <w:basedOn w:val="Normal"/>
    <w:next w:val="BTBodyText"/>
    <w:link w:val="Heading9Char"/>
    <w:uiPriority w:val="33"/>
    <w:unhideWhenUsed/>
    <w:rsid w:val="00887792"/>
    <w:pPr>
      <w:keepNext/>
      <w:keepLines/>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A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A06"/>
    <w:rPr>
      <w:rFonts w:ascii="Segoe UI" w:hAnsi="Segoe UI" w:cs="Segoe UI"/>
      <w:sz w:val="18"/>
      <w:szCs w:val="18"/>
    </w:rPr>
  </w:style>
  <w:style w:type="paragraph" w:customStyle="1" w:styleId="BTBodyText">
    <w:name w:val="[BT] Body Text"/>
    <w:basedOn w:val="Normal"/>
    <w:link w:val="BTBodyTextChar"/>
    <w:uiPriority w:val="2"/>
    <w:qFormat/>
    <w:rsid w:val="00354A06"/>
  </w:style>
  <w:style w:type="paragraph" w:customStyle="1" w:styleId="BTIBodyTextIndented">
    <w:name w:val="[BTI] Body Text Indented"/>
    <w:basedOn w:val="BTBodyText"/>
    <w:link w:val="BTIBodyTextIndentedChar"/>
    <w:uiPriority w:val="2"/>
    <w:qFormat/>
    <w:rsid w:val="00354A06"/>
    <w:pPr>
      <w:ind w:left="851"/>
    </w:pPr>
  </w:style>
  <w:style w:type="character" w:customStyle="1" w:styleId="BTBodyTextChar">
    <w:name w:val="[BT] Body Text Char"/>
    <w:basedOn w:val="DefaultParagraphFont"/>
    <w:link w:val="BTBodyText"/>
    <w:uiPriority w:val="2"/>
    <w:rsid w:val="00AD0459"/>
  </w:style>
  <w:style w:type="paragraph" w:customStyle="1" w:styleId="BTIIBodyTextTwiceIndented">
    <w:name w:val="[BTII] Body Text Twice Indented"/>
    <w:basedOn w:val="BTBodyText"/>
    <w:link w:val="BTIIBodyTextTwiceIndentedChar"/>
    <w:uiPriority w:val="2"/>
    <w:qFormat/>
    <w:rsid w:val="00354A06"/>
    <w:pPr>
      <w:ind w:left="1702"/>
    </w:pPr>
  </w:style>
  <w:style w:type="character" w:customStyle="1" w:styleId="BTIBodyTextIndentedChar">
    <w:name w:val="[BTI] Body Text Indented Char"/>
    <w:basedOn w:val="BTBodyTextChar"/>
    <w:link w:val="BTIBodyTextIndented"/>
    <w:uiPriority w:val="2"/>
    <w:rsid w:val="00AD0459"/>
  </w:style>
  <w:style w:type="paragraph" w:styleId="ListParagraph">
    <w:name w:val="List Paragraph"/>
    <w:basedOn w:val="Normal"/>
    <w:uiPriority w:val="34"/>
    <w:qFormat/>
    <w:rsid w:val="003A10EE"/>
    <w:pPr>
      <w:ind w:left="851"/>
    </w:pPr>
  </w:style>
  <w:style w:type="character" w:customStyle="1" w:styleId="BTIIBodyTextTwiceIndentedChar">
    <w:name w:val="[BTII] Body Text Twice Indented Char"/>
    <w:basedOn w:val="BTBodyTextChar"/>
    <w:link w:val="BTIIBodyTextTwiceIndented"/>
    <w:uiPriority w:val="2"/>
    <w:rsid w:val="00AD0459"/>
  </w:style>
  <w:style w:type="paragraph" w:styleId="NoSpacing">
    <w:name w:val="No Spacing"/>
    <w:link w:val="NoSpacingChar"/>
    <w:uiPriority w:val="1"/>
    <w:rsid w:val="001F46B7"/>
    <w:pPr>
      <w:spacing w:after="0" w:line="240" w:lineRule="auto"/>
    </w:pPr>
  </w:style>
  <w:style w:type="paragraph" w:customStyle="1" w:styleId="BTNSBodyTextNoSpacing">
    <w:name w:val="[BTNS] Body Text No Spacing"/>
    <w:basedOn w:val="NoSpacing"/>
    <w:link w:val="BTNSBodyTextNoSpacingChar"/>
    <w:uiPriority w:val="2"/>
    <w:qFormat/>
    <w:rsid w:val="001F46B7"/>
  </w:style>
  <w:style w:type="paragraph" w:customStyle="1" w:styleId="BTNSSBodyTextNoSpacingSmall">
    <w:name w:val="[BTNSS] Body Text No Spacing Small"/>
    <w:basedOn w:val="BTNSBodyTextNoSpacing"/>
    <w:link w:val="BTNSSBodyTextNoSpacingSmallChar"/>
    <w:uiPriority w:val="2"/>
    <w:rsid w:val="001F46B7"/>
    <w:rPr>
      <w:sz w:val="8"/>
      <w:szCs w:val="8"/>
    </w:rPr>
  </w:style>
  <w:style w:type="character" w:customStyle="1" w:styleId="NoSpacingChar">
    <w:name w:val="No Spacing Char"/>
    <w:basedOn w:val="DefaultParagraphFont"/>
    <w:link w:val="NoSpacing"/>
    <w:uiPriority w:val="1"/>
    <w:rsid w:val="001F46B7"/>
  </w:style>
  <w:style w:type="character" w:customStyle="1" w:styleId="BTNSBodyTextNoSpacingChar">
    <w:name w:val="[BTNS] Body Text No Spacing Char"/>
    <w:basedOn w:val="NoSpacingChar"/>
    <w:link w:val="BTNSBodyTextNoSpacing"/>
    <w:uiPriority w:val="2"/>
    <w:rsid w:val="00B10942"/>
  </w:style>
  <w:style w:type="character" w:customStyle="1" w:styleId="BTNSSBodyTextNoSpacingSmallChar">
    <w:name w:val="[BTNSS] Body Text No Spacing Small Char"/>
    <w:basedOn w:val="BTNSBodyTextNoSpacingChar"/>
    <w:link w:val="BTNSSBodyTextNoSpacingSmall"/>
    <w:uiPriority w:val="2"/>
    <w:rsid w:val="00B10942"/>
    <w:rPr>
      <w:sz w:val="8"/>
      <w:szCs w:val="8"/>
    </w:rPr>
  </w:style>
  <w:style w:type="paragraph" w:customStyle="1" w:styleId="P1-N1Paragraph1-Number1">
    <w:name w:val="[P1-N1] Paragraph 1 - Number 1"/>
    <w:basedOn w:val="BTBodyText"/>
    <w:link w:val="P1-N1Paragraph1-Number1Char"/>
    <w:uiPriority w:val="6"/>
    <w:qFormat/>
    <w:rsid w:val="006F189E"/>
    <w:pPr>
      <w:numPr>
        <w:numId w:val="1"/>
      </w:numPr>
    </w:pPr>
  </w:style>
  <w:style w:type="paragraph" w:customStyle="1" w:styleId="P2-B1Paragraph2-Bullet1">
    <w:name w:val="[P2-B1] Paragraph 2 - Bullet 1"/>
    <w:basedOn w:val="BTBodyText"/>
    <w:link w:val="P2-B1Paragraph2-Bullet1Char"/>
    <w:uiPriority w:val="6"/>
    <w:qFormat/>
    <w:rsid w:val="00C45722"/>
    <w:pPr>
      <w:numPr>
        <w:ilvl w:val="1"/>
        <w:numId w:val="1"/>
      </w:numPr>
      <w:spacing w:after="120"/>
    </w:pPr>
  </w:style>
  <w:style w:type="character" w:customStyle="1" w:styleId="P1-N1Paragraph1-Number1Char">
    <w:name w:val="[P1-N1] Paragraph 1 - Number 1 Char"/>
    <w:basedOn w:val="BTBodyTextChar"/>
    <w:link w:val="P1-N1Paragraph1-Number1"/>
    <w:uiPriority w:val="6"/>
    <w:rsid w:val="002603E6"/>
  </w:style>
  <w:style w:type="paragraph" w:customStyle="1" w:styleId="P3-B2Paragraph3-Bullet2">
    <w:name w:val="[P3-B2] Paragraph 3 - Bullet 2"/>
    <w:basedOn w:val="BTBodyText"/>
    <w:link w:val="P3-B2Paragraph3-Bullet2Char"/>
    <w:uiPriority w:val="6"/>
    <w:qFormat/>
    <w:rsid w:val="00C45722"/>
    <w:pPr>
      <w:numPr>
        <w:ilvl w:val="2"/>
        <w:numId w:val="1"/>
      </w:numPr>
      <w:spacing w:after="120"/>
    </w:pPr>
  </w:style>
  <w:style w:type="character" w:customStyle="1" w:styleId="P2-B1Paragraph2-Bullet1Char">
    <w:name w:val="[P2-B1] Paragraph 2 - Bullet 1 Char"/>
    <w:basedOn w:val="BTBodyTextChar"/>
    <w:link w:val="P2-B1Paragraph2-Bullet1"/>
    <w:uiPriority w:val="6"/>
    <w:rsid w:val="00C45722"/>
  </w:style>
  <w:style w:type="paragraph" w:customStyle="1" w:styleId="P4-B3Paragraph4-Bullet3">
    <w:name w:val="[P4-B3] Paragraph 4 - Bullet 3"/>
    <w:basedOn w:val="BTBodyText"/>
    <w:link w:val="P4-B3Paragraph4-Bullet3Char"/>
    <w:uiPriority w:val="6"/>
    <w:rsid w:val="00C45722"/>
    <w:pPr>
      <w:numPr>
        <w:ilvl w:val="3"/>
        <w:numId w:val="1"/>
      </w:numPr>
      <w:tabs>
        <w:tab w:val="clear" w:pos="3402"/>
      </w:tabs>
      <w:spacing w:after="120"/>
      <w:ind w:left="3403" w:hanging="851"/>
    </w:pPr>
  </w:style>
  <w:style w:type="character" w:customStyle="1" w:styleId="P3-B2Paragraph3-Bullet2Char">
    <w:name w:val="[P3-B2] Paragraph 3 - Bullet 2 Char"/>
    <w:basedOn w:val="BTBodyTextChar"/>
    <w:link w:val="P3-B2Paragraph3-Bullet2"/>
    <w:uiPriority w:val="6"/>
    <w:rsid w:val="00C45722"/>
  </w:style>
  <w:style w:type="paragraph" w:customStyle="1" w:styleId="P5-B4Paragraph5-Bullet4">
    <w:name w:val="[P5-B4] Paragraph 5 - Bullet 4"/>
    <w:basedOn w:val="BTBodyText"/>
    <w:link w:val="P5-B4Paragraph5-Bullet4Char"/>
    <w:uiPriority w:val="6"/>
    <w:rsid w:val="00C45722"/>
    <w:pPr>
      <w:numPr>
        <w:ilvl w:val="4"/>
        <w:numId w:val="1"/>
      </w:numPr>
      <w:tabs>
        <w:tab w:val="clear" w:pos="4253"/>
      </w:tabs>
      <w:spacing w:after="120"/>
      <w:ind w:left="3600" w:hanging="360"/>
    </w:pPr>
  </w:style>
  <w:style w:type="character" w:customStyle="1" w:styleId="P4-B3Paragraph4-Bullet3Char">
    <w:name w:val="[P4-B3] Paragraph 4 - Bullet 3 Char"/>
    <w:basedOn w:val="BTBodyTextChar"/>
    <w:link w:val="P4-B3Paragraph4-Bullet3"/>
    <w:uiPriority w:val="6"/>
    <w:rsid w:val="00C45722"/>
  </w:style>
  <w:style w:type="paragraph" w:customStyle="1" w:styleId="P6-B5Paragraph6-Bullet5">
    <w:name w:val="[P6-B5] Paragraph 6 - Bullet 5"/>
    <w:basedOn w:val="BTBodyText"/>
    <w:link w:val="P6-B5Paragraph6-Bullet5Char"/>
    <w:uiPriority w:val="6"/>
    <w:rsid w:val="00C45722"/>
    <w:pPr>
      <w:numPr>
        <w:ilvl w:val="5"/>
        <w:numId w:val="1"/>
      </w:numPr>
      <w:tabs>
        <w:tab w:val="clear" w:pos="5103"/>
      </w:tabs>
      <w:spacing w:after="120"/>
      <w:ind w:left="5104" w:hanging="851"/>
    </w:pPr>
  </w:style>
  <w:style w:type="character" w:customStyle="1" w:styleId="P5-B4Paragraph5-Bullet4Char">
    <w:name w:val="[P5-B4] Paragraph 5 - Bullet 4 Char"/>
    <w:basedOn w:val="BTBodyTextChar"/>
    <w:link w:val="P5-B4Paragraph5-Bullet4"/>
    <w:uiPriority w:val="6"/>
    <w:rsid w:val="00C45722"/>
  </w:style>
  <w:style w:type="paragraph" w:customStyle="1" w:styleId="P7-B6Paragraph7-Bullet6">
    <w:name w:val="[P7-B6] Paragraph 7 - Bullet 6"/>
    <w:basedOn w:val="BTBodyText"/>
    <w:link w:val="P7-B6Paragraph7-Bullet6Char"/>
    <w:uiPriority w:val="6"/>
    <w:rsid w:val="00C45722"/>
    <w:pPr>
      <w:numPr>
        <w:ilvl w:val="6"/>
        <w:numId w:val="1"/>
      </w:numPr>
      <w:tabs>
        <w:tab w:val="clear" w:pos="5954"/>
      </w:tabs>
      <w:spacing w:after="120"/>
      <w:ind w:left="5040" w:hanging="360"/>
    </w:pPr>
  </w:style>
  <w:style w:type="character" w:customStyle="1" w:styleId="P6-B5Paragraph6-Bullet5Char">
    <w:name w:val="[P6-B5] Paragraph 6 - Bullet 5 Char"/>
    <w:basedOn w:val="BTBodyTextChar"/>
    <w:link w:val="P6-B5Paragraph6-Bullet5"/>
    <w:uiPriority w:val="6"/>
    <w:rsid w:val="00C45722"/>
  </w:style>
  <w:style w:type="paragraph" w:customStyle="1" w:styleId="P8-B7Paragraph8-Bullet7">
    <w:name w:val="[P8-B7] Paragraph 8 - Bullet 7"/>
    <w:basedOn w:val="BTBodyText"/>
    <w:link w:val="P8-B7Paragraph8-Bullet7Char"/>
    <w:uiPriority w:val="6"/>
    <w:rsid w:val="00C45722"/>
    <w:pPr>
      <w:numPr>
        <w:ilvl w:val="7"/>
        <w:numId w:val="1"/>
      </w:numPr>
      <w:tabs>
        <w:tab w:val="clear" w:pos="6804"/>
      </w:tabs>
      <w:spacing w:after="120"/>
      <w:ind w:left="6805" w:hanging="851"/>
    </w:pPr>
  </w:style>
  <w:style w:type="character" w:customStyle="1" w:styleId="P7-B6Paragraph7-Bullet6Char">
    <w:name w:val="[P7-B6] Paragraph 7 - Bullet 6 Char"/>
    <w:basedOn w:val="BTBodyTextChar"/>
    <w:link w:val="P7-B6Paragraph7-Bullet6"/>
    <w:uiPriority w:val="6"/>
    <w:semiHidden/>
    <w:rsid w:val="00C45722"/>
  </w:style>
  <w:style w:type="paragraph" w:customStyle="1" w:styleId="P9-B8Paragraph9-Bullet8">
    <w:name w:val="[P9-B8] Paragraph 9 - Bullet 8"/>
    <w:basedOn w:val="BTBodyText"/>
    <w:link w:val="P9-B8Paragraph9-Bullet8Char"/>
    <w:uiPriority w:val="6"/>
    <w:rsid w:val="00C45722"/>
    <w:pPr>
      <w:numPr>
        <w:ilvl w:val="8"/>
        <w:numId w:val="1"/>
      </w:numPr>
      <w:tabs>
        <w:tab w:val="clear" w:pos="7655"/>
      </w:tabs>
      <w:spacing w:after="120"/>
      <w:ind w:left="6480" w:hanging="360"/>
    </w:pPr>
  </w:style>
  <w:style w:type="character" w:customStyle="1" w:styleId="P8-B7Paragraph8-Bullet7Char">
    <w:name w:val="[P8-B7] Paragraph 8 - Bullet 7 Char"/>
    <w:basedOn w:val="BTBodyTextChar"/>
    <w:link w:val="P8-B7Paragraph8-Bullet7"/>
    <w:uiPriority w:val="6"/>
    <w:semiHidden/>
    <w:rsid w:val="00C45722"/>
  </w:style>
  <w:style w:type="paragraph" w:customStyle="1" w:styleId="QQuotation">
    <w:name w:val="[Q] Quotation"/>
    <w:basedOn w:val="BTIBodyTextIndented"/>
    <w:next w:val="P1-N1Paragraph1-Number1"/>
    <w:link w:val="QQuotationChar"/>
    <w:uiPriority w:val="8"/>
    <w:qFormat/>
    <w:rsid w:val="00EF4D82"/>
    <w:pPr>
      <w:spacing w:after="240" w:line="276" w:lineRule="auto"/>
    </w:pPr>
    <w:rPr>
      <w:sz w:val="22"/>
    </w:rPr>
  </w:style>
  <w:style w:type="character" w:customStyle="1" w:styleId="P9-B8Paragraph9-Bullet8Char">
    <w:name w:val="[P9-B8] Paragraph 9 - Bullet 8 Char"/>
    <w:basedOn w:val="BTBodyTextChar"/>
    <w:link w:val="P9-B8Paragraph9-Bullet8"/>
    <w:uiPriority w:val="6"/>
    <w:semiHidden/>
    <w:rsid w:val="00C45722"/>
  </w:style>
  <w:style w:type="character" w:customStyle="1" w:styleId="Heading1Char">
    <w:name w:val="Heading 1 Char"/>
    <w:basedOn w:val="DefaultParagraphFont"/>
    <w:link w:val="Heading1"/>
    <w:uiPriority w:val="33"/>
    <w:rsid w:val="002603E6"/>
    <w:rPr>
      <w:rFonts w:eastAsiaTheme="majorEastAsia" w:cstheme="majorBidi"/>
      <w:b/>
      <w:caps/>
      <w:sz w:val="28"/>
      <w:szCs w:val="32"/>
    </w:rPr>
  </w:style>
  <w:style w:type="character" w:customStyle="1" w:styleId="QQuotationChar">
    <w:name w:val="[Q] Quotation Char"/>
    <w:basedOn w:val="BTIBodyTextIndentedChar"/>
    <w:link w:val="QQuotation"/>
    <w:uiPriority w:val="8"/>
    <w:rsid w:val="00EF4D82"/>
    <w:rPr>
      <w:sz w:val="22"/>
    </w:rPr>
  </w:style>
  <w:style w:type="character" w:customStyle="1" w:styleId="Heading2Char">
    <w:name w:val="Heading 2 Char"/>
    <w:basedOn w:val="DefaultParagraphFont"/>
    <w:link w:val="Heading2"/>
    <w:uiPriority w:val="33"/>
    <w:rsid w:val="002603E6"/>
    <w:rPr>
      <w:rFonts w:eastAsiaTheme="majorEastAsia" w:cstheme="majorBidi"/>
      <w:b/>
      <w:smallCaps/>
      <w:sz w:val="28"/>
      <w:szCs w:val="26"/>
    </w:rPr>
  </w:style>
  <w:style w:type="character" w:customStyle="1" w:styleId="Heading3Char">
    <w:name w:val="Heading 3 Char"/>
    <w:basedOn w:val="DefaultParagraphFont"/>
    <w:link w:val="Heading3"/>
    <w:uiPriority w:val="33"/>
    <w:rsid w:val="002603E6"/>
    <w:rPr>
      <w:rFonts w:eastAsiaTheme="majorEastAsia" w:cstheme="majorBidi"/>
      <w:b/>
    </w:rPr>
  </w:style>
  <w:style w:type="character" w:customStyle="1" w:styleId="Heading4Char">
    <w:name w:val="Heading 4 Char"/>
    <w:basedOn w:val="DefaultParagraphFont"/>
    <w:link w:val="Heading4"/>
    <w:uiPriority w:val="33"/>
    <w:rsid w:val="002603E6"/>
    <w:rPr>
      <w:rFonts w:eastAsiaTheme="majorEastAsia" w:cstheme="majorBidi"/>
      <w:iCs/>
      <w:u w:val="single"/>
    </w:rPr>
  </w:style>
  <w:style w:type="character" w:customStyle="1" w:styleId="Heading5Char">
    <w:name w:val="Heading 5 Char"/>
    <w:basedOn w:val="DefaultParagraphFont"/>
    <w:link w:val="Heading5"/>
    <w:uiPriority w:val="33"/>
    <w:rsid w:val="002603E6"/>
    <w:rPr>
      <w:rFonts w:eastAsiaTheme="majorEastAsia" w:cstheme="majorBidi"/>
      <w:i/>
    </w:rPr>
  </w:style>
  <w:style w:type="character" w:customStyle="1" w:styleId="Heading6Char">
    <w:name w:val="Heading 6 Char"/>
    <w:basedOn w:val="DefaultParagraphFont"/>
    <w:link w:val="Heading6"/>
    <w:uiPriority w:val="33"/>
    <w:rsid w:val="002603E6"/>
    <w:rPr>
      <w:rFonts w:eastAsiaTheme="majorEastAsia" w:cstheme="majorBidi"/>
      <w:u w:val="single"/>
    </w:rPr>
  </w:style>
  <w:style w:type="character" w:customStyle="1" w:styleId="Heading7Char">
    <w:name w:val="Heading 7 Char"/>
    <w:basedOn w:val="DefaultParagraphFont"/>
    <w:link w:val="Heading7"/>
    <w:uiPriority w:val="33"/>
    <w:rsid w:val="002603E6"/>
    <w:rPr>
      <w:rFonts w:eastAsiaTheme="majorEastAsia" w:cstheme="majorBidi"/>
      <w:i/>
      <w:iCs/>
    </w:rPr>
  </w:style>
  <w:style w:type="character" w:customStyle="1" w:styleId="Heading8Char">
    <w:name w:val="Heading 8 Char"/>
    <w:basedOn w:val="DefaultParagraphFont"/>
    <w:link w:val="Heading8"/>
    <w:uiPriority w:val="33"/>
    <w:rsid w:val="002603E6"/>
    <w:rPr>
      <w:rFonts w:eastAsiaTheme="majorEastAsia" w:cstheme="majorBidi"/>
      <w:szCs w:val="21"/>
      <w:u w:val="single"/>
    </w:rPr>
  </w:style>
  <w:style w:type="character" w:customStyle="1" w:styleId="Heading9Char">
    <w:name w:val="Heading 9 Char"/>
    <w:basedOn w:val="DefaultParagraphFont"/>
    <w:link w:val="Heading9"/>
    <w:uiPriority w:val="33"/>
    <w:rsid w:val="002603E6"/>
    <w:rPr>
      <w:rFonts w:eastAsiaTheme="majorEastAsia" w:cstheme="majorBidi"/>
      <w:i/>
      <w:iCs/>
      <w:szCs w:val="21"/>
    </w:rPr>
  </w:style>
  <w:style w:type="paragraph" w:customStyle="1" w:styleId="HL1HeadingLevel1">
    <w:name w:val="[HL1] Heading Level 1"/>
    <w:basedOn w:val="Heading1"/>
    <w:next w:val="P1-N1Paragraph1-Number1"/>
    <w:link w:val="HL1HeadingLevel1Char"/>
    <w:uiPriority w:val="4"/>
    <w:qFormat/>
    <w:rsid w:val="00B9740F"/>
    <w:pPr>
      <w:numPr>
        <w:numId w:val="2"/>
      </w:numPr>
    </w:pPr>
  </w:style>
  <w:style w:type="paragraph" w:customStyle="1" w:styleId="HL2HeadingLevel2">
    <w:name w:val="[HL2] Heading Level 2"/>
    <w:basedOn w:val="Heading2"/>
    <w:next w:val="P1-N1Paragraph1-Number1"/>
    <w:link w:val="HL2HeadingLevel2Char"/>
    <w:uiPriority w:val="4"/>
    <w:qFormat/>
    <w:rsid w:val="00B9740F"/>
    <w:pPr>
      <w:numPr>
        <w:ilvl w:val="1"/>
        <w:numId w:val="2"/>
      </w:numPr>
    </w:pPr>
  </w:style>
  <w:style w:type="character" w:customStyle="1" w:styleId="HL1HeadingLevel1Char">
    <w:name w:val="[HL1] Heading Level 1 Char"/>
    <w:basedOn w:val="BTBodyTextChar"/>
    <w:link w:val="HL1HeadingLevel1"/>
    <w:uiPriority w:val="4"/>
    <w:rsid w:val="002603E6"/>
    <w:rPr>
      <w:rFonts w:eastAsiaTheme="majorEastAsia" w:cstheme="majorBidi"/>
      <w:b/>
      <w:caps/>
      <w:sz w:val="28"/>
      <w:szCs w:val="32"/>
    </w:rPr>
  </w:style>
  <w:style w:type="paragraph" w:customStyle="1" w:styleId="HL3HeadingLevel3">
    <w:name w:val="[HL3] Heading Level 3"/>
    <w:basedOn w:val="Heading3"/>
    <w:next w:val="P1-N1Paragraph1-Number1"/>
    <w:link w:val="HL3HeadingLevel3Char"/>
    <w:uiPriority w:val="4"/>
    <w:qFormat/>
    <w:rsid w:val="00B9740F"/>
    <w:pPr>
      <w:numPr>
        <w:ilvl w:val="2"/>
        <w:numId w:val="2"/>
      </w:numPr>
    </w:pPr>
  </w:style>
  <w:style w:type="character" w:customStyle="1" w:styleId="HL2HeadingLevel2Char">
    <w:name w:val="[HL2] Heading Level 2 Char"/>
    <w:basedOn w:val="BTBodyTextChar"/>
    <w:link w:val="HL2HeadingLevel2"/>
    <w:uiPriority w:val="4"/>
    <w:rsid w:val="002603E6"/>
    <w:rPr>
      <w:rFonts w:eastAsiaTheme="majorEastAsia" w:cstheme="majorBidi"/>
      <w:b/>
      <w:smallCaps/>
      <w:sz w:val="28"/>
      <w:szCs w:val="26"/>
    </w:rPr>
  </w:style>
  <w:style w:type="paragraph" w:customStyle="1" w:styleId="HL4HeadingLevel4">
    <w:name w:val="[HL4] Heading Level 4"/>
    <w:basedOn w:val="Heading4"/>
    <w:next w:val="P1-N1Paragraph1-Number1"/>
    <w:link w:val="HL4HeadingLevel4Char"/>
    <w:uiPriority w:val="4"/>
    <w:qFormat/>
    <w:rsid w:val="00B9740F"/>
    <w:pPr>
      <w:numPr>
        <w:ilvl w:val="3"/>
        <w:numId w:val="2"/>
      </w:numPr>
    </w:pPr>
  </w:style>
  <w:style w:type="character" w:customStyle="1" w:styleId="HL3HeadingLevel3Char">
    <w:name w:val="[HL3] Heading Level 3 Char"/>
    <w:basedOn w:val="BTBodyTextChar"/>
    <w:link w:val="HL3HeadingLevel3"/>
    <w:uiPriority w:val="4"/>
    <w:rsid w:val="002603E6"/>
    <w:rPr>
      <w:rFonts w:eastAsiaTheme="majorEastAsia" w:cstheme="majorBidi"/>
      <w:b/>
    </w:rPr>
  </w:style>
  <w:style w:type="paragraph" w:customStyle="1" w:styleId="HL5HeadingLevel5">
    <w:name w:val="[HL5] Heading Level 5"/>
    <w:basedOn w:val="Heading5"/>
    <w:next w:val="P1-N1Paragraph1-Number1"/>
    <w:link w:val="HL5HeadingLevel5Char"/>
    <w:uiPriority w:val="4"/>
    <w:qFormat/>
    <w:rsid w:val="00B9740F"/>
    <w:pPr>
      <w:numPr>
        <w:ilvl w:val="4"/>
        <w:numId w:val="2"/>
      </w:numPr>
    </w:pPr>
  </w:style>
  <w:style w:type="character" w:customStyle="1" w:styleId="HL4HeadingLevel4Char">
    <w:name w:val="[HL4] Heading Level 4 Char"/>
    <w:basedOn w:val="BTBodyTextChar"/>
    <w:link w:val="HL4HeadingLevel4"/>
    <w:uiPriority w:val="4"/>
    <w:rsid w:val="002603E6"/>
    <w:rPr>
      <w:rFonts w:eastAsiaTheme="majorEastAsia" w:cstheme="majorBidi"/>
      <w:iCs/>
      <w:u w:val="single"/>
    </w:rPr>
  </w:style>
  <w:style w:type="paragraph" w:customStyle="1" w:styleId="HL6HeadingLevel6">
    <w:name w:val="[HL6] Heading Level 6"/>
    <w:basedOn w:val="Heading6"/>
    <w:next w:val="P1-N1Paragraph1-Number1"/>
    <w:link w:val="HL6HeadingLevel6Char"/>
    <w:uiPriority w:val="4"/>
    <w:semiHidden/>
    <w:rsid w:val="00B9740F"/>
    <w:pPr>
      <w:numPr>
        <w:ilvl w:val="5"/>
        <w:numId w:val="2"/>
      </w:numPr>
    </w:pPr>
  </w:style>
  <w:style w:type="character" w:customStyle="1" w:styleId="HL5HeadingLevel5Char">
    <w:name w:val="[HL5] Heading Level 5 Char"/>
    <w:basedOn w:val="BTBodyTextChar"/>
    <w:link w:val="HL5HeadingLevel5"/>
    <w:uiPriority w:val="4"/>
    <w:rsid w:val="002603E6"/>
    <w:rPr>
      <w:rFonts w:eastAsiaTheme="majorEastAsia" w:cstheme="majorBidi"/>
      <w:i/>
    </w:rPr>
  </w:style>
  <w:style w:type="paragraph" w:customStyle="1" w:styleId="HL7HeadingLevel7">
    <w:name w:val="[HL7] Heading Level 7"/>
    <w:basedOn w:val="Heading7"/>
    <w:next w:val="P1-N1Paragraph1-Number1"/>
    <w:link w:val="HL7HeadingLevel7Char"/>
    <w:uiPriority w:val="4"/>
    <w:semiHidden/>
    <w:rsid w:val="00B9740F"/>
    <w:pPr>
      <w:numPr>
        <w:ilvl w:val="6"/>
        <w:numId w:val="2"/>
      </w:numPr>
    </w:pPr>
  </w:style>
  <w:style w:type="character" w:customStyle="1" w:styleId="HL6HeadingLevel6Char">
    <w:name w:val="[HL6] Heading Level 6 Char"/>
    <w:basedOn w:val="BTBodyTextChar"/>
    <w:link w:val="HL6HeadingLevel6"/>
    <w:uiPriority w:val="4"/>
    <w:semiHidden/>
    <w:rsid w:val="00C74121"/>
    <w:rPr>
      <w:rFonts w:eastAsiaTheme="majorEastAsia" w:cstheme="majorBidi"/>
      <w:u w:val="single"/>
    </w:rPr>
  </w:style>
  <w:style w:type="paragraph" w:customStyle="1" w:styleId="HL8HeadingLevel8">
    <w:name w:val="[HL8] Heading Level 8"/>
    <w:basedOn w:val="Heading8"/>
    <w:next w:val="P1-N1Paragraph1-Number1"/>
    <w:link w:val="HL8HeadingLevel8Char"/>
    <w:uiPriority w:val="4"/>
    <w:semiHidden/>
    <w:rsid w:val="00B9740F"/>
    <w:pPr>
      <w:numPr>
        <w:ilvl w:val="7"/>
        <w:numId w:val="2"/>
      </w:numPr>
    </w:pPr>
  </w:style>
  <w:style w:type="character" w:customStyle="1" w:styleId="HL7HeadingLevel7Char">
    <w:name w:val="[HL7] Heading Level 7 Char"/>
    <w:basedOn w:val="BTBodyTextChar"/>
    <w:link w:val="HL7HeadingLevel7"/>
    <w:uiPriority w:val="4"/>
    <w:semiHidden/>
    <w:rsid w:val="00C74121"/>
    <w:rPr>
      <w:rFonts w:eastAsiaTheme="majorEastAsia" w:cstheme="majorBidi"/>
      <w:i/>
      <w:iCs/>
    </w:rPr>
  </w:style>
  <w:style w:type="paragraph" w:customStyle="1" w:styleId="HL9HeadingLevel9">
    <w:name w:val="[HL9] Heading Level 9"/>
    <w:basedOn w:val="Heading9"/>
    <w:next w:val="P1-N1Paragraph1-Number1"/>
    <w:link w:val="HL9HeadingLevel9Char"/>
    <w:uiPriority w:val="4"/>
    <w:semiHidden/>
    <w:rsid w:val="00B9740F"/>
    <w:pPr>
      <w:numPr>
        <w:ilvl w:val="8"/>
        <w:numId w:val="2"/>
      </w:numPr>
    </w:pPr>
  </w:style>
  <w:style w:type="character" w:customStyle="1" w:styleId="HL8HeadingLevel8Char">
    <w:name w:val="[HL8] Heading Level 8 Char"/>
    <w:basedOn w:val="BTBodyTextChar"/>
    <w:link w:val="HL8HeadingLevel8"/>
    <w:uiPriority w:val="4"/>
    <w:semiHidden/>
    <w:rsid w:val="00C74121"/>
    <w:rPr>
      <w:rFonts w:eastAsiaTheme="majorEastAsia" w:cstheme="majorBidi"/>
      <w:szCs w:val="21"/>
      <w:u w:val="single"/>
    </w:rPr>
  </w:style>
  <w:style w:type="paragraph" w:customStyle="1" w:styleId="SHSectionHeading">
    <w:name w:val="[SH] Section Heading"/>
    <w:basedOn w:val="Heading1"/>
    <w:next w:val="BTBodyText"/>
    <w:link w:val="SHSectionHeadingChar"/>
    <w:uiPriority w:val="12"/>
    <w:qFormat/>
    <w:rsid w:val="002F433F"/>
    <w:pPr>
      <w:spacing w:before="240" w:after="0"/>
      <w:jc w:val="center"/>
    </w:pPr>
    <w:rPr>
      <w:sz w:val="24"/>
    </w:rPr>
  </w:style>
  <w:style w:type="character" w:customStyle="1" w:styleId="HL9HeadingLevel9Char">
    <w:name w:val="[HL9] Heading Level 9 Char"/>
    <w:basedOn w:val="BTBodyTextChar"/>
    <w:link w:val="HL9HeadingLevel9"/>
    <w:uiPriority w:val="4"/>
    <w:semiHidden/>
    <w:rsid w:val="00C74121"/>
    <w:rPr>
      <w:rFonts w:eastAsiaTheme="majorEastAsia" w:cstheme="majorBidi"/>
      <w:i/>
      <w:iCs/>
      <w:szCs w:val="21"/>
    </w:rPr>
  </w:style>
  <w:style w:type="paragraph" w:styleId="TOCHeading">
    <w:name w:val="TOC Heading"/>
    <w:basedOn w:val="Normal"/>
    <w:next w:val="Normal"/>
    <w:uiPriority w:val="39"/>
    <w:unhideWhenUsed/>
    <w:rsid w:val="00AC4A0D"/>
    <w:pPr>
      <w:spacing w:after="0" w:line="240" w:lineRule="auto"/>
      <w:jc w:val="center"/>
    </w:pPr>
    <w:rPr>
      <w:b/>
      <w:caps/>
      <w:lang w:val="en-US"/>
    </w:rPr>
  </w:style>
  <w:style w:type="character" w:customStyle="1" w:styleId="SHSectionHeadingChar">
    <w:name w:val="[SH] Section Heading Char"/>
    <w:basedOn w:val="Heading1Char"/>
    <w:link w:val="SHSectionHeading"/>
    <w:uiPriority w:val="12"/>
    <w:rsid w:val="002F433F"/>
    <w:rPr>
      <w:rFonts w:eastAsiaTheme="majorEastAsia" w:cstheme="majorBidi"/>
      <w:b/>
      <w:caps/>
      <w:sz w:val="28"/>
      <w:szCs w:val="32"/>
    </w:rPr>
  </w:style>
  <w:style w:type="paragraph" w:styleId="TOC1">
    <w:name w:val="toc 1"/>
    <w:basedOn w:val="Normal"/>
    <w:next w:val="Normal"/>
    <w:autoRedefine/>
    <w:uiPriority w:val="39"/>
    <w:unhideWhenUsed/>
    <w:rsid w:val="00A915B3"/>
    <w:pPr>
      <w:tabs>
        <w:tab w:val="left" w:pos="851"/>
        <w:tab w:val="right" w:leader="dot" w:pos="9060"/>
      </w:tabs>
      <w:spacing w:before="180" w:after="100" w:line="240" w:lineRule="auto"/>
    </w:pPr>
    <w:rPr>
      <w:b/>
      <w:caps/>
    </w:rPr>
  </w:style>
  <w:style w:type="paragraph" w:styleId="TOC2">
    <w:name w:val="toc 2"/>
    <w:basedOn w:val="Normal"/>
    <w:next w:val="Normal"/>
    <w:autoRedefine/>
    <w:uiPriority w:val="39"/>
    <w:unhideWhenUsed/>
    <w:rsid w:val="00380795"/>
    <w:pPr>
      <w:tabs>
        <w:tab w:val="left" w:pos="1276"/>
        <w:tab w:val="right" w:leader="dot" w:pos="9060"/>
      </w:tabs>
      <w:spacing w:before="120" w:after="100" w:line="240" w:lineRule="auto"/>
      <w:ind w:left="1276" w:hanging="851"/>
    </w:pPr>
    <w:rPr>
      <w:b/>
      <w:smallCaps/>
    </w:rPr>
  </w:style>
  <w:style w:type="paragraph" w:styleId="TOC3">
    <w:name w:val="toc 3"/>
    <w:basedOn w:val="Normal"/>
    <w:next w:val="Normal"/>
    <w:autoRedefine/>
    <w:uiPriority w:val="39"/>
    <w:unhideWhenUsed/>
    <w:rsid w:val="00380795"/>
    <w:pPr>
      <w:tabs>
        <w:tab w:val="left" w:pos="1701"/>
        <w:tab w:val="right" w:leader="dot" w:pos="9060"/>
      </w:tabs>
      <w:spacing w:before="120" w:after="100" w:line="240" w:lineRule="auto"/>
      <w:ind w:left="1702" w:hanging="851"/>
    </w:pPr>
    <w:rPr>
      <w:b/>
    </w:rPr>
  </w:style>
  <w:style w:type="character" w:styleId="Hyperlink">
    <w:name w:val="Hyperlink"/>
    <w:basedOn w:val="DefaultParagraphFont"/>
    <w:uiPriority w:val="99"/>
    <w:unhideWhenUsed/>
    <w:rsid w:val="00D47F18"/>
    <w:rPr>
      <w:color w:val="0563C1" w:themeColor="hyperlink"/>
      <w:u w:val="single"/>
    </w:rPr>
  </w:style>
  <w:style w:type="paragraph" w:styleId="TOC4">
    <w:name w:val="toc 4"/>
    <w:basedOn w:val="Normal"/>
    <w:next w:val="Normal"/>
    <w:autoRedefine/>
    <w:uiPriority w:val="39"/>
    <w:unhideWhenUsed/>
    <w:rsid w:val="00380795"/>
    <w:pPr>
      <w:tabs>
        <w:tab w:val="left" w:pos="2127"/>
        <w:tab w:val="right" w:leader="dot" w:pos="9060"/>
      </w:tabs>
      <w:spacing w:before="120" w:after="100" w:line="240" w:lineRule="auto"/>
      <w:ind w:left="2127" w:hanging="851"/>
    </w:pPr>
    <w:rPr>
      <w:u w:val="single"/>
    </w:rPr>
  </w:style>
  <w:style w:type="paragraph" w:styleId="TOC5">
    <w:name w:val="toc 5"/>
    <w:basedOn w:val="Normal"/>
    <w:next w:val="Normal"/>
    <w:autoRedefine/>
    <w:uiPriority w:val="39"/>
    <w:unhideWhenUsed/>
    <w:rsid w:val="00380795"/>
    <w:pPr>
      <w:tabs>
        <w:tab w:val="left" w:pos="2552"/>
        <w:tab w:val="right" w:leader="dot" w:pos="9060"/>
      </w:tabs>
      <w:spacing w:before="120" w:after="100" w:line="240" w:lineRule="auto"/>
      <w:ind w:left="2552" w:hanging="851"/>
    </w:pPr>
    <w:rPr>
      <w:i/>
    </w:rPr>
  </w:style>
  <w:style w:type="paragraph" w:styleId="TOC6">
    <w:name w:val="toc 6"/>
    <w:basedOn w:val="Normal"/>
    <w:next w:val="Normal"/>
    <w:autoRedefine/>
    <w:uiPriority w:val="39"/>
    <w:unhideWhenUsed/>
    <w:rsid w:val="00380795"/>
    <w:pPr>
      <w:tabs>
        <w:tab w:val="left" w:pos="2977"/>
        <w:tab w:val="right" w:leader="dot" w:pos="9060"/>
      </w:tabs>
      <w:spacing w:before="120" w:after="100" w:line="240" w:lineRule="auto"/>
      <w:ind w:left="2977" w:hanging="851"/>
    </w:pPr>
  </w:style>
  <w:style w:type="paragraph" w:styleId="TOC7">
    <w:name w:val="toc 7"/>
    <w:basedOn w:val="Normal"/>
    <w:next w:val="Normal"/>
    <w:autoRedefine/>
    <w:uiPriority w:val="39"/>
    <w:unhideWhenUsed/>
    <w:rsid w:val="00380795"/>
    <w:pPr>
      <w:spacing w:before="120" w:after="100" w:line="240" w:lineRule="auto"/>
      <w:ind w:left="3403" w:hanging="851"/>
    </w:pPr>
  </w:style>
  <w:style w:type="paragraph" w:styleId="TOC8">
    <w:name w:val="toc 8"/>
    <w:basedOn w:val="Normal"/>
    <w:next w:val="Normal"/>
    <w:autoRedefine/>
    <w:uiPriority w:val="39"/>
    <w:unhideWhenUsed/>
    <w:rsid w:val="00380795"/>
    <w:pPr>
      <w:tabs>
        <w:tab w:val="left" w:pos="1134"/>
        <w:tab w:val="right" w:leader="dot" w:pos="9060"/>
      </w:tabs>
      <w:spacing w:before="120" w:after="100" w:line="240" w:lineRule="auto"/>
      <w:ind w:left="1134" w:hanging="1134"/>
    </w:pPr>
  </w:style>
  <w:style w:type="paragraph" w:styleId="TOC9">
    <w:name w:val="toc 9"/>
    <w:basedOn w:val="Normal"/>
    <w:next w:val="Normal"/>
    <w:autoRedefine/>
    <w:uiPriority w:val="39"/>
    <w:unhideWhenUsed/>
    <w:rsid w:val="00380795"/>
    <w:pPr>
      <w:tabs>
        <w:tab w:val="left" w:pos="1134"/>
        <w:tab w:val="right" w:leader="dot" w:pos="9060"/>
      </w:tabs>
      <w:spacing w:before="120" w:after="100" w:line="240" w:lineRule="auto"/>
      <w:ind w:left="1134" w:hanging="1134"/>
    </w:pPr>
  </w:style>
  <w:style w:type="paragraph" w:customStyle="1" w:styleId="FCFigureCaption">
    <w:name w:val="[FC] Figure Caption"/>
    <w:basedOn w:val="BTBodyText"/>
    <w:next w:val="BTBodyText"/>
    <w:link w:val="FCFigureCaptionChar"/>
    <w:uiPriority w:val="10"/>
    <w:qFormat/>
    <w:rsid w:val="00EE47D1"/>
    <w:pPr>
      <w:keepNext/>
      <w:numPr>
        <w:numId w:val="4"/>
      </w:numPr>
      <w:spacing w:before="240" w:after="0"/>
      <w:jc w:val="center"/>
      <w:outlineLvl w:val="7"/>
    </w:pPr>
    <w:rPr>
      <w:b/>
    </w:rPr>
  </w:style>
  <w:style w:type="character" w:customStyle="1" w:styleId="FCFigureCaptionChar">
    <w:name w:val="[FC] Figure Caption Char"/>
    <w:basedOn w:val="BTBodyTextChar"/>
    <w:link w:val="FCFigureCaption"/>
    <w:uiPriority w:val="10"/>
    <w:rsid w:val="00EE47D1"/>
    <w:rPr>
      <w:b/>
    </w:rPr>
  </w:style>
  <w:style w:type="paragraph" w:customStyle="1" w:styleId="TCTableCaption">
    <w:name w:val="[TC] Table Caption"/>
    <w:basedOn w:val="FCFigureCaption"/>
    <w:next w:val="BTBodyText"/>
    <w:link w:val="TCTableCaptionChar"/>
    <w:uiPriority w:val="10"/>
    <w:qFormat/>
    <w:rsid w:val="00ED1747"/>
    <w:pPr>
      <w:numPr>
        <w:numId w:val="5"/>
      </w:numPr>
      <w:outlineLvl w:val="8"/>
    </w:pPr>
  </w:style>
  <w:style w:type="table" w:styleId="TableGrid">
    <w:name w:val="Table Grid"/>
    <w:basedOn w:val="TableNormal"/>
    <w:uiPriority w:val="39"/>
    <w:rsid w:val="006F1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CTableCaptionChar">
    <w:name w:val="[TC] Table Caption Char"/>
    <w:basedOn w:val="BTBodyTextChar"/>
    <w:link w:val="TCTableCaption"/>
    <w:uiPriority w:val="10"/>
    <w:rsid w:val="00093175"/>
    <w:rPr>
      <w:b/>
    </w:rPr>
  </w:style>
  <w:style w:type="paragraph" w:customStyle="1" w:styleId="TTTableText">
    <w:name w:val="[TT] Table Text"/>
    <w:basedOn w:val="BTBodyText"/>
    <w:link w:val="TTTableTextChar"/>
    <w:uiPriority w:val="19"/>
    <w:qFormat/>
    <w:rsid w:val="008E0031"/>
    <w:pPr>
      <w:spacing w:before="40" w:after="40" w:line="240" w:lineRule="auto"/>
      <w:jc w:val="left"/>
    </w:pPr>
  </w:style>
  <w:style w:type="paragraph" w:customStyle="1" w:styleId="THTableHeading">
    <w:name w:val="[TH] Table Heading"/>
    <w:basedOn w:val="TTTableText"/>
    <w:link w:val="THTableHeadingChar"/>
    <w:uiPriority w:val="19"/>
    <w:qFormat/>
    <w:rsid w:val="008E0031"/>
    <w:rPr>
      <w:b/>
    </w:rPr>
  </w:style>
  <w:style w:type="character" w:customStyle="1" w:styleId="TTTableTextChar">
    <w:name w:val="[TT] Table Text Char"/>
    <w:basedOn w:val="BTBodyTextChar"/>
    <w:link w:val="TTTableText"/>
    <w:uiPriority w:val="19"/>
    <w:rsid w:val="00093175"/>
  </w:style>
  <w:style w:type="paragraph" w:customStyle="1" w:styleId="AHL1AnnexHeadingLevel1">
    <w:name w:val="[AHL1] Annex Heading Level 1"/>
    <w:basedOn w:val="Heading1"/>
    <w:next w:val="P1-N1Paragraph1-Number1"/>
    <w:link w:val="AHL1AnnexHeadingLevel1Char"/>
    <w:uiPriority w:val="15"/>
    <w:qFormat/>
    <w:rsid w:val="006C1D90"/>
    <w:pPr>
      <w:numPr>
        <w:numId w:val="6"/>
      </w:numPr>
    </w:pPr>
    <w:rPr>
      <w:caps w:val="0"/>
      <w:sz w:val="24"/>
    </w:rPr>
  </w:style>
  <w:style w:type="character" w:customStyle="1" w:styleId="THTableHeadingChar">
    <w:name w:val="[TH] Table Heading Char"/>
    <w:basedOn w:val="TTTableTextChar"/>
    <w:link w:val="THTableHeading"/>
    <w:uiPriority w:val="19"/>
    <w:rsid w:val="00093175"/>
    <w:rPr>
      <w:b/>
    </w:rPr>
  </w:style>
  <w:style w:type="paragraph" w:customStyle="1" w:styleId="AHL2AnnexHeadingLevel2">
    <w:name w:val="[AHL2] Annex Heading Level 2"/>
    <w:basedOn w:val="Heading2"/>
    <w:next w:val="P1-N1Paragraph1-Number1"/>
    <w:link w:val="AHL2AnnexHeadingLevel2Char"/>
    <w:uiPriority w:val="15"/>
    <w:qFormat/>
    <w:rsid w:val="006C1D90"/>
    <w:pPr>
      <w:numPr>
        <w:ilvl w:val="1"/>
        <w:numId w:val="6"/>
      </w:numPr>
    </w:pPr>
    <w:rPr>
      <w:sz w:val="24"/>
    </w:rPr>
  </w:style>
  <w:style w:type="character" w:customStyle="1" w:styleId="AHL1AnnexHeadingLevel1Char">
    <w:name w:val="[AHL1] Annex Heading Level 1 Char"/>
    <w:basedOn w:val="BTBodyTextChar"/>
    <w:link w:val="AHL1AnnexHeadingLevel1"/>
    <w:uiPriority w:val="15"/>
    <w:rsid w:val="00D456CA"/>
    <w:rPr>
      <w:rFonts w:eastAsiaTheme="majorEastAsia" w:cstheme="majorBidi"/>
      <w:b/>
      <w:szCs w:val="32"/>
    </w:rPr>
  </w:style>
  <w:style w:type="paragraph" w:customStyle="1" w:styleId="AHL3AnnexHeadingLevel3">
    <w:name w:val="[AHL3] Annex Heading Level 3"/>
    <w:basedOn w:val="Heading3"/>
    <w:next w:val="P1-N1Paragraph1-Number1"/>
    <w:link w:val="AHL3AnnexHeadingLevel3Char"/>
    <w:uiPriority w:val="15"/>
    <w:qFormat/>
    <w:rsid w:val="0093054A"/>
    <w:pPr>
      <w:numPr>
        <w:ilvl w:val="2"/>
        <w:numId w:val="6"/>
      </w:numPr>
    </w:pPr>
  </w:style>
  <w:style w:type="character" w:customStyle="1" w:styleId="AHL2AnnexHeadingLevel2Char">
    <w:name w:val="[AHL2] Annex Heading Level 2 Char"/>
    <w:basedOn w:val="BTBodyTextChar"/>
    <w:link w:val="AHL2AnnexHeadingLevel2"/>
    <w:uiPriority w:val="15"/>
    <w:rsid w:val="00D456CA"/>
    <w:rPr>
      <w:rFonts w:eastAsiaTheme="majorEastAsia" w:cstheme="majorBidi"/>
      <w:b/>
      <w:smallCaps/>
      <w:szCs w:val="26"/>
    </w:rPr>
  </w:style>
  <w:style w:type="paragraph" w:customStyle="1" w:styleId="AHL4AnnexHeadingLevel4">
    <w:name w:val="[AHL4] Annex Heading Level 4"/>
    <w:basedOn w:val="Heading4"/>
    <w:next w:val="P1-N1Paragraph1-Number1"/>
    <w:link w:val="AHL4AnnexHeadingLevel4Char"/>
    <w:uiPriority w:val="15"/>
    <w:semiHidden/>
    <w:rsid w:val="0093054A"/>
    <w:pPr>
      <w:numPr>
        <w:ilvl w:val="3"/>
        <w:numId w:val="6"/>
      </w:numPr>
    </w:pPr>
  </w:style>
  <w:style w:type="character" w:customStyle="1" w:styleId="AHL3AnnexHeadingLevel3Char">
    <w:name w:val="[AHL3] Annex Heading Level 3 Char"/>
    <w:basedOn w:val="BTBodyTextChar"/>
    <w:link w:val="AHL3AnnexHeadingLevel3"/>
    <w:uiPriority w:val="15"/>
    <w:rsid w:val="00D456CA"/>
    <w:rPr>
      <w:rFonts w:eastAsiaTheme="majorEastAsia" w:cstheme="majorBidi"/>
      <w:b/>
    </w:rPr>
  </w:style>
  <w:style w:type="paragraph" w:customStyle="1" w:styleId="AHL5AnnexHeadingLevel5">
    <w:name w:val="[AHL5] Annex Heading Level 5"/>
    <w:basedOn w:val="Heading5"/>
    <w:next w:val="P1-N1Paragraph1-Number1"/>
    <w:link w:val="AHL5AnnexHeadingLevel5Char"/>
    <w:uiPriority w:val="15"/>
    <w:semiHidden/>
    <w:rsid w:val="006C1D90"/>
    <w:pPr>
      <w:numPr>
        <w:ilvl w:val="4"/>
        <w:numId w:val="6"/>
      </w:numPr>
    </w:pPr>
    <w:rPr>
      <w:b/>
      <w:i w:val="0"/>
    </w:rPr>
  </w:style>
  <w:style w:type="character" w:customStyle="1" w:styleId="AHL4AnnexHeadingLevel4Char">
    <w:name w:val="[AHL4] Annex Heading Level 4 Char"/>
    <w:basedOn w:val="BTBodyTextChar"/>
    <w:link w:val="AHL4AnnexHeadingLevel4"/>
    <w:uiPriority w:val="15"/>
    <w:semiHidden/>
    <w:rsid w:val="00D456CA"/>
    <w:rPr>
      <w:rFonts w:eastAsiaTheme="majorEastAsia" w:cstheme="majorBidi"/>
      <w:iCs/>
      <w:u w:val="single"/>
    </w:rPr>
  </w:style>
  <w:style w:type="paragraph" w:customStyle="1" w:styleId="AHL6AnnexHeadingLevel6">
    <w:name w:val="[AHL6] Annex Heading Level 6"/>
    <w:basedOn w:val="Heading6"/>
    <w:next w:val="P1-N1Paragraph1-Number1"/>
    <w:link w:val="AHL6AnnexHeadingLevel6Char"/>
    <w:uiPriority w:val="15"/>
    <w:semiHidden/>
    <w:rsid w:val="0093054A"/>
    <w:pPr>
      <w:numPr>
        <w:ilvl w:val="5"/>
        <w:numId w:val="6"/>
      </w:numPr>
    </w:pPr>
  </w:style>
  <w:style w:type="character" w:customStyle="1" w:styleId="AHL5AnnexHeadingLevel5Char">
    <w:name w:val="[AHL5] Annex Heading Level 5 Char"/>
    <w:basedOn w:val="BTBodyTextChar"/>
    <w:link w:val="AHL5AnnexHeadingLevel5"/>
    <w:uiPriority w:val="15"/>
    <w:semiHidden/>
    <w:rsid w:val="00D456CA"/>
    <w:rPr>
      <w:rFonts w:eastAsiaTheme="majorEastAsia" w:cstheme="majorBidi"/>
      <w:b/>
    </w:rPr>
  </w:style>
  <w:style w:type="paragraph" w:customStyle="1" w:styleId="AHL7AnnexHeadingLevel7">
    <w:name w:val="[AHL7] Annex Heading Level 7"/>
    <w:basedOn w:val="Heading7"/>
    <w:next w:val="P1-N1Paragraph1-Number1"/>
    <w:link w:val="AHL7AnnexHeadingLevel7Char"/>
    <w:uiPriority w:val="15"/>
    <w:semiHidden/>
    <w:rsid w:val="0093054A"/>
    <w:pPr>
      <w:numPr>
        <w:ilvl w:val="6"/>
        <w:numId w:val="6"/>
      </w:numPr>
    </w:pPr>
  </w:style>
  <w:style w:type="character" w:customStyle="1" w:styleId="AHL6AnnexHeadingLevel6Char">
    <w:name w:val="[AHL6] Annex Heading Level 6 Char"/>
    <w:basedOn w:val="BTBodyTextChar"/>
    <w:link w:val="AHL6AnnexHeadingLevel6"/>
    <w:uiPriority w:val="15"/>
    <w:semiHidden/>
    <w:rsid w:val="00D456CA"/>
    <w:rPr>
      <w:rFonts w:eastAsiaTheme="majorEastAsia" w:cstheme="majorBidi"/>
      <w:u w:val="single"/>
    </w:rPr>
  </w:style>
  <w:style w:type="paragraph" w:customStyle="1" w:styleId="AHL8AnnexHeadingLevel8">
    <w:name w:val="[AHL8] Annex Heading Level 8"/>
    <w:basedOn w:val="Heading8"/>
    <w:next w:val="P1-N1Paragraph1-Number1"/>
    <w:link w:val="AHL8AnnexHeadingLevel8Char"/>
    <w:uiPriority w:val="15"/>
    <w:semiHidden/>
    <w:rsid w:val="0093054A"/>
    <w:pPr>
      <w:numPr>
        <w:ilvl w:val="7"/>
        <w:numId w:val="6"/>
      </w:numPr>
    </w:pPr>
  </w:style>
  <w:style w:type="character" w:customStyle="1" w:styleId="AHL7AnnexHeadingLevel7Char">
    <w:name w:val="[AHL7] Annex Heading Level 7 Char"/>
    <w:basedOn w:val="BTBodyTextChar"/>
    <w:link w:val="AHL7AnnexHeadingLevel7"/>
    <w:uiPriority w:val="15"/>
    <w:semiHidden/>
    <w:rsid w:val="00D456CA"/>
    <w:rPr>
      <w:rFonts w:eastAsiaTheme="majorEastAsia" w:cstheme="majorBidi"/>
      <w:i/>
      <w:iCs/>
    </w:rPr>
  </w:style>
  <w:style w:type="paragraph" w:customStyle="1" w:styleId="AHL9AnnexHeadingLevel9">
    <w:name w:val="[AHL9] Annex Heading Level 9"/>
    <w:basedOn w:val="Heading9"/>
    <w:next w:val="P1-N1Paragraph1-Number1"/>
    <w:link w:val="AHL9AnnexHeadingLevel9Char"/>
    <w:uiPriority w:val="15"/>
    <w:semiHidden/>
    <w:rsid w:val="0093054A"/>
    <w:pPr>
      <w:numPr>
        <w:ilvl w:val="8"/>
        <w:numId w:val="6"/>
      </w:numPr>
    </w:pPr>
  </w:style>
  <w:style w:type="character" w:customStyle="1" w:styleId="AHL8AnnexHeadingLevel8Char">
    <w:name w:val="[AHL8] Annex Heading Level 8 Char"/>
    <w:basedOn w:val="BTBodyTextChar"/>
    <w:link w:val="AHL8AnnexHeadingLevel8"/>
    <w:uiPriority w:val="15"/>
    <w:semiHidden/>
    <w:rsid w:val="00D456CA"/>
    <w:rPr>
      <w:rFonts w:eastAsiaTheme="majorEastAsia" w:cstheme="majorBidi"/>
      <w:szCs w:val="21"/>
      <w:u w:val="single"/>
    </w:rPr>
  </w:style>
  <w:style w:type="paragraph" w:styleId="Header">
    <w:name w:val="header"/>
    <w:basedOn w:val="Normal"/>
    <w:link w:val="HeaderChar"/>
    <w:uiPriority w:val="99"/>
    <w:unhideWhenUsed/>
    <w:rsid w:val="00006269"/>
    <w:pPr>
      <w:tabs>
        <w:tab w:val="center" w:pos="4536"/>
        <w:tab w:val="right" w:pos="9072"/>
      </w:tabs>
      <w:spacing w:after="0" w:line="240" w:lineRule="auto"/>
    </w:pPr>
    <w:rPr>
      <w:sz w:val="22"/>
    </w:rPr>
  </w:style>
  <w:style w:type="character" w:customStyle="1" w:styleId="AHL9AnnexHeadingLevel9Char">
    <w:name w:val="[AHL9] Annex Heading Level 9 Char"/>
    <w:basedOn w:val="BTBodyTextChar"/>
    <w:link w:val="AHL9AnnexHeadingLevel9"/>
    <w:uiPriority w:val="15"/>
    <w:semiHidden/>
    <w:rsid w:val="00D456CA"/>
    <w:rPr>
      <w:rFonts w:eastAsiaTheme="majorEastAsia" w:cstheme="majorBidi"/>
      <w:i/>
      <w:iCs/>
      <w:szCs w:val="21"/>
    </w:rPr>
  </w:style>
  <w:style w:type="character" w:customStyle="1" w:styleId="HeaderChar">
    <w:name w:val="Header Char"/>
    <w:basedOn w:val="DefaultParagraphFont"/>
    <w:link w:val="Header"/>
    <w:uiPriority w:val="99"/>
    <w:rsid w:val="00006269"/>
    <w:rPr>
      <w:sz w:val="22"/>
    </w:rPr>
  </w:style>
  <w:style w:type="paragraph" w:styleId="Footer">
    <w:name w:val="footer"/>
    <w:basedOn w:val="Normal"/>
    <w:link w:val="FooterChar"/>
    <w:uiPriority w:val="99"/>
    <w:unhideWhenUsed/>
    <w:rsid w:val="00006269"/>
    <w:pPr>
      <w:tabs>
        <w:tab w:val="center" w:pos="4536"/>
        <w:tab w:val="right" w:pos="9072"/>
      </w:tabs>
      <w:spacing w:after="0" w:line="240" w:lineRule="auto"/>
    </w:pPr>
    <w:rPr>
      <w:sz w:val="22"/>
    </w:rPr>
  </w:style>
  <w:style w:type="character" w:customStyle="1" w:styleId="FooterChar">
    <w:name w:val="Footer Char"/>
    <w:basedOn w:val="DefaultParagraphFont"/>
    <w:link w:val="Footer"/>
    <w:uiPriority w:val="99"/>
    <w:rsid w:val="00006269"/>
    <w:rPr>
      <w:sz w:val="22"/>
    </w:rPr>
  </w:style>
  <w:style w:type="paragraph" w:styleId="FootnoteText">
    <w:name w:val="footnote text"/>
    <w:aliases w:val="fn,Footnote Text 2,Footnotes,ft,fn cafc,Footnote ak,Footnotes Char,Footnote ak Char,footnote citation,Footnotes Char Char,Footnote Text Char Char,fn Char Char,footnote text Char Char Char Ch,Ca,C,f,footnote text,Footnote Text Char1,Car,Cha"/>
    <w:basedOn w:val="Normal"/>
    <w:link w:val="FootnoteTextChar"/>
    <w:uiPriority w:val="5"/>
    <w:qFormat/>
    <w:rsid w:val="00EE47D1"/>
    <w:pPr>
      <w:spacing w:after="0" w:line="240" w:lineRule="auto"/>
    </w:pPr>
    <w:rPr>
      <w:sz w:val="18"/>
      <w:szCs w:val="20"/>
    </w:rPr>
  </w:style>
  <w:style w:type="character" w:customStyle="1" w:styleId="FootnoteTextChar">
    <w:name w:val="Footnote Text Char"/>
    <w:aliases w:val="fn Char,Footnote Text 2 Char,Footnotes Char1,ft Char,fn cafc Char,Footnote ak Char1,Footnotes Char Char1,Footnote ak Char Char,footnote citation Char,Footnotes Char Char Char,Footnote Text Char Char Char,fn Char Char Char,Ca Char"/>
    <w:basedOn w:val="DefaultParagraphFont"/>
    <w:link w:val="FootnoteText"/>
    <w:uiPriority w:val="5"/>
    <w:qFormat/>
    <w:rsid w:val="00EE47D1"/>
    <w:rPr>
      <w:sz w:val="18"/>
      <w:szCs w:val="20"/>
    </w:rPr>
  </w:style>
  <w:style w:type="character" w:styleId="FootnoteReference">
    <w:name w:val="footnote reference"/>
    <w:aliases w:val="A4 Footnote Reference,Ref,de nota al pie,註腳內容,de nota al pie + (Asian) MS Mincho,11 pt,Footnote Reference1,Ref1,de nota al pie1,Style 15,註?腳Ò®é»,11 p,註?腳內—e,-E Fußnotenzeichen,註????腳內—e,f?,註??腳內—e,11,16 Point,Superscript 6 Point"/>
    <w:basedOn w:val="DefaultParagraphFont"/>
    <w:link w:val="CharChar6CharCharCharCharCharChar"/>
    <w:uiPriority w:val="99"/>
    <w:qFormat/>
    <w:rsid w:val="00BD0E60"/>
    <w:rPr>
      <w:rFonts w:ascii="Calibri" w:hAnsi="Calibri"/>
      <w:vertAlign w:val="superscript"/>
    </w:rPr>
  </w:style>
  <w:style w:type="character" w:styleId="UnresolvedMention">
    <w:name w:val="Unresolved Mention"/>
    <w:basedOn w:val="DefaultParagraphFont"/>
    <w:uiPriority w:val="99"/>
    <w:semiHidden/>
    <w:unhideWhenUsed/>
    <w:rsid w:val="00030A32"/>
    <w:rPr>
      <w:color w:val="605E5C"/>
      <w:shd w:val="clear" w:color="auto" w:fill="E1DFDD"/>
    </w:rPr>
  </w:style>
  <w:style w:type="paragraph" w:customStyle="1" w:styleId="WTODTWTODisputeTitle">
    <w:name w:val="[WTODT] WTO Dispute Title"/>
    <w:basedOn w:val="BTBodyText"/>
    <w:link w:val="WTODTWTODisputeTitleChar"/>
    <w:uiPriority w:val="27"/>
    <w:rsid w:val="00DA5381"/>
    <w:pPr>
      <w:spacing w:line="240" w:lineRule="auto"/>
      <w:jc w:val="center"/>
    </w:pPr>
    <w:rPr>
      <w:b/>
      <w:bCs/>
      <w:smallCaps/>
      <w:sz w:val="40"/>
      <w:szCs w:val="40"/>
    </w:rPr>
  </w:style>
  <w:style w:type="paragraph" w:customStyle="1" w:styleId="DSNDSNumber">
    <w:name w:val="[DSN] DS Number"/>
    <w:basedOn w:val="BTBodyText"/>
    <w:link w:val="DSNDSNumberChar"/>
    <w:uiPriority w:val="27"/>
    <w:rsid w:val="00DA5381"/>
    <w:pPr>
      <w:spacing w:line="240" w:lineRule="auto"/>
      <w:jc w:val="center"/>
    </w:pPr>
  </w:style>
  <w:style w:type="character" w:customStyle="1" w:styleId="WTODTWTODisputeTitleChar">
    <w:name w:val="[WTODT] WTO Dispute Title Char"/>
    <w:basedOn w:val="BTBodyTextChar"/>
    <w:link w:val="WTODTWTODisputeTitle"/>
    <w:uiPriority w:val="27"/>
    <w:rsid w:val="0026128E"/>
    <w:rPr>
      <w:b/>
      <w:bCs/>
      <w:smallCaps/>
      <w:sz w:val="40"/>
      <w:szCs w:val="40"/>
    </w:rPr>
  </w:style>
  <w:style w:type="paragraph" w:customStyle="1" w:styleId="DTDocumentTitle">
    <w:name w:val="[DT] Document Title"/>
    <w:basedOn w:val="BTBodyText"/>
    <w:link w:val="DTDocumentTitleChar"/>
    <w:uiPriority w:val="27"/>
    <w:rsid w:val="00DA5381"/>
    <w:pPr>
      <w:spacing w:line="240" w:lineRule="auto"/>
      <w:jc w:val="center"/>
    </w:pPr>
    <w:rPr>
      <w:b/>
      <w:bCs/>
      <w:smallCaps/>
      <w:sz w:val="36"/>
      <w:szCs w:val="36"/>
    </w:rPr>
  </w:style>
  <w:style w:type="character" w:customStyle="1" w:styleId="DSNDSNumberChar">
    <w:name w:val="[DSN] DS Number Char"/>
    <w:basedOn w:val="BTBodyTextChar"/>
    <w:link w:val="DSNDSNumber"/>
    <w:uiPriority w:val="27"/>
    <w:rsid w:val="0026128E"/>
  </w:style>
  <w:style w:type="paragraph" w:customStyle="1" w:styleId="DDDocumentDate">
    <w:name w:val="[DD] Document Date"/>
    <w:basedOn w:val="BTBodyText"/>
    <w:link w:val="DDDocumentDateChar"/>
    <w:uiPriority w:val="27"/>
    <w:rsid w:val="00DA5381"/>
    <w:pPr>
      <w:spacing w:line="240" w:lineRule="auto"/>
      <w:jc w:val="center"/>
    </w:pPr>
    <w:rPr>
      <w:sz w:val="32"/>
      <w:szCs w:val="32"/>
    </w:rPr>
  </w:style>
  <w:style w:type="character" w:customStyle="1" w:styleId="DTDocumentTitleChar">
    <w:name w:val="[DT] Document Title Char"/>
    <w:basedOn w:val="BTBodyTextChar"/>
    <w:link w:val="DTDocumentTitle"/>
    <w:uiPriority w:val="27"/>
    <w:rsid w:val="0026128E"/>
    <w:rPr>
      <w:b/>
      <w:bCs/>
      <w:smallCaps/>
      <w:sz w:val="36"/>
      <w:szCs w:val="36"/>
    </w:rPr>
  </w:style>
  <w:style w:type="character" w:customStyle="1" w:styleId="DDDocumentDateChar">
    <w:name w:val="[DD] Document Date Char"/>
    <w:basedOn w:val="BTBodyTextChar"/>
    <w:link w:val="DDDocumentDate"/>
    <w:uiPriority w:val="27"/>
    <w:rsid w:val="0026128E"/>
    <w:rPr>
      <w:sz w:val="32"/>
      <w:szCs w:val="32"/>
    </w:rPr>
  </w:style>
  <w:style w:type="character" w:styleId="PlaceholderText">
    <w:name w:val="Placeholder Text"/>
    <w:basedOn w:val="DefaultParagraphFont"/>
    <w:uiPriority w:val="99"/>
    <w:semiHidden/>
    <w:rsid w:val="00D52A17"/>
    <w:rPr>
      <w:color w:val="808080"/>
    </w:rPr>
  </w:style>
  <w:style w:type="character" w:styleId="CommentReference">
    <w:name w:val="annotation reference"/>
    <w:basedOn w:val="DefaultParagraphFont"/>
    <w:uiPriority w:val="99"/>
    <w:semiHidden/>
    <w:unhideWhenUsed/>
    <w:rsid w:val="00BC2132"/>
    <w:rPr>
      <w:sz w:val="16"/>
      <w:szCs w:val="16"/>
    </w:rPr>
  </w:style>
  <w:style w:type="paragraph" w:styleId="CommentText">
    <w:name w:val="annotation text"/>
    <w:basedOn w:val="Normal"/>
    <w:link w:val="CommentTextChar"/>
    <w:uiPriority w:val="99"/>
    <w:unhideWhenUsed/>
    <w:rsid w:val="00BC2132"/>
    <w:pPr>
      <w:spacing w:line="240" w:lineRule="auto"/>
    </w:pPr>
    <w:rPr>
      <w:sz w:val="20"/>
      <w:szCs w:val="20"/>
    </w:rPr>
  </w:style>
  <w:style w:type="character" w:customStyle="1" w:styleId="CommentTextChar">
    <w:name w:val="Comment Text Char"/>
    <w:basedOn w:val="DefaultParagraphFont"/>
    <w:link w:val="CommentText"/>
    <w:uiPriority w:val="99"/>
    <w:rsid w:val="00BC2132"/>
    <w:rPr>
      <w:sz w:val="20"/>
      <w:szCs w:val="20"/>
    </w:rPr>
  </w:style>
  <w:style w:type="paragraph" w:styleId="CommentSubject">
    <w:name w:val="annotation subject"/>
    <w:basedOn w:val="CommentText"/>
    <w:next w:val="CommentText"/>
    <w:link w:val="CommentSubjectChar"/>
    <w:uiPriority w:val="99"/>
    <w:semiHidden/>
    <w:unhideWhenUsed/>
    <w:rsid w:val="00BC2132"/>
    <w:rPr>
      <w:b/>
      <w:bCs/>
    </w:rPr>
  </w:style>
  <w:style w:type="character" w:customStyle="1" w:styleId="CommentSubjectChar">
    <w:name w:val="Comment Subject Char"/>
    <w:basedOn w:val="CommentTextChar"/>
    <w:link w:val="CommentSubject"/>
    <w:uiPriority w:val="99"/>
    <w:semiHidden/>
    <w:rsid w:val="00BC2132"/>
    <w:rPr>
      <w:b/>
      <w:bCs/>
      <w:sz w:val="20"/>
      <w:szCs w:val="20"/>
    </w:rPr>
  </w:style>
  <w:style w:type="character" w:customStyle="1" w:styleId="ui-provider">
    <w:name w:val="ui-provider"/>
    <w:basedOn w:val="DefaultParagraphFont"/>
    <w:rsid w:val="00EC2D5B"/>
  </w:style>
  <w:style w:type="numbering" w:customStyle="1" w:styleId="CurrentList1">
    <w:name w:val="Current List1"/>
    <w:uiPriority w:val="99"/>
    <w:rsid w:val="00F8196C"/>
    <w:pPr>
      <w:numPr>
        <w:numId w:val="24"/>
      </w:numPr>
    </w:pPr>
  </w:style>
  <w:style w:type="paragraph" w:styleId="NormalWeb">
    <w:name w:val="Normal (Web)"/>
    <w:basedOn w:val="Normal"/>
    <w:uiPriority w:val="99"/>
    <w:semiHidden/>
    <w:unhideWhenUsed/>
    <w:rsid w:val="00FF6B5A"/>
    <w:pPr>
      <w:spacing w:before="100" w:beforeAutospacing="1" w:after="100" w:afterAutospacing="1" w:line="240" w:lineRule="auto"/>
      <w:jc w:val="left"/>
    </w:pPr>
    <w:rPr>
      <w:rFonts w:ascii="Times New Roman" w:eastAsia="Times New Roman" w:hAnsi="Times New Roman" w:cs="Times New Roman"/>
      <w:lang w:eastAsia="en-AU"/>
    </w:rPr>
  </w:style>
  <w:style w:type="paragraph" w:styleId="Revision">
    <w:name w:val="Revision"/>
    <w:hidden/>
    <w:uiPriority w:val="99"/>
    <w:semiHidden/>
    <w:rsid w:val="00695257"/>
    <w:pPr>
      <w:spacing w:after="0" w:line="240" w:lineRule="auto"/>
      <w:jc w:val="left"/>
    </w:pPr>
  </w:style>
  <w:style w:type="character" w:styleId="Mention">
    <w:name w:val="Mention"/>
    <w:basedOn w:val="DefaultParagraphFont"/>
    <w:uiPriority w:val="99"/>
    <w:unhideWhenUsed/>
    <w:rsid w:val="00336853"/>
    <w:rPr>
      <w:color w:val="2B579A"/>
      <w:shd w:val="clear" w:color="auto" w:fill="E1DFDD"/>
    </w:rPr>
  </w:style>
  <w:style w:type="character" w:styleId="FollowedHyperlink">
    <w:name w:val="FollowedHyperlink"/>
    <w:basedOn w:val="DefaultParagraphFont"/>
    <w:uiPriority w:val="99"/>
    <w:semiHidden/>
    <w:unhideWhenUsed/>
    <w:rsid w:val="001D6DB3"/>
    <w:rPr>
      <w:color w:val="954F72" w:themeColor="followedHyperlink"/>
      <w:u w:val="single"/>
    </w:rPr>
  </w:style>
  <w:style w:type="paragraph" w:customStyle="1" w:styleId="CharChar6CharCharCharCharCharChar">
    <w:name w:val="Char Char6 Char Char Char Char Char Char"/>
    <w:aliases w:val="Char6 Char Char Char Char Char Char Char"/>
    <w:basedOn w:val="Normal"/>
    <w:link w:val="FootnoteReference"/>
    <w:uiPriority w:val="99"/>
    <w:qFormat/>
    <w:rsid w:val="00EA3812"/>
    <w:pPr>
      <w:spacing w:after="240"/>
      <w:jc w:val="center"/>
    </w:pPr>
    <w:rPr>
      <w:vertAlign w:val="superscript"/>
    </w:rPr>
  </w:style>
  <w:style w:type="paragraph" w:customStyle="1" w:styleId="Default">
    <w:name w:val="Default"/>
    <w:rsid w:val="006437A9"/>
    <w:pPr>
      <w:autoSpaceDE w:val="0"/>
      <w:autoSpaceDN w:val="0"/>
      <w:adjustRightInd w:val="0"/>
      <w:spacing w:after="0" w:line="240" w:lineRule="auto"/>
      <w:jc w:val="left"/>
    </w:pPr>
    <w:rPr>
      <w:rFonts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911876">
      <w:bodyDiv w:val="1"/>
      <w:marLeft w:val="0"/>
      <w:marRight w:val="0"/>
      <w:marTop w:val="0"/>
      <w:marBottom w:val="0"/>
      <w:divBdr>
        <w:top w:val="none" w:sz="0" w:space="0" w:color="auto"/>
        <w:left w:val="none" w:sz="0" w:space="0" w:color="auto"/>
        <w:bottom w:val="none" w:sz="0" w:space="0" w:color="auto"/>
        <w:right w:val="none" w:sz="0" w:space="0" w:color="auto"/>
      </w:divBdr>
    </w:div>
    <w:div w:id="452333274">
      <w:bodyDiv w:val="1"/>
      <w:marLeft w:val="0"/>
      <w:marRight w:val="0"/>
      <w:marTop w:val="0"/>
      <w:marBottom w:val="0"/>
      <w:divBdr>
        <w:top w:val="none" w:sz="0" w:space="0" w:color="auto"/>
        <w:left w:val="none" w:sz="0" w:space="0" w:color="auto"/>
        <w:bottom w:val="none" w:sz="0" w:space="0" w:color="auto"/>
        <w:right w:val="none" w:sz="0" w:space="0" w:color="auto"/>
      </w:divBdr>
    </w:div>
    <w:div w:id="635647813">
      <w:bodyDiv w:val="1"/>
      <w:marLeft w:val="0"/>
      <w:marRight w:val="0"/>
      <w:marTop w:val="0"/>
      <w:marBottom w:val="0"/>
      <w:divBdr>
        <w:top w:val="none" w:sz="0" w:space="0" w:color="auto"/>
        <w:left w:val="none" w:sz="0" w:space="0" w:color="auto"/>
        <w:bottom w:val="none" w:sz="0" w:space="0" w:color="auto"/>
        <w:right w:val="none" w:sz="0" w:space="0" w:color="auto"/>
      </w:divBdr>
    </w:div>
    <w:div w:id="682048124">
      <w:bodyDiv w:val="1"/>
      <w:marLeft w:val="0"/>
      <w:marRight w:val="0"/>
      <w:marTop w:val="0"/>
      <w:marBottom w:val="0"/>
      <w:divBdr>
        <w:top w:val="none" w:sz="0" w:space="0" w:color="auto"/>
        <w:left w:val="none" w:sz="0" w:space="0" w:color="auto"/>
        <w:bottom w:val="none" w:sz="0" w:space="0" w:color="auto"/>
        <w:right w:val="none" w:sz="0" w:space="0" w:color="auto"/>
      </w:divBdr>
    </w:div>
    <w:div w:id="837237225">
      <w:bodyDiv w:val="1"/>
      <w:marLeft w:val="0"/>
      <w:marRight w:val="0"/>
      <w:marTop w:val="0"/>
      <w:marBottom w:val="0"/>
      <w:divBdr>
        <w:top w:val="none" w:sz="0" w:space="0" w:color="auto"/>
        <w:left w:val="none" w:sz="0" w:space="0" w:color="auto"/>
        <w:bottom w:val="none" w:sz="0" w:space="0" w:color="auto"/>
        <w:right w:val="none" w:sz="0" w:space="0" w:color="auto"/>
      </w:divBdr>
    </w:div>
    <w:div w:id="851917331">
      <w:bodyDiv w:val="1"/>
      <w:marLeft w:val="0"/>
      <w:marRight w:val="0"/>
      <w:marTop w:val="0"/>
      <w:marBottom w:val="0"/>
      <w:divBdr>
        <w:top w:val="none" w:sz="0" w:space="0" w:color="auto"/>
        <w:left w:val="none" w:sz="0" w:space="0" w:color="auto"/>
        <w:bottom w:val="none" w:sz="0" w:space="0" w:color="auto"/>
        <w:right w:val="none" w:sz="0" w:space="0" w:color="auto"/>
      </w:divBdr>
    </w:div>
    <w:div w:id="925310508">
      <w:bodyDiv w:val="1"/>
      <w:marLeft w:val="0"/>
      <w:marRight w:val="0"/>
      <w:marTop w:val="0"/>
      <w:marBottom w:val="0"/>
      <w:divBdr>
        <w:top w:val="none" w:sz="0" w:space="0" w:color="auto"/>
        <w:left w:val="none" w:sz="0" w:space="0" w:color="auto"/>
        <w:bottom w:val="none" w:sz="0" w:space="0" w:color="auto"/>
        <w:right w:val="none" w:sz="0" w:space="0" w:color="auto"/>
      </w:divBdr>
    </w:div>
    <w:div w:id="1255088432">
      <w:bodyDiv w:val="1"/>
      <w:marLeft w:val="0"/>
      <w:marRight w:val="0"/>
      <w:marTop w:val="0"/>
      <w:marBottom w:val="0"/>
      <w:divBdr>
        <w:top w:val="none" w:sz="0" w:space="0" w:color="auto"/>
        <w:left w:val="none" w:sz="0" w:space="0" w:color="auto"/>
        <w:bottom w:val="none" w:sz="0" w:space="0" w:color="auto"/>
        <w:right w:val="none" w:sz="0" w:space="0" w:color="auto"/>
      </w:divBdr>
    </w:div>
    <w:div w:id="1283152075">
      <w:bodyDiv w:val="1"/>
      <w:marLeft w:val="0"/>
      <w:marRight w:val="0"/>
      <w:marTop w:val="0"/>
      <w:marBottom w:val="0"/>
      <w:divBdr>
        <w:top w:val="none" w:sz="0" w:space="0" w:color="auto"/>
        <w:left w:val="none" w:sz="0" w:space="0" w:color="auto"/>
        <w:bottom w:val="none" w:sz="0" w:space="0" w:color="auto"/>
        <w:right w:val="none" w:sz="0" w:space="0" w:color="auto"/>
      </w:divBdr>
    </w:div>
    <w:div w:id="1582176033">
      <w:bodyDiv w:val="1"/>
      <w:marLeft w:val="0"/>
      <w:marRight w:val="0"/>
      <w:marTop w:val="0"/>
      <w:marBottom w:val="0"/>
      <w:divBdr>
        <w:top w:val="none" w:sz="0" w:space="0" w:color="auto"/>
        <w:left w:val="none" w:sz="0" w:space="0" w:color="auto"/>
        <w:bottom w:val="none" w:sz="0" w:space="0" w:color="auto"/>
        <w:right w:val="none" w:sz="0" w:space="0" w:color="auto"/>
      </w:divBdr>
    </w:div>
    <w:div w:id="1765033959">
      <w:bodyDiv w:val="1"/>
      <w:marLeft w:val="0"/>
      <w:marRight w:val="0"/>
      <w:marTop w:val="0"/>
      <w:marBottom w:val="0"/>
      <w:divBdr>
        <w:top w:val="none" w:sz="0" w:space="0" w:color="auto"/>
        <w:left w:val="none" w:sz="0" w:space="0" w:color="auto"/>
        <w:bottom w:val="none" w:sz="0" w:space="0" w:color="auto"/>
        <w:right w:val="none" w:sz="0" w:space="0" w:color="auto"/>
      </w:divBdr>
    </w:div>
    <w:div w:id="195188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2804</Words>
  <Characters>15874</Characters>
  <Application>Microsoft Office Word</Application>
  <DocSecurity>0</DocSecurity>
  <Lines>311</Lines>
  <Paragraphs>116</Paragraphs>
  <ScaleCrop>false</ScaleCrop>
  <Company/>
  <LinksUpToDate>false</LinksUpToDate>
  <CharactersWithSpaces>18562</CharactersWithSpaces>
  <SharedDoc>false</SharedDoc>
  <HLinks>
    <vt:vector size="96" baseType="variant">
      <vt:variant>
        <vt:i4>1507380</vt:i4>
      </vt:variant>
      <vt:variant>
        <vt:i4>74</vt:i4>
      </vt:variant>
      <vt:variant>
        <vt:i4>0</vt:i4>
      </vt:variant>
      <vt:variant>
        <vt:i4>5</vt:i4>
      </vt:variant>
      <vt:variant>
        <vt:lpwstr/>
      </vt:variant>
      <vt:variant>
        <vt:lpwstr>_Toc150438690</vt:lpwstr>
      </vt:variant>
      <vt:variant>
        <vt:i4>1441844</vt:i4>
      </vt:variant>
      <vt:variant>
        <vt:i4>68</vt:i4>
      </vt:variant>
      <vt:variant>
        <vt:i4>0</vt:i4>
      </vt:variant>
      <vt:variant>
        <vt:i4>5</vt:i4>
      </vt:variant>
      <vt:variant>
        <vt:lpwstr/>
      </vt:variant>
      <vt:variant>
        <vt:lpwstr>_Toc150438689</vt:lpwstr>
      </vt:variant>
      <vt:variant>
        <vt:i4>1441844</vt:i4>
      </vt:variant>
      <vt:variant>
        <vt:i4>62</vt:i4>
      </vt:variant>
      <vt:variant>
        <vt:i4>0</vt:i4>
      </vt:variant>
      <vt:variant>
        <vt:i4>5</vt:i4>
      </vt:variant>
      <vt:variant>
        <vt:lpwstr/>
      </vt:variant>
      <vt:variant>
        <vt:lpwstr>_Toc150438688</vt:lpwstr>
      </vt:variant>
      <vt:variant>
        <vt:i4>1441844</vt:i4>
      </vt:variant>
      <vt:variant>
        <vt:i4>56</vt:i4>
      </vt:variant>
      <vt:variant>
        <vt:i4>0</vt:i4>
      </vt:variant>
      <vt:variant>
        <vt:i4>5</vt:i4>
      </vt:variant>
      <vt:variant>
        <vt:lpwstr/>
      </vt:variant>
      <vt:variant>
        <vt:lpwstr>_Toc150438687</vt:lpwstr>
      </vt:variant>
      <vt:variant>
        <vt:i4>1441844</vt:i4>
      </vt:variant>
      <vt:variant>
        <vt:i4>50</vt:i4>
      </vt:variant>
      <vt:variant>
        <vt:i4>0</vt:i4>
      </vt:variant>
      <vt:variant>
        <vt:i4>5</vt:i4>
      </vt:variant>
      <vt:variant>
        <vt:lpwstr/>
      </vt:variant>
      <vt:variant>
        <vt:lpwstr>_Toc150438686</vt:lpwstr>
      </vt:variant>
      <vt:variant>
        <vt:i4>1441844</vt:i4>
      </vt:variant>
      <vt:variant>
        <vt:i4>44</vt:i4>
      </vt:variant>
      <vt:variant>
        <vt:i4>0</vt:i4>
      </vt:variant>
      <vt:variant>
        <vt:i4>5</vt:i4>
      </vt:variant>
      <vt:variant>
        <vt:lpwstr/>
      </vt:variant>
      <vt:variant>
        <vt:lpwstr>_Toc150438685</vt:lpwstr>
      </vt:variant>
      <vt:variant>
        <vt:i4>1441844</vt:i4>
      </vt:variant>
      <vt:variant>
        <vt:i4>38</vt:i4>
      </vt:variant>
      <vt:variant>
        <vt:i4>0</vt:i4>
      </vt:variant>
      <vt:variant>
        <vt:i4>5</vt:i4>
      </vt:variant>
      <vt:variant>
        <vt:lpwstr/>
      </vt:variant>
      <vt:variant>
        <vt:lpwstr>_Toc150438684</vt:lpwstr>
      </vt:variant>
      <vt:variant>
        <vt:i4>1441844</vt:i4>
      </vt:variant>
      <vt:variant>
        <vt:i4>32</vt:i4>
      </vt:variant>
      <vt:variant>
        <vt:i4>0</vt:i4>
      </vt:variant>
      <vt:variant>
        <vt:i4>5</vt:i4>
      </vt:variant>
      <vt:variant>
        <vt:lpwstr/>
      </vt:variant>
      <vt:variant>
        <vt:lpwstr>_Toc150438683</vt:lpwstr>
      </vt:variant>
      <vt:variant>
        <vt:i4>1441844</vt:i4>
      </vt:variant>
      <vt:variant>
        <vt:i4>26</vt:i4>
      </vt:variant>
      <vt:variant>
        <vt:i4>0</vt:i4>
      </vt:variant>
      <vt:variant>
        <vt:i4>5</vt:i4>
      </vt:variant>
      <vt:variant>
        <vt:lpwstr/>
      </vt:variant>
      <vt:variant>
        <vt:lpwstr>_Toc150438682</vt:lpwstr>
      </vt:variant>
      <vt:variant>
        <vt:i4>1441844</vt:i4>
      </vt:variant>
      <vt:variant>
        <vt:i4>20</vt:i4>
      </vt:variant>
      <vt:variant>
        <vt:i4>0</vt:i4>
      </vt:variant>
      <vt:variant>
        <vt:i4>5</vt:i4>
      </vt:variant>
      <vt:variant>
        <vt:lpwstr/>
      </vt:variant>
      <vt:variant>
        <vt:lpwstr>_Toc150438681</vt:lpwstr>
      </vt:variant>
      <vt:variant>
        <vt:i4>1441844</vt:i4>
      </vt:variant>
      <vt:variant>
        <vt:i4>14</vt:i4>
      </vt:variant>
      <vt:variant>
        <vt:i4>0</vt:i4>
      </vt:variant>
      <vt:variant>
        <vt:i4>5</vt:i4>
      </vt:variant>
      <vt:variant>
        <vt:lpwstr/>
      </vt:variant>
      <vt:variant>
        <vt:lpwstr>_Toc150438680</vt:lpwstr>
      </vt:variant>
      <vt:variant>
        <vt:i4>1638452</vt:i4>
      </vt:variant>
      <vt:variant>
        <vt:i4>8</vt:i4>
      </vt:variant>
      <vt:variant>
        <vt:i4>0</vt:i4>
      </vt:variant>
      <vt:variant>
        <vt:i4>5</vt:i4>
      </vt:variant>
      <vt:variant>
        <vt:lpwstr/>
      </vt:variant>
      <vt:variant>
        <vt:lpwstr>_Toc150438679</vt:lpwstr>
      </vt:variant>
      <vt:variant>
        <vt:i4>1638452</vt:i4>
      </vt:variant>
      <vt:variant>
        <vt:i4>2</vt:i4>
      </vt:variant>
      <vt:variant>
        <vt:i4>0</vt:i4>
      </vt:variant>
      <vt:variant>
        <vt:i4>5</vt:i4>
      </vt:variant>
      <vt:variant>
        <vt:lpwstr/>
      </vt:variant>
      <vt:variant>
        <vt:lpwstr>_Toc150438678</vt:lpwstr>
      </vt:variant>
      <vt:variant>
        <vt:i4>6226021</vt:i4>
      </vt:variant>
      <vt:variant>
        <vt:i4>6</vt:i4>
      </vt:variant>
      <vt:variant>
        <vt:i4>0</vt:i4>
      </vt:variant>
      <vt:variant>
        <vt:i4>5</vt:i4>
      </vt:variant>
      <vt:variant>
        <vt:lpwstr>mailto:Melanie.McKernan@dfat.gov.au</vt:lpwstr>
      </vt:variant>
      <vt:variant>
        <vt:lpwstr/>
      </vt:variant>
      <vt:variant>
        <vt:i4>6226021</vt:i4>
      </vt:variant>
      <vt:variant>
        <vt:i4>3</vt:i4>
      </vt:variant>
      <vt:variant>
        <vt:i4>0</vt:i4>
      </vt:variant>
      <vt:variant>
        <vt:i4>5</vt:i4>
      </vt:variant>
      <vt:variant>
        <vt:lpwstr>mailto:Melanie.McKernan@dfat.gov.au</vt:lpwstr>
      </vt:variant>
      <vt:variant>
        <vt:lpwstr/>
      </vt:variant>
      <vt:variant>
        <vt:i4>3538955</vt:i4>
      </vt:variant>
      <vt:variant>
        <vt:i4>0</vt:i4>
      </vt:variant>
      <vt:variant>
        <vt:i4>0</vt:i4>
      </vt:variant>
      <vt:variant>
        <vt:i4>5</vt:i4>
      </vt:variant>
      <vt:variant>
        <vt:lpwstr>mailto:Isobel.Pino@dfat.gov.au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2024-07-29T07:09:00Z</dcterms:created>
  <dcterms:modified xsi:type="dcterms:W3CDTF">2024-10-24T05:22:00Z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v=2022.1;a=SHA256;h=6818D94E6D0D0B23D82FCEAA6A9C81D44E2101313455A003BA7F683FE55A5BCF</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2024-10-24T05:21:46Z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ECF9A2176095E52E8C4F6B85C95C889DB9746763</vt:lpwstr>
  </property>
  <property fmtid="{D5CDD505-2E9C-101B-9397-08002B2CF9AE}" pid="14" name="PM_DisplayValueSecClassificationWithQualifier">
    <vt:lpwstr>OFFICIAL</vt:lpwstr>
  </property>
  <property fmtid="{D5CDD505-2E9C-101B-9397-08002B2CF9AE}" pid="15" name="PM_Originating_FileId">
    <vt:lpwstr>9936AB454938462992583AF8A1B6311E</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9CE81A257C0F420680DF487026618756A4B56851A3B01D7A684CCFDD9F31E1E3</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E70B74D4D1A26BB5755416E904D47A2B</vt:lpwstr>
  </property>
  <property fmtid="{D5CDD505-2E9C-101B-9397-08002B2CF9AE}" pid="25" name="PM_Hash_Salt">
    <vt:lpwstr>E70B74D4D1A26BB5755416E904D47A2B</vt:lpwstr>
  </property>
  <property fmtid="{D5CDD505-2E9C-101B-9397-08002B2CF9AE}" pid="26" name="PM_Hash_SHA1">
    <vt:lpwstr>9DC4513344AAACC749A6EC42F61021F52BDAA994</vt:lpwstr>
  </property>
</Properties>
</file>