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8684" w14:textId="77777777" w:rsidR="002A5789" w:rsidRDefault="002A5789" w:rsidP="00F71EA3">
      <w:pPr>
        <w:pStyle w:val="BTNSSBodyTextNoSpacingSmall"/>
        <w:rPr>
          <w:rFonts w:cs="Calibri"/>
          <w:sz w:val="2"/>
          <w:szCs w:val="2"/>
        </w:rPr>
      </w:pPr>
    </w:p>
    <w:p w14:paraId="3D284879" w14:textId="77777777" w:rsidR="002A5789" w:rsidRDefault="002A5789" w:rsidP="00F71EA3">
      <w:pPr>
        <w:pStyle w:val="BTNSSBodyTextNoSpacingSmall"/>
        <w:rPr>
          <w:rFonts w:cs="Calibri"/>
          <w:sz w:val="2"/>
          <w:szCs w:val="2"/>
        </w:rPr>
      </w:pPr>
    </w:p>
    <w:p w14:paraId="77E4A5CB" w14:textId="77777777" w:rsidR="002A5789" w:rsidRDefault="002A5789" w:rsidP="00F71EA3">
      <w:pPr>
        <w:pStyle w:val="BTNSSBodyTextNoSpacingSmall"/>
        <w:rPr>
          <w:rFonts w:cs="Calibri"/>
          <w:sz w:val="2"/>
          <w:szCs w:val="2"/>
        </w:rPr>
      </w:pPr>
    </w:p>
    <w:p w14:paraId="748C2656" w14:textId="77777777" w:rsidR="002A5789" w:rsidRDefault="002A5789" w:rsidP="00F71EA3">
      <w:pPr>
        <w:pStyle w:val="BTNSSBodyTextNoSpacingSmall"/>
        <w:rPr>
          <w:rFonts w:cs="Calibri"/>
          <w:sz w:val="2"/>
          <w:szCs w:val="2"/>
        </w:rPr>
      </w:pPr>
    </w:p>
    <w:p w14:paraId="20A544D9" w14:textId="77777777" w:rsidR="002A5789" w:rsidRDefault="002A5789" w:rsidP="00F71EA3">
      <w:pPr>
        <w:pStyle w:val="BTNSSBodyTextNoSpacingSmall"/>
        <w:rPr>
          <w:rFonts w:cs="Calibri"/>
          <w:sz w:val="2"/>
          <w:szCs w:val="2"/>
        </w:rPr>
      </w:pPr>
    </w:p>
    <w:p w14:paraId="1347423C" w14:textId="3FA7BA5C"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786BDE" w:rsidRPr="00AE62EF" w14:paraId="602590C1" w14:textId="77777777" w:rsidTr="00AA396D">
        <w:trPr>
          <w:trHeight w:val="4365"/>
        </w:trPr>
        <w:tc>
          <w:tcPr>
            <w:tcW w:w="9070" w:type="dxa"/>
          </w:tcPr>
          <w:p w14:paraId="741C44F3" w14:textId="77777777" w:rsidR="00786BDE" w:rsidRPr="0007327B" w:rsidRDefault="00786BDE" w:rsidP="000D1258">
            <w:pPr>
              <w:pStyle w:val="BTBodyText"/>
              <w:spacing w:after="240" w:line="240" w:lineRule="auto"/>
              <w:jc w:val="center"/>
              <w:rPr>
                <w:b/>
                <w:bCs/>
                <w:sz w:val="32"/>
                <w:szCs w:val="32"/>
              </w:rPr>
            </w:pPr>
            <w:bookmarkStart w:id="1" w:name="_Toc100253863"/>
            <w:bookmarkStart w:id="2" w:name="_Toc155884800"/>
            <w:r w:rsidRPr="0007327B">
              <w:rPr>
                <w:b/>
                <w:bCs/>
                <w:sz w:val="32"/>
                <w:szCs w:val="32"/>
              </w:rPr>
              <w:t>Before the World Trade Organization</w:t>
            </w:r>
          </w:p>
          <w:p w14:paraId="0D367E86" w14:textId="77777777" w:rsidR="00786BDE" w:rsidRDefault="00786BDE" w:rsidP="00786BDE">
            <w:pPr>
              <w:pStyle w:val="BTBodyText"/>
              <w:spacing w:after="240"/>
              <w:jc w:val="center"/>
              <w:rPr>
                <w:b/>
                <w:bCs/>
                <w:sz w:val="32"/>
                <w:szCs w:val="32"/>
              </w:rPr>
            </w:pPr>
            <w:r w:rsidRPr="0007327B">
              <w:rPr>
                <w:b/>
                <w:bCs/>
                <w:sz w:val="32"/>
                <w:szCs w:val="32"/>
              </w:rPr>
              <w:t>Panel Proceedings</w:t>
            </w:r>
          </w:p>
          <w:p w14:paraId="18848711" w14:textId="77777777" w:rsidR="00637058" w:rsidRPr="00637058" w:rsidRDefault="00637058" w:rsidP="00637058"/>
          <w:p w14:paraId="060D1FF6" w14:textId="77777777" w:rsidR="00637058" w:rsidRPr="00637058" w:rsidRDefault="00637058" w:rsidP="00637058"/>
          <w:p w14:paraId="27220BA5" w14:textId="306FE134" w:rsidR="00637058" w:rsidRPr="00637058" w:rsidRDefault="00637058" w:rsidP="00637058">
            <w:pPr>
              <w:tabs>
                <w:tab w:val="left" w:pos="1399"/>
              </w:tabs>
            </w:pPr>
          </w:p>
        </w:tc>
      </w:tr>
      <w:tr w:rsidR="00786BDE" w:rsidRPr="00AE62EF" w14:paraId="1360E409" w14:textId="77777777" w:rsidTr="00AA396D">
        <w:trPr>
          <w:trHeight w:val="737"/>
        </w:trPr>
        <w:tc>
          <w:tcPr>
            <w:tcW w:w="9070" w:type="dxa"/>
          </w:tcPr>
          <w:p w14:paraId="5A7D48DB" w14:textId="467E3864" w:rsidR="00786BDE" w:rsidRPr="00AE62EF" w:rsidRDefault="00786BDE" w:rsidP="00786BDE">
            <w:pPr>
              <w:pStyle w:val="WTODTWTODisputeTitle"/>
              <w:rPr>
                <w:rFonts w:cs="Calibri"/>
              </w:rPr>
            </w:pPr>
            <w:r>
              <w:t>European Union – Countervailing Duties on Imports of Biodiesel from Indonesia</w:t>
            </w:r>
          </w:p>
        </w:tc>
      </w:tr>
      <w:tr w:rsidR="00786BDE" w:rsidRPr="00AE62EF" w14:paraId="6116A9AF" w14:textId="77777777" w:rsidTr="00AA396D">
        <w:trPr>
          <w:trHeight w:val="3175"/>
        </w:trPr>
        <w:tc>
          <w:tcPr>
            <w:tcW w:w="9070" w:type="dxa"/>
          </w:tcPr>
          <w:p w14:paraId="0718E505" w14:textId="63A5B8FA" w:rsidR="00786BDE" w:rsidRPr="00AE62EF" w:rsidRDefault="00786BDE" w:rsidP="00786BDE">
            <w:pPr>
              <w:pStyle w:val="DSNDSNumber"/>
              <w:rPr>
                <w:rFonts w:cs="Calibri"/>
              </w:rPr>
            </w:pPr>
            <w:r w:rsidRPr="0007327B">
              <w:t>(DS</w:t>
            </w:r>
            <w:r>
              <w:t>618)</w:t>
            </w:r>
          </w:p>
        </w:tc>
      </w:tr>
      <w:tr w:rsidR="00F71EA3" w:rsidRPr="00AE62EF" w14:paraId="56A9B2E3" w14:textId="77777777" w:rsidTr="00AA396D">
        <w:trPr>
          <w:trHeight w:val="3798"/>
        </w:trPr>
        <w:tc>
          <w:tcPr>
            <w:tcW w:w="9070" w:type="dxa"/>
          </w:tcPr>
          <w:p w14:paraId="3D78999B" w14:textId="7E2C064E" w:rsidR="00F02E0F" w:rsidRPr="00505CF6" w:rsidRDefault="009D7AED" w:rsidP="00505CF6">
            <w:pPr>
              <w:pStyle w:val="DTDocumentTitle"/>
              <w:rPr>
                <w:rFonts w:cs="Calibri"/>
                <w:i/>
                <w:iCs/>
              </w:rPr>
            </w:pPr>
            <w:r>
              <w:rPr>
                <w:rFonts w:cs="Calibri"/>
              </w:rPr>
              <w:t xml:space="preserve">Third Party </w:t>
            </w:r>
            <w:r w:rsidR="00CE149B">
              <w:rPr>
                <w:rFonts w:cs="Calibri"/>
              </w:rPr>
              <w:t>E</w:t>
            </w:r>
            <w:r w:rsidR="005145EA" w:rsidRPr="005145EA">
              <w:rPr>
                <w:rFonts w:cs="Calibri"/>
              </w:rPr>
              <w:t>xecutive Summary Of Australia</w:t>
            </w:r>
          </w:p>
        </w:tc>
      </w:tr>
      <w:tr w:rsidR="00F71EA3" w:rsidRPr="00AE62EF" w14:paraId="14072F80" w14:textId="77777777" w:rsidTr="00AA396D">
        <w:trPr>
          <w:trHeight w:val="624"/>
        </w:trPr>
        <w:tc>
          <w:tcPr>
            <w:tcW w:w="9070" w:type="dxa"/>
          </w:tcPr>
          <w:p w14:paraId="474097AA" w14:textId="2BF03CC6" w:rsidR="00F71EA3" w:rsidRPr="00AE62EF" w:rsidRDefault="000E3EF9" w:rsidP="00AA396D">
            <w:pPr>
              <w:pStyle w:val="DDDocumentDate"/>
              <w:rPr>
                <w:rFonts w:cs="Calibri"/>
              </w:rPr>
            </w:pPr>
            <w:r>
              <w:rPr>
                <w:rFonts w:cs="Calibri"/>
              </w:rPr>
              <w:t>4 November 2024</w:t>
            </w:r>
          </w:p>
        </w:tc>
      </w:tr>
    </w:tbl>
    <w:p w14:paraId="378B1DAD" w14:textId="77777777" w:rsidR="00B332EA" w:rsidRDefault="00B332EA" w:rsidP="00F71EA3">
      <w:pPr>
        <w:pStyle w:val="BTNSSBodyTextNoSpacingSmall"/>
        <w:rPr>
          <w:rFonts w:cs="Calibri"/>
        </w:rPr>
        <w:sectPr w:rsidR="00B332EA" w:rsidSect="00AA396D">
          <w:headerReference w:type="default" r:id="rId8"/>
          <w:footerReference w:type="default" r:id="rId9"/>
          <w:footerReference w:type="first" r:id="rId10"/>
          <w:pgSz w:w="11906" w:h="16838" w:code="9"/>
          <w:pgMar w:top="1418" w:right="1418" w:bottom="1418" w:left="1418" w:header="567" w:footer="567" w:gutter="0"/>
          <w:cols w:space="708"/>
          <w:titlePg/>
          <w:docGrid w:linePitch="360"/>
        </w:sectPr>
      </w:pPr>
    </w:p>
    <w:p w14:paraId="10C77A2A" w14:textId="7E2669BD" w:rsidR="00130B46" w:rsidRPr="00F71EA3" w:rsidRDefault="00130B46" w:rsidP="00130B46">
      <w:pPr>
        <w:pStyle w:val="TOCHeading"/>
        <w:spacing w:after="120"/>
        <w:rPr>
          <w:rFonts w:cs="Calibri"/>
        </w:rPr>
      </w:pPr>
      <w:bookmarkStart w:id="3" w:name="_Toc181267567"/>
      <w:bookmarkEnd w:id="1"/>
      <w:bookmarkEnd w:id="2"/>
      <w:r w:rsidRPr="0001369B">
        <w:rPr>
          <w:rFonts w:eastAsiaTheme="majorEastAsia" w:cs="Calibri"/>
          <w:szCs w:val="32"/>
          <w:lang w:val="en-AU"/>
        </w:rPr>
        <w:lastRenderedPageBreak/>
        <w:t>Table of Cases</w:t>
      </w:r>
    </w:p>
    <w:tbl>
      <w:tblPr>
        <w:tblStyle w:val="TableGrid"/>
        <w:tblW w:w="5632" w:type="pct"/>
        <w:tblInd w:w="-572" w:type="dxa"/>
        <w:tblLook w:val="04A0" w:firstRow="1" w:lastRow="0" w:firstColumn="1" w:lastColumn="0" w:noHBand="0" w:noVBand="1"/>
      </w:tblPr>
      <w:tblGrid>
        <w:gridCol w:w="2268"/>
        <w:gridCol w:w="7937"/>
      </w:tblGrid>
      <w:tr w:rsidR="00130B46" w:rsidRPr="00AE62EF" w14:paraId="2266C10F" w14:textId="77777777" w:rsidTr="002D4D02">
        <w:trPr>
          <w:trHeight w:val="397"/>
          <w:tblHeader/>
        </w:trPr>
        <w:tc>
          <w:tcPr>
            <w:tcW w:w="2268" w:type="dxa"/>
            <w:shd w:val="clear" w:color="auto" w:fill="D9D9D9" w:themeFill="background1" w:themeFillShade="D9"/>
          </w:tcPr>
          <w:p w14:paraId="4FA66902" w14:textId="77777777" w:rsidR="00130B46" w:rsidRPr="00AE62EF" w:rsidRDefault="00130B46" w:rsidP="00FF6585">
            <w:pPr>
              <w:pStyle w:val="THTableHeading"/>
              <w:jc w:val="center"/>
              <w:rPr>
                <w:rFonts w:cs="Calibri"/>
              </w:rPr>
            </w:pPr>
            <w:r w:rsidRPr="00AE62EF">
              <w:rPr>
                <w:rFonts w:cs="Calibri"/>
              </w:rPr>
              <w:t>Short Title</w:t>
            </w:r>
          </w:p>
        </w:tc>
        <w:tc>
          <w:tcPr>
            <w:tcW w:w="7937" w:type="dxa"/>
            <w:shd w:val="clear" w:color="auto" w:fill="D9D9D9" w:themeFill="background1" w:themeFillShade="D9"/>
          </w:tcPr>
          <w:p w14:paraId="3E176411" w14:textId="77777777" w:rsidR="00130B46" w:rsidRPr="00AE62EF" w:rsidRDefault="00130B46" w:rsidP="00FF6585">
            <w:pPr>
              <w:pStyle w:val="THTableHeading"/>
              <w:jc w:val="center"/>
              <w:rPr>
                <w:rFonts w:cs="Calibri"/>
              </w:rPr>
            </w:pPr>
            <w:r w:rsidRPr="00AE62EF">
              <w:rPr>
                <w:rFonts w:cs="Calibri"/>
              </w:rPr>
              <w:t>Full Case Title and Citation</w:t>
            </w:r>
          </w:p>
        </w:tc>
      </w:tr>
      <w:tr w:rsidR="00130B46" w:rsidRPr="00AE62EF" w14:paraId="7AD370BC" w14:textId="77777777" w:rsidTr="00972F13">
        <w:trPr>
          <w:cantSplit/>
          <w:trHeight w:val="397"/>
        </w:trPr>
        <w:tc>
          <w:tcPr>
            <w:tcW w:w="2268" w:type="dxa"/>
          </w:tcPr>
          <w:p w14:paraId="5B0930F8" w14:textId="77777777" w:rsidR="00130B46" w:rsidRPr="00E51547" w:rsidRDefault="00130B46" w:rsidP="00FF6585">
            <w:pPr>
              <w:pStyle w:val="TTTableText"/>
              <w:rPr>
                <w:i/>
                <w:iCs/>
              </w:rPr>
            </w:pPr>
            <w:r w:rsidRPr="002256EF">
              <w:rPr>
                <w:rFonts w:asciiTheme="minorHAnsi" w:hAnsiTheme="minorHAnsi" w:cstheme="minorHAnsi"/>
                <w:i/>
                <w:iCs/>
                <w:szCs w:val="18"/>
              </w:rPr>
              <w:t>Canada – Renewable Energy</w:t>
            </w:r>
          </w:p>
        </w:tc>
        <w:tc>
          <w:tcPr>
            <w:tcW w:w="7937" w:type="dxa"/>
          </w:tcPr>
          <w:p w14:paraId="0AA86FBE" w14:textId="6695105B" w:rsidR="00130B46" w:rsidRPr="000365F7" w:rsidRDefault="00130B46" w:rsidP="00FF6585">
            <w:pPr>
              <w:pStyle w:val="TTTableText"/>
              <w:rPr>
                <w:szCs w:val="18"/>
              </w:rPr>
            </w:pPr>
            <w:r>
              <w:rPr>
                <w:szCs w:val="18"/>
              </w:rPr>
              <w:t xml:space="preserve">Appellate Body Reports, </w:t>
            </w:r>
            <w:r w:rsidRPr="00B332EA">
              <w:rPr>
                <w:i/>
                <w:szCs w:val="18"/>
                <w:lang w:val="en-GB"/>
              </w:rPr>
              <w:t>Canada – Certain Measures Affecting the Renewable Energy Generation Sector / Canada – Measures Relating to the Feed-in Tariff Program</w:t>
            </w:r>
            <w:r w:rsidRPr="00B332EA">
              <w:rPr>
                <w:szCs w:val="18"/>
                <w:lang w:val="en-GB"/>
              </w:rPr>
              <w:t xml:space="preserve">, </w:t>
            </w:r>
            <w:r w:rsidRPr="00C635E3">
              <w:rPr>
                <w:szCs w:val="18"/>
                <w:lang w:val="en-GB"/>
              </w:rPr>
              <w:t>WT/DS412/AB/R</w:t>
            </w:r>
            <w:r w:rsidRPr="00B332EA">
              <w:rPr>
                <w:szCs w:val="18"/>
                <w:lang w:val="en-GB"/>
              </w:rPr>
              <w:t xml:space="preserve"> / </w:t>
            </w:r>
            <w:r w:rsidRPr="00C635E3">
              <w:rPr>
                <w:szCs w:val="18"/>
                <w:lang w:val="en-GB"/>
              </w:rPr>
              <w:t>WT/DS426/AB/R</w:t>
            </w:r>
            <w:r w:rsidRPr="00B332EA">
              <w:rPr>
                <w:szCs w:val="18"/>
                <w:lang w:val="en-GB"/>
              </w:rPr>
              <w:t xml:space="preserve">, adopted 24 May 2013, DSR </w:t>
            </w:r>
            <w:proofErr w:type="gramStart"/>
            <w:r w:rsidRPr="00B332EA">
              <w:rPr>
                <w:szCs w:val="18"/>
                <w:lang w:val="en-GB"/>
              </w:rPr>
              <w:t>2013:I</w:t>
            </w:r>
            <w:proofErr w:type="gramEnd"/>
            <w:r w:rsidRPr="00B332EA">
              <w:rPr>
                <w:szCs w:val="18"/>
                <w:lang w:val="en-GB"/>
              </w:rPr>
              <w:t>, p. 7</w:t>
            </w:r>
          </w:p>
        </w:tc>
      </w:tr>
      <w:tr w:rsidR="00130B46" w:rsidRPr="00AE62EF" w14:paraId="04B3E108" w14:textId="77777777" w:rsidTr="00972F13">
        <w:trPr>
          <w:cantSplit/>
          <w:trHeight w:val="397"/>
        </w:trPr>
        <w:tc>
          <w:tcPr>
            <w:tcW w:w="2268" w:type="dxa"/>
          </w:tcPr>
          <w:p w14:paraId="1C98DCA7" w14:textId="77777777" w:rsidR="00130B46" w:rsidRDefault="00130B46" w:rsidP="00FF6585">
            <w:pPr>
              <w:pStyle w:val="TTTableText"/>
              <w:rPr>
                <w:i/>
                <w:iCs/>
              </w:rPr>
            </w:pPr>
            <w:r w:rsidRPr="00E51547">
              <w:rPr>
                <w:i/>
                <w:iCs/>
              </w:rPr>
              <w:t>EU and Certain Member States — Palm Oil (Malaysia)</w:t>
            </w:r>
          </w:p>
        </w:tc>
        <w:tc>
          <w:tcPr>
            <w:tcW w:w="7937" w:type="dxa"/>
          </w:tcPr>
          <w:p w14:paraId="2F55ABFD" w14:textId="6E1ACDAB" w:rsidR="00130B46" w:rsidRPr="00D356E7" w:rsidRDefault="00130B46" w:rsidP="00FF6585">
            <w:pPr>
              <w:pStyle w:val="TTTableText"/>
              <w:rPr>
                <w:szCs w:val="18"/>
              </w:rPr>
            </w:pPr>
            <w:r>
              <w:rPr>
                <w:szCs w:val="18"/>
              </w:rPr>
              <w:t xml:space="preserve">Panel Report, </w:t>
            </w:r>
            <w:r w:rsidRPr="00363F2F">
              <w:rPr>
                <w:i/>
                <w:iCs/>
                <w:szCs w:val="18"/>
                <w:lang w:val="en-GB"/>
              </w:rPr>
              <w:t>European Union and Certain Member States – Certain Measures Concerning Palm Oil and Oil Palm Crop-Based Biofuels</w:t>
            </w:r>
            <w:r w:rsidRPr="00363F2F">
              <w:rPr>
                <w:szCs w:val="18"/>
                <w:lang w:val="en-GB"/>
              </w:rPr>
              <w:t xml:space="preserve">, </w:t>
            </w:r>
            <w:r w:rsidRPr="00C635E3">
              <w:rPr>
                <w:szCs w:val="18"/>
                <w:lang w:val="en-GB"/>
              </w:rPr>
              <w:t>WT/DS600/R</w:t>
            </w:r>
            <w:r w:rsidRPr="00363F2F">
              <w:rPr>
                <w:szCs w:val="18"/>
                <w:lang w:val="en-GB"/>
              </w:rPr>
              <w:t xml:space="preserve"> and Add.1, adopted 26 April 2024</w:t>
            </w:r>
          </w:p>
        </w:tc>
      </w:tr>
      <w:tr w:rsidR="00130B46" w:rsidRPr="00AE62EF" w14:paraId="0F3B74B1" w14:textId="77777777" w:rsidTr="00972F13">
        <w:trPr>
          <w:cantSplit/>
          <w:trHeight w:val="397"/>
        </w:trPr>
        <w:tc>
          <w:tcPr>
            <w:tcW w:w="2268" w:type="dxa"/>
          </w:tcPr>
          <w:p w14:paraId="03CC9466" w14:textId="77777777" w:rsidR="00130B46" w:rsidRDefault="00130B46" w:rsidP="00FF6585">
            <w:pPr>
              <w:pStyle w:val="TTTableText"/>
              <w:rPr>
                <w:i/>
                <w:iCs/>
              </w:rPr>
            </w:pPr>
            <w:r>
              <w:rPr>
                <w:i/>
                <w:iCs/>
              </w:rPr>
              <w:t>Korea – Commercial Vessels</w:t>
            </w:r>
          </w:p>
        </w:tc>
        <w:tc>
          <w:tcPr>
            <w:tcW w:w="7937" w:type="dxa"/>
          </w:tcPr>
          <w:p w14:paraId="5A65D223" w14:textId="63BE1177" w:rsidR="00130B46" w:rsidRPr="00D356E7" w:rsidRDefault="00130B46" w:rsidP="00FF6585">
            <w:pPr>
              <w:pStyle w:val="TTTableText"/>
              <w:rPr>
                <w:szCs w:val="18"/>
              </w:rPr>
            </w:pPr>
            <w:r>
              <w:rPr>
                <w:szCs w:val="18"/>
              </w:rPr>
              <w:t xml:space="preserve">Panel Report, </w:t>
            </w:r>
            <w:r w:rsidRPr="00781FF3">
              <w:rPr>
                <w:i/>
                <w:szCs w:val="18"/>
                <w:lang w:val="en-GB"/>
              </w:rPr>
              <w:t>Korea – Measures Affecting Trade in Commercial Vessels</w:t>
            </w:r>
            <w:r w:rsidRPr="00781FF3">
              <w:rPr>
                <w:szCs w:val="18"/>
                <w:lang w:val="en-GB"/>
              </w:rPr>
              <w:t xml:space="preserve">, </w:t>
            </w:r>
            <w:r w:rsidRPr="00C635E3">
              <w:rPr>
                <w:szCs w:val="18"/>
                <w:lang w:val="en-GB"/>
              </w:rPr>
              <w:t>WT/DS273/R</w:t>
            </w:r>
            <w:r w:rsidRPr="00781FF3">
              <w:rPr>
                <w:szCs w:val="18"/>
                <w:lang w:val="en-GB"/>
              </w:rPr>
              <w:t>, adopted 11 April 2005, DSR </w:t>
            </w:r>
            <w:proofErr w:type="gramStart"/>
            <w:r w:rsidRPr="00781FF3">
              <w:rPr>
                <w:szCs w:val="18"/>
                <w:lang w:val="en-GB"/>
              </w:rPr>
              <w:t>2005:VII</w:t>
            </w:r>
            <w:proofErr w:type="gramEnd"/>
            <w:r w:rsidRPr="00781FF3">
              <w:rPr>
                <w:szCs w:val="18"/>
                <w:lang w:val="en-GB"/>
              </w:rPr>
              <w:t>, p. 2749</w:t>
            </w:r>
          </w:p>
        </w:tc>
      </w:tr>
      <w:tr w:rsidR="00130B46" w:rsidRPr="00AE62EF" w14:paraId="0882E986" w14:textId="77777777" w:rsidTr="00972F13">
        <w:trPr>
          <w:cantSplit/>
          <w:trHeight w:val="397"/>
        </w:trPr>
        <w:tc>
          <w:tcPr>
            <w:tcW w:w="2268" w:type="dxa"/>
          </w:tcPr>
          <w:p w14:paraId="76F853F5" w14:textId="77777777" w:rsidR="00130B46" w:rsidRPr="00110427" w:rsidRDefault="00130B46" w:rsidP="00FF6585">
            <w:pPr>
              <w:pStyle w:val="TTTableText"/>
              <w:rPr>
                <w:i/>
                <w:iCs/>
                <w:szCs w:val="18"/>
              </w:rPr>
            </w:pPr>
            <w:r>
              <w:rPr>
                <w:i/>
                <w:iCs/>
              </w:rPr>
              <w:t>US – Anti-Dumping and Countervailing Duties (China)</w:t>
            </w:r>
          </w:p>
        </w:tc>
        <w:tc>
          <w:tcPr>
            <w:tcW w:w="7937" w:type="dxa"/>
          </w:tcPr>
          <w:p w14:paraId="2FB9DDE8" w14:textId="58C024A0" w:rsidR="00130B46" w:rsidRPr="00D356E7" w:rsidRDefault="00130B46" w:rsidP="00FF6585">
            <w:pPr>
              <w:pStyle w:val="TTTableText"/>
              <w:rPr>
                <w:szCs w:val="18"/>
              </w:rPr>
            </w:pPr>
            <w:r w:rsidRPr="00D356E7">
              <w:rPr>
                <w:szCs w:val="18"/>
              </w:rPr>
              <w:t>Appellate Body Report,</w:t>
            </w:r>
            <w:r>
              <w:rPr>
                <w:szCs w:val="18"/>
              </w:rPr>
              <w:t xml:space="preserve"> </w:t>
            </w:r>
            <w:r w:rsidRPr="002F27D8">
              <w:rPr>
                <w:i/>
                <w:iCs/>
                <w:szCs w:val="18"/>
                <w:lang w:val="en-GB"/>
              </w:rPr>
              <w:t>United States – Definitive Anti-Dumping and Countervailing Duties on Certain Products from China</w:t>
            </w:r>
            <w:r w:rsidRPr="002F27D8">
              <w:rPr>
                <w:szCs w:val="18"/>
                <w:lang w:val="en-GB"/>
              </w:rPr>
              <w:t xml:space="preserve">, </w:t>
            </w:r>
            <w:r w:rsidRPr="00C635E3">
              <w:rPr>
                <w:szCs w:val="18"/>
                <w:lang w:val="en-GB"/>
              </w:rPr>
              <w:t>WT/DS379/AB/R</w:t>
            </w:r>
            <w:r w:rsidRPr="002F27D8">
              <w:rPr>
                <w:szCs w:val="18"/>
                <w:lang w:val="en-GB"/>
              </w:rPr>
              <w:t xml:space="preserve">, adopted 25 March 2011, DSR </w:t>
            </w:r>
            <w:proofErr w:type="gramStart"/>
            <w:r w:rsidRPr="002F27D8">
              <w:rPr>
                <w:szCs w:val="18"/>
                <w:lang w:val="en-GB"/>
              </w:rPr>
              <w:t>2011:V</w:t>
            </w:r>
            <w:proofErr w:type="gramEnd"/>
            <w:r w:rsidRPr="002F27D8">
              <w:rPr>
                <w:szCs w:val="18"/>
                <w:lang w:val="en-GB"/>
              </w:rPr>
              <w:t>, p. 2869</w:t>
            </w:r>
          </w:p>
        </w:tc>
      </w:tr>
      <w:tr w:rsidR="00130B46" w:rsidRPr="00AE62EF" w14:paraId="2162FDB2" w14:textId="77777777" w:rsidTr="00972F13">
        <w:trPr>
          <w:cantSplit/>
          <w:trHeight w:val="397"/>
        </w:trPr>
        <w:tc>
          <w:tcPr>
            <w:tcW w:w="2268" w:type="dxa"/>
          </w:tcPr>
          <w:p w14:paraId="21455DCC" w14:textId="77777777" w:rsidR="00130B46" w:rsidRPr="00110427" w:rsidRDefault="00130B46" w:rsidP="00FF6585">
            <w:pPr>
              <w:pStyle w:val="TTTableText"/>
              <w:rPr>
                <w:i/>
                <w:iCs/>
                <w:szCs w:val="18"/>
              </w:rPr>
            </w:pPr>
            <w:r w:rsidRPr="00C157EC">
              <w:rPr>
                <w:rFonts w:asciiTheme="minorHAnsi" w:hAnsiTheme="minorHAnsi" w:cstheme="minorHAnsi"/>
                <w:i/>
                <w:iCs/>
                <w:szCs w:val="18"/>
              </w:rPr>
              <w:t>US – Carbon Steel (India)</w:t>
            </w:r>
          </w:p>
        </w:tc>
        <w:tc>
          <w:tcPr>
            <w:tcW w:w="7937" w:type="dxa"/>
          </w:tcPr>
          <w:p w14:paraId="7D2C23B6" w14:textId="58DB2C48" w:rsidR="00130B46" w:rsidRDefault="00130B46" w:rsidP="00FF6585">
            <w:pPr>
              <w:pStyle w:val="TTTableText"/>
              <w:rPr>
                <w:szCs w:val="18"/>
              </w:rPr>
            </w:pPr>
            <w:r>
              <w:rPr>
                <w:szCs w:val="18"/>
              </w:rPr>
              <w:t xml:space="preserve">Appellate Body Report, </w:t>
            </w:r>
            <w:r w:rsidRPr="0038017B">
              <w:rPr>
                <w:i/>
                <w:szCs w:val="18"/>
                <w:lang w:val="en-GB"/>
              </w:rPr>
              <w:t>United States – Countervailing Measures on Certain Hot-Rolled Carbon Steel Flat Products from India</w:t>
            </w:r>
            <w:r w:rsidRPr="0038017B">
              <w:rPr>
                <w:szCs w:val="18"/>
                <w:lang w:val="en-GB"/>
              </w:rPr>
              <w:t xml:space="preserve">, </w:t>
            </w:r>
            <w:r w:rsidRPr="00C635E3">
              <w:rPr>
                <w:szCs w:val="18"/>
                <w:lang w:val="en-GB"/>
              </w:rPr>
              <w:t>WT/DS436/AB/R</w:t>
            </w:r>
            <w:r w:rsidRPr="0038017B">
              <w:rPr>
                <w:szCs w:val="18"/>
                <w:lang w:val="en-GB"/>
              </w:rPr>
              <w:t>, adopted 19 December 2014, DSR </w:t>
            </w:r>
            <w:proofErr w:type="gramStart"/>
            <w:r w:rsidRPr="0038017B">
              <w:rPr>
                <w:szCs w:val="18"/>
                <w:lang w:val="en-GB"/>
              </w:rPr>
              <w:t>2014:V</w:t>
            </w:r>
            <w:proofErr w:type="gramEnd"/>
            <w:r w:rsidRPr="0038017B">
              <w:rPr>
                <w:szCs w:val="18"/>
                <w:lang w:val="en-GB"/>
              </w:rPr>
              <w:t>, p. 1727</w:t>
            </w:r>
          </w:p>
        </w:tc>
      </w:tr>
      <w:tr w:rsidR="00130B46" w:rsidRPr="00AE62EF" w14:paraId="0617CF5F" w14:textId="77777777" w:rsidTr="00972F13">
        <w:trPr>
          <w:cantSplit/>
          <w:trHeight w:val="397"/>
        </w:trPr>
        <w:tc>
          <w:tcPr>
            <w:tcW w:w="2268" w:type="dxa"/>
          </w:tcPr>
          <w:p w14:paraId="6DAB63D0" w14:textId="77777777" w:rsidR="00130B46" w:rsidRPr="00FB09A8" w:rsidRDefault="00130B46" w:rsidP="00FF6585">
            <w:pPr>
              <w:pStyle w:val="TTTableText"/>
              <w:rPr>
                <w:i/>
                <w:iCs/>
                <w:szCs w:val="18"/>
              </w:rPr>
            </w:pPr>
            <w:r w:rsidRPr="00110427">
              <w:rPr>
                <w:i/>
                <w:iCs/>
                <w:szCs w:val="18"/>
              </w:rPr>
              <w:t>US – Countervailing Duty Investigation on DRAMs</w:t>
            </w:r>
          </w:p>
        </w:tc>
        <w:tc>
          <w:tcPr>
            <w:tcW w:w="7937" w:type="dxa"/>
          </w:tcPr>
          <w:p w14:paraId="63210DB5" w14:textId="608EFD23" w:rsidR="00130B46" w:rsidRPr="007911F1" w:rsidRDefault="00130B46" w:rsidP="00FF6585">
            <w:pPr>
              <w:pStyle w:val="TTTableText"/>
              <w:rPr>
                <w:szCs w:val="18"/>
              </w:rPr>
            </w:pPr>
            <w:r>
              <w:rPr>
                <w:szCs w:val="18"/>
              </w:rPr>
              <w:t xml:space="preserve">Appellate Body Report, </w:t>
            </w:r>
            <w:r w:rsidRPr="00B12B94">
              <w:rPr>
                <w:i/>
                <w:szCs w:val="18"/>
                <w:lang w:val="en-GB"/>
              </w:rPr>
              <w:t>United States – Countervailing Duty Investigation on Dynamic Random Access Memory Semiconductors (DRAMS) from Korea</w:t>
            </w:r>
            <w:r w:rsidRPr="00B12B94">
              <w:rPr>
                <w:szCs w:val="18"/>
                <w:lang w:val="en-GB"/>
              </w:rPr>
              <w:t xml:space="preserve">, </w:t>
            </w:r>
            <w:r w:rsidRPr="00C635E3">
              <w:rPr>
                <w:szCs w:val="18"/>
                <w:lang w:val="en-GB"/>
              </w:rPr>
              <w:t>WT/DS296/AB/R</w:t>
            </w:r>
            <w:r w:rsidRPr="00B12B94">
              <w:rPr>
                <w:szCs w:val="18"/>
                <w:lang w:val="en-GB"/>
              </w:rPr>
              <w:t>, adopted 20 July 2005, DSR </w:t>
            </w:r>
            <w:proofErr w:type="gramStart"/>
            <w:r w:rsidRPr="00B12B94">
              <w:rPr>
                <w:szCs w:val="18"/>
                <w:lang w:val="en-GB"/>
              </w:rPr>
              <w:t>2005:XVI</w:t>
            </w:r>
            <w:proofErr w:type="gramEnd"/>
            <w:r w:rsidRPr="00B12B94">
              <w:rPr>
                <w:szCs w:val="18"/>
                <w:lang w:val="en-GB"/>
              </w:rPr>
              <w:t>, p. 8131</w:t>
            </w:r>
          </w:p>
        </w:tc>
      </w:tr>
      <w:tr w:rsidR="00130B46" w:rsidRPr="00AE62EF" w14:paraId="3DEAC66F" w14:textId="77777777" w:rsidTr="00972F13">
        <w:trPr>
          <w:cantSplit/>
          <w:trHeight w:val="397"/>
        </w:trPr>
        <w:tc>
          <w:tcPr>
            <w:tcW w:w="2268" w:type="dxa"/>
          </w:tcPr>
          <w:p w14:paraId="5A7B113A" w14:textId="77777777" w:rsidR="00130B46" w:rsidRPr="00FB09A8" w:rsidRDefault="00130B46" w:rsidP="00FF6585">
            <w:pPr>
              <w:pStyle w:val="TTTableText"/>
              <w:rPr>
                <w:i/>
                <w:iCs/>
                <w:szCs w:val="18"/>
              </w:rPr>
            </w:pPr>
            <w:r>
              <w:rPr>
                <w:i/>
                <w:iCs/>
              </w:rPr>
              <w:t>US – Countervailing Measures (China) (Article 21.5 – China)</w:t>
            </w:r>
          </w:p>
        </w:tc>
        <w:tc>
          <w:tcPr>
            <w:tcW w:w="7937" w:type="dxa"/>
          </w:tcPr>
          <w:p w14:paraId="3E50D43C" w14:textId="48014BD7" w:rsidR="00130B46" w:rsidRDefault="00130B46" w:rsidP="00FF6585">
            <w:pPr>
              <w:pStyle w:val="TTTableText"/>
              <w:rPr>
                <w:szCs w:val="18"/>
              </w:rPr>
            </w:pPr>
            <w:r>
              <w:rPr>
                <w:szCs w:val="18"/>
              </w:rPr>
              <w:t>Appellate Body Report,</w:t>
            </w:r>
            <w:r w:rsidRPr="00A323D6">
              <w:rPr>
                <w:rFonts w:ascii="Verdana" w:eastAsia="Calibri" w:hAnsi="Verdana" w:cs="Times New Roman"/>
                <w:i/>
                <w:iCs/>
                <w:color w:val="000000"/>
                <w:sz w:val="16"/>
                <w:szCs w:val="16"/>
                <w:lang w:val="en-GB"/>
              </w:rPr>
              <w:t xml:space="preserve"> </w:t>
            </w:r>
            <w:r w:rsidRPr="00A323D6">
              <w:rPr>
                <w:i/>
                <w:iCs/>
                <w:szCs w:val="18"/>
                <w:lang w:val="en-GB"/>
              </w:rPr>
              <w:t>United States – Countervailing Duty Measures on Certain Products from China – Recourse to Article 21.5 of the DSU by China,</w:t>
            </w:r>
            <w:r w:rsidRPr="00A323D6">
              <w:rPr>
                <w:iCs/>
                <w:szCs w:val="18"/>
                <w:lang w:val="en-GB"/>
              </w:rPr>
              <w:t xml:space="preserve"> </w:t>
            </w:r>
            <w:r w:rsidRPr="00C635E3">
              <w:rPr>
                <w:iCs/>
                <w:szCs w:val="18"/>
                <w:lang w:val="en-GB"/>
              </w:rPr>
              <w:t>WT/DS437/AB/RW</w:t>
            </w:r>
            <w:r w:rsidRPr="00A323D6">
              <w:rPr>
                <w:iCs/>
                <w:szCs w:val="18"/>
                <w:lang w:val="en-GB"/>
              </w:rPr>
              <w:t xml:space="preserve"> and Add.1, </w:t>
            </w:r>
            <w:r w:rsidRPr="00A323D6">
              <w:rPr>
                <w:szCs w:val="18"/>
                <w:lang w:val="en-GB"/>
              </w:rPr>
              <w:t>adopted 15 August 2019, DSR </w:t>
            </w:r>
            <w:proofErr w:type="gramStart"/>
            <w:r w:rsidRPr="00A323D6">
              <w:rPr>
                <w:szCs w:val="18"/>
                <w:lang w:val="en-GB"/>
              </w:rPr>
              <w:t>2019:IX</w:t>
            </w:r>
            <w:proofErr w:type="gramEnd"/>
            <w:r w:rsidRPr="00A323D6">
              <w:rPr>
                <w:szCs w:val="18"/>
                <w:lang w:val="en-GB"/>
              </w:rPr>
              <w:t>, p. 4737</w:t>
            </w:r>
            <w:r>
              <w:rPr>
                <w:szCs w:val="18"/>
              </w:rPr>
              <w:t xml:space="preserve"> </w:t>
            </w:r>
          </w:p>
        </w:tc>
      </w:tr>
      <w:tr w:rsidR="00130B46" w:rsidRPr="00AE62EF" w14:paraId="0D57348E" w14:textId="77777777" w:rsidTr="00972F13">
        <w:trPr>
          <w:cantSplit/>
          <w:trHeight w:val="397"/>
        </w:trPr>
        <w:tc>
          <w:tcPr>
            <w:tcW w:w="2268" w:type="dxa"/>
          </w:tcPr>
          <w:p w14:paraId="72CB527C" w14:textId="77777777" w:rsidR="00130B46" w:rsidRDefault="00130B46" w:rsidP="00FF6585">
            <w:pPr>
              <w:pStyle w:val="TTTableText"/>
              <w:rPr>
                <w:i/>
                <w:iCs/>
                <w:szCs w:val="18"/>
              </w:rPr>
            </w:pPr>
            <w:r w:rsidRPr="00FB09A8">
              <w:rPr>
                <w:i/>
                <w:iCs/>
                <w:szCs w:val="18"/>
              </w:rPr>
              <w:t>US – Softwood Lumber IV</w:t>
            </w:r>
          </w:p>
        </w:tc>
        <w:tc>
          <w:tcPr>
            <w:tcW w:w="7937" w:type="dxa"/>
          </w:tcPr>
          <w:p w14:paraId="7D2847CB" w14:textId="1C0EF5E2" w:rsidR="00130B46" w:rsidRPr="00A94ED4" w:rsidRDefault="00130B46" w:rsidP="00FF6585">
            <w:pPr>
              <w:pStyle w:val="TTTableText"/>
              <w:rPr>
                <w:szCs w:val="18"/>
              </w:rPr>
            </w:pPr>
            <w:r>
              <w:rPr>
                <w:szCs w:val="18"/>
              </w:rPr>
              <w:t xml:space="preserve">Appellate Body Report, </w:t>
            </w:r>
            <w:r w:rsidRPr="009B0979">
              <w:rPr>
                <w:i/>
                <w:szCs w:val="18"/>
                <w:lang w:val="en-GB"/>
              </w:rPr>
              <w:t>United States – Final Countervailing Duty Determination with Respect to Certain Softwood Lumber from Canada</w:t>
            </w:r>
            <w:r w:rsidRPr="009B0979">
              <w:rPr>
                <w:szCs w:val="18"/>
                <w:lang w:val="en-GB"/>
              </w:rPr>
              <w:t xml:space="preserve">, </w:t>
            </w:r>
            <w:r w:rsidRPr="00C635E3">
              <w:rPr>
                <w:szCs w:val="18"/>
                <w:lang w:val="en-GB"/>
              </w:rPr>
              <w:t>WT/DS257/AB/R</w:t>
            </w:r>
            <w:r w:rsidRPr="009B0979">
              <w:rPr>
                <w:szCs w:val="18"/>
                <w:lang w:val="en-GB"/>
              </w:rPr>
              <w:t>, adopted 17 February 2004, DSR </w:t>
            </w:r>
            <w:proofErr w:type="gramStart"/>
            <w:r w:rsidRPr="009B0979">
              <w:rPr>
                <w:szCs w:val="18"/>
                <w:lang w:val="en-GB"/>
              </w:rPr>
              <w:t>2004:II</w:t>
            </w:r>
            <w:proofErr w:type="gramEnd"/>
            <w:r w:rsidRPr="009B0979">
              <w:rPr>
                <w:szCs w:val="18"/>
                <w:lang w:val="en-GB"/>
              </w:rPr>
              <w:t>, p. 571</w:t>
            </w:r>
          </w:p>
        </w:tc>
      </w:tr>
      <w:tr w:rsidR="00130B46" w:rsidRPr="00AE62EF" w14:paraId="6ED489BF" w14:textId="77777777" w:rsidTr="00972F13">
        <w:trPr>
          <w:cantSplit/>
          <w:trHeight w:val="397"/>
        </w:trPr>
        <w:tc>
          <w:tcPr>
            <w:tcW w:w="2268" w:type="dxa"/>
          </w:tcPr>
          <w:p w14:paraId="6587DE29" w14:textId="77777777" w:rsidR="00130B46" w:rsidRPr="00335A96" w:rsidRDefault="00130B46" w:rsidP="00FF6585">
            <w:pPr>
              <w:pStyle w:val="TTTableText"/>
              <w:rPr>
                <w:rFonts w:cs="Calibri"/>
                <w:i/>
                <w:iCs/>
              </w:rPr>
            </w:pPr>
            <w:r>
              <w:rPr>
                <w:i/>
                <w:iCs/>
                <w:szCs w:val="18"/>
              </w:rPr>
              <w:t>US – Softwood Lumber VI (Article 21.5 – Canada)</w:t>
            </w:r>
          </w:p>
        </w:tc>
        <w:tc>
          <w:tcPr>
            <w:tcW w:w="7937" w:type="dxa"/>
          </w:tcPr>
          <w:p w14:paraId="2862BC0A" w14:textId="453566C7" w:rsidR="00130B46" w:rsidRPr="00335A96" w:rsidRDefault="00130B46" w:rsidP="00FF6585">
            <w:pPr>
              <w:pStyle w:val="TTTableText"/>
              <w:rPr>
                <w:rFonts w:cs="Calibri"/>
              </w:rPr>
            </w:pPr>
            <w:r>
              <w:rPr>
                <w:szCs w:val="18"/>
              </w:rPr>
              <w:t xml:space="preserve">Appellate Body Report, </w:t>
            </w:r>
            <w:r w:rsidRPr="005F4B24">
              <w:rPr>
                <w:i/>
                <w:szCs w:val="18"/>
                <w:lang w:val="en-GB"/>
              </w:rPr>
              <w:t>United States – Investigation of the International Trade Commission in Softwood Lumber from Canada – Recourse to Article 21.5 of the DSU by Canada</w:t>
            </w:r>
            <w:r w:rsidRPr="005F4B24">
              <w:rPr>
                <w:szCs w:val="18"/>
                <w:lang w:val="en-GB"/>
              </w:rPr>
              <w:t xml:space="preserve">, </w:t>
            </w:r>
            <w:r w:rsidRPr="00C635E3">
              <w:rPr>
                <w:szCs w:val="18"/>
                <w:lang w:val="en-GB"/>
              </w:rPr>
              <w:t>WT/DS277/AB/RW</w:t>
            </w:r>
            <w:r w:rsidRPr="005F4B24">
              <w:rPr>
                <w:szCs w:val="18"/>
                <w:lang w:val="en-GB"/>
              </w:rPr>
              <w:t xml:space="preserve">, adopted 9 May 2006, and Corr.1, DSR </w:t>
            </w:r>
            <w:proofErr w:type="gramStart"/>
            <w:r w:rsidRPr="005F4B24">
              <w:rPr>
                <w:szCs w:val="18"/>
                <w:lang w:val="en-GB"/>
              </w:rPr>
              <w:t>2006:XI</w:t>
            </w:r>
            <w:proofErr w:type="gramEnd"/>
            <w:r w:rsidRPr="005F4B24">
              <w:rPr>
                <w:szCs w:val="18"/>
                <w:lang w:val="en-GB"/>
              </w:rPr>
              <w:t>, p. 4865</w:t>
            </w:r>
          </w:p>
        </w:tc>
      </w:tr>
      <w:tr w:rsidR="00130B46" w:rsidRPr="00AE62EF" w14:paraId="6C0A13F0" w14:textId="77777777" w:rsidTr="00972F13">
        <w:trPr>
          <w:cantSplit/>
          <w:trHeight w:val="397"/>
        </w:trPr>
        <w:tc>
          <w:tcPr>
            <w:tcW w:w="2268" w:type="dxa"/>
          </w:tcPr>
          <w:p w14:paraId="6AB5547A" w14:textId="77777777" w:rsidR="00130B46" w:rsidRDefault="00130B46" w:rsidP="00FF6585">
            <w:pPr>
              <w:pStyle w:val="TTTableText"/>
              <w:rPr>
                <w:i/>
                <w:iCs/>
                <w:szCs w:val="18"/>
              </w:rPr>
            </w:pPr>
            <w:r w:rsidRPr="00C157EC">
              <w:rPr>
                <w:rFonts w:asciiTheme="minorHAnsi" w:hAnsiTheme="minorHAnsi" w:cstheme="minorHAnsi"/>
                <w:i/>
                <w:iCs/>
                <w:szCs w:val="18"/>
              </w:rPr>
              <w:t>US — Softwood Lumber VII</w:t>
            </w:r>
          </w:p>
        </w:tc>
        <w:tc>
          <w:tcPr>
            <w:tcW w:w="7937" w:type="dxa"/>
          </w:tcPr>
          <w:p w14:paraId="4976C255" w14:textId="2D7AAED5" w:rsidR="00130B46" w:rsidRDefault="00130B46" w:rsidP="00FF6585">
            <w:pPr>
              <w:pStyle w:val="TTTableText"/>
              <w:rPr>
                <w:szCs w:val="18"/>
              </w:rPr>
            </w:pPr>
            <w:r>
              <w:rPr>
                <w:szCs w:val="18"/>
              </w:rPr>
              <w:t xml:space="preserve">Panel Report, </w:t>
            </w:r>
            <w:r w:rsidRPr="00130B46">
              <w:rPr>
                <w:i/>
                <w:iCs/>
                <w:szCs w:val="18"/>
                <w:lang w:val="en-GB"/>
              </w:rPr>
              <w:t>United States – Countervailing Measures on Softwood Lumber from Canada</w:t>
            </w:r>
            <w:r w:rsidRPr="00130B46">
              <w:rPr>
                <w:szCs w:val="18"/>
                <w:lang w:val="en-GB"/>
              </w:rPr>
              <w:t xml:space="preserve">, </w:t>
            </w:r>
            <w:r w:rsidRPr="00C635E3">
              <w:rPr>
                <w:szCs w:val="18"/>
                <w:lang w:val="en-GB"/>
              </w:rPr>
              <w:t>WT/DS533/R</w:t>
            </w:r>
            <w:r w:rsidRPr="00130B46">
              <w:rPr>
                <w:szCs w:val="18"/>
                <w:lang w:val="en-GB"/>
              </w:rPr>
              <w:t xml:space="preserve"> and Add.1, circulated to WTO Members 24 August 2020, appealed 28 September 2020</w:t>
            </w:r>
          </w:p>
        </w:tc>
      </w:tr>
    </w:tbl>
    <w:p w14:paraId="59ABCEF4" w14:textId="77777777" w:rsidR="00130B46" w:rsidRPr="00AE62EF" w:rsidRDefault="00130B46" w:rsidP="00130B46">
      <w:pPr>
        <w:pStyle w:val="BTNSSBodyTextNoSpacingSmall"/>
        <w:rPr>
          <w:rFonts w:cs="Calibri"/>
        </w:rPr>
      </w:pPr>
    </w:p>
    <w:p w14:paraId="2F2F4EB8" w14:textId="77777777" w:rsidR="00130B46" w:rsidRPr="00F71EA3" w:rsidRDefault="00130B46" w:rsidP="00130B46">
      <w:pPr>
        <w:pStyle w:val="SHSectionHeading"/>
        <w:rPr>
          <w:rFonts w:cs="Calibri"/>
          <w:color w:val="auto"/>
        </w:rPr>
      </w:pPr>
      <w:bookmarkStart w:id="4" w:name="_Toc163465779"/>
      <w:bookmarkStart w:id="5" w:name="_Toc181267566"/>
      <w:r w:rsidRPr="00F71EA3">
        <w:rPr>
          <w:rFonts w:cs="Calibri"/>
          <w:color w:val="auto"/>
        </w:rPr>
        <w:t>List of Acronyms, Abbreviations and Short Forms</w:t>
      </w:r>
      <w:bookmarkEnd w:id="4"/>
      <w:bookmarkEnd w:id="5"/>
    </w:p>
    <w:tbl>
      <w:tblPr>
        <w:tblStyle w:val="TableGrid"/>
        <w:tblW w:w="5632" w:type="pct"/>
        <w:tblInd w:w="-572" w:type="dxa"/>
        <w:tblLook w:val="04A0" w:firstRow="1" w:lastRow="0" w:firstColumn="1" w:lastColumn="0" w:noHBand="0" w:noVBand="1"/>
      </w:tblPr>
      <w:tblGrid>
        <w:gridCol w:w="2268"/>
        <w:gridCol w:w="7937"/>
      </w:tblGrid>
      <w:tr w:rsidR="00972F13" w:rsidRPr="00AE62EF" w14:paraId="087E1C88" w14:textId="77777777" w:rsidTr="002D4D02">
        <w:trPr>
          <w:trHeight w:val="397"/>
          <w:tblHeader/>
        </w:trPr>
        <w:tc>
          <w:tcPr>
            <w:tcW w:w="2268" w:type="dxa"/>
            <w:shd w:val="clear" w:color="auto" w:fill="D9D9D9" w:themeFill="background1" w:themeFillShade="D9"/>
          </w:tcPr>
          <w:p w14:paraId="44EBA7C9" w14:textId="77777777" w:rsidR="00130B46" w:rsidRPr="00AE62EF" w:rsidRDefault="00130B46" w:rsidP="00FF6585">
            <w:pPr>
              <w:pStyle w:val="THTableHeading"/>
              <w:jc w:val="center"/>
              <w:rPr>
                <w:rFonts w:cs="Calibri"/>
              </w:rPr>
            </w:pPr>
            <w:r w:rsidRPr="00AE62EF">
              <w:rPr>
                <w:rFonts w:cs="Calibri"/>
              </w:rPr>
              <w:t>Abbreviation</w:t>
            </w:r>
          </w:p>
        </w:tc>
        <w:tc>
          <w:tcPr>
            <w:tcW w:w="7937" w:type="dxa"/>
            <w:shd w:val="clear" w:color="auto" w:fill="D9D9D9" w:themeFill="background1" w:themeFillShade="D9"/>
          </w:tcPr>
          <w:p w14:paraId="1F9093AD" w14:textId="77777777" w:rsidR="00130B46" w:rsidRPr="00AE62EF" w:rsidRDefault="00130B46" w:rsidP="00FF6585">
            <w:pPr>
              <w:pStyle w:val="THTableHeading"/>
              <w:jc w:val="center"/>
              <w:rPr>
                <w:rFonts w:cs="Calibri"/>
              </w:rPr>
            </w:pPr>
            <w:r w:rsidRPr="00AE62EF">
              <w:rPr>
                <w:rFonts w:cs="Calibri"/>
              </w:rPr>
              <w:t>Full Form or Description</w:t>
            </w:r>
          </w:p>
        </w:tc>
      </w:tr>
      <w:tr w:rsidR="00130B46" w:rsidRPr="00AE62EF" w14:paraId="0921E19C" w14:textId="77777777" w:rsidTr="00972F13">
        <w:trPr>
          <w:cantSplit/>
          <w:trHeight w:val="397"/>
        </w:trPr>
        <w:tc>
          <w:tcPr>
            <w:tcW w:w="2268" w:type="dxa"/>
          </w:tcPr>
          <w:p w14:paraId="69194839" w14:textId="77777777" w:rsidR="00130B46" w:rsidRPr="00AE62EF" w:rsidRDefault="00130B46" w:rsidP="00FF6585">
            <w:pPr>
              <w:pStyle w:val="TTTableText"/>
              <w:rPr>
                <w:rFonts w:cs="Calibri"/>
              </w:rPr>
            </w:pPr>
            <w:r w:rsidRPr="00213F6E">
              <w:t>Commission</w:t>
            </w:r>
          </w:p>
        </w:tc>
        <w:tc>
          <w:tcPr>
            <w:tcW w:w="7937" w:type="dxa"/>
          </w:tcPr>
          <w:p w14:paraId="09F4A31A" w14:textId="77777777" w:rsidR="00130B46" w:rsidRPr="00AE62EF" w:rsidRDefault="00130B46" w:rsidP="00FF6585">
            <w:pPr>
              <w:pStyle w:val="TTTableText"/>
              <w:rPr>
                <w:rFonts w:cs="Calibri"/>
              </w:rPr>
            </w:pPr>
            <w:r w:rsidRPr="00213F6E">
              <w:rPr>
                <w:rFonts w:asciiTheme="minorHAnsi" w:hAnsiTheme="minorHAnsi" w:cstheme="minorHAnsi"/>
              </w:rPr>
              <w:t>European Commission</w:t>
            </w:r>
          </w:p>
        </w:tc>
      </w:tr>
      <w:tr w:rsidR="00130B46" w:rsidRPr="00AE62EF" w14:paraId="68249B23" w14:textId="77777777" w:rsidTr="00972F13">
        <w:trPr>
          <w:cantSplit/>
          <w:trHeight w:val="397"/>
        </w:trPr>
        <w:tc>
          <w:tcPr>
            <w:tcW w:w="2268" w:type="dxa"/>
          </w:tcPr>
          <w:p w14:paraId="73D8C3E2" w14:textId="77777777" w:rsidR="00130B46" w:rsidRPr="00AE62EF" w:rsidRDefault="00130B46" w:rsidP="00FF6585">
            <w:pPr>
              <w:pStyle w:val="TTTableText"/>
              <w:rPr>
                <w:rFonts w:cs="Calibri"/>
              </w:rPr>
            </w:pPr>
            <w:r>
              <w:t>CPO</w:t>
            </w:r>
          </w:p>
        </w:tc>
        <w:tc>
          <w:tcPr>
            <w:tcW w:w="7937" w:type="dxa"/>
          </w:tcPr>
          <w:p w14:paraId="5DDFA75E" w14:textId="77777777" w:rsidR="00130B46" w:rsidRPr="00AE62EF" w:rsidRDefault="00130B46" w:rsidP="00FF6585">
            <w:pPr>
              <w:pStyle w:val="TTTableText"/>
              <w:rPr>
                <w:rFonts w:cs="Calibri"/>
              </w:rPr>
            </w:pPr>
            <w:r>
              <w:rPr>
                <w:rFonts w:asciiTheme="minorHAnsi" w:hAnsiTheme="minorHAnsi" w:cstheme="minorHAnsi"/>
              </w:rPr>
              <w:t>Crude palm oil</w:t>
            </w:r>
          </w:p>
        </w:tc>
      </w:tr>
      <w:tr w:rsidR="00130B46" w:rsidRPr="00AE62EF" w14:paraId="19198AF3" w14:textId="77777777" w:rsidTr="00972F13">
        <w:trPr>
          <w:cantSplit/>
          <w:trHeight w:val="397"/>
        </w:trPr>
        <w:tc>
          <w:tcPr>
            <w:tcW w:w="2268" w:type="dxa"/>
          </w:tcPr>
          <w:p w14:paraId="5F606D52" w14:textId="77777777" w:rsidR="00130B46" w:rsidRPr="00AE62EF" w:rsidRDefault="00130B46" w:rsidP="00FF6585">
            <w:pPr>
              <w:pStyle w:val="TTTableText"/>
              <w:rPr>
                <w:rFonts w:cs="Calibri"/>
              </w:rPr>
            </w:pPr>
            <w:r w:rsidRPr="00213F6E">
              <w:t>DSU</w:t>
            </w:r>
          </w:p>
        </w:tc>
        <w:tc>
          <w:tcPr>
            <w:tcW w:w="7937" w:type="dxa"/>
          </w:tcPr>
          <w:p w14:paraId="114EDA4E" w14:textId="77777777" w:rsidR="00130B46" w:rsidRPr="00AE62EF" w:rsidRDefault="00130B46" w:rsidP="00FF6585">
            <w:pPr>
              <w:pStyle w:val="TTTableText"/>
              <w:rPr>
                <w:rFonts w:cs="Calibri"/>
              </w:rPr>
            </w:pPr>
            <w:r w:rsidRPr="00213F6E">
              <w:rPr>
                <w:rFonts w:asciiTheme="minorHAnsi" w:hAnsiTheme="minorHAnsi" w:cstheme="minorHAnsi"/>
              </w:rPr>
              <w:t>Understanding</w:t>
            </w:r>
            <w:r w:rsidRPr="00213F6E">
              <w:rPr>
                <w:rFonts w:asciiTheme="minorHAnsi" w:hAnsiTheme="minorHAnsi" w:cstheme="minorHAnsi"/>
                <w:spacing w:val="-7"/>
              </w:rPr>
              <w:t xml:space="preserve"> </w:t>
            </w:r>
            <w:r w:rsidRPr="00213F6E">
              <w:rPr>
                <w:rFonts w:asciiTheme="minorHAnsi" w:hAnsiTheme="minorHAnsi" w:cstheme="minorHAnsi"/>
              </w:rPr>
              <w:t>on</w:t>
            </w:r>
            <w:r w:rsidRPr="00213F6E">
              <w:rPr>
                <w:rFonts w:asciiTheme="minorHAnsi" w:hAnsiTheme="minorHAnsi" w:cstheme="minorHAnsi"/>
                <w:spacing w:val="-7"/>
              </w:rPr>
              <w:t xml:space="preserve"> </w:t>
            </w:r>
            <w:r w:rsidRPr="00213F6E">
              <w:rPr>
                <w:rFonts w:asciiTheme="minorHAnsi" w:hAnsiTheme="minorHAnsi" w:cstheme="minorHAnsi"/>
              </w:rPr>
              <w:t>Rules</w:t>
            </w:r>
            <w:r w:rsidRPr="00213F6E">
              <w:rPr>
                <w:rFonts w:asciiTheme="minorHAnsi" w:hAnsiTheme="minorHAnsi" w:cstheme="minorHAnsi"/>
                <w:spacing w:val="-5"/>
              </w:rPr>
              <w:t xml:space="preserve"> </w:t>
            </w:r>
            <w:r w:rsidRPr="00213F6E">
              <w:rPr>
                <w:rFonts w:asciiTheme="minorHAnsi" w:hAnsiTheme="minorHAnsi" w:cstheme="minorHAnsi"/>
              </w:rPr>
              <w:t>and</w:t>
            </w:r>
            <w:r w:rsidRPr="00213F6E">
              <w:rPr>
                <w:rFonts w:asciiTheme="minorHAnsi" w:hAnsiTheme="minorHAnsi" w:cstheme="minorHAnsi"/>
                <w:spacing w:val="-7"/>
              </w:rPr>
              <w:t xml:space="preserve"> </w:t>
            </w:r>
            <w:r w:rsidRPr="00213F6E">
              <w:rPr>
                <w:rFonts w:asciiTheme="minorHAnsi" w:hAnsiTheme="minorHAnsi" w:cstheme="minorHAnsi"/>
              </w:rPr>
              <w:t>Procedures</w:t>
            </w:r>
            <w:r w:rsidRPr="00213F6E">
              <w:rPr>
                <w:rFonts w:asciiTheme="minorHAnsi" w:hAnsiTheme="minorHAnsi" w:cstheme="minorHAnsi"/>
                <w:spacing w:val="-7"/>
              </w:rPr>
              <w:t xml:space="preserve"> </w:t>
            </w:r>
            <w:r w:rsidRPr="00213F6E">
              <w:rPr>
                <w:rFonts w:asciiTheme="minorHAnsi" w:hAnsiTheme="minorHAnsi" w:cstheme="minorHAnsi"/>
              </w:rPr>
              <w:t>Governing</w:t>
            </w:r>
            <w:r w:rsidRPr="00213F6E">
              <w:rPr>
                <w:rFonts w:asciiTheme="minorHAnsi" w:hAnsiTheme="minorHAnsi" w:cstheme="minorHAnsi"/>
                <w:spacing w:val="-7"/>
              </w:rPr>
              <w:t xml:space="preserve"> </w:t>
            </w:r>
            <w:r w:rsidRPr="00213F6E">
              <w:rPr>
                <w:rFonts w:asciiTheme="minorHAnsi" w:hAnsiTheme="minorHAnsi" w:cstheme="minorHAnsi"/>
              </w:rPr>
              <w:t>the Settlement of Disputes</w:t>
            </w:r>
          </w:p>
        </w:tc>
      </w:tr>
      <w:tr w:rsidR="00130B46" w:rsidRPr="00AE62EF" w14:paraId="2CEE3B43" w14:textId="77777777" w:rsidTr="00972F13">
        <w:trPr>
          <w:cantSplit/>
          <w:trHeight w:val="397"/>
        </w:trPr>
        <w:tc>
          <w:tcPr>
            <w:tcW w:w="2268" w:type="dxa"/>
          </w:tcPr>
          <w:p w14:paraId="03F450FE" w14:textId="77777777" w:rsidR="00130B46" w:rsidRPr="00213F6E" w:rsidRDefault="00130B46" w:rsidP="00FF6585">
            <w:pPr>
              <w:pStyle w:val="TTTableText"/>
            </w:pPr>
            <w:r>
              <w:t>SCM Agreement</w:t>
            </w:r>
          </w:p>
        </w:tc>
        <w:tc>
          <w:tcPr>
            <w:tcW w:w="7937" w:type="dxa"/>
          </w:tcPr>
          <w:p w14:paraId="4ED3C30A" w14:textId="77777777" w:rsidR="00130B46" w:rsidRPr="00213F6E" w:rsidRDefault="00130B46" w:rsidP="00FF6585">
            <w:pPr>
              <w:pStyle w:val="TTTableText"/>
              <w:rPr>
                <w:rFonts w:asciiTheme="minorHAnsi" w:hAnsiTheme="minorHAnsi" w:cstheme="minorHAnsi"/>
              </w:rPr>
            </w:pPr>
            <w:r w:rsidRPr="00AE62EF">
              <w:rPr>
                <w:rFonts w:cs="Calibri"/>
              </w:rPr>
              <w:t>Agreement on Subsidies and Countervailing Measures</w:t>
            </w:r>
          </w:p>
        </w:tc>
      </w:tr>
      <w:tr w:rsidR="00130B46" w:rsidRPr="00AE62EF" w14:paraId="475AD329" w14:textId="77777777" w:rsidTr="00972F13">
        <w:trPr>
          <w:cantSplit/>
          <w:trHeight w:val="397"/>
        </w:trPr>
        <w:tc>
          <w:tcPr>
            <w:tcW w:w="2268" w:type="dxa"/>
          </w:tcPr>
          <w:p w14:paraId="4A645101" w14:textId="77777777" w:rsidR="00130B46" w:rsidRDefault="00130B46" w:rsidP="00FF6585">
            <w:pPr>
              <w:pStyle w:val="TTTableText"/>
            </w:pPr>
            <w:r>
              <w:t>WTO</w:t>
            </w:r>
          </w:p>
        </w:tc>
        <w:tc>
          <w:tcPr>
            <w:tcW w:w="7937" w:type="dxa"/>
          </w:tcPr>
          <w:p w14:paraId="05848123" w14:textId="77777777" w:rsidR="00130B46" w:rsidRPr="00213F6E" w:rsidRDefault="00130B46" w:rsidP="00FF6585">
            <w:pPr>
              <w:pStyle w:val="TTTableText"/>
              <w:rPr>
                <w:rFonts w:asciiTheme="minorHAnsi" w:hAnsiTheme="minorHAnsi" w:cstheme="minorHAnsi"/>
              </w:rPr>
            </w:pPr>
            <w:r>
              <w:rPr>
                <w:rFonts w:asciiTheme="minorHAnsi" w:hAnsiTheme="minorHAnsi" w:cstheme="minorHAnsi"/>
              </w:rPr>
              <w:t>World Trade Organization</w:t>
            </w:r>
          </w:p>
        </w:tc>
      </w:tr>
    </w:tbl>
    <w:p w14:paraId="27CE0D6D" w14:textId="3CCEF0E5" w:rsidR="00F71EA3" w:rsidRDefault="00E947C1" w:rsidP="00150BE4">
      <w:pPr>
        <w:pStyle w:val="HL1HeadingLevel1"/>
      </w:pPr>
      <w:r>
        <w:lastRenderedPageBreak/>
        <w:t>E</w:t>
      </w:r>
      <w:r w:rsidR="003C2CE0">
        <w:t xml:space="preserve">xecutive summary of </w:t>
      </w:r>
      <w:r>
        <w:t>A</w:t>
      </w:r>
      <w:r w:rsidR="003C2CE0">
        <w:t xml:space="preserve">ustralia's third party </w:t>
      </w:r>
      <w:r w:rsidR="00966BE9">
        <w:t xml:space="preserve">WRITTEN </w:t>
      </w:r>
      <w:r w:rsidR="003C2CE0">
        <w:t>submission</w:t>
      </w:r>
      <w:bookmarkEnd w:id="3"/>
    </w:p>
    <w:p w14:paraId="57180FCE" w14:textId="22A5D143" w:rsidR="00150BE4" w:rsidRDefault="00E947C1" w:rsidP="00E947C1">
      <w:pPr>
        <w:pStyle w:val="HL2HeadingLevel2"/>
      </w:pPr>
      <w:bookmarkStart w:id="6" w:name="_Toc181267568"/>
      <w:r>
        <w:t>Standard of review</w:t>
      </w:r>
      <w:bookmarkEnd w:id="6"/>
    </w:p>
    <w:p w14:paraId="19A9DFD7" w14:textId="31AA8D89" w:rsidR="004D31D7" w:rsidRDefault="004D31D7" w:rsidP="004D31D7">
      <w:pPr>
        <w:pStyle w:val="P1-N1Paragraph1-Number1"/>
      </w:pPr>
      <w:r w:rsidRPr="004D31D7">
        <w:t xml:space="preserve">The </w:t>
      </w:r>
      <w:r w:rsidR="00D907D7">
        <w:t>Panel is required to make an</w:t>
      </w:r>
      <w:r w:rsidR="008525B2" w:rsidRPr="008525B2">
        <w:t xml:space="preserve"> "objective assessment of the matter before it"</w:t>
      </w:r>
      <w:r w:rsidR="000C6364">
        <w:rPr>
          <w:rStyle w:val="FootnoteReference"/>
        </w:rPr>
        <w:footnoteReference w:id="1"/>
      </w:r>
      <w:r w:rsidR="00D907D7">
        <w:t xml:space="preserve"> and to determine</w:t>
      </w:r>
      <w:r w:rsidR="008525B2" w:rsidRPr="008525B2">
        <w:t xml:space="preserve"> whether the Commission discharged its obligations as an investigating authority</w:t>
      </w:r>
      <w:r w:rsidR="00165B09">
        <w:t xml:space="preserve"> </w:t>
      </w:r>
      <w:r w:rsidR="00C930C9">
        <w:t>by</w:t>
      </w:r>
      <w:r w:rsidR="00165B09">
        <w:t xml:space="preserve"> making </w:t>
      </w:r>
      <w:r w:rsidR="00063F6A">
        <w:t>"reasoned and adequate" conclusions, "in the light of the evidence on the record".</w:t>
      </w:r>
      <w:r w:rsidR="00063F6A">
        <w:rPr>
          <w:rStyle w:val="FootnoteReference"/>
        </w:rPr>
        <w:footnoteReference w:id="2"/>
      </w:r>
    </w:p>
    <w:p w14:paraId="41AC7A21" w14:textId="38E4C288" w:rsidR="00D50B5A" w:rsidRDefault="00A71196" w:rsidP="00D50B5A">
      <w:pPr>
        <w:pStyle w:val="HL2HeadingLevel2"/>
        <w:rPr>
          <w:szCs w:val="32"/>
        </w:rPr>
      </w:pPr>
      <w:bookmarkStart w:id="7" w:name="_Toc173163520"/>
      <w:bookmarkStart w:id="8" w:name="_Toc181267569"/>
      <w:r>
        <w:t xml:space="preserve">Financial contribution under </w:t>
      </w:r>
      <w:r w:rsidR="00D50B5A">
        <w:t>Art</w:t>
      </w:r>
      <w:r>
        <w:t>icle</w:t>
      </w:r>
      <w:r w:rsidR="00D50B5A">
        <w:t xml:space="preserve"> 1.1(a)(1)(iv) </w:t>
      </w:r>
      <w:r>
        <w:t xml:space="preserve">of the </w:t>
      </w:r>
      <w:r w:rsidR="00D50B5A">
        <w:t>SCM Agreement</w:t>
      </w:r>
      <w:bookmarkEnd w:id="7"/>
      <w:bookmarkEnd w:id="8"/>
    </w:p>
    <w:p w14:paraId="6B50743E" w14:textId="498E4094" w:rsidR="00715B72" w:rsidRPr="00715B72" w:rsidRDefault="00C444DA" w:rsidP="00715B72">
      <w:pPr>
        <w:pStyle w:val="P1-N1Paragraph1-Number1"/>
      </w:pPr>
      <w:r w:rsidRPr="00C444DA">
        <w:t xml:space="preserve">It is important that </w:t>
      </w:r>
      <w:r w:rsidR="00DF6FE7">
        <w:t>Article 1.1(a)(1)(iv) of the SCM Agreement</w:t>
      </w:r>
      <w:r w:rsidRPr="00C444DA">
        <w:t xml:space="preserve"> is properly interpreted so that its anti-circumvention objective</w:t>
      </w:r>
      <w:r w:rsidR="00252978">
        <w:rPr>
          <w:rStyle w:val="FootnoteReference"/>
        </w:rPr>
        <w:footnoteReference w:id="3"/>
      </w:r>
      <w:r w:rsidR="00252978">
        <w:t xml:space="preserve"> </w:t>
      </w:r>
      <w:r w:rsidRPr="00C444DA">
        <w:t xml:space="preserve">is given meaningful </w:t>
      </w:r>
      <w:proofErr w:type="gramStart"/>
      <w:r w:rsidRPr="00C444DA">
        <w:t>effect, and</w:t>
      </w:r>
      <w:proofErr w:type="gramEnd"/>
      <w:r w:rsidRPr="00C444DA">
        <w:t xml:space="preserve"> is not unduly constrained by overly narrow legal interpretations.</w:t>
      </w:r>
      <w:r w:rsidR="00715B72" w:rsidRPr="00715B72">
        <w:t xml:space="preserve"> </w:t>
      </w:r>
    </w:p>
    <w:p w14:paraId="5B960C46" w14:textId="668EDB3C" w:rsidR="00D43E61" w:rsidRDefault="00237B4F" w:rsidP="000B7C78">
      <w:pPr>
        <w:pStyle w:val="P1-N1Paragraph1-Number1"/>
      </w:pPr>
      <w:r w:rsidRPr="00237B4F">
        <w:t>A key point of divergence between the parties is the standard to establish that a relevant function under Article 1.1(a)(1)(iv) "</w:t>
      </w:r>
      <w:r w:rsidRPr="0015765E">
        <w:rPr>
          <w:b/>
          <w:bCs/>
        </w:rPr>
        <w:t>would normally be vested in the government</w:t>
      </w:r>
      <w:r w:rsidRPr="00237B4F">
        <w:t xml:space="preserve">".  </w:t>
      </w:r>
      <w:r w:rsidR="004C63CC">
        <w:t>That phrase</w:t>
      </w:r>
      <w:r w:rsidR="00AF2845">
        <w:t xml:space="preserve"> is not defined in the SCM Agreement and nor has its meaning been comprehensively addressed in previous disputes.</w:t>
      </w:r>
    </w:p>
    <w:p w14:paraId="7839B276" w14:textId="7ABFF29B" w:rsidR="00236BA6" w:rsidRDefault="00546C3D" w:rsidP="00236BA6">
      <w:pPr>
        <w:pStyle w:val="P1-N1Paragraph1-Number1"/>
      </w:pPr>
      <w:r>
        <w:t xml:space="preserve">Australia finds no support for </w:t>
      </w:r>
      <w:r w:rsidR="005C280D">
        <w:t>a narrow legal</w:t>
      </w:r>
      <w:r>
        <w:t xml:space="preserve"> standard which is automatically determined by </w:t>
      </w:r>
      <w:r w:rsidR="00883A3C">
        <w:t>government practice,</w:t>
      </w:r>
      <w:r w:rsidR="005C280D">
        <w:t xml:space="preserve"> </w:t>
      </w:r>
      <w:r w:rsidR="00883A3C">
        <w:t xml:space="preserve">as </w:t>
      </w:r>
      <w:r w:rsidR="005C280D">
        <w:t>argued by Indonesia</w:t>
      </w:r>
      <w:r>
        <w:t>. Indeed, the Appellate Body statement upon which Indonesia relies, refers to "what would ordinarily</w:t>
      </w:r>
      <w:r w:rsidRPr="00D43E61">
        <w:rPr>
          <w:i/>
          <w:iCs/>
        </w:rPr>
        <w:t xml:space="preserve"> </w:t>
      </w:r>
      <w:r>
        <w:t xml:space="preserve">be considered governmental practice </w:t>
      </w:r>
      <w:r w:rsidRPr="00D43E61">
        <w:rPr>
          <w:i/>
          <w:iCs/>
        </w:rPr>
        <w:t xml:space="preserve">in the legal order </w:t>
      </w:r>
      <w:r>
        <w:t xml:space="preserve">of the relevant </w:t>
      </w:r>
      <w:r w:rsidR="00F74D65">
        <w:t xml:space="preserve">[WTO] </w:t>
      </w:r>
      <w:r>
        <w:t>Member"</w:t>
      </w:r>
      <w:r>
        <w:rPr>
          <w:rStyle w:val="FootnoteReference"/>
        </w:rPr>
        <w:footnoteReference w:id="4"/>
      </w:r>
      <w:r>
        <w:t xml:space="preserve"> – and not to the concept of </w:t>
      </w:r>
      <w:r w:rsidRPr="00D43E61">
        <w:rPr>
          <w:i/>
          <w:iCs/>
        </w:rPr>
        <w:t>actual</w:t>
      </w:r>
      <w:r>
        <w:t xml:space="preserve"> practice. Such a narrow interpretation is also </w:t>
      </w:r>
      <w:r w:rsidR="00647B94">
        <w:t xml:space="preserve">inconsistent with the ordinary meaning of the word "vests", </w:t>
      </w:r>
      <w:r w:rsidR="00B67F84">
        <w:t>which does not limit the</w:t>
      </w:r>
      <w:r w:rsidR="00647B94">
        <w:t xml:space="preserve"> </w:t>
      </w:r>
      <w:r w:rsidR="00647B94" w:rsidRPr="00D43E61">
        <w:rPr>
          <w:i/>
          <w:iCs/>
        </w:rPr>
        <w:t xml:space="preserve">evidence </w:t>
      </w:r>
      <w:r w:rsidR="00647B94">
        <w:t xml:space="preserve">through which it must be demonstrated. </w:t>
      </w:r>
      <w:r w:rsidR="00D257F2">
        <w:t>A narrow interpretation is also incongr</w:t>
      </w:r>
      <w:r w:rsidR="001E5804">
        <w:t>uous with the final line of Article</w:t>
      </w:r>
      <w:r w:rsidR="009D3E31">
        <w:t> </w:t>
      </w:r>
      <w:r w:rsidR="001E5804">
        <w:t>1.1(a)(1)(iv), which broadly refers what is "normally followed by governments".</w:t>
      </w:r>
    </w:p>
    <w:p w14:paraId="7F1D0E29" w14:textId="111BD5BD" w:rsidR="00964C15" w:rsidRDefault="001C5724" w:rsidP="00236BA6">
      <w:pPr>
        <w:pStyle w:val="P1-N1Paragraph1-Number1"/>
      </w:pPr>
      <w:r>
        <w:lastRenderedPageBreak/>
        <w:t>Any reasoning</w:t>
      </w:r>
      <w:r w:rsidR="00964C15">
        <w:t xml:space="preserve"> based upon the "normally vested" criterion must </w:t>
      </w:r>
      <w:r>
        <w:t xml:space="preserve">also </w:t>
      </w:r>
      <w:r w:rsidR="00964C15">
        <w:t>be properly applied to the facts at question.</w:t>
      </w:r>
      <w:r w:rsidR="00964C15" w:rsidRPr="00236BA6">
        <w:rPr>
          <w:rFonts w:ascii="Times New Roman" w:hAnsi="Times New Roman" w:cs="Times New Roman"/>
          <w:lang w:eastAsia="en-AU"/>
        </w:rPr>
        <w:t xml:space="preserve"> </w:t>
      </w:r>
      <w:r w:rsidR="0065305B">
        <w:t xml:space="preserve">Australia finds it hard to reconcile the Commission's </w:t>
      </w:r>
      <w:r w:rsidR="00FE7DC5">
        <w:t>reasoning</w:t>
      </w:r>
      <w:r w:rsidR="00A42675">
        <w:t xml:space="preserve"> </w:t>
      </w:r>
      <w:r w:rsidR="00075C36">
        <w:t>–</w:t>
      </w:r>
      <w:r w:rsidR="0065305B">
        <w:t xml:space="preserve"> which</w:t>
      </w:r>
      <w:r w:rsidR="00075C36">
        <w:t xml:space="preserve"> </w:t>
      </w:r>
      <w:r w:rsidR="00FE7DC5">
        <w:t>seek</w:t>
      </w:r>
      <w:r w:rsidR="009F24F1">
        <w:t>s</w:t>
      </w:r>
      <w:r w:rsidR="00FE7DC5">
        <w:t xml:space="preserve"> to </w:t>
      </w:r>
      <w:r w:rsidR="00691059">
        <w:t>define</w:t>
      </w:r>
      <w:r w:rsidR="00FE7DC5">
        <w:t xml:space="preserve"> "provision of raw materials" a</w:t>
      </w:r>
      <w:r>
        <w:t>s</w:t>
      </w:r>
      <w:r w:rsidR="00FE7DC5">
        <w:t xml:space="preserve"> governmental function through the "</w:t>
      </w:r>
      <w:r w:rsidR="00D43E61">
        <w:t>exercise of sovereign rights</w:t>
      </w:r>
      <w:r w:rsidR="00FE7DC5">
        <w:t xml:space="preserve">" </w:t>
      </w:r>
      <w:r w:rsidR="00FD78A8">
        <w:t>–</w:t>
      </w:r>
      <w:r w:rsidR="00FE7DC5">
        <w:t xml:space="preserve"> with the</w:t>
      </w:r>
      <w:r w:rsidR="009F24F1">
        <w:t xml:space="preserve"> actual</w:t>
      </w:r>
      <w:r w:rsidR="00FE7DC5">
        <w:t xml:space="preserve"> </w:t>
      </w:r>
      <w:r w:rsidR="00821DCB">
        <w:t>good that was supplied (i.e. CPO)</w:t>
      </w:r>
      <w:r w:rsidR="00FE7DC5">
        <w:t>.</w:t>
      </w:r>
      <w:r w:rsidR="00D43E61">
        <w:t xml:space="preserve"> </w:t>
      </w:r>
      <w:r w:rsidR="0065305B">
        <w:t>While Australia forms no conclusions on the facts, CPO would generally seem to have the characteristics of a manufactured (i.e. processed) product</w:t>
      </w:r>
      <w:r w:rsidR="00FE7DC5">
        <w:t>, rather than a raw material.</w:t>
      </w:r>
    </w:p>
    <w:p w14:paraId="46BC9662" w14:textId="77777777" w:rsidR="00F551B1" w:rsidRDefault="00AF5959" w:rsidP="007431FB">
      <w:pPr>
        <w:pStyle w:val="P1-N1Paragraph1-Number1"/>
      </w:pPr>
      <w:r>
        <w:t>The parties also diverge to some extent on the scope of the legal standard of the phrase "</w:t>
      </w:r>
      <w:r w:rsidRPr="0015765E">
        <w:rPr>
          <w:b/>
          <w:bCs/>
        </w:rPr>
        <w:t>entrusts or directs</w:t>
      </w:r>
      <w:r>
        <w:t>" under Article 1.1(a)(1)(iv).</w:t>
      </w:r>
      <w:r w:rsidR="007431FB">
        <w:t xml:space="preserve"> </w:t>
      </w:r>
      <w:r w:rsidR="007769BC">
        <w:t xml:space="preserve">In Australia's view, the ordinary meaning of those terms </w:t>
      </w:r>
      <w:proofErr w:type="gramStart"/>
      <w:r w:rsidR="007769BC">
        <w:t>do</w:t>
      </w:r>
      <w:proofErr w:type="gramEnd"/>
      <w:r w:rsidR="001466E1">
        <w:t xml:space="preserve"> n</w:t>
      </w:r>
      <w:r w:rsidR="001466E1" w:rsidRPr="001466E1">
        <w:t>ot</w:t>
      </w:r>
      <w:r w:rsidR="00413997">
        <w:t xml:space="preserve"> exclude subtle or informal forms of communication</w:t>
      </w:r>
      <w:r w:rsidR="001A6B38">
        <w:t>, where properly supported on the evidence</w:t>
      </w:r>
      <w:r w:rsidR="00C0337A">
        <w:t>.</w:t>
      </w:r>
      <w:r w:rsidR="00413997">
        <w:t xml:space="preserve"> </w:t>
      </w:r>
    </w:p>
    <w:p w14:paraId="70129863" w14:textId="349DD845" w:rsidR="00B55C07" w:rsidRPr="00F551B1" w:rsidRDefault="007769BC" w:rsidP="00F551B1">
      <w:pPr>
        <w:pStyle w:val="P1-N1Paragraph1-Number1"/>
      </w:pPr>
      <w:r>
        <w:t>A</w:t>
      </w:r>
      <w:r w:rsidR="00A43C78">
        <w:t>ccordingly, A</w:t>
      </w:r>
      <w:r>
        <w:t>ustralia</w:t>
      </w:r>
      <w:r w:rsidR="007771D6">
        <w:t xml:space="preserve"> </w:t>
      </w:r>
      <w:r w:rsidR="00413997">
        <w:t>agree</w:t>
      </w:r>
      <w:r w:rsidR="0015765E">
        <w:t>s</w:t>
      </w:r>
      <w:r w:rsidR="00413997">
        <w:t xml:space="preserve"> with the Appellate Body that "an interpretation of the term 'entrusts' that is limited to acts of 'delegation' is too narrow"</w:t>
      </w:r>
      <w:r w:rsidR="00413997">
        <w:rPr>
          <w:rStyle w:val="FootnoteReference"/>
        </w:rPr>
        <w:footnoteReference w:id="5"/>
      </w:r>
      <w:r w:rsidR="00413997">
        <w:t xml:space="preserve"> and "an interpretation of the term 'directs' that is limited to acts of 'command' is also too narrow".</w:t>
      </w:r>
      <w:r w:rsidR="00413997">
        <w:rPr>
          <w:rStyle w:val="FootnoteReference"/>
        </w:rPr>
        <w:footnoteReference w:id="6"/>
      </w:r>
      <w:r w:rsidR="00413997">
        <w:t xml:space="preserve">  </w:t>
      </w:r>
      <w:r w:rsidR="008847BE">
        <w:t xml:space="preserve">Following from </w:t>
      </w:r>
      <w:r w:rsidR="008445E3">
        <w:t>th</w:t>
      </w:r>
      <w:r w:rsidR="001466E1">
        <w:t>at</w:t>
      </w:r>
      <w:r w:rsidR="008445E3">
        <w:t xml:space="preserve"> reasoning,</w:t>
      </w:r>
      <w:r w:rsidR="008847BE">
        <w:t xml:space="preserve"> Australia considers that it is possible, in appropriate circumstances, for inducement to support a finding of entrustment or direction. </w:t>
      </w:r>
    </w:p>
    <w:p w14:paraId="63AB066B" w14:textId="695F3B0C" w:rsidR="0051726C" w:rsidRDefault="00494CA0" w:rsidP="00294FB3">
      <w:pPr>
        <w:pStyle w:val="P1-N1Paragraph1-Number1"/>
      </w:pPr>
      <w:r>
        <w:t>E</w:t>
      </w:r>
      <w:r w:rsidR="00B55C07">
        <w:t>vidence in support of "entrustment or direction" should support a "demonstrable link between the government and the conduct of the private body".</w:t>
      </w:r>
      <w:r w:rsidR="00B55C07">
        <w:rPr>
          <w:rStyle w:val="FootnoteReference"/>
        </w:rPr>
        <w:footnoteReference w:id="7"/>
      </w:r>
      <w:r w:rsidR="00A80D81" w:rsidRPr="00A80D81">
        <w:t xml:space="preserve"> </w:t>
      </w:r>
      <w:r w:rsidR="00A80D81">
        <w:t>As the Appellate Body as also stated, "government 'entrustment' or 'direction' cannot be inadvertent or a mere by</w:t>
      </w:r>
      <w:r w:rsidR="0076473D">
        <w:noBreakHyphen/>
      </w:r>
      <w:r w:rsidR="00A80D81">
        <w:t>product of governmental regulation."</w:t>
      </w:r>
      <w:r w:rsidR="00A80D81">
        <w:rPr>
          <w:rStyle w:val="FootnoteReference"/>
        </w:rPr>
        <w:footnoteReference w:id="8"/>
      </w:r>
      <w:r w:rsidR="00B55C07">
        <w:t xml:space="preserve"> </w:t>
      </w:r>
      <w:bookmarkStart w:id="9" w:name="_Toc181267572"/>
      <w:r w:rsidR="00BB59E3">
        <w:t>In some cases, "[</w:t>
      </w:r>
      <w:proofErr w:type="spellStart"/>
      <w:r w:rsidR="00BB59E3">
        <w:t>i</w:t>
      </w:r>
      <w:proofErr w:type="spellEnd"/>
      <w:r w:rsidR="00BB59E3">
        <w:t>]</w:t>
      </w:r>
      <w:r w:rsidR="005719FE">
        <w:t>identifying</w:t>
      </w:r>
      <w:r w:rsidR="00BB59E3">
        <w:t xml:space="preserve"> [governmental] motive and intent" </w:t>
      </w:r>
      <w:r w:rsidR="005719FE">
        <w:t>through reliable evidence, may assist in th</w:t>
      </w:r>
      <w:r w:rsidR="00356AF8">
        <w:t>e examination of</w:t>
      </w:r>
      <w:r w:rsidR="00E25C35">
        <w:t xml:space="preserve"> entrustment and direction</w:t>
      </w:r>
      <w:r w:rsidR="00A80D81">
        <w:t xml:space="preserve">. </w:t>
      </w:r>
    </w:p>
    <w:p w14:paraId="36D1E365" w14:textId="7BE6E34D" w:rsidR="00AF2C49" w:rsidRDefault="003C2CE0" w:rsidP="0051726C">
      <w:pPr>
        <w:pStyle w:val="HL1HeadingLevel1"/>
      </w:pPr>
      <w:r>
        <w:t>executive summary of Australia's oral statement</w:t>
      </w:r>
      <w:bookmarkEnd w:id="9"/>
    </w:p>
    <w:p w14:paraId="55C6AAE9" w14:textId="0CE50163" w:rsidR="00AA6D40" w:rsidRDefault="0010357C" w:rsidP="00AA6D40">
      <w:pPr>
        <w:pStyle w:val="HL2HeadingLevel2"/>
      </w:pPr>
      <w:r>
        <w:t>Financial contribution "or" income or price support</w:t>
      </w:r>
    </w:p>
    <w:p w14:paraId="4108D676" w14:textId="092BA286" w:rsidR="004F2075" w:rsidRPr="006C37F1" w:rsidRDefault="00E14EA1" w:rsidP="002B6C02">
      <w:pPr>
        <w:pStyle w:val="P1-N1Paragraph1-Number1"/>
      </w:pPr>
      <w:bookmarkStart w:id="10" w:name="_Toc181267574"/>
      <w:r>
        <w:t>The parties disagree over whether the concepts of</w:t>
      </w:r>
      <w:r w:rsidR="00354AAB">
        <w:t xml:space="preserve"> "financial contribution" and "income or price" support in Article 1.1 of the SCM Agreement are mutually exclusive. </w:t>
      </w:r>
      <w:r w:rsidR="004A039B">
        <w:t xml:space="preserve">In the </w:t>
      </w:r>
      <w:r w:rsidR="004A039B">
        <w:lastRenderedPageBreak/>
        <w:t xml:space="preserve">context of </w:t>
      </w:r>
      <w:r w:rsidR="004A039B" w:rsidRPr="00CF284B">
        <w:rPr>
          <w:rFonts w:cs="Calibri"/>
        </w:rPr>
        <w:t xml:space="preserve">Articles 1.1(a)(1) and 1.1(a)(2), Australia considers </w:t>
      </w:r>
      <w:r w:rsidR="00893EA8" w:rsidRPr="00CF284B">
        <w:rPr>
          <w:rFonts w:cs="Calibri"/>
        </w:rPr>
        <w:t>that those concepts</w:t>
      </w:r>
      <w:r w:rsidR="004A039B" w:rsidRPr="00CF284B">
        <w:rPr>
          <w:rFonts w:cs="Calibri"/>
        </w:rPr>
        <w:t xml:space="preserve"> are </w:t>
      </w:r>
      <w:r w:rsidR="004A039B" w:rsidRPr="00CF284B">
        <w:rPr>
          <w:rFonts w:cs="Calibri"/>
          <w:i/>
          <w:iCs/>
        </w:rPr>
        <w:t>not</w:t>
      </w:r>
      <w:r w:rsidR="004A039B" w:rsidRPr="00CF284B">
        <w:rPr>
          <w:rFonts w:cs="Calibri"/>
        </w:rPr>
        <w:t xml:space="preserve"> mutually exclusive. </w:t>
      </w:r>
      <w:r w:rsidR="00640DB9" w:rsidRPr="00CF284B">
        <w:rPr>
          <w:rFonts w:cs="Calibri"/>
        </w:rPr>
        <w:t>T</w:t>
      </w:r>
      <w:r w:rsidR="00893EA8" w:rsidRPr="00CF284B">
        <w:rPr>
          <w:rFonts w:cs="Calibri"/>
        </w:rPr>
        <w:t>he</w:t>
      </w:r>
      <w:r w:rsidR="00640DB9" w:rsidRPr="00CF284B">
        <w:rPr>
          <w:rFonts w:cs="Calibri"/>
        </w:rPr>
        <w:t xml:space="preserve"> word "or" sits between </w:t>
      </w:r>
      <w:r w:rsidR="00373793" w:rsidRPr="00CF284B">
        <w:rPr>
          <w:rFonts w:cs="Calibri"/>
        </w:rPr>
        <w:t xml:space="preserve">those two </w:t>
      </w:r>
      <w:r w:rsidR="009D1D73">
        <w:rPr>
          <w:rFonts w:cs="Calibri"/>
        </w:rPr>
        <w:t>provisions;</w:t>
      </w:r>
      <w:r w:rsidR="00373793" w:rsidRPr="00CF284B">
        <w:rPr>
          <w:rFonts w:cs="Calibri"/>
        </w:rPr>
        <w:t xml:space="preserve"> the former </w:t>
      </w:r>
      <w:r w:rsidR="009D1D73">
        <w:rPr>
          <w:rFonts w:cs="Calibri"/>
        </w:rPr>
        <w:t xml:space="preserve">provision </w:t>
      </w:r>
      <w:r w:rsidR="00373793" w:rsidRPr="00CF284B">
        <w:rPr>
          <w:rFonts w:cs="Calibri"/>
        </w:rPr>
        <w:t>is</w:t>
      </w:r>
      <w:r w:rsidR="00870E17" w:rsidRPr="00CF284B">
        <w:rPr>
          <w:rFonts w:cs="Calibri"/>
        </w:rPr>
        <w:t xml:space="preserve"> closed list of </w:t>
      </w:r>
      <w:proofErr w:type="gramStart"/>
      <w:r w:rsidR="00870E17" w:rsidRPr="00CF284B">
        <w:rPr>
          <w:rFonts w:cs="Calibri"/>
        </w:rPr>
        <w:t>subsidies</w:t>
      </w:r>
      <w:proofErr w:type="gramEnd"/>
      <w:r w:rsidR="00870E17" w:rsidRPr="00CF284B">
        <w:rPr>
          <w:rFonts w:cs="Calibri"/>
        </w:rPr>
        <w:t xml:space="preserve"> and </w:t>
      </w:r>
      <w:r w:rsidR="00373793" w:rsidRPr="00CF284B">
        <w:rPr>
          <w:rFonts w:cs="Calibri"/>
        </w:rPr>
        <w:t xml:space="preserve">the latter is </w:t>
      </w:r>
      <w:r w:rsidR="00870E17" w:rsidRPr="00CF284B">
        <w:rPr>
          <w:rFonts w:cs="Calibri"/>
        </w:rPr>
        <w:t xml:space="preserve">an open concept that broadens that list. Australia considers </w:t>
      </w:r>
      <w:proofErr w:type="gramStart"/>
      <w:r w:rsidR="00870E17" w:rsidRPr="00CF284B">
        <w:rPr>
          <w:rFonts w:cs="Calibri"/>
        </w:rPr>
        <w:t>in order for</w:t>
      </w:r>
      <w:proofErr w:type="gramEnd"/>
      <w:r w:rsidR="00870E17" w:rsidRPr="00CF284B">
        <w:rPr>
          <w:rFonts w:cs="Calibri"/>
        </w:rPr>
        <w:t xml:space="preserve"> th</w:t>
      </w:r>
      <w:r w:rsidR="00157F48">
        <w:rPr>
          <w:rFonts w:cs="Calibri"/>
        </w:rPr>
        <w:t>ose</w:t>
      </w:r>
      <w:r w:rsidR="00870E17" w:rsidRPr="00CF284B">
        <w:rPr>
          <w:rFonts w:cs="Calibri"/>
        </w:rPr>
        <w:t xml:space="preserve"> concepts to be mutually exclusive, both </w:t>
      </w:r>
      <w:r w:rsidR="009D1D73">
        <w:rPr>
          <w:rFonts w:cs="Calibri"/>
        </w:rPr>
        <w:t xml:space="preserve">provisions </w:t>
      </w:r>
      <w:r w:rsidR="00870E17" w:rsidRPr="00CF284B">
        <w:rPr>
          <w:rFonts w:cs="Calibri"/>
        </w:rPr>
        <w:t>would need to be closed</w:t>
      </w:r>
      <w:r w:rsidR="00EB76BA">
        <w:rPr>
          <w:rFonts w:cs="Calibri"/>
        </w:rPr>
        <w:t xml:space="preserve"> concepts</w:t>
      </w:r>
      <w:r w:rsidR="00870E17" w:rsidRPr="00CF284B">
        <w:rPr>
          <w:rFonts w:cs="Calibri"/>
        </w:rPr>
        <w:t>. Given this is not the case, the context supports an</w:t>
      </w:r>
      <w:r w:rsidR="00870E17" w:rsidRPr="00CF284B">
        <w:rPr>
          <w:rFonts w:cs="Calibri"/>
          <w:i/>
          <w:iCs/>
        </w:rPr>
        <w:t xml:space="preserve"> inclusive</w:t>
      </w:r>
      <w:r w:rsidR="005D5772">
        <w:rPr>
          <w:rFonts w:cs="Calibri"/>
        </w:rPr>
        <w:t xml:space="preserve"> </w:t>
      </w:r>
      <w:r w:rsidR="00870E17" w:rsidRPr="00CF284B">
        <w:rPr>
          <w:rFonts w:cs="Calibri"/>
        </w:rPr>
        <w:t xml:space="preserve">interpretation of </w:t>
      </w:r>
      <w:r w:rsidR="009C7748">
        <w:rPr>
          <w:rFonts w:cs="Calibri"/>
        </w:rPr>
        <w:t xml:space="preserve">the word </w:t>
      </w:r>
      <w:r w:rsidR="00870E17" w:rsidRPr="00CF284B">
        <w:rPr>
          <w:rFonts w:cs="Calibri"/>
        </w:rPr>
        <w:t>"or"</w:t>
      </w:r>
      <w:r w:rsidR="009C7748">
        <w:rPr>
          <w:rFonts w:cs="Calibri"/>
        </w:rPr>
        <w:t xml:space="preserve"> </w:t>
      </w:r>
      <w:r w:rsidR="00BD2B51">
        <w:rPr>
          <w:rFonts w:cs="Calibri"/>
        </w:rPr>
        <w:t>between sub-paragraphs (1) and (2) of Article 1.1(a) of the SCM Agreement</w:t>
      </w:r>
      <w:r w:rsidR="009C7748">
        <w:rPr>
          <w:rFonts w:cs="Calibri"/>
        </w:rPr>
        <w:t>.</w:t>
      </w:r>
      <w:r w:rsidR="00CF284B">
        <w:rPr>
          <w:rStyle w:val="FootnoteReference"/>
          <w:rFonts w:cs="Calibri"/>
        </w:rPr>
        <w:footnoteReference w:id="9"/>
      </w:r>
      <w:r w:rsidR="009D1D73">
        <w:rPr>
          <w:rFonts w:cs="Calibri"/>
        </w:rPr>
        <w:t xml:space="preserve"> </w:t>
      </w:r>
    </w:p>
    <w:p w14:paraId="432EDBA9" w14:textId="5E658F6A" w:rsidR="004A039B" w:rsidRPr="004A039B" w:rsidRDefault="00043F05" w:rsidP="00043F05">
      <w:pPr>
        <w:pStyle w:val="HL2HeadingLevel2"/>
      </w:pPr>
      <w:r>
        <w:t>The Calculation of "Benefit"</w:t>
      </w:r>
    </w:p>
    <w:p w14:paraId="33D5EBCB" w14:textId="77777777" w:rsidR="0055554C" w:rsidRDefault="0055554C" w:rsidP="0055554C">
      <w:pPr>
        <w:pStyle w:val="P1-N1Paragraph1-Number1"/>
      </w:pPr>
      <w:r>
        <w:t xml:space="preserve">Another issue in dispute is whether the European Union acted inconsistently with Articles 1.1(b) and 14(d) of the SCM Agreement in determining that the provision of CPO conferred a benefit upon Indonesian biodiesel producers. </w:t>
      </w:r>
    </w:p>
    <w:p w14:paraId="30C3A8B5" w14:textId="7346629E" w:rsidR="0055554C" w:rsidRDefault="00284963" w:rsidP="0055554C">
      <w:pPr>
        <w:pStyle w:val="P1-N1Paragraph1-Number1"/>
      </w:pPr>
      <w:r>
        <w:t>To</w:t>
      </w:r>
      <w:r w:rsidR="0055554C">
        <w:t xml:space="preserve"> determine whether a benefit exists, Article 14 is "relevant context" for interpreting Article 1.1(b). Article 14(d)</w:t>
      </w:r>
      <w:proofErr w:type="gramStart"/>
      <w:r w:rsidR="0055554C">
        <w:t>, in particular, contains</w:t>
      </w:r>
      <w:proofErr w:type="gramEnd"/>
      <w:r w:rsidR="0055554C">
        <w:t xml:space="preserve"> guidelines for determining whether government purchases or provisions of goods make a recipient "better off" than it would otherwise be in the marketplace. This is ultimately a comparative exercise between the price of the good and an appropriately selected benchmark.</w:t>
      </w:r>
      <w:r w:rsidR="007C7319">
        <w:rPr>
          <w:rStyle w:val="FootnoteReference"/>
        </w:rPr>
        <w:footnoteReference w:id="10"/>
      </w:r>
      <w:r w:rsidR="0055554C">
        <w:t xml:space="preserve">  </w:t>
      </w:r>
    </w:p>
    <w:p w14:paraId="3A304BDD" w14:textId="1B7AB1AC" w:rsidR="00877463" w:rsidRDefault="00743012" w:rsidP="00743012">
      <w:pPr>
        <w:pStyle w:val="P1-N1Paragraph1-Number1"/>
        <w:rPr>
          <w:rFonts w:eastAsia="Calibri"/>
          <w:lang w:eastAsia="en-GB"/>
        </w:rPr>
      </w:pPr>
      <w:r>
        <w:rPr>
          <w:rFonts w:eastAsia="Calibri"/>
          <w:lang w:eastAsia="en-GB"/>
        </w:rPr>
        <w:t>The Appellate Body has stated that "the prices at which the same or similar goods are sold by private suppliers in arm</w:t>
      </w:r>
      <w:r>
        <w:t>'</w:t>
      </w:r>
      <w:r>
        <w:rPr>
          <w:rFonts w:eastAsia="Calibri"/>
          <w:lang w:eastAsia="en-GB"/>
        </w:rPr>
        <w:t xml:space="preserve">s-length transactions in the country of provision" are "the </w:t>
      </w:r>
      <w:r w:rsidRPr="007E649A">
        <w:rPr>
          <w:rFonts w:eastAsia="Calibri"/>
          <w:i/>
          <w:iCs/>
          <w:lang w:eastAsia="en-GB"/>
        </w:rPr>
        <w:t>starting poin</w:t>
      </w:r>
      <w:r>
        <w:rPr>
          <w:rFonts w:eastAsia="Calibri"/>
          <w:i/>
          <w:iCs/>
          <w:lang w:eastAsia="en-GB"/>
        </w:rPr>
        <w:t>t</w:t>
      </w:r>
      <w:r>
        <w:rPr>
          <w:rFonts w:eastAsia="Calibri"/>
          <w:lang w:eastAsia="en-GB"/>
        </w:rPr>
        <w:t xml:space="preserve"> of the analysis in determining a benchmark for the purposes of Article 14(d) of the SCM Agreement".</w:t>
      </w:r>
      <w:r>
        <w:rPr>
          <w:rFonts w:eastAsia="Calibri"/>
          <w:vertAlign w:val="superscript"/>
          <w:lang w:eastAsia="en-GB"/>
        </w:rPr>
        <w:footnoteReference w:id="11"/>
      </w:r>
      <w:r>
        <w:rPr>
          <w:rFonts w:eastAsia="Calibri"/>
          <w:lang w:eastAsia="en-GB"/>
        </w:rPr>
        <w:t xml:space="preserve"> However, a</w:t>
      </w:r>
      <w:r w:rsidR="00A9679E">
        <w:t>lternative benchmarks</w:t>
      </w:r>
      <w:r w:rsidR="001E5A36">
        <w:t xml:space="preserve"> to in</w:t>
      </w:r>
      <w:r w:rsidR="00D817E2">
        <w:t>-country prices</w:t>
      </w:r>
      <w:r w:rsidR="00A9679E">
        <w:t xml:space="preserve"> may be appropriate in certain circumstances.</w:t>
      </w:r>
      <w:r w:rsidR="00A9679E">
        <w:rPr>
          <w:rStyle w:val="FootnoteReference"/>
        </w:rPr>
        <w:footnoteReference w:id="12"/>
      </w:r>
      <w:r w:rsidR="00A9679E">
        <w:t xml:space="preserve"> The analysis necessary to arrive at an appropriate benchmark will vary depending upon the circumstances of the case, the characteristics of the market being examined, and the nature, quantity, and quality of the information.</w:t>
      </w:r>
      <w:r w:rsidR="00A9679E">
        <w:rPr>
          <w:rStyle w:val="FootnoteReference"/>
        </w:rPr>
        <w:footnoteReference w:id="13"/>
      </w:r>
      <w:r w:rsidR="00570763" w:rsidRPr="00743012">
        <w:rPr>
          <w:rFonts w:eastAsia="Calibri"/>
          <w:lang w:eastAsia="en-GB"/>
        </w:rPr>
        <w:t xml:space="preserve"> </w:t>
      </w:r>
    </w:p>
    <w:p w14:paraId="1D9A1309" w14:textId="61F855EA" w:rsidR="00AF2C49" w:rsidRDefault="003C2CE0" w:rsidP="00AF2C49">
      <w:pPr>
        <w:pStyle w:val="HL1HeadingLevel1"/>
      </w:pPr>
      <w:bookmarkStart w:id="11" w:name="_Toc181267575"/>
      <w:bookmarkEnd w:id="10"/>
      <w:r>
        <w:lastRenderedPageBreak/>
        <w:t xml:space="preserve">Executive </w:t>
      </w:r>
      <w:r w:rsidR="00207961">
        <w:t xml:space="preserve">summary of Australia's responses to </w:t>
      </w:r>
      <w:r w:rsidR="005C4DA1">
        <w:t>panel questions to the third parties</w:t>
      </w:r>
      <w:bookmarkEnd w:id="11"/>
    </w:p>
    <w:p w14:paraId="03216AB4" w14:textId="233F85C1" w:rsidR="00787AE9" w:rsidRPr="00787AE9" w:rsidRDefault="005C4DA1" w:rsidP="00787AE9">
      <w:pPr>
        <w:pStyle w:val="P1-N1Paragraph1-Number1"/>
      </w:pPr>
      <w:r w:rsidRPr="00787AE9">
        <w:rPr>
          <w:u w:val="single"/>
        </w:rPr>
        <w:t xml:space="preserve">Response to Question </w:t>
      </w:r>
      <w:r w:rsidR="00052F6E" w:rsidRPr="00787AE9">
        <w:rPr>
          <w:u w:val="single"/>
        </w:rPr>
        <w:t>5:</w:t>
      </w:r>
      <w:r w:rsidR="00052F6E">
        <w:t xml:space="preserve"> </w:t>
      </w:r>
      <w:r w:rsidR="00787AE9" w:rsidRPr="00787AE9">
        <w:t xml:space="preserve">The exercise of "free choice" by actors in the market cannot of itself preclude a finding of entrustment or direction under Article 1.1(a)(1)(iv) of the SCM Agreement. The legal analysis of entrustment or direction - and a </w:t>
      </w:r>
      <w:r w:rsidR="000943B7">
        <w:t xml:space="preserve">WTO </w:t>
      </w:r>
      <w:r w:rsidR="00787AE9" w:rsidRPr="00787AE9">
        <w:t xml:space="preserve">Member's responsibility for such - must focus on the acts of the WTO Member in question, rather than the effects of those acts, </w:t>
      </w:r>
      <w:r w:rsidR="00787AE9">
        <w:t>such as the</w:t>
      </w:r>
      <w:r w:rsidR="00787AE9" w:rsidRPr="00787AE9">
        <w:t xml:space="preserve"> reactions of market actors.</w:t>
      </w:r>
      <w:r w:rsidR="00787AE9" w:rsidRPr="00787AE9">
        <w:rPr>
          <w:vertAlign w:val="superscript"/>
        </w:rPr>
        <w:footnoteReference w:id="14"/>
      </w:r>
      <w:r w:rsidR="00787AE9" w:rsidRPr="00787AE9">
        <w:t xml:space="preserve"> </w:t>
      </w:r>
    </w:p>
    <w:p w14:paraId="34AD9C5E" w14:textId="768EABE0" w:rsidR="00585556" w:rsidRPr="00585556" w:rsidRDefault="00160CCD" w:rsidP="00585556">
      <w:pPr>
        <w:pStyle w:val="P1-N1Paragraph1-Number1"/>
      </w:pPr>
      <w:r w:rsidRPr="00E35DF7">
        <w:rPr>
          <w:u w:val="single"/>
        </w:rPr>
        <w:t>Response to Question 6:</w:t>
      </w:r>
      <w:r w:rsidR="00E35DF7">
        <w:t xml:space="preserve"> </w:t>
      </w:r>
      <w:r w:rsidR="00E35DF7" w:rsidRPr="00E35DF7">
        <w:t>Entrustment or direction under Article 1.1(a)(1)(iv) occurs where a government has given responsibility to a private body (i.e. entrustment) or exercised its authority over a private body (i.e. direction) in order to effectuate a financial contribution.</w:t>
      </w:r>
      <w:r w:rsidR="00E35DF7" w:rsidRPr="00E35DF7">
        <w:rPr>
          <w:vertAlign w:val="superscript"/>
        </w:rPr>
        <w:footnoteReference w:id="15"/>
      </w:r>
      <w:r w:rsidR="00E35DF7" w:rsidRPr="00E35DF7">
        <w:t xml:space="preserve"> </w:t>
      </w:r>
      <w:r w:rsidR="001C7C09">
        <w:t>That determination</w:t>
      </w:r>
      <w:r w:rsidR="00585556">
        <w:t xml:space="preserve"> </w:t>
      </w:r>
      <w:r w:rsidR="00585556" w:rsidRPr="00E35DF7">
        <w:t>"hinge</w:t>
      </w:r>
      <w:r w:rsidR="00585556">
        <w:t>[s]</w:t>
      </w:r>
      <w:r w:rsidR="00585556" w:rsidRPr="00E35DF7">
        <w:t xml:space="preserve"> on the particular facts of the case",</w:t>
      </w:r>
      <w:r w:rsidR="00585556" w:rsidRPr="00E35DF7">
        <w:rPr>
          <w:vertAlign w:val="superscript"/>
        </w:rPr>
        <w:footnoteReference w:id="16"/>
      </w:r>
      <w:r w:rsidR="00585556" w:rsidRPr="00E35DF7">
        <w:t xml:space="preserve"> irrespective of the label that is given to the government conduct in question</w:t>
      </w:r>
      <w:r w:rsidR="00585556">
        <w:t xml:space="preserve"> (e.g. "inducement" or "incentive</w:t>
      </w:r>
      <w:r w:rsidR="00F114F3">
        <w:t>" etc</w:t>
      </w:r>
      <w:r w:rsidR="00585556">
        <w:t>)</w:t>
      </w:r>
      <w:r w:rsidR="00F114F3">
        <w:t>,</w:t>
      </w:r>
      <w:r w:rsidR="00585556">
        <w:t xml:space="preserve"> and implies </w:t>
      </w:r>
      <w:r w:rsidR="00585556" w:rsidRPr="00585556">
        <w:rPr>
          <w:bCs/>
          <w:lang w:val="en-GB"/>
        </w:rPr>
        <w:t>"a more active role of the government than mere acts of encouragement".</w:t>
      </w:r>
      <w:r w:rsidR="00585556" w:rsidRPr="00585556">
        <w:rPr>
          <w:bCs/>
          <w:vertAlign w:val="superscript"/>
          <w:lang w:val="en-GB"/>
        </w:rPr>
        <w:footnoteReference w:id="17"/>
      </w:r>
      <w:r w:rsidR="00585556" w:rsidRPr="00585556">
        <w:rPr>
          <w:bCs/>
          <w:lang w:val="en-GB"/>
        </w:rPr>
        <w:t xml:space="preserve"> </w:t>
      </w:r>
    </w:p>
    <w:p w14:paraId="73393003" w14:textId="568C1EBE" w:rsidR="008E6C1B" w:rsidRDefault="00D01DEE" w:rsidP="00D01DEE">
      <w:pPr>
        <w:pStyle w:val="P1-N1Paragraph1-Number1"/>
      </w:pPr>
      <w:r w:rsidRPr="00D01DEE">
        <w:rPr>
          <w:u w:val="single"/>
        </w:rPr>
        <w:t>Response to Question 7:</w:t>
      </w:r>
      <w:r>
        <w:t xml:space="preserve"> </w:t>
      </w:r>
      <w:r w:rsidRPr="00D01DEE">
        <w:t>While actual</w:t>
      </w:r>
      <w:r w:rsidR="008E6C1B">
        <w:t xml:space="preserve"> governmental</w:t>
      </w:r>
      <w:r w:rsidRPr="00D01DEE">
        <w:t xml:space="preserve"> practice </w:t>
      </w:r>
      <w:r w:rsidR="00BB71E5">
        <w:t>might</w:t>
      </w:r>
      <w:r w:rsidRPr="00D01DEE">
        <w:t xml:space="preserve"> be </w:t>
      </w:r>
      <w:r w:rsidR="008E6C1B">
        <w:t>a relevant</w:t>
      </w:r>
      <w:r w:rsidRPr="00D01DEE">
        <w:t xml:space="preserve"> evidentiary factor in considering whether a function is "normally vested in the government"</w:t>
      </w:r>
      <w:r w:rsidR="004F3AA3">
        <w:t xml:space="preserve"> under Article 1.1(a)(1)(iv), </w:t>
      </w:r>
      <w:r w:rsidRPr="00D01DEE">
        <w:t xml:space="preserve">it is </w:t>
      </w:r>
      <w:r w:rsidR="004F3AA3">
        <w:t>not automatically</w:t>
      </w:r>
      <w:r w:rsidRPr="00D01DEE">
        <w:t xml:space="preserve"> </w:t>
      </w:r>
      <w:r w:rsidR="004F3AA3">
        <w:t xml:space="preserve">the </w:t>
      </w:r>
      <w:r w:rsidRPr="00D01DEE">
        <w:t>determining factor for that criterion</w:t>
      </w:r>
      <w:r w:rsidR="004F3AA3">
        <w:t>.</w:t>
      </w:r>
      <w:r w:rsidR="00C73D5C">
        <w:t xml:space="preserve"> </w:t>
      </w:r>
    </w:p>
    <w:p w14:paraId="273A00FA" w14:textId="280968D3" w:rsidR="006049AD" w:rsidRDefault="001B3DDB" w:rsidP="006049AD">
      <w:pPr>
        <w:pStyle w:val="P1-N1Paragraph1-Number1"/>
      </w:pPr>
      <w:r>
        <w:t>E</w:t>
      </w:r>
      <w:r w:rsidR="00C73D5C">
        <w:t>vidence that a practice is not permissible in the legal order of a government would</w:t>
      </w:r>
      <w:r>
        <w:t xml:space="preserve"> also</w:t>
      </w:r>
      <w:r w:rsidR="00C73D5C">
        <w:t xml:space="preserve"> logically </w:t>
      </w:r>
      <w:r w:rsidR="008E6C1B">
        <w:t>te</w:t>
      </w:r>
      <w:r w:rsidR="007D7EB4">
        <w:t>n</w:t>
      </w:r>
      <w:r w:rsidR="008E6C1B">
        <w:t xml:space="preserve">d to </w:t>
      </w:r>
      <w:r w:rsidR="00C73D5C">
        <w:t xml:space="preserve">suggest that </w:t>
      </w:r>
      <w:r w:rsidR="007D7EB4">
        <w:t>such a practice is</w:t>
      </w:r>
      <w:r w:rsidR="00C73D5C">
        <w:t xml:space="preserve"> not "normally vested in the government"</w:t>
      </w:r>
      <w:r w:rsidR="008E6C1B">
        <w:t xml:space="preserve">. </w:t>
      </w:r>
      <w:r w:rsidR="005D5772">
        <w:t>The</w:t>
      </w:r>
      <w:r w:rsidR="008E6C1B">
        <w:t xml:space="preserve"> analysis of any such evidence of permissibility</w:t>
      </w:r>
      <w:r w:rsidR="00427377">
        <w:t xml:space="preserve"> – or lack thereof -</w:t>
      </w:r>
      <w:r w:rsidR="008E6C1B">
        <w:t xml:space="preserve"> is</w:t>
      </w:r>
      <w:r w:rsidR="007D7EB4">
        <w:t xml:space="preserve"> fact-specific and </w:t>
      </w:r>
      <w:r>
        <w:t xml:space="preserve">is </w:t>
      </w:r>
      <w:r w:rsidR="007D7EB4">
        <w:t xml:space="preserve">not necessarily determined through any one </w:t>
      </w:r>
      <w:proofErr w:type="gramStart"/>
      <w:r w:rsidR="007D7EB4">
        <w:t>particular type of evidence</w:t>
      </w:r>
      <w:proofErr w:type="gramEnd"/>
      <w:r w:rsidR="008E6C1B">
        <w:t>.</w:t>
      </w:r>
    </w:p>
    <w:p w14:paraId="31B3A65C" w14:textId="46FA3055" w:rsidR="007F5450" w:rsidRPr="00EF6C77" w:rsidRDefault="001E788E" w:rsidP="006049AD">
      <w:pPr>
        <w:pStyle w:val="P1-N1Paragraph1-Number1"/>
      </w:pPr>
      <w:r w:rsidRPr="006049AD">
        <w:rPr>
          <w:u w:val="single"/>
        </w:rPr>
        <w:t>Response to Question 11:</w:t>
      </w:r>
      <w:r w:rsidR="006049AD">
        <w:t xml:space="preserve"> </w:t>
      </w:r>
      <w:r w:rsidR="006049AD" w:rsidRPr="006049AD">
        <w:rPr>
          <w:rFonts w:cs="Calibri"/>
          <w:lang w:val="en-GB"/>
        </w:rPr>
        <w:t>Broadly, Australia considers</w:t>
      </w:r>
      <w:r w:rsidR="006049AD" w:rsidRPr="006049AD">
        <w:rPr>
          <w:rFonts w:cs="Calibri"/>
          <w:bCs/>
          <w:lang w:val="en-GB"/>
        </w:rPr>
        <w:t xml:space="preserve"> the failure of an </w:t>
      </w:r>
      <w:r w:rsidR="00453715">
        <w:rPr>
          <w:rFonts w:cs="Calibri"/>
          <w:bCs/>
          <w:lang w:val="en-GB"/>
        </w:rPr>
        <w:t>"</w:t>
      </w:r>
      <w:r w:rsidR="006049AD" w:rsidRPr="006049AD">
        <w:rPr>
          <w:rFonts w:cs="Calibri"/>
          <w:bCs/>
          <w:lang w:val="en-GB"/>
        </w:rPr>
        <w:t>interested Member</w:t>
      </w:r>
      <w:r w:rsidR="00453715">
        <w:rPr>
          <w:rFonts w:cs="Calibri"/>
          <w:bCs/>
          <w:lang w:val="en-GB"/>
        </w:rPr>
        <w:t>"</w:t>
      </w:r>
      <w:r w:rsidR="006049AD" w:rsidRPr="006049AD">
        <w:rPr>
          <w:rFonts w:cs="Calibri"/>
          <w:bCs/>
          <w:lang w:val="en-GB"/>
        </w:rPr>
        <w:t xml:space="preserve"> to ensure the submission of information concerning entities unrelated to the </w:t>
      </w:r>
      <w:r w:rsidR="00453715">
        <w:rPr>
          <w:rFonts w:cs="Calibri"/>
          <w:bCs/>
          <w:lang w:val="en-GB"/>
        </w:rPr>
        <w:t>"</w:t>
      </w:r>
      <w:r w:rsidR="006049AD" w:rsidRPr="006049AD">
        <w:rPr>
          <w:rFonts w:cs="Calibri"/>
          <w:bCs/>
          <w:lang w:val="en-GB"/>
        </w:rPr>
        <w:t>interested Member</w:t>
      </w:r>
      <w:r w:rsidR="00453715">
        <w:rPr>
          <w:rFonts w:cs="Calibri"/>
          <w:bCs/>
          <w:lang w:val="en-GB"/>
        </w:rPr>
        <w:t>"</w:t>
      </w:r>
      <w:r w:rsidR="006049AD" w:rsidRPr="006049AD">
        <w:rPr>
          <w:rFonts w:cs="Calibri"/>
          <w:bCs/>
          <w:lang w:val="en-GB"/>
        </w:rPr>
        <w:t xml:space="preserve"> may, in some cases, provide an investigating authority with a valid basis to resort to facts available under Article 12.7 of the SCM Agreement. This assessment will depend upon the particular facts of the matter.</w:t>
      </w:r>
      <w:bookmarkEnd w:id="0"/>
    </w:p>
    <w:sectPr w:rsidR="007F5450" w:rsidRPr="00EF6C77" w:rsidSect="00130B46">
      <w:headerReference w:type="first" r:id="rId11"/>
      <w:footerReference w:type="first" r:id="rId12"/>
      <w:pgSz w:w="11906" w:h="16838" w:code="9"/>
      <w:pgMar w:top="1418" w:right="1418" w:bottom="127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13A7" w14:textId="77777777" w:rsidR="00FF61EB" w:rsidRDefault="00FF61EB" w:rsidP="00F71EA3">
      <w:pPr>
        <w:spacing w:after="0" w:line="240" w:lineRule="auto"/>
      </w:pPr>
      <w:r>
        <w:separator/>
      </w:r>
    </w:p>
  </w:endnote>
  <w:endnote w:type="continuationSeparator" w:id="0">
    <w:p w14:paraId="3AD2490B" w14:textId="77777777" w:rsidR="00FF61EB" w:rsidRDefault="00FF61EB"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E500" w14:textId="4FC01592" w:rsidR="00F74D65" w:rsidRDefault="00F74D65">
    <w:pPr>
      <w:pStyle w:val="Footer"/>
      <w:jc w:val="right"/>
    </w:pPr>
  </w:p>
  <w:p w14:paraId="78089E78" w14:textId="77777777" w:rsidR="00F74D65" w:rsidRDefault="00F74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88798"/>
      <w:docPartObj>
        <w:docPartGallery w:val="Page Numbers (Bottom of Page)"/>
        <w:docPartUnique/>
      </w:docPartObj>
    </w:sdtPr>
    <w:sdtEndPr>
      <w:rPr>
        <w:noProof/>
      </w:rPr>
    </w:sdtEndPr>
    <w:sdtContent>
      <w:p w14:paraId="2124E390" w14:textId="77777777" w:rsidR="006D25A9" w:rsidRDefault="006D25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AC2D6" w14:textId="77777777" w:rsidR="006D25A9" w:rsidRDefault="006D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1FF6" w14:textId="77777777" w:rsidR="00FF61EB" w:rsidRDefault="00FF61EB" w:rsidP="00F71EA3">
      <w:pPr>
        <w:spacing w:after="0" w:line="240" w:lineRule="auto"/>
      </w:pPr>
      <w:r>
        <w:separator/>
      </w:r>
    </w:p>
  </w:footnote>
  <w:footnote w:type="continuationSeparator" w:id="0">
    <w:p w14:paraId="643FB837" w14:textId="77777777" w:rsidR="00FF61EB" w:rsidRDefault="00FF61EB" w:rsidP="00F71EA3">
      <w:pPr>
        <w:spacing w:after="0" w:line="240" w:lineRule="auto"/>
      </w:pPr>
      <w:r>
        <w:continuationSeparator/>
      </w:r>
    </w:p>
  </w:footnote>
  <w:footnote w:id="1">
    <w:p w14:paraId="7D27A20F" w14:textId="0596C2F1" w:rsidR="000C6364" w:rsidRDefault="000C6364">
      <w:pPr>
        <w:pStyle w:val="FootnoteText"/>
      </w:pPr>
      <w:r>
        <w:rPr>
          <w:rStyle w:val="FootnoteReference"/>
        </w:rPr>
        <w:footnoteRef/>
      </w:r>
      <w:r>
        <w:t xml:space="preserve"> Article 11 of the DSU.</w:t>
      </w:r>
    </w:p>
  </w:footnote>
  <w:footnote w:id="2">
    <w:p w14:paraId="141E2938" w14:textId="684AE924" w:rsidR="00063F6A" w:rsidRDefault="00063F6A">
      <w:pPr>
        <w:pStyle w:val="FootnoteText"/>
      </w:pPr>
      <w:r>
        <w:rPr>
          <w:rStyle w:val="FootnoteReference"/>
        </w:rPr>
        <w:footnoteRef/>
      </w:r>
      <w:r>
        <w:t xml:space="preserve"> </w:t>
      </w:r>
      <w:r>
        <w:rPr>
          <w:szCs w:val="18"/>
        </w:rPr>
        <w:t xml:space="preserve">Appellate Body Report, </w:t>
      </w:r>
      <w:r>
        <w:rPr>
          <w:i/>
          <w:iCs/>
          <w:szCs w:val="18"/>
        </w:rPr>
        <w:t>US – Softwood Lumber VI (Article 21.5 – Canada)</w:t>
      </w:r>
      <w:r>
        <w:rPr>
          <w:szCs w:val="18"/>
        </w:rPr>
        <w:t xml:space="preserve">, para. 93. </w:t>
      </w:r>
      <w:r>
        <w:t xml:space="preserve"> </w:t>
      </w:r>
    </w:p>
  </w:footnote>
  <w:footnote w:id="3">
    <w:p w14:paraId="4FB0598C" w14:textId="19D83373" w:rsidR="00252978" w:rsidRDefault="00252978">
      <w:pPr>
        <w:pStyle w:val="FootnoteText"/>
      </w:pPr>
      <w:r>
        <w:rPr>
          <w:rStyle w:val="FootnoteReference"/>
        </w:rPr>
        <w:footnoteRef/>
      </w:r>
      <w:r>
        <w:rPr>
          <w:szCs w:val="18"/>
        </w:rPr>
        <w:t xml:space="preserve">Appellate Body Report, </w:t>
      </w:r>
      <w:r>
        <w:rPr>
          <w:i/>
          <w:iCs/>
          <w:szCs w:val="18"/>
        </w:rPr>
        <w:t>US – Softwood Lumber IV</w:t>
      </w:r>
      <w:r>
        <w:rPr>
          <w:szCs w:val="18"/>
        </w:rPr>
        <w:t xml:space="preserve">, para. 52 as quoted with approval in Appellate Body Report, </w:t>
      </w:r>
      <w:r>
        <w:rPr>
          <w:i/>
          <w:iCs/>
          <w:szCs w:val="18"/>
        </w:rPr>
        <w:t>US – Countervailing Duty Investigation on DRAMs</w:t>
      </w:r>
      <w:r>
        <w:rPr>
          <w:szCs w:val="18"/>
        </w:rPr>
        <w:t>, para. 113.</w:t>
      </w:r>
    </w:p>
  </w:footnote>
  <w:footnote w:id="4">
    <w:p w14:paraId="28259838" w14:textId="36C4360E" w:rsidR="00546C3D" w:rsidRDefault="00546C3D" w:rsidP="00546C3D">
      <w:pPr>
        <w:pStyle w:val="FootnoteText"/>
      </w:pPr>
      <w:r>
        <w:rPr>
          <w:rStyle w:val="FootnoteReference"/>
        </w:rPr>
        <w:footnoteRef/>
      </w:r>
      <w:r>
        <w:t xml:space="preserve"> Appellate Body Report, </w:t>
      </w:r>
      <w:r>
        <w:rPr>
          <w:i/>
          <w:iCs/>
        </w:rPr>
        <w:t>US – Anti-Dumping and Countervailing Duties (China)</w:t>
      </w:r>
      <w:r>
        <w:t>, para. 297 (emphasis added). See also, Indonesia's first written submission, para. 184. Australia further observes that the Appellate Body's statements were not specifically directed at the meaning of the phrase "normally … vested in the government"</w:t>
      </w:r>
      <w:r w:rsidR="007911F1">
        <w:t>. This</w:t>
      </w:r>
      <w:r>
        <w:t xml:space="preserve"> reduces the persuasiveness of the Appellate Body's statement</w:t>
      </w:r>
      <w:r w:rsidR="007911F1">
        <w:t>,</w:t>
      </w:r>
      <w:r>
        <w:t xml:space="preserve"> </w:t>
      </w:r>
      <w:r w:rsidR="007911F1">
        <w:t xml:space="preserve">in relation to </w:t>
      </w:r>
      <w:r>
        <w:t xml:space="preserve">the meaning of </w:t>
      </w:r>
      <w:r w:rsidR="007D1B61">
        <w:t>that term.</w:t>
      </w:r>
    </w:p>
  </w:footnote>
  <w:footnote w:id="5">
    <w:p w14:paraId="4288FFBD" w14:textId="77777777" w:rsidR="00413997" w:rsidRDefault="00413997" w:rsidP="00413997">
      <w:pPr>
        <w:pStyle w:val="FootnoteText"/>
      </w:pPr>
      <w:r>
        <w:rPr>
          <w:rStyle w:val="FootnoteReference"/>
        </w:rPr>
        <w:footnoteRef/>
      </w:r>
      <w:r>
        <w:t xml:space="preserve"> Appellate Body Report, </w:t>
      </w:r>
      <w:r>
        <w:rPr>
          <w:i/>
          <w:iCs/>
        </w:rPr>
        <w:t>US – Countervailing Duty Investigation on DRAMs</w:t>
      </w:r>
      <w:r>
        <w:t>, para. 110.</w:t>
      </w:r>
    </w:p>
  </w:footnote>
  <w:footnote w:id="6">
    <w:p w14:paraId="1CC7D293" w14:textId="77777777" w:rsidR="00413997" w:rsidRDefault="00413997" w:rsidP="00413997">
      <w:pPr>
        <w:pStyle w:val="FootnoteText"/>
      </w:pPr>
      <w:r>
        <w:rPr>
          <w:rStyle w:val="FootnoteReference"/>
        </w:rPr>
        <w:footnoteRef/>
      </w:r>
      <w:r>
        <w:t xml:space="preserve"> Appellate Body Report, </w:t>
      </w:r>
      <w:r>
        <w:rPr>
          <w:i/>
          <w:iCs/>
        </w:rPr>
        <w:t>US – Countervailing Duty Investigation on DRAMs</w:t>
      </w:r>
      <w:r>
        <w:t>, para. 111.</w:t>
      </w:r>
    </w:p>
  </w:footnote>
  <w:footnote w:id="7">
    <w:p w14:paraId="1DC2B95A" w14:textId="77777777" w:rsidR="00B55C07" w:rsidRDefault="00B55C07" w:rsidP="00B55C07">
      <w:pPr>
        <w:pStyle w:val="FootnoteText"/>
      </w:pPr>
      <w:r>
        <w:rPr>
          <w:rStyle w:val="FootnoteReference"/>
        </w:rPr>
        <w:footnoteRef/>
      </w:r>
      <w:r>
        <w:t xml:space="preserve"> Appellate Body Report, </w:t>
      </w:r>
      <w:r>
        <w:rPr>
          <w:i/>
          <w:iCs/>
        </w:rPr>
        <w:t>US – Countervailing Duty Investigation on DRAMs</w:t>
      </w:r>
      <w:r>
        <w:t>, para. 112. See also, Appellate Body Report,</w:t>
      </w:r>
      <w:r>
        <w:rPr>
          <w:i/>
          <w:iCs/>
        </w:rPr>
        <w:t xml:space="preserve"> US – Countervailing Measures (China) (Article 21.5 – China), </w:t>
      </w:r>
      <w:r>
        <w:t>para. 5.103.</w:t>
      </w:r>
    </w:p>
  </w:footnote>
  <w:footnote w:id="8">
    <w:p w14:paraId="6929D8AD" w14:textId="77777777" w:rsidR="00A80D81" w:rsidRDefault="00A80D81" w:rsidP="00A80D81">
      <w:pPr>
        <w:pStyle w:val="FootnoteText"/>
      </w:pPr>
      <w:r>
        <w:rPr>
          <w:rStyle w:val="FootnoteReference"/>
        </w:rPr>
        <w:footnoteRef/>
      </w:r>
      <w:r>
        <w:t xml:space="preserve"> Appellate Body Report, </w:t>
      </w:r>
      <w:r>
        <w:rPr>
          <w:i/>
          <w:iCs/>
        </w:rPr>
        <w:t>US – Countervailing Duty Investigation on DRAMs</w:t>
      </w:r>
      <w:r>
        <w:t>, para. 114. (footnote omitted)</w:t>
      </w:r>
    </w:p>
  </w:footnote>
  <w:footnote w:id="9">
    <w:p w14:paraId="23A4CF54" w14:textId="65EFFD7C" w:rsidR="00CF284B" w:rsidRDefault="00CF284B">
      <w:pPr>
        <w:pStyle w:val="FootnoteText"/>
      </w:pPr>
      <w:r>
        <w:rPr>
          <w:rStyle w:val="FootnoteReference"/>
        </w:rPr>
        <w:footnoteRef/>
      </w:r>
      <w:r>
        <w:t xml:space="preserve"> This understanding is supported by the Panel's findings in Panel Report, </w:t>
      </w:r>
      <w:r w:rsidRPr="0010150A">
        <w:rPr>
          <w:i/>
          <w:iCs/>
        </w:rPr>
        <w:t>EU and Certain Member States — Palm Oil (Malaysia)</w:t>
      </w:r>
      <w:r>
        <w:t>, para. 7.1354, which determined that income support as direct government intervention in the market could also, depending on the circumstances, amount to a direct transfer of funds under Article 1.1(a)(1)(</w:t>
      </w:r>
      <w:proofErr w:type="spellStart"/>
      <w:r>
        <w:t>i</w:t>
      </w:r>
      <w:proofErr w:type="spellEnd"/>
      <w:r>
        <w:t>) of the SCM Agreement.</w:t>
      </w:r>
    </w:p>
  </w:footnote>
  <w:footnote w:id="10">
    <w:p w14:paraId="109D93D5" w14:textId="612DC80D" w:rsidR="007C7319" w:rsidRDefault="007C7319">
      <w:pPr>
        <w:pStyle w:val="FootnoteText"/>
      </w:pPr>
      <w:r>
        <w:rPr>
          <w:rStyle w:val="FootnoteReference"/>
        </w:rPr>
        <w:footnoteRef/>
      </w:r>
      <w:r>
        <w:t xml:space="preserve"> See e.g. </w:t>
      </w:r>
      <w:r w:rsidRPr="00C157EC">
        <w:rPr>
          <w:rFonts w:asciiTheme="minorHAnsi" w:hAnsiTheme="minorHAnsi" w:cstheme="minorHAnsi"/>
          <w:szCs w:val="18"/>
        </w:rPr>
        <w:t>Appellate Body Report</w:t>
      </w:r>
      <w:r>
        <w:rPr>
          <w:rFonts w:asciiTheme="minorHAnsi" w:hAnsiTheme="minorHAnsi" w:cstheme="minorHAnsi"/>
          <w:szCs w:val="18"/>
        </w:rPr>
        <w:t>s</w:t>
      </w:r>
      <w:r w:rsidRPr="00C157EC">
        <w:rPr>
          <w:rFonts w:asciiTheme="minorHAnsi" w:hAnsiTheme="minorHAnsi" w:cstheme="minorHAnsi"/>
          <w:szCs w:val="18"/>
        </w:rPr>
        <w:t xml:space="preserve">, </w:t>
      </w:r>
      <w:r w:rsidRPr="00C157EC">
        <w:rPr>
          <w:rFonts w:asciiTheme="minorHAnsi" w:hAnsiTheme="minorHAnsi" w:cstheme="minorHAnsi"/>
          <w:i/>
          <w:iCs/>
          <w:szCs w:val="18"/>
        </w:rPr>
        <w:t>Canada – Renewable Energy</w:t>
      </w:r>
      <w:r w:rsidRPr="00C157EC">
        <w:rPr>
          <w:rFonts w:asciiTheme="minorHAnsi" w:hAnsiTheme="minorHAnsi" w:cstheme="minorHAnsi"/>
          <w:szCs w:val="18"/>
        </w:rPr>
        <w:t>, para. 5.163</w:t>
      </w:r>
      <w:r>
        <w:rPr>
          <w:rFonts w:asciiTheme="minorHAnsi" w:hAnsiTheme="minorHAnsi" w:cstheme="minorHAnsi"/>
          <w:szCs w:val="18"/>
        </w:rPr>
        <w:t>;</w:t>
      </w:r>
      <w:r w:rsidRPr="00C157EC">
        <w:rPr>
          <w:rFonts w:asciiTheme="minorHAnsi" w:hAnsiTheme="minorHAnsi" w:cstheme="minorHAnsi"/>
          <w:szCs w:val="18"/>
        </w:rPr>
        <w:t xml:space="preserve"> </w:t>
      </w:r>
      <w:r w:rsidRPr="00C157EC">
        <w:rPr>
          <w:rFonts w:asciiTheme="minorHAnsi" w:hAnsiTheme="minorHAnsi" w:cstheme="minorHAnsi"/>
          <w:i/>
          <w:iCs/>
          <w:szCs w:val="18"/>
        </w:rPr>
        <w:t>US — Countervailing Measures (China) (Article 21.5 – China)</w:t>
      </w:r>
      <w:r w:rsidRPr="00C157EC">
        <w:rPr>
          <w:rFonts w:asciiTheme="minorHAnsi" w:hAnsiTheme="minorHAnsi" w:cstheme="minorHAnsi"/>
          <w:szCs w:val="18"/>
        </w:rPr>
        <w:t>, paras. 5.134-5.135.</w:t>
      </w:r>
    </w:p>
  </w:footnote>
  <w:footnote w:id="11">
    <w:p w14:paraId="48055D64" w14:textId="77777777" w:rsidR="00743012" w:rsidRPr="00C157EC" w:rsidRDefault="00743012" w:rsidP="00743012">
      <w:pPr>
        <w:pStyle w:val="FootnoteText"/>
        <w:rPr>
          <w:rFonts w:asciiTheme="minorHAnsi" w:hAnsiTheme="minorHAnsi" w:cstheme="minorHAnsi"/>
          <w:szCs w:val="18"/>
        </w:rPr>
      </w:pPr>
      <w:r w:rsidRPr="00C157EC">
        <w:rPr>
          <w:rStyle w:val="FootnoteReference"/>
          <w:rFonts w:asciiTheme="minorHAnsi" w:hAnsiTheme="minorHAnsi" w:cstheme="minorHAnsi"/>
          <w:szCs w:val="18"/>
        </w:rPr>
        <w:footnoteRef/>
      </w:r>
      <w:r w:rsidRPr="00C157EC">
        <w:rPr>
          <w:rFonts w:asciiTheme="minorHAnsi" w:hAnsiTheme="minorHAnsi" w:cstheme="minorHAnsi"/>
          <w:szCs w:val="18"/>
        </w:rPr>
        <w:t xml:space="preserve"> Appellate Body Report, </w:t>
      </w:r>
      <w:r w:rsidRPr="00C157EC">
        <w:rPr>
          <w:rFonts w:asciiTheme="minorHAnsi" w:hAnsiTheme="minorHAnsi" w:cstheme="minorHAnsi"/>
          <w:i/>
          <w:iCs/>
          <w:szCs w:val="18"/>
        </w:rPr>
        <w:t>US – Carbon Steel (India)</w:t>
      </w:r>
      <w:r w:rsidRPr="00C157EC">
        <w:rPr>
          <w:rFonts w:asciiTheme="minorHAnsi" w:hAnsiTheme="minorHAnsi" w:cstheme="minorHAnsi"/>
          <w:szCs w:val="18"/>
        </w:rPr>
        <w:t>, para. 4.154</w:t>
      </w:r>
      <w:r>
        <w:rPr>
          <w:rFonts w:asciiTheme="minorHAnsi" w:hAnsiTheme="minorHAnsi" w:cstheme="minorHAnsi"/>
          <w:szCs w:val="18"/>
        </w:rPr>
        <w:t>, (emphasis added)</w:t>
      </w:r>
      <w:r w:rsidRPr="00C157EC">
        <w:rPr>
          <w:rFonts w:asciiTheme="minorHAnsi" w:hAnsiTheme="minorHAnsi" w:cstheme="minorHAnsi"/>
          <w:szCs w:val="18"/>
        </w:rPr>
        <w:t>.</w:t>
      </w:r>
    </w:p>
  </w:footnote>
  <w:footnote w:id="12">
    <w:p w14:paraId="7BDF422A" w14:textId="473EAC56" w:rsidR="00A9679E" w:rsidRDefault="00A9679E" w:rsidP="00A9679E">
      <w:pPr>
        <w:pStyle w:val="FootnoteText"/>
      </w:pPr>
      <w:r>
        <w:rPr>
          <w:rStyle w:val="FootnoteReference"/>
        </w:rPr>
        <w:footnoteRef/>
      </w:r>
      <w:r>
        <w:t xml:space="preserve"> See e.g. </w:t>
      </w:r>
      <w:r w:rsidRPr="00C157EC">
        <w:rPr>
          <w:rFonts w:asciiTheme="minorHAnsi" w:hAnsiTheme="minorHAnsi" w:cstheme="minorHAnsi"/>
          <w:szCs w:val="18"/>
        </w:rPr>
        <w:t xml:space="preserve">Panel Report, </w:t>
      </w:r>
      <w:r w:rsidRPr="00C157EC">
        <w:rPr>
          <w:rFonts w:asciiTheme="minorHAnsi" w:hAnsiTheme="minorHAnsi" w:cstheme="minorHAnsi"/>
          <w:i/>
          <w:iCs/>
          <w:szCs w:val="18"/>
        </w:rPr>
        <w:t>US — Softwood Lumber VII</w:t>
      </w:r>
      <w:r w:rsidRPr="00C157EC">
        <w:rPr>
          <w:rFonts w:asciiTheme="minorHAnsi" w:hAnsiTheme="minorHAnsi" w:cstheme="minorHAnsi"/>
          <w:szCs w:val="18"/>
        </w:rPr>
        <w:t>, para. 7.145</w:t>
      </w:r>
      <w:r>
        <w:rPr>
          <w:rFonts w:asciiTheme="minorHAnsi" w:hAnsiTheme="minorHAnsi" w:cstheme="minorHAnsi"/>
          <w:szCs w:val="18"/>
        </w:rPr>
        <w:t xml:space="preserve">; </w:t>
      </w:r>
      <w:r w:rsidRPr="006C6D37">
        <w:rPr>
          <w:rFonts w:asciiTheme="minorHAnsi" w:hAnsiTheme="minorHAnsi" w:cstheme="minorHAnsi"/>
          <w:szCs w:val="18"/>
        </w:rPr>
        <w:t xml:space="preserve">Appellate Body Report, </w:t>
      </w:r>
      <w:r w:rsidRPr="006C6D37">
        <w:rPr>
          <w:rFonts w:asciiTheme="minorHAnsi" w:hAnsiTheme="minorHAnsi" w:cstheme="minorHAnsi"/>
          <w:i/>
          <w:iCs/>
          <w:szCs w:val="18"/>
          <w:lang w:val="en-GB"/>
        </w:rPr>
        <w:t>US – Softwood Lumber IV</w:t>
      </w:r>
      <w:r w:rsidRPr="006C6D37">
        <w:rPr>
          <w:rFonts w:asciiTheme="minorHAnsi" w:hAnsiTheme="minorHAnsi" w:cstheme="minorHAnsi"/>
          <w:szCs w:val="18"/>
          <w:lang w:val="en-GB"/>
        </w:rPr>
        <w:t>, para. 106.</w:t>
      </w:r>
      <w:r w:rsidR="00D817E2">
        <w:rPr>
          <w:rFonts w:asciiTheme="minorHAnsi" w:hAnsiTheme="minorHAnsi" w:cstheme="minorHAnsi"/>
          <w:szCs w:val="18"/>
          <w:lang w:val="en-GB"/>
        </w:rPr>
        <w:t xml:space="preserve"> </w:t>
      </w:r>
      <w:r w:rsidR="00D817E2" w:rsidRPr="006018C8">
        <w:rPr>
          <w:rFonts w:eastAsia="Calibri"/>
          <w:lang w:val="en-GB" w:eastAsia="en-GB"/>
        </w:rPr>
        <w:t>In-country prices of the relevant good will not be appropriate where</w:t>
      </w:r>
      <w:r w:rsidR="00D817E2">
        <w:t xml:space="preserve"> </w:t>
      </w:r>
      <w:r w:rsidR="00D817E2" w:rsidRPr="006018C8">
        <w:rPr>
          <w:rFonts w:eastAsia="Calibri"/>
          <w:lang w:val="en-GB" w:eastAsia="en-GB"/>
        </w:rPr>
        <w:t xml:space="preserve">they deviate from market-determined prices </w:t>
      </w:r>
      <w:proofErr w:type="gramStart"/>
      <w:r w:rsidR="00D817E2" w:rsidRPr="006018C8">
        <w:rPr>
          <w:rFonts w:eastAsia="Calibri"/>
          <w:lang w:val="en-GB" w:eastAsia="en-GB"/>
        </w:rPr>
        <w:t>as a result of</w:t>
      </w:r>
      <w:proofErr w:type="gramEnd"/>
      <w:r w:rsidR="00D817E2" w:rsidRPr="006018C8">
        <w:rPr>
          <w:rFonts w:eastAsia="Calibri"/>
          <w:lang w:val="en-GB" w:eastAsia="en-GB"/>
        </w:rPr>
        <w:t xml:space="preserve"> government intervention in the market</w:t>
      </w:r>
      <w:r w:rsidR="00D817E2">
        <w:rPr>
          <w:rFonts w:eastAsia="Calibri"/>
          <w:lang w:val="en-GB" w:eastAsia="en-GB"/>
        </w:rPr>
        <w:t xml:space="preserve">: </w:t>
      </w:r>
      <w:r w:rsidR="00D817E2" w:rsidRPr="00C157EC">
        <w:rPr>
          <w:rFonts w:asciiTheme="minorHAnsi" w:hAnsiTheme="minorHAnsi" w:cstheme="minorHAnsi"/>
          <w:szCs w:val="18"/>
        </w:rPr>
        <w:t xml:space="preserve">Appellate Body Report, </w:t>
      </w:r>
      <w:r w:rsidR="00D817E2" w:rsidRPr="00C157EC">
        <w:rPr>
          <w:rFonts w:asciiTheme="minorHAnsi" w:hAnsiTheme="minorHAnsi" w:cstheme="minorHAnsi"/>
          <w:i/>
          <w:iCs/>
          <w:szCs w:val="18"/>
        </w:rPr>
        <w:t>US – Carbon Steel (India)</w:t>
      </w:r>
      <w:r w:rsidR="00D817E2" w:rsidRPr="00C157EC">
        <w:rPr>
          <w:rFonts w:asciiTheme="minorHAnsi" w:hAnsiTheme="minorHAnsi" w:cstheme="minorHAnsi"/>
          <w:szCs w:val="18"/>
        </w:rPr>
        <w:t>, para.</w:t>
      </w:r>
      <w:r w:rsidR="00D817E2">
        <w:rPr>
          <w:rFonts w:asciiTheme="minorHAnsi" w:hAnsiTheme="minorHAnsi" w:cstheme="minorHAnsi"/>
          <w:szCs w:val="18"/>
        </w:rPr>
        <w:t xml:space="preserve"> 4.155.</w:t>
      </w:r>
    </w:p>
  </w:footnote>
  <w:footnote w:id="13">
    <w:p w14:paraId="3EFA3FEA" w14:textId="748236E7" w:rsidR="00A9679E" w:rsidRDefault="00A9679E" w:rsidP="00A9679E">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Appellate Body Report, </w:t>
      </w:r>
      <w:r>
        <w:rPr>
          <w:rFonts w:asciiTheme="minorHAnsi" w:hAnsiTheme="minorHAnsi" w:cstheme="minorHAnsi"/>
          <w:i/>
          <w:iCs/>
        </w:rPr>
        <w:t>US – Carbon Steel (India)</w:t>
      </w:r>
      <w:r>
        <w:rPr>
          <w:rFonts w:asciiTheme="minorHAnsi" w:hAnsiTheme="minorHAnsi" w:cstheme="minorHAnsi"/>
        </w:rPr>
        <w:t>, para. 4.157.</w:t>
      </w:r>
      <w:r w:rsidR="00B71BE5">
        <w:rPr>
          <w:rFonts w:asciiTheme="minorHAnsi" w:hAnsiTheme="minorHAnsi" w:cstheme="minorHAnsi"/>
        </w:rPr>
        <w:t xml:space="preserve"> </w:t>
      </w:r>
      <w:r w:rsidR="00B71BE5" w:rsidRPr="00570763">
        <w:rPr>
          <w:rFonts w:asciiTheme="minorHAnsi" w:eastAsia="Calibri" w:hAnsiTheme="minorHAnsi" w:cstheme="minorHAnsi"/>
          <w:lang w:val="en-GB" w:eastAsia="en-GB"/>
        </w:rPr>
        <w:t>The</w:t>
      </w:r>
      <w:r w:rsidR="00B71BE5" w:rsidRPr="00570763">
        <w:rPr>
          <w:rFonts w:asciiTheme="minorHAnsi" w:eastAsia="Calibri" w:hAnsiTheme="minorHAnsi" w:cstheme="minorHAnsi"/>
          <w:lang w:eastAsia="en-GB"/>
        </w:rPr>
        <w:t xml:space="preserve"> Appellate Body has also recognised that the second sentence of Article 14(d) requires that </w:t>
      </w:r>
      <w:r w:rsidR="00B71BE5" w:rsidRPr="00570763">
        <w:rPr>
          <w:rFonts w:asciiTheme="minorHAnsi" w:eastAsia="Calibri" w:hAnsiTheme="minorHAnsi" w:cstheme="minorHAnsi"/>
          <w:lang w:val="en-GB" w:eastAsia="en-GB"/>
        </w:rPr>
        <w:t xml:space="preserve">the chosen benchmark must relate or refer to, or </w:t>
      </w:r>
      <w:proofErr w:type="gramStart"/>
      <w:r w:rsidR="00B71BE5" w:rsidRPr="00570763">
        <w:rPr>
          <w:rFonts w:asciiTheme="minorHAnsi" w:eastAsia="Calibri" w:hAnsiTheme="minorHAnsi" w:cstheme="minorHAnsi"/>
          <w:lang w:val="en-GB" w:eastAsia="en-GB"/>
        </w:rPr>
        <w:t>be connected with</w:t>
      </w:r>
      <w:proofErr w:type="gramEnd"/>
      <w:r w:rsidR="00B71BE5" w:rsidRPr="00570763">
        <w:rPr>
          <w:rFonts w:asciiTheme="minorHAnsi" w:eastAsia="Calibri" w:hAnsiTheme="minorHAnsi" w:cstheme="minorHAnsi"/>
          <w:lang w:val="en-GB" w:eastAsia="en-GB"/>
        </w:rPr>
        <w:t>, the "prevailing market conditions" in the relevant country, and must reflect price, quality, availability, marketability, transportation and other conditions of purchase or sale.</w:t>
      </w:r>
      <w:r w:rsidR="006E5FA7">
        <w:rPr>
          <w:rFonts w:asciiTheme="minorHAnsi" w:eastAsia="Calibri" w:hAnsiTheme="minorHAnsi" w:cstheme="minorHAnsi"/>
          <w:lang w:val="en-GB" w:eastAsia="en-GB"/>
        </w:rPr>
        <w:t xml:space="preserve"> </w:t>
      </w:r>
      <w:r w:rsidR="006E5FA7" w:rsidRPr="00C157EC">
        <w:rPr>
          <w:rFonts w:asciiTheme="minorHAnsi" w:hAnsiTheme="minorHAnsi" w:cstheme="minorHAnsi"/>
          <w:szCs w:val="18"/>
        </w:rPr>
        <w:t xml:space="preserve">Appellate Body Report, </w:t>
      </w:r>
      <w:r w:rsidR="006E5FA7" w:rsidRPr="00C157EC">
        <w:rPr>
          <w:rFonts w:asciiTheme="minorHAnsi" w:hAnsiTheme="minorHAnsi" w:cstheme="minorHAnsi"/>
          <w:i/>
          <w:iCs/>
          <w:szCs w:val="18"/>
          <w:lang w:val="en-GB"/>
        </w:rPr>
        <w:t>US – Softwood Lumber IV</w:t>
      </w:r>
      <w:r w:rsidR="006E5FA7" w:rsidRPr="00C157EC">
        <w:rPr>
          <w:rFonts w:asciiTheme="minorHAnsi" w:hAnsiTheme="minorHAnsi" w:cstheme="minorHAnsi"/>
          <w:szCs w:val="18"/>
          <w:lang w:val="en-GB"/>
        </w:rPr>
        <w:t>, para. 103.</w:t>
      </w:r>
      <w:r w:rsidR="006E5FA7">
        <w:rPr>
          <w:rFonts w:asciiTheme="minorHAnsi" w:hAnsiTheme="minorHAnsi" w:cstheme="minorHAnsi"/>
          <w:szCs w:val="18"/>
          <w:lang w:val="en-GB"/>
        </w:rPr>
        <w:t xml:space="preserve"> See also, </w:t>
      </w:r>
      <w:r w:rsidR="006E5FA7" w:rsidRPr="00C157EC">
        <w:rPr>
          <w:rFonts w:asciiTheme="minorHAnsi" w:hAnsiTheme="minorHAnsi" w:cstheme="minorHAnsi"/>
          <w:szCs w:val="18"/>
        </w:rPr>
        <w:t xml:space="preserve">Appellate Body Report, </w:t>
      </w:r>
      <w:r w:rsidR="006E5FA7" w:rsidRPr="00C157EC">
        <w:rPr>
          <w:rFonts w:asciiTheme="minorHAnsi" w:hAnsiTheme="minorHAnsi" w:cstheme="minorHAnsi"/>
          <w:i/>
          <w:iCs/>
          <w:szCs w:val="18"/>
        </w:rPr>
        <w:t>US – Carbon Steel (India)</w:t>
      </w:r>
      <w:r w:rsidR="006E5FA7" w:rsidRPr="00C157EC">
        <w:rPr>
          <w:rFonts w:asciiTheme="minorHAnsi" w:hAnsiTheme="minorHAnsi" w:cstheme="minorHAnsi"/>
          <w:szCs w:val="18"/>
        </w:rPr>
        <w:t>, para. 4.150</w:t>
      </w:r>
      <w:r w:rsidR="00EA285B">
        <w:rPr>
          <w:rFonts w:asciiTheme="minorHAnsi" w:hAnsiTheme="minorHAnsi" w:cstheme="minorHAnsi"/>
          <w:szCs w:val="18"/>
        </w:rPr>
        <w:t>,</w:t>
      </w:r>
      <w:r w:rsidR="006E5FA7">
        <w:rPr>
          <w:rFonts w:asciiTheme="minorHAnsi" w:hAnsiTheme="minorHAnsi" w:cstheme="minorHAnsi"/>
          <w:szCs w:val="18"/>
        </w:rPr>
        <w:t xml:space="preserve"> which reinforces the need for benchmark prices to be market-determined.</w:t>
      </w:r>
    </w:p>
  </w:footnote>
  <w:footnote w:id="14">
    <w:p w14:paraId="14F3B16D" w14:textId="05CED516" w:rsidR="00787AE9" w:rsidRDefault="00787AE9" w:rsidP="00787AE9">
      <w:pPr>
        <w:pStyle w:val="FootnoteText"/>
      </w:pPr>
      <w:r>
        <w:rPr>
          <w:rStyle w:val="FootnoteReference"/>
        </w:rPr>
        <w:footnoteRef/>
      </w:r>
      <w:r>
        <w:t xml:space="preserve"> Panel Report, </w:t>
      </w:r>
      <w:r>
        <w:rPr>
          <w:i/>
          <w:iCs/>
        </w:rPr>
        <w:t>Korea – Commercial Vessels</w:t>
      </w:r>
      <w:r>
        <w:t>, para. 7.370</w:t>
      </w:r>
      <w:r w:rsidR="00160CCD">
        <w:t>.</w:t>
      </w:r>
    </w:p>
  </w:footnote>
  <w:footnote w:id="15">
    <w:p w14:paraId="526B4B31" w14:textId="77777777" w:rsidR="00E35DF7" w:rsidRDefault="00E35DF7" w:rsidP="00E35DF7">
      <w:pPr>
        <w:pStyle w:val="FootnoteText"/>
      </w:pPr>
      <w:r>
        <w:rPr>
          <w:rStyle w:val="FootnoteReference"/>
        </w:rPr>
        <w:footnoteRef/>
      </w:r>
      <w:r>
        <w:t xml:space="preserve"> Appellate Body Report, </w:t>
      </w:r>
      <w:r>
        <w:rPr>
          <w:i/>
          <w:iCs/>
        </w:rPr>
        <w:t>US – Countervailing Duty Investigation on DRAMS</w:t>
      </w:r>
      <w:r>
        <w:t>, para. 114.</w:t>
      </w:r>
    </w:p>
  </w:footnote>
  <w:footnote w:id="16">
    <w:p w14:paraId="78808F77" w14:textId="77777777" w:rsidR="00585556" w:rsidRDefault="00585556" w:rsidP="00585556">
      <w:pPr>
        <w:pStyle w:val="FootnoteText"/>
      </w:pPr>
      <w:r>
        <w:rPr>
          <w:rStyle w:val="FootnoteReference"/>
        </w:rPr>
        <w:footnoteRef/>
      </w:r>
      <w:r>
        <w:t xml:space="preserve"> Appellate Body Report, </w:t>
      </w:r>
      <w:r>
        <w:rPr>
          <w:i/>
          <w:iCs/>
        </w:rPr>
        <w:t>US – Countervailing Duty Investigation on DRAMS</w:t>
      </w:r>
      <w:r>
        <w:t>, para. 116 and fn. 188. Australia also refers to paragraph 24 of its third party written submission, which outlines further principles on the nature of entrustment or direction.</w:t>
      </w:r>
    </w:p>
  </w:footnote>
  <w:footnote w:id="17">
    <w:p w14:paraId="60FC5E8E" w14:textId="77777777" w:rsidR="00585556" w:rsidRDefault="00585556" w:rsidP="00585556">
      <w:pPr>
        <w:pStyle w:val="FootnoteText"/>
      </w:pPr>
      <w:r>
        <w:rPr>
          <w:rStyle w:val="FootnoteReference"/>
        </w:rPr>
        <w:footnoteRef/>
      </w:r>
      <w:r>
        <w:t xml:space="preserve"> Appellate Body Report, </w:t>
      </w:r>
      <w:r>
        <w:rPr>
          <w:i/>
          <w:iCs/>
        </w:rPr>
        <w:t>US – Countervailing Duty Investigation on DRAMS</w:t>
      </w:r>
      <w:r>
        <w:t>, para.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61D56076" w:rsidR="00635A10" w:rsidRPr="00EF6C77" w:rsidRDefault="00E36E7B" w:rsidP="00CE149B">
    <w:pPr>
      <w:pStyle w:val="Header"/>
      <w:tabs>
        <w:tab w:val="clear" w:pos="4536"/>
        <w:tab w:val="center" w:pos="4111"/>
      </w:tabs>
      <w:rPr>
        <w:i/>
        <w:iCs/>
      </w:rPr>
    </w:pPr>
    <w:r>
      <w:rPr>
        <w:i/>
        <w:iCs/>
      </w:rPr>
      <w:t>EU – CVDs on Biodiesel (Indonesia)</w:t>
    </w:r>
    <w:r>
      <w:rPr>
        <w:i/>
        <w:iCs/>
      </w:rPr>
      <w:tab/>
      <w:t xml:space="preserve"> </w:t>
    </w:r>
    <w:r w:rsidR="00635A10" w:rsidRPr="00EF6C77">
      <w:rPr>
        <w:i/>
        <w:iCs/>
      </w:rPr>
      <w:t xml:space="preserve"> </w:t>
    </w:r>
    <w:r w:rsidR="00CE149B">
      <w:rPr>
        <w:i/>
        <w:iCs/>
      </w:rPr>
      <w:t xml:space="preserve"> </w:t>
    </w:r>
    <w:r w:rsidR="00CE149B">
      <w:rPr>
        <w:i/>
        <w:iCs/>
      </w:rPr>
      <w:tab/>
    </w:r>
    <w:r w:rsidR="009D7AED">
      <w:t>Third Party</w:t>
    </w:r>
    <w:r w:rsidR="00CE149B" w:rsidRPr="00CE149B">
      <w:t xml:space="preserve"> </w:t>
    </w:r>
    <w:r w:rsidR="005145EA" w:rsidRPr="00CE149B">
      <w:t>Executive Summary of Australia</w:t>
    </w:r>
  </w:p>
  <w:p w14:paraId="10F3C15A" w14:textId="484E7260" w:rsidR="00635A10" w:rsidRPr="00EF6C77" w:rsidRDefault="00E36E7B">
    <w:pPr>
      <w:pStyle w:val="Header"/>
      <w:rPr>
        <w:i/>
        <w:iCs/>
      </w:rPr>
    </w:pPr>
    <w:r w:rsidRPr="00E36E7B">
      <w:t>DS618</w:t>
    </w:r>
    <w:r w:rsidR="00635A10" w:rsidRPr="00EF6C77">
      <w:rPr>
        <w:i/>
        <w:iCs/>
      </w:rPr>
      <w:tab/>
    </w:r>
    <w:r>
      <w:rPr>
        <w:i/>
        <w:iCs/>
      </w:rPr>
      <w:t xml:space="preserve">                                                                                                                                           </w:t>
    </w:r>
    <w:r w:rsidRPr="00E36E7B">
      <w:t xml:space="preserve">4 November </w:t>
    </w:r>
    <w:r w:rsidR="005145EA" w:rsidRPr="00E36E7B">
      <w:t>2024</w:t>
    </w:r>
  </w:p>
  <w:p w14:paraId="724D59C2" w14:textId="67F07A6E" w:rsidR="00635A10" w:rsidRPr="000E24A1" w:rsidRDefault="00635A10">
    <w:pPr>
      <w:pStyle w:val="Header"/>
      <w:rPr>
        <w:i/>
        <w:iCs/>
      </w:rPr>
    </w:pPr>
    <w:r w:rsidRPr="00EF6C77">
      <w:rPr>
        <w:i/>
        <w:iCs/>
      </w:rPr>
      <w:tab/>
    </w:r>
    <w:r w:rsidRPr="00EF6C77">
      <w:rPr>
        <w:i/>
        <w:iCs/>
      </w:rPr>
      <w:tab/>
    </w:r>
  </w:p>
  <w:p w14:paraId="74891E33" w14:textId="090445AB" w:rsidR="00635A10" w:rsidRPr="000E24A1" w:rsidRDefault="00635A10">
    <w:pPr>
      <w:pStyle w:val="Header"/>
      <w:rPr>
        <w:i/>
        <w:iCs/>
      </w:rPr>
    </w:pPr>
    <w:r w:rsidRPr="000E24A1">
      <w:rPr>
        <w:i/>
        <w:iCs/>
      </w:rPr>
      <w:tab/>
    </w:r>
    <w:r w:rsidRPr="000E24A1">
      <w:rPr>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CB0D" w14:textId="77777777" w:rsidR="0001369B" w:rsidRPr="00EF6C77" w:rsidRDefault="0001369B" w:rsidP="0001369B">
    <w:pPr>
      <w:pStyle w:val="Header"/>
      <w:tabs>
        <w:tab w:val="clear" w:pos="4536"/>
        <w:tab w:val="center" w:pos="4111"/>
      </w:tabs>
      <w:rPr>
        <w:i/>
        <w:iCs/>
      </w:rPr>
    </w:pPr>
    <w:r>
      <w:rPr>
        <w:i/>
        <w:iCs/>
      </w:rPr>
      <w:t>EU – CVDs on Biodiesel (Indonesia)</w:t>
    </w:r>
    <w:r>
      <w:rPr>
        <w:i/>
        <w:iCs/>
      </w:rPr>
      <w:tab/>
      <w:t xml:space="preserve"> </w:t>
    </w:r>
    <w:r w:rsidRPr="00EF6C77">
      <w:rPr>
        <w:i/>
        <w:iCs/>
      </w:rPr>
      <w:t xml:space="preserve"> </w:t>
    </w:r>
    <w:r>
      <w:rPr>
        <w:i/>
        <w:iCs/>
      </w:rPr>
      <w:t xml:space="preserve"> </w:t>
    </w:r>
    <w:r>
      <w:rPr>
        <w:i/>
        <w:iCs/>
      </w:rPr>
      <w:tab/>
    </w:r>
    <w:r w:rsidRPr="00CE149B">
      <w:t>Third Party Integrated Executive Summary of Australia</w:t>
    </w:r>
  </w:p>
  <w:p w14:paraId="30AF85F1" w14:textId="77777777" w:rsidR="0001369B" w:rsidRPr="00EF6C77" w:rsidRDefault="0001369B" w:rsidP="0001369B">
    <w:pPr>
      <w:pStyle w:val="Header"/>
      <w:rPr>
        <w:i/>
        <w:iCs/>
      </w:rPr>
    </w:pPr>
    <w:r w:rsidRPr="00E36E7B">
      <w:t>DS618</w:t>
    </w:r>
    <w:r w:rsidRPr="00EF6C77">
      <w:rPr>
        <w:i/>
        <w:iCs/>
      </w:rPr>
      <w:tab/>
    </w:r>
    <w:r>
      <w:rPr>
        <w:i/>
        <w:iCs/>
      </w:rPr>
      <w:t xml:space="preserve">                                                                                                                                           </w:t>
    </w:r>
    <w:r w:rsidRPr="00E36E7B">
      <w:t>4 November 2024</w:t>
    </w:r>
  </w:p>
  <w:p w14:paraId="519FD9FD" w14:textId="77777777" w:rsidR="009D6524" w:rsidRDefault="009D6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6582F53"/>
    <w:multiLevelType w:val="hybridMultilevel"/>
    <w:tmpl w:val="81A63FE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4"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16cid:durableId="2069500102">
    <w:abstractNumId w:val="2"/>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2"/>
  </w:num>
  <w:num w:numId="7" w16cid:durableId="1752853467">
    <w:abstractNumId w:val="2"/>
  </w:num>
  <w:num w:numId="8" w16cid:durableId="1664234756">
    <w:abstractNumId w:val="4"/>
  </w:num>
  <w:num w:numId="9" w16cid:durableId="1694988614">
    <w:abstractNumId w:val="2"/>
  </w:num>
  <w:num w:numId="10" w16cid:durableId="1798058958">
    <w:abstractNumId w:val="2"/>
  </w:num>
  <w:num w:numId="11" w16cid:durableId="1534803441">
    <w:abstractNumId w:val="2"/>
  </w:num>
  <w:num w:numId="12" w16cid:durableId="1315452290">
    <w:abstractNumId w:val="0"/>
  </w:num>
  <w:num w:numId="13" w16cid:durableId="1323191717">
    <w:abstractNumId w:val="3"/>
  </w:num>
  <w:num w:numId="14" w16cid:durableId="1616791030">
    <w:abstractNumId w:val="2"/>
  </w:num>
  <w:num w:numId="15" w16cid:durableId="572206636">
    <w:abstractNumId w:val="2"/>
  </w:num>
  <w:num w:numId="16" w16cid:durableId="1616522585">
    <w:abstractNumId w:val="2"/>
  </w:num>
  <w:num w:numId="17" w16cid:durableId="1818909448">
    <w:abstractNumId w:val="2"/>
  </w:num>
  <w:num w:numId="18" w16cid:durableId="1609006422">
    <w:abstractNumId w:val="2"/>
  </w:num>
  <w:num w:numId="19" w16cid:durableId="1442265958">
    <w:abstractNumId w:val="2"/>
  </w:num>
  <w:num w:numId="20" w16cid:durableId="1446193952">
    <w:abstractNumId w:val="0"/>
  </w:num>
  <w:num w:numId="21" w16cid:durableId="1857309783">
    <w:abstractNumId w:val="0"/>
  </w:num>
  <w:num w:numId="22" w16cid:durableId="262493761">
    <w:abstractNumId w:val="2"/>
  </w:num>
  <w:num w:numId="23" w16cid:durableId="1876186799">
    <w:abstractNumId w:val="0"/>
  </w:num>
  <w:num w:numId="24" w16cid:durableId="362438493">
    <w:abstractNumId w:val="2"/>
  </w:num>
  <w:num w:numId="25" w16cid:durableId="901915872">
    <w:abstractNumId w:val="2"/>
  </w:num>
  <w:num w:numId="26" w16cid:durableId="51539178">
    <w:abstractNumId w:val="0"/>
  </w:num>
  <w:num w:numId="27" w16cid:durableId="850681967">
    <w:abstractNumId w:val="2"/>
  </w:num>
  <w:num w:numId="28" w16cid:durableId="1356464785">
    <w:abstractNumId w:val="0"/>
  </w:num>
  <w:num w:numId="29" w16cid:durableId="167524722">
    <w:abstractNumId w:val="2"/>
  </w:num>
  <w:num w:numId="30" w16cid:durableId="1001128806">
    <w:abstractNumId w:val="2"/>
  </w:num>
  <w:num w:numId="31" w16cid:durableId="1681348502">
    <w:abstractNumId w:val="2"/>
  </w:num>
  <w:num w:numId="32" w16cid:durableId="258030458">
    <w:abstractNumId w:val="2"/>
  </w:num>
  <w:num w:numId="33" w16cid:durableId="1292513694">
    <w:abstractNumId w:val="0"/>
  </w:num>
  <w:num w:numId="34" w16cid:durableId="1277560467">
    <w:abstractNumId w:val="2"/>
  </w:num>
  <w:num w:numId="35" w16cid:durableId="1375618909">
    <w:abstractNumId w:val="2"/>
  </w:num>
  <w:num w:numId="36" w16cid:durableId="944533674">
    <w:abstractNumId w:val="2"/>
  </w:num>
  <w:num w:numId="37" w16cid:durableId="1869178747">
    <w:abstractNumId w:val="2"/>
  </w:num>
  <w:num w:numId="38" w16cid:durableId="832379222">
    <w:abstractNumId w:val="2"/>
  </w:num>
  <w:num w:numId="39" w16cid:durableId="865558178">
    <w:abstractNumId w:val="2"/>
  </w:num>
  <w:num w:numId="40" w16cid:durableId="179589159">
    <w:abstractNumId w:val="2"/>
  </w:num>
  <w:num w:numId="41" w16cid:durableId="1584021802">
    <w:abstractNumId w:val="0"/>
  </w:num>
  <w:num w:numId="42" w16cid:durableId="1135484277">
    <w:abstractNumId w:val="2"/>
  </w:num>
  <w:num w:numId="43" w16cid:durableId="1123578936">
    <w:abstractNumId w:val="2"/>
  </w:num>
  <w:num w:numId="44" w16cid:durableId="2019962863">
    <w:abstractNumId w:val="1"/>
  </w:num>
  <w:num w:numId="45" w16cid:durableId="1596210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49633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C20"/>
    <w:rsid w:val="00005D81"/>
    <w:rsid w:val="00011B2D"/>
    <w:rsid w:val="0001369B"/>
    <w:rsid w:val="000321A1"/>
    <w:rsid w:val="0003352D"/>
    <w:rsid w:val="000365F7"/>
    <w:rsid w:val="0004201D"/>
    <w:rsid w:val="00043F05"/>
    <w:rsid w:val="00051192"/>
    <w:rsid w:val="00052F6E"/>
    <w:rsid w:val="0006394F"/>
    <w:rsid w:val="00063F6A"/>
    <w:rsid w:val="00065D57"/>
    <w:rsid w:val="00072808"/>
    <w:rsid w:val="00072F70"/>
    <w:rsid w:val="00075C36"/>
    <w:rsid w:val="00076291"/>
    <w:rsid w:val="000918FB"/>
    <w:rsid w:val="000943B7"/>
    <w:rsid w:val="000A3E2F"/>
    <w:rsid w:val="000A40FC"/>
    <w:rsid w:val="000A6CF7"/>
    <w:rsid w:val="000A773A"/>
    <w:rsid w:val="000B7C78"/>
    <w:rsid w:val="000C37BC"/>
    <w:rsid w:val="000C6364"/>
    <w:rsid w:val="000D06AB"/>
    <w:rsid w:val="000D1258"/>
    <w:rsid w:val="000D454B"/>
    <w:rsid w:val="000E18DA"/>
    <w:rsid w:val="000E24A1"/>
    <w:rsid w:val="000E2AFD"/>
    <w:rsid w:val="000E3A98"/>
    <w:rsid w:val="000E3EF9"/>
    <w:rsid w:val="000F197D"/>
    <w:rsid w:val="000F53D3"/>
    <w:rsid w:val="00100E47"/>
    <w:rsid w:val="0010357C"/>
    <w:rsid w:val="0010764F"/>
    <w:rsid w:val="001101F9"/>
    <w:rsid w:val="001138A9"/>
    <w:rsid w:val="0012540F"/>
    <w:rsid w:val="00130B46"/>
    <w:rsid w:val="00133BFF"/>
    <w:rsid w:val="00145292"/>
    <w:rsid w:val="001466E1"/>
    <w:rsid w:val="00150BE4"/>
    <w:rsid w:val="00153E86"/>
    <w:rsid w:val="0015765E"/>
    <w:rsid w:val="00157F48"/>
    <w:rsid w:val="00160B67"/>
    <w:rsid w:val="00160CCD"/>
    <w:rsid w:val="00165B09"/>
    <w:rsid w:val="00171621"/>
    <w:rsid w:val="0017760F"/>
    <w:rsid w:val="001846F7"/>
    <w:rsid w:val="00185110"/>
    <w:rsid w:val="00193D9B"/>
    <w:rsid w:val="00194230"/>
    <w:rsid w:val="001A0206"/>
    <w:rsid w:val="001A3AF1"/>
    <w:rsid w:val="001A6B38"/>
    <w:rsid w:val="001B02D2"/>
    <w:rsid w:val="001B3DDB"/>
    <w:rsid w:val="001B6AC3"/>
    <w:rsid w:val="001C11B5"/>
    <w:rsid w:val="001C5724"/>
    <w:rsid w:val="001C663A"/>
    <w:rsid w:val="001C7086"/>
    <w:rsid w:val="001C7C09"/>
    <w:rsid w:val="001D3A5F"/>
    <w:rsid w:val="001D63E0"/>
    <w:rsid w:val="001E0708"/>
    <w:rsid w:val="001E5804"/>
    <w:rsid w:val="001E5A36"/>
    <w:rsid w:val="001E6278"/>
    <w:rsid w:val="001E66F3"/>
    <w:rsid w:val="001E788E"/>
    <w:rsid w:val="001F1A1B"/>
    <w:rsid w:val="001F3108"/>
    <w:rsid w:val="001F516F"/>
    <w:rsid w:val="001F7719"/>
    <w:rsid w:val="00203AD6"/>
    <w:rsid w:val="00207961"/>
    <w:rsid w:val="00210D77"/>
    <w:rsid w:val="00216D93"/>
    <w:rsid w:val="00217CCE"/>
    <w:rsid w:val="002279EA"/>
    <w:rsid w:val="00227E7D"/>
    <w:rsid w:val="00233F47"/>
    <w:rsid w:val="00234F56"/>
    <w:rsid w:val="00236BA6"/>
    <w:rsid w:val="00237B4F"/>
    <w:rsid w:val="0024198F"/>
    <w:rsid w:val="00247602"/>
    <w:rsid w:val="00251F2A"/>
    <w:rsid w:val="00252978"/>
    <w:rsid w:val="00267756"/>
    <w:rsid w:val="002720BF"/>
    <w:rsid w:val="00272FB5"/>
    <w:rsid w:val="002779D1"/>
    <w:rsid w:val="00280A62"/>
    <w:rsid w:val="00281DFE"/>
    <w:rsid w:val="00283EF1"/>
    <w:rsid w:val="00284963"/>
    <w:rsid w:val="00284B22"/>
    <w:rsid w:val="00285182"/>
    <w:rsid w:val="002852B7"/>
    <w:rsid w:val="002A129C"/>
    <w:rsid w:val="002A5789"/>
    <w:rsid w:val="002A599E"/>
    <w:rsid w:val="002A7FC7"/>
    <w:rsid w:val="002B569C"/>
    <w:rsid w:val="002B7281"/>
    <w:rsid w:val="002B7529"/>
    <w:rsid w:val="002C0FA5"/>
    <w:rsid w:val="002C4159"/>
    <w:rsid w:val="002D2A77"/>
    <w:rsid w:val="002D4D02"/>
    <w:rsid w:val="002D56DD"/>
    <w:rsid w:val="002E165B"/>
    <w:rsid w:val="002F0969"/>
    <w:rsid w:val="002F27D8"/>
    <w:rsid w:val="002F4B27"/>
    <w:rsid w:val="002F68B1"/>
    <w:rsid w:val="0030017C"/>
    <w:rsid w:val="00302921"/>
    <w:rsid w:val="00304003"/>
    <w:rsid w:val="00305CFA"/>
    <w:rsid w:val="00312D3D"/>
    <w:rsid w:val="00320ABB"/>
    <w:rsid w:val="00321269"/>
    <w:rsid w:val="00327650"/>
    <w:rsid w:val="0033341E"/>
    <w:rsid w:val="00335A96"/>
    <w:rsid w:val="00335C8D"/>
    <w:rsid w:val="003365FA"/>
    <w:rsid w:val="00345AF9"/>
    <w:rsid w:val="00350596"/>
    <w:rsid w:val="003548B3"/>
    <w:rsid w:val="00354AAB"/>
    <w:rsid w:val="00356AF8"/>
    <w:rsid w:val="0036302E"/>
    <w:rsid w:val="00363F2F"/>
    <w:rsid w:val="0036741E"/>
    <w:rsid w:val="00373793"/>
    <w:rsid w:val="00376CC9"/>
    <w:rsid w:val="0038017B"/>
    <w:rsid w:val="00381722"/>
    <w:rsid w:val="00382529"/>
    <w:rsid w:val="00382620"/>
    <w:rsid w:val="00384419"/>
    <w:rsid w:val="00384DE1"/>
    <w:rsid w:val="003974E5"/>
    <w:rsid w:val="003A1F0E"/>
    <w:rsid w:val="003A4411"/>
    <w:rsid w:val="003B2A49"/>
    <w:rsid w:val="003C2CE0"/>
    <w:rsid w:val="003D0D71"/>
    <w:rsid w:val="003D1C69"/>
    <w:rsid w:val="003D5634"/>
    <w:rsid w:val="003E060A"/>
    <w:rsid w:val="003E1284"/>
    <w:rsid w:val="003F278D"/>
    <w:rsid w:val="00400A7E"/>
    <w:rsid w:val="00402773"/>
    <w:rsid w:val="00402C31"/>
    <w:rsid w:val="00403BA4"/>
    <w:rsid w:val="00413997"/>
    <w:rsid w:val="00413FE7"/>
    <w:rsid w:val="00427377"/>
    <w:rsid w:val="0043031F"/>
    <w:rsid w:val="00431120"/>
    <w:rsid w:val="004314F8"/>
    <w:rsid w:val="00437E76"/>
    <w:rsid w:val="004413AD"/>
    <w:rsid w:val="004424C7"/>
    <w:rsid w:val="00451F7C"/>
    <w:rsid w:val="00453715"/>
    <w:rsid w:val="00455635"/>
    <w:rsid w:val="00456095"/>
    <w:rsid w:val="00460861"/>
    <w:rsid w:val="00463A4B"/>
    <w:rsid w:val="00466DAD"/>
    <w:rsid w:val="00471D17"/>
    <w:rsid w:val="00472B6B"/>
    <w:rsid w:val="0047351C"/>
    <w:rsid w:val="00473E1F"/>
    <w:rsid w:val="0048059B"/>
    <w:rsid w:val="0048784A"/>
    <w:rsid w:val="0049498B"/>
    <w:rsid w:val="00494AB6"/>
    <w:rsid w:val="00494CA0"/>
    <w:rsid w:val="004A039B"/>
    <w:rsid w:val="004A6DA6"/>
    <w:rsid w:val="004B72A3"/>
    <w:rsid w:val="004B752E"/>
    <w:rsid w:val="004B7BD2"/>
    <w:rsid w:val="004C40D8"/>
    <w:rsid w:val="004C59EC"/>
    <w:rsid w:val="004C63CC"/>
    <w:rsid w:val="004D302F"/>
    <w:rsid w:val="004D31D7"/>
    <w:rsid w:val="004D33E4"/>
    <w:rsid w:val="004E1347"/>
    <w:rsid w:val="004E2ADC"/>
    <w:rsid w:val="004F086B"/>
    <w:rsid w:val="004F122B"/>
    <w:rsid w:val="004F2075"/>
    <w:rsid w:val="004F3AA3"/>
    <w:rsid w:val="004F55C0"/>
    <w:rsid w:val="0050564E"/>
    <w:rsid w:val="00505CF6"/>
    <w:rsid w:val="005126FF"/>
    <w:rsid w:val="00512DB9"/>
    <w:rsid w:val="005145EA"/>
    <w:rsid w:val="0051726C"/>
    <w:rsid w:val="00522DC1"/>
    <w:rsid w:val="00532B8E"/>
    <w:rsid w:val="00533A67"/>
    <w:rsid w:val="00534A57"/>
    <w:rsid w:val="00535E96"/>
    <w:rsid w:val="00544659"/>
    <w:rsid w:val="00546C3D"/>
    <w:rsid w:val="00550FB2"/>
    <w:rsid w:val="0055116D"/>
    <w:rsid w:val="00553E1F"/>
    <w:rsid w:val="0055554C"/>
    <w:rsid w:val="005563BD"/>
    <w:rsid w:val="00557440"/>
    <w:rsid w:val="00557D4F"/>
    <w:rsid w:val="00562025"/>
    <w:rsid w:val="00570763"/>
    <w:rsid w:val="005719FE"/>
    <w:rsid w:val="0057426E"/>
    <w:rsid w:val="0057510B"/>
    <w:rsid w:val="00575516"/>
    <w:rsid w:val="005755A1"/>
    <w:rsid w:val="00577DD9"/>
    <w:rsid w:val="005806C7"/>
    <w:rsid w:val="00580B01"/>
    <w:rsid w:val="00583494"/>
    <w:rsid w:val="005842A0"/>
    <w:rsid w:val="00585556"/>
    <w:rsid w:val="0059203F"/>
    <w:rsid w:val="00592993"/>
    <w:rsid w:val="005A3AE3"/>
    <w:rsid w:val="005B23AD"/>
    <w:rsid w:val="005B311E"/>
    <w:rsid w:val="005B7666"/>
    <w:rsid w:val="005C19EC"/>
    <w:rsid w:val="005C280D"/>
    <w:rsid w:val="005C4DA1"/>
    <w:rsid w:val="005C70FB"/>
    <w:rsid w:val="005D5772"/>
    <w:rsid w:val="005D7D97"/>
    <w:rsid w:val="005E77F1"/>
    <w:rsid w:val="005F09CC"/>
    <w:rsid w:val="005F4B24"/>
    <w:rsid w:val="006014E1"/>
    <w:rsid w:val="006018C8"/>
    <w:rsid w:val="006049AD"/>
    <w:rsid w:val="00610657"/>
    <w:rsid w:val="00611D3A"/>
    <w:rsid w:val="00624DC2"/>
    <w:rsid w:val="00635A10"/>
    <w:rsid w:val="00637058"/>
    <w:rsid w:val="00640DB9"/>
    <w:rsid w:val="00642018"/>
    <w:rsid w:val="006456F4"/>
    <w:rsid w:val="00647B94"/>
    <w:rsid w:val="00652692"/>
    <w:rsid w:val="0065305B"/>
    <w:rsid w:val="006554C8"/>
    <w:rsid w:val="00664F6B"/>
    <w:rsid w:val="0066681B"/>
    <w:rsid w:val="00671821"/>
    <w:rsid w:val="00672B22"/>
    <w:rsid w:val="006735CE"/>
    <w:rsid w:val="00677E9E"/>
    <w:rsid w:val="00680B13"/>
    <w:rsid w:val="00681164"/>
    <w:rsid w:val="0068212F"/>
    <w:rsid w:val="00691059"/>
    <w:rsid w:val="006953D5"/>
    <w:rsid w:val="006A01CE"/>
    <w:rsid w:val="006A036A"/>
    <w:rsid w:val="006A12F5"/>
    <w:rsid w:val="006A5DB3"/>
    <w:rsid w:val="006B12DD"/>
    <w:rsid w:val="006B2452"/>
    <w:rsid w:val="006B5DA2"/>
    <w:rsid w:val="006C0913"/>
    <w:rsid w:val="006C17AA"/>
    <w:rsid w:val="006C1EFC"/>
    <w:rsid w:val="006C7840"/>
    <w:rsid w:val="006C7DF8"/>
    <w:rsid w:val="006D06B6"/>
    <w:rsid w:val="006D25A9"/>
    <w:rsid w:val="006E4B19"/>
    <w:rsid w:val="006E555A"/>
    <w:rsid w:val="006E5FA7"/>
    <w:rsid w:val="006F155F"/>
    <w:rsid w:val="006F5142"/>
    <w:rsid w:val="007001C5"/>
    <w:rsid w:val="00700BF5"/>
    <w:rsid w:val="007047F7"/>
    <w:rsid w:val="007119A0"/>
    <w:rsid w:val="00711CF7"/>
    <w:rsid w:val="00713B48"/>
    <w:rsid w:val="00714176"/>
    <w:rsid w:val="00715B72"/>
    <w:rsid w:val="0071600D"/>
    <w:rsid w:val="00721381"/>
    <w:rsid w:val="00723D29"/>
    <w:rsid w:val="00743012"/>
    <w:rsid w:val="007431FB"/>
    <w:rsid w:val="00743DBA"/>
    <w:rsid w:val="00756CEA"/>
    <w:rsid w:val="007573B5"/>
    <w:rsid w:val="0076299A"/>
    <w:rsid w:val="0076473D"/>
    <w:rsid w:val="0076575E"/>
    <w:rsid w:val="00766999"/>
    <w:rsid w:val="007750F1"/>
    <w:rsid w:val="007769BC"/>
    <w:rsid w:val="007771D6"/>
    <w:rsid w:val="007774E4"/>
    <w:rsid w:val="00781FF3"/>
    <w:rsid w:val="00786BDE"/>
    <w:rsid w:val="00787AE9"/>
    <w:rsid w:val="007911F1"/>
    <w:rsid w:val="00797F0D"/>
    <w:rsid w:val="007A24C5"/>
    <w:rsid w:val="007A5269"/>
    <w:rsid w:val="007A699B"/>
    <w:rsid w:val="007A6F74"/>
    <w:rsid w:val="007B077F"/>
    <w:rsid w:val="007C25DD"/>
    <w:rsid w:val="007C2723"/>
    <w:rsid w:val="007C5A9C"/>
    <w:rsid w:val="007C7319"/>
    <w:rsid w:val="007D0E10"/>
    <w:rsid w:val="007D1B61"/>
    <w:rsid w:val="007D3978"/>
    <w:rsid w:val="007D7EB4"/>
    <w:rsid w:val="007E5C6D"/>
    <w:rsid w:val="007E7A23"/>
    <w:rsid w:val="007F1E63"/>
    <w:rsid w:val="007F1F2A"/>
    <w:rsid w:val="007F3D43"/>
    <w:rsid w:val="007F5450"/>
    <w:rsid w:val="00806D1B"/>
    <w:rsid w:val="00812225"/>
    <w:rsid w:val="00814497"/>
    <w:rsid w:val="00816BA6"/>
    <w:rsid w:val="00816D23"/>
    <w:rsid w:val="00821DCB"/>
    <w:rsid w:val="00826B8F"/>
    <w:rsid w:val="008375CC"/>
    <w:rsid w:val="00840A63"/>
    <w:rsid w:val="00843B3E"/>
    <w:rsid w:val="008445E3"/>
    <w:rsid w:val="008473C3"/>
    <w:rsid w:val="008525B2"/>
    <w:rsid w:val="008620AF"/>
    <w:rsid w:val="00870E17"/>
    <w:rsid w:val="00877463"/>
    <w:rsid w:val="00883A3C"/>
    <w:rsid w:val="008847BE"/>
    <w:rsid w:val="00885451"/>
    <w:rsid w:val="00885512"/>
    <w:rsid w:val="00886B83"/>
    <w:rsid w:val="008876D4"/>
    <w:rsid w:val="008914D7"/>
    <w:rsid w:val="008922CB"/>
    <w:rsid w:val="00893EA8"/>
    <w:rsid w:val="008A2D4C"/>
    <w:rsid w:val="008A517E"/>
    <w:rsid w:val="008B2334"/>
    <w:rsid w:val="008C3844"/>
    <w:rsid w:val="008C453A"/>
    <w:rsid w:val="008D0A0D"/>
    <w:rsid w:val="008E6C1B"/>
    <w:rsid w:val="008F0D55"/>
    <w:rsid w:val="008F3AA9"/>
    <w:rsid w:val="008F4715"/>
    <w:rsid w:val="008F49E0"/>
    <w:rsid w:val="008F60C9"/>
    <w:rsid w:val="008F7177"/>
    <w:rsid w:val="0090243C"/>
    <w:rsid w:val="00906928"/>
    <w:rsid w:val="00917E1A"/>
    <w:rsid w:val="009220F6"/>
    <w:rsid w:val="009225A4"/>
    <w:rsid w:val="009320F0"/>
    <w:rsid w:val="00937CE3"/>
    <w:rsid w:val="00943152"/>
    <w:rsid w:val="00951016"/>
    <w:rsid w:val="00952ABA"/>
    <w:rsid w:val="00955E94"/>
    <w:rsid w:val="00964C15"/>
    <w:rsid w:val="00966BE9"/>
    <w:rsid w:val="00966C4E"/>
    <w:rsid w:val="009722CA"/>
    <w:rsid w:val="00972F13"/>
    <w:rsid w:val="00973E5C"/>
    <w:rsid w:val="0097676C"/>
    <w:rsid w:val="00985D49"/>
    <w:rsid w:val="00990348"/>
    <w:rsid w:val="00992A8D"/>
    <w:rsid w:val="00993E6D"/>
    <w:rsid w:val="00994D63"/>
    <w:rsid w:val="009959B6"/>
    <w:rsid w:val="009A6468"/>
    <w:rsid w:val="009A6491"/>
    <w:rsid w:val="009B0979"/>
    <w:rsid w:val="009B3919"/>
    <w:rsid w:val="009C11E2"/>
    <w:rsid w:val="009C733A"/>
    <w:rsid w:val="009C7748"/>
    <w:rsid w:val="009D1D73"/>
    <w:rsid w:val="009D3E31"/>
    <w:rsid w:val="009D6524"/>
    <w:rsid w:val="009D7AED"/>
    <w:rsid w:val="009E04C0"/>
    <w:rsid w:val="009E1DF2"/>
    <w:rsid w:val="009E40F1"/>
    <w:rsid w:val="009E49B5"/>
    <w:rsid w:val="009E5915"/>
    <w:rsid w:val="009F0C57"/>
    <w:rsid w:val="009F24F1"/>
    <w:rsid w:val="00A134C5"/>
    <w:rsid w:val="00A145B7"/>
    <w:rsid w:val="00A14A49"/>
    <w:rsid w:val="00A1694F"/>
    <w:rsid w:val="00A20227"/>
    <w:rsid w:val="00A23E5C"/>
    <w:rsid w:val="00A244EB"/>
    <w:rsid w:val="00A26527"/>
    <w:rsid w:val="00A323D6"/>
    <w:rsid w:val="00A35342"/>
    <w:rsid w:val="00A362E9"/>
    <w:rsid w:val="00A371B4"/>
    <w:rsid w:val="00A42675"/>
    <w:rsid w:val="00A429AD"/>
    <w:rsid w:val="00A42F69"/>
    <w:rsid w:val="00A43C78"/>
    <w:rsid w:val="00A461BF"/>
    <w:rsid w:val="00A46F60"/>
    <w:rsid w:val="00A47CF9"/>
    <w:rsid w:val="00A56710"/>
    <w:rsid w:val="00A57337"/>
    <w:rsid w:val="00A5733C"/>
    <w:rsid w:val="00A601F0"/>
    <w:rsid w:val="00A65808"/>
    <w:rsid w:val="00A6625A"/>
    <w:rsid w:val="00A6692A"/>
    <w:rsid w:val="00A71196"/>
    <w:rsid w:val="00A7207E"/>
    <w:rsid w:val="00A73275"/>
    <w:rsid w:val="00A775EA"/>
    <w:rsid w:val="00A776AB"/>
    <w:rsid w:val="00A80D81"/>
    <w:rsid w:val="00A87BA5"/>
    <w:rsid w:val="00A90E41"/>
    <w:rsid w:val="00A94ED4"/>
    <w:rsid w:val="00A95F3D"/>
    <w:rsid w:val="00A9679E"/>
    <w:rsid w:val="00A9785D"/>
    <w:rsid w:val="00AA1A55"/>
    <w:rsid w:val="00AA35F7"/>
    <w:rsid w:val="00AA3718"/>
    <w:rsid w:val="00AA396D"/>
    <w:rsid w:val="00AA468D"/>
    <w:rsid w:val="00AA6D40"/>
    <w:rsid w:val="00AB1F8A"/>
    <w:rsid w:val="00AB2C34"/>
    <w:rsid w:val="00AB67FF"/>
    <w:rsid w:val="00AC4C4E"/>
    <w:rsid w:val="00AC7F57"/>
    <w:rsid w:val="00AD37DA"/>
    <w:rsid w:val="00AD3E21"/>
    <w:rsid w:val="00AE5E25"/>
    <w:rsid w:val="00AE6143"/>
    <w:rsid w:val="00AF1877"/>
    <w:rsid w:val="00AF2845"/>
    <w:rsid w:val="00AF2C49"/>
    <w:rsid w:val="00AF3A4C"/>
    <w:rsid w:val="00AF5959"/>
    <w:rsid w:val="00B06139"/>
    <w:rsid w:val="00B06B3F"/>
    <w:rsid w:val="00B10D4B"/>
    <w:rsid w:val="00B11A29"/>
    <w:rsid w:val="00B12B94"/>
    <w:rsid w:val="00B17DA4"/>
    <w:rsid w:val="00B2465A"/>
    <w:rsid w:val="00B332EA"/>
    <w:rsid w:val="00B4284B"/>
    <w:rsid w:val="00B43FED"/>
    <w:rsid w:val="00B46C00"/>
    <w:rsid w:val="00B528C8"/>
    <w:rsid w:val="00B55C07"/>
    <w:rsid w:val="00B63AC5"/>
    <w:rsid w:val="00B645A1"/>
    <w:rsid w:val="00B67F84"/>
    <w:rsid w:val="00B70775"/>
    <w:rsid w:val="00B71BE5"/>
    <w:rsid w:val="00B73DCD"/>
    <w:rsid w:val="00B74CB9"/>
    <w:rsid w:val="00B82904"/>
    <w:rsid w:val="00B863CD"/>
    <w:rsid w:val="00B91918"/>
    <w:rsid w:val="00B9696C"/>
    <w:rsid w:val="00B96B80"/>
    <w:rsid w:val="00BA0835"/>
    <w:rsid w:val="00BA0EA5"/>
    <w:rsid w:val="00BA236E"/>
    <w:rsid w:val="00BA488B"/>
    <w:rsid w:val="00BA4B34"/>
    <w:rsid w:val="00BB0665"/>
    <w:rsid w:val="00BB59E3"/>
    <w:rsid w:val="00BB71E5"/>
    <w:rsid w:val="00BC0298"/>
    <w:rsid w:val="00BC034B"/>
    <w:rsid w:val="00BC1B53"/>
    <w:rsid w:val="00BC3313"/>
    <w:rsid w:val="00BC3DF3"/>
    <w:rsid w:val="00BC487C"/>
    <w:rsid w:val="00BC74F3"/>
    <w:rsid w:val="00BD2B51"/>
    <w:rsid w:val="00BD2DC2"/>
    <w:rsid w:val="00BD4E67"/>
    <w:rsid w:val="00BD64D4"/>
    <w:rsid w:val="00BE34E1"/>
    <w:rsid w:val="00BE3B57"/>
    <w:rsid w:val="00C005F0"/>
    <w:rsid w:val="00C0337A"/>
    <w:rsid w:val="00C05090"/>
    <w:rsid w:val="00C15C33"/>
    <w:rsid w:val="00C33BD1"/>
    <w:rsid w:val="00C432B0"/>
    <w:rsid w:val="00C444DA"/>
    <w:rsid w:val="00C44B78"/>
    <w:rsid w:val="00C45777"/>
    <w:rsid w:val="00C470AD"/>
    <w:rsid w:val="00C610CD"/>
    <w:rsid w:val="00C63472"/>
    <w:rsid w:val="00C635E3"/>
    <w:rsid w:val="00C73D5C"/>
    <w:rsid w:val="00C74575"/>
    <w:rsid w:val="00C814EF"/>
    <w:rsid w:val="00C84A1A"/>
    <w:rsid w:val="00C871DD"/>
    <w:rsid w:val="00C872BC"/>
    <w:rsid w:val="00C873D0"/>
    <w:rsid w:val="00C930C9"/>
    <w:rsid w:val="00C94ED6"/>
    <w:rsid w:val="00C96E1B"/>
    <w:rsid w:val="00C97A88"/>
    <w:rsid w:val="00CA01FE"/>
    <w:rsid w:val="00CA5F4A"/>
    <w:rsid w:val="00CB2600"/>
    <w:rsid w:val="00CD1FCF"/>
    <w:rsid w:val="00CD22BE"/>
    <w:rsid w:val="00CD4274"/>
    <w:rsid w:val="00CD4BEF"/>
    <w:rsid w:val="00CE149B"/>
    <w:rsid w:val="00CE3099"/>
    <w:rsid w:val="00CF284B"/>
    <w:rsid w:val="00CF28C3"/>
    <w:rsid w:val="00CF55E4"/>
    <w:rsid w:val="00CF7B89"/>
    <w:rsid w:val="00D01DEE"/>
    <w:rsid w:val="00D06B49"/>
    <w:rsid w:val="00D17409"/>
    <w:rsid w:val="00D21D72"/>
    <w:rsid w:val="00D257F2"/>
    <w:rsid w:val="00D25C75"/>
    <w:rsid w:val="00D2673C"/>
    <w:rsid w:val="00D32925"/>
    <w:rsid w:val="00D3365F"/>
    <w:rsid w:val="00D356E7"/>
    <w:rsid w:val="00D35B7D"/>
    <w:rsid w:val="00D41158"/>
    <w:rsid w:val="00D43E61"/>
    <w:rsid w:val="00D50B5A"/>
    <w:rsid w:val="00D50DFB"/>
    <w:rsid w:val="00D5503C"/>
    <w:rsid w:val="00D55A26"/>
    <w:rsid w:val="00D6072E"/>
    <w:rsid w:val="00D614B8"/>
    <w:rsid w:val="00D61A4B"/>
    <w:rsid w:val="00D65582"/>
    <w:rsid w:val="00D65D49"/>
    <w:rsid w:val="00D7472A"/>
    <w:rsid w:val="00D76009"/>
    <w:rsid w:val="00D817E2"/>
    <w:rsid w:val="00D907D7"/>
    <w:rsid w:val="00D90B80"/>
    <w:rsid w:val="00D92615"/>
    <w:rsid w:val="00D95055"/>
    <w:rsid w:val="00D97476"/>
    <w:rsid w:val="00DA1478"/>
    <w:rsid w:val="00DA23CB"/>
    <w:rsid w:val="00DB409D"/>
    <w:rsid w:val="00DC06F4"/>
    <w:rsid w:val="00DC39FE"/>
    <w:rsid w:val="00DC4BBE"/>
    <w:rsid w:val="00DD2C3E"/>
    <w:rsid w:val="00DD35B8"/>
    <w:rsid w:val="00DE1FD5"/>
    <w:rsid w:val="00DE55AD"/>
    <w:rsid w:val="00DF1461"/>
    <w:rsid w:val="00DF6FE7"/>
    <w:rsid w:val="00E07A04"/>
    <w:rsid w:val="00E14EA1"/>
    <w:rsid w:val="00E17FCD"/>
    <w:rsid w:val="00E2215B"/>
    <w:rsid w:val="00E23658"/>
    <w:rsid w:val="00E25143"/>
    <w:rsid w:val="00E25C35"/>
    <w:rsid w:val="00E27F69"/>
    <w:rsid w:val="00E33CFC"/>
    <w:rsid w:val="00E35DF7"/>
    <w:rsid w:val="00E36A49"/>
    <w:rsid w:val="00E36E7B"/>
    <w:rsid w:val="00E41F57"/>
    <w:rsid w:val="00E56D3E"/>
    <w:rsid w:val="00E750B4"/>
    <w:rsid w:val="00E76FAB"/>
    <w:rsid w:val="00E84FEC"/>
    <w:rsid w:val="00E947C1"/>
    <w:rsid w:val="00E9798B"/>
    <w:rsid w:val="00EA285B"/>
    <w:rsid w:val="00EA42C5"/>
    <w:rsid w:val="00EA5D47"/>
    <w:rsid w:val="00EB76BA"/>
    <w:rsid w:val="00EC5A88"/>
    <w:rsid w:val="00EC5E11"/>
    <w:rsid w:val="00ED3502"/>
    <w:rsid w:val="00ED7DE5"/>
    <w:rsid w:val="00EE48D2"/>
    <w:rsid w:val="00EF13ED"/>
    <w:rsid w:val="00EF3819"/>
    <w:rsid w:val="00EF4331"/>
    <w:rsid w:val="00EF6C77"/>
    <w:rsid w:val="00EF7E14"/>
    <w:rsid w:val="00F02E0F"/>
    <w:rsid w:val="00F03F6E"/>
    <w:rsid w:val="00F07AF0"/>
    <w:rsid w:val="00F114F3"/>
    <w:rsid w:val="00F174F4"/>
    <w:rsid w:val="00F24F0A"/>
    <w:rsid w:val="00F2707B"/>
    <w:rsid w:val="00F32D00"/>
    <w:rsid w:val="00F336D8"/>
    <w:rsid w:val="00F4141A"/>
    <w:rsid w:val="00F47776"/>
    <w:rsid w:val="00F50B2B"/>
    <w:rsid w:val="00F50E21"/>
    <w:rsid w:val="00F53BE0"/>
    <w:rsid w:val="00F551B1"/>
    <w:rsid w:val="00F64C60"/>
    <w:rsid w:val="00F64CE7"/>
    <w:rsid w:val="00F71EA3"/>
    <w:rsid w:val="00F73925"/>
    <w:rsid w:val="00F7455F"/>
    <w:rsid w:val="00F74D65"/>
    <w:rsid w:val="00F768DB"/>
    <w:rsid w:val="00F8305F"/>
    <w:rsid w:val="00F86652"/>
    <w:rsid w:val="00F9067F"/>
    <w:rsid w:val="00F93792"/>
    <w:rsid w:val="00FA06B8"/>
    <w:rsid w:val="00FB342D"/>
    <w:rsid w:val="00FB3628"/>
    <w:rsid w:val="00FC2461"/>
    <w:rsid w:val="00FC2F36"/>
    <w:rsid w:val="00FC53E0"/>
    <w:rsid w:val="00FC5A03"/>
    <w:rsid w:val="00FD3C21"/>
    <w:rsid w:val="00FD78A8"/>
    <w:rsid w:val="00FE1292"/>
    <w:rsid w:val="00FE1E0C"/>
    <w:rsid w:val="00FE7DC5"/>
    <w:rsid w:val="00FF4700"/>
    <w:rsid w:val="00FF6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2"/>
    <w:qFormat/>
    <w:rsid w:val="00F71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2"/>
    <w:unhideWhenUsed/>
    <w:qFormat/>
    <w:rsid w:val="00F71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2"/>
    <w:unhideWhenUsed/>
    <w:qFormat/>
    <w:rsid w:val="00F71E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after="160"/>
    </w:pPr>
    <w:rPr>
      <w:rFonts w:ascii="Calibri" w:hAnsi="Calibri"/>
      <w:b/>
      <w:caps/>
      <w:color w:val="auto"/>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after="160"/>
    </w:pPr>
    <w:rPr>
      <w:rFonts w:ascii="Calibri" w:hAnsi="Calibri"/>
      <w:b/>
      <w:smallCaps/>
      <w:color w:val="auto"/>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after="160"/>
    </w:pPr>
    <w:rPr>
      <w:rFonts w:ascii="Calibri" w:hAnsi="Calibri"/>
      <w:b/>
      <w:color w:val="auto"/>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pPr>
      <w:jc w:val="center"/>
    </w:pPr>
    <w:rPr>
      <w:rFonts w:ascii="Calibri" w:hAnsi="Calibri"/>
      <w:b/>
      <w:caps/>
      <w:sz w:val="24"/>
    </w:rPr>
  </w:style>
  <w:style w:type="character" w:customStyle="1" w:styleId="Heading1Char">
    <w:name w:val="Heading 1 Char"/>
    <w:basedOn w:val="DefaultParagraphFont"/>
    <w:link w:val="Heading1"/>
    <w:uiPriority w:val="9"/>
    <w:rsid w:val="00F71EA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caps/>
      <w:color w:val="2F5496" w:themeColor="accent1" w:themeShade="BF"/>
      <w:kern w:val="0"/>
      <w:sz w:val="24"/>
      <w:szCs w:val="32"/>
      <w14:ligatures w14:val="none"/>
    </w:rPr>
  </w:style>
  <w:style w:type="paragraph" w:styleId="TOC1">
    <w:name w:val="toc 1"/>
    <w:basedOn w:val="Normal"/>
    <w:next w:val="Normal"/>
    <w:autoRedefine/>
    <w:uiPriority w:val="39"/>
    <w:unhideWhenUsed/>
    <w:rsid w:val="00F71EA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9"/>
    <w:semiHidden/>
    <w:rsid w:val="00F71EA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535E96"/>
    <w:pPr>
      <w:spacing w:after="0" w:line="240" w:lineRule="auto"/>
      <w:jc w:val="both"/>
    </w:pPr>
    <w:rPr>
      <w:rFonts w:ascii="Calibri" w:hAnsi="Calibri"/>
      <w:kern w:val="0"/>
      <w:sz w:val="24"/>
      <w:szCs w:val="24"/>
      <w14:ligatures w14:val="none"/>
    </w:rPr>
  </w:style>
  <w:style w:type="paragraph" w:styleId="TOC3">
    <w:name w:val="toc 3"/>
    <w:basedOn w:val="Normal"/>
    <w:next w:val="Normal"/>
    <w:autoRedefine/>
    <w:uiPriority w:val="39"/>
    <w:unhideWhenUsed/>
    <w:rsid w:val="00637058"/>
    <w:pPr>
      <w:spacing w:after="100"/>
      <w:ind w:left="480"/>
    </w:pPr>
  </w:style>
  <w:style w:type="character" w:styleId="UnresolvedMention">
    <w:name w:val="Unresolved Mention"/>
    <w:basedOn w:val="DefaultParagraphFont"/>
    <w:uiPriority w:val="99"/>
    <w:semiHidden/>
    <w:unhideWhenUsed/>
    <w:rsid w:val="00B3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072">
      <w:bodyDiv w:val="1"/>
      <w:marLeft w:val="0"/>
      <w:marRight w:val="0"/>
      <w:marTop w:val="0"/>
      <w:marBottom w:val="0"/>
      <w:divBdr>
        <w:top w:val="none" w:sz="0" w:space="0" w:color="auto"/>
        <w:left w:val="none" w:sz="0" w:space="0" w:color="auto"/>
        <w:bottom w:val="none" w:sz="0" w:space="0" w:color="auto"/>
        <w:right w:val="none" w:sz="0" w:space="0" w:color="auto"/>
      </w:divBdr>
    </w:div>
    <w:div w:id="82187081">
      <w:bodyDiv w:val="1"/>
      <w:marLeft w:val="0"/>
      <w:marRight w:val="0"/>
      <w:marTop w:val="0"/>
      <w:marBottom w:val="0"/>
      <w:divBdr>
        <w:top w:val="none" w:sz="0" w:space="0" w:color="auto"/>
        <w:left w:val="none" w:sz="0" w:space="0" w:color="auto"/>
        <w:bottom w:val="none" w:sz="0" w:space="0" w:color="auto"/>
        <w:right w:val="none" w:sz="0" w:space="0" w:color="auto"/>
      </w:divBdr>
    </w:div>
    <w:div w:id="138306112">
      <w:bodyDiv w:val="1"/>
      <w:marLeft w:val="0"/>
      <w:marRight w:val="0"/>
      <w:marTop w:val="0"/>
      <w:marBottom w:val="0"/>
      <w:divBdr>
        <w:top w:val="none" w:sz="0" w:space="0" w:color="auto"/>
        <w:left w:val="none" w:sz="0" w:space="0" w:color="auto"/>
        <w:bottom w:val="none" w:sz="0" w:space="0" w:color="auto"/>
        <w:right w:val="none" w:sz="0" w:space="0" w:color="auto"/>
      </w:divBdr>
    </w:div>
    <w:div w:id="145561363">
      <w:bodyDiv w:val="1"/>
      <w:marLeft w:val="0"/>
      <w:marRight w:val="0"/>
      <w:marTop w:val="0"/>
      <w:marBottom w:val="0"/>
      <w:divBdr>
        <w:top w:val="none" w:sz="0" w:space="0" w:color="auto"/>
        <w:left w:val="none" w:sz="0" w:space="0" w:color="auto"/>
        <w:bottom w:val="none" w:sz="0" w:space="0" w:color="auto"/>
        <w:right w:val="none" w:sz="0" w:space="0" w:color="auto"/>
      </w:divBdr>
    </w:div>
    <w:div w:id="232545235">
      <w:bodyDiv w:val="1"/>
      <w:marLeft w:val="0"/>
      <w:marRight w:val="0"/>
      <w:marTop w:val="0"/>
      <w:marBottom w:val="0"/>
      <w:divBdr>
        <w:top w:val="none" w:sz="0" w:space="0" w:color="auto"/>
        <w:left w:val="none" w:sz="0" w:space="0" w:color="auto"/>
        <w:bottom w:val="none" w:sz="0" w:space="0" w:color="auto"/>
        <w:right w:val="none" w:sz="0" w:space="0" w:color="auto"/>
      </w:divBdr>
    </w:div>
    <w:div w:id="297958087">
      <w:bodyDiv w:val="1"/>
      <w:marLeft w:val="0"/>
      <w:marRight w:val="0"/>
      <w:marTop w:val="0"/>
      <w:marBottom w:val="0"/>
      <w:divBdr>
        <w:top w:val="none" w:sz="0" w:space="0" w:color="auto"/>
        <w:left w:val="none" w:sz="0" w:space="0" w:color="auto"/>
        <w:bottom w:val="none" w:sz="0" w:space="0" w:color="auto"/>
        <w:right w:val="none" w:sz="0" w:space="0" w:color="auto"/>
      </w:divBdr>
    </w:div>
    <w:div w:id="407117593">
      <w:bodyDiv w:val="1"/>
      <w:marLeft w:val="0"/>
      <w:marRight w:val="0"/>
      <w:marTop w:val="0"/>
      <w:marBottom w:val="0"/>
      <w:divBdr>
        <w:top w:val="none" w:sz="0" w:space="0" w:color="auto"/>
        <w:left w:val="none" w:sz="0" w:space="0" w:color="auto"/>
        <w:bottom w:val="none" w:sz="0" w:space="0" w:color="auto"/>
        <w:right w:val="none" w:sz="0" w:space="0" w:color="auto"/>
      </w:divBdr>
    </w:div>
    <w:div w:id="500510713">
      <w:bodyDiv w:val="1"/>
      <w:marLeft w:val="0"/>
      <w:marRight w:val="0"/>
      <w:marTop w:val="0"/>
      <w:marBottom w:val="0"/>
      <w:divBdr>
        <w:top w:val="none" w:sz="0" w:space="0" w:color="auto"/>
        <w:left w:val="none" w:sz="0" w:space="0" w:color="auto"/>
        <w:bottom w:val="none" w:sz="0" w:space="0" w:color="auto"/>
        <w:right w:val="none" w:sz="0" w:space="0" w:color="auto"/>
      </w:divBdr>
    </w:div>
    <w:div w:id="514810831">
      <w:bodyDiv w:val="1"/>
      <w:marLeft w:val="0"/>
      <w:marRight w:val="0"/>
      <w:marTop w:val="0"/>
      <w:marBottom w:val="0"/>
      <w:divBdr>
        <w:top w:val="none" w:sz="0" w:space="0" w:color="auto"/>
        <w:left w:val="none" w:sz="0" w:space="0" w:color="auto"/>
        <w:bottom w:val="none" w:sz="0" w:space="0" w:color="auto"/>
        <w:right w:val="none" w:sz="0" w:space="0" w:color="auto"/>
      </w:divBdr>
    </w:div>
    <w:div w:id="558326456">
      <w:bodyDiv w:val="1"/>
      <w:marLeft w:val="0"/>
      <w:marRight w:val="0"/>
      <w:marTop w:val="0"/>
      <w:marBottom w:val="0"/>
      <w:divBdr>
        <w:top w:val="none" w:sz="0" w:space="0" w:color="auto"/>
        <w:left w:val="none" w:sz="0" w:space="0" w:color="auto"/>
        <w:bottom w:val="none" w:sz="0" w:space="0" w:color="auto"/>
        <w:right w:val="none" w:sz="0" w:space="0" w:color="auto"/>
      </w:divBdr>
    </w:div>
    <w:div w:id="660041640">
      <w:bodyDiv w:val="1"/>
      <w:marLeft w:val="0"/>
      <w:marRight w:val="0"/>
      <w:marTop w:val="0"/>
      <w:marBottom w:val="0"/>
      <w:divBdr>
        <w:top w:val="none" w:sz="0" w:space="0" w:color="auto"/>
        <w:left w:val="none" w:sz="0" w:space="0" w:color="auto"/>
        <w:bottom w:val="none" w:sz="0" w:space="0" w:color="auto"/>
        <w:right w:val="none" w:sz="0" w:space="0" w:color="auto"/>
      </w:divBdr>
    </w:div>
    <w:div w:id="840117589">
      <w:bodyDiv w:val="1"/>
      <w:marLeft w:val="0"/>
      <w:marRight w:val="0"/>
      <w:marTop w:val="0"/>
      <w:marBottom w:val="0"/>
      <w:divBdr>
        <w:top w:val="none" w:sz="0" w:space="0" w:color="auto"/>
        <w:left w:val="none" w:sz="0" w:space="0" w:color="auto"/>
        <w:bottom w:val="none" w:sz="0" w:space="0" w:color="auto"/>
        <w:right w:val="none" w:sz="0" w:space="0" w:color="auto"/>
      </w:divBdr>
    </w:div>
    <w:div w:id="878981453">
      <w:bodyDiv w:val="1"/>
      <w:marLeft w:val="0"/>
      <w:marRight w:val="0"/>
      <w:marTop w:val="0"/>
      <w:marBottom w:val="0"/>
      <w:divBdr>
        <w:top w:val="none" w:sz="0" w:space="0" w:color="auto"/>
        <w:left w:val="none" w:sz="0" w:space="0" w:color="auto"/>
        <w:bottom w:val="none" w:sz="0" w:space="0" w:color="auto"/>
        <w:right w:val="none" w:sz="0" w:space="0" w:color="auto"/>
      </w:divBdr>
    </w:div>
    <w:div w:id="1056392780">
      <w:bodyDiv w:val="1"/>
      <w:marLeft w:val="0"/>
      <w:marRight w:val="0"/>
      <w:marTop w:val="0"/>
      <w:marBottom w:val="0"/>
      <w:divBdr>
        <w:top w:val="none" w:sz="0" w:space="0" w:color="auto"/>
        <w:left w:val="none" w:sz="0" w:space="0" w:color="auto"/>
        <w:bottom w:val="none" w:sz="0" w:space="0" w:color="auto"/>
        <w:right w:val="none" w:sz="0" w:space="0" w:color="auto"/>
      </w:divBdr>
    </w:div>
    <w:div w:id="1193417356">
      <w:bodyDiv w:val="1"/>
      <w:marLeft w:val="0"/>
      <w:marRight w:val="0"/>
      <w:marTop w:val="0"/>
      <w:marBottom w:val="0"/>
      <w:divBdr>
        <w:top w:val="none" w:sz="0" w:space="0" w:color="auto"/>
        <w:left w:val="none" w:sz="0" w:space="0" w:color="auto"/>
        <w:bottom w:val="none" w:sz="0" w:space="0" w:color="auto"/>
        <w:right w:val="none" w:sz="0" w:space="0" w:color="auto"/>
      </w:divBdr>
    </w:div>
    <w:div w:id="1211302019">
      <w:bodyDiv w:val="1"/>
      <w:marLeft w:val="0"/>
      <w:marRight w:val="0"/>
      <w:marTop w:val="0"/>
      <w:marBottom w:val="0"/>
      <w:divBdr>
        <w:top w:val="none" w:sz="0" w:space="0" w:color="auto"/>
        <w:left w:val="none" w:sz="0" w:space="0" w:color="auto"/>
        <w:bottom w:val="none" w:sz="0" w:space="0" w:color="auto"/>
        <w:right w:val="none" w:sz="0" w:space="0" w:color="auto"/>
      </w:divBdr>
    </w:div>
    <w:div w:id="1216040812">
      <w:bodyDiv w:val="1"/>
      <w:marLeft w:val="0"/>
      <w:marRight w:val="0"/>
      <w:marTop w:val="0"/>
      <w:marBottom w:val="0"/>
      <w:divBdr>
        <w:top w:val="none" w:sz="0" w:space="0" w:color="auto"/>
        <w:left w:val="none" w:sz="0" w:space="0" w:color="auto"/>
        <w:bottom w:val="none" w:sz="0" w:space="0" w:color="auto"/>
        <w:right w:val="none" w:sz="0" w:space="0" w:color="auto"/>
      </w:divBdr>
    </w:div>
    <w:div w:id="1588344220">
      <w:bodyDiv w:val="1"/>
      <w:marLeft w:val="0"/>
      <w:marRight w:val="0"/>
      <w:marTop w:val="0"/>
      <w:marBottom w:val="0"/>
      <w:divBdr>
        <w:top w:val="none" w:sz="0" w:space="0" w:color="auto"/>
        <w:left w:val="none" w:sz="0" w:space="0" w:color="auto"/>
        <w:bottom w:val="none" w:sz="0" w:space="0" w:color="auto"/>
        <w:right w:val="none" w:sz="0" w:space="0" w:color="auto"/>
      </w:divBdr>
    </w:div>
    <w:div w:id="1796027146">
      <w:bodyDiv w:val="1"/>
      <w:marLeft w:val="0"/>
      <w:marRight w:val="0"/>
      <w:marTop w:val="0"/>
      <w:marBottom w:val="0"/>
      <w:divBdr>
        <w:top w:val="none" w:sz="0" w:space="0" w:color="auto"/>
        <w:left w:val="none" w:sz="0" w:space="0" w:color="auto"/>
        <w:bottom w:val="none" w:sz="0" w:space="0" w:color="auto"/>
        <w:right w:val="none" w:sz="0" w:space="0" w:color="auto"/>
      </w:divBdr>
    </w:div>
    <w:div w:id="1813525741">
      <w:bodyDiv w:val="1"/>
      <w:marLeft w:val="0"/>
      <w:marRight w:val="0"/>
      <w:marTop w:val="0"/>
      <w:marBottom w:val="0"/>
      <w:divBdr>
        <w:top w:val="none" w:sz="0" w:space="0" w:color="auto"/>
        <w:left w:val="none" w:sz="0" w:space="0" w:color="auto"/>
        <w:bottom w:val="none" w:sz="0" w:space="0" w:color="auto"/>
        <w:right w:val="none" w:sz="0" w:space="0" w:color="auto"/>
      </w:divBdr>
    </w:div>
    <w:div w:id="1834295347">
      <w:bodyDiv w:val="1"/>
      <w:marLeft w:val="0"/>
      <w:marRight w:val="0"/>
      <w:marTop w:val="0"/>
      <w:marBottom w:val="0"/>
      <w:divBdr>
        <w:top w:val="none" w:sz="0" w:space="0" w:color="auto"/>
        <w:left w:val="none" w:sz="0" w:space="0" w:color="auto"/>
        <w:bottom w:val="none" w:sz="0" w:space="0" w:color="auto"/>
        <w:right w:val="none" w:sz="0" w:space="0" w:color="auto"/>
      </w:divBdr>
    </w:div>
    <w:div w:id="1924532044">
      <w:bodyDiv w:val="1"/>
      <w:marLeft w:val="0"/>
      <w:marRight w:val="0"/>
      <w:marTop w:val="0"/>
      <w:marBottom w:val="0"/>
      <w:divBdr>
        <w:top w:val="none" w:sz="0" w:space="0" w:color="auto"/>
        <w:left w:val="none" w:sz="0" w:space="0" w:color="auto"/>
        <w:bottom w:val="none" w:sz="0" w:space="0" w:color="auto"/>
        <w:right w:val="none" w:sz="0" w:space="0" w:color="auto"/>
      </w:divBdr>
    </w:div>
    <w:div w:id="1941988386">
      <w:bodyDiv w:val="1"/>
      <w:marLeft w:val="0"/>
      <w:marRight w:val="0"/>
      <w:marTop w:val="0"/>
      <w:marBottom w:val="0"/>
      <w:divBdr>
        <w:top w:val="none" w:sz="0" w:space="0" w:color="auto"/>
        <w:left w:val="none" w:sz="0" w:space="0" w:color="auto"/>
        <w:bottom w:val="none" w:sz="0" w:space="0" w:color="auto"/>
        <w:right w:val="none" w:sz="0" w:space="0" w:color="auto"/>
      </w:divBdr>
    </w:div>
    <w:div w:id="207122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E0AA-1BE2-4B65-820A-47917919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8899</Characters>
  <Application>Microsoft Office Word</Application>
  <DocSecurity>0</DocSecurity>
  <Lines>184</Lines>
  <Paragraphs>66</Paragraphs>
  <ScaleCrop>false</ScaleCrop>
  <HeadingPairs>
    <vt:vector size="2" baseType="variant">
      <vt:variant>
        <vt:lpstr>Title</vt:lpstr>
      </vt:variant>
      <vt:variant>
        <vt:i4>1</vt:i4>
      </vt:variant>
    </vt:vector>
  </HeadingPairs>
  <TitlesOfParts>
    <vt:vector size="1" baseType="lpstr">
      <vt:lpstr>EUROPEAN UNION – COUNTERVAILING DUTIES ON IMPORTS OF BIODIESEL FROM INDONESIA</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 Countervailing Duties on Imports of Biodiesel from Indonesia - Third Party Executive Summary Of Australia</dc:title>
  <dc:subject/>
  <dc:creator/>
  <cp:keywords>[SEC=OFFICIAL]</cp:keywords>
  <dc:description/>
  <cp:lastModifiedBy/>
  <cp:revision>1</cp:revision>
  <dcterms:created xsi:type="dcterms:W3CDTF">2025-02-17T21:24:00Z</dcterms:created>
  <dcterms:modified xsi:type="dcterms:W3CDTF">2025-02-17T21:25:00Z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Uuid">
    <vt:lpwstr>v=2022.2;d=gov.au;g=46DD6D7C-8107-577B-BC6E-F348953B2E44</vt:lpwstr>
  </property>
  <property fmtid="{D5CDD505-2E9C-101B-9397-08002B2CF9AE}" pid="4" name="PM_Namespace">
    <vt:lpwstr>gov.au</vt:lpwstr>
  </property>
  <property fmtid="{D5CDD505-2E9C-101B-9397-08002B2CF9AE}" pid="5" name="PM_Hash_SHA1">
    <vt:lpwstr>5E46A2D0AB22689FFAAB62F4196F81E27556CA4B</vt:lpwstr>
  </property>
  <property fmtid="{D5CDD505-2E9C-101B-9397-08002B2CF9AE}" pid="6" name="PM_Hash_Version">
    <vt:lpwstr>2022.1</vt:lpwstr>
  </property>
  <property fmtid="{D5CDD505-2E9C-101B-9397-08002B2CF9AE}" pid="7" name="PM_Hash_Salt">
    <vt:lpwstr>A1047836C59FD1F094D40757262DD086</vt:lpwstr>
  </property>
  <property fmtid="{D5CDD505-2E9C-101B-9397-08002B2CF9AE}" pid="8" name="PM_Markers">
    <vt:lpwstr/>
  </property>
  <property fmtid="{D5CDD505-2E9C-101B-9397-08002B2CF9AE}" pid="9" name="PM_Hash_Salt_Prev">
    <vt:lpwstr>C379ADB75C5A49F1BC9D7A232A014F74</vt:lpwstr>
  </property>
  <property fmtid="{D5CDD505-2E9C-101B-9397-08002B2CF9AE}" pid="10" name="PM_Note">
    <vt:lpwstr/>
  </property>
  <property fmtid="{D5CDD505-2E9C-101B-9397-08002B2CF9AE}" pid="11" name="PM_ProtectiveMarkingValue_Footer">
    <vt:lpwstr>OFFICIAL</vt:lpwstr>
  </property>
  <property fmtid="{D5CDD505-2E9C-101B-9397-08002B2CF9AE}" pid="12" name="PM_Originating_FileId">
    <vt:lpwstr>5B84A8EEAC4440DE9ECD0DDDAAB6CEC3</vt:lpwstr>
  </property>
  <property fmtid="{D5CDD505-2E9C-101B-9397-08002B2CF9AE}" pid="13" name="PM_ProtectiveMarkingValue_Header">
    <vt:lpwstr>OFFICIAL</vt:lpwstr>
  </property>
  <property fmtid="{D5CDD505-2E9C-101B-9397-08002B2CF9AE}" pid="14" name="PM_OriginationTimeStamp">
    <vt:lpwstr>2025-02-14T01:54:58Z</vt:lpwstr>
  </property>
  <property fmtid="{D5CDD505-2E9C-101B-9397-08002B2CF9AE}" pid="15" name="PM_OriginatorDomainName_SHA256">
    <vt:lpwstr>6F3591835F3B2A8A025B00B5BA6418010DA3A17C9C26EA9C049FFD28039489A2</vt:lpwstr>
  </property>
  <property fmtid="{D5CDD505-2E9C-101B-9397-08002B2CF9AE}" pid="16" name="PM_OriginatorUserAccountName_SHA256">
    <vt:lpwstr>3E9DB5AB808CA91EB3E8EC398CDB7F67B110581D6BB28BC88565729DCE387350</vt:lpwstr>
  </property>
  <property fmtid="{D5CDD505-2E9C-101B-9397-08002B2CF9AE}" pid="17" name="PM_Originator_Hash_SHA1">
    <vt:lpwstr>D9F6E5C82DFAF7AB6E3D596D48DD43C72EDFDAB4</vt:lpwstr>
  </property>
  <property fmtid="{D5CDD505-2E9C-101B-9397-08002B2CF9AE}" pid="18" name="PMHMAC">
    <vt:lpwstr>v=2022.1;a=SHA256;h=15689ECC6530C41CE9698BDD72D6137AC0DC591AE97408CC5F8EC026939A4163</vt:lpwstr>
  </property>
  <property fmtid="{D5CDD505-2E9C-101B-9397-08002B2CF9AE}" pid="19" name="PM_Qualifier">
    <vt:lpwstr/>
  </property>
  <property fmtid="{D5CDD505-2E9C-101B-9397-08002B2CF9AE}" pid="20" name="PM_SecurityClassification">
    <vt:lpwstr>OFFICIAL</vt:lpwstr>
  </property>
  <property fmtid="{D5CDD505-2E9C-101B-9397-08002B2CF9AE}" pid="21" name="PM_Version">
    <vt:lpwstr>2018.4</vt:lpwstr>
  </property>
  <property fmtid="{D5CDD505-2E9C-101B-9397-08002B2CF9AE}" pid="22" name="PM_DisplayValueSecClassificationWithQualifier">
    <vt:lpwstr>OFFICIAL</vt:lpwstr>
  </property>
  <property fmtid="{D5CDD505-2E9C-101B-9397-08002B2CF9AE}" pid="23" name="PM_InsertionValue">
    <vt:lpwstr>OFFICIAL</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Caveats_Count">
    <vt:lpwstr>0</vt:lpwstr>
  </property>
</Properties>
</file>