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rawings/drawing1.xml" ContentType="application/vnd.openxmlformats-officedocument.drawingml.chartshapes+xml"/>
  <Override PartName="/word/document.xml" ContentType="application/vnd.openxmlformats-officedocument.wordprocessingml.document.main+xml"/>
  <Override PartName="/word/header7.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FA3" w:rsidRDefault="00D52FA3" w:rsidP="00624D3B">
      <w:pPr>
        <w:spacing w:line="276" w:lineRule="auto"/>
      </w:pPr>
      <w:bookmarkStart w:id="0" w:name="_Toc217188658"/>
      <w:bookmarkStart w:id="1" w:name="_Toc217188839"/>
      <w:bookmarkStart w:id="2" w:name="_GoBack"/>
      <w:bookmarkEnd w:id="2"/>
    </w:p>
    <w:p w:rsidR="00D52FA3" w:rsidRPr="00062EDA" w:rsidRDefault="005B26DA" w:rsidP="00624D3B">
      <w:pPr>
        <w:spacing w:line="276" w:lineRule="auto"/>
      </w:pPr>
      <w:r w:rsidRPr="001C59C8">
        <w:rPr>
          <w:iCs/>
          <w:noProof/>
          <w:szCs w:val="22"/>
          <w:lang w:val="en-AU" w:eastAsia="en-AU" w:bidi="ar-SA"/>
        </w:rPr>
        <w:drawing>
          <wp:anchor distT="0" distB="0" distL="114300" distR="114300" simplePos="0" relativeHeight="251659264" behindDoc="0" locked="0" layoutInCell="1" allowOverlap="1">
            <wp:simplePos x="0" y="0"/>
            <wp:positionH relativeFrom="column">
              <wp:posOffset>2807335</wp:posOffset>
            </wp:positionH>
            <wp:positionV relativeFrom="paragraph">
              <wp:posOffset>15240</wp:posOffset>
            </wp:positionV>
            <wp:extent cx="2821530" cy="10001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f_logo_RGB_200mmW_547blue_07111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1530" cy="1000125"/>
                    </a:xfrm>
                    <a:prstGeom prst="rect">
                      <a:avLst/>
                    </a:prstGeom>
                  </pic:spPr>
                </pic:pic>
              </a:graphicData>
            </a:graphic>
          </wp:anchor>
        </w:drawing>
      </w:r>
    </w:p>
    <w:p w:rsidR="00D52FA3" w:rsidRDefault="00D52FA3" w:rsidP="00624D3B">
      <w:pPr>
        <w:spacing w:line="276" w:lineRule="auto"/>
      </w:pPr>
    </w:p>
    <w:p w:rsidR="00D52FA3" w:rsidRDefault="00D52FA3" w:rsidP="00624D3B">
      <w:pPr>
        <w:spacing w:line="276" w:lineRule="auto"/>
        <w:jc w:val="right"/>
      </w:pPr>
    </w:p>
    <w:p w:rsidR="00871F29" w:rsidRDefault="00871F29" w:rsidP="00624D3B">
      <w:pPr>
        <w:spacing w:line="276" w:lineRule="auto"/>
      </w:pPr>
    </w:p>
    <w:p w:rsidR="00871F29" w:rsidRDefault="00871F29" w:rsidP="00624D3B">
      <w:pPr>
        <w:spacing w:line="276" w:lineRule="auto"/>
      </w:pPr>
    </w:p>
    <w:p w:rsidR="00871F29" w:rsidRDefault="00871F29" w:rsidP="00624D3B">
      <w:pPr>
        <w:spacing w:line="276" w:lineRule="auto"/>
      </w:pPr>
    </w:p>
    <w:p w:rsidR="003257AF" w:rsidRDefault="003257AF" w:rsidP="00624D3B">
      <w:pPr>
        <w:spacing w:line="276" w:lineRule="auto"/>
      </w:pPr>
    </w:p>
    <w:p w:rsidR="00DA07B2" w:rsidRPr="00DA07B2" w:rsidRDefault="001F2722" w:rsidP="00C8305D">
      <w:pPr>
        <w:pStyle w:val="TitleSubheading"/>
        <w:spacing w:line="276" w:lineRule="auto"/>
        <w:rPr>
          <w:rFonts w:ascii="Arial Black" w:hAnsi="Arial Black" w:cs="Times New Roman"/>
          <w:color w:val="1B3A59"/>
          <w:sz w:val="48"/>
          <w:szCs w:val="20"/>
        </w:rPr>
      </w:pPr>
      <w:bookmarkStart w:id="3" w:name="SubTitle"/>
      <w:r>
        <w:rPr>
          <w:rFonts w:ascii="Arial Black" w:hAnsi="Arial Black" w:cs="Times New Roman"/>
          <w:color w:val="1B3A59"/>
          <w:sz w:val="48"/>
          <w:szCs w:val="20"/>
        </w:rPr>
        <w:t>Economic Inputs to the Timor</w:t>
      </w:r>
      <w:r w:rsidR="00361368">
        <w:rPr>
          <w:rFonts w:ascii="Arial Black" w:hAnsi="Arial Black" w:cs="Times New Roman"/>
          <w:color w:val="1B3A59"/>
          <w:sz w:val="48"/>
          <w:szCs w:val="20"/>
        </w:rPr>
        <w:t xml:space="preserve"> Leste</w:t>
      </w:r>
      <w:r>
        <w:rPr>
          <w:rFonts w:ascii="Arial Black" w:hAnsi="Arial Black" w:cs="Times New Roman"/>
          <w:color w:val="1B3A59"/>
          <w:sz w:val="48"/>
          <w:szCs w:val="20"/>
        </w:rPr>
        <w:t xml:space="preserve"> Health Design </w:t>
      </w:r>
    </w:p>
    <w:bookmarkEnd w:id="3"/>
    <w:p w:rsidR="00DA07B2" w:rsidRDefault="00C1256A" w:rsidP="00624D3B">
      <w:pPr>
        <w:pStyle w:val="TitleAuthors"/>
        <w:spacing w:line="276" w:lineRule="auto"/>
        <w:ind w:left="0"/>
        <w:rPr>
          <w:color w:val="auto"/>
          <w:sz w:val="32"/>
          <w:szCs w:val="24"/>
        </w:rPr>
      </w:pPr>
      <w:r>
        <w:rPr>
          <w:color w:val="auto"/>
          <w:sz w:val="32"/>
          <w:szCs w:val="24"/>
        </w:rPr>
        <w:tab/>
        <w:t>Final draft</w:t>
      </w:r>
    </w:p>
    <w:p w:rsidR="00DA07B2" w:rsidRDefault="00DA07B2" w:rsidP="00624D3B">
      <w:pPr>
        <w:pStyle w:val="TitleAuthors"/>
        <w:spacing w:line="276" w:lineRule="auto"/>
        <w:rPr>
          <w:color w:val="auto"/>
          <w:sz w:val="32"/>
          <w:szCs w:val="24"/>
        </w:rPr>
      </w:pPr>
    </w:p>
    <w:p w:rsidR="003257AF" w:rsidRPr="000B55BB" w:rsidRDefault="00C94A76" w:rsidP="00624D3B">
      <w:pPr>
        <w:pStyle w:val="TitleAuthors"/>
        <w:spacing w:line="276" w:lineRule="auto"/>
        <w:rPr>
          <w:color w:val="A6A6A6" w:themeColor="background1" w:themeShade="A6"/>
        </w:rPr>
      </w:pPr>
      <w:r w:rsidRPr="000B55BB">
        <w:rPr>
          <w:color w:val="A6A6A6" w:themeColor="background1" w:themeShade="A6"/>
        </w:rPr>
        <w:t>Steve Fabricant</w:t>
      </w:r>
    </w:p>
    <w:p w:rsidR="003257AF" w:rsidRPr="000B55BB" w:rsidRDefault="003257AF" w:rsidP="00624D3B">
      <w:pPr>
        <w:spacing w:line="276" w:lineRule="auto"/>
        <w:rPr>
          <w:color w:val="A6A6A6" w:themeColor="background1" w:themeShade="A6"/>
        </w:rPr>
      </w:pPr>
    </w:p>
    <w:p w:rsidR="003257AF" w:rsidRPr="000B55BB" w:rsidRDefault="00A60BB3" w:rsidP="00624D3B">
      <w:pPr>
        <w:pStyle w:val="TitleAuthors"/>
        <w:spacing w:line="276" w:lineRule="auto"/>
        <w:rPr>
          <w:color w:val="A6A6A6" w:themeColor="background1" w:themeShade="A6"/>
        </w:rPr>
      </w:pPr>
      <w:bookmarkStart w:id="4" w:name="ReportDate"/>
      <w:r>
        <w:rPr>
          <w:color w:val="A6A6A6" w:themeColor="background1" w:themeShade="A6"/>
        </w:rPr>
        <w:t>29</w:t>
      </w:r>
      <w:r w:rsidR="00C94A76" w:rsidRPr="000B55BB">
        <w:rPr>
          <w:color w:val="A6A6A6" w:themeColor="background1" w:themeShade="A6"/>
        </w:rPr>
        <w:t xml:space="preserve"> November 2013</w:t>
      </w:r>
    </w:p>
    <w:bookmarkEnd w:id="4"/>
    <w:p w:rsidR="00B46EC1" w:rsidRDefault="00B46EC1" w:rsidP="00624D3B">
      <w:pPr>
        <w:spacing w:line="276" w:lineRule="auto"/>
      </w:pPr>
    </w:p>
    <w:p w:rsidR="00DA07B2" w:rsidRPr="000A057C" w:rsidRDefault="00DA07B2" w:rsidP="00624D3B">
      <w:pPr>
        <w:spacing w:line="276" w:lineRule="auto"/>
      </w:pPr>
    </w:p>
    <w:p w:rsidR="00B46EC1" w:rsidRPr="00867F03" w:rsidRDefault="00141880" w:rsidP="00624D3B">
      <w:pPr>
        <w:pBdr>
          <w:bottom w:val="single" w:sz="36" w:space="1" w:color="1B3A59"/>
        </w:pBdr>
        <w:spacing w:line="276" w:lineRule="auto"/>
        <w:ind w:left="720"/>
        <w:rPr>
          <w:color w:val="003366"/>
        </w:rPr>
      </w:pPr>
      <w:r w:rsidRPr="00753466">
        <w:rPr>
          <w:color w:val="003366"/>
        </w:rPr>
        <w:tab/>
      </w:r>
    </w:p>
    <w:p w:rsidR="00B46EC1" w:rsidRPr="00312569" w:rsidRDefault="00B46EC1" w:rsidP="00624D3B">
      <w:pPr>
        <w:spacing w:line="276" w:lineRule="auto"/>
        <w:jc w:val="center"/>
        <w:rPr>
          <w:color w:val="003366"/>
        </w:rPr>
      </w:pPr>
    </w:p>
    <w:p w:rsidR="006022F9" w:rsidRDefault="006022F9" w:rsidP="00624D3B">
      <w:pPr>
        <w:spacing w:line="276" w:lineRule="auto"/>
        <w:rPr>
          <w:rFonts w:cs="Arial"/>
          <w:szCs w:val="22"/>
        </w:rPr>
      </w:pPr>
    </w:p>
    <w:p w:rsidR="006B6075" w:rsidRPr="001377EC" w:rsidRDefault="00386941" w:rsidP="00624D3B">
      <w:pPr>
        <w:pStyle w:val="HRFAddress"/>
        <w:spacing w:line="276" w:lineRule="auto"/>
      </w:pPr>
      <w:r>
        <w:t>Health Resource</w:t>
      </w:r>
      <w:r w:rsidR="00AC0A7C">
        <w:t xml:space="preserve"> Facility for Australia’s aid p</w:t>
      </w:r>
      <w:r w:rsidR="006255D7">
        <w:t xml:space="preserve">rogram </w:t>
      </w:r>
    </w:p>
    <w:p w:rsidR="006B6075" w:rsidRPr="001377EC" w:rsidRDefault="006B6075" w:rsidP="00624D3B">
      <w:pPr>
        <w:pStyle w:val="HRFAddress"/>
        <w:spacing w:line="276" w:lineRule="auto"/>
      </w:pPr>
      <w:r w:rsidRPr="001377EC">
        <w:t>HLSP in association with IDSS</w:t>
      </w:r>
    </w:p>
    <w:p w:rsidR="006B6075" w:rsidRPr="001377EC" w:rsidRDefault="006B6075" w:rsidP="00624D3B">
      <w:pPr>
        <w:pStyle w:val="HRFAddress"/>
        <w:spacing w:line="276" w:lineRule="auto"/>
      </w:pPr>
      <w:r w:rsidRPr="001377EC">
        <w:t>GPO BOX 320</w:t>
      </w:r>
    </w:p>
    <w:p w:rsidR="006B6075" w:rsidRPr="001377EC" w:rsidRDefault="006B6075" w:rsidP="00624D3B">
      <w:pPr>
        <w:pStyle w:val="HRFAddress"/>
        <w:spacing w:line="276" w:lineRule="auto"/>
      </w:pPr>
      <w:r w:rsidRPr="001377EC">
        <w:t>15 Barry Drive</w:t>
      </w:r>
    </w:p>
    <w:p w:rsidR="006B6075" w:rsidRPr="001377EC" w:rsidRDefault="006B6075" w:rsidP="00624D3B">
      <w:pPr>
        <w:pStyle w:val="HRFAddress"/>
        <w:spacing w:line="276" w:lineRule="auto"/>
      </w:pPr>
      <w:r w:rsidRPr="001377EC">
        <w:t>Canberra City ACT 2601</w:t>
      </w:r>
    </w:p>
    <w:p w:rsidR="006B6075" w:rsidRPr="001377EC" w:rsidRDefault="006B6075" w:rsidP="00624D3B">
      <w:pPr>
        <w:pStyle w:val="HRFAddress"/>
        <w:spacing w:line="276" w:lineRule="auto"/>
      </w:pPr>
      <w:r w:rsidRPr="001377EC">
        <w:t>Tel:</w:t>
      </w:r>
      <w:r w:rsidRPr="001377EC">
        <w:tab/>
        <w:t>+61 (2) 6198 4100</w:t>
      </w:r>
    </w:p>
    <w:p w:rsidR="006B6075" w:rsidRPr="001377EC" w:rsidRDefault="006B6075" w:rsidP="00624D3B">
      <w:pPr>
        <w:pStyle w:val="HRFAddress"/>
        <w:spacing w:line="276" w:lineRule="auto"/>
      </w:pPr>
      <w:r w:rsidRPr="001377EC">
        <w:t>Fax:</w:t>
      </w:r>
      <w:r w:rsidRPr="001377EC">
        <w:tab/>
        <w:t>+61 (2) 6112 0106</w:t>
      </w:r>
    </w:p>
    <w:p w:rsidR="00B46EC1" w:rsidRPr="006B6075" w:rsidRDefault="00270371" w:rsidP="00624D3B">
      <w:pPr>
        <w:pStyle w:val="HRFAddress"/>
        <w:spacing w:line="276" w:lineRule="auto"/>
        <w:rPr>
          <w:color w:val="003366"/>
        </w:rPr>
        <w:sectPr w:rsidR="00B46EC1" w:rsidRPr="006B6075" w:rsidSect="00FD73D1">
          <w:headerReference w:type="even" r:id="rId10"/>
          <w:headerReference w:type="default" r:id="rId11"/>
          <w:footerReference w:type="even" r:id="rId12"/>
          <w:footerReference w:type="default" r:id="rId13"/>
          <w:headerReference w:type="first" r:id="rId14"/>
          <w:footerReference w:type="first" r:id="rId15"/>
          <w:pgSz w:w="11906" w:h="16838"/>
          <w:pgMar w:top="1440" w:right="2366" w:bottom="1440" w:left="1800" w:header="708" w:footer="708" w:gutter="0"/>
          <w:cols w:space="708"/>
          <w:docGrid w:linePitch="360"/>
        </w:sectPr>
      </w:pPr>
      <w:r w:rsidRPr="00270371">
        <w:t>www.australianaidhrf.com.au</w:t>
      </w:r>
    </w:p>
    <w:p w:rsidR="00E8421A" w:rsidRPr="00624D3B" w:rsidRDefault="00E8421A" w:rsidP="00624D3B">
      <w:pPr>
        <w:spacing w:line="276" w:lineRule="auto"/>
        <w:rPr>
          <w:rStyle w:val="ContentsTitle"/>
          <w:b/>
        </w:rPr>
      </w:pPr>
      <w:r w:rsidRPr="00624D3B">
        <w:rPr>
          <w:rStyle w:val="ContentsTitle"/>
          <w:b/>
        </w:rPr>
        <w:lastRenderedPageBreak/>
        <w:t>Contents</w:t>
      </w:r>
      <w:bookmarkEnd w:id="0"/>
      <w:bookmarkEnd w:id="1"/>
    </w:p>
    <w:p w:rsidR="006946F8" w:rsidRDefault="00C94A76">
      <w:pPr>
        <w:pStyle w:val="TOC1"/>
        <w:rPr>
          <w:rFonts w:asciiTheme="minorHAnsi" w:eastAsiaTheme="minorEastAsia" w:hAnsiTheme="minorHAnsi" w:cstheme="minorBidi"/>
          <w:b w:val="0"/>
          <w:noProof/>
          <w:szCs w:val="22"/>
          <w:lang w:bidi="ar-SA"/>
        </w:rPr>
      </w:pPr>
      <w:r>
        <w:fldChar w:fldCharType="begin"/>
      </w:r>
      <w:r w:rsidR="00E97966">
        <w:instrText xml:space="preserve"> TOC \h \z \t "HRF Heading 1 Numbered,1,HRF Heading 2 Numbered,2,HRF Heading 3 Numbered,3,HRF No Number Heading 1,1,HRF NO Number Heading 2,2" </w:instrText>
      </w:r>
      <w:r>
        <w:fldChar w:fldCharType="separate"/>
      </w:r>
      <w:hyperlink w:anchor="_Toc373502475" w:history="1">
        <w:r w:rsidR="006946F8" w:rsidRPr="004B67D6">
          <w:rPr>
            <w:rStyle w:val="Hyperlink"/>
            <w:noProof/>
            <w:lang w:val="en-AU"/>
          </w:rPr>
          <w:t>Executive Summary</w:t>
        </w:r>
        <w:r w:rsidR="006946F8">
          <w:rPr>
            <w:noProof/>
            <w:webHidden/>
          </w:rPr>
          <w:tab/>
        </w:r>
        <w:r w:rsidR="006946F8">
          <w:rPr>
            <w:noProof/>
            <w:webHidden/>
          </w:rPr>
          <w:fldChar w:fldCharType="begin"/>
        </w:r>
        <w:r w:rsidR="006946F8">
          <w:rPr>
            <w:noProof/>
            <w:webHidden/>
          </w:rPr>
          <w:instrText xml:space="preserve"> PAGEREF _Toc373502475 \h </w:instrText>
        </w:r>
        <w:r w:rsidR="006946F8">
          <w:rPr>
            <w:noProof/>
            <w:webHidden/>
          </w:rPr>
        </w:r>
        <w:r w:rsidR="006946F8">
          <w:rPr>
            <w:noProof/>
            <w:webHidden/>
          </w:rPr>
          <w:fldChar w:fldCharType="separate"/>
        </w:r>
        <w:r w:rsidR="00B363D8">
          <w:rPr>
            <w:noProof/>
            <w:webHidden/>
          </w:rPr>
          <w:t>3</w:t>
        </w:r>
        <w:r w:rsidR="006946F8">
          <w:rPr>
            <w:noProof/>
            <w:webHidden/>
          </w:rPr>
          <w:fldChar w:fldCharType="end"/>
        </w:r>
      </w:hyperlink>
    </w:p>
    <w:p w:rsidR="006946F8" w:rsidRDefault="00B1465C">
      <w:pPr>
        <w:pStyle w:val="TOC1"/>
        <w:tabs>
          <w:tab w:val="left" w:pos="440"/>
        </w:tabs>
        <w:rPr>
          <w:rFonts w:asciiTheme="minorHAnsi" w:eastAsiaTheme="minorEastAsia" w:hAnsiTheme="minorHAnsi" w:cstheme="minorBidi"/>
          <w:b w:val="0"/>
          <w:noProof/>
          <w:szCs w:val="22"/>
          <w:lang w:bidi="ar-SA"/>
        </w:rPr>
      </w:pPr>
      <w:hyperlink w:anchor="_Toc373502476" w:history="1">
        <w:r w:rsidR="006946F8" w:rsidRPr="004B67D6">
          <w:rPr>
            <w:rStyle w:val="Hyperlink"/>
            <w:noProof/>
          </w:rPr>
          <w:t>1.</w:t>
        </w:r>
        <w:r w:rsidR="006946F8">
          <w:rPr>
            <w:rFonts w:asciiTheme="minorHAnsi" w:eastAsiaTheme="minorEastAsia" w:hAnsiTheme="minorHAnsi" w:cstheme="minorBidi"/>
            <w:b w:val="0"/>
            <w:noProof/>
            <w:szCs w:val="22"/>
            <w:lang w:bidi="ar-SA"/>
          </w:rPr>
          <w:tab/>
        </w:r>
        <w:r w:rsidR="006946F8" w:rsidRPr="004B67D6">
          <w:rPr>
            <w:rStyle w:val="Hyperlink"/>
            <w:noProof/>
          </w:rPr>
          <w:t>Introduction</w:t>
        </w:r>
        <w:r w:rsidR="006946F8">
          <w:rPr>
            <w:noProof/>
            <w:webHidden/>
          </w:rPr>
          <w:tab/>
        </w:r>
        <w:r w:rsidR="006946F8">
          <w:rPr>
            <w:noProof/>
            <w:webHidden/>
          </w:rPr>
          <w:fldChar w:fldCharType="begin"/>
        </w:r>
        <w:r w:rsidR="006946F8">
          <w:rPr>
            <w:noProof/>
            <w:webHidden/>
          </w:rPr>
          <w:instrText xml:space="preserve"> PAGEREF _Toc373502476 \h </w:instrText>
        </w:r>
        <w:r w:rsidR="006946F8">
          <w:rPr>
            <w:noProof/>
            <w:webHidden/>
          </w:rPr>
        </w:r>
        <w:r w:rsidR="006946F8">
          <w:rPr>
            <w:noProof/>
            <w:webHidden/>
          </w:rPr>
          <w:fldChar w:fldCharType="separate"/>
        </w:r>
        <w:r w:rsidR="00B363D8">
          <w:rPr>
            <w:noProof/>
            <w:webHidden/>
          </w:rPr>
          <w:t>6</w:t>
        </w:r>
        <w:r w:rsidR="006946F8">
          <w:rPr>
            <w:noProof/>
            <w:webHidden/>
          </w:rPr>
          <w:fldChar w:fldCharType="end"/>
        </w:r>
      </w:hyperlink>
    </w:p>
    <w:p w:rsidR="006946F8" w:rsidRDefault="00B1465C">
      <w:pPr>
        <w:pStyle w:val="TOC2"/>
        <w:rPr>
          <w:rFonts w:asciiTheme="minorHAnsi" w:eastAsiaTheme="minorEastAsia" w:hAnsiTheme="minorHAnsi" w:cstheme="minorBidi"/>
          <w:noProof/>
          <w:szCs w:val="22"/>
          <w:lang w:bidi="ar-SA"/>
        </w:rPr>
      </w:pPr>
      <w:hyperlink w:anchor="_Toc373502477" w:history="1">
        <w:r w:rsidR="006946F8" w:rsidRPr="004B67D6">
          <w:rPr>
            <w:rStyle w:val="Hyperlink"/>
            <w:noProof/>
          </w:rPr>
          <w:t>1.1.</w:t>
        </w:r>
        <w:r w:rsidR="006946F8">
          <w:rPr>
            <w:rFonts w:asciiTheme="minorHAnsi" w:eastAsiaTheme="minorEastAsia" w:hAnsiTheme="minorHAnsi" w:cstheme="minorBidi"/>
            <w:noProof/>
            <w:szCs w:val="22"/>
            <w:lang w:bidi="ar-SA"/>
          </w:rPr>
          <w:tab/>
        </w:r>
        <w:r w:rsidR="006946F8" w:rsidRPr="004B67D6">
          <w:rPr>
            <w:rStyle w:val="Hyperlink"/>
            <w:noProof/>
          </w:rPr>
          <w:t>Research Development and Methods Used</w:t>
        </w:r>
        <w:r w:rsidR="006946F8">
          <w:rPr>
            <w:noProof/>
            <w:webHidden/>
          </w:rPr>
          <w:tab/>
        </w:r>
        <w:r w:rsidR="006946F8">
          <w:rPr>
            <w:noProof/>
            <w:webHidden/>
          </w:rPr>
          <w:fldChar w:fldCharType="begin"/>
        </w:r>
        <w:r w:rsidR="006946F8">
          <w:rPr>
            <w:noProof/>
            <w:webHidden/>
          </w:rPr>
          <w:instrText xml:space="preserve"> PAGEREF _Toc373502477 \h </w:instrText>
        </w:r>
        <w:r w:rsidR="006946F8">
          <w:rPr>
            <w:noProof/>
            <w:webHidden/>
          </w:rPr>
        </w:r>
        <w:r w:rsidR="006946F8">
          <w:rPr>
            <w:noProof/>
            <w:webHidden/>
          </w:rPr>
          <w:fldChar w:fldCharType="separate"/>
        </w:r>
        <w:r w:rsidR="00B363D8">
          <w:rPr>
            <w:noProof/>
            <w:webHidden/>
          </w:rPr>
          <w:t>7</w:t>
        </w:r>
        <w:r w:rsidR="006946F8">
          <w:rPr>
            <w:noProof/>
            <w:webHidden/>
          </w:rPr>
          <w:fldChar w:fldCharType="end"/>
        </w:r>
      </w:hyperlink>
    </w:p>
    <w:p w:rsidR="006946F8" w:rsidRDefault="00B1465C">
      <w:pPr>
        <w:pStyle w:val="TOC1"/>
        <w:tabs>
          <w:tab w:val="left" w:pos="440"/>
        </w:tabs>
        <w:rPr>
          <w:rFonts w:asciiTheme="minorHAnsi" w:eastAsiaTheme="minorEastAsia" w:hAnsiTheme="minorHAnsi" w:cstheme="minorBidi"/>
          <w:b w:val="0"/>
          <w:noProof/>
          <w:szCs w:val="22"/>
          <w:lang w:bidi="ar-SA"/>
        </w:rPr>
      </w:pPr>
      <w:hyperlink w:anchor="_Toc373502478" w:history="1">
        <w:r w:rsidR="006946F8" w:rsidRPr="004B67D6">
          <w:rPr>
            <w:rStyle w:val="Hyperlink"/>
            <w:noProof/>
          </w:rPr>
          <w:t>2.</w:t>
        </w:r>
        <w:r w:rsidR="006946F8">
          <w:rPr>
            <w:rFonts w:asciiTheme="minorHAnsi" w:eastAsiaTheme="minorEastAsia" w:hAnsiTheme="minorHAnsi" w:cstheme="minorBidi"/>
            <w:b w:val="0"/>
            <w:noProof/>
            <w:szCs w:val="22"/>
            <w:lang w:bidi="ar-SA"/>
          </w:rPr>
          <w:tab/>
        </w:r>
        <w:r w:rsidR="006946F8" w:rsidRPr="004B67D6">
          <w:rPr>
            <w:rStyle w:val="Hyperlink"/>
            <w:noProof/>
          </w:rPr>
          <w:t>What sorts of interventions are likely to be most effective in the short and long term at improving maternal, child and neo-natal health in Timor-Leste? How would they improve health care access and/or quality in the long-term, or will they only work in the short-term?</w:t>
        </w:r>
        <w:r w:rsidR="006946F8">
          <w:rPr>
            <w:noProof/>
            <w:webHidden/>
          </w:rPr>
          <w:tab/>
        </w:r>
        <w:r w:rsidR="006946F8">
          <w:rPr>
            <w:noProof/>
            <w:webHidden/>
          </w:rPr>
          <w:fldChar w:fldCharType="begin"/>
        </w:r>
        <w:r w:rsidR="006946F8">
          <w:rPr>
            <w:noProof/>
            <w:webHidden/>
          </w:rPr>
          <w:instrText xml:space="preserve"> PAGEREF _Toc373502478 \h </w:instrText>
        </w:r>
        <w:r w:rsidR="006946F8">
          <w:rPr>
            <w:noProof/>
            <w:webHidden/>
          </w:rPr>
        </w:r>
        <w:r w:rsidR="006946F8">
          <w:rPr>
            <w:noProof/>
            <w:webHidden/>
          </w:rPr>
          <w:fldChar w:fldCharType="separate"/>
        </w:r>
        <w:r w:rsidR="00B363D8">
          <w:rPr>
            <w:noProof/>
            <w:webHidden/>
          </w:rPr>
          <w:t>8</w:t>
        </w:r>
        <w:r w:rsidR="006946F8">
          <w:rPr>
            <w:noProof/>
            <w:webHidden/>
          </w:rPr>
          <w:fldChar w:fldCharType="end"/>
        </w:r>
      </w:hyperlink>
    </w:p>
    <w:p w:rsidR="006946F8" w:rsidRDefault="00B1465C">
      <w:pPr>
        <w:pStyle w:val="TOC2"/>
        <w:rPr>
          <w:rFonts w:asciiTheme="minorHAnsi" w:eastAsiaTheme="minorEastAsia" w:hAnsiTheme="minorHAnsi" w:cstheme="minorBidi"/>
          <w:noProof/>
          <w:szCs w:val="22"/>
          <w:lang w:bidi="ar-SA"/>
        </w:rPr>
      </w:pPr>
      <w:hyperlink w:anchor="_Toc373502479" w:history="1">
        <w:r w:rsidR="006946F8" w:rsidRPr="004B67D6">
          <w:rPr>
            <w:rStyle w:val="Hyperlink"/>
            <w:noProof/>
          </w:rPr>
          <w:t>2.1.</w:t>
        </w:r>
        <w:r w:rsidR="006946F8">
          <w:rPr>
            <w:rFonts w:asciiTheme="minorHAnsi" w:eastAsiaTheme="minorEastAsia" w:hAnsiTheme="minorHAnsi" w:cstheme="minorBidi"/>
            <w:noProof/>
            <w:szCs w:val="22"/>
            <w:lang w:bidi="ar-SA"/>
          </w:rPr>
          <w:tab/>
        </w:r>
        <w:r w:rsidR="006946F8" w:rsidRPr="004B67D6">
          <w:rPr>
            <w:rStyle w:val="Hyperlink"/>
            <w:noProof/>
          </w:rPr>
          <w:t>The importance of balancing investing in health systems and investing in technical health interventions</w:t>
        </w:r>
        <w:r w:rsidR="006946F8">
          <w:rPr>
            <w:noProof/>
            <w:webHidden/>
          </w:rPr>
          <w:tab/>
        </w:r>
        <w:r w:rsidR="006946F8">
          <w:rPr>
            <w:noProof/>
            <w:webHidden/>
          </w:rPr>
          <w:fldChar w:fldCharType="begin"/>
        </w:r>
        <w:r w:rsidR="006946F8">
          <w:rPr>
            <w:noProof/>
            <w:webHidden/>
          </w:rPr>
          <w:instrText xml:space="preserve"> PAGEREF _Toc373502479 \h </w:instrText>
        </w:r>
        <w:r w:rsidR="006946F8">
          <w:rPr>
            <w:noProof/>
            <w:webHidden/>
          </w:rPr>
        </w:r>
        <w:r w:rsidR="006946F8">
          <w:rPr>
            <w:noProof/>
            <w:webHidden/>
          </w:rPr>
          <w:fldChar w:fldCharType="separate"/>
        </w:r>
        <w:r w:rsidR="00B363D8">
          <w:rPr>
            <w:noProof/>
            <w:webHidden/>
          </w:rPr>
          <w:t>8</w:t>
        </w:r>
        <w:r w:rsidR="006946F8">
          <w:rPr>
            <w:noProof/>
            <w:webHidden/>
          </w:rPr>
          <w:fldChar w:fldCharType="end"/>
        </w:r>
      </w:hyperlink>
    </w:p>
    <w:p w:rsidR="006946F8" w:rsidRDefault="00B1465C">
      <w:pPr>
        <w:pStyle w:val="TOC2"/>
        <w:rPr>
          <w:rFonts w:asciiTheme="minorHAnsi" w:eastAsiaTheme="minorEastAsia" w:hAnsiTheme="minorHAnsi" w:cstheme="minorBidi"/>
          <w:noProof/>
          <w:szCs w:val="22"/>
          <w:lang w:bidi="ar-SA"/>
        </w:rPr>
      </w:pPr>
      <w:hyperlink w:anchor="_Toc373502480" w:history="1">
        <w:r w:rsidR="006946F8" w:rsidRPr="004B67D6">
          <w:rPr>
            <w:rStyle w:val="Hyperlink"/>
            <w:noProof/>
          </w:rPr>
          <w:t>2.2.</w:t>
        </w:r>
        <w:r w:rsidR="006946F8">
          <w:rPr>
            <w:rFonts w:asciiTheme="minorHAnsi" w:eastAsiaTheme="minorEastAsia" w:hAnsiTheme="minorHAnsi" w:cstheme="minorBidi"/>
            <w:noProof/>
            <w:szCs w:val="22"/>
            <w:lang w:bidi="ar-SA"/>
          </w:rPr>
          <w:tab/>
        </w:r>
        <w:r w:rsidR="006946F8" w:rsidRPr="004B67D6">
          <w:rPr>
            <w:rStyle w:val="Hyperlink"/>
            <w:noProof/>
          </w:rPr>
          <w:t>Priorities in designing for HSS</w:t>
        </w:r>
        <w:r w:rsidR="006946F8">
          <w:rPr>
            <w:noProof/>
            <w:webHidden/>
          </w:rPr>
          <w:tab/>
        </w:r>
        <w:r w:rsidR="006946F8">
          <w:rPr>
            <w:noProof/>
            <w:webHidden/>
          </w:rPr>
          <w:fldChar w:fldCharType="begin"/>
        </w:r>
        <w:r w:rsidR="006946F8">
          <w:rPr>
            <w:noProof/>
            <w:webHidden/>
          </w:rPr>
          <w:instrText xml:space="preserve"> PAGEREF _Toc373502480 \h </w:instrText>
        </w:r>
        <w:r w:rsidR="006946F8">
          <w:rPr>
            <w:noProof/>
            <w:webHidden/>
          </w:rPr>
        </w:r>
        <w:r w:rsidR="006946F8">
          <w:rPr>
            <w:noProof/>
            <w:webHidden/>
          </w:rPr>
          <w:fldChar w:fldCharType="separate"/>
        </w:r>
        <w:r w:rsidR="00B363D8">
          <w:rPr>
            <w:noProof/>
            <w:webHidden/>
          </w:rPr>
          <w:t>11</w:t>
        </w:r>
        <w:r w:rsidR="006946F8">
          <w:rPr>
            <w:noProof/>
            <w:webHidden/>
          </w:rPr>
          <w:fldChar w:fldCharType="end"/>
        </w:r>
      </w:hyperlink>
    </w:p>
    <w:p w:rsidR="006946F8" w:rsidRDefault="00B1465C">
      <w:pPr>
        <w:pStyle w:val="TOC2"/>
        <w:rPr>
          <w:rFonts w:asciiTheme="minorHAnsi" w:eastAsiaTheme="minorEastAsia" w:hAnsiTheme="minorHAnsi" w:cstheme="minorBidi"/>
          <w:noProof/>
          <w:szCs w:val="22"/>
          <w:lang w:bidi="ar-SA"/>
        </w:rPr>
      </w:pPr>
      <w:hyperlink w:anchor="_Toc373502481" w:history="1">
        <w:r w:rsidR="006946F8" w:rsidRPr="004B67D6">
          <w:rPr>
            <w:rStyle w:val="Hyperlink"/>
            <w:noProof/>
          </w:rPr>
          <w:t>2.3.</w:t>
        </w:r>
        <w:r w:rsidR="006946F8">
          <w:rPr>
            <w:rFonts w:asciiTheme="minorHAnsi" w:eastAsiaTheme="minorEastAsia" w:hAnsiTheme="minorHAnsi" w:cstheme="minorBidi"/>
            <w:noProof/>
            <w:szCs w:val="22"/>
            <w:lang w:bidi="ar-SA"/>
          </w:rPr>
          <w:tab/>
        </w:r>
        <w:r w:rsidR="006946F8" w:rsidRPr="004B67D6">
          <w:rPr>
            <w:rStyle w:val="Hyperlink"/>
            <w:noProof/>
          </w:rPr>
          <w:t>Using benefits of technical interventions to evaluate health system support interventions</w:t>
        </w:r>
        <w:r w:rsidR="006946F8">
          <w:rPr>
            <w:noProof/>
            <w:webHidden/>
          </w:rPr>
          <w:tab/>
        </w:r>
        <w:r w:rsidR="006946F8">
          <w:rPr>
            <w:noProof/>
            <w:webHidden/>
          </w:rPr>
          <w:fldChar w:fldCharType="begin"/>
        </w:r>
        <w:r w:rsidR="006946F8">
          <w:rPr>
            <w:noProof/>
            <w:webHidden/>
          </w:rPr>
          <w:instrText xml:space="preserve"> PAGEREF _Toc373502481 \h </w:instrText>
        </w:r>
        <w:r w:rsidR="006946F8">
          <w:rPr>
            <w:noProof/>
            <w:webHidden/>
          </w:rPr>
        </w:r>
        <w:r w:rsidR="006946F8">
          <w:rPr>
            <w:noProof/>
            <w:webHidden/>
          </w:rPr>
          <w:fldChar w:fldCharType="separate"/>
        </w:r>
        <w:r w:rsidR="00B363D8">
          <w:rPr>
            <w:noProof/>
            <w:webHidden/>
          </w:rPr>
          <w:t>13</w:t>
        </w:r>
        <w:r w:rsidR="006946F8">
          <w:rPr>
            <w:noProof/>
            <w:webHidden/>
          </w:rPr>
          <w:fldChar w:fldCharType="end"/>
        </w:r>
      </w:hyperlink>
    </w:p>
    <w:p w:rsidR="006946F8" w:rsidRDefault="00B1465C">
      <w:pPr>
        <w:pStyle w:val="TOC2"/>
        <w:rPr>
          <w:rFonts w:asciiTheme="minorHAnsi" w:eastAsiaTheme="minorEastAsia" w:hAnsiTheme="minorHAnsi" w:cstheme="minorBidi"/>
          <w:noProof/>
          <w:szCs w:val="22"/>
          <w:lang w:bidi="ar-SA"/>
        </w:rPr>
      </w:pPr>
      <w:hyperlink w:anchor="_Toc373502483" w:history="1">
        <w:r w:rsidR="006946F8" w:rsidRPr="004B67D6">
          <w:rPr>
            <w:rStyle w:val="Hyperlink"/>
            <w:noProof/>
          </w:rPr>
          <w:t>2.4.</w:t>
        </w:r>
        <w:r w:rsidR="006946F8">
          <w:rPr>
            <w:rFonts w:asciiTheme="minorHAnsi" w:eastAsiaTheme="minorEastAsia" w:hAnsiTheme="minorHAnsi" w:cstheme="minorBidi"/>
            <w:noProof/>
            <w:szCs w:val="22"/>
            <w:lang w:bidi="ar-SA"/>
          </w:rPr>
          <w:tab/>
        </w:r>
        <w:r w:rsidR="006946F8" w:rsidRPr="004B67D6">
          <w:rPr>
            <w:rStyle w:val="Hyperlink"/>
            <w:noProof/>
          </w:rPr>
          <w:t>Health system interventions map onto RMNCH benefits</w:t>
        </w:r>
        <w:r w:rsidR="006946F8">
          <w:rPr>
            <w:noProof/>
            <w:webHidden/>
          </w:rPr>
          <w:tab/>
        </w:r>
        <w:r w:rsidR="006946F8">
          <w:rPr>
            <w:noProof/>
            <w:webHidden/>
          </w:rPr>
          <w:fldChar w:fldCharType="begin"/>
        </w:r>
        <w:r w:rsidR="006946F8">
          <w:rPr>
            <w:noProof/>
            <w:webHidden/>
          </w:rPr>
          <w:instrText xml:space="preserve"> PAGEREF _Toc373502483 \h </w:instrText>
        </w:r>
        <w:r w:rsidR="006946F8">
          <w:rPr>
            <w:noProof/>
            <w:webHidden/>
          </w:rPr>
        </w:r>
        <w:r w:rsidR="006946F8">
          <w:rPr>
            <w:noProof/>
            <w:webHidden/>
          </w:rPr>
          <w:fldChar w:fldCharType="separate"/>
        </w:r>
        <w:r w:rsidR="00B363D8">
          <w:rPr>
            <w:noProof/>
            <w:webHidden/>
          </w:rPr>
          <w:t>17</w:t>
        </w:r>
        <w:r w:rsidR="006946F8">
          <w:rPr>
            <w:noProof/>
            <w:webHidden/>
          </w:rPr>
          <w:fldChar w:fldCharType="end"/>
        </w:r>
      </w:hyperlink>
    </w:p>
    <w:p w:rsidR="006946F8" w:rsidRDefault="00B1465C">
      <w:pPr>
        <w:pStyle w:val="TOC2"/>
        <w:rPr>
          <w:rFonts w:asciiTheme="minorHAnsi" w:eastAsiaTheme="minorEastAsia" w:hAnsiTheme="minorHAnsi" w:cstheme="minorBidi"/>
          <w:noProof/>
          <w:szCs w:val="22"/>
          <w:lang w:bidi="ar-SA"/>
        </w:rPr>
      </w:pPr>
      <w:hyperlink w:anchor="_Toc373502484" w:history="1">
        <w:r w:rsidR="006946F8" w:rsidRPr="004B67D6">
          <w:rPr>
            <w:rStyle w:val="Hyperlink"/>
            <w:noProof/>
          </w:rPr>
          <w:t>2.5.</w:t>
        </w:r>
        <w:r w:rsidR="006946F8">
          <w:rPr>
            <w:rFonts w:asciiTheme="minorHAnsi" w:eastAsiaTheme="minorEastAsia" w:hAnsiTheme="minorHAnsi" w:cstheme="minorBidi"/>
            <w:noProof/>
            <w:szCs w:val="22"/>
            <w:lang w:bidi="ar-SA"/>
          </w:rPr>
          <w:tab/>
        </w:r>
        <w:r w:rsidR="006946F8" w:rsidRPr="004B67D6">
          <w:rPr>
            <w:rStyle w:val="Hyperlink"/>
            <w:noProof/>
          </w:rPr>
          <w:t>Health transport analysis</w:t>
        </w:r>
        <w:r w:rsidR="006946F8">
          <w:rPr>
            <w:noProof/>
            <w:webHidden/>
          </w:rPr>
          <w:tab/>
        </w:r>
        <w:r w:rsidR="006946F8">
          <w:rPr>
            <w:noProof/>
            <w:webHidden/>
          </w:rPr>
          <w:fldChar w:fldCharType="begin"/>
        </w:r>
        <w:r w:rsidR="006946F8">
          <w:rPr>
            <w:noProof/>
            <w:webHidden/>
          </w:rPr>
          <w:instrText xml:space="preserve"> PAGEREF _Toc373502484 \h </w:instrText>
        </w:r>
        <w:r w:rsidR="006946F8">
          <w:rPr>
            <w:noProof/>
            <w:webHidden/>
          </w:rPr>
        </w:r>
        <w:r w:rsidR="006946F8">
          <w:rPr>
            <w:noProof/>
            <w:webHidden/>
          </w:rPr>
          <w:fldChar w:fldCharType="separate"/>
        </w:r>
        <w:r w:rsidR="00B363D8">
          <w:rPr>
            <w:noProof/>
            <w:webHidden/>
          </w:rPr>
          <w:t>17</w:t>
        </w:r>
        <w:r w:rsidR="006946F8">
          <w:rPr>
            <w:noProof/>
            <w:webHidden/>
          </w:rPr>
          <w:fldChar w:fldCharType="end"/>
        </w:r>
      </w:hyperlink>
    </w:p>
    <w:p w:rsidR="006946F8" w:rsidRDefault="00B1465C">
      <w:pPr>
        <w:pStyle w:val="TOC2"/>
        <w:rPr>
          <w:rFonts w:asciiTheme="minorHAnsi" w:eastAsiaTheme="minorEastAsia" w:hAnsiTheme="minorHAnsi" w:cstheme="minorBidi"/>
          <w:noProof/>
          <w:szCs w:val="22"/>
          <w:lang w:bidi="ar-SA"/>
        </w:rPr>
      </w:pPr>
      <w:hyperlink w:anchor="_Toc373502485" w:history="1">
        <w:r w:rsidR="006946F8" w:rsidRPr="004B67D6">
          <w:rPr>
            <w:rStyle w:val="Hyperlink"/>
            <w:noProof/>
            <w:lang w:val="en-AU"/>
          </w:rPr>
          <w:t>2.6.</w:t>
        </w:r>
        <w:r w:rsidR="006946F8">
          <w:rPr>
            <w:rFonts w:asciiTheme="minorHAnsi" w:eastAsiaTheme="minorEastAsia" w:hAnsiTheme="minorHAnsi" w:cstheme="minorBidi"/>
            <w:noProof/>
            <w:szCs w:val="22"/>
            <w:lang w:bidi="ar-SA"/>
          </w:rPr>
          <w:tab/>
        </w:r>
        <w:r w:rsidR="006946F8" w:rsidRPr="004B67D6">
          <w:rPr>
            <w:rStyle w:val="Hyperlink"/>
            <w:noProof/>
            <w:lang w:val="en-AU"/>
          </w:rPr>
          <w:t>Health infrastructure and equipment</w:t>
        </w:r>
        <w:r w:rsidR="006946F8">
          <w:rPr>
            <w:noProof/>
            <w:webHidden/>
          </w:rPr>
          <w:tab/>
        </w:r>
        <w:r w:rsidR="006946F8">
          <w:rPr>
            <w:noProof/>
            <w:webHidden/>
          </w:rPr>
          <w:fldChar w:fldCharType="begin"/>
        </w:r>
        <w:r w:rsidR="006946F8">
          <w:rPr>
            <w:noProof/>
            <w:webHidden/>
          </w:rPr>
          <w:instrText xml:space="preserve"> PAGEREF _Toc373502485 \h </w:instrText>
        </w:r>
        <w:r w:rsidR="006946F8">
          <w:rPr>
            <w:noProof/>
            <w:webHidden/>
          </w:rPr>
        </w:r>
        <w:r w:rsidR="006946F8">
          <w:rPr>
            <w:noProof/>
            <w:webHidden/>
          </w:rPr>
          <w:fldChar w:fldCharType="separate"/>
        </w:r>
        <w:r w:rsidR="00B363D8">
          <w:rPr>
            <w:noProof/>
            <w:webHidden/>
          </w:rPr>
          <w:t>19</w:t>
        </w:r>
        <w:r w:rsidR="006946F8">
          <w:rPr>
            <w:noProof/>
            <w:webHidden/>
          </w:rPr>
          <w:fldChar w:fldCharType="end"/>
        </w:r>
      </w:hyperlink>
    </w:p>
    <w:p w:rsidR="006946F8" w:rsidRDefault="00B1465C">
      <w:pPr>
        <w:pStyle w:val="TOC2"/>
        <w:rPr>
          <w:rFonts w:asciiTheme="minorHAnsi" w:eastAsiaTheme="minorEastAsia" w:hAnsiTheme="minorHAnsi" w:cstheme="minorBidi"/>
          <w:noProof/>
          <w:szCs w:val="22"/>
          <w:lang w:bidi="ar-SA"/>
        </w:rPr>
      </w:pPr>
      <w:hyperlink w:anchor="_Toc373502486" w:history="1">
        <w:r w:rsidR="006946F8" w:rsidRPr="004B67D6">
          <w:rPr>
            <w:rStyle w:val="Hyperlink"/>
            <w:noProof/>
            <w:lang w:val="en-AU"/>
          </w:rPr>
          <w:t>2.7.</w:t>
        </w:r>
        <w:r w:rsidR="006946F8">
          <w:rPr>
            <w:rFonts w:asciiTheme="minorHAnsi" w:eastAsiaTheme="minorEastAsia" w:hAnsiTheme="minorHAnsi" w:cstheme="minorBidi"/>
            <w:noProof/>
            <w:szCs w:val="22"/>
            <w:lang w:bidi="ar-SA"/>
          </w:rPr>
          <w:tab/>
        </w:r>
        <w:r w:rsidR="006946F8" w:rsidRPr="004B67D6">
          <w:rPr>
            <w:rStyle w:val="Hyperlink"/>
            <w:noProof/>
            <w:lang w:val="en-AU"/>
          </w:rPr>
          <w:t>Human resources for health</w:t>
        </w:r>
        <w:r w:rsidR="006946F8">
          <w:rPr>
            <w:noProof/>
            <w:webHidden/>
          </w:rPr>
          <w:tab/>
        </w:r>
        <w:r w:rsidR="006946F8">
          <w:rPr>
            <w:noProof/>
            <w:webHidden/>
          </w:rPr>
          <w:fldChar w:fldCharType="begin"/>
        </w:r>
        <w:r w:rsidR="006946F8">
          <w:rPr>
            <w:noProof/>
            <w:webHidden/>
          </w:rPr>
          <w:instrText xml:space="preserve"> PAGEREF _Toc373502486 \h </w:instrText>
        </w:r>
        <w:r w:rsidR="006946F8">
          <w:rPr>
            <w:noProof/>
            <w:webHidden/>
          </w:rPr>
        </w:r>
        <w:r w:rsidR="006946F8">
          <w:rPr>
            <w:noProof/>
            <w:webHidden/>
          </w:rPr>
          <w:fldChar w:fldCharType="separate"/>
        </w:r>
        <w:r w:rsidR="00B363D8">
          <w:rPr>
            <w:noProof/>
            <w:webHidden/>
          </w:rPr>
          <w:t>19</w:t>
        </w:r>
        <w:r w:rsidR="006946F8">
          <w:rPr>
            <w:noProof/>
            <w:webHidden/>
          </w:rPr>
          <w:fldChar w:fldCharType="end"/>
        </w:r>
      </w:hyperlink>
    </w:p>
    <w:p w:rsidR="006946F8" w:rsidRDefault="00B1465C">
      <w:pPr>
        <w:pStyle w:val="TOC2"/>
        <w:rPr>
          <w:rFonts w:asciiTheme="minorHAnsi" w:eastAsiaTheme="minorEastAsia" w:hAnsiTheme="minorHAnsi" w:cstheme="minorBidi"/>
          <w:noProof/>
          <w:szCs w:val="22"/>
          <w:lang w:bidi="ar-SA"/>
        </w:rPr>
      </w:pPr>
      <w:hyperlink w:anchor="_Toc373502487" w:history="1">
        <w:r w:rsidR="006946F8" w:rsidRPr="004B67D6">
          <w:rPr>
            <w:rStyle w:val="Hyperlink"/>
            <w:noProof/>
          </w:rPr>
          <w:t>2.8.</w:t>
        </w:r>
        <w:r w:rsidR="006946F8">
          <w:rPr>
            <w:rFonts w:asciiTheme="minorHAnsi" w:eastAsiaTheme="minorEastAsia" w:hAnsiTheme="minorHAnsi" w:cstheme="minorBidi"/>
            <w:noProof/>
            <w:szCs w:val="22"/>
            <w:lang w:bidi="ar-SA"/>
          </w:rPr>
          <w:tab/>
        </w:r>
        <w:r w:rsidR="006946F8" w:rsidRPr="004B67D6">
          <w:rPr>
            <w:rStyle w:val="Hyperlink"/>
            <w:noProof/>
          </w:rPr>
          <w:t>Leadership and Governance</w:t>
        </w:r>
        <w:r w:rsidR="006946F8">
          <w:rPr>
            <w:noProof/>
            <w:webHidden/>
          </w:rPr>
          <w:tab/>
        </w:r>
        <w:r w:rsidR="006946F8">
          <w:rPr>
            <w:noProof/>
            <w:webHidden/>
          </w:rPr>
          <w:fldChar w:fldCharType="begin"/>
        </w:r>
        <w:r w:rsidR="006946F8">
          <w:rPr>
            <w:noProof/>
            <w:webHidden/>
          </w:rPr>
          <w:instrText xml:space="preserve"> PAGEREF _Toc373502487 \h </w:instrText>
        </w:r>
        <w:r w:rsidR="006946F8">
          <w:rPr>
            <w:noProof/>
            <w:webHidden/>
          </w:rPr>
        </w:r>
        <w:r w:rsidR="006946F8">
          <w:rPr>
            <w:noProof/>
            <w:webHidden/>
          </w:rPr>
          <w:fldChar w:fldCharType="separate"/>
        </w:r>
        <w:r w:rsidR="00B363D8">
          <w:rPr>
            <w:noProof/>
            <w:webHidden/>
          </w:rPr>
          <w:t>21</w:t>
        </w:r>
        <w:r w:rsidR="006946F8">
          <w:rPr>
            <w:noProof/>
            <w:webHidden/>
          </w:rPr>
          <w:fldChar w:fldCharType="end"/>
        </w:r>
      </w:hyperlink>
    </w:p>
    <w:p w:rsidR="006946F8" w:rsidRDefault="00B1465C">
      <w:pPr>
        <w:pStyle w:val="TOC2"/>
        <w:rPr>
          <w:rFonts w:asciiTheme="minorHAnsi" w:eastAsiaTheme="minorEastAsia" w:hAnsiTheme="minorHAnsi" w:cstheme="minorBidi"/>
          <w:noProof/>
          <w:szCs w:val="22"/>
          <w:lang w:bidi="ar-SA"/>
        </w:rPr>
      </w:pPr>
      <w:hyperlink w:anchor="_Toc373502488" w:history="1">
        <w:r w:rsidR="006946F8" w:rsidRPr="004B67D6">
          <w:rPr>
            <w:rStyle w:val="Hyperlink"/>
            <w:noProof/>
          </w:rPr>
          <w:t>2.9.</w:t>
        </w:r>
        <w:r w:rsidR="006946F8">
          <w:rPr>
            <w:rFonts w:asciiTheme="minorHAnsi" w:eastAsiaTheme="minorEastAsia" w:hAnsiTheme="minorHAnsi" w:cstheme="minorBidi"/>
            <w:noProof/>
            <w:szCs w:val="22"/>
            <w:lang w:bidi="ar-SA"/>
          </w:rPr>
          <w:tab/>
        </w:r>
        <w:r w:rsidR="006946F8" w:rsidRPr="004B67D6">
          <w:rPr>
            <w:rStyle w:val="Hyperlink"/>
            <w:noProof/>
          </w:rPr>
          <w:t>Demand creation, community mobilisation, and behaviour change communications (BCC)</w:t>
        </w:r>
        <w:r w:rsidR="006946F8">
          <w:rPr>
            <w:noProof/>
            <w:webHidden/>
          </w:rPr>
          <w:tab/>
        </w:r>
        <w:r w:rsidR="006946F8">
          <w:rPr>
            <w:noProof/>
            <w:webHidden/>
          </w:rPr>
          <w:fldChar w:fldCharType="begin"/>
        </w:r>
        <w:r w:rsidR="006946F8">
          <w:rPr>
            <w:noProof/>
            <w:webHidden/>
          </w:rPr>
          <w:instrText xml:space="preserve"> PAGEREF _Toc373502488 \h </w:instrText>
        </w:r>
        <w:r w:rsidR="006946F8">
          <w:rPr>
            <w:noProof/>
            <w:webHidden/>
          </w:rPr>
        </w:r>
        <w:r w:rsidR="006946F8">
          <w:rPr>
            <w:noProof/>
            <w:webHidden/>
          </w:rPr>
          <w:fldChar w:fldCharType="separate"/>
        </w:r>
        <w:r w:rsidR="00B363D8">
          <w:rPr>
            <w:noProof/>
            <w:webHidden/>
          </w:rPr>
          <w:t>22</w:t>
        </w:r>
        <w:r w:rsidR="006946F8">
          <w:rPr>
            <w:noProof/>
            <w:webHidden/>
          </w:rPr>
          <w:fldChar w:fldCharType="end"/>
        </w:r>
      </w:hyperlink>
    </w:p>
    <w:p w:rsidR="006946F8" w:rsidRDefault="00B1465C">
      <w:pPr>
        <w:pStyle w:val="TOC2"/>
        <w:rPr>
          <w:rFonts w:asciiTheme="minorHAnsi" w:eastAsiaTheme="minorEastAsia" w:hAnsiTheme="minorHAnsi" w:cstheme="minorBidi"/>
          <w:noProof/>
          <w:szCs w:val="22"/>
          <w:lang w:bidi="ar-SA"/>
        </w:rPr>
      </w:pPr>
      <w:hyperlink w:anchor="_Toc373502489" w:history="1">
        <w:r w:rsidR="006946F8" w:rsidRPr="004B67D6">
          <w:rPr>
            <w:rStyle w:val="Hyperlink"/>
            <w:noProof/>
          </w:rPr>
          <w:t>2.10.</w:t>
        </w:r>
        <w:r w:rsidR="006946F8">
          <w:rPr>
            <w:rFonts w:asciiTheme="minorHAnsi" w:eastAsiaTheme="minorEastAsia" w:hAnsiTheme="minorHAnsi" w:cstheme="minorBidi"/>
            <w:noProof/>
            <w:szCs w:val="22"/>
            <w:lang w:bidi="ar-SA"/>
          </w:rPr>
          <w:tab/>
        </w:r>
        <w:r w:rsidR="006946F8" w:rsidRPr="004B67D6">
          <w:rPr>
            <w:rStyle w:val="Hyperlink"/>
            <w:noProof/>
          </w:rPr>
          <w:t>Medicines and consumables</w:t>
        </w:r>
        <w:r w:rsidR="006946F8">
          <w:rPr>
            <w:noProof/>
            <w:webHidden/>
          </w:rPr>
          <w:tab/>
        </w:r>
        <w:r w:rsidR="006946F8">
          <w:rPr>
            <w:noProof/>
            <w:webHidden/>
          </w:rPr>
          <w:fldChar w:fldCharType="begin"/>
        </w:r>
        <w:r w:rsidR="006946F8">
          <w:rPr>
            <w:noProof/>
            <w:webHidden/>
          </w:rPr>
          <w:instrText xml:space="preserve"> PAGEREF _Toc373502489 \h </w:instrText>
        </w:r>
        <w:r w:rsidR="006946F8">
          <w:rPr>
            <w:noProof/>
            <w:webHidden/>
          </w:rPr>
        </w:r>
        <w:r w:rsidR="006946F8">
          <w:rPr>
            <w:noProof/>
            <w:webHidden/>
          </w:rPr>
          <w:fldChar w:fldCharType="separate"/>
        </w:r>
        <w:r w:rsidR="00B363D8">
          <w:rPr>
            <w:noProof/>
            <w:webHidden/>
          </w:rPr>
          <w:t>23</w:t>
        </w:r>
        <w:r w:rsidR="006946F8">
          <w:rPr>
            <w:noProof/>
            <w:webHidden/>
          </w:rPr>
          <w:fldChar w:fldCharType="end"/>
        </w:r>
      </w:hyperlink>
    </w:p>
    <w:p w:rsidR="006946F8" w:rsidRDefault="00B1465C">
      <w:pPr>
        <w:pStyle w:val="TOC1"/>
        <w:tabs>
          <w:tab w:val="left" w:pos="440"/>
        </w:tabs>
        <w:rPr>
          <w:rFonts w:asciiTheme="minorHAnsi" w:eastAsiaTheme="minorEastAsia" w:hAnsiTheme="minorHAnsi" w:cstheme="minorBidi"/>
          <w:b w:val="0"/>
          <w:noProof/>
          <w:szCs w:val="22"/>
          <w:lang w:bidi="ar-SA"/>
        </w:rPr>
      </w:pPr>
      <w:hyperlink w:anchor="_Toc373502490" w:history="1">
        <w:r w:rsidR="006946F8" w:rsidRPr="004B67D6">
          <w:rPr>
            <w:rStyle w:val="Hyperlink"/>
            <w:noProof/>
          </w:rPr>
          <w:t>3.</w:t>
        </w:r>
        <w:r w:rsidR="006946F8">
          <w:rPr>
            <w:rFonts w:asciiTheme="minorHAnsi" w:eastAsiaTheme="minorEastAsia" w:hAnsiTheme="minorHAnsi" w:cstheme="minorBidi"/>
            <w:b w:val="0"/>
            <w:noProof/>
            <w:szCs w:val="22"/>
            <w:lang w:bidi="ar-SA"/>
          </w:rPr>
          <w:tab/>
        </w:r>
        <w:r w:rsidR="006946F8" w:rsidRPr="004B67D6">
          <w:rPr>
            <w:rStyle w:val="Hyperlink"/>
            <w:noProof/>
          </w:rPr>
          <w:t>How efficient is current government allocation and expenditure for health?  How could government better use the US$60 per capita spent to improve maternal and child health outcomes, and how is it currently spent?</w:t>
        </w:r>
        <w:r w:rsidR="006946F8">
          <w:rPr>
            <w:noProof/>
            <w:webHidden/>
          </w:rPr>
          <w:tab/>
        </w:r>
        <w:r w:rsidR="006946F8">
          <w:rPr>
            <w:noProof/>
            <w:webHidden/>
          </w:rPr>
          <w:fldChar w:fldCharType="begin"/>
        </w:r>
        <w:r w:rsidR="006946F8">
          <w:rPr>
            <w:noProof/>
            <w:webHidden/>
          </w:rPr>
          <w:instrText xml:space="preserve"> PAGEREF _Toc373502490 \h </w:instrText>
        </w:r>
        <w:r w:rsidR="006946F8">
          <w:rPr>
            <w:noProof/>
            <w:webHidden/>
          </w:rPr>
        </w:r>
        <w:r w:rsidR="006946F8">
          <w:rPr>
            <w:noProof/>
            <w:webHidden/>
          </w:rPr>
          <w:fldChar w:fldCharType="separate"/>
        </w:r>
        <w:r w:rsidR="00B363D8">
          <w:rPr>
            <w:noProof/>
            <w:webHidden/>
          </w:rPr>
          <w:t>24</w:t>
        </w:r>
        <w:r w:rsidR="006946F8">
          <w:rPr>
            <w:noProof/>
            <w:webHidden/>
          </w:rPr>
          <w:fldChar w:fldCharType="end"/>
        </w:r>
      </w:hyperlink>
    </w:p>
    <w:p w:rsidR="006946F8" w:rsidRDefault="00B1465C">
      <w:pPr>
        <w:pStyle w:val="TOC2"/>
        <w:rPr>
          <w:rFonts w:asciiTheme="minorHAnsi" w:eastAsiaTheme="minorEastAsia" w:hAnsiTheme="minorHAnsi" w:cstheme="minorBidi"/>
          <w:noProof/>
          <w:szCs w:val="22"/>
          <w:lang w:bidi="ar-SA"/>
        </w:rPr>
      </w:pPr>
      <w:hyperlink w:anchor="_Toc373502491" w:history="1">
        <w:r w:rsidR="006946F8" w:rsidRPr="004B67D6">
          <w:rPr>
            <w:rStyle w:val="Hyperlink"/>
            <w:noProof/>
          </w:rPr>
          <w:t>3.1.</w:t>
        </w:r>
        <w:r w:rsidR="006946F8">
          <w:rPr>
            <w:rFonts w:asciiTheme="minorHAnsi" w:eastAsiaTheme="minorEastAsia" w:hAnsiTheme="minorHAnsi" w:cstheme="minorBidi"/>
            <w:noProof/>
            <w:szCs w:val="22"/>
            <w:lang w:bidi="ar-SA"/>
          </w:rPr>
          <w:tab/>
        </w:r>
        <w:r w:rsidR="006946F8" w:rsidRPr="004B67D6">
          <w:rPr>
            <w:rStyle w:val="Hyperlink"/>
            <w:noProof/>
          </w:rPr>
          <w:t>How is Timor-Leste performing compared to similar countries?</w:t>
        </w:r>
        <w:r w:rsidR="006946F8">
          <w:rPr>
            <w:noProof/>
            <w:webHidden/>
          </w:rPr>
          <w:tab/>
        </w:r>
        <w:r w:rsidR="006946F8">
          <w:rPr>
            <w:noProof/>
            <w:webHidden/>
          </w:rPr>
          <w:fldChar w:fldCharType="begin"/>
        </w:r>
        <w:r w:rsidR="006946F8">
          <w:rPr>
            <w:noProof/>
            <w:webHidden/>
          </w:rPr>
          <w:instrText xml:space="preserve"> PAGEREF _Toc373502491 \h </w:instrText>
        </w:r>
        <w:r w:rsidR="006946F8">
          <w:rPr>
            <w:noProof/>
            <w:webHidden/>
          </w:rPr>
        </w:r>
        <w:r w:rsidR="006946F8">
          <w:rPr>
            <w:noProof/>
            <w:webHidden/>
          </w:rPr>
          <w:fldChar w:fldCharType="separate"/>
        </w:r>
        <w:r w:rsidR="00B363D8">
          <w:rPr>
            <w:noProof/>
            <w:webHidden/>
          </w:rPr>
          <w:t>24</w:t>
        </w:r>
        <w:r w:rsidR="006946F8">
          <w:rPr>
            <w:noProof/>
            <w:webHidden/>
          </w:rPr>
          <w:fldChar w:fldCharType="end"/>
        </w:r>
      </w:hyperlink>
    </w:p>
    <w:p w:rsidR="006946F8" w:rsidRDefault="00B1465C">
      <w:pPr>
        <w:pStyle w:val="TOC2"/>
        <w:rPr>
          <w:rFonts w:asciiTheme="minorHAnsi" w:eastAsiaTheme="minorEastAsia" w:hAnsiTheme="minorHAnsi" w:cstheme="minorBidi"/>
          <w:noProof/>
          <w:szCs w:val="22"/>
          <w:lang w:bidi="ar-SA"/>
        </w:rPr>
      </w:pPr>
      <w:hyperlink w:anchor="_Toc373502493" w:history="1">
        <w:r w:rsidR="006946F8" w:rsidRPr="004B67D6">
          <w:rPr>
            <w:rStyle w:val="Hyperlink"/>
            <w:noProof/>
          </w:rPr>
          <w:t>3.2.</w:t>
        </w:r>
        <w:r w:rsidR="006946F8">
          <w:rPr>
            <w:rFonts w:asciiTheme="minorHAnsi" w:eastAsiaTheme="minorEastAsia" w:hAnsiTheme="minorHAnsi" w:cstheme="minorBidi"/>
            <w:noProof/>
            <w:szCs w:val="22"/>
            <w:lang w:bidi="ar-SA"/>
          </w:rPr>
          <w:tab/>
        </w:r>
        <w:r w:rsidR="006946F8" w:rsidRPr="004B67D6">
          <w:rPr>
            <w:rStyle w:val="Hyperlink"/>
            <w:noProof/>
          </w:rPr>
          <w:t>Health expenditures in Timor-Leste</w:t>
        </w:r>
        <w:r w:rsidR="006946F8">
          <w:rPr>
            <w:noProof/>
            <w:webHidden/>
          </w:rPr>
          <w:tab/>
        </w:r>
        <w:r w:rsidR="006946F8">
          <w:rPr>
            <w:noProof/>
            <w:webHidden/>
          </w:rPr>
          <w:fldChar w:fldCharType="begin"/>
        </w:r>
        <w:r w:rsidR="006946F8">
          <w:rPr>
            <w:noProof/>
            <w:webHidden/>
          </w:rPr>
          <w:instrText xml:space="preserve"> PAGEREF _Toc373502493 \h </w:instrText>
        </w:r>
        <w:r w:rsidR="006946F8">
          <w:rPr>
            <w:noProof/>
            <w:webHidden/>
          </w:rPr>
        </w:r>
        <w:r w:rsidR="006946F8">
          <w:rPr>
            <w:noProof/>
            <w:webHidden/>
          </w:rPr>
          <w:fldChar w:fldCharType="separate"/>
        </w:r>
        <w:r w:rsidR="00B363D8">
          <w:rPr>
            <w:noProof/>
            <w:webHidden/>
          </w:rPr>
          <w:t>25</w:t>
        </w:r>
        <w:r w:rsidR="006946F8">
          <w:rPr>
            <w:noProof/>
            <w:webHidden/>
          </w:rPr>
          <w:fldChar w:fldCharType="end"/>
        </w:r>
      </w:hyperlink>
    </w:p>
    <w:p w:rsidR="006946F8" w:rsidRDefault="00B1465C">
      <w:pPr>
        <w:pStyle w:val="TOC2"/>
        <w:rPr>
          <w:rFonts w:asciiTheme="minorHAnsi" w:eastAsiaTheme="minorEastAsia" w:hAnsiTheme="minorHAnsi" w:cstheme="minorBidi"/>
          <w:noProof/>
          <w:szCs w:val="22"/>
          <w:lang w:bidi="ar-SA"/>
        </w:rPr>
      </w:pPr>
      <w:hyperlink w:anchor="_Toc373502494" w:history="1">
        <w:r w:rsidR="006946F8" w:rsidRPr="004B67D6">
          <w:rPr>
            <w:rStyle w:val="Hyperlink"/>
            <w:noProof/>
          </w:rPr>
          <w:t>3.3.</w:t>
        </w:r>
        <w:r w:rsidR="006946F8">
          <w:rPr>
            <w:rFonts w:asciiTheme="minorHAnsi" w:eastAsiaTheme="minorEastAsia" w:hAnsiTheme="minorHAnsi" w:cstheme="minorBidi"/>
            <w:noProof/>
            <w:szCs w:val="22"/>
            <w:lang w:bidi="ar-SA"/>
          </w:rPr>
          <w:tab/>
        </w:r>
        <w:r w:rsidR="006946F8" w:rsidRPr="004B67D6">
          <w:rPr>
            <w:rStyle w:val="Hyperlink"/>
            <w:noProof/>
          </w:rPr>
          <w:t>Functional health budget allocation</w:t>
        </w:r>
        <w:r w:rsidR="006946F8">
          <w:rPr>
            <w:noProof/>
            <w:webHidden/>
          </w:rPr>
          <w:tab/>
        </w:r>
        <w:r w:rsidR="006946F8">
          <w:rPr>
            <w:noProof/>
            <w:webHidden/>
          </w:rPr>
          <w:fldChar w:fldCharType="begin"/>
        </w:r>
        <w:r w:rsidR="006946F8">
          <w:rPr>
            <w:noProof/>
            <w:webHidden/>
          </w:rPr>
          <w:instrText xml:space="preserve"> PAGEREF _Toc373502494 \h </w:instrText>
        </w:r>
        <w:r w:rsidR="006946F8">
          <w:rPr>
            <w:noProof/>
            <w:webHidden/>
          </w:rPr>
        </w:r>
        <w:r w:rsidR="006946F8">
          <w:rPr>
            <w:noProof/>
            <w:webHidden/>
          </w:rPr>
          <w:fldChar w:fldCharType="separate"/>
        </w:r>
        <w:r w:rsidR="00B363D8">
          <w:rPr>
            <w:noProof/>
            <w:webHidden/>
          </w:rPr>
          <w:t>27</w:t>
        </w:r>
        <w:r w:rsidR="006946F8">
          <w:rPr>
            <w:noProof/>
            <w:webHidden/>
          </w:rPr>
          <w:fldChar w:fldCharType="end"/>
        </w:r>
      </w:hyperlink>
    </w:p>
    <w:p w:rsidR="006946F8" w:rsidRDefault="00B1465C">
      <w:pPr>
        <w:pStyle w:val="TOC2"/>
        <w:rPr>
          <w:rFonts w:asciiTheme="minorHAnsi" w:eastAsiaTheme="minorEastAsia" w:hAnsiTheme="minorHAnsi" w:cstheme="minorBidi"/>
          <w:noProof/>
          <w:szCs w:val="22"/>
          <w:lang w:bidi="ar-SA"/>
        </w:rPr>
      </w:pPr>
      <w:hyperlink w:anchor="_Toc373502495" w:history="1">
        <w:r w:rsidR="006946F8" w:rsidRPr="004B67D6">
          <w:rPr>
            <w:rStyle w:val="Hyperlink"/>
            <w:noProof/>
          </w:rPr>
          <w:t>3.4.</w:t>
        </w:r>
        <w:r w:rsidR="006946F8">
          <w:rPr>
            <w:rFonts w:asciiTheme="minorHAnsi" w:eastAsiaTheme="minorEastAsia" w:hAnsiTheme="minorHAnsi" w:cstheme="minorBidi"/>
            <w:noProof/>
            <w:szCs w:val="22"/>
            <w:lang w:bidi="ar-SA"/>
          </w:rPr>
          <w:tab/>
        </w:r>
        <w:r w:rsidR="006946F8" w:rsidRPr="004B67D6">
          <w:rPr>
            <w:rStyle w:val="Hyperlink"/>
            <w:noProof/>
          </w:rPr>
          <w:t>Is the MoH budget equitable?</w:t>
        </w:r>
        <w:r w:rsidR="006946F8">
          <w:rPr>
            <w:noProof/>
            <w:webHidden/>
          </w:rPr>
          <w:tab/>
        </w:r>
        <w:r w:rsidR="006946F8">
          <w:rPr>
            <w:noProof/>
            <w:webHidden/>
          </w:rPr>
          <w:fldChar w:fldCharType="begin"/>
        </w:r>
        <w:r w:rsidR="006946F8">
          <w:rPr>
            <w:noProof/>
            <w:webHidden/>
          </w:rPr>
          <w:instrText xml:space="preserve"> PAGEREF _Toc373502495 \h </w:instrText>
        </w:r>
        <w:r w:rsidR="006946F8">
          <w:rPr>
            <w:noProof/>
            <w:webHidden/>
          </w:rPr>
        </w:r>
        <w:r w:rsidR="006946F8">
          <w:rPr>
            <w:noProof/>
            <w:webHidden/>
          </w:rPr>
          <w:fldChar w:fldCharType="separate"/>
        </w:r>
        <w:r w:rsidR="00B363D8">
          <w:rPr>
            <w:noProof/>
            <w:webHidden/>
          </w:rPr>
          <w:t>29</w:t>
        </w:r>
        <w:r w:rsidR="006946F8">
          <w:rPr>
            <w:noProof/>
            <w:webHidden/>
          </w:rPr>
          <w:fldChar w:fldCharType="end"/>
        </w:r>
      </w:hyperlink>
    </w:p>
    <w:p w:rsidR="006946F8" w:rsidRDefault="00B1465C">
      <w:pPr>
        <w:pStyle w:val="TOC2"/>
        <w:rPr>
          <w:rFonts w:asciiTheme="minorHAnsi" w:eastAsiaTheme="minorEastAsia" w:hAnsiTheme="minorHAnsi" w:cstheme="minorBidi"/>
          <w:noProof/>
          <w:szCs w:val="22"/>
          <w:lang w:bidi="ar-SA"/>
        </w:rPr>
      </w:pPr>
      <w:hyperlink w:anchor="_Toc373502496" w:history="1">
        <w:r w:rsidR="006946F8" w:rsidRPr="004B67D6">
          <w:rPr>
            <w:rStyle w:val="Hyperlink"/>
            <w:noProof/>
          </w:rPr>
          <w:t>3.5.</w:t>
        </w:r>
        <w:r w:rsidR="006946F8">
          <w:rPr>
            <w:rFonts w:asciiTheme="minorHAnsi" w:eastAsiaTheme="minorEastAsia" w:hAnsiTheme="minorHAnsi" w:cstheme="minorBidi"/>
            <w:noProof/>
            <w:szCs w:val="22"/>
            <w:lang w:bidi="ar-SA"/>
          </w:rPr>
          <w:tab/>
        </w:r>
        <w:r w:rsidR="006946F8" w:rsidRPr="004B67D6">
          <w:rPr>
            <w:rStyle w:val="Hyperlink"/>
            <w:noProof/>
          </w:rPr>
          <w:t>Is the MoH budget targeted geographically at needs?</w:t>
        </w:r>
        <w:r w:rsidR="006946F8">
          <w:rPr>
            <w:noProof/>
            <w:webHidden/>
          </w:rPr>
          <w:tab/>
        </w:r>
        <w:r w:rsidR="006946F8">
          <w:rPr>
            <w:noProof/>
            <w:webHidden/>
          </w:rPr>
          <w:fldChar w:fldCharType="begin"/>
        </w:r>
        <w:r w:rsidR="006946F8">
          <w:rPr>
            <w:noProof/>
            <w:webHidden/>
          </w:rPr>
          <w:instrText xml:space="preserve"> PAGEREF _Toc373502496 \h </w:instrText>
        </w:r>
        <w:r w:rsidR="006946F8">
          <w:rPr>
            <w:noProof/>
            <w:webHidden/>
          </w:rPr>
        </w:r>
        <w:r w:rsidR="006946F8">
          <w:rPr>
            <w:noProof/>
            <w:webHidden/>
          </w:rPr>
          <w:fldChar w:fldCharType="separate"/>
        </w:r>
        <w:r w:rsidR="00B363D8">
          <w:rPr>
            <w:noProof/>
            <w:webHidden/>
          </w:rPr>
          <w:t>30</w:t>
        </w:r>
        <w:r w:rsidR="006946F8">
          <w:rPr>
            <w:noProof/>
            <w:webHidden/>
          </w:rPr>
          <w:fldChar w:fldCharType="end"/>
        </w:r>
      </w:hyperlink>
    </w:p>
    <w:p w:rsidR="006946F8" w:rsidRDefault="00B1465C">
      <w:pPr>
        <w:pStyle w:val="TOC2"/>
        <w:rPr>
          <w:rFonts w:asciiTheme="minorHAnsi" w:eastAsiaTheme="minorEastAsia" w:hAnsiTheme="minorHAnsi" w:cstheme="minorBidi"/>
          <w:noProof/>
          <w:szCs w:val="22"/>
          <w:lang w:bidi="ar-SA"/>
        </w:rPr>
      </w:pPr>
      <w:hyperlink w:anchor="_Toc373502497" w:history="1">
        <w:r w:rsidR="006946F8" w:rsidRPr="004B67D6">
          <w:rPr>
            <w:rStyle w:val="Hyperlink"/>
            <w:noProof/>
          </w:rPr>
          <w:t>3.6.</w:t>
        </w:r>
        <w:r w:rsidR="006946F8">
          <w:rPr>
            <w:rFonts w:asciiTheme="minorHAnsi" w:eastAsiaTheme="minorEastAsia" w:hAnsiTheme="minorHAnsi" w:cstheme="minorBidi"/>
            <w:noProof/>
            <w:szCs w:val="22"/>
            <w:lang w:bidi="ar-SA"/>
          </w:rPr>
          <w:tab/>
        </w:r>
        <w:r w:rsidR="006946F8" w:rsidRPr="004B67D6">
          <w:rPr>
            <w:rStyle w:val="Hyperlink"/>
            <w:noProof/>
          </w:rPr>
          <w:t>Is public spending on health adequate for faster progress in RMNCH?</w:t>
        </w:r>
        <w:r w:rsidR="006946F8">
          <w:rPr>
            <w:noProof/>
            <w:webHidden/>
          </w:rPr>
          <w:tab/>
        </w:r>
        <w:r w:rsidR="006946F8">
          <w:rPr>
            <w:noProof/>
            <w:webHidden/>
          </w:rPr>
          <w:fldChar w:fldCharType="begin"/>
        </w:r>
        <w:r w:rsidR="006946F8">
          <w:rPr>
            <w:noProof/>
            <w:webHidden/>
          </w:rPr>
          <w:instrText xml:space="preserve"> PAGEREF _Toc373502497 \h </w:instrText>
        </w:r>
        <w:r w:rsidR="006946F8">
          <w:rPr>
            <w:noProof/>
            <w:webHidden/>
          </w:rPr>
        </w:r>
        <w:r w:rsidR="006946F8">
          <w:rPr>
            <w:noProof/>
            <w:webHidden/>
          </w:rPr>
          <w:fldChar w:fldCharType="separate"/>
        </w:r>
        <w:r w:rsidR="00B363D8">
          <w:rPr>
            <w:noProof/>
            <w:webHidden/>
          </w:rPr>
          <w:t>34</w:t>
        </w:r>
        <w:r w:rsidR="006946F8">
          <w:rPr>
            <w:noProof/>
            <w:webHidden/>
          </w:rPr>
          <w:fldChar w:fldCharType="end"/>
        </w:r>
      </w:hyperlink>
    </w:p>
    <w:p w:rsidR="006946F8" w:rsidRDefault="00B1465C">
      <w:pPr>
        <w:pStyle w:val="TOC1"/>
        <w:rPr>
          <w:rFonts w:asciiTheme="minorHAnsi" w:eastAsiaTheme="minorEastAsia" w:hAnsiTheme="minorHAnsi" w:cstheme="minorBidi"/>
          <w:b w:val="0"/>
          <w:noProof/>
          <w:szCs w:val="22"/>
          <w:lang w:bidi="ar-SA"/>
        </w:rPr>
      </w:pPr>
      <w:hyperlink w:anchor="_Toc373502498" w:history="1">
        <w:r w:rsidR="006946F8" w:rsidRPr="004B67D6">
          <w:rPr>
            <w:rStyle w:val="Hyperlink"/>
            <w:noProof/>
          </w:rPr>
          <w:t>Conclusions</w:t>
        </w:r>
        <w:r w:rsidR="006946F8">
          <w:rPr>
            <w:noProof/>
            <w:webHidden/>
          </w:rPr>
          <w:tab/>
        </w:r>
        <w:r w:rsidR="006946F8">
          <w:rPr>
            <w:noProof/>
            <w:webHidden/>
          </w:rPr>
          <w:fldChar w:fldCharType="begin"/>
        </w:r>
        <w:r w:rsidR="006946F8">
          <w:rPr>
            <w:noProof/>
            <w:webHidden/>
          </w:rPr>
          <w:instrText xml:space="preserve"> PAGEREF _Toc373502498 \h </w:instrText>
        </w:r>
        <w:r w:rsidR="006946F8">
          <w:rPr>
            <w:noProof/>
            <w:webHidden/>
          </w:rPr>
        </w:r>
        <w:r w:rsidR="006946F8">
          <w:rPr>
            <w:noProof/>
            <w:webHidden/>
          </w:rPr>
          <w:fldChar w:fldCharType="separate"/>
        </w:r>
        <w:r w:rsidR="00B363D8">
          <w:rPr>
            <w:noProof/>
            <w:webHidden/>
          </w:rPr>
          <w:t>36</w:t>
        </w:r>
        <w:r w:rsidR="006946F8">
          <w:rPr>
            <w:noProof/>
            <w:webHidden/>
          </w:rPr>
          <w:fldChar w:fldCharType="end"/>
        </w:r>
      </w:hyperlink>
    </w:p>
    <w:p w:rsidR="006946F8" w:rsidRDefault="00B1465C">
      <w:pPr>
        <w:pStyle w:val="TOC1"/>
        <w:rPr>
          <w:rFonts w:asciiTheme="minorHAnsi" w:eastAsiaTheme="minorEastAsia" w:hAnsiTheme="minorHAnsi" w:cstheme="minorBidi"/>
          <w:b w:val="0"/>
          <w:noProof/>
          <w:szCs w:val="22"/>
          <w:lang w:bidi="ar-SA"/>
        </w:rPr>
      </w:pPr>
      <w:hyperlink w:anchor="_Toc373502499" w:history="1">
        <w:r w:rsidR="006946F8" w:rsidRPr="004B67D6">
          <w:rPr>
            <w:rStyle w:val="Hyperlink"/>
            <w:noProof/>
          </w:rPr>
          <w:t xml:space="preserve">Annex 1: Scoping Note: Economic Analysis for the Design of the Timor-Leste Health </w:t>
        </w:r>
        <w:r w:rsidR="0033505D">
          <w:rPr>
            <w:rStyle w:val="Hyperlink"/>
            <w:noProof/>
          </w:rPr>
          <w:t>Program</w:t>
        </w:r>
        <w:r w:rsidR="006946F8">
          <w:rPr>
            <w:noProof/>
            <w:webHidden/>
          </w:rPr>
          <w:tab/>
        </w:r>
        <w:r w:rsidR="006946F8">
          <w:rPr>
            <w:noProof/>
            <w:webHidden/>
          </w:rPr>
          <w:fldChar w:fldCharType="begin"/>
        </w:r>
        <w:r w:rsidR="006946F8">
          <w:rPr>
            <w:noProof/>
            <w:webHidden/>
          </w:rPr>
          <w:instrText xml:space="preserve"> PAGEREF _Toc373502499 \h </w:instrText>
        </w:r>
        <w:r w:rsidR="006946F8">
          <w:rPr>
            <w:noProof/>
            <w:webHidden/>
          </w:rPr>
        </w:r>
        <w:r w:rsidR="006946F8">
          <w:rPr>
            <w:noProof/>
            <w:webHidden/>
          </w:rPr>
          <w:fldChar w:fldCharType="separate"/>
        </w:r>
        <w:r w:rsidR="00B363D8">
          <w:rPr>
            <w:noProof/>
            <w:webHidden/>
          </w:rPr>
          <w:t>38</w:t>
        </w:r>
        <w:r w:rsidR="006946F8">
          <w:rPr>
            <w:noProof/>
            <w:webHidden/>
          </w:rPr>
          <w:fldChar w:fldCharType="end"/>
        </w:r>
      </w:hyperlink>
    </w:p>
    <w:p w:rsidR="006946F8" w:rsidRDefault="00B1465C">
      <w:pPr>
        <w:pStyle w:val="TOC1"/>
        <w:rPr>
          <w:rFonts w:asciiTheme="minorHAnsi" w:eastAsiaTheme="minorEastAsia" w:hAnsiTheme="minorHAnsi" w:cstheme="minorBidi"/>
          <w:b w:val="0"/>
          <w:noProof/>
          <w:szCs w:val="22"/>
          <w:lang w:bidi="ar-SA"/>
        </w:rPr>
      </w:pPr>
      <w:hyperlink w:anchor="_Toc373502500" w:history="1">
        <w:r w:rsidR="006946F8" w:rsidRPr="004B67D6">
          <w:rPr>
            <w:rStyle w:val="Hyperlink"/>
            <w:noProof/>
          </w:rPr>
          <w:t>Annex 2: Project Note November 2013</w:t>
        </w:r>
        <w:r w:rsidR="006946F8">
          <w:rPr>
            <w:noProof/>
            <w:webHidden/>
          </w:rPr>
          <w:tab/>
        </w:r>
        <w:r w:rsidR="006946F8">
          <w:rPr>
            <w:noProof/>
            <w:webHidden/>
          </w:rPr>
          <w:fldChar w:fldCharType="begin"/>
        </w:r>
        <w:r w:rsidR="006946F8">
          <w:rPr>
            <w:noProof/>
            <w:webHidden/>
          </w:rPr>
          <w:instrText xml:space="preserve"> PAGEREF _Toc373502500 \h </w:instrText>
        </w:r>
        <w:r w:rsidR="006946F8">
          <w:rPr>
            <w:noProof/>
            <w:webHidden/>
          </w:rPr>
        </w:r>
        <w:r w:rsidR="006946F8">
          <w:rPr>
            <w:noProof/>
            <w:webHidden/>
          </w:rPr>
          <w:fldChar w:fldCharType="separate"/>
        </w:r>
        <w:r w:rsidR="00B363D8">
          <w:rPr>
            <w:noProof/>
            <w:webHidden/>
          </w:rPr>
          <w:t>43</w:t>
        </w:r>
        <w:r w:rsidR="006946F8">
          <w:rPr>
            <w:noProof/>
            <w:webHidden/>
          </w:rPr>
          <w:fldChar w:fldCharType="end"/>
        </w:r>
      </w:hyperlink>
    </w:p>
    <w:p w:rsidR="006946F8" w:rsidRDefault="00B1465C">
      <w:pPr>
        <w:pStyle w:val="TOC1"/>
        <w:rPr>
          <w:rFonts w:asciiTheme="minorHAnsi" w:eastAsiaTheme="minorEastAsia" w:hAnsiTheme="minorHAnsi" w:cstheme="minorBidi"/>
          <w:b w:val="0"/>
          <w:noProof/>
          <w:szCs w:val="22"/>
          <w:lang w:bidi="ar-SA"/>
        </w:rPr>
      </w:pPr>
      <w:hyperlink w:anchor="_Toc373502501" w:history="1">
        <w:r w:rsidR="006946F8" w:rsidRPr="004B67D6">
          <w:rPr>
            <w:rStyle w:val="Hyperlink"/>
            <w:noProof/>
          </w:rPr>
          <w:t>Annex 3: Global Incremental costs (2005 constant dollars) of meeting health MDGs 4, 5, and 6 by year</w:t>
        </w:r>
        <w:r w:rsidR="006946F8">
          <w:rPr>
            <w:noProof/>
            <w:webHidden/>
          </w:rPr>
          <w:tab/>
        </w:r>
        <w:r w:rsidR="006946F8">
          <w:rPr>
            <w:noProof/>
            <w:webHidden/>
          </w:rPr>
          <w:fldChar w:fldCharType="begin"/>
        </w:r>
        <w:r w:rsidR="006946F8">
          <w:rPr>
            <w:noProof/>
            <w:webHidden/>
          </w:rPr>
          <w:instrText xml:space="preserve"> PAGEREF _Toc373502501 \h </w:instrText>
        </w:r>
        <w:r w:rsidR="006946F8">
          <w:rPr>
            <w:noProof/>
            <w:webHidden/>
          </w:rPr>
        </w:r>
        <w:r w:rsidR="006946F8">
          <w:rPr>
            <w:noProof/>
            <w:webHidden/>
          </w:rPr>
          <w:fldChar w:fldCharType="separate"/>
        </w:r>
        <w:r w:rsidR="00B363D8">
          <w:rPr>
            <w:noProof/>
            <w:webHidden/>
          </w:rPr>
          <w:t>46</w:t>
        </w:r>
        <w:r w:rsidR="006946F8">
          <w:rPr>
            <w:noProof/>
            <w:webHidden/>
          </w:rPr>
          <w:fldChar w:fldCharType="end"/>
        </w:r>
      </w:hyperlink>
    </w:p>
    <w:p w:rsidR="006946F8" w:rsidRDefault="00B1465C">
      <w:pPr>
        <w:pStyle w:val="TOC1"/>
        <w:rPr>
          <w:rFonts w:asciiTheme="minorHAnsi" w:eastAsiaTheme="minorEastAsia" w:hAnsiTheme="minorHAnsi" w:cstheme="minorBidi"/>
          <w:b w:val="0"/>
          <w:noProof/>
          <w:szCs w:val="22"/>
          <w:lang w:bidi="ar-SA"/>
        </w:rPr>
      </w:pPr>
      <w:hyperlink w:anchor="_Toc373502502" w:history="1">
        <w:r w:rsidR="006946F8" w:rsidRPr="004B67D6">
          <w:rPr>
            <w:rStyle w:val="Hyperlink"/>
            <w:noProof/>
          </w:rPr>
          <w:t>Reference List</w:t>
        </w:r>
        <w:r w:rsidR="006946F8">
          <w:rPr>
            <w:noProof/>
            <w:webHidden/>
          </w:rPr>
          <w:tab/>
        </w:r>
        <w:r w:rsidR="006946F8">
          <w:rPr>
            <w:noProof/>
            <w:webHidden/>
          </w:rPr>
          <w:fldChar w:fldCharType="begin"/>
        </w:r>
        <w:r w:rsidR="006946F8">
          <w:rPr>
            <w:noProof/>
            <w:webHidden/>
          </w:rPr>
          <w:instrText xml:space="preserve"> PAGEREF _Toc373502502 \h </w:instrText>
        </w:r>
        <w:r w:rsidR="006946F8">
          <w:rPr>
            <w:noProof/>
            <w:webHidden/>
          </w:rPr>
        </w:r>
        <w:r w:rsidR="006946F8">
          <w:rPr>
            <w:noProof/>
            <w:webHidden/>
          </w:rPr>
          <w:fldChar w:fldCharType="separate"/>
        </w:r>
        <w:r w:rsidR="00B363D8">
          <w:rPr>
            <w:noProof/>
            <w:webHidden/>
          </w:rPr>
          <w:t>47</w:t>
        </w:r>
        <w:r w:rsidR="006946F8">
          <w:rPr>
            <w:noProof/>
            <w:webHidden/>
          </w:rPr>
          <w:fldChar w:fldCharType="end"/>
        </w:r>
      </w:hyperlink>
    </w:p>
    <w:p w:rsidR="00E8421A" w:rsidRDefault="00C94A76" w:rsidP="00624D3B">
      <w:pPr>
        <w:spacing w:line="276" w:lineRule="auto"/>
      </w:pPr>
      <w:r>
        <w:rPr>
          <w:b/>
        </w:rPr>
        <w:fldChar w:fldCharType="end"/>
      </w:r>
    </w:p>
    <w:p w:rsidR="00182332" w:rsidRDefault="00182332">
      <w:pPr>
        <w:spacing w:after="0"/>
        <w:jc w:val="left"/>
      </w:pPr>
      <w:r>
        <w:br w:type="page"/>
      </w:r>
    </w:p>
    <w:p w:rsidR="00023FE4" w:rsidRPr="00506B1C" w:rsidRDefault="00023FE4" w:rsidP="00624D3B">
      <w:pPr>
        <w:spacing w:line="276" w:lineRule="auto"/>
        <w:rPr>
          <w:rStyle w:val="ContentsTitle"/>
        </w:rPr>
      </w:pPr>
      <w:r>
        <w:rPr>
          <w:rStyle w:val="ContentsTitle"/>
        </w:rPr>
        <w:lastRenderedPageBreak/>
        <w:t>Acronyms</w:t>
      </w:r>
    </w:p>
    <w:tbl>
      <w:tblPr>
        <w:tblW w:w="7760" w:type="dxa"/>
        <w:tblInd w:w="93" w:type="dxa"/>
        <w:tblLook w:val="04A0" w:firstRow="1" w:lastRow="0" w:firstColumn="1" w:lastColumn="0" w:noHBand="0" w:noVBand="1"/>
      </w:tblPr>
      <w:tblGrid>
        <w:gridCol w:w="1291"/>
        <w:gridCol w:w="6469"/>
      </w:tblGrid>
      <w:tr w:rsidR="00D0414C" w:rsidRPr="00D0414C" w:rsidTr="00152518">
        <w:trPr>
          <w:trHeight w:val="285"/>
        </w:trPr>
        <w:tc>
          <w:tcPr>
            <w:tcW w:w="1291"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AARD</w:t>
            </w:r>
          </w:p>
        </w:tc>
        <w:tc>
          <w:tcPr>
            <w:tcW w:w="6469" w:type="dxa"/>
            <w:tcBorders>
              <w:top w:val="nil"/>
              <w:left w:val="nil"/>
              <w:bottom w:val="nil"/>
              <w:right w:val="nil"/>
            </w:tcBorders>
            <w:shd w:val="clear" w:color="auto" w:fill="auto"/>
            <w:noWrap/>
            <w:vAlign w:val="bottom"/>
            <w:hideMark/>
          </w:tcPr>
          <w:p w:rsidR="004E5949" w:rsidRPr="00D0414C" w:rsidRDefault="00DB6FB9" w:rsidP="00DB6FB9">
            <w:pPr>
              <w:spacing w:after="0" w:line="276" w:lineRule="auto"/>
              <w:jc w:val="left"/>
              <w:rPr>
                <w:rFonts w:cs="Arial"/>
                <w:szCs w:val="22"/>
                <w:lang w:bidi="ar-SA"/>
              </w:rPr>
            </w:pPr>
            <w:r w:rsidRPr="00D0414C">
              <w:rPr>
                <w:rFonts w:cs="Arial"/>
                <w:szCs w:val="22"/>
                <w:lang w:bidi="ar-SA"/>
              </w:rPr>
              <w:t>A</w:t>
            </w:r>
            <w:r w:rsidR="004E5949" w:rsidRPr="00D0414C">
              <w:rPr>
                <w:rFonts w:cs="Arial"/>
                <w:szCs w:val="22"/>
                <w:lang w:bidi="ar-SA"/>
              </w:rPr>
              <w:t>verage annual rate of decline</w:t>
            </w:r>
          </w:p>
        </w:tc>
      </w:tr>
      <w:tr w:rsidR="00D0414C" w:rsidRPr="00D0414C" w:rsidTr="00152518">
        <w:trPr>
          <w:trHeight w:val="285"/>
        </w:trPr>
        <w:tc>
          <w:tcPr>
            <w:tcW w:w="1291" w:type="dxa"/>
            <w:tcBorders>
              <w:top w:val="nil"/>
              <w:left w:val="nil"/>
              <w:bottom w:val="nil"/>
              <w:right w:val="nil"/>
            </w:tcBorders>
            <w:shd w:val="clear" w:color="auto" w:fill="auto"/>
            <w:noWrap/>
            <w:vAlign w:val="bottom"/>
          </w:tcPr>
          <w:p w:rsidR="00D0414C" w:rsidRPr="00D0414C" w:rsidRDefault="00D0414C" w:rsidP="00624D3B">
            <w:pPr>
              <w:spacing w:after="0" w:line="276" w:lineRule="auto"/>
              <w:jc w:val="left"/>
              <w:rPr>
                <w:rFonts w:cs="Arial"/>
                <w:szCs w:val="22"/>
                <w:lang w:bidi="ar-SA"/>
              </w:rPr>
            </w:pPr>
            <w:r w:rsidRPr="00D0414C">
              <w:rPr>
                <w:rFonts w:cs="Arial"/>
                <w:szCs w:val="22"/>
                <w:lang w:bidi="ar-SA"/>
              </w:rPr>
              <w:t>ANC</w:t>
            </w:r>
          </w:p>
        </w:tc>
        <w:tc>
          <w:tcPr>
            <w:tcW w:w="6469" w:type="dxa"/>
            <w:tcBorders>
              <w:top w:val="nil"/>
              <w:left w:val="nil"/>
              <w:bottom w:val="nil"/>
              <w:right w:val="nil"/>
            </w:tcBorders>
            <w:shd w:val="clear" w:color="auto" w:fill="auto"/>
            <w:noWrap/>
            <w:vAlign w:val="bottom"/>
          </w:tcPr>
          <w:p w:rsidR="00D0414C" w:rsidRPr="00D0414C" w:rsidRDefault="00D0414C" w:rsidP="00DB6FB9">
            <w:pPr>
              <w:spacing w:after="0" w:line="276" w:lineRule="auto"/>
              <w:jc w:val="left"/>
              <w:rPr>
                <w:rFonts w:cs="Arial"/>
                <w:szCs w:val="22"/>
                <w:lang w:bidi="ar-SA"/>
              </w:rPr>
            </w:pPr>
            <w:r w:rsidRPr="00D0414C">
              <w:rPr>
                <w:rFonts w:cs="Arial"/>
                <w:szCs w:val="22"/>
                <w:lang w:bidi="ar-SA"/>
              </w:rPr>
              <w:t>Antenatal care</w:t>
            </w:r>
          </w:p>
        </w:tc>
      </w:tr>
      <w:tr w:rsidR="00D0414C" w:rsidRPr="00D0414C" w:rsidTr="00152518">
        <w:trPr>
          <w:trHeight w:val="285"/>
        </w:trPr>
        <w:tc>
          <w:tcPr>
            <w:tcW w:w="1291"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AIDS</w:t>
            </w:r>
          </w:p>
        </w:tc>
        <w:tc>
          <w:tcPr>
            <w:tcW w:w="6469" w:type="dxa"/>
            <w:tcBorders>
              <w:top w:val="nil"/>
              <w:left w:val="nil"/>
              <w:bottom w:val="nil"/>
              <w:right w:val="nil"/>
            </w:tcBorders>
            <w:shd w:val="clear" w:color="auto" w:fill="auto"/>
            <w:noWrap/>
            <w:vAlign w:val="bottom"/>
            <w:hideMark/>
          </w:tcPr>
          <w:p w:rsidR="004E5949" w:rsidRPr="00D0414C" w:rsidRDefault="00DB6FB9" w:rsidP="00DB6FB9">
            <w:pPr>
              <w:spacing w:after="0" w:line="276" w:lineRule="auto"/>
              <w:jc w:val="left"/>
              <w:rPr>
                <w:rFonts w:cs="Arial"/>
                <w:szCs w:val="22"/>
                <w:lang w:bidi="ar-SA"/>
              </w:rPr>
            </w:pPr>
            <w:r w:rsidRPr="00D0414C">
              <w:rPr>
                <w:rFonts w:cs="Arial"/>
                <w:szCs w:val="22"/>
                <w:lang w:bidi="ar-SA"/>
              </w:rPr>
              <w:t>A</w:t>
            </w:r>
            <w:r w:rsidR="004E5949" w:rsidRPr="00D0414C">
              <w:rPr>
                <w:rFonts w:cs="Arial"/>
                <w:szCs w:val="22"/>
                <w:lang w:bidi="ar-SA"/>
              </w:rPr>
              <w:t xml:space="preserve">cquired immunodeficiency syndrome </w:t>
            </w:r>
          </w:p>
        </w:tc>
      </w:tr>
      <w:tr w:rsidR="00D0414C" w:rsidRPr="00D0414C" w:rsidTr="00152518">
        <w:trPr>
          <w:trHeight w:val="285"/>
        </w:trPr>
        <w:tc>
          <w:tcPr>
            <w:tcW w:w="1291"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BCC</w:t>
            </w:r>
          </w:p>
        </w:tc>
        <w:tc>
          <w:tcPr>
            <w:tcW w:w="6469"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Behaviour change communications</w:t>
            </w:r>
          </w:p>
        </w:tc>
      </w:tr>
      <w:tr w:rsidR="00D0414C" w:rsidRPr="00D0414C" w:rsidTr="00152518">
        <w:trPr>
          <w:trHeight w:val="285"/>
        </w:trPr>
        <w:tc>
          <w:tcPr>
            <w:tcW w:w="1291" w:type="dxa"/>
            <w:tcBorders>
              <w:top w:val="nil"/>
              <w:left w:val="nil"/>
              <w:bottom w:val="nil"/>
              <w:right w:val="nil"/>
            </w:tcBorders>
            <w:shd w:val="clear" w:color="auto" w:fill="auto"/>
            <w:noWrap/>
            <w:vAlign w:val="bottom"/>
          </w:tcPr>
          <w:p w:rsidR="00D0414C" w:rsidRPr="00D0414C" w:rsidRDefault="00D0414C" w:rsidP="00624D3B">
            <w:pPr>
              <w:spacing w:after="0" w:line="276" w:lineRule="auto"/>
              <w:jc w:val="left"/>
              <w:rPr>
                <w:rFonts w:cs="Arial"/>
                <w:szCs w:val="22"/>
                <w:lang w:bidi="ar-SA"/>
              </w:rPr>
            </w:pPr>
            <w:r w:rsidRPr="00D0414C">
              <w:rPr>
                <w:rFonts w:cs="Arial"/>
                <w:szCs w:val="22"/>
                <w:lang w:bidi="ar-SA"/>
              </w:rPr>
              <w:t>BSP</w:t>
            </w:r>
          </w:p>
        </w:tc>
        <w:tc>
          <w:tcPr>
            <w:tcW w:w="6469" w:type="dxa"/>
            <w:tcBorders>
              <w:top w:val="nil"/>
              <w:left w:val="nil"/>
              <w:bottom w:val="nil"/>
              <w:right w:val="nil"/>
            </w:tcBorders>
            <w:shd w:val="clear" w:color="auto" w:fill="auto"/>
            <w:noWrap/>
            <w:vAlign w:val="bottom"/>
          </w:tcPr>
          <w:p w:rsidR="00D0414C" w:rsidRPr="00D0414C" w:rsidRDefault="00D0414C" w:rsidP="00624D3B">
            <w:pPr>
              <w:spacing w:after="0" w:line="276" w:lineRule="auto"/>
              <w:jc w:val="left"/>
              <w:rPr>
                <w:rFonts w:cs="Arial"/>
                <w:szCs w:val="22"/>
                <w:lang w:bidi="ar-SA"/>
              </w:rPr>
            </w:pPr>
            <w:r w:rsidRPr="00D0414C">
              <w:rPr>
                <w:rFonts w:cs="Arial"/>
                <w:szCs w:val="22"/>
                <w:lang w:bidi="ar-SA"/>
              </w:rPr>
              <w:t>Basic service package</w:t>
            </w:r>
          </w:p>
        </w:tc>
      </w:tr>
      <w:tr w:rsidR="00D0414C" w:rsidRPr="00D0414C" w:rsidTr="00152518">
        <w:trPr>
          <w:trHeight w:val="285"/>
        </w:trPr>
        <w:tc>
          <w:tcPr>
            <w:tcW w:w="1291"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CMR</w:t>
            </w:r>
          </w:p>
        </w:tc>
        <w:tc>
          <w:tcPr>
            <w:tcW w:w="6469"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Child Mortality Rate</w:t>
            </w:r>
          </w:p>
        </w:tc>
      </w:tr>
      <w:tr w:rsidR="00D0414C" w:rsidRPr="00D0414C" w:rsidTr="00152518">
        <w:trPr>
          <w:trHeight w:val="285"/>
        </w:trPr>
        <w:tc>
          <w:tcPr>
            <w:tcW w:w="1291"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DFAT</w:t>
            </w:r>
          </w:p>
        </w:tc>
        <w:tc>
          <w:tcPr>
            <w:tcW w:w="6469"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Department of Foreign Affairs and Trade</w:t>
            </w:r>
          </w:p>
        </w:tc>
      </w:tr>
      <w:tr w:rsidR="00D0414C" w:rsidRPr="00D0414C" w:rsidTr="00152518">
        <w:trPr>
          <w:trHeight w:val="285"/>
        </w:trPr>
        <w:tc>
          <w:tcPr>
            <w:tcW w:w="1291"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EmOC</w:t>
            </w:r>
          </w:p>
        </w:tc>
        <w:tc>
          <w:tcPr>
            <w:tcW w:w="6469" w:type="dxa"/>
            <w:tcBorders>
              <w:top w:val="nil"/>
              <w:left w:val="nil"/>
              <w:bottom w:val="nil"/>
              <w:right w:val="nil"/>
            </w:tcBorders>
            <w:shd w:val="clear" w:color="auto" w:fill="auto"/>
            <w:noWrap/>
            <w:vAlign w:val="bottom"/>
            <w:hideMark/>
          </w:tcPr>
          <w:p w:rsidR="004E5949" w:rsidRPr="00D0414C" w:rsidRDefault="00DB6FB9" w:rsidP="00DB6FB9">
            <w:pPr>
              <w:spacing w:after="0" w:line="276" w:lineRule="auto"/>
              <w:jc w:val="left"/>
              <w:rPr>
                <w:rFonts w:cs="Arial"/>
                <w:szCs w:val="22"/>
                <w:lang w:bidi="ar-SA"/>
              </w:rPr>
            </w:pPr>
            <w:r w:rsidRPr="00D0414C">
              <w:rPr>
                <w:rFonts w:cs="Arial"/>
                <w:szCs w:val="22"/>
                <w:lang w:bidi="ar-SA"/>
              </w:rPr>
              <w:t>E</w:t>
            </w:r>
            <w:r w:rsidR="004E5949" w:rsidRPr="00D0414C">
              <w:rPr>
                <w:rFonts w:cs="Arial"/>
                <w:szCs w:val="22"/>
                <w:lang w:bidi="ar-SA"/>
              </w:rPr>
              <w:t>mergency obstetric care</w:t>
            </w:r>
          </w:p>
        </w:tc>
      </w:tr>
      <w:tr w:rsidR="00D0414C" w:rsidRPr="00D0414C" w:rsidTr="00152518">
        <w:trPr>
          <w:trHeight w:val="285"/>
        </w:trPr>
        <w:tc>
          <w:tcPr>
            <w:tcW w:w="1291"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GAVI</w:t>
            </w:r>
          </w:p>
        </w:tc>
        <w:tc>
          <w:tcPr>
            <w:tcW w:w="6469"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Global Alliance for Vaccines and Immunisation</w:t>
            </w:r>
          </w:p>
        </w:tc>
      </w:tr>
      <w:tr w:rsidR="00D0414C" w:rsidRPr="00D0414C" w:rsidTr="00152518">
        <w:trPr>
          <w:trHeight w:val="285"/>
        </w:trPr>
        <w:tc>
          <w:tcPr>
            <w:tcW w:w="1291"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GFATM</w:t>
            </w:r>
          </w:p>
        </w:tc>
        <w:tc>
          <w:tcPr>
            <w:tcW w:w="6469"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Global Fund to Fight AIDS, Tuberculosis and Malaria</w:t>
            </w:r>
          </w:p>
        </w:tc>
      </w:tr>
      <w:tr w:rsidR="00D0414C" w:rsidRPr="00D0414C" w:rsidTr="00152518">
        <w:trPr>
          <w:trHeight w:val="285"/>
        </w:trPr>
        <w:tc>
          <w:tcPr>
            <w:tcW w:w="1291"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GHE</w:t>
            </w:r>
          </w:p>
        </w:tc>
        <w:tc>
          <w:tcPr>
            <w:tcW w:w="6469"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Government Health Expenditure</w:t>
            </w:r>
          </w:p>
        </w:tc>
      </w:tr>
      <w:tr w:rsidR="00D0414C" w:rsidRPr="00D0414C" w:rsidTr="00152518">
        <w:trPr>
          <w:trHeight w:val="285"/>
        </w:trPr>
        <w:tc>
          <w:tcPr>
            <w:tcW w:w="1291"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HIV</w:t>
            </w:r>
          </w:p>
        </w:tc>
        <w:tc>
          <w:tcPr>
            <w:tcW w:w="6469"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Human immunodeficiency virus</w:t>
            </w:r>
          </w:p>
        </w:tc>
      </w:tr>
      <w:tr w:rsidR="00D0414C" w:rsidRPr="00D0414C" w:rsidTr="00152518">
        <w:trPr>
          <w:trHeight w:val="285"/>
        </w:trPr>
        <w:tc>
          <w:tcPr>
            <w:tcW w:w="1291"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HSS</w:t>
            </w:r>
          </w:p>
        </w:tc>
        <w:tc>
          <w:tcPr>
            <w:tcW w:w="6469"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health system strengthening</w:t>
            </w:r>
          </w:p>
        </w:tc>
      </w:tr>
      <w:tr w:rsidR="00D0414C" w:rsidRPr="00D0414C" w:rsidTr="00152518">
        <w:trPr>
          <w:trHeight w:val="285"/>
        </w:trPr>
        <w:tc>
          <w:tcPr>
            <w:tcW w:w="1291"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IMR</w:t>
            </w:r>
          </w:p>
        </w:tc>
        <w:tc>
          <w:tcPr>
            <w:tcW w:w="6469"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Infant Mortality Rate</w:t>
            </w:r>
          </w:p>
        </w:tc>
      </w:tr>
      <w:tr w:rsidR="00D0414C" w:rsidRPr="00D0414C" w:rsidTr="00152518">
        <w:trPr>
          <w:trHeight w:val="285"/>
        </w:trPr>
        <w:tc>
          <w:tcPr>
            <w:tcW w:w="1291"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MDG</w:t>
            </w:r>
          </w:p>
        </w:tc>
        <w:tc>
          <w:tcPr>
            <w:tcW w:w="6469"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Millennium Development Goals</w:t>
            </w:r>
          </w:p>
        </w:tc>
      </w:tr>
      <w:tr w:rsidR="00D0414C" w:rsidRPr="00D0414C" w:rsidTr="00152518">
        <w:trPr>
          <w:trHeight w:val="285"/>
        </w:trPr>
        <w:tc>
          <w:tcPr>
            <w:tcW w:w="1291"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MMR</w:t>
            </w:r>
          </w:p>
        </w:tc>
        <w:tc>
          <w:tcPr>
            <w:tcW w:w="6469"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Maternal Mortality Rate</w:t>
            </w:r>
          </w:p>
        </w:tc>
      </w:tr>
      <w:tr w:rsidR="00D0414C" w:rsidRPr="00D0414C" w:rsidTr="00152518">
        <w:trPr>
          <w:trHeight w:val="285"/>
        </w:trPr>
        <w:tc>
          <w:tcPr>
            <w:tcW w:w="1291"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MoF</w:t>
            </w:r>
          </w:p>
        </w:tc>
        <w:tc>
          <w:tcPr>
            <w:tcW w:w="6469"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Ministry of Finance</w:t>
            </w:r>
          </w:p>
        </w:tc>
      </w:tr>
      <w:tr w:rsidR="00D0414C" w:rsidRPr="00D0414C" w:rsidTr="00152518">
        <w:trPr>
          <w:trHeight w:val="285"/>
        </w:trPr>
        <w:tc>
          <w:tcPr>
            <w:tcW w:w="1291"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NHSSP</w:t>
            </w:r>
          </w:p>
        </w:tc>
        <w:tc>
          <w:tcPr>
            <w:tcW w:w="6469"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National Health Sector Strategic Plan</w:t>
            </w:r>
          </w:p>
        </w:tc>
      </w:tr>
      <w:tr w:rsidR="00D0414C" w:rsidRPr="00D0414C" w:rsidTr="00152518">
        <w:trPr>
          <w:trHeight w:val="285"/>
        </w:trPr>
        <w:tc>
          <w:tcPr>
            <w:tcW w:w="1291"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NMCH</w:t>
            </w:r>
          </w:p>
        </w:tc>
        <w:tc>
          <w:tcPr>
            <w:tcW w:w="6469"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 xml:space="preserve">New Born Maternal Child Health </w:t>
            </w:r>
          </w:p>
        </w:tc>
      </w:tr>
      <w:tr w:rsidR="00D0414C" w:rsidRPr="00D0414C" w:rsidTr="00152518">
        <w:trPr>
          <w:trHeight w:val="285"/>
        </w:trPr>
        <w:tc>
          <w:tcPr>
            <w:tcW w:w="1291"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NNMR</w:t>
            </w:r>
          </w:p>
        </w:tc>
        <w:tc>
          <w:tcPr>
            <w:tcW w:w="6469"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Neonatal Mortality Rate</w:t>
            </w:r>
          </w:p>
        </w:tc>
      </w:tr>
      <w:tr w:rsidR="00D0414C" w:rsidRPr="00D0414C" w:rsidTr="00152518">
        <w:trPr>
          <w:trHeight w:val="285"/>
        </w:trPr>
        <w:tc>
          <w:tcPr>
            <w:tcW w:w="1291"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PPP</w:t>
            </w:r>
          </w:p>
        </w:tc>
        <w:tc>
          <w:tcPr>
            <w:tcW w:w="6469"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Purchasing Power Parity</w:t>
            </w:r>
          </w:p>
        </w:tc>
      </w:tr>
      <w:tr w:rsidR="00D0414C" w:rsidRPr="00D0414C" w:rsidTr="00152518">
        <w:trPr>
          <w:trHeight w:val="285"/>
        </w:trPr>
        <w:tc>
          <w:tcPr>
            <w:tcW w:w="1291"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RMNCH</w:t>
            </w:r>
          </w:p>
        </w:tc>
        <w:tc>
          <w:tcPr>
            <w:tcW w:w="6469" w:type="dxa"/>
            <w:tcBorders>
              <w:top w:val="nil"/>
              <w:left w:val="nil"/>
              <w:bottom w:val="nil"/>
              <w:right w:val="nil"/>
            </w:tcBorders>
            <w:shd w:val="clear" w:color="auto" w:fill="auto"/>
            <w:noWrap/>
            <w:vAlign w:val="bottom"/>
            <w:hideMark/>
          </w:tcPr>
          <w:p w:rsidR="004E5949" w:rsidRPr="00D0414C" w:rsidRDefault="00DB6FB9" w:rsidP="00DB6FB9">
            <w:pPr>
              <w:spacing w:after="0" w:line="276" w:lineRule="auto"/>
              <w:jc w:val="left"/>
              <w:rPr>
                <w:rFonts w:cs="Arial"/>
                <w:szCs w:val="22"/>
                <w:lang w:bidi="ar-SA"/>
              </w:rPr>
            </w:pPr>
            <w:r w:rsidRPr="00D0414C">
              <w:rPr>
                <w:rFonts w:cs="Arial"/>
                <w:szCs w:val="22"/>
                <w:lang w:bidi="ar-SA"/>
              </w:rPr>
              <w:t>R</w:t>
            </w:r>
            <w:r w:rsidR="004E5949" w:rsidRPr="00D0414C">
              <w:rPr>
                <w:rFonts w:cs="Arial"/>
                <w:szCs w:val="22"/>
                <w:lang w:bidi="ar-SA"/>
              </w:rPr>
              <w:t>eproductive, maternal, newborn, and child health</w:t>
            </w:r>
          </w:p>
        </w:tc>
      </w:tr>
      <w:tr w:rsidR="00D0414C" w:rsidRPr="00D0414C" w:rsidTr="00152518">
        <w:trPr>
          <w:trHeight w:val="285"/>
        </w:trPr>
        <w:tc>
          <w:tcPr>
            <w:tcW w:w="1291"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SAMES</w:t>
            </w:r>
          </w:p>
        </w:tc>
        <w:tc>
          <w:tcPr>
            <w:tcW w:w="6469"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val="fr-FR" w:bidi="ar-SA"/>
              </w:rPr>
            </w:pPr>
            <w:r w:rsidRPr="00D0414C">
              <w:rPr>
                <w:rFonts w:cs="Arial"/>
                <w:szCs w:val="22"/>
                <w:lang w:val="fr-FR" w:bidi="ar-SA"/>
              </w:rPr>
              <w:t>Servico Autonomo de Medicamentos e Equipamentos de Saude</w:t>
            </w:r>
          </w:p>
        </w:tc>
      </w:tr>
      <w:tr w:rsidR="00D0414C" w:rsidRPr="00D0414C" w:rsidTr="00152518">
        <w:trPr>
          <w:trHeight w:val="285"/>
        </w:trPr>
        <w:tc>
          <w:tcPr>
            <w:tcW w:w="1291"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TB</w:t>
            </w:r>
          </w:p>
        </w:tc>
        <w:tc>
          <w:tcPr>
            <w:tcW w:w="6469"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Tuberculosis</w:t>
            </w:r>
          </w:p>
        </w:tc>
      </w:tr>
      <w:tr w:rsidR="00D0414C" w:rsidRPr="00D0414C" w:rsidTr="00152518">
        <w:trPr>
          <w:trHeight w:val="285"/>
        </w:trPr>
        <w:tc>
          <w:tcPr>
            <w:tcW w:w="1291"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TLDHS</w:t>
            </w:r>
          </w:p>
        </w:tc>
        <w:tc>
          <w:tcPr>
            <w:tcW w:w="6469"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 xml:space="preserve">Timor-Leste Demographic and Health Survey </w:t>
            </w:r>
          </w:p>
        </w:tc>
      </w:tr>
      <w:tr w:rsidR="00D0414C" w:rsidRPr="00D0414C" w:rsidTr="00152518">
        <w:trPr>
          <w:trHeight w:val="285"/>
        </w:trPr>
        <w:tc>
          <w:tcPr>
            <w:tcW w:w="1291"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UNTL</w:t>
            </w:r>
          </w:p>
        </w:tc>
        <w:tc>
          <w:tcPr>
            <w:tcW w:w="6469" w:type="dxa"/>
            <w:tcBorders>
              <w:top w:val="nil"/>
              <w:left w:val="nil"/>
              <w:bottom w:val="nil"/>
              <w:right w:val="nil"/>
            </w:tcBorders>
            <w:shd w:val="clear" w:color="auto" w:fill="auto"/>
            <w:noWrap/>
            <w:vAlign w:val="bottom"/>
            <w:hideMark/>
          </w:tcPr>
          <w:p w:rsidR="004E5949" w:rsidRPr="00D0414C" w:rsidRDefault="004E5949" w:rsidP="00624D3B">
            <w:pPr>
              <w:spacing w:after="0" w:line="276" w:lineRule="auto"/>
              <w:jc w:val="left"/>
              <w:rPr>
                <w:rFonts w:cs="Arial"/>
                <w:szCs w:val="22"/>
                <w:lang w:bidi="ar-SA"/>
              </w:rPr>
            </w:pPr>
            <w:r w:rsidRPr="00D0414C">
              <w:rPr>
                <w:rFonts w:cs="Arial"/>
                <w:szCs w:val="22"/>
                <w:lang w:bidi="ar-SA"/>
              </w:rPr>
              <w:t>National University of Timor-Leste</w:t>
            </w:r>
          </w:p>
        </w:tc>
      </w:tr>
    </w:tbl>
    <w:p w:rsidR="00023FE4" w:rsidRPr="00D0414C" w:rsidRDefault="00023FE4" w:rsidP="00624D3B">
      <w:pPr>
        <w:spacing w:line="276" w:lineRule="auto"/>
      </w:pPr>
    </w:p>
    <w:p w:rsidR="00AD246F" w:rsidRDefault="00AD246F">
      <w:pPr>
        <w:spacing w:after="0"/>
        <w:jc w:val="left"/>
        <w:rPr>
          <w:b/>
          <w:bCs/>
          <w:color w:val="1B3A59"/>
          <w:kern w:val="32"/>
          <w:sz w:val="28"/>
          <w:szCs w:val="32"/>
        </w:rPr>
      </w:pPr>
      <w:r>
        <w:br w:type="page"/>
      </w:r>
    </w:p>
    <w:p w:rsidR="00FE61E3" w:rsidRPr="005474DC" w:rsidRDefault="00FE61E3" w:rsidP="006946F8">
      <w:pPr>
        <w:pStyle w:val="HRFNoNumberHeading1"/>
      </w:pPr>
      <w:bookmarkStart w:id="5" w:name="_Toc373502475"/>
      <w:r w:rsidRPr="005474DC">
        <w:rPr>
          <w:lang w:val="en-AU"/>
        </w:rPr>
        <w:t>Executive Summary</w:t>
      </w:r>
      <w:bookmarkEnd w:id="5"/>
    </w:p>
    <w:p w:rsidR="00FE61E3" w:rsidRPr="005474DC" w:rsidRDefault="00FE61E3" w:rsidP="006946F8">
      <w:pPr>
        <w:spacing w:line="276" w:lineRule="auto"/>
        <w:rPr>
          <w:rFonts w:cs="Arial"/>
          <w:szCs w:val="22"/>
        </w:rPr>
      </w:pPr>
      <w:r w:rsidRPr="005474DC">
        <w:rPr>
          <w:rFonts w:cs="Arial"/>
          <w:szCs w:val="22"/>
        </w:rPr>
        <w:t xml:space="preserve">This report is an economic analysis to complement the project design for the </w:t>
      </w:r>
      <w:r w:rsidR="00D0414C">
        <w:rPr>
          <w:rFonts w:cs="Arial"/>
          <w:szCs w:val="22"/>
        </w:rPr>
        <w:t>Australian aid</w:t>
      </w:r>
      <w:r w:rsidRPr="005474DC">
        <w:rPr>
          <w:rFonts w:cs="Arial"/>
          <w:szCs w:val="22"/>
        </w:rPr>
        <w:t xml:space="preserve"> Timor-Leste Health </w:t>
      </w:r>
      <w:r w:rsidR="0033505D">
        <w:rPr>
          <w:rFonts w:cs="Arial"/>
          <w:szCs w:val="22"/>
        </w:rPr>
        <w:t>Program</w:t>
      </w:r>
      <w:r w:rsidRPr="005474DC">
        <w:rPr>
          <w:rFonts w:cs="Arial"/>
          <w:szCs w:val="22"/>
        </w:rPr>
        <w:t xml:space="preserve"> 2013-2021.  The Scope of Work asked to provide guidance on selecting </w:t>
      </w:r>
      <w:r w:rsidR="0033505D">
        <w:rPr>
          <w:rFonts w:cs="Arial"/>
          <w:szCs w:val="22"/>
        </w:rPr>
        <w:t>program</w:t>
      </w:r>
      <w:r w:rsidRPr="005474DC">
        <w:rPr>
          <w:rFonts w:cs="Arial"/>
          <w:szCs w:val="22"/>
        </w:rPr>
        <w:t xml:space="preserve"> components from an economic perspective, as well as providing a </w:t>
      </w:r>
      <w:r w:rsidRPr="005474DC">
        <w:rPr>
          <w:rFonts w:cs="Arial"/>
          <w:szCs w:val="22"/>
          <w:lang w:val="en-AU"/>
        </w:rPr>
        <w:t>strategic analysis of the investment environment</w:t>
      </w:r>
      <w:r w:rsidRPr="005474DC">
        <w:rPr>
          <w:rFonts w:cs="Arial"/>
          <w:szCs w:val="22"/>
        </w:rPr>
        <w:t xml:space="preserve"> from the perspective of cost-effectiveness and value-for-money, the aims of the </w:t>
      </w:r>
      <w:r w:rsidR="0033505D">
        <w:rPr>
          <w:rFonts w:cs="Arial"/>
          <w:szCs w:val="22"/>
        </w:rPr>
        <w:t>Program</w:t>
      </w:r>
      <w:r w:rsidRPr="005474DC">
        <w:rPr>
          <w:rFonts w:cs="Arial"/>
          <w:szCs w:val="22"/>
        </w:rPr>
        <w:t xml:space="preserve">, poverty alleviation, and the overall effectiveness of the </w:t>
      </w:r>
      <w:r w:rsidR="0033505D">
        <w:rPr>
          <w:rFonts w:cs="Arial"/>
          <w:szCs w:val="22"/>
        </w:rPr>
        <w:t>Program</w:t>
      </w:r>
      <w:r w:rsidRPr="005474DC">
        <w:rPr>
          <w:rFonts w:cs="Arial"/>
          <w:szCs w:val="22"/>
        </w:rPr>
        <w:t xml:space="preserve"> in supporting the government to deliver effective and responsive health services. This report is focused around addressing two specific questions (outlined below).</w:t>
      </w:r>
    </w:p>
    <w:p w:rsidR="00FE61E3" w:rsidRPr="005474DC" w:rsidRDefault="00FE61E3" w:rsidP="006946F8">
      <w:pPr>
        <w:spacing w:line="276" w:lineRule="auto"/>
        <w:rPr>
          <w:rFonts w:cs="Arial"/>
          <w:szCs w:val="22"/>
        </w:rPr>
      </w:pPr>
      <w:r w:rsidRPr="005474DC">
        <w:rPr>
          <w:rFonts w:cs="Arial"/>
          <w:szCs w:val="22"/>
        </w:rPr>
        <w:t xml:space="preserve">The current design strategy focuses on strengthening the Timor-Leste health system by addressing identified health system weaknesses and supporting service delivery.  The strategy envisions new and different ways of working with the MoH and other development partners. </w:t>
      </w:r>
    </w:p>
    <w:p w:rsidR="00FE61E3" w:rsidRPr="005474DC" w:rsidRDefault="00FE61E3" w:rsidP="006946F8">
      <w:pPr>
        <w:spacing w:line="276" w:lineRule="auto"/>
        <w:rPr>
          <w:rFonts w:cs="Arial"/>
          <w:szCs w:val="22"/>
        </w:rPr>
      </w:pPr>
      <w:r w:rsidRPr="005474DC">
        <w:rPr>
          <w:rFonts w:cs="Arial"/>
          <w:b/>
          <w:szCs w:val="22"/>
        </w:rPr>
        <w:t xml:space="preserve">Methodology: </w:t>
      </w:r>
      <w:r w:rsidR="00342651" w:rsidRPr="00342651">
        <w:rPr>
          <w:rFonts w:cs="Arial"/>
          <w:szCs w:val="22"/>
        </w:rPr>
        <w:t>R</w:t>
      </w:r>
      <w:r w:rsidRPr="005474DC">
        <w:rPr>
          <w:rFonts w:cs="Arial"/>
          <w:szCs w:val="22"/>
        </w:rPr>
        <w:t xml:space="preserve">eports and data from Timor-Leste were reviewed and supplemented by information provided by </w:t>
      </w:r>
      <w:r w:rsidR="00D0414C">
        <w:rPr>
          <w:rFonts w:cs="Arial"/>
          <w:szCs w:val="22"/>
        </w:rPr>
        <w:t>Australian aid</w:t>
      </w:r>
      <w:r w:rsidRPr="005474DC">
        <w:rPr>
          <w:rFonts w:cs="Arial"/>
          <w:szCs w:val="22"/>
        </w:rPr>
        <w:t xml:space="preserve"> Dili health staff members. After an intensive review of the global literature and finding little information on evaluation of health systems strengthening (HSS) interventions, a conceptual model was developed to help prioritise </w:t>
      </w:r>
      <w:r w:rsidR="0033505D">
        <w:rPr>
          <w:rFonts w:cs="Arial"/>
          <w:szCs w:val="22"/>
        </w:rPr>
        <w:t>Program</w:t>
      </w:r>
      <w:r w:rsidRPr="005474DC">
        <w:rPr>
          <w:rFonts w:cs="Arial"/>
          <w:szCs w:val="22"/>
        </w:rPr>
        <w:t xml:space="preserve"> activities. </w:t>
      </w:r>
      <w:r w:rsidR="00342651">
        <w:rPr>
          <w:rFonts w:cs="Arial"/>
          <w:szCs w:val="22"/>
        </w:rPr>
        <w:t>S</w:t>
      </w:r>
      <w:r w:rsidRPr="005474DC">
        <w:rPr>
          <w:rFonts w:cs="Arial"/>
          <w:szCs w:val="22"/>
        </w:rPr>
        <w:t xml:space="preserve">everal prior studies on health financing in Timor-Leste were updated with data from the 2014 government budget, and new analyses were made of current data that also incorporated findings of recent studies. </w:t>
      </w:r>
    </w:p>
    <w:p w:rsidR="00FE61E3" w:rsidRPr="005474DC" w:rsidRDefault="00FE61E3" w:rsidP="006946F8">
      <w:pPr>
        <w:spacing w:line="276" w:lineRule="auto"/>
        <w:rPr>
          <w:rFonts w:cs="Arial"/>
          <w:b/>
          <w:i/>
          <w:szCs w:val="22"/>
        </w:rPr>
      </w:pPr>
      <w:r w:rsidRPr="005474DC">
        <w:rPr>
          <w:rFonts w:cs="Arial"/>
          <w:b/>
          <w:i/>
          <w:szCs w:val="22"/>
          <w:lang w:val="en-AU"/>
        </w:rPr>
        <w:t>What sorts of interventions are likely to be most effective in the short and long term at improving maternal, child and neo-natal health in Timor-Leste? How would they improve health care access and/or quality in the long-term, or will they only work in the short-term?</w:t>
      </w:r>
      <w:r w:rsidRPr="005474DC">
        <w:rPr>
          <w:rFonts w:cs="Arial"/>
          <w:b/>
          <w:i/>
          <w:szCs w:val="22"/>
        </w:rPr>
        <w:t xml:space="preserve"> </w:t>
      </w:r>
    </w:p>
    <w:p w:rsidR="00FE61E3" w:rsidRPr="005474DC" w:rsidRDefault="00FE61E3" w:rsidP="006946F8">
      <w:pPr>
        <w:spacing w:line="276" w:lineRule="auto"/>
        <w:rPr>
          <w:rFonts w:cs="Arial"/>
          <w:b/>
          <w:bCs/>
          <w:szCs w:val="22"/>
        </w:rPr>
      </w:pPr>
      <w:r w:rsidRPr="005474DC">
        <w:rPr>
          <w:rFonts w:cs="Arial"/>
          <w:bCs/>
          <w:szCs w:val="22"/>
        </w:rPr>
        <w:t xml:space="preserve">The National Health Sector Strategic Plan (NHSSP) identifies </w:t>
      </w:r>
      <w:r w:rsidR="00342651">
        <w:rPr>
          <w:rFonts w:cs="Arial"/>
          <w:bCs/>
          <w:szCs w:val="22"/>
        </w:rPr>
        <w:t>some</w:t>
      </w:r>
      <w:r w:rsidRPr="005474DC">
        <w:rPr>
          <w:rFonts w:cs="Arial"/>
          <w:bCs/>
          <w:szCs w:val="22"/>
        </w:rPr>
        <w:t xml:space="preserve"> weak links in the Timorese health system and outlines a plan to address them, in three phases through </w:t>
      </w:r>
      <w:r w:rsidRPr="00D0414C">
        <w:rPr>
          <w:rFonts w:cs="Arial"/>
          <w:bCs/>
          <w:szCs w:val="22"/>
        </w:rPr>
        <w:t>2030.</w:t>
      </w:r>
      <w:r w:rsidRPr="00D0414C">
        <w:rPr>
          <w:rFonts w:cs="Arial"/>
          <w:bCs/>
          <w:szCs w:val="22"/>
          <w:lang w:val="en-AU"/>
        </w:rPr>
        <w:t xml:space="preserve"> </w:t>
      </w:r>
      <w:r w:rsidRPr="00D0414C">
        <w:rPr>
          <w:rFonts w:cs="Arial"/>
          <w:bCs/>
          <w:szCs w:val="22"/>
        </w:rPr>
        <w:t xml:space="preserve">The </w:t>
      </w:r>
      <w:r w:rsidR="00D0414C">
        <w:rPr>
          <w:rFonts w:cs="Arial"/>
          <w:bCs/>
          <w:szCs w:val="22"/>
        </w:rPr>
        <w:t>Australian aid</w:t>
      </w:r>
      <w:r w:rsidRPr="00D0414C">
        <w:rPr>
          <w:rFonts w:cs="Arial"/>
          <w:bCs/>
          <w:szCs w:val="22"/>
        </w:rPr>
        <w:t xml:space="preserve"> program will carry on through only the first part of the second </w:t>
      </w:r>
      <w:r w:rsidR="00342651" w:rsidRPr="00D0414C">
        <w:rPr>
          <w:rFonts w:cs="Arial"/>
          <w:bCs/>
          <w:szCs w:val="22"/>
        </w:rPr>
        <w:t>phase</w:t>
      </w:r>
      <w:r w:rsidRPr="00D0414C">
        <w:rPr>
          <w:rFonts w:cs="Arial"/>
          <w:bCs/>
          <w:szCs w:val="22"/>
        </w:rPr>
        <w:t>. Since not every</w:t>
      </w:r>
      <w:r w:rsidR="00342651" w:rsidRPr="00D0414C">
        <w:rPr>
          <w:rFonts w:cs="Arial"/>
          <w:bCs/>
          <w:szCs w:val="22"/>
        </w:rPr>
        <w:t>thing can</w:t>
      </w:r>
      <w:r w:rsidR="00342651">
        <w:rPr>
          <w:rFonts w:cs="Arial"/>
          <w:bCs/>
          <w:szCs w:val="22"/>
        </w:rPr>
        <w:t xml:space="preserve"> be done at once, the </w:t>
      </w:r>
      <w:r w:rsidR="0033505D">
        <w:rPr>
          <w:rFonts w:cs="Arial"/>
          <w:bCs/>
          <w:szCs w:val="22"/>
        </w:rPr>
        <w:t>Program</w:t>
      </w:r>
      <w:r w:rsidRPr="005474DC">
        <w:rPr>
          <w:rFonts w:cs="Arial"/>
          <w:bCs/>
          <w:szCs w:val="22"/>
        </w:rPr>
        <w:t xml:space="preserve"> design must balance cost, time-frame, relative importance, and likelihood of achieving the needed short-term and long-term impacts in selecting priority activities.</w:t>
      </w:r>
      <w:r w:rsidRPr="005474DC">
        <w:rPr>
          <w:rFonts w:cs="Arial"/>
          <w:szCs w:val="22"/>
        </w:rPr>
        <w:t xml:space="preserve"> Some initial acti</w:t>
      </w:r>
      <w:r w:rsidR="00D0414C">
        <w:rPr>
          <w:rFonts w:cs="Arial"/>
          <w:szCs w:val="22"/>
        </w:rPr>
        <w:t>vities have been described in a</w:t>
      </w:r>
      <w:r w:rsidRPr="005474DC">
        <w:rPr>
          <w:rFonts w:cs="Arial"/>
          <w:szCs w:val="22"/>
        </w:rPr>
        <w:t xml:space="preserve"> Project Note which summari</w:t>
      </w:r>
      <w:r w:rsidR="004348BB">
        <w:rPr>
          <w:rFonts w:cs="Arial"/>
          <w:szCs w:val="22"/>
        </w:rPr>
        <w:t>s</w:t>
      </w:r>
      <w:r w:rsidRPr="005474DC">
        <w:rPr>
          <w:rFonts w:cs="Arial"/>
          <w:szCs w:val="22"/>
        </w:rPr>
        <w:t xml:space="preserve">es discussions to date between the Timor-Leste Ministry of Health and </w:t>
      </w:r>
      <w:r w:rsidR="00D0414C">
        <w:rPr>
          <w:rFonts w:cs="Arial"/>
          <w:szCs w:val="22"/>
        </w:rPr>
        <w:t>Australian aid</w:t>
      </w:r>
      <w:r w:rsidRPr="005474DC">
        <w:rPr>
          <w:rFonts w:cs="Arial"/>
          <w:szCs w:val="22"/>
        </w:rPr>
        <w:t xml:space="preserve"> (Annex 2). These activities have been selected on the basis of high-level political ownership, potential </w:t>
      </w:r>
      <w:r w:rsidR="004348BB">
        <w:rPr>
          <w:rFonts w:cs="Arial"/>
          <w:szCs w:val="22"/>
        </w:rPr>
        <w:t>for</w:t>
      </w:r>
      <w:r w:rsidRPr="005474DC">
        <w:rPr>
          <w:rFonts w:cs="Arial"/>
          <w:szCs w:val="22"/>
        </w:rPr>
        <w:t xml:space="preserve"> quick results and likelihood of leading to service improvements by unblocking bottlenecks, and (thus far) leaves the content and details of remaining longer-term activities to an ongoing project design process.</w:t>
      </w:r>
    </w:p>
    <w:p w:rsidR="00FE61E3" w:rsidRPr="005474DC" w:rsidRDefault="00FE61E3" w:rsidP="006946F8">
      <w:pPr>
        <w:pStyle w:val="ListParagraph"/>
        <w:spacing w:line="276" w:lineRule="auto"/>
        <w:ind w:left="0"/>
        <w:contextualSpacing w:val="0"/>
        <w:rPr>
          <w:rFonts w:cs="Arial"/>
          <w:szCs w:val="22"/>
        </w:rPr>
      </w:pPr>
      <w:r w:rsidRPr="005474DC">
        <w:rPr>
          <w:rFonts w:cs="Arial"/>
          <w:szCs w:val="22"/>
        </w:rPr>
        <w:t xml:space="preserve">This will be complicated by the fact that documentation and systematic reviews that provide evidence for prioritizing inputs and activities </w:t>
      </w:r>
      <w:r w:rsidR="004348BB">
        <w:rPr>
          <w:rFonts w:cs="Arial"/>
          <w:szCs w:val="22"/>
        </w:rPr>
        <w:t>are</w:t>
      </w:r>
      <w:r w:rsidRPr="005474DC">
        <w:rPr>
          <w:rFonts w:cs="Arial"/>
          <w:szCs w:val="22"/>
        </w:rPr>
        <w:t xml:space="preserve"> lacking for most types of HSS interventions. A model that estimates the potential impact of reproductive, maternal, neonatal and child health (RMNCH) interventions was adapted to evaluate HSS interventions. The total numbers of avoidable premature maternal, neonatal and child deaths and disabilities are calculated, which then correspond to benefits if the health system performed optimally, including the marginal benefits from strengthening and improving access to higher levels of care.</w:t>
      </w:r>
    </w:p>
    <w:p w:rsidR="00FE61E3" w:rsidRPr="005474DC" w:rsidRDefault="00FE61E3" w:rsidP="006946F8">
      <w:pPr>
        <w:pStyle w:val="ListParagraph"/>
        <w:spacing w:line="276" w:lineRule="auto"/>
        <w:ind w:left="0"/>
        <w:contextualSpacing w:val="0"/>
        <w:rPr>
          <w:rFonts w:cs="Arial"/>
          <w:szCs w:val="22"/>
        </w:rPr>
      </w:pPr>
      <w:r w:rsidRPr="005474DC">
        <w:rPr>
          <w:rFonts w:cs="Arial"/>
          <w:szCs w:val="22"/>
        </w:rPr>
        <w:t xml:space="preserve">Rural access to RMNCH services is a known weak link in service delivery. Although requiring several assumptions, ambulance repair provides an illustration of how benefits may be attributed to a specific HSS intervention. If the relative influence of every other system bottleneck were known, benefits could be estimated for strengthening other weak system links. Although very hypothetical and requiring assumptions where data is unavailable, it can provide a 'first cut' to quantify and prioritise interventions. Strengthening some parts of the health system might have no direct linkage to health outcomes, but it is nonetheless likely that alleviating critical shortages of human resources and increasing utilization by means of </w:t>
      </w:r>
      <w:r w:rsidR="004348BB" w:rsidRPr="005474DC">
        <w:rPr>
          <w:rFonts w:cs="Arial"/>
          <w:szCs w:val="22"/>
        </w:rPr>
        <w:t>behaviour</w:t>
      </w:r>
      <w:r w:rsidRPr="005474DC">
        <w:rPr>
          <w:rFonts w:cs="Arial"/>
          <w:szCs w:val="22"/>
        </w:rPr>
        <w:t xml:space="preserve"> change communication, are at least as important as emergency transportation. </w:t>
      </w:r>
    </w:p>
    <w:p w:rsidR="00FE61E3" w:rsidRPr="005474DC" w:rsidRDefault="00FE61E3" w:rsidP="006946F8">
      <w:pPr>
        <w:spacing w:line="276" w:lineRule="auto"/>
        <w:rPr>
          <w:rFonts w:cs="Arial"/>
          <w:b/>
          <w:i/>
          <w:szCs w:val="22"/>
        </w:rPr>
      </w:pPr>
      <w:r w:rsidRPr="005474DC">
        <w:rPr>
          <w:rFonts w:cs="Arial"/>
          <w:b/>
          <w:i/>
          <w:szCs w:val="22"/>
          <w:lang w:val="en-AU"/>
        </w:rPr>
        <w:t>How efficient is current government allocation and expenditure for health?  How could government better use the $60 per capita spent to improve maternal and child health outcomes, and how is it currently spent?</w:t>
      </w:r>
      <w:r w:rsidRPr="005474DC">
        <w:rPr>
          <w:rFonts w:cs="Arial"/>
          <w:b/>
          <w:i/>
          <w:szCs w:val="22"/>
        </w:rPr>
        <w:t xml:space="preserve"> </w:t>
      </w:r>
    </w:p>
    <w:p w:rsidR="00FE61E3" w:rsidRPr="005474DC" w:rsidRDefault="00FE61E3" w:rsidP="006946F8">
      <w:pPr>
        <w:spacing w:line="276" w:lineRule="auto"/>
        <w:rPr>
          <w:rFonts w:cs="Arial"/>
          <w:szCs w:val="22"/>
        </w:rPr>
      </w:pPr>
      <w:r w:rsidRPr="005474DC">
        <w:rPr>
          <w:rFonts w:cs="Arial"/>
          <w:szCs w:val="22"/>
        </w:rPr>
        <w:t xml:space="preserve">Efficiency criteria and financing trends were examined and Timor-Leste was compared with other countries. Several regional countries spending considerably less on health than Timor-Leste have lower maternal mortality rates. For 'fragile states' such as Timor-Leste in the Asia-Pacific region, health expenditures and life expectancy are closer to the lowest-income countries, and are considerably lower than the region's middle-income countries. Comparing Timor-Leste with 20 countries having similar low levels of government health expenditure (GHE) found that it has lower child mortality than expected and average infant mortality. </w:t>
      </w:r>
    </w:p>
    <w:p w:rsidR="00FE61E3" w:rsidRPr="005474DC" w:rsidRDefault="00FE61E3" w:rsidP="006946F8">
      <w:pPr>
        <w:pStyle w:val="ListParagraph"/>
        <w:spacing w:line="276" w:lineRule="auto"/>
        <w:ind w:left="0"/>
        <w:contextualSpacing w:val="0"/>
        <w:rPr>
          <w:rFonts w:cs="Arial"/>
          <w:szCs w:val="22"/>
          <w:lang w:val="en-AU"/>
        </w:rPr>
      </w:pPr>
      <w:r w:rsidRPr="005474DC">
        <w:rPr>
          <w:rFonts w:cs="Arial"/>
          <w:szCs w:val="22"/>
        </w:rPr>
        <w:t>Total health expenditure which includes private spending as a percentage of gross domestic product (GDP) has shown a long-term decreasing trend partly due to rapidly rising GDP, but recent actual and planned increases in the health budget have raised it above 5% again. Budget allocation to salaries and wages has especially increased recently in accordance with new personnel policy, and government spending on drugs and supplies of about $5 per capita is similar to other low and middle-income countries. Only 38.7% of the health budget is spent at sub-national (district) level, reflecting diseconomies of scale in a small country that make overhead costs relatively high, but most small countries in the region have much higher health expenditures. Allocation of the recurrent budget appears to be related more closely to the current operating costs of existing district health facilities rather than to the needs of the population.</w:t>
      </w:r>
      <w:r w:rsidRPr="005474DC">
        <w:rPr>
          <w:rFonts w:cs="Arial"/>
          <w:szCs w:val="22"/>
          <w:lang w:val="en-AU"/>
        </w:rPr>
        <w:t xml:space="preserve"> </w:t>
      </w:r>
    </w:p>
    <w:p w:rsidR="00FE61E3" w:rsidRPr="005474DC" w:rsidRDefault="00FE61E3" w:rsidP="006946F8">
      <w:pPr>
        <w:pStyle w:val="ListParagraph"/>
        <w:spacing w:line="276" w:lineRule="auto"/>
        <w:ind w:left="0"/>
        <w:contextualSpacing w:val="0"/>
        <w:rPr>
          <w:rFonts w:cs="Arial"/>
          <w:szCs w:val="22"/>
          <w:lang w:val="en-AU"/>
        </w:rPr>
      </w:pPr>
      <w:r w:rsidRPr="005474DC">
        <w:rPr>
          <w:rFonts w:cs="Arial"/>
          <w:szCs w:val="22"/>
          <w:lang w:val="en-AU"/>
        </w:rPr>
        <w:t xml:space="preserve">Out-of-pocket spending is low, and utilisation of district-level health facilities is relatively equal among income groups but higher-income households make more use of hospitals than the poor. Access and availability of services are more significant constraints to utilisation than financing </w:t>
      </w:r>
      <w:r w:rsidRPr="005474DC">
        <w:rPr>
          <w:rFonts w:cs="Arial"/>
          <w:i/>
          <w:szCs w:val="22"/>
          <w:lang w:val="en-AU"/>
        </w:rPr>
        <w:t>per se</w:t>
      </w:r>
      <w:r w:rsidRPr="005474DC">
        <w:rPr>
          <w:rFonts w:cs="Arial"/>
          <w:szCs w:val="22"/>
          <w:lang w:val="en-AU"/>
        </w:rPr>
        <w:t xml:space="preserve">. </w:t>
      </w:r>
    </w:p>
    <w:p w:rsidR="00FE61E3" w:rsidRPr="005474DC" w:rsidRDefault="00FE61E3" w:rsidP="006946F8">
      <w:pPr>
        <w:pStyle w:val="ListParagraph"/>
        <w:spacing w:line="276" w:lineRule="auto"/>
        <w:ind w:left="0"/>
        <w:contextualSpacing w:val="0"/>
        <w:rPr>
          <w:rFonts w:cs="Arial"/>
          <w:szCs w:val="22"/>
        </w:rPr>
      </w:pPr>
      <w:r w:rsidRPr="005474DC">
        <w:rPr>
          <w:rFonts w:cs="Arial"/>
          <w:szCs w:val="22"/>
        </w:rPr>
        <w:t xml:space="preserve">Both government and development partners are giving high priority to capital investment in infrastructure and human resources for health, with government capital spending equal to almost half of the recurrent budget, mostly for current hospital construction. About one-third of aid to the health sector is used directly at district level. Donor spending in the health sector is still far from transparent, and may be uncoordinated with MoH budgeting. The lack of robust data makes it very difficult to make conclusions about the efficiency of total public spending on health. </w:t>
      </w:r>
    </w:p>
    <w:p w:rsidR="004348BB" w:rsidRDefault="004348BB" w:rsidP="006946F8">
      <w:pPr>
        <w:pStyle w:val="ListParagraph"/>
        <w:spacing w:line="276" w:lineRule="auto"/>
        <w:ind w:left="0"/>
        <w:contextualSpacing w:val="0"/>
        <w:rPr>
          <w:rFonts w:cs="Arial"/>
          <w:b/>
          <w:szCs w:val="22"/>
          <w:lang w:val="en-AU"/>
        </w:rPr>
      </w:pPr>
    </w:p>
    <w:p w:rsidR="00FE61E3" w:rsidRPr="00631DD0" w:rsidRDefault="00FE61E3" w:rsidP="006946F8">
      <w:pPr>
        <w:pStyle w:val="ListParagraph"/>
        <w:spacing w:line="276" w:lineRule="auto"/>
        <w:ind w:left="0"/>
        <w:contextualSpacing w:val="0"/>
        <w:rPr>
          <w:rFonts w:cs="Arial"/>
          <w:b/>
          <w:szCs w:val="22"/>
          <w:lang w:val="en-AU"/>
        </w:rPr>
      </w:pPr>
      <w:r w:rsidRPr="00631DD0">
        <w:rPr>
          <w:rFonts w:cs="Arial"/>
          <w:b/>
          <w:szCs w:val="22"/>
          <w:lang w:val="en-AU"/>
        </w:rPr>
        <w:t xml:space="preserve">Main Conclusions: </w:t>
      </w:r>
    </w:p>
    <w:p w:rsidR="00FE61E3" w:rsidRPr="00631DD0" w:rsidRDefault="00FE61E3" w:rsidP="006946F8">
      <w:pPr>
        <w:pStyle w:val="ListParagraph"/>
        <w:spacing w:line="276" w:lineRule="auto"/>
        <w:ind w:left="0"/>
        <w:contextualSpacing w:val="0"/>
        <w:rPr>
          <w:rFonts w:cs="Arial"/>
          <w:szCs w:val="22"/>
          <w:lang w:val="en-AU"/>
        </w:rPr>
      </w:pPr>
      <w:r w:rsidRPr="00631DD0">
        <w:rPr>
          <w:rFonts w:cs="Arial"/>
          <w:szCs w:val="22"/>
        </w:rPr>
        <w:t xml:space="preserve">1. The health system support activities proposed under the </w:t>
      </w:r>
      <w:r w:rsidR="0033505D">
        <w:rPr>
          <w:rFonts w:cs="Arial"/>
          <w:szCs w:val="22"/>
        </w:rPr>
        <w:t>Program</w:t>
      </w:r>
      <w:r w:rsidRPr="00631DD0">
        <w:rPr>
          <w:rFonts w:cs="Arial"/>
          <w:szCs w:val="22"/>
        </w:rPr>
        <w:t xml:space="preserve"> are likely to be worthwhile in the short term if they are targeted carefully to priority needs. Repairing ambulances can be a very efficient use of resources when the health facilities are otherwise capable of delivering services. Filling gaps in critical human resources should be very useful but there are unanswered questions concerning the feasibility of the recruitment and support of Indonesian staff. Other health system building blocks that are not now addressed by other </w:t>
      </w:r>
      <w:r w:rsidR="0033505D">
        <w:rPr>
          <w:rFonts w:cs="Arial"/>
          <w:szCs w:val="22"/>
        </w:rPr>
        <w:t>program</w:t>
      </w:r>
      <w:r w:rsidRPr="00631DD0">
        <w:rPr>
          <w:rFonts w:cs="Arial"/>
          <w:szCs w:val="22"/>
        </w:rPr>
        <w:t>s could also be supported by building capacity, but piecemeal interventions to strengthen weak links in the health system will not improve health outcomes unless they result in capacity to plan, implement, and sustain activities and adapt to changing conditions. There is a tradeoff between applying immediate solutions such as providing badly needed infrastructure, and making investments that take longer and are more costly but are more likely to have a lasting impact.</w:t>
      </w:r>
    </w:p>
    <w:p w:rsidR="00FE61E3" w:rsidRPr="00631DD0" w:rsidRDefault="00FE61E3" w:rsidP="006946F8">
      <w:pPr>
        <w:pStyle w:val="ListParagraph"/>
        <w:spacing w:line="276" w:lineRule="auto"/>
        <w:ind w:left="0"/>
        <w:contextualSpacing w:val="0"/>
        <w:rPr>
          <w:rFonts w:cs="Arial"/>
          <w:szCs w:val="22"/>
        </w:rPr>
      </w:pPr>
      <w:r w:rsidRPr="00631DD0">
        <w:rPr>
          <w:rFonts w:cs="Arial"/>
          <w:szCs w:val="22"/>
        </w:rPr>
        <w:t xml:space="preserve">2. Current government health expenditure is rather low but is not the only factor holding back rapid progress toward health goals. The </w:t>
      </w:r>
      <w:r w:rsidRPr="00631DD0">
        <w:rPr>
          <w:rFonts w:cs="Arial"/>
          <w:bCs/>
          <w:szCs w:val="22"/>
          <w:lang w:val="en-AU"/>
        </w:rPr>
        <w:t>gap between the potential of technical interventions to improve health and actual RMNCH outcomes is due mostly to weak links in the health system.</w:t>
      </w:r>
      <w:r w:rsidRPr="00631DD0">
        <w:rPr>
          <w:rFonts w:cs="Arial"/>
          <w:szCs w:val="22"/>
        </w:rPr>
        <w:t xml:space="preserve"> The critical need for health system improvements to meet the millennium development goal (MDG) targets including those for RMNCH is documented globally and is estimated to cost much more than the technical interventions. </w:t>
      </w:r>
    </w:p>
    <w:p w:rsidR="00FE61E3" w:rsidRPr="00631DD0" w:rsidRDefault="00FE61E3" w:rsidP="006946F8">
      <w:pPr>
        <w:pStyle w:val="ListParagraph"/>
        <w:spacing w:line="276" w:lineRule="auto"/>
        <w:ind w:left="0"/>
        <w:contextualSpacing w:val="0"/>
        <w:rPr>
          <w:rFonts w:cs="Arial"/>
          <w:szCs w:val="22"/>
        </w:rPr>
      </w:pPr>
      <w:r w:rsidRPr="00631DD0">
        <w:rPr>
          <w:rFonts w:cs="Arial"/>
          <w:szCs w:val="22"/>
        </w:rPr>
        <w:t>3. Timor-Leste gets reasonably good results from government health expenditures, although it is difficult to assess this when the health system is in a state of rapid development and needing high capital investment. The efficiency of budget spending also may be limited to an extent by the unavoidably high proportion going to central administrative and technical directorates. Some important health interventions such as water and sanitation may be underfunded but are outside the scope of MoH functions.</w:t>
      </w:r>
    </w:p>
    <w:p w:rsidR="003946F6" w:rsidRDefault="00FE61E3" w:rsidP="004934DF">
      <w:pPr>
        <w:spacing w:line="276" w:lineRule="auto"/>
      </w:pPr>
      <w:r w:rsidRPr="00631DD0">
        <w:rPr>
          <w:rFonts w:cs="Arial"/>
          <w:szCs w:val="22"/>
        </w:rPr>
        <w:t xml:space="preserve">4. Development partners will provide less health financing in coming years than in the past, about $32 million in 2014. When added to the government health budget of $60 million, this raises total public health expenditure to about $82 per capita in the coming years. A needs-based costing of Timor-Leste health facilities determined that by 2014 a basic service </w:t>
      </w:r>
      <w:r w:rsidRPr="00D0414C">
        <w:rPr>
          <w:rFonts w:cs="Arial"/>
          <w:szCs w:val="22"/>
        </w:rPr>
        <w:t>package</w:t>
      </w:r>
      <w:r w:rsidR="0033505D" w:rsidRPr="00D0414C">
        <w:rPr>
          <w:rFonts w:cs="Arial"/>
          <w:szCs w:val="22"/>
        </w:rPr>
        <w:t xml:space="preserve"> (BSP)</w:t>
      </w:r>
      <w:r w:rsidRPr="00D0414C">
        <w:rPr>
          <w:rFonts w:cs="Arial"/>
          <w:szCs w:val="22"/>
        </w:rPr>
        <w:t xml:space="preserve"> would cost $28 per capita (including referral hospitals), rising to $35 as coverage and population increase. While a WHO global estimate for all LMICs should not be taken to represent Timor-Leste's investment needs, costs of accelerated progress to meet the health MDGs could cost an additional $30-$40 per capita for infrastructure, human resources and other system strengthening. Even with relatively high MoH overhead costs, current spending levels of $82 per capita should cover required funding for the BSP, but spending on the investments needed for accelerated progress is likely to fall short of needs. The GoTL has demonstrated the political will to finance both cost-effective technical interventions and HSS interventions while also investing in human and physical capital, but its limited contributions may prevent more rapid progress. The chosen strategy for the new </w:t>
      </w:r>
      <w:r w:rsidR="0033505D" w:rsidRPr="00D0414C">
        <w:rPr>
          <w:rFonts w:cs="Arial"/>
          <w:szCs w:val="22"/>
        </w:rPr>
        <w:t xml:space="preserve">up to </w:t>
      </w:r>
      <w:r w:rsidRPr="00D0414C">
        <w:rPr>
          <w:rFonts w:cs="Arial"/>
          <w:szCs w:val="22"/>
        </w:rPr>
        <w:t xml:space="preserve">A$50 million </w:t>
      </w:r>
      <w:r w:rsidR="00D0414C" w:rsidRPr="00D0414C">
        <w:rPr>
          <w:rFonts w:cs="Arial"/>
          <w:szCs w:val="22"/>
        </w:rPr>
        <w:t>Australian aid</w:t>
      </w:r>
      <w:r w:rsidRPr="00D0414C">
        <w:rPr>
          <w:rFonts w:cs="Arial"/>
          <w:szCs w:val="22"/>
        </w:rPr>
        <w:t xml:space="preserve"> </w:t>
      </w:r>
      <w:r w:rsidR="0033505D" w:rsidRPr="00D0414C">
        <w:rPr>
          <w:rFonts w:cs="Arial"/>
          <w:szCs w:val="22"/>
        </w:rPr>
        <w:t>program</w:t>
      </w:r>
      <w:r w:rsidRPr="00D0414C">
        <w:rPr>
          <w:rFonts w:cs="Arial"/>
          <w:szCs w:val="22"/>
        </w:rPr>
        <w:t xml:space="preserve"> appropriately focuses on investment gaps, and will increase total health</w:t>
      </w:r>
      <w:r w:rsidRPr="00631DD0">
        <w:rPr>
          <w:rFonts w:cs="Arial"/>
          <w:szCs w:val="22"/>
        </w:rPr>
        <w:t xml:space="preserve"> financing by almost $10 per capita.  </w:t>
      </w:r>
      <w:r w:rsidR="003946F6">
        <w:br w:type="page"/>
      </w:r>
    </w:p>
    <w:p w:rsidR="00023FE4" w:rsidRPr="0096160D" w:rsidRDefault="00624D3B" w:rsidP="0096160D">
      <w:pPr>
        <w:pStyle w:val="HRFHeading1Numbered"/>
        <w:ind w:left="360"/>
      </w:pPr>
      <w:bookmarkStart w:id="6" w:name="_Toc373502476"/>
      <w:r w:rsidRPr="0096160D">
        <w:t>Introduction</w:t>
      </w:r>
      <w:bookmarkEnd w:id="6"/>
    </w:p>
    <w:p w:rsidR="008B22DF" w:rsidRPr="00FA66BC" w:rsidRDefault="008B22DF" w:rsidP="00624D3B">
      <w:pPr>
        <w:spacing w:line="276" w:lineRule="auto"/>
        <w:rPr>
          <w:rFonts w:cs="Arial"/>
        </w:rPr>
      </w:pPr>
      <w:r w:rsidRPr="00FA66BC">
        <w:rPr>
          <w:rFonts w:cs="Arial"/>
        </w:rPr>
        <w:t xml:space="preserve">This report is an economic analysis to help </w:t>
      </w:r>
      <w:r w:rsidR="00052C07">
        <w:rPr>
          <w:rFonts w:cs="Arial"/>
        </w:rPr>
        <w:t xml:space="preserve">the </w:t>
      </w:r>
      <w:r w:rsidR="00D0414C">
        <w:rPr>
          <w:rFonts w:cs="Arial"/>
        </w:rPr>
        <w:t>Australian aid</w:t>
      </w:r>
      <w:r w:rsidR="00052C07">
        <w:rPr>
          <w:rFonts w:cs="Arial"/>
        </w:rPr>
        <w:t xml:space="preserve"> </w:t>
      </w:r>
      <w:r w:rsidR="00D0414C">
        <w:rPr>
          <w:rFonts w:cs="Arial"/>
        </w:rPr>
        <w:t>p</w:t>
      </w:r>
      <w:r w:rsidR="00052C07">
        <w:rPr>
          <w:rFonts w:cs="Arial"/>
        </w:rPr>
        <w:t>rogram</w:t>
      </w:r>
      <w:r w:rsidRPr="00FA66BC">
        <w:rPr>
          <w:rFonts w:cs="Arial"/>
        </w:rPr>
        <w:t xml:space="preserve"> complete the project design for the Timor-Leste Health </w:t>
      </w:r>
      <w:r w:rsidR="0033505D">
        <w:rPr>
          <w:rFonts w:cs="Arial"/>
        </w:rPr>
        <w:t>Program</w:t>
      </w:r>
      <w:r w:rsidRPr="00FA66BC">
        <w:rPr>
          <w:rFonts w:cs="Arial"/>
        </w:rPr>
        <w:t xml:space="preserve"> </w:t>
      </w:r>
      <w:r w:rsidRPr="00D0414C">
        <w:rPr>
          <w:rFonts w:cs="Arial"/>
        </w:rPr>
        <w:t xml:space="preserve">2013-2021.  The Scope of Work which was refined based on discussions with </w:t>
      </w:r>
      <w:r w:rsidR="00D0414C" w:rsidRPr="00D0414C">
        <w:rPr>
          <w:rFonts w:cs="Arial"/>
        </w:rPr>
        <w:t>Australian aid</w:t>
      </w:r>
      <w:r w:rsidRPr="00D0414C">
        <w:rPr>
          <w:rFonts w:cs="Arial"/>
        </w:rPr>
        <w:t xml:space="preserve">’s Senior Health Specialist in Timor Leste asked </w:t>
      </w:r>
      <w:r w:rsidR="00333D08" w:rsidRPr="00D0414C">
        <w:rPr>
          <w:rFonts w:cs="Arial"/>
        </w:rPr>
        <w:t xml:space="preserve">the Consultant </w:t>
      </w:r>
      <w:r w:rsidRPr="00D0414C">
        <w:rPr>
          <w:rFonts w:cs="Arial"/>
        </w:rPr>
        <w:t xml:space="preserve">to provide guidance on selecting </w:t>
      </w:r>
      <w:r w:rsidR="0033505D" w:rsidRPr="00D0414C">
        <w:rPr>
          <w:rFonts w:cs="Arial"/>
        </w:rPr>
        <w:t>program</w:t>
      </w:r>
      <w:r w:rsidRPr="00D0414C">
        <w:rPr>
          <w:rFonts w:cs="Arial"/>
        </w:rPr>
        <w:t xml:space="preserve"> components from an economic perspective. It is also meant to be a high-level </w:t>
      </w:r>
      <w:r w:rsidRPr="00D0414C">
        <w:rPr>
          <w:rFonts w:cs="Arial"/>
          <w:lang w:val="en-AU"/>
        </w:rPr>
        <w:t>strategic analysis of the investment operating environment,</w:t>
      </w:r>
      <w:r w:rsidRPr="00D0414C">
        <w:rPr>
          <w:rFonts w:cs="Arial"/>
        </w:rPr>
        <w:t xml:space="preserve"> from the perspective of cost-effectiveness and value-for-money, the aims of the </w:t>
      </w:r>
      <w:r w:rsidR="0033505D" w:rsidRPr="00D0414C">
        <w:rPr>
          <w:rFonts w:cs="Arial"/>
        </w:rPr>
        <w:t>Program</w:t>
      </w:r>
      <w:r w:rsidRPr="00D0414C">
        <w:rPr>
          <w:rFonts w:cs="Arial"/>
        </w:rPr>
        <w:t xml:space="preserve">, poverty alleviation, and the overall effectiveness of the </w:t>
      </w:r>
      <w:r w:rsidR="0033505D" w:rsidRPr="00D0414C">
        <w:rPr>
          <w:rFonts w:cs="Arial"/>
        </w:rPr>
        <w:t>Program</w:t>
      </w:r>
      <w:r w:rsidRPr="00D0414C">
        <w:rPr>
          <w:rFonts w:cs="Arial"/>
        </w:rPr>
        <w:t xml:space="preserve"> in terms of supporting the government in delivering effective and responsive health services.</w:t>
      </w:r>
      <w:r w:rsidRPr="00FA66BC">
        <w:rPr>
          <w:rFonts w:cs="Arial"/>
        </w:rPr>
        <w:t xml:space="preserve"> </w:t>
      </w:r>
    </w:p>
    <w:p w:rsidR="008B22DF" w:rsidRPr="00FA66BC" w:rsidRDefault="008B22DF" w:rsidP="00624D3B">
      <w:pPr>
        <w:spacing w:line="276" w:lineRule="auto"/>
        <w:rPr>
          <w:rFonts w:cs="Arial"/>
        </w:rPr>
      </w:pPr>
      <w:r w:rsidRPr="00FA66BC">
        <w:rPr>
          <w:rFonts w:cs="Arial"/>
        </w:rPr>
        <w:t xml:space="preserve">The </w:t>
      </w:r>
      <w:r w:rsidR="00D0414C">
        <w:rPr>
          <w:rFonts w:cs="Arial"/>
        </w:rPr>
        <w:t>Australian aid</w:t>
      </w:r>
      <w:r w:rsidRPr="00FA66BC">
        <w:rPr>
          <w:rFonts w:cs="Arial"/>
        </w:rPr>
        <w:t xml:space="preserve"> </w:t>
      </w:r>
      <w:r w:rsidR="00710F04">
        <w:rPr>
          <w:szCs w:val="22"/>
        </w:rPr>
        <w:t>Delivery Strategy</w:t>
      </w:r>
      <w:r w:rsidR="00710F04">
        <w:rPr>
          <w:rStyle w:val="FootnoteReference"/>
          <w:szCs w:val="22"/>
        </w:rPr>
        <w:footnoteReference w:id="1"/>
      </w:r>
      <w:r w:rsidRPr="00FA66BC">
        <w:rPr>
          <w:rFonts w:cs="Arial"/>
        </w:rPr>
        <w:t xml:space="preserve"> defines the outcomes of the planned new health program as:  a) households, especially the most vulnerable, increasingly practice behaviours that are conducive to better maternal a</w:t>
      </w:r>
      <w:r w:rsidR="003516A2">
        <w:rPr>
          <w:rFonts w:cs="Arial"/>
        </w:rPr>
        <w:t xml:space="preserve">nd child health and nutrition; </w:t>
      </w:r>
      <w:r w:rsidRPr="00FA66BC">
        <w:rPr>
          <w:rFonts w:cs="Arial"/>
        </w:rPr>
        <w:t xml:space="preserve">b) increased use of reproductive, maternal, newborn and child health services; and c) improved equity and overall population improvement with respect to the previous two outcomes. </w:t>
      </w:r>
    </w:p>
    <w:p w:rsidR="008B22DF" w:rsidRPr="00FA66BC" w:rsidRDefault="008B22DF" w:rsidP="00624D3B">
      <w:pPr>
        <w:spacing w:line="276" w:lineRule="auto"/>
        <w:rPr>
          <w:rFonts w:cs="Arial"/>
        </w:rPr>
      </w:pPr>
      <w:r w:rsidRPr="00FA66BC">
        <w:rPr>
          <w:rFonts w:cs="Arial"/>
        </w:rPr>
        <w:t xml:space="preserve">The original Scoping Note for this assignment (Annex 1) called for an economic analysis that addresses the following questions: </w:t>
      </w:r>
    </w:p>
    <w:p w:rsidR="008B22DF" w:rsidRPr="00FA66BC" w:rsidRDefault="008B22DF" w:rsidP="00624D3B">
      <w:pPr>
        <w:pStyle w:val="ListParagraph"/>
        <w:numPr>
          <w:ilvl w:val="0"/>
          <w:numId w:val="21"/>
        </w:numPr>
        <w:spacing w:line="276" w:lineRule="auto"/>
        <w:contextualSpacing w:val="0"/>
        <w:jc w:val="left"/>
        <w:rPr>
          <w:rFonts w:cs="Arial"/>
          <w:lang w:val="en-AU"/>
        </w:rPr>
      </w:pPr>
      <w:r w:rsidRPr="00FA66BC">
        <w:rPr>
          <w:rFonts w:cs="Arial"/>
          <w:lang w:val="en-AU"/>
        </w:rPr>
        <w:t>What is the existing situation of the ‘market’ for health services in Timor-Leste? In what ways is it succeeding, in what ways is it failing, and why?</w:t>
      </w:r>
    </w:p>
    <w:p w:rsidR="008B22DF" w:rsidRPr="00FA66BC" w:rsidRDefault="008B22DF" w:rsidP="00624D3B">
      <w:pPr>
        <w:pStyle w:val="ListParagraph"/>
        <w:numPr>
          <w:ilvl w:val="0"/>
          <w:numId w:val="21"/>
        </w:numPr>
        <w:spacing w:line="276" w:lineRule="auto"/>
        <w:contextualSpacing w:val="0"/>
        <w:jc w:val="left"/>
        <w:rPr>
          <w:rFonts w:cs="Arial"/>
          <w:lang w:val="en-AU"/>
        </w:rPr>
      </w:pPr>
      <w:r w:rsidRPr="00FA66BC">
        <w:rPr>
          <w:rFonts w:cs="Arial"/>
          <w:lang w:val="en-AU"/>
        </w:rPr>
        <w:t xml:space="preserve">What sorts of interventions are likely to be most effective in the short and long term at improving maternal, child and neo-natal health in Timor-Leste? How would they improve health care access and/or quality in the long-term, or will they only work in the short-term? </w:t>
      </w:r>
      <w:r w:rsidRPr="00FA66BC">
        <w:rPr>
          <w:rFonts w:cs="Arial"/>
        </w:rPr>
        <w:t>(Note: Summarising what is known internationally and in Timor about cost-effectiveness of RMNCH interventions.  Use this information to propose possible prioritisation of RMNCH interventions to meet Timorese health needs.)</w:t>
      </w:r>
    </w:p>
    <w:p w:rsidR="008B22DF" w:rsidRPr="00FA66BC" w:rsidRDefault="008B22DF" w:rsidP="00624D3B">
      <w:pPr>
        <w:pStyle w:val="ListParagraph"/>
        <w:numPr>
          <w:ilvl w:val="0"/>
          <w:numId w:val="21"/>
        </w:numPr>
        <w:spacing w:line="276" w:lineRule="auto"/>
        <w:contextualSpacing w:val="0"/>
        <w:jc w:val="left"/>
        <w:rPr>
          <w:rFonts w:cs="Arial"/>
          <w:lang w:val="en-AU"/>
        </w:rPr>
      </w:pPr>
      <w:r w:rsidRPr="00FA66BC">
        <w:rPr>
          <w:rFonts w:cs="Arial"/>
          <w:lang w:val="en-AU"/>
        </w:rPr>
        <w:t>How could the most effective portfolio of demand-side and supply-side interventions be determined?</w:t>
      </w:r>
    </w:p>
    <w:p w:rsidR="008B22DF" w:rsidRPr="00FA66BC" w:rsidRDefault="008B22DF" w:rsidP="00624D3B">
      <w:pPr>
        <w:pStyle w:val="ListParagraph"/>
        <w:numPr>
          <w:ilvl w:val="0"/>
          <w:numId w:val="21"/>
        </w:numPr>
        <w:spacing w:line="276" w:lineRule="auto"/>
        <w:contextualSpacing w:val="0"/>
        <w:jc w:val="left"/>
        <w:rPr>
          <w:rFonts w:cs="Arial"/>
          <w:lang w:val="en-AU"/>
        </w:rPr>
      </w:pPr>
      <w:r w:rsidRPr="00FA66BC">
        <w:rPr>
          <w:rFonts w:cs="Arial"/>
          <w:lang w:val="en-AU"/>
        </w:rPr>
        <w:t xml:space="preserve">How efficient is current government allocation and expenditure for health?  How could government better use the </w:t>
      </w:r>
      <w:r w:rsidR="009322F3">
        <w:rPr>
          <w:rFonts w:cs="Arial"/>
          <w:lang w:val="en-AU"/>
        </w:rPr>
        <w:t>US</w:t>
      </w:r>
      <w:r w:rsidRPr="00FA66BC">
        <w:rPr>
          <w:rFonts w:cs="Arial"/>
          <w:lang w:val="en-AU"/>
        </w:rPr>
        <w:t>$60 per capita spend to improve maternal and child health outcomes, and how is it currently spent?</w:t>
      </w:r>
    </w:p>
    <w:p w:rsidR="008B22DF" w:rsidRPr="00FA66BC" w:rsidRDefault="008B22DF" w:rsidP="00624D3B">
      <w:pPr>
        <w:pStyle w:val="ListParagraph"/>
        <w:numPr>
          <w:ilvl w:val="0"/>
          <w:numId w:val="21"/>
        </w:numPr>
        <w:spacing w:line="276" w:lineRule="auto"/>
        <w:contextualSpacing w:val="0"/>
        <w:jc w:val="left"/>
        <w:rPr>
          <w:rFonts w:cs="Arial"/>
          <w:lang w:val="en-AU"/>
        </w:rPr>
      </w:pPr>
      <w:r w:rsidRPr="00FA66BC">
        <w:rPr>
          <w:rFonts w:cs="Arial"/>
          <w:lang w:val="en-AU"/>
        </w:rPr>
        <w:t xml:space="preserve">Is current and forecasted government and donor health allocation and expenditure sufficient to meet Ministry of Health 2017 targets?  </w:t>
      </w:r>
    </w:p>
    <w:p w:rsidR="00431257" w:rsidRDefault="008B22DF" w:rsidP="00624D3B">
      <w:pPr>
        <w:spacing w:line="276" w:lineRule="auto"/>
        <w:rPr>
          <w:rFonts w:cs="Arial"/>
        </w:rPr>
      </w:pPr>
      <w:r w:rsidRPr="00FA66BC">
        <w:rPr>
          <w:rFonts w:cs="Arial"/>
        </w:rPr>
        <w:t>The current design strategy focuses on strengthening the Timor-Leste health system by addressing known health system weaknesses</w:t>
      </w:r>
      <w:r w:rsidRPr="00FA66BC">
        <w:rPr>
          <w:rFonts w:cs="Arial"/>
          <w:vertAlign w:val="superscript"/>
        </w:rPr>
        <w:footnoteReference w:id="2"/>
      </w:r>
      <w:r w:rsidRPr="00FA66BC">
        <w:rPr>
          <w:rFonts w:cs="Arial"/>
        </w:rPr>
        <w:t xml:space="preserve">, placing emphasis on supporting service delivery, developing the health workforce, promoting community mobilisation, and improving health sector governance. </w:t>
      </w:r>
      <w:r w:rsidR="001B697B">
        <w:rPr>
          <w:rFonts w:cs="Arial"/>
        </w:rPr>
        <w:t xml:space="preserve"> </w:t>
      </w:r>
      <w:r w:rsidR="001B697B" w:rsidRPr="001B697B">
        <w:rPr>
          <w:rFonts w:cs="Arial"/>
        </w:rPr>
        <w:t>It leaves to a continuing design process the details of how interventions will be designed and implemented.</w:t>
      </w:r>
      <w:r w:rsidR="001B697B">
        <w:rPr>
          <w:rFonts w:cs="Arial"/>
        </w:rPr>
        <w:t xml:space="preserve"> </w:t>
      </w:r>
    </w:p>
    <w:p w:rsidR="008B22DF" w:rsidRDefault="00EB28B4" w:rsidP="00624D3B">
      <w:pPr>
        <w:spacing w:line="276" w:lineRule="auto"/>
        <w:rPr>
          <w:rFonts w:cs="Arial"/>
        </w:rPr>
      </w:pPr>
      <w:r>
        <w:rPr>
          <w:rFonts w:cs="Arial"/>
        </w:rPr>
        <w:t>C</w:t>
      </w:r>
      <w:r w:rsidR="000C3424">
        <w:rPr>
          <w:rFonts w:cs="Arial"/>
        </w:rPr>
        <w:t>u</w:t>
      </w:r>
      <w:r w:rsidR="00E521A8">
        <w:rPr>
          <w:rFonts w:cs="Arial"/>
        </w:rPr>
        <w:t>rren</w:t>
      </w:r>
      <w:r w:rsidR="0003792C">
        <w:rPr>
          <w:rFonts w:cs="Arial"/>
        </w:rPr>
        <w:t xml:space="preserve">t </w:t>
      </w:r>
      <w:r w:rsidR="000C3424">
        <w:rPr>
          <w:rFonts w:cs="Arial"/>
        </w:rPr>
        <w:t xml:space="preserve">government </w:t>
      </w:r>
      <w:r w:rsidR="0003792C">
        <w:rPr>
          <w:rFonts w:cs="Arial"/>
        </w:rPr>
        <w:t xml:space="preserve">health </w:t>
      </w:r>
      <w:r>
        <w:rPr>
          <w:rFonts w:cs="Arial"/>
        </w:rPr>
        <w:t xml:space="preserve">expenditure </w:t>
      </w:r>
      <w:r w:rsidR="000C3424">
        <w:rPr>
          <w:rFonts w:cs="Arial"/>
        </w:rPr>
        <w:t xml:space="preserve">is </w:t>
      </w:r>
      <w:r w:rsidRPr="000C3424">
        <w:rPr>
          <w:rFonts w:cs="Arial"/>
          <w:lang w:bidi="ar-SA"/>
        </w:rPr>
        <w:t xml:space="preserve">lower than </w:t>
      </w:r>
      <w:r>
        <w:rPr>
          <w:rFonts w:cs="Arial"/>
          <w:lang w:bidi="ar-SA"/>
        </w:rPr>
        <w:t>some</w:t>
      </w:r>
      <w:r w:rsidRPr="000C3424">
        <w:rPr>
          <w:rFonts w:cs="Arial"/>
          <w:lang w:bidi="ar-SA"/>
        </w:rPr>
        <w:t xml:space="preserve"> comparable countries in the region</w:t>
      </w:r>
      <w:r w:rsidRPr="000C3424">
        <w:rPr>
          <w:rFonts w:cs="Arial"/>
          <w:b/>
          <w:vertAlign w:val="superscript"/>
          <w:lang w:val="en-US"/>
        </w:rPr>
        <w:footnoteReference w:id="3"/>
      </w:r>
      <w:r>
        <w:rPr>
          <w:rFonts w:cs="Arial"/>
        </w:rPr>
        <w:t xml:space="preserve"> but appears</w:t>
      </w:r>
      <w:r w:rsidR="000C3424">
        <w:rPr>
          <w:rFonts w:cs="Arial"/>
        </w:rPr>
        <w:t xml:space="preserve"> adequate for the present infrastructure and human resources. </w:t>
      </w:r>
      <w:r w:rsidR="00431257">
        <w:rPr>
          <w:rFonts w:cs="Arial"/>
        </w:rPr>
        <w:t xml:space="preserve">The new </w:t>
      </w:r>
      <w:r w:rsidR="00D0414C">
        <w:rPr>
          <w:rFonts w:cs="Arial"/>
        </w:rPr>
        <w:t>health</w:t>
      </w:r>
      <w:r w:rsidR="0033505D" w:rsidRPr="00D0414C">
        <w:rPr>
          <w:rFonts w:cs="Arial"/>
        </w:rPr>
        <w:t xml:space="preserve"> program</w:t>
      </w:r>
      <w:r w:rsidR="00D0414C">
        <w:rPr>
          <w:rFonts w:cs="Arial"/>
        </w:rPr>
        <w:t xml:space="preserve"> </w:t>
      </w:r>
      <w:r w:rsidR="00431257" w:rsidRPr="00D0414C">
        <w:rPr>
          <w:rFonts w:cs="Arial"/>
        </w:rPr>
        <w:t>will</w:t>
      </w:r>
      <w:r w:rsidR="00431257">
        <w:rPr>
          <w:rFonts w:cs="Arial"/>
        </w:rPr>
        <w:t xml:space="preserve"> significantly augment government health expenditures. </w:t>
      </w:r>
      <w:r>
        <w:rPr>
          <w:rFonts w:cs="Arial"/>
        </w:rPr>
        <w:t>Rising national income leaves fiscal space for increased health financing,</w:t>
      </w:r>
      <w:r w:rsidR="000C3424">
        <w:rPr>
          <w:rFonts w:cs="Arial"/>
        </w:rPr>
        <w:t xml:space="preserve"> </w:t>
      </w:r>
      <w:r w:rsidR="001F103F">
        <w:rPr>
          <w:rFonts w:cs="Arial"/>
        </w:rPr>
        <w:t xml:space="preserve">but this </w:t>
      </w:r>
      <w:r w:rsidR="0003792C">
        <w:rPr>
          <w:rFonts w:cs="Arial"/>
        </w:rPr>
        <w:t xml:space="preserve">is </w:t>
      </w:r>
      <w:r w:rsidR="001B697B">
        <w:rPr>
          <w:rFonts w:cs="Arial"/>
        </w:rPr>
        <w:t>n</w:t>
      </w:r>
      <w:r w:rsidR="0003792C">
        <w:rPr>
          <w:rFonts w:cs="Arial"/>
        </w:rPr>
        <w:t xml:space="preserve">ot the only factor holding back rapid progress toward health goals. </w:t>
      </w:r>
      <w:r w:rsidR="008B22DF" w:rsidRPr="00FA66BC">
        <w:rPr>
          <w:rFonts w:cs="Arial"/>
        </w:rPr>
        <w:t xml:space="preserve">The basic strategy is to build </w:t>
      </w:r>
      <w:r>
        <w:rPr>
          <w:rFonts w:cs="Arial"/>
        </w:rPr>
        <w:t xml:space="preserve">health system </w:t>
      </w:r>
      <w:r w:rsidR="008B22DF" w:rsidRPr="00FA66BC">
        <w:rPr>
          <w:rFonts w:cs="Arial"/>
        </w:rPr>
        <w:t xml:space="preserve">capacity </w:t>
      </w:r>
      <w:r>
        <w:rPr>
          <w:rFonts w:cs="Arial"/>
        </w:rPr>
        <w:t xml:space="preserve">to deliver effective interventions, </w:t>
      </w:r>
      <w:r w:rsidR="008B22DF" w:rsidRPr="00FA66BC">
        <w:rPr>
          <w:rFonts w:cs="Arial"/>
        </w:rPr>
        <w:t>implement</w:t>
      </w:r>
      <w:r>
        <w:rPr>
          <w:rFonts w:cs="Arial"/>
        </w:rPr>
        <w:t>ing</w:t>
      </w:r>
      <w:r w:rsidR="008B22DF" w:rsidRPr="00FA66BC">
        <w:rPr>
          <w:rFonts w:cs="Arial"/>
        </w:rPr>
        <w:t xml:space="preserve"> as much as possible through existing structures and </w:t>
      </w:r>
      <w:r w:rsidR="0033505D">
        <w:rPr>
          <w:rFonts w:cs="Arial"/>
        </w:rPr>
        <w:t>program</w:t>
      </w:r>
      <w:r w:rsidR="008B22DF" w:rsidRPr="00FA66BC">
        <w:rPr>
          <w:rFonts w:cs="Arial"/>
        </w:rPr>
        <w:t>s that will remain in place over the long run.</w:t>
      </w:r>
    </w:p>
    <w:p w:rsidR="008B22DF" w:rsidRPr="00FA66BC" w:rsidRDefault="008B22DF" w:rsidP="00624D3B">
      <w:pPr>
        <w:spacing w:line="276" w:lineRule="auto"/>
        <w:rPr>
          <w:rFonts w:cs="Arial"/>
        </w:rPr>
      </w:pPr>
      <w:r w:rsidRPr="00FA66BC">
        <w:rPr>
          <w:rFonts w:cs="Arial"/>
        </w:rPr>
        <w:t>The draft Project (Investment) Design (October 2013) focuses on overcoming organi</w:t>
      </w:r>
      <w:r w:rsidR="006827E3">
        <w:rPr>
          <w:rFonts w:cs="Arial"/>
        </w:rPr>
        <w:t>s</w:t>
      </w:r>
      <w:r w:rsidRPr="00FA66BC">
        <w:rPr>
          <w:rFonts w:cs="Arial"/>
        </w:rPr>
        <w:t xml:space="preserve">ational and institutional weaknesses that have hindered past attempts to </w:t>
      </w:r>
      <w:r w:rsidR="00E521A8">
        <w:rPr>
          <w:rFonts w:cs="Arial"/>
        </w:rPr>
        <w:t>implement policies to ensure that increasing resources translate into higher supply and demand for quality health services</w:t>
      </w:r>
      <w:r w:rsidRPr="00FA66BC">
        <w:rPr>
          <w:rFonts w:cs="Arial"/>
        </w:rPr>
        <w:t xml:space="preserve">. The project strategy envisions new and different ways of working with the MoH and other development partners. </w:t>
      </w:r>
    </w:p>
    <w:p w:rsidR="001F2722" w:rsidRPr="001F2722" w:rsidRDefault="001F2722" w:rsidP="00AD246F">
      <w:pPr>
        <w:pStyle w:val="HRFHeading2Numbered"/>
        <w:tabs>
          <w:tab w:val="clear" w:pos="522"/>
          <w:tab w:val="num" w:pos="1152"/>
        </w:tabs>
        <w:ind w:left="567" w:hanging="567"/>
      </w:pPr>
      <w:bookmarkStart w:id="7" w:name="_Toc373502477"/>
      <w:r w:rsidRPr="001F2722">
        <w:t>Research Development and Methods Used</w:t>
      </w:r>
      <w:bookmarkEnd w:id="7"/>
    </w:p>
    <w:p w:rsidR="008B22DF" w:rsidRPr="00FA66BC" w:rsidRDefault="008B22DF" w:rsidP="00624D3B">
      <w:pPr>
        <w:spacing w:line="276" w:lineRule="auto"/>
        <w:rPr>
          <w:rFonts w:cs="Arial"/>
        </w:rPr>
      </w:pPr>
      <w:r w:rsidRPr="00FA66BC">
        <w:rPr>
          <w:rFonts w:cs="Arial"/>
        </w:rPr>
        <w:t xml:space="preserve">After reviewing the Project planning documents provided by </w:t>
      </w:r>
      <w:r w:rsidR="00D0414C">
        <w:rPr>
          <w:rFonts w:cs="Arial"/>
        </w:rPr>
        <w:t>Australian aid</w:t>
      </w:r>
      <w:r w:rsidRPr="00FA66BC">
        <w:rPr>
          <w:rFonts w:cs="Arial"/>
        </w:rPr>
        <w:t xml:space="preserve"> and doing a literature search, an Analytical Plan was sent to </w:t>
      </w:r>
      <w:r w:rsidR="00D0414C">
        <w:rPr>
          <w:rFonts w:cs="Arial"/>
        </w:rPr>
        <w:t>Australian aid</w:t>
      </w:r>
      <w:r w:rsidR="00052C07">
        <w:rPr>
          <w:rFonts w:cs="Arial"/>
        </w:rPr>
        <w:t xml:space="preserve"> </w:t>
      </w:r>
      <w:r w:rsidRPr="00FA66BC">
        <w:rPr>
          <w:rFonts w:cs="Arial"/>
        </w:rPr>
        <w:t xml:space="preserve">on October 23. </w:t>
      </w:r>
      <w:r w:rsidR="00F60144">
        <w:rPr>
          <w:rFonts w:cs="Arial"/>
        </w:rPr>
        <w:t xml:space="preserve">Following submission of the plan it was agreed with </w:t>
      </w:r>
      <w:r w:rsidR="00D0414C">
        <w:rPr>
          <w:rFonts w:cs="Arial"/>
        </w:rPr>
        <w:t>Australian aid</w:t>
      </w:r>
      <w:r w:rsidR="00F60144">
        <w:rPr>
          <w:rFonts w:cs="Arial"/>
        </w:rPr>
        <w:t xml:space="preserve"> Dili that </w:t>
      </w:r>
      <w:r w:rsidRPr="00FA66BC">
        <w:rPr>
          <w:rFonts w:cs="Arial"/>
        </w:rPr>
        <w:t>the report should focus on</w:t>
      </w:r>
      <w:r w:rsidR="00F60144">
        <w:rPr>
          <w:rFonts w:cs="Arial"/>
        </w:rPr>
        <w:t>ly on</w:t>
      </w:r>
      <w:r w:rsidRPr="00FA66BC">
        <w:rPr>
          <w:rFonts w:cs="Arial"/>
        </w:rPr>
        <w:t xml:space="preserve"> Questions 2 and 4. During this period the Consultant was advised to make special reference to the project activities mentioned in a recently prepared (undated) Project Note (Annex 2 describing tentative agreement between </w:t>
      </w:r>
      <w:r w:rsidR="00D0414C">
        <w:rPr>
          <w:rFonts w:cs="Arial"/>
        </w:rPr>
        <w:t>Australian aid</w:t>
      </w:r>
      <w:r w:rsidRPr="00FA66BC">
        <w:rPr>
          <w:rFonts w:cs="Arial"/>
        </w:rPr>
        <w:t xml:space="preserve"> and the MoH. An intensive review of the literature on these priority issues was made, and all available reports from Timor-Leste were also reviewed. A set of supplementary questions was e-mailed to </w:t>
      </w:r>
      <w:r w:rsidR="00D0414C">
        <w:rPr>
          <w:rFonts w:cs="Arial"/>
        </w:rPr>
        <w:t>Australian aid</w:t>
      </w:r>
      <w:r w:rsidRPr="00FA66BC">
        <w:rPr>
          <w:rFonts w:cs="Arial"/>
        </w:rPr>
        <w:t xml:space="preserve"> Dili health staff members. Not all questions were answered in time to be included in this report</w:t>
      </w:r>
      <w:r w:rsidRPr="00FA66BC">
        <w:rPr>
          <w:rFonts w:cs="Arial"/>
          <w:vertAlign w:val="superscript"/>
        </w:rPr>
        <w:footnoteReference w:id="4"/>
      </w:r>
      <w:r w:rsidRPr="00FA66BC">
        <w:rPr>
          <w:rFonts w:cs="Arial"/>
        </w:rPr>
        <w:t xml:space="preserve">.   </w:t>
      </w:r>
    </w:p>
    <w:p w:rsidR="008B22DF" w:rsidRPr="00FA66BC" w:rsidRDefault="008B22DF" w:rsidP="00624D3B">
      <w:pPr>
        <w:spacing w:line="276" w:lineRule="auto"/>
        <w:rPr>
          <w:rFonts w:cs="Arial"/>
        </w:rPr>
      </w:pPr>
      <w:r w:rsidRPr="00FA66BC">
        <w:rPr>
          <w:rFonts w:cs="Arial"/>
        </w:rPr>
        <w:t>The Scoping Note for this assignment refers to reproductive, maternal, newborn, and child health (RMNCH) interventions without specifying whether technical or health system strengthening (HSS) interventions were under consideration, whereas the Project Note and the more recent project design documents concentrate largely on HSS interventions. The initial activities described in the Project Note were selected on the basis of high-level political ownership, potential to show quick results, and likelihood of leading to service improvements by unblocking bottlenecks. Only the last of these criteria is appropriate for economic prioritisation. It was agreed that if cost-benefit analyses could not be done for the proposed interventions, estimates should be made of potential effectiveness.</w:t>
      </w:r>
    </w:p>
    <w:p w:rsidR="008B22DF" w:rsidRDefault="008B22DF" w:rsidP="00AD246F">
      <w:r w:rsidRPr="00FA66BC">
        <w:t xml:space="preserve">Although effectiveness of interventions and effectiveness of budget allocation are nominally different issues, they are closely related. The following analysis connects them by noting that increased spending on health usually does not produce commensurate results due to constraints resulting from health system weaknesses. However, piecemeal interventions to strengthen weak links in the health system will not improve health unless they result in capacity to plan, implement, and sustain activities over the long-term and adapt to changing conditions. There is a </w:t>
      </w:r>
      <w:r w:rsidR="00D0414C" w:rsidRPr="00FA66BC">
        <w:t>trade-off</w:t>
      </w:r>
      <w:r w:rsidRPr="00FA66BC">
        <w:t xml:space="preserve"> between applying immediate solutions such as providing badly needed infrastructure, and making investments that take longer and are more costly but are more likely to have a lasti</w:t>
      </w:r>
      <w:r w:rsidRPr="00AD246F">
        <w:t xml:space="preserve">ng impact. The possibilities for conflict between these needs challenge </w:t>
      </w:r>
      <w:r w:rsidR="00D0414C">
        <w:t>Australian aid</w:t>
      </w:r>
      <w:r w:rsidRPr="00AD246F">
        <w:t xml:space="preserve"> to provide assistance in ways that have both immediate and lasting </w:t>
      </w:r>
      <w:r w:rsidR="00EA66AB" w:rsidRPr="00AD246F">
        <w:t>impacts on RMNCH outcomes</w:t>
      </w:r>
      <w:r w:rsidRPr="00AD246F">
        <w:t>.</w:t>
      </w:r>
    </w:p>
    <w:p w:rsidR="0018281C" w:rsidRPr="00FB6FEC" w:rsidRDefault="00FB6FEC" w:rsidP="00AD246F">
      <w:pPr>
        <w:pStyle w:val="HRFHeading1Numbered"/>
        <w:spacing w:line="276" w:lineRule="auto"/>
        <w:ind w:left="357" w:hanging="357"/>
      </w:pPr>
      <w:bookmarkStart w:id="8" w:name="_Toc373502478"/>
      <w:r w:rsidRPr="00FB6FEC">
        <w:t>What sorts of interventions are likely to be most effective in the short and long term at improving maternal, child and neo-natal health in Timor-Leste? How would they improve health care access and/or quality in the long-term, or will they only work in the short-term?</w:t>
      </w:r>
      <w:bookmarkEnd w:id="8"/>
    </w:p>
    <w:p w:rsidR="008B22DF" w:rsidRPr="008B22DF" w:rsidRDefault="008B22DF" w:rsidP="00624D3B">
      <w:pPr>
        <w:pStyle w:val="HRFHeading2Numbered"/>
      </w:pPr>
      <w:bookmarkStart w:id="9" w:name="_Toc373502479"/>
      <w:r w:rsidRPr="008B22DF">
        <w:t>The importance of balancing investing in health systems and investing in technical health interventions</w:t>
      </w:r>
      <w:bookmarkEnd w:id="9"/>
    </w:p>
    <w:p w:rsidR="008B22DF" w:rsidRDefault="008B22DF" w:rsidP="00624D3B">
      <w:pPr>
        <w:spacing w:line="276" w:lineRule="auto"/>
        <w:rPr>
          <w:bCs/>
        </w:rPr>
      </w:pPr>
      <w:r w:rsidRPr="00FA66BC">
        <w:rPr>
          <w:rFonts w:cs="Arial"/>
        </w:rPr>
        <w:t xml:space="preserve">A relatively small number of health conditions are responsible for most of the burden of avoidable mortality in low and middle income countries, and effective interventions exist to prevent and treat most of these. Scaling up these interventions faces a number of challenges and constraints. </w:t>
      </w:r>
      <w:r w:rsidRPr="00FA66BC">
        <w:rPr>
          <w:rFonts w:cs="Arial"/>
          <w:bCs/>
        </w:rPr>
        <w:t xml:space="preserve">Development agencies have traditionally supported counterparts with resources for the delivery of a single or limited set of evidence-based interventions. Many preventive and primary curative interventions are believed to prevent a large fraction of maternal and child deaths for as little as </w:t>
      </w:r>
      <w:r w:rsidR="009322F3">
        <w:rPr>
          <w:rFonts w:cs="Arial"/>
          <w:bCs/>
        </w:rPr>
        <w:t>US</w:t>
      </w:r>
      <w:r w:rsidRPr="00FA66BC">
        <w:rPr>
          <w:rFonts w:cs="Arial"/>
          <w:bCs/>
        </w:rPr>
        <w:t xml:space="preserve">$10 to </w:t>
      </w:r>
      <w:r w:rsidR="009322F3">
        <w:rPr>
          <w:rFonts w:cs="Arial"/>
          <w:bCs/>
        </w:rPr>
        <w:t>US</w:t>
      </w:r>
      <w:r w:rsidRPr="00FA66BC">
        <w:rPr>
          <w:rFonts w:cs="Arial"/>
          <w:bCs/>
        </w:rPr>
        <w:t xml:space="preserve">$1000 per death averted, but econometric models of health expenditures and indicators find an enormous gap between the degree to which public spending </w:t>
      </w:r>
      <w:r w:rsidRPr="00624D3B">
        <w:rPr>
          <w:rFonts w:cs="Arial"/>
          <w:bCs/>
          <w:i/>
        </w:rPr>
        <w:t>potentially</w:t>
      </w:r>
      <w:r w:rsidRPr="00FA66BC">
        <w:rPr>
          <w:rFonts w:cs="Arial"/>
          <w:bCs/>
        </w:rPr>
        <w:t xml:space="preserve"> improves health status and the </w:t>
      </w:r>
      <w:r w:rsidRPr="00624D3B">
        <w:rPr>
          <w:rFonts w:cs="Arial"/>
          <w:bCs/>
          <w:i/>
        </w:rPr>
        <w:t>actual</w:t>
      </w:r>
      <w:r w:rsidRPr="00FA66BC">
        <w:rPr>
          <w:rFonts w:cs="Arial"/>
          <w:bCs/>
        </w:rPr>
        <w:t xml:space="preserve"> performance.  Cross-national variations in health spending account for only a very small part of differences in health outcomes</w:t>
      </w:r>
      <w:r w:rsidR="00710F04">
        <w:rPr>
          <w:rStyle w:val="FootnoteReference"/>
          <w:rFonts w:cs="Arial"/>
          <w:bCs/>
        </w:rPr>
        <w:footnoteReference w:id="5"/>
      </w:r>
      <w:r w:rsidRPr="00FA66BC">
        <w:rPr>
          <w:rFonts w:cs="Arial"/>
          <w:bCs/>
        </w:rPr>
        <w:t>, with most (95%) of the variation in the infant mortality rate (IMR) and child mortality rate (CMR) due to other factors</w:t>
      </w:r>
      <w:r w:rsidRPr="00FA66BC">
        <w:rPr>
          <w:rFonts w:cs="Arial"/>
          <w:bCs/>
          <w:vertAlign w:val="superscript"/>
        </w:rPr>
        <w:footnoteReference w:id="6"/>
      </w:r>
      <w:r w:rsidRPr="00FA66BC">
        <w:rPr>
          <w:rFonts w:cs="Arial"/>
          <w:bCs/>
        </w:rPr>
        <w:t xml:space="preserve">. </w:t>
      </w:r>
      <w:r w:rsidR="00624D3B" w:rsidRPr="00624D3B">
        <w:rPr>
          <w:bCs/>
        </w:rPr>
        <w:t>In contrast to the high cost-effectiveness of individual interventions</w:t>
      </w:r>
      <w:r w:rsidR="00146FEB">
        <w:rPr>
          <w:bCs/>
        </w:rPr>
        <w:t>,</w:t>
      </w:r>
      <w:r w:rsidR="00F463F5">
        <w:rPr>
          <w:bCs/>
        </w:rPr>
        <w:t xml:space="preserve"> as </w:t>
      </w:r>
      <w:r w:rsidR="00146FEB">
        <w:rPr>
          <w:bCs/>
        </w:rPr>
        <w:t xml:space="preserve">illustrated </w:t>
      </w:r>
      <w:r w:rsidR="00F463F5">
        <w:rPr>
          <w:bCs/>
        </w:rPr>
        <w:t>in Table 1</w:t>
      </w:r>
      <w:r w:rsidR="00146FEB" w:rsidRPr="00146FEB">
        <w:rPr>
          <w:bCs/>
          <w:vertAlign w:val="superscript"/>
        </w:rPr>
        <w:footnoteReference w:id="7"/>
      </w:r>
      <w:r w:rsidR="00624D3B" w:rsidRPr="00624D3B">
        <w:rPr>
          <w:bCs/>
        </w:rPr>
        <w:t xml:space="preserve">, the net effect of total public expenditures on health was found to be very low, in the range of </w:t>
      </w:r>
      <w:r w:rsidR="009322F3">
        <w:rPr>
          <w:rFonts w:cs="Arial"/>
          <w:bCs/>
        </w:rPr>
        <w:t>US</w:t>
      </w:r>
      <w:r w:rsidR="009322F3" w:rsidRPr="00624D3B">
        <w:rPr>
          <w:bCs/>
        </w:rPr>
        <w:t xml:space="preserve"> </w:t>
      </w:r>
      <w:r w:rsidR="00624D3B" w:rsidRPr="00624D3B">
        <w:rPr>
          <w:bCs/>
        </w:rPr>
        <w:t>$50</w:t>
      </w:r>
      <w:r w:rsidR="009322F3">
        <w:rPr>
          <w:bCs/>
        </w:rPr>
        <w:t xml:space="preserve"> </w:t>
      </w:r>
      <w:r w:rsidR="00624D3B" w:rsidRPr="00624D3B">
        <w:rPr>
          <w:bCs/>
        </w:rPr>
        <w:t xml:space="preserve">000 to </w:t>
      </w:r>
      <w:r w:rsidR="009322F3">
        <w:rPr>
          <w:rFonts w:cs="Arial"/>
          <w:bCs/>
        </w:rPr>
        <w:t>US</w:t>
      </w:r>
      <w:r w:rsidR="009322F3" w:rsidRPr="00624D3B">
        <w:rPr>
          <w:bCs/>
        </w:rPr>
        <w:t xml:space="preserve"> </w:t>
      </w:r>
      <w:r w:rsidR="00624D3B" w:rsidRPr="00624D3B">
        <w:rPr>
          <w:bCs/>
        </w:rPr>
        <w:t>$100</w:t>
      </w:r>
      <w:r w:rsidR="009322F3">
        <w:rPr>
          <w:bCs/>
        </w:rPr>
        <w:t xml:space="preserve"> </w:t>
      </w:r>
      <w:r w:rsidR="00624D3B" w:rsidRPr="00624D3B">
        <w:rPr>
          <w:bCs/>
        </w:rPr>
        <w:t>000 per child death prevented.</w:t>
      </w:r>
      <w:r w:rsidR="0027652E">
        <w:rPr>
          <w:bCs/>
        </w:rPr>
        <w:t xml:space="preserve"> </w:t>
      </w:r>
    </w:p>
    <w:p w:rsidR="003863C4" w:rsidRDefault="003863C4" w:rsidP="00624D3B">
      <w:pPr>
        <w:spacing w:line="276" w:lineRule="auto"/>
        <w:rPr>
          <w:bCs/>
        </w:rPr>
      </w:pPr>
    </w:p>
    <w:p w:rsidR="00982D02" w:rsidRPr="003863C4" w:rsidRDefault="003863C4" w:rsidP="003863C4">
      <w:pPr>
        <w:pStyle w:val="Caption"/>
        <w:rPr>
          <w:bCs w:val="0"/>
          <w:sz w:val="22"/>
          <w:szCs w:val="22"/>
        </w:rPr>
      </w:pPr>
      <w:bookmarkStart w:id="10" w:name="_Toc373501345"/>
      <w:r w:rsidRPr="003863C4">
        <w:rPr>
          <w:sz w:val="22"/>
          <w:szCs w:val="22"/>
        </w:rPr>
        <w:t xml:space="preserve">Table </w:t>
      </w:r>
      <w:r w:rsidRPr="003863C4">
        <w:rPr>
          <w:sz w:val="22"/>
          <w:szCs w:val="22"/>
        </w:rPr>
        <w:fldChar w:fldCharType="begin"/>
      </w:r>
      <w:r w:rsidRPr="003863C4">
        <w:rPr>
          <w:sz w:val="22"/>
          <w:szCs w:val="22"/>
        </w:rPr>
        <w:instrText xml:space="preserve"> SEQ Table \* ARABIC </w:instrText>
      </w:r>
      <w:r w:rsidRPr="003863C4">
        <w:rPr>
          <w:sz w:val="22"/>
          <w:szCs w:val="22"/>
        </w:rPr>
        <w:fldChar w:fldCharType="separate"/>
      </w:r>
      <w:r w:rsidR="00B363D8">
        <w:rPr>
          <w:noProof/>
          <w:sz w:val="22"/>
          <w:szCs w:val="22"/>
        </w:rPr>
        <w:t>1</w:t>
      </w:r>
      <w:r w:rsidRPr="003863C4">
        <w:rPr>
          <w:sz w:val="22"/>
          <w:szCs w:val="22"/>
        </w:rPr>
        <w:fldChar w:fldCharType="end"/>
      </w:r>
      <w:r w:rsidRPr="003863C4">
        <w:rPr>
          <w:sz w:val="22"/>
          <w:szCs w:val="22"/>
        </w:rPr>
        <w:t>: "Best Buy" health interventions in South Asia</w:t>
      </w:r>
      <w:bookmarkEnd w:id="10"/>
    </w:p>
    <w:tbl>
      <w:tblPr>
        <w:tblStyle w:val="HRF"/>
        <w:tblW w:w="0" w:type="auto"/>
        <w:tblLook w:val="04A0" w:firstRow="1" w:lastRow="0" w:firstColumn="1" w:lastColumn="0" w:noHBand="0" w:noVBand="1"/>
      </w:tblPr>
      <w:tblGrid>
        <w:gridCol w:w="4261"/>
        <w:gridCol w:w="2084"/>
      </w:tblGrid>
      <w:tr w:rsidR="0034107B" w:rsidRPr="0034107B" w:rsidTr="00D041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34107B" w:rsidRPr="00D0414C" w:rsidRDefault="00C94A76" w:rsidP="003863C4">
            <w:pPr>
              <w:spacing w:line="276" w:lineRule="auto"/>
              <w:jc w:val="left"/>
              <w:rPr>
                <w:rFonts w:eastAsiaTheme="minorHAnsi"/>
                <w:b/>
                <w:bCs/>
                <w:szCs w:val="22"/>
              </w:rPr>
            </w:pPr>
            <w:r w:rsidRPr="00D0414C">
              <w:rPr>
                <w:b/>
                <w:bCs/>
                <w:color w:val="auto"/>
              </w:rPr>
              <w:t>Health intervention</w:t>
            </w:r>
          </w:p>
        </w:tc>
        <w:tc>
          <w:tcPr>
            <w:tcW w:w="2084" w:type="dxa"/>
          </w:tcPr>
          <w:p w:rsidR="0034107B" w:rsidRPr="00D0414C" w:rsidRDefault="00C94A76" w:rsidP="003863C4">
            <w:pPr>
              <w:spacing w:line="276" w:lineRule="auto"/>
              <w:jc w:val="left"/>
              <w:cnfStyle w:val="100000000000" w:firstRow="1" w:lastRow="0" w:firstColumn="0" w:lastColumn="0" w:oddVBand="0" w:evenVBand="0" w:oddHBand="0" w:evenHBand="0" w:firstRowFirstColumn="0" w:firstRowLastColumn="0" w:lastRowFirstColumn="0" w:lastRowLastColumn="0"/>
              <w:rPr>
                <w:rFonts w:eastAsiaTheme="minorHAnsi"/>
                <w:b/>
                <w:bCs/>
                <w:szCs w:val="22"/>
              </w:rPr>
            </w:pPr>
            <w:r w:rsidRPr="00D0414C">
              <w:rPr>
                <w:b/>
                <w:bCs/>
                <w:color w:val="auto"/>
              </w:rPr>
              <w:t>Cost (in US$ per DALY averted)</w:t>
            </w:r>
          </w:p>
        </w:tc>
      </w:tr>
      <w:tr w:rsidR="0034107B" w:rsidTr="00D0414C">
        <w:tc>
          <w:tcPr>
            <w:cnfStyle w:val="001000000000" w:firstRow="0" w:lastRow="0" w:firstColumn="1" w:lastColumn="0" w:oddVBand="0" w:evenVBand="0" w:oddHBand="0" w:evenHBand="0" w:firstRowFirstColumn="0" w:firstRowLastColumn="0" w:lastRowFirstColumn="0" w:lastRowLastColumn="0"/>
            <w:tcW w:w="4261" w:type="dxa"/>
          </w:tcPr>
          <w:p w:rsidR="0034107B" w:rsidRDefault="0034107B" w:rsidP="00624D3B">
            <w:pPr>
              <w:spacing w:line="276" w:lineRule="auto"/>
              <w:rPr>
                <w:bCs/>
              </w:rPr>
            </w:pPr>
            <w:r>
              <w:rPr>
                <w:bCs/>
              </w:rPr>
              <w:t>Childhood immunisation</w:t>
            </w:r>
          </w:p>
        </w:tc>
        <w:tc>
          <w:tcPr>
            <w:tcW w:w="2084" w:type="dxa"/>
          </w:tcPr>
          <w:p w:rsidR="0034107B" w:rsidRDefault="0034107B" w:rsidP="00624D3B">
            <w:pPr>
              <w:spacing w:line="276" w:lineRule="auto"/>
              <w:cnfStyle w:val="000000000000" w:firstRow="0" w:lastRow="0" w:firstColumn="0" w:lastColumn="0" w:oddVBand="0" w:evenVBand="0" w:oddHBand="0" w:evenHBand="0" w:firstRowFirstColumn="0" w:firstRowLastColumn="0" w:lastRowFirstColumn="0" w:lastRowLastColumn="0"/>
              <w:rPr>
                <w:bCs/>
              </w:rPr>
            </w:pPr>
            <w:r>
              <w:rPr>
                <w:bCs/>
              </w:rPr>
              <w:t>8</w:t>
            </w:r>
          </w:p>
        </w:tc>
      </w:tr>
      <w:tr w:rsidR="0034107B" w:rsidTr="00D0414C">
        <w:tc>
          <w:tcPr>
            <w:cnfStyle w:val="001000000000" w:firstRow="0" w:lastRow="0" w:firstColumn="1" w:lastColumn="0" w:oddVBand="0" w:evenVBand="0" w:oddHBand="0" w:evenHBand="0" w:firstRowFirstColumn="0" w:firstRowLastColumn="0" w:lastRowFirstColumn="0" w:lastRowLastColumn="0"/>
            <w:tcW w:w="4261" w:type="dxa"/>
          </w:tcPr>
          <w:p w:rsidR="0034107B" w:rsidRDefault="0034107B" w:rsidP="00624D3B">
            <w:pPr>
              <w:spacing w:line="276" w:lineRule="auto"/>
              <w:rPr>
                <w:bCs/>
              </w:rPr>
            </w:pPr>
            <w:r>
              <w:rPr>
                <w:bCs/>
              </w:rPr>
              <w:t>HIV/AIDS prevention</w:t>
            </w:r>
          </w:p>
        </w:tc>
        <w:tc>
          <w:tcPr>
            <w:tcW w:w="2084" w:type="dxa"/>
          </w:tcPr>
          <w:p w:rsidR="0034107B" w:rsidRDefault="0034107B" w:rsidP="00624D3B">
            <w:pPr>
              <w:spacing w:line="276" w:lineRule="auto"/>
              <w:cnfStyle w:val="000000000000" w:firstRow="0" w:lastRow="0" w:firstColumn="0" w:lastColumn="0" w:oddVBand="0" w:evenVBand="0" w:oddHBand="0" w:evenHBand="0" w:firstRowFirstColumn="0" w:firstRowLastColumn="0" w:lastRowFirstColumn="0" w:lastRowLastColumn="0"/>
              <w:rPr>
                <w:bCs/>
              </w:rPr>
            </w:pPr>
            <w:r>
              <w:rPr>
                <w:bCs/>
              </w:rPr>
              <w:t>9-126</w:t>
            </w:r>
          </w:p>
        </w:tc>
      </w:tr>
      <w:tr w:rsidR="0034107B" w:rsidTr="00D0414C">
        <w:tc>
          <w:tcPr>
            <w:cnfStyle w:val="001000000000" w:firstRow="0" w:lastRow="0" w:firstColumn="1" w:lastColumn="0" w:oddVBand="0" w:evenVBand="0" w:oddHBand="0" w:evenHBand="0" w:firstRowFirstColumn="0" w:firstRowLastColumn="0" w:lastRowFirstColumn="0" w:lastRowLastColumn="0"/>
            <w:tcW w:w="4261" w:type="dxa"/>
          </w:tcPr>
          <w:p w:rsidR="0034107B" w:rsidRDefault="0034107B" w:rsidP="00624D3B">
            <w:pPr>
              <w:spacing w:line="276" w:lineRule="auto"/>
              <w:rPr>
                <w:bCs/>
              </w:rPr>
            </w:pPr>
            <w:r>
              <w:rPr>
                <w:bCs/>
              </w:rPr>
              <w:t>Surgical services and emergency care</w:t>
            </w:r>
          </w:p>
        </w:tc>
        <w:tc>
          <w:tcPr>
            <w:tcW w:w="2084" w:type="dxa"/>
          </w:tcPr>
          <w:p w:rsidR="0034107B" w:rsidRDefault="0034107B" w:rsidP="00624D3B">
            <w:pPr>
              <w:spacing w:line="276" w:lineRule="auto"/>
              <w:cnfStyle w:val="000000000000" w:firstRow="0" w:lastRow="0" w:firstColumn="0" w:lastColumn="0" w:oddVBand="0" w:evenVBand="0" w:oddHBand="0" w:evenHBand="0" w:firstRowFirstColumn="0" w:firstRowLastColumn="0" w:lastRowFirstColumn="0" w:lastRowLastColumn="0"/>
              <w:rPr>
                <w:bCs/>
              </w:rPr>
            </w:pPr>
            <w:r>
              <w:rPr>
                <w:bCs/>
              </w:rPr>
              <w:t>6-212</w:t>
            </w:r>
          </w:p>
        </w:tc>
      </w:tr>
      <w:tr w:rsidR="0034107B" w:rsidTr="00D0414C">
        <w:tc>
          <w:tcPr>
            <w:cnfStyle w:val="001000000000" w:firstRow="0" w:lastRow="0" w:firstColumn="1" w:lastColumn="0" w:oddVBand="0" w:evenVBand="0" w:oddHBand="0" w:evenHBand="0" w:firstRowFirstColumn="0" w:firstRowLastColumn="0" w:lastRowFirstColumn="0" w:lastRowLastColumn="0"/>
            <w:tcW w:w="4261" w:type="dxa"/>
          </w:tcPr>
          <w:p w:rsidR="0034107B" w:rsidRDefault="0034107B" w:rsidP="00624D3B">
            <w:pPr>
              <w:spacing w:line="276" w:lineRule="auto"/>
              <w:rPr>
                <w:bCs/>
              </w:rPr>
            </w:pPr>
            <w:r>
              <w:rPr>
                <w:bCs/>
              </w:rPr>
              <w:t>Tuberculosis (prevention and treatment)</w:t>
            </w:r>
          </w:p>
        </w:tc>
        <w:tc>
          <w:tcPr>
            <w:tcW w:w="2084" w:type="dxa"/>
          </w:tcPr>
          <w:p w:rsidR="0034107B" w:rsidRDefault="0034107B" w:rsidP="00624D3B">
            <w:pPr>
              <w:spacing w:line="276" w:lineRule="auto"/>
              <w:cnfStyle w:val="000000000000" w:firstRow="0" w:lastRow="0" w:firstColumn="0" w:lastColumn="0" w:oddVBand="0" w:evenVBand="0" w:oddHBand="0" w:evenHBand="0" w:firstRowFirstColumn="0" w:firstRowLastColumn="0" w:lastRowFirstColumn="0" w:lastRowLastColumn="0"/>
              <w:rPr>
                <w:bCs/>
              </w:rPr>
            </w:pPr>
            <w:r>
              <w:rPr>
                <w:bCs/>
              </w:rPr>
              <w:t>8-263</w:t>
            </w:r>
          </w:p>
        </w:tc>
      </w:tr>
      <w:tr w:rsidR="0034107B" w:rsidTr="00D0414C">
        <w:tc>
          <w:tcPr>
            <w:cnfStyle w:val="001000000000" w:firstRow="0" w:lastRow="0" w:firstColumn="1" w:lastColumn="0" w:oddVBand="0" w:evenVBand="0" w:oddHBand="0" w:evenHBand="0" w:firstRowFirstColumn="0" w:firstRowLastColumn="0" w:lastRowFirstColumn="0" w:lastRowLastColumn="0"/>
            <w:tcW w:w="4261" w:type="dxa"/>
          </w:tcPr>
          <w:p w:rsidR="0034107B" w:rsidRDefault="0034107B" w:rsidP="00624D3B">
            <w:pPr>
              <w:spacing w:line="276" w:lineRule="auto"/>
              <w:rPr>
                <w:bCs/>
              </w:rPr>
            </w:pPr>
            <w:r>
              <w:rPr>
                <w:bCs/>
              </w:rPr>
              <w:t>Management of acute respiratory illness (under 5)</w:t>
            </w:r>
          </w:p>
        </w:tc>
        <w:tc>
          <w:tcPr>
            <w:tcW w:w="2084" w:type="dxa"/>
          </w:tcPr>
          <w:p w:rsidR="0034107B" w:rsidRDefault="0034107B" w:rsidP="00624D3B">
            <w:pPr>
              <w:spacing w:line="276" w:lineRule="auto"/>
              <w:cnfStyle w:val="000000000000" w:firstRow="0" w:lastRow="0" w:firstColumn="0" w:lastColumn="0" w:oddVBand="0" w:evenVBand="0" w:oddHBand="0" w:evenHBand="0" w:firstRowFirstColumn="0" w:firstRowLastColumn="0" w:lastRowFirstColumn="0" w:lastRowLastColumn="0"/>
              <w:rPr>
                <w:bCs/>
              </w:rPr>
            </w:pPr>
            <w:r>
              <w:rPr>
                <w:bCs/>
              </w:rPr>
              <w:t>28-264</w:t>
            </w:r>
          </w:p>
        </w:tc>
      </w:tr>
      <w:tr w:rsidR="0034107B" w:rsidTr="00D0414C">
        <w:tc>
          <w:tcPr>
            <w:cnfStyle w:val="001000000000" w:firstRow="0" w:lastRow="0" w:firstColumn="1" w:lastColumn="0" w:oddVBand="0" w:evenVBand="0" w:oddHBand="0" w:evenHBand="0" w:firstRowFirstColumn="0" w:firstRowLastColumn="0" w:lastRowFirstColumn="0" w:lastRowLastColumn="0"/>
            <w:tcW w:w="4261" w:type="dxa"/>
          </w:tcPr>
          <w:p w:rsidR="0034107B" w:rsidRDefault="0034107B" w:rsidP="00624D3B">
            <w:pPr>
              <w:spacing w:line="276" w:lineRule="auto"/>
              <w:rPr>
                <w:bCs/>
              </w:rPr>
            </w:pPr>
            <w:r>
              <w:rPr>
                <w:bCs/>
              </w:rPr>
              <w:t>Cardiovascular diseases (prevention and management)</w:t>
            </w:r>
          </w:p>
        </w:tc>
        <w:tc>
          <w:tcPr>
            <w:tcW w:w="2084" w:type="dxa"/>
          </w:tcPr>
          <w:p w:rsidR="0034107B" w:rsidRDefault="0034107B" w:rsidP="00624D3B">
            <w:pPr>
              <w:spacing w:line="276" w:lineRule="auto"/>
              <w:cnfStyle w:val="000000000000" w:firstRow="0" w:lastRow="0" w:firstColumn="0" w:lastColumn="0" w:oddVBand="0" w:evenVBand="0" w:oddHBand="0" w:evenHBand="0" w:firstRowFirstColumn="0" w:firstRowLastColumn="0" w:lastRowFirstColumn="0" w:lastRowLastColumn="0"/>
              <w:rPr>
                <w:bCs/>
              </w:rPr>
            </w:pPr>
            <w:r>
              <w:rPr>
                <w:bCs/>
              </w:rPr>
              <w:t>9-304</w:t>
            </w:r>
          </w:p>
        </w:tc>
      </w:tr>
      <w:tr w:rsidR="0034107B" w:rsidTr="00D0414C">
        <w:tc>
          <w:tcPr>
            <w:cnfStyle w:val="001000000000" w:firstRow="0" w:lastRow="0" w:firstColumn="1" w:lastColumn="0" w:oddVBand="0" w:evenVBand="0" w:oddHBand="0" w:evenHBand="0" w:firstRowFirstColumn="0" w:firstRowLastColumn="0" w:lastRowFirstColumn="0" w:lastRowLastColumn="0"/>
            <w:tcW w:w="4261" w:type="dxa"/>
          </w:tcPr>
          <w:p w:rsidR="0034107B" w:rsidRDefault="0034107B" w:rsidP="00624D3B">
            <w:pPr>
              <w:spacing w:line="276" w:lineRule="auto"/>
              <w:rPr>
                <w:bCs/>
              </w:rPr>
            </w:pPr>
            <w:r>
              <w:rPr>
                <w:bCs/>
              </w:rPr>
              <w:t>Tobacco use and addic</w:t>
            </w:r>
            <w:r w:rsidR="00F463F5">
              <w:rPr>
                <w:bCs/>
              </w:rPr>
              <w:t>t</w:t>
            </w:r>
            <w:r>
              <w:rPr>
                <w:bCs/>
              </w:rPr>
              <w:t>ion</w:t>
            </w:r>
          </w:p>
        </w:tc>
        <w:tc>
          <w:tcPr>
            <w:tcW w:w="2084" w:type="dxa"/>
          </w:tcPr>
          <w:p w:rsidR="0034107B" w:rsidRDefault="0034107B" w:rsidP="00624D3B">
            <w:pPr>
              <w:spacing w:line="276" w:lineRule="auto"/>
              <w:cnfStyle w:val="000000000000" w:firstRow="0" w:lastRow="0" w:firstColumn="0" w:lastColumn="0" w:oddVBand="0" w:evenVBand="0" w:oddHBand="0" w:evenHBand="0" w:firstRowFirstColumn="0" w:firstRowLastColumn="0" w:lastRowFirstColumn="0" w:lastRowLastColumn="0"/>
              <w:rPr>
                <w:bCs/>
              </w:rPr>
            </w:pPr>
            <w:r>
              <w:rPr>
                <w:bCs/>
              </w:rPr>
              <w:t>14-374</w:t>
            </w:r>
          </w:p>
        </w:tc>
      </w:tr>
      <w:tr w:rsidR="0034107B" w:rsidTr="00D0414C">
        <w:tc>
          <w:tcPr>
            <w:cnfStyle w:val="001000000000" w:firstRow="0" w:lastRow="0" w:firstColumn="1" w:lastColumn="0" w:oddVBand="0" w:evenVBand="0" w:oddHBand="0" w:evenHBand="0" w:firstRowFirstColumn="0" w:firstRowLastColumn="0" w:lastRowFirstColumn="0" w:lastRowLastColumn="0"/>
            <w:tcW w:w="4261" w:type="dxa"/>
          </w:tcPr>
          <w:p w:rsidR="0034107B" w:rsidRDefault="0034107B" w:rsidP="00624D3B">
            <w:pPr>
              <w:spacing w:line="276" w:lineRule="auto"/>
              <w:rPr>
                <w:bCs/>
              </w:rPr>
            </w:pPr>
            <w:r>
              <w:rPr>
                <w:bCs/>
              </w:rPr>
              <w:t>Maternal and neonatal care</w:t>
            </w:r>
          </w:p>
        </w:tc>
        <w:tc>
          <w:tcPr>
            <w:tcW w:w="2084" w:type="dxa"/>
          </w:tcPr>
          <w:p w:rsidR="0034107B" w:rsidRDefault="0034107B" w:rsidP="00624D3B">
            <w:pPr>
              <w:spacing w:line="276" w:lineRule="auto"/>
              <w:cnfStyle w:val="000000000000" w:firstRow="0" w:lastRow="0" w:firstColumn="0" w:lastColumn="0" w:oddVBand="0" w:evenVBand="0" w:oddHBand="0" w:evenHBand="0" w:firstRowFirstColumn="0" w:firstRowLastColumn="0" w:lastRowFirstColumn="0" w:lastRowLastColumn="0"/>
              <w:rPr>
                <w:bCs/>
              </w:rPr>
            </w:pPr>
            <w:r>
              <w:rPr>
                <w:bCs/>
              </w:rPr>
              <w:t>127-394</w:t>
            </w:r>
          </w:p>
        </w:tc>
      </w:tr>
    </w:tbl>
    <w:p w:rsidR="0034107B" w:rsidRDefault="0034107B" w:rsidP="00624D3B">
      <w:pPr>
        <w:spacing w:line="276" w:lineRule="auto"/>
        <w:rPr>
          <w:bCs/>
        </w:rPr>
      </w:pPr>
    </w:p>
    <w:p w:rsidR="00847741" w:rsidRDefault="008B22DF" w:rsidP="00624D3B">
      <w:pPr>
        <w:spacing w:line="276" w:lineRule="auto"/>
        <w:rPr>
          <w:rFonts w:cs="Arial"/>
        </w:rPr>
      </w:pPr>
      <w:r w:rsidRPr="00FA66BC">
        <w:rPr>
          <w:rFonts w:cs="Arial"/>
          <w:bCs/>
        </w:rPr>
        <w:t xml:space="preserve">Even when health spending is concentrated on primary health care (PHC) and effective services, governments can find it difficult to translate public spending into effective services. </w:t>
      </w:r>
      <w:r w:rsidRPr="00FA66BC">
        <w:rPr>
          <w:rFonts w:cs="Arial"/>
          <w:bCs/>
          <w:lang w:val="en-AU"/>
        </w:rPr>
        <w:t>The large gap between the potential of technical interventions to improve health and actual outcomes is due mostly to weak health systems.</w:t>
      </w:r>
      <w:r w:rsidR="00710F04">
        <w:rPr>
          <w:rFonts w:cs="Arial"/>
          <w:bCs/>
          <w:lang w:val="en-AU"/>
        </w:rPr>
        <w:t xml:space="preserve"> </w:t>
      </w:r>
      <w:r w:rsidRPr="00FA66BC">
        <w:rPr>
          <w:rFonts w:cs="Arial"/>
        </w:rPr>
        <w:t xml:space="preserve">Constraints </w:t>
      </w:r>
      <w:r w:rsidR="001B697B">
        <w:rPr>
          <w:rFonts w:cs="Arial"/>
        </w:rPr>
        <w:t xml:space="preserve">to improving RMNCH outcomes </w:t>
      </w:r>
      <w:r w:rsidRPr="00FA66BC">
        <w:rPr>
          <w:rFonts w:cs="Arial"/>
        </w:rPr>
        <w:t>include systems, processes, incentives and values or norms</w:t>
      </w:r>
      <w:r w:rsidR="00710F04">
        <w:rPr>
          <w:rStyle w:val="FootnoteReference"/>
          <w:rFonts w:cs="Arial"/>
        </w:rPr>
        <w:footnoteReference w:id="8"/>
      </w:r>
      <w:r w:rsidRPr="00FA66BC">
        <w:rPr>
          <w:rFonts w:cs="Arial"/>
        </w:rPr>
        <w:t xml:space="preserve"> </w:t>
      </w:r>
      <w:r w:rsidR="001B697B">
        <w:rPr>
          <w:rFonts w:cs="Arial"/>
        </w:rPr>
        <w:t xml:space="preserve">The </w:t>
      </w:r>
      <w:r w:rsidR="00F60144">
        <w:rPr>
          <w:rFonts w:cs="Arial"/>
        </w:rPr>
        <w:t xml:space="preserve">Timor-Leste </w:t>
      </w:r>
      <w:r w:rsidR="001B697B">
        <w:rPr>
          <w:rFonts w:cs="Arial"/>
        </w:rPr>
        <w:t>Minister of Health recognised</w:t>
      </w:r>
      <w:r w:rsidR="00847741">
        <w:rPr>
          <w:rFonts w:cs="Arial"/>
        </w:rPr>
        <w:t xml:space="preserve"> this need to work on all fronts at the same time in his introduction to the NHSSP:  </w:t>
      </w:r>
    </w:p>
    <w:p w:rsidR="00610965" w:rsidRDefault="00847741" w:rsidP="00D0414C">
      <w:pPr>
        <w:spacing w:line="276" w:lineRule="auto"/>
        <w:ind w:right="-58"/>
        <w:rPr>
          <w:rFonts w:cs="Arial"/>
        </w:rPr>
      </w:pPr>
      <w:r>
        <w:rPr>
          <w:rFonts w:cs="Arial"/>
        </w:rPr>
        <w:t>"</w:t>
      </w:r>
      <w:r w:rsidR="001B697B" w:rsidRPr="001B697B">
        <w:rPr>
          <w:rFonts w:cs="Arial"/>
          <w:lang w:val="en-US"/>
        </w:rPr>
        <w:t>New ways of working are being introduced and greater emphasis is being given to quality in all the Ministry does. More efficient and effective practices are essential and many of our systems and procedures need revision, thus, seeking constant improvement in the Ministry‘s way of working. Further, moving health services forward requires finding alternative ways of funding, ensuring appropriate human resources, supporting improved management practices, developing a proper structure and work process, as well as maintaining the availability of advanced equipment and high technology.</w:t>
      </w:r>
      <w:r>
        <w:rPr>
          <w:rFonts w:cs="Arial"/>
          <w:lang w:val="en-US"/>
        </w:rPr>
        <w:t>"</w:t>
      </w:r>
    </w:p>
    <w:p w:rsidR="00FF5C0D" w:rsidRPr="00710F04" w:rsidRDefault="00F868F1" w:rsidP="00624D3B">
      <w:pPr>
        <w:spacing w:line="276" w:lineRule="auto"/>
        <w:rPr>
          <w:rFonts w:cs="Arial"/>
          <w:bCs/>
          <w:lang w:val="en-AU"/>
        </w:rPr>
      </w:pPr>
      <w:r>
        <w:rPr>
          <w:rFonts w:asciiTheme="minorHAnsi" w:eastAsiaTheme="minorHAnsi" w:hAnsiTheme="minorHAnsi" w:cstheme="minorBidi"/>
          <w:bCs/>
          <w:noProof/>
          <w:szCs w:val="22"/>
          <w:lang w:val="en-AU" w:eastAsia="en-AU" w:bidi="ar-SA"/>
        </w:rPr>
        <mc:AlternateContent>
          <mc:Choice Requires="wps">
            <w:drawing>
              <wp:inline distT="0" distB="0" distL="0" distR="0" wp14:anchorId="0CFE4B2F" wp14:editId="129703FF">
                <wp:extent cx="5262880" cy="2128520"/>
                <wp:effectExtent l="0" t="0" r="0" b="508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880" cy="2128520"/>
                        </a:xfrm>
                        <a:prstGeom prst="rect">
                          <a:avLst/>
                        </a:prstGeom>
                        <a:solidFill>
                          <a:srgbClr val="CDE6FF"/>
                        </a:solidFill>
                        <a:ln w="9525">
                          <a:noFill/>
                          <a:miter lim="800000"/>
                          <a:headEnd/>
                          <a:tailEnd/>
                        </a:ln>
                      </wps:spPr>
                      <wps:txbx>
                        <w:txbxContent>
                          <w:p w:rsidR="00D0414C" w:rsidRPr="00FB6FEC" w:rsidRDefault="00D0414C" w:rsidP="008B22DF">
                            <w:pPr>
                              <w:shd w:val="clear" w:color="auto" w:fill="CDE6FF"/>
                              <w:rPr>
                                <w:b/>
                                <w:bCs/>
                                <w:color w:val="1B3A59"/>
                                <w:szCs w:val="22"/>
                              </w:rPr>
                            </w:pPr>
                            <w:r w:rsidRPr="00FB6FEC">
                              <w:rPr>
                                <w:b/>
                                <w:bCs/>
                                <w:color w:val="1B3A59"/>
                                <w:szCs w:val="22"/>
                              </w:rPr>
                              <w:t xml:space="preserve">Box 1: Is </w:t>
                            </w:r>
                            <w:r>
                              <w:rPr>
                                <w:b/>
                                <w:bCs/>
                                <w:color w:val="1B3A59"/>
                                <w:szCs w:val="22"/>
                              </w:rPr>
                              <w:t>it Health System Strengthening?</w:t>
                            </w:r>
                          </w:p>
                          <w:p w:rsidR="00D0414C" w:rsidRPr="00FB6FEC" w:rsidRDefault="00D0414C" w:rsidP="008B22DF">
                            <w:pPr>
                              <w:shd w:val="clear" w:color="auto" w:fill="CDE6FF"/>
                              <w:rPr>
                                <w:iCs/>
                                <w:sz w:val="20"/>
                                <w:szCs w:val="20"/>
                              </w:rPr>
                            </w:pPr>
                            <w:r w:rsidRPr="00FB6FEC">
                              <w:rPr>
                                <w:iCs/>
                                <w:sz w:val="20"/>
                                <w:szCs w:val="20"/>
                              </w:rPr>
                              <w:t>• Do the interventions have</w:t>
                            </w:r>
                            <w:r>
                              <w:rPr>
                                <w:iCs/>
                                <w:sz w:val="20"/>
                                <w:szCs w:val="20"/>
                              </w:rPr>
                              <w:t xml:space="preserve"> </w:t>
                            </w:r>
                            <w:r w:rsidRPr="00FB6FEC">
                              <w:rPr>
                                <w:iCs/>
                                <w:sz w:val="20"/>
                                <w:szCs w:val="20"/>
                              </w:rPr>
                              <w:t>cross-cutting benefits beyond a single disease?</w:t>
                            </w:r>
                          </w:p>
                          <w:p w:rsidR="00D0414C" w:rsidRPr="00FB6FEC" w:rsidRDefault="00D0414C" w:rsidP="008B22DF">
                            <w:pPr>
                              <w:shd w:val="clear" w:color="auto" w:fill="CDE6FF"/>
                              <w:rPr>
                                <w:iCs/>
                                <w:sz w:val="20"/>
                                <w:szCs w:val="20"/>
                              </w:rPr>
                            </w:pPr>
                            <w:r w:rsidRPr="00FB6FEC">
                              <w:rPr>
                                <w:iCs/>
                                <w:sz w:val="20"/>
                                <w:szCs w:val="20"/>
                              </w:rPr>
                              <w:t>• Do the interventions address policy and organizational constraints or strengthen relationships between the building blocks?</w:t>
                            </w:r>
                          </w:p>
                          <w:p w:rsidR="00D0414C" w:rsidRPr="00FB6FEC" w:rsidRDefault="00D0414C" w:rsidP="008B22DF">
                            <w:pPr>
                              <w:shd w:val="clear" w:color="auto" w:fill="CDE6FF"/>
                              <w:rPr>
                                <w:iCs/>
                                <w:sz w:val="20"/>
                                <w:szCs w:val="20"/>
                              </w:rPr>
                            </w:pPr>
                            <w:r w:rsidRPr="00FB6FEC">
                              <w:rPr>
                                <w:iCs/>
                                <w:sz w:val="20"/>
                                <w:szCs w:val="20"/>
                              </w:rPr>
                              <w:t>• Will the interventions produce permanent systemic impact beyond the term of the project?</w:t>
                            </w:r>
                          </w:p>
                          <w:p w:rsidR="00D0414C" w:rsidRDefault="00D0414C" w:rsidP="008B22DF">
                            <w:pPr>
                              <w:shd w:val="clear" w:color="auto" w:fill="CDE6FF"/>
                              <w:rPr>
                                <w:iCs/>
                                <w:sz w:val="20"/>
                                <w:szCs w:val="20"/>
                              </w:rPr>
                            </w:pPr>
                            <w:r w:rsidRPr="00FB6FEC">
                              <w:rPr>
                                <w:iCs/>
                                <w:sz w:val="20"/>
                                <w:szCs w:val="20"/>
                              </w:rPr>
                              <w:t>• Are the interventions tailored to country-specific constraints and opportunities, with clearly defined roles for country institutions?</w:t>
                            </w:r>
                          </w:p>
                          <w:p w:rsidR="00D0414C" w:rsidRPr="009322F3" w:rsidRDefault="00D0414C" w:rsidP="008B22DF">
                            <w:pPr>
                              <w:shd w:val="clear" w:color="auto" w:fill="CDE6FF"/>
                              <w:rPr>
                                <w:iCs/>
                                <w:sz w:val="20"/>
                                <w:szCs w:val="20"/>
                              </w:rPr>
                            </w:pPr>
                            <w:r w:rsidRPr="009322F3">
                              <w:rPr>
                                <w:iCs/>
                                <w:sz w:val="20"/>
                                <w:szCs w:val="20"/>
                              </w:rPr>
                              <w:t xml:space="preserve">Source: </w:t>
                            </w:r>
                            <w:r w:rsidRPr="00D0414C">
                              <w:rPr>
                                <w:sz w:val="20"/>
                                <w:szCs w:val="20"/>
                              </w:rPr>
                              <w:t>Chee, Pielemeier, Lion and Connor (2013) Why differentiating between health system support and health system strengthening is needed, Int</w:t>
                            </w:r>
                            <w:r>
                              <w:rPr>
                                <w:sz w:val="20"/>
                                <w:szCs w:val="20"/>
                              </w:rPr>
                              <w:t>ernational</w:t>
                            </w:r>
                            <w:r w:rsidRPr="00D0414C">
                              <w:rPr>
                                <w:sz w:val="20"/>
                                <w:szCs w:val="20"/>
                              </w:rPr>
                              <w:t xml:space="preserve"> J</w:t>
                            </w:r>
                            <w:r>
                              <w:rPr>
                                <w:sz w:val="20"/>
                                <w:szCs w:val="20"/>
                              </w:rPr>
                              <w:t>ournal of</w:t>
                            </w:r>
                            <w:r w:rsidRPr="00D0414C">
                              <w:rPr>
                                <w:sz w:val="20"/>
                                <w:szCs w:val="20"/>
                              </w:rPr>
                              <w:t xml:space="preserve"> Health Plann</w:t>
                            </w:r>
                            <w:r>
                              <w:rPr>
                                <w:sz w:val="20"/>
                                <w:szCs w:val="20"/>
                              </w:rPr>
                              <w:t>ing</w:t>
                            </w:r>
                            <w:r w:rsidRPr="009322F3">
                              <w:rPr>
                                <w:sz w:val="20"/>
                                <w:szCs w:val="20"/>
                              </w:rPr>
                              <w:t xml:space="preserve"> M</w:t>
                            </w:r>
                            <w:r>
                              <w:rPr>
                                <w:sz w:val="20"/>
                                <w:szCs w:val="20"/>
                              </w:rPr>
                              <w:t>anageme</w:t>
                            </w:r>
                            <w:r w:rsidRPr="009322F3">
                              <w:rPr>
                                <w:sz w:val="20"/>
                                <w:szCs w:val="20"/>
                              </w:rPr>
                              <w:t>nt</w:t>
                            </w:r>
                            <w:r w:rsidRPr="00D0414C">
                              <w:rPr>
                                <w:sz w:val="20"/>
                                <w:szCs w:val="20"/>
                              </w:rPr>
                              <w:t>; 28: 85–94</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8" o:spid="_x0000_s1026" type="#_x0000_t202" style="width:414.4pt;height:16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" fillcolor="#cde6ff" stroked="f">
                <v:textbox>
                  <w:txbxContent>
                    <w:p w:rsidR="00D0414C" w:rsidRPr="00FB6FEC" w:rsidRDefault="00D0414C" w:rsidP="008B22DF">
                      <w:pPr>
                        <w:shd w:val="clear" w:color="auto" w:fill="CDE6FF"/>
                        <w:rPr>
                          <w:b/>
                          <w:bCs/>
                          <w:color w:val="1B3A59"/>
                          <w:szCs w:val="22"/>
                        </w:rPr>
                      </w:pPr>
                      <w:r w:rsidRPr="00FB6FEC">
                        <w:rPr>
                          <w:b/>
                          <w:bCs/>
                          <w:color w:val="1B3A59"/>
                          <w:szCs w:val="22"/>
                        </w:rPr>
                        <w:t xml:space="preserve">Box 1: Is </w:t>
                      </w:r>
                      <w:r>
                        <w:rPr>
                          <w:b/>
                          <w:bCs/>
                          <w:color w:val="1B3A59"/>
                          <w:szCs w:val="22"/>
                        </w:rPr>
                        <w:t>it Health System Strengthening?</w:t>
                      </w:r>
                    </w:p>
                    <w:p w:rsidR="00D0414C" w:rsidRPr="00FB6FEC" w:rsidRDefault="00D0414C" w:rsidP="008B22DF">
                      <w:pPr>
                        <w:shd w:val="clear" w:color="auto" w:fill="CDE6FF"/>
                        <w:rPr>
                          <w:iCs/>
                          <w:sz w:val="20"/>
                          <w:szCs w:val="20"/>
                        </w:rPr>
                      </w:pPr>
                      <w:r w:rsidRPr="00FB6FEC">
                        <w:rPr>
                          <w:iCs/>
                          <w:sz w:val="20"/>
                          <w:szCs w:val="20"/>
                        </w:rPr>
                        <w:t>• Do the interventions have</w:t>
                      </w:r>
                      <w:r>
                        <w:rPr>
                          <w:iCs/>
                          <w:sz w:val="20"/>
                          <w:szCs w:val="20"/>
                        </w:rPr>
                        <w:t xml:space="preserve"> </w:t>
                      </w:r>
                      <w:r w:rsidRPr="00FB6FEC">
                        <w:rPr>
                          <w:iCs/>
                          <w:sz w:val="20"/>
                          <w:szCs w:val="20"/>
                        </w:rPr>
                        <w:t>cross-cutting benefits beyond a single disease?</w:t>
                      </w:r>
                    </w:p>
                    <w:p w:rsidR="00D0414C" w:rsidRPr="00FB6FEC" w:rsidRDefault="00D0414C" w:rsidP="008B22DF">
                      <w:pPr>
                        <w:shd w:val="clear" w:color="auto" w:fill="CDE6FF"/>
                        <w:rPr>
                          <w:iCs/>
                          <w:sz w:val="20"/>
                          <w:szCs w:val="20"/>
                        </w:rPr>
                      </w:pPr>
                      <w:r w:rsidRPr="00FB6FEC">
                        <w:rPr>
                          <w:iCs/>
                          <w:sz w:val="20"/>
                          <w:szCs w:val="20"/>
                        </w:rPr>
                        <w:t>• Do the interventions address policy and organizational constraints or strengthen relationships between the building blocks?</w:t>
                      </w:r>
                    </w:p>
                    <w:p w:rsidR="00D0414C" w:rsidRPr="00FB6FEC" w:rsidRDefault="00D0414C" w:rsidP="008B22DF">
                      <w:pPr>
                        <w:shd w:val="clear" w:color="auto" w:fill="CDE6FF"/>
                        <w:rPr>
                          <w:iCs/>
                          <w:sz w:val="20"/>
                          <w:szCs w:val="20"/>
                        </w:rPr>
                      </w:pPr>
                      <w:r w:rsidRPr="00FB6FEC">
                        <w:rPr>
                          <w:iCs/>
                          <w:sz w:val="20"/>
                          <w:szCs w:val="20"/>
                        </w:rPr>
                        <w:t>• Will the interventions produce permanent systemic impact beyond the term of the project?</w:t>
                      </w:r>
                    </w:p>
                    <w:p w:rsidR="00D0414C" w:rsidRDefault="00D0414C" w:rsidP="008B22DF">
                      <w:pPr>
                        <w:shd w:val="clear" w:color="auto" w:fill="CDE6FF"/>
                        <w:rPr>
                          <w:iCs/>
                          <w:sz w:val="20"/>
                          <w:szCs w:val="20"/>
                        </w:rPr>
                      </w:pPr>
                      <w:r w:rsidRPr="00FB6FEC">
                        <w:rPr>
                          <w:iCs/>
                          <w:sz w:val="20"/>
                          <w:szCs w:val="20"/>
                        </w:rPr>
                        <w:t>• Are the interventions tailored to country-specific constraints and opportunities, with clearly defined roles for country institutions?</w:t>
                      </w:r>
                    </w:p>
                    <w:p w:rsidR="00D0414C" w:rsidRPr="009322F3" w:rsidRDefault="00D0414C" w:rsidP="008B22DF">
                      <w:pPr>
                        <w:shd w:val="clear" w:color="auto" w:fill="CDE6FF"/>
                        <w:rPr>
                          <w:iCs/>
                          <w:sz w:val="20"/>
                          <w:szCs w:val="20"/>
                        </w:rPr>
                      </w:pPr>
                      <w:r w:rsidRPr="009322F3">
                        <w:rPr>
                          <w:iCs/>
                          <w:sz w:val="20"/>
                          <w:szCs w:val="20"/>
                        </w:rPr>
                        <w:t xml:space="preserve">Source: </w:t>
                      </w:r>
                      <w:proofErr w:type="spellStart"/>
                      <w:r w:rsidRPr="00D0414C">
                        <w:rPr>
                          <w:sz w:val="20"/>
                          <w:szCs w:val="20"/>
                        </w:rPr>
                        <w:t>Chee</w:t>
                      </w:r>
                      <w:proofErr w:type="spellEnd"/>
                      <w:r w:rsidRPr="00D0414C">
                        <w:rPr>
                          <w:sz w:val="20"/>
                          <w:szCs w:val="20"/>
                        </w:rPr>
                        <w:t xml:space="preserve">, </w:t>
                      </w:r>
                      <w:proofErr w:type="spellStart"/>
                      <w:r w:rsidRPr="00D0414C">
                        <w:rPr>
                          <w:sz w:val="20"/>
                          <w:szCs w:val="20"/>
                        </w:rPr>
                        <w:t>Pielemeier</w:t>
                      </w:r>
                      <w:proofErr w:type="spellEnd"/>
                      <w:r w:rsidRPr="00D0414C">
                        <w:rPr>
                          <w:sz w:val="20"/>
                          <w:szCs w:val="20"/>
                        </w:rPr>
                        <w:t>, Lion and Connor (2013) Why differentiating between health system support and health system strengthening is needed, Int</w:t>
                      </w:r>
                      <w:r>
                        <w:rPr>
                          <w:sz w:val="20"/>
                          <w:szCs w:val="20"/>
                        </w:rPr>
                        <w:t>ernational</w:t>
                      </w:r>
                      <w:r w:rsidRPr="00D0414C">
                        <w:rPr>
                          <w:sz w:val="20"/>
                          <w:szCs w:val="20"/>
                        </w:rPr>
                        <w:t xml:space="preserve"> J</w:t>
                      </w:r>
                      <w:r>
                        <w:rPr>
                          <w:sz w:val="20"/>
                          <w:szCs w:val="20"/>
                        </w:rPr>
                        <w:t>ournal of</w:t>
                      </w:r>
                      <w:r w:rsidRPr="00D0414C">
                        <w:rPr>
                          <w:sz w:val="20"/>
                          <w:szCs w:val="20"/>
                        </w:rPr>
                        <w:t xml:space="preserve"> Health Plann</w:t>
                      </w:r>
                      <w:r>
                        <w:rPr>
                          <w:sz w:val="20"/>
                          <w:szCs w:val="20"/>
                        </w:rPr>
                        <w:t>ing</w:t>
                      </w:r>
                      <w:r w:rsidRPr="009322F3">
                        <w:rPr>
                          <w:sz w:val="20"/>
                          <w:szCs w:val="20"/>
                        </w:rPr>
                        <w:t xml:space="preserve"> M</w:t>
                      </w:r>
                      <w:r>
                        <w:rPr>
                          <w:sz w:val="20"/>
                          <w:szCs w:val="20"/>
                        </w:rPr>
                        <w:t>anageme</w:t>
                      </w:r>
                      <w:r w:rsidRPr="009322F3">
                        <w:rPr>
                          <w:sz w:val="20"/>
                          <w:szCs w:val="20"/>
                        </w:rPr>
                        <w:t>nt</w:t>
                      </w:r>
                      <w:r w:rsidRPr="00D0414C">
                        <w:rPr>
                          <w:sz w:val="20"/>
                          <w:szCs w:val="20"/>
                        </w:rPr>
                        <w:t>; 28: 85–94</w:t>
                      </w:r>
                    </w:p>
                  </w:txbxContent>
                </v:textbox>
                <w10:anchorlock/>
              </v:shape>
            </w:pict>
          </mc:Fallback>
        </mc:AlternateContent>
      </w:r>
    </w:p>
    <w:p w:rsidR="008B22DF" w:rsidRDefault="008B22DF" w:rsidP="00624D3B">
      <w:pPr>
        <w:spacing w:line="276" w:lineRule="auto"/>
      </w:pPr>
      <w:r w:rsidRPr="00FA66BC">
        <w:rPr>
          <w:rFonts w:cs="Arial"/>
          <w:bCs/>
        </w:rPr>
        <w:t>Both s</w:t>
      </w:r>
      <w:r w:rsidRPr="00FA66BC">
        <w:rPr>
          <w:rFonts w:cs="Arial"/>
        </w:rPr>
        <w:t>upport and strengthening of health systems are necessary, with the right balance driven by the country context.</w:t>
      </w:r>
      <w:r w:rsidRPr="00FA66BC">
        <w:rPr>
          <w:rFonts w:cs="Arial"/>
          <w:bCs/>
        </w:rPr>
        <w:t xml:space="preserve"> </w:t>
      </w:r>
      <w:r w:rsidRPr="00FA66BC">
        <w:rPr>
          <w:rFonts w:cs="Arial"/>
          <w:bCs/>
          <w:lang w:val="en-AU"/>
        </w:rPr>
        <w:t xml:space="preserve">Vertical </w:t>
      </w:r>
      <w:r w:rsidR="0033505D">
        <w:rPr>
          <w:rFonts w:cs="Arial"/>
          <w:bCs/>
          <w:lang w:val="en-AU"/>
        </w:rPr>
        <w:t>program</w:t>
      </w:r>
      <w:r w:rsidRPr="00FA66BC">
        <w:rPr>
          <w:rFonts w:cs="Arial"/>
          <w:bCs/>
          <w:lang w:val="en-AU"/>
        </w:rPr>
        <w:t xml:space="preserve">s </w:t>
      </w:r>
      <w:r w:rsidR="00EA66AB">
        <w:rPr>
          <w:rFonts w:cs="Arial"/>
          <w:bCs/>
          <w:lang w:val="en-AU"/>
        </w:rPr>
        <w:t>have been</w:t>
      </w:r>
      <w:r w:rsidRPr="00FA66BC">
        <w:rPr>
          <w:rFonts w:cs="Arial"/>
          <w:bCs/>
          <w:lang w:val="en-AU"/>
        </w:rPr>
        <w:t xml:space="preserve"> seen as a necessary evil by advocates of 'comprehensive' PHC for reasons including the low value </w:t>
      </w:r>
      <w:r w:rsidR="0064696D">
        <w:rPr>
          <w:rFonts w:cs="Arial"/>
          <w:bCs/>
          <w:lang w:val="en-AU"/>
        </w:rPr>
        <w:t>they usually place on</w:t>
      </w:r>
      <w:r w:rsidRPr="00FA66BC">
        <w:rPr>
          <w:rFonts w:cs="Arial"/>
          <w:bCs/>
        </w:rPr>
        <w:t xml:space="preserve"> community participation and the fragmentation of the health system </w:t>
      </w:r>
      <w:r w:rsidR="0064696D">
        <w:rPr>
          <w:rFonts w:cs="Arial"/>
          <w:bCs/>
        </w:rPr>
        <w:t xml:space="preserve">to </w:t>
      </w:r>
      <w:r w:rsidRPr="00FA66BC">
        <w:rPr>
          <w:rFonts w:cs="Arial"/>
          <w:bCs/>
        </w:rPr>
        <w:t xml:space="preserve">which they are thought to </w:t>
      </w:r>
      <w:r w:rsidR="0064696D">
        <w:rPr>
          <w:rFonts w:cs="Arial"/>
          <w:bCs/>
        </w:rPr>
        <w:t>c</w:t>
      </w:r>
      <w:r w:rsidRPr="00FA66BC">
        <w:rPr>
          <w:rFonts w:cs="Arial"/>
          <w:bCs/>
        </w:rPr>
        <w:t>ontribute</w:t>
      </w:r>
      <w:r w:rsidR="0064696D">
        <w:rPr>
          <w:rFonts w:cs="Arial"/>
          <w:bCs/>
        </w:rPr>
        <w:t>, leading</w:t>
      </w:r>
      <w:r w:rsidRPr="00FA66BC">
        <w:rPr>
          <w:rFonts w:cs="Arial"/>
          <w:bCs/>
        </w:rPr>
        <w:t xml:space="preserve"> to</w:t>
      </w:r>
      <w:r w:rsidR="0064696D">
        <w:rPr>
          <w:rFonts w:cs="Arial"/>
          <w:bCs/>
        </w:rPr>
        <w:t xml:space="preserve"> </w:t>
      </w:r>
      <w:r w:rsidRPr="00FA66BC">
        <w:rPr>
          <w:rFonts w:cs="Arial"/>
          <w:bCs/>
        </w:rPr>
        <w:t xml:space="preserve">well-funded “empires” which overload managers and hire the best </w:t>
      </w:r>
      <w:r w:rsidR="0064696D">
        <w:rPr>
          <w:rFonts w:cs="Arial"/>
          <w:bCs/>
        </w:rPr>
        <w:t xml:space="preserve">staff away </w:t>
      </w:r>
      <w:r w:rsidRPr="00FA66BC">
        <w:rPr>
          <w:rFonts w:cs="Arial"/>
          <w:bCs/>
        </w:rPr>
        <w:t xml:space="preserve">from government departments. Global </w:t>
      </w:r>
      <w:r w:rsidR="0064696D">
        <w:rPr>
          <w:rFonts w:cs="Arial"/>
          <w:bCs/>
        </w:rPr>
        <w:t>e</w:t>
      </w:r>
      <w:r w:rsidRPr="00FA66BC">
        <w:rPr>
          <w:rFonts w:cs="Arial"/>
          <w:bCs/>
        </w:rPr>
        <w:t xml:space="preserve">fforts to integrate RMNCH interventions and deliver them at community level have been largely successful, even as they coexist with vertical </w:t>
      </w:r>
      <w:r w:rsidR="0033505D">
        <w:rPr>
          <w:rFonts w:cs="Arial"/>
          <w:bCs/>
        </w:rPr>
        <w:t>program</w:t>
      </w:r>
      <w:r w:rsidRPr="00FA66BC">
        <w:rPr>
          <w:rFonts w:cs="Arial"/>
          <w:bCs/>
        </w:rPr>
        <w:t>s.  The WHO Health System Strengthening framework looks across interventions and organi</w:t>
      </w:r>
      <w:r w:rsidR="006827E3">
        <w:rPr>
          <w:rFonts w:cs="Arial"/>
          <w:bCs/>
        </w:rPr>
        <w:t>s</w:t>
      </w:r>
      <w:r w:rsidRPr="00FA66BC">
        <w:rPr>
          <w:rFonts w:cs="Arial"/>
          <w:bCs/>
        </w:rPr>
        <w:t>es the health system into six main building blocks or functions</w:t>
      </w:r>
      <w:r w:rsidRPr="00FA66BC">
        <w:rPr>
          <w:rFonts w:cs="Arial"/>
        </w:rPr>
        <w:t xml:space="preserve">. Supporting the health system can include any activity that improves services by improving efficiency or increase inputs. In contrast, an intervention can be considered to strengthen the health system only if it strategically provides benefits beyond a single disease or intervention, and has, or leads to, </w:t>
      </w:r>
      <w:r w:rsidR="001B697B">
        <w:rPr>
          <w:rFonts w:cs="Arial"/>
        </w:rPr>
        <w:t>sustainable</w:t>
      </w:r>
      <w:r w:rsidR="001B697B" w:rsidRPr="00FA66BC">
        <w:rPr>
          <w:rFonts w:cs="Arial"/>
        </w:rPr>
        <w:t xml:space="preserve"> </w:t>
      </w:r>
      <w:r w:rsidRPr="00FA66BC">
        <w:rPr>
          <w:rFonts w:cs="Arial"/>
        </w:rPr>
        <w:t>improvement (</w:t>
      </w:r>
      <w:r w:rsidR="00710F04">
        <w:t>Box 1</w:t>
      </w:r>
      <w:r w:rsidR="00710F04">
        <w:rPr>
          <w:rStyle w:val="FootnoteReference"/>
          <w:bCs/>
        </w:rPr>
        <w:footnoteReference w:id="9"/>
      </w:r>
      <w:r w:rsidRPr="00FA66BC">
        <w:rPr>
          <w:rFonts w:cs="Arial"/>
        </w:rPr>
        <w:t xml:space="preserve">). A focus on immediate support to providing health services can be justified in a fragile post-conflict environment, whilst identifying priority areas for strengthening over the longer </w:t>
      </w:r>
      <w:r w:rsidRPr="00D0414C">
        <w:rPr>
          <w:rFonts w:cs="Arial"/>
        </w:rPr>
        <w:t>term</w:t>
      </w:r>
      <w:r w:rsidR="0033505D" w:rsidRPr="00D0414C">
        <w:rPr>
          <w:rFonts w:cs="Arial"/>
        </w:rPr>
        <w:t>.</w:t>
      </w:r>
    </w:p>
    <w:p w:rsidR="00FB6FEC" w:rsidRPr="001D1EF9" w:rsidRDefault="00F868F1" w:rsidP="00624D3B">
      <w:pPr>
        <w:spacing w:line="276" w:lineRule="auto"/>
      </w:pPr>
      <w:r>
        <w:rPr>
          <w:bCs/>
          <w:noProof/>
          <w:lang w:val="en-AU" w:eastAsia="en-AU" w:bidi="ar-SA"/>
        </w:rPr>
        <mc:AlternateContent>
          <mc:Choice Requires="wps">
            <w:drawing>
              <wp:inline distT="0" distB="0" distL="0" distR="0" wp14:anchorId="468110C6" wp14:editId="606D4C2D">
                <wp:extent cx="5283835" cy="2398143"/>
                <wp:effectExtent l="0" t="0" r="0" b="25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835" cy="2398143"/>
                        </a:xfrm>
                        <a:prstGeom prst="rect">
                          <a:avLst/>
                        </a:prstGeom>
                        <a:solidFill>
                          <a:srgbClr val="CDE6FF"/>
                        </a:solidFill>
                        <a:ln w="9525">
                          <a:noFill/>
                          <a:miter lim="800000"/>
                          <a:headEnd/>
                          <a:tailEnd/>
                        </a:ln>
                      </wps:spPr>
                      <wps:txbx>
                        <w:txbxContent>
                          <w:p w:rsidR="00D0414C" w:rsidRPr="00FB6FEC" w:rsidRDefault="00D0414C" w:rsidP="00FB6FEC">
                            <w:pPr>
                              <w:rPr>
                                <w:b/>
                                <w:bCs/>
                                <w:color w:val="1B3A59"/>
                                <w:szCs w:val="22"/>
                              </w:rPr>
                            </w:pPr>
                            <w:r w:rsidRPr="00FB6FEC">
                              <w:rPr>
                                <w:b/>
                                <w:bCs/>
                                <w:color w:val="1B3A59"/>
                                <w:szCs w:val="22"/>
                              </w:rPr>
                              <w:t xml:space="preserve">Box 2: </w:t>
                            </w:r>
                            <w:r w:rsidR="00D87298" w:rsidRPr="00D87298">
                              <w:rPr>
                                <w:b/>
                                <w:bCs/>
                                <w:color w:val="1B3A59"/>
                                <w:szCs w:val="22"/>
                              </w:rPr>
                              <w:t>Donor support for HSS before the current focus on health systems</w:t>
                            </w:r>
                          </w:p>
                          <w:p w:rsidR="00D0414C" w:rsidRPr="00FB6FEC" w:rsidRDefault="00D0414C" w:rsidP="00FB6FEC">
                            <w:pPr>
                              <w:spacing w:line="276" w:lineRule="auto"/>
                              <w:rPr>
                                <w:sz w:val="20"/>
                                <w:szCs w:val="20"/>
                              </w:rPr>
                            </w:pPr>
                            <w:r w:rsidRPr="00FB6FEC">
                              <w:rPr>
                                <w:sz w:val="20"/>
                                <w:szCs w:val="20"/>
                              </w:rPr>
                              <w:t xml:space="preserve">The WHO/UNICEF Extended </w:t>
                            </w:r>
                            <w:r>
                              <w:rPr>
                                <w:sz w:val="20"/>
                                <w:szCs w:val="20"/>
                              </w:rPr>
                              <w:t>Program</w:t>
                            </w:r>
                            <w:r w:rsidRPr="00FB6FEC">
                              <w:rPr>
                                <w:sz w:val="20"/>
                                <w:szCs w:val="20"/>
                              </w:rPr>
                              <w:t xml:space="preserve"> of Immunization developed reliable supply chains to reduce vaccine wastage. Family planning logistics and information systems developed as donors recognized the importance of continuous reliable supplies, and this area was reinforced by synergies with HIV/AIDS </w:t>
                            </w:r>
                            <w:r>
                              <w:rPr>
                                <w:sz w:val="20"/>
                                <w:szCs w:val="20"/>
                              </w:rPr>
                              <w:t>program</w:t>
                            </w:r>
                            <w:r w:rsidRPr="00FB6FEC">
                              <w:rPr>
                                <w:sz w:val="20"/>
                                <w:szCs w:val="20"/>
                              </w:rPr>
                              <w:t xml:space="preserve">s.  Essential medicines have been a WHO priority since the 1979 Alma Ata (Health </w:t>
                            </w:r>
                            <w:proofErr w:type="gramStart"/>
                            <w:r w:rsidRPr="00FB6FEC">
                              <w:rPr>
                                <w:sz w:val="20"/>
                                <w:szCs w:val="20"/>
                              </w:rPr>
                              <w:t>For</w:t>
                            </w:r>
                            <w:proofErr w:type="gramEnd"/>
                            <w:r w:rsidRPr="00FB6FEC">
                              <w:rPr>
                                <w:sz w:val="20"/>
                                <w:szCs w:val="20"/>
                              </w:rPr>
                              <w:t xml:space="preserve"> All</w:t>
                            </w:r>
                            <w:r>
                              <w:rPr>
                                <w:sz w:val="20"/>
                                <w:szCs w:val="20"/>
                              </w:rPr>
                              <w:t xml:space="preserve"> by the Year 2000</w:t>
                            </w:r>
                            <w:r w:rsidRPr="00FB6FEC">
                              <w:rPr>
                                <w:sz w:val="20"/>
                                <w:szCs w:val="20"/>
                              </w:rPr>
                              <w:t xml:space="preserve">) meeting. Health financing gained importance as sector reform became a development focus. Priorities for supporting health human resources have shifted but it remains an active WHO area. More recently service delivery strengthening and information systems are now supported by GFATM and GAVI.  Behaviour change communication and community mobilisation (regarded by </w:t>
                            </w:r>
                            <w:r>
                              <w:rPr>
                                <w:sz w:val="20"/>
                                <w:szCs w:val="20"/>
                              </w:rPr>
                              <w:t>Australian aid</w:t>
                            </w:r>
                            <w:r w:rsidRPr="00FB6FEC">
                              <w:rPr>
                                <w:sz w:val="20"/>
                                <w:szCs w:val="20"/>
                              </w:rPr>
                              <w:t xml:space="preserve"> as a seventh building block) are sometimes addressed as components of vertical projects, but strengthening leadership and governance is usually limited to specialized advice on policy and legislation.</w:t>
                            </w:r>
                          </w:p>
                        </w:txbxContent>
                      </wps:txbx>
                      <wps:bodyPr rot="0" vert="horz" wrap="square" lIns="91440" tIns="45720" rIns="91440" bIns="45720" anchor="t" anchorCtr="0" upright="1">
                        <a:noAutofit/>
                      </wps:bodyPr>
                    </wps:wsp>
                  </a:graphicData>
                </a:graphic>
              </wp:inline>
            </w:drawing>
          </mc:Choice>
          <mc:Fallback>
            <w:pict>
              <v:shape id="Text Box 7" o:spid="_x0000_s1027" type="#_x0000_t202" style="width:416.05pt;height:18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" fillcolor="#cde6ff" stroked="f">
                <v:textbox>
                  <w:txbxContent>
                    <w:p w:rsidR="00D0414C" w:rsidRPr="00FB6FEC" w:rsidRDefault="00D0414C" w:rsidP="00FB6FEC">
                      <w:pPr>
                        <w:rPr>
                          <w:b/>
                          <w:bCs/>
                          <w:color w:val="1B3A59"/>
                          <w:szCs w:val="22"/>
                        </w:rPr>
                      </w:pPr>
                      <w:r w:rsidRPr="00FB6FEC">
                        <w:rPr>
                          <w:b/>
                          <w:bCs/>
                          <w:color w:val="1B3A59"/>
                          <w:szCs w:val="22"/>
                        </w:rPr>
                        <w:t xml:space="preserve">Box 2: </w:t>
                      </w:r>
                      <w:r w:rsidR="00D87298" w:rsidRPr="00D87298">
                        <w:rPr>
                          <w:b/>
                          <w:bCs/>
                          <w:color w:val="1B3A59"/>
                          <w:szCs w:val="22"/>
                        </w:rPr>
                        <w:t>Donor support for HSS before the current focus on health systems</w:t>
                      </w:r>
                    </w:p>
                    <w:p w:rsidR="00D0414C" w:rsidRPr="00FB6FEC" w:rsidRDefault="00D0414C" w:rsidP="00FB6FEC">
                      <w:pPr>
                        <w:spacing w:line="276" w:lineRule="auto"/>
                        <w:rPr>
                          <w:sz w:val="20"/>
                          <w:szCs w:val="20"/>
                        </w:rPr>
                      </w:pPr>
                      <w:r w:rsidRPr="00FB6FEC">
                        <w:rPr>
                          <w:sz w:val="20"/>
                          <w:szCs w:val="20"/>
                        </w:rPr>
                        <w:t xml:space="preserve">The WHO/UNICEF Extended </w:t>
                      </w:r>
                      <w:r>
                        <w:rPr>
                          <w:sz w:val="20"/>
                          <w:szCs w:val="20"/>
                        </w:rPr>
                        <w:t>Program</w:t>
                      </w:r>
                      <w:r w:rsidRPr="00FB6FEC">
                        <w:rPr>
                          <w:sz w:val="20"/>
                          <w:szCs w:val="20"/>
                        </w:rPr>
                        <w:t xml:space="preserve"> of Immunization developed reliable supply chains to reduce vaccine wastage. Family planning logistics and information systems developed as donors recognized the importance of continuous reliable supplies, and this area was reinforced by synergies with HIV/AIDS </w:t>
                      </w:r>
                      <w:r>
                        <w:rPr>
                          <w:sz w:val="20"/>
                          <w:szCs w:val="20"/>
                        </w:rPr>
                        <w:t>program</w:t>
                      </w:r>
                      <w:r w:rsidRPr="00FB6FEC">
                        <w:rPr>
                          <w:sz w:val="20"/>
                          <w:szCs w:val="20"/>
                        </w:rPr>
                        <w:t xml:space="preserve">s.  Essential medicines have been a WHO priority since the 1979 Alma Ata (Health </w:t>
                      </w:r>
                      <w:proofErr w:type="gramStart"/>
                      <w:r w:rsidRPr="00FB6FEC">
                        <w:rPr>
                          <w:sz w:val="20"/>
                          <w:szCs w:val="20"/>
                        </w:rPr>
                        <w:t>For</w:t>
                      </w:r>
                      <w:proofErr w:type="gramEnd"/>
                      <w:r w:rsidRPr="00FB6FEC">
                        <w:rPr>
                          <w:sz w:val="20"/>
                          <w:szCs w:val="20"/>
                        </w:rPr>
                        <w:t xml:space="preserve"> All</w:t>
                      </w:r>
                      <w:r>
                        <w:rPr>
                          <w:sz w:val="20"/>
                          <w:szCs w:val="20"/>
                        </w:rPr>
                        <w:t xml:space="preserve"> by the Year 2000</w:t>
                      </w:r>
                      <w:r w:rsidRPr="00FB6FEC">
                        <w:rPr>
                          <w:sz w:val="20"/>
                          <w:szCs w:val="20"/>
                        </w:rPr>
                        <w:t xml:space="preserve">) meeting. Health financing gained importance as sector reform became a development focus. Priorities for supporting health human resources have shifted but it remains an active WHO area. More recently service delivery strengthening and information systems are now supported by GFATM and GAVI.  Behaviour change communication and community mobilisation (regarded by </w:t>
                      </w:r>
                      <w:r>
                        <w:rPr>
                          <w:sz w:val="20"/>
                          <w:szCs w:val="20"/>
                        </w:rPr>
                        <w:t>Australian aid</w:t>
                      </w:r>
                      <w:r w:rsidRPr="00FB6FEC">
                        <w:rPr>
                          <w:sz w:val="20"/>
                          <w:szCs w:val="20"/>
                        </w:rPr>
                        <w:t xml:space="preserve"> as a seventh building block) are sometimes addressed as components of vertical projects, but strengthening leadership and governance is usually limited to specialized advice on policy and legislation.</w:t>
                      </w:r>
                    </w:p>
                  </w:txbxContent>
                </v:textbox>
                <w10:anchorlock/>
              </v:shape>
            </w:pict>
          </mc:Fallback>
        </mc:AlternateContent>
      </w:r>
    </w:p>
    <w:p w:rsidR="00FB6FEC" w:rsidRDefault="00FF5C0D" w:rsidP="00C8305D">
      <w:pPr>
        <w:spacing w:line="276" w:lineRule="auto"/>
        <w:rPr>
          <w:rFonts w:cs="Arial"/>
          <w:b/>
          <w:bCs/>
          <w:sz w:val="20"/>
          <w:szCs w:val="20"/>
        </w:rPr>
      </w:pPr>
      <w:r w:rsidRPr="00FA66BC">
        <w:rPr>
          <w:rFonts w:cs="Arial"/>
        </w:rPr>
        <w:t>Health System Strengthening is also a high priority globally for reaching the Millennium Development Goals (MDGs)</w:t>
      </w:r>
      <w:r w:rsidR="0064696D">
        <w:rPr>
          <w:rFonts w:cs="Arial"/>
        </w:rPr>
        <w:t xml:space="preserve"> by 2015</w:t>
      </w:r>
      <w:r w:rsidRPr="00FA66BC">
        <w:rPr>
          <w:rFonts w:cs="Arial"/>
        </w:rPr>
        <w:t xml:space="preserve">. It was always assumed that governments would </w:t>
      </w:r>
      <w:r w:rsidR="0064696D">
        <w:rPr>
          <w:rFonts w:cs="Arial"/>
        </w:rPr>
        <w:t>have</w:t>
      </w:r>
      <w:r w:rsidRPr="00FA66BC">
        <w:rPr>
          <w:rFonts w:cs="Arial"/>
        </w:rPr>
        <w:t xml:space="preserve"> to increase their sectoral allocations, and also a need for development donors to supplement government health budgets. Much expertise was employed in costing the health MDGs. Total annual incremental costs of meeting MDGs 4, 5, and 6 are in the vicinity of US$40 billion per year globally, or </w:t>
      </w:r>
      <w:r w:rsidR="009322F3">
        <w:rPr>
          <w:rFonts w:cs="Arial"/>
          <w:bCs/>
        </w:rPr>
        <w:t>US</w:t>
      </w:r>
      <w:r w:rsidR="009322F3" w:rsidRPr="00FA66BC">
        <w:rPr>
          <w:rFonts w:cs="Arial"/>
        </w:rPr>
        <w:t xml:space="preserve"> </w:t>
      </w:r>
      <w:r w:rsidRPr="00FA66BC">
        <w:rPr>
          <w:rFonts w:cs="Arial"/>
        </w:rPr>
        <w:t>$25-</w:t>
      </w:r>
      <w:r w:rsidR="009322F3" w:rsidRPr="009322F3">
        <w:rPr>
          <w:rFonts w:cs="Arial"/>
          <w:bCs/>
        </w:rPr>
        <w:t xml:space="preserve"> </w:t>
      </w:r>
      <w:r w:rsidR="009322F3">
        <w:rPr>
          <w:rFonts w:cs="Arial"/>
          <w:bCs/>
        </w:rPr>
        <w:t>US</w:t>
      </w:r>
      <w:r w:rsidR="009322F3" w:rsidRPr="00FA66BC">
        <w:rPr>
          <w:rFonts w:cs="Arial"/>
        </w:rPr>
        <w:t xml:space="preserve"> </w:t>
      </w:r>
      <w:r w:rsidRPr="00FA66BC">
        <w:rPr>
          <w:rFonts w:cs="Arial"/>
        </w:rPr>
        <w:t xml:space="preserve">$30 per capita. Figure 1 and </w:t>
      </w:r>
      <w:r w:rsidR="00920E38">
        <w:rPr>
          <w:rFonts w:cs="Arial"/>
        </w:rPr>
        <w:t>Annex 3</w:t>
      </w:r>
      <w:r w:rsidRPr="00FA66BC">
        <w:rPr>
          <w:rFonts w:cs="Arial"/>
        </w:rPr>
        <w:t xml:space="preserve"> show that nearly 80% of the total </w:t>
      </w:r>
      <w:r w:rsidR="009322F3">
        <w:rPr>
          <w:rFonts w:cs="Arial"/>
          <w:bCs/>
        </w:rPr>
        <w:t>US</w:t>
      </w:r>
      <w:r w:rsidRPr="00FA66BC">
        <w:rPr>
          <w:rFonts w:cs="Arial"/>
        </w:rPr>
        <w:t>$172 billion required until 2015 is needed for strengthening health systems</w:t>
      </w:r>
      <w:r w:rsidR="00622D9F">
        <w:rPr>
          <w:rFonts w:cs="Arial"/>
        </w:rPr>
        <w:t>,</w:t>
      </w:r>
      <w:r w:rsidRPr="00FA66BC">
        <w:rPr>
          <w:rFonts w:cs="Arial"/>
        </w:rPr>
        <w:t xml:space="preserve"> versus 20% for all disease </w:t>
      </w:r>
      <w:r w:rsidR="0033505D">
        <w:rPr>
          <w:rFonts w:cs="Arial"/>
        </w:rPr>
        <w:t>program</w:t>
      </w:r>
      <w:r w:rsidRPr="00FA66BC">
        <w:rPr>
          <w:rFonts w:cs="Arial"/>
        </w:rPr>
        <w:t>s. Infrastructure and human resources have the largest resource needs. The surge in spending to meet infrastructure needs would start to taper off by 2013 while</w:t>
      </w:r>
      <w:r w:rsidR="00FB6FEC">
        <w:t xml:space="preserve"> spending on human resources would </w:t>
      </w:r>
      <w:r w:rsidRPr="00FA66BC">
        <w:rPr>
          <w:rFonts w:cs="Arial"/>
        </w:rPr>
        <w:t>need to keep increasing (see also Annex 3).</w:t>
      </w:r>
    </w:p>
    <w:p w:rsidR="00422449" w:rsidRDefault="00422449">
      <w:pPr>
        <w:spacing w:after="0"/>
        <w:jc w:val="left"/>
        <w:rPr>
          <w:b/>
          <w:bCs/>
          <w:sz w:val="20"/>
          <w:szCs w:val="16"/>
        </w:rPr>
      </w:pPr>
      <w:r>
        <w:br w:type="page"/>
      </w:r>
    </w:p>
    <w:p w:rsidR="00FB6FEC" w:rsidRPr="003863C4" w:rsidRDefault="00773916" w:rsidP="003863C4">
      <w:pPr>
        <w:pStyle w:val="Caption"/>
      </w:pPr>
      <w:r w:rsidRPr="003863C4">
        <w:t>Figure</w:t>
      </w:r>
      <w:r w:rsidR="00FB6FEC" w:rsidRPr="003863C4">
        <w:t xml:space="preserve"> </w:t>
      </w:r>
      <w:r w:rsidR="00C94A76" w:rsidRPr="003863C4">
        <w:fldChar w:fldCharType="begin"/>
      </w:r>
      <w:r w:rsidRPr="003863C4">
        <w:instrText xml:space="preserve"> SEQ Figure \* ARABIC </w:instrText>
      </w:r>
      <w:r w:rsidR="00C94A76" w:rsidRPr="003863C4">
        <w:fldChar w:fldCharType="separate"/>
      </w:r>
      <w:r w:rsidR="00B363D8">
        <w:rPr>
          <w:noProof/>
        </w:rPr>
        <w:t>1</w:t>
      </w:r>
      <w:r w:rsidR="00C94A76" w:rsidRPr="003863C4">
        <w:fldChar w:fldCharType="end"/>
      </w:r>
      <w:r w:rsidR="00FB6FEC" w:rsidRPr="003863C4">
        <w:t>: Incremental Costs per year for MDG 4, 5, 6. (WHO 2010)</w:t>
      </w:r>
      <w:r w:rsidR="00346502" w:rsidRPr="003863C4">
        <w:rPr>
          <w:rStyle w:val="FootnoteReference"/>
          <w:vertAlign w:val="baseline"/>
        </w:rPr>
        <w:footnoteReference w:id="10"/>
      </w:r>
    </w:p>
    <w:p w:rsidR="007141A5" w:rsidRPr="007141A5" w:rsidRDefault="007141A5" w:rsidP="00624D3B">
      <w:pPr>
        <w:spacing w:line="276" w:lineRule="auto"/>
      </w:pPr>
      <w:r>
        <w:rPr>
          <w:noProof/>
          <w:lang w:val="en-AU" w:eastAsia="en-AU" w:bidi="ar-SA"/>
        </w:rPr>
        <w:drawing>
          <wp:inline distT="0" distB="0" distL="0" distR="0" wp14:anchorId="5C1048CA" wp14:editId="77C5638B">
            <wp:extent cx="5847907" cy="3877065"/>
            <wp:effectExtent l="0" t="0" r="635" b="952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srcRect l="10081" t="20413" r="16935" b="19103"/>
                    <a:stretch/>
                  </pic:blipFill>
                  <pic:spPr bwMode="auto">
                    <a:xfrm>
                      <a:off x="0" y="0"/>
                      <a:ext cx="5851389" cy="3879374"/>
                    </a:xfrm>
                    <a:prstGeom prst="rect">
                      <a:avLst/>
                    </a:prstGeom>
                    <a:ln>
                      <a:noFill/>
                    </a:ln>
                    <a:extLst>
                      <a:ext uri="{53640926-AAD7-44D8-BBD7-CCE9431645EC}">
                        <a14:shadowObscured xmlns:a14="http://schemas.microsoft.com/office/drawing/2010/main"/>
                      </a:ext>
                    </a:extLst>
                  </pic:spPr>
                </pic:pic>
              </a:graphicData>
            </a:graphic>
          </wp:inline>
        </w:drawing>
      </w:r>
    </w:p>
    <w:p w:rsidR="00E872C1" w:rsidRPr="00797B8D" w:rsidRDefault="00E872C1" w:rsidP="00624D3B">
      <w:pPr>
        <w:pStyle w:val="HRFHeading2Numbered"/>
      </w:pPr>
      <w:bookmarkStart w:id="11" w:name="_Toc373502480"/>
      <w:r w:rsidRPr="00797B8D">
        <w:t>Priorities in designing for HSS</w:t>
      </w:r>
      <w:bookmarkEnd w:id="11"/>
    </w:p>
    <w:p w:rsidR="000D1C92" w:rsidRDefault="00E872C1" w:rsidP="00C8305D">
      <w:pPr>
        <w:spacing w:line="276" w:lineRule="auto"/>
        <w:rPr>
          <w:b/>
          <w:bCs/>
          <w:sz w:val="20"/>
          <w:szCs w:val="20"/>
        </w:rPr>
      </w:pPr>
      <w:r w:rsidRPr="00FA66BC">
        <w:rPr>
          <w:rFonts w:cs="Arial"/>
          <w:bCs/>
          <w:lang w:val="en-AU"/>
        </w:rPr>
        <w:t>The WHO HSS Building Block framework is usually presented in a way which suggests that all the blocks operate in tandem to improve health system performance (Figure 2). This is certainly true when considering the entire health system, but a different dynamic determines the delivery of health services to users.  At this level the building blocks are more likely represented as a chain of inputs, with the weakest link limiting how much of total resources actually is used (Figure 3). A familiar example of this is when trained health workers who are at post lack medicine and supplies.</w:t>
      </w:r>
      <w:r w:rsidRPr="00FA66BC">
        <w:rPr>
          <w:rFonts w:cs="Arial"/>
        </w:rPr>
        <w:t xml:space="preserve"> </w:t>
      </w:r>
      <w:r w:rsidR="00DA0979">
        <w:rPr>
          <w:rFonts w:cs="Arial"/>
          <w:bCs/>
        </w:rPr>
        <w:t>As highlighted above, t</w:t>
      </w:r>
      <w:r w:rsidR="00C94A76" w:rsidRPr="00D0414C">
        <w:rPr>
          <w:rFonts w:cs="Arial"/>
          <w:bCs/>
        </w:rPr>
        <w:t xml:space="preserve">he NHSSP identifies </w:t>
      </w:r>
      <w:r w:rsidR="00BC1FDD">
        <w:rPr>
          <w:rFonts w:cs="Arial"/>
          <w:bCs/>
        </w:rPr>
        <w:t>a number of</w:t>
      </w:r>
      <w:r w:rsidR="00C94A76" w:rsidRPr="00D0414C">
        <w:rPr>
          <w:rFonts w:cs="Arial"/>
          <w:bCs/>
        </w:rPr>
        <w:t xml:space="preserve"> weak links in the Timorese health system</w:t>
      </w:r>
      <w:r w:rsidR="00D215F8">
        <w:rPr>
          <w:rFonts w:cs="Arial"/>
          <w:bCs/>
        </w:rPr>
        <w:t xml:space="preserve">. Some will be easily remedied at relatively low cost while others will be more difficult and costly. </w:t>
      </w:r>
      <w:r w:rsidR="00CB064E" w:rsidRPr="00CB064E">
        <w:rPr>
          <w:rFonts w:cs="Arial"/>
          <w:bCs/>
          <w:lang w:bidi="ar-SA"/>
        </w:rPr>
        <w:t>The NHSSP</w:t>
      </w:r>
      <w:r w:rsidR="00BC1FDD">
        <w:rPr>
          <w:rFonts w:cs="Arial"/>
          <w:bCs/>
          <w:lang w:bidi="ar-SA"/>
        </w:rPr>
        <w:t xml:space="preserve"> also</w:t>
      </w:r>
      <w:r w:rsidR="00CB064E" w:rsidRPr="00CB064E">
        <w:rPr>
          <w:rFonts w:cs="Arial"/>
          <w:bCs/>
          <w:lang w:bidi="ar-SA"/>
        </w:rPr>
        <w:t xml:space="preserve"> identifies a development time-frame as 'conditioning' (2011-2015), 'consolidation' (2016-2020), 'maturation' (2021-2025), and 'sustainable take-off' (2026-2030). The Australian </w:t>
      </w:r>
      <w:r w:rsidR="00BC1FDD">
        <w:rPr>
          <w:rFonts w:cs="Arial"/>
          <w:bCs/>
          <w:lang w:bidi="ar-SA"/>
        </w:rPr>
        <w:t>a</w:t>
      </w:r>
      <w:r w:rsidR="00CB064E" w:rsidRPr="00CB064E">
        <w:rPr>
          <w:rFonts w:cs="Arial"/>
          <w:bCs/>
          <w:lang w:bidi="ar-SA"/>
        </w:rPr>
        <w:t xml:space="preserve">id program will carry on through only the first part of the second of these phases. </w:t>
      </w:r>
      <w:r w:rsidR="00D215F8">
        <w:rPr>
          <w:rFonts w:cs="Arial"/>
          <w:bCs/>
        </w:rPr>
        <w:t xml:space="preserve">Since not everything can be done at once, the project design </w:t>
      </w:r>
      <w:r w:rsidR="00622D9F">
        <w:rPr>
          <w:rFonts w:cs="Arial"/>
          <w:bCs/>
        </w:rPr>
        <w:t>must</w:t>
      </w:r>
      <w:r w:rsidR="00D215F8">
        <w:rPr>
          <w:rFonts w:cs="Arial"/>
          <w:bCs/>
        </w:rPr>
        <w:t xml:space="preserve"> </w:t>
      </w:r>
      <w:r w:rsidR="00622D9F">
        <w:rPr>
          <w:rFonts w:cs="Arial"/>
          <w:bCs/>
        </w:rPr>
        <w:t xml:space="preserve">balance </w:t>
      </w:r>
      <w:r w:rsidR="00D215F8">
        <w:rPr>
          <w:rFonts w:cs="Arial"/>
          <w:bCs/>
        </w:rPr>
        <w:t xml:space="preserve">cost, time-frame, relative importance, and likelihood of </w:t>
      </w:r>
      <w:r w:rsidR="00622D9F">
        <w:rPr>
          <w:rFonts w:cs="Arial"/>
          <w:bCs/>
        </w:rPr>
        <w:t>achieving the needed short-term and long-term impact</w:t>
      </w:r>
      <w:r w:rsidR="0064696D">
        <w:rPr>
          <w:rFonts w:cs="Arial"/>
          <w:bCs/>
        </w:rPr>
        <w:t>s</w:t>
      </w:r>
      <w:r w:rsidR="00D215F8">
        <w:rPr>
          <w:rFonts w:cs="Arial"/>
          <w:bCs/>
        </w:rPr>
        <w:t xml:space="preserve"> in select</w:t>
      </w:r>
      <w:r w:rsidR="0064696D">
        <w:rPr>
          <w:rFonts w:cs="Arial"/>
          <w:bCs/>
        </w:rPr>
        <w:t>ing</w:t>
      </w:r>
      <w:r w:rsidR="00622D9F">
        <w:rPr>
          <w:rFonts w:cs="Arial"/>
          <w:bCs/>
        </w:rPr>
        <w:t xml:space="preserve"> priority</w:t>
      </w:r>
      <w:r w:rsidR="00D215F8">
        <w:rPr>
          <w:rFonts w:cs="Arial"/>
          <w:bCs/>
        </w:rPr>
        <w:t xml:space="preserve"> activities.</w:t>
      </w:r>
      <w:r w:rsidR="00D215F8">
        <w:rPr>
          <w:sz w:val="20"/>
          <w:szCs w:val="20"/>
        </w:rPr>
        <w:t xml:space="preserve"> </w:t>
      </w:r>
    </w:p>
    <w:p w:rsidR="00422449" w:rsidRDefault="00422449">
      <w:pPr>
        <w:spacing w:after="0"/>
        <w:jc w:val="left"/>
        <w:rPr>
          <w:b/>
          <w:bCs/>
          <w:sz w:val="20"/>
          <w:szCs w:val="20"/>
        </w:rPr>
      </w:pPr>
      <w:r>
        <w:rPr>
          <w:szCs w:val="20"/>
        </w:rPr>
        <w:br w:type="page"/>
      </w:r>
    </w:p>
    <w:p w:rsidR="00840CEF" w:rsidRPr="00840CEF" w:rsidRDefault="00773916" w:rsidP="00624D3B">
      <w:pPr>
        <w:pStyle w:val="Caption"/>
        <w:spacing w:line="276" w:lineRule="auto"/>
        <w:rPr>
          <w:szCs w:val="20"/>
        </w:rPr>
      </w:pPr>
      <w:r>
        <w:rPr>
          <w:szCs w:val="20"/>
        </w:rPr>
        <w:t>Figure</w:t>
      </w:r>
      <w:r w:rsidR="00840CEF" w:rsidRPr="00840CEF">
        <w:rPr>
          <w:szCs w:val="20"/>
        </w:rPr>
        <w:t xml:space="preserve"> </w:t>
      </w:r>
      <w:r w:rsidR="00C94A76">
        <w:rPr>
          <w:szCs w:val="20"/>
        </w:rPr>
        <w:fldChar w:fldCharType="begin"/>
      </w:r>
      <w:r>
        <w:rPr>
          <w:szCs w:val="20"/>
        </w:rPr>
        <w:instrText xml:space="preserve"> SEQ Figure \* ARABIC </w:instrText>
      </w:r>
      <w:r w:rsidR="00C94A76">
        <w:rPr>
          <w:szCs w:val="20"/>
        </w:rPr>
        <w:fldChar w:fldCharType="separate"/>
      </w:r>
      <w:r w:rsidR="00B363D8">
        <w:rPr>
          <w:noProof/>
          <w:szCs w:val="20"/>
        </w:rPr>
        <w:t>2</w:t>
      </w:r>
      <w:r w:rsidR="00C94A76">
        <w:rPr>
          <w:szCs w:val="20"/>
        </w:rPr>
        <w:fldChar w:fldCharType="end"/>
      </w:r>
      <w:r w:rsidR="00840CEF" w:rsidRPr="00840CEF">
        <w:rPr>
          <w:szCs w:val="20"/>
        </w:rPr>
        <w:t>: WHO System Building Blocks</w:t>
      </w:r>
    </w:p>
    <w:p w:rsidR="00FB6FEC" w:rsidRDefault="00C1442C" w:rsidP="00624D3B">
      <w:pPr>
        <w:spacing w:line="276" w:lineRule="auto"/>
      </w:pPr>
      <w:r>
        <w:rPr>
          <w:noProof/>
          <w:lang w:val="en-AU" w:eastAsia="en-AU" w:bidi="ar-SA"/>
        </w:rPr>
        <w:drawing>
          <wp:inline distT="0" distB="0" distL="0" distR="0" wp14:anchorId="6A88B67E" wp14:editId="19CDE84D">
            <wp:extent cx="5039833" cy="2633055"/>
            <wp:effectExtent l="0" t="0" r="889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_health_systems_framework.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47169" cy="2636887"/>
                    </a:xfrm>
                    <a:prstGeom prst="rect">
                      <a:avLst/>
                    </a:prstGeom>
                  </pic:spPr>
                </pic:pic>
              </a:graphicData>
            </a:graphic>
          </wp:inline>
        </w:drawing>
      </w:r>
    </w:p>
    <w:p w:rsidR="004E3B24" w:rsidRDefault="004E3B24" w:rsidP="00624D3B">
      <w:pPr>
        <w:spacing w:line="276" w:lineRule="auto"/>
      </w:pPr>
    </w:p>
    <w:p w:rsidR="004E3B24" w:rsidRPr="00773916" w:rsidRDefault="00773916" w:rsidP="00624D3B">
      <w:pPr>
        <w:pStyle w:val="Caption"/>
        <w:spacing w:line="276" w:lineRule="auto"/>
        <w:rPr>
          <w:szCs w:val="20"/>
        </w:rPr>
      </w:pPr>
      <w:r w:rsidRPr="00773916">
        <w:rPr>
          <w:szCs w:val="20"/>
        </w:rPr>
        <w:t xml:space="preserve">Figure </w:t>
      </w:r>
      <w:r w:rsidR="00C94A76" w:rsidRPr="00773916">
        <w:rPr>
          <w:szCs w:val="20"/>
        </w:rPr>
        <w:fldChar w:fldCharType="begin"/>
      </w:r>
      <w:r w:rsidRPr="00773916">
        <w:rPr>
          <w:szCs w:val="20"/>
        </w:rPr>
        <w:instrText xml:space="preserve"> SEQ Figure \* ARABIC </w:instrText>
      </w:r>
      <w:r w:rsidR="00C94A76" w:rsidRPr="00773916">
        <w:rPr>
          <w:szCs w:val="20"/>
        </w:rPr>
        <w:fldChar w:fldCharType="separate"/>
      </w:r>
      <w:r w:rsidR="00B363D8">
        <w:rPr>
          <w:noProof/>
          <w:szCs w:val="20"/>
        </w:rPr>
        <w:t>3</w:t>
      </w:r>
      <w:r w:rsidR="00C94A76" w:rsidRPr="00773916">
        <w:rPr>
          <w:szCs w:val="20"/>
        </w:rPr>
        <w:fldChar w:fldCharType="end"/>
      </w:r>
      <w:r w:rsidRPr="00773916">
        <w:rPr>
          <w:szCs w:val="20"/>
        </w:rPr>
        <w:t>: Service delivery building blocks operate in a chain</w:t>
      </w:r>
    </w:p>
    <w:p w:rsidR="004E3B24" w:rsidRDefault="004E3B24" w:rsidP="00624D3B">
      <w:pPr>
        <w:spacing w:line="276" w:lineRule="auto"/>
      </w:pPr>
      <w:r>
        <w:rPr>
          <w:noProof/>
          <w:lang w:val="en-AU" w:eastAsia="en-AU" w:bidi="ar-SA"/>
        </w:rPr>
        <w:drawing>
          <wp:inline distT="0" distB="0" distL="0" distR="0" wp14:anchorId="0B55945D" wp14:editId="6D2964B6">
            <wp:extent cx="5229225" cy="3094812"/>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cstate="print"/>
                    <a:srcRect l="28831" t="31363" r="16095" b="27894"/>
                    <a:stretch/>
                  </pic:blipFill>
                  <pic:spPr bwMode="auto">
                    <a:xfrm>
                      <a:off x="0" y="0"/>
                      <a:ext cx="5231776" cy="3096322"/>
                    </a:xfrm>
                    <a:prstGeom prst="rect">
                      <a:avLst/>
                    </a:prstGeom>
                    <a:ln>
                      <a:noFill/>
                    </a:ln>
                    <a:extLst>
                      <a:ext uri="{53640926-AAD7-44D8-BBD7-CCE9431645EC}">
                        <a14:shadowObscured xmlns:a14="http://schemas.microsoft.com/office/drawing/2010/main"/>
                      </a:ext>
                    </a:extLst>
                  </pic:spPr>
                </pic:pic>
              </a:graphicData>
            </a:graphic>
          </wp:inline>
        </w:drawing>
      </w:r>
    </w:p>
    <w:p w:rsidR="0075672E" w:rsidRDefault="0075672E" w:rsidP="00624D3B">
      <w:pPr>
        <w:spacing w:line="276" w:lineRule="auto"/>
      </w:pPr>
    </w:p>
    <w:p w:rsidR="00DA0979" w:rsidRDefault="00797B8D" w:rsidP="00624D3B">
      <w:pPr>
        <w:spacing w:line="276" w:lineRule="auto"/>
        <w:rPr>
          <w:rFonts w:cs="Arial"/>
        </w:rPr>
      </w:pPr>
      <w:r w:rsidRPr="00FA66BC">
        <w:rPr>
          <w:rFonts w:cs="Arial"/>
        </w:rPr>
        <w:t xml:space="preserve">Designing a HSS project can be a 4-step process: </w:t>
      </w:r>
    </w:p>
    <w:p w:rsidR="00610965" w:rsidRDefault="00797B8D" w:rsidP="000B55BB">
      <w:pPr>
        <w:pStyle w:val="ListParagraph"/>
        <w:numPr>
          <w:ilvl w:val="0"/>
          <w:numId w:val="26"/>
        </w:numPr>
        <w:spacing w:line="276" w:lineRule="auto"/>
        <w:rPr>
          <w:rFonts w:cs="Arial"/>
        </w:rPr>
      </w:pPr>
      <w:r w:rsidRPr="003F3DC0">
        <w:rPr>
          <w:rFonts w:cs="Arial"/>
        </w:rPr>
        <w:t>assessing the present state of the systems under consideration and what specifically could be done to strengthen them and remove bottlenecks</w:t>
      </w:r>
    </w:p>
    <w:p w:rsidR="00610965" w:rsidRDefault="00797B8D" w:rsidP="000B55BB">
      <w:pPr>
        <w:pStyle w:val="ListParagraph"/>
        <w:numPr>
          <w:ilvl w:val="0"/>
          <w:numId w:val="26"/>
        </w:numPr>
        <w:spacing w:line="276" w:lineRule="auto"/>
        <w:rPr>
          <w:rFonts w:cs="Arial"/>
        </w:rPr>
      </w:pPr>
      <w:r w:rsidRPr="003F3DC0">
        <w:rPr>
          <w:rFonts w:cs="Arial"/>
        </w:rPr>
        <w:t xml:space="preserve">designing a range of effective </w:t>
      </w:r>
      <w:r w:rsidR="0033505D">
        <w:rPr>
          <w:rFonts w:cs="Arial"/>
        </w:rPr>
        <w:t>program</w:t>
      </w:r>
      <w:r w:rsidRPr="003F3DC0">
        <w:rPr>
          <w:rFonts w:cs="Arial"/>
        </w:rPr>
        <w:t>s and activities that target specific weak areas</w:t>
      </w:r>
    </w:p>
    <w:p w:rsidR="00610965" w:rsidRDefault="00797B8D" w:rsidP="000B55BB">
      <w:pPr>
        <w:pStyle w:val="ListParagraph"/>
        <w:numPr>
          <w:ilvl w:val="0"/>
          <w:numId w:val="26"/>
        </w:numPr>
        <w:spacing w:line="276" w:lineRule="auto"/>
        <w:rPr>
          <w:rFonts w:cs="Arial"/>
        </w:rPr>
      </w:pPr>
      <w:r w:rsidRPr="003F3DC0">
        <w:rPr>
          <w:rFonts w:cs="Arial"/>
        </w:rPr>
        <w:t xml:space="preserve">estimating the resources needed from the host government and the donor agency to carry out the </w:t>
      </w:r>
      <w:r w:rsidR="0033505D">
        <w:rPr>
          <w:rFonts w:cs="Arial"/>
        </w:rPr>
        <w:t>program</w:t>
      </w:r>
    </w:p>
    <w:p w:rsidR="00610965" w:rsidRDefault="00797B8D" w:rsidP="000B55BB">
      <w:pPr>
        <w:pStyle w:val="ListParagraph"/>
        <w:numPr>
          <w:ilvl w:val="0"/>
          <w:numId w:val="26"/>
        </w:numPr>
        <w:spacing w:line="276" w:lineRule="auto"/>
        <w:rPr>
          <w:rFonts w:cs="Arial"/>
        </w:rPr>
      </w:pPr>
      <w:r w:rsidRPr="003F3DC0">
        <w:rPr>
          <w:rFonts w:cs="Arial"/>
        </w:rPr>
        <w:t xml:space="preserve">assessing the relative strengths and weaknesses of activities and their likelihood of succeeding.  </w:t>
      </w:r>
    </w:p>
    <w:p w:rsidR="00797B8D" w:rsidRPr="003F3DC0" w:rsidRDefault="00797B8D" w:rsidP="003F3DC0">
      <w:pPr>
        <w:spacing w:line="276" w:lineRule="auto"/>
        <w:rPr>
          <w:rFonts w:cs="Arial"/>
        </w:rPr>
      </w:pPr>
      <w:r w:rsidRPr="003F3DC0">
        <w:rPr>
          <w:rFonts w:cs="Arial"/>
        </w:rPr>
        <w:t>Literature on health systems strengthening consists of a large number of "toolkits" for assessing health systems and identifying weak links, guides to costing the activities, and "dashboards" to monitor improvement progress. Most of these have been prepared by, or for, development partners who have large stakes in assuring that their tangible inputs are accounted for and not wasted.</w:t>
      </w:r>
    </w:p>
    <w:p w:rsidR="00797B8D" w:rsidRDefault="00622D9F" w:rsidP="00624D3B">
      <w:pPr>
        <w:spacing w:line="276" w:lineRule="auto"/>
      </w:pPr>
      <w:r>
        <w:rPr>
          <w:rFonts w:cs="Arial"/>
        </w:rPr>
        <w:t>T</w:t>
      </w:r>
      <w:r w:rsidR="00797B8D" w:rsidRPr="00FA66BC">
        <w:rPr>
          <w:rFonts w:cs="Arial"/>
        </w:rPr>
        <w:t xml:space="preserve">he scale and therefore the costs of HSS interventions can range from an individual advisor working with a counterpart, to the small industry that employs hundreds of specialists in supply-chain management for HIV/AIDS and </w:t>
      </w:r>
      <w:r w:rsidR="00DA0979">
        <w:rPr>
          <w:rFonts w:cs="Arial"/>
        </w:rPr>
        <w:t>f</w:t>
      </w:r>
      <w:r w:rsidR="00797B8D" w:rsidRPr="00FA66BC">
        <w:rPr>
          <w:rFonts w:cs="Arial"/>
        </w:rPr>
        <w:t xml:space="preserve">amily </w:t>
      </w:r>
      <w:r w:rsidR="00DA0979">
        <w:rPr>
          <w:rFonts w:cs="Arial"/>
        </w:rPr>
        <w:t>p</w:t>
      </w:r>
      <w:r w:rsidR="00797B8D" w:rsidRPr="00FA66BC">
        <w:rPr>
          <w:rFonts w:cs="Arial"/>
        </w:rPr>
        <w:t xml:space="preserve">lanning </w:t>
      </w:r>
      <w:r w:rsidR="0033505D">
        <w:rPr>
          <w:rFonts w:cs="Arial"/>
        </w:rPr>
        <w:t>program</w:t>
      </w:r>
      <w:r w:rsidR="00797B8D" w:rsidRPr="00FA66BC">
        <w:rPr>
          <w:rFonts w:cs="Arial"/>
        </w:rPr>
        <w:t xml:space="preserve">s. </w:t>
      </w:r>
      <w:r w:rsidR="0064696D" w:rsidRPr="00FA66BC">
        <w:rPr>
          <w:rFonts w:cs="Arial"/>
        </w:rPr>
        <w:t xml:space="preserve">Guidelines for costing systems interventions are available, such as </w:t>
      </w:r>
      <w:r w:rsidR="0064696D" w:rsidRPr="00890D41">
        <w:t>Johns et al</w:t>
      </w:r>
      <w:r w:rsidR="0064696D">
        <w:rPr>
          <w:rStyle w:val="FootnoteReference"/>
        </w:rPr>
        <w:footnoteReference w:id="11"/>
      </w:r>
      <w:r w:rsidR="0064696D" w:rsidRPr="00FA66BC">
        <w:rPr>
          <w:rFonts w:cs="Arial"/>
        </w:rPr>
        <w:t>.</w:t>
      </w:r>
      <w:r w:rsidR="0064696D">
        <w:rPr>
          <w:rFonts w:cs="Arial"/>
        </w:rPr>
        <w:t xml:space="preserve"> </w:t>
      </w:r>
      <w:r w:rsidR="00797B8D" w:rsidRPr="00FA66BC">
        <w:rPr>
          <w:rFonts w:cs="Arial"/>
        </w:rPr>
        <w:t xml:space="preserve">Country-specific costs are rarely mentioned because toolkits are intended to be universally applicable. What is sorely </w:t>
      </w:r>
      <w:r w:rsidR="0064696D" w:rsidRPr="00FA66BC">
        <w:rPr>
          <w:rFonts w:cs="Arial"/>
        </w:rPr>
        <w:t>lacking</w:t>
      </w:r>
      <w:r w:rsidR="0064696D">
        <w:rPr>
          <w:rFonts w:cs="Arial"/>
        </w:rPr>
        <w:t xml:space="preserve"> (with the possible exception of the field of supply management</w:t>
      </w:r>
      <w:r w:rsidR="0064696D" w:rsidRPr="00FA66BC">
        <w:rPr>
          <w:rFonts w:cs="Arial"/>
          <w:vertAlign w:val="superscript"/>
        </w:rPr>
        <w:footnoteReference w:id="12"/>
      </w:r>
      <w:r w:rsidR="0064696D">
        <w:rPr>
          <w:rFonts w:cs="Arial"/>
        </w:rPr>
        <w:t xml:space="preserve">) </w:t>
      </w:r>
      <w:r w:rsidR="00797B8D" w:rsidRPr="00FA66BC">
        <w:rPr>
          <w:rFonts w:cs="Arial"/>
        </w:rPr>
        <w:t>is the kind of documentation and systematic review of actual experience that exists for technical interventions and could provide evidence for prioriti</w:t>
      </w:r>
      <w:r w:rsidR="006827E3">
        <w:rPr>
          <w:rFonts w:cs="Arial"/>
        </w:rPr>
        <w:t>s</w:t>
      </w:r>
      <w:r w:rsidR="00797B8D" w:rsidRPr="00FA66BC">
        <w:rPr>
          <w:rFonts w:cs="Arial"/>
        </w:rPr>
        <w:t xml:space="preserve">ing inputs and activities, </w:t>
      </w:r>
      <w:r w:rsidR="0064696D">
        <w:rPr>
          <w:rFonts w:cs="Arial"/>
        </w:rPr>
        <w:t>especially</w:t>
      </w:r>
      <w:r w:rsidR="0064696D" w:rsidRPr="00FA66BC">
        <w:rPr>
          <w:rFonts w:cs="Arial"/>
        </w:rPr>
        <w:t xml:space="preserve"> </w:t>
      </w:r>
      <w:r w:rsidR="00797B8D" w:rsidRPr="00FA66BC">
        <w:rPr>
          <w:rFonts w:cs="Arial"/>
        </w:rPr>
        <w:t xml:space="preserve">indicators that relate inputs and outputs and case studies of individual HSS experiences. Evaluations usually cannot include complex studies that would establish links between activities and health outcomes, and it is entirely possible that an HSS </w:t>
      </w:r>
      <w:r w:rsidR="0033505D">
        <w:rPr>
          <w:rFonts w:cs="Arial"/>
        </w:rPr>
        <w:t>program</w:t>
      </w:r>
      <w:r w:rsidR="00797B8D" w:rsidRPr="00FA66BC">
        <w:rPr>
          <w:rFonts w:cs="Arial"/>
        </w:rPr>
        <w:t xml:space="preserve"> contributes only to strengthening specific aspects of the health system, without any direct linkage to health </w:t>
      </w:r>
      <w:r w:rsidR="00710F04" w:rsidRPr="001D2015">
        <w:t>outcomes</w:t>
      </w:r>
      <w:r w:rsidR="00710F04">
        <w:rPr>
          <w:rStyle w:val="FootnoteReference"/>
        </w:rPr>
        <w:footnoteReference w:id="13"/>
      </w:r>
      <w:r w:rsidR="00797B8D" w:rsidRPr="00FA66BC">
        <w:rPr>
          <w:rFonts w:cs="Arial"/>
        </w:rPr>
        <w:t>. While technical interventions have evidence-based cost-effectiveness and can be compared in terms of DALYs (or the equivalent</w:t>
      </w:r>
      <w:r w:rsidR="00797B8D" w:rsidRPr="00FA66BC">
        <w:rPr>
          <w:rStyle w:val="FootnoteReference"/>
          <w:rFonts w:cs="Arial"/>
        </w:rPr>
        <w:footnoteReference w:id="14"/>
      </w:r>
      <w:r w:rsidR="00797B8D" w:rsidRPr="00FA66BC">
        <w:rPr>
          <w:rFonts w:cs="Arial"/>
        </w:rPr>
        <w:t>), this is not possible for health system interventions</w:t>
      </w:r>
      <w:r w:rsidR="00624D3B">
        <w:rPr>
          <w:rFonts w:cs="Arial"/>
        </w:rPr>
        <w:t xml:space="preserve"> due to lack of robust available data</w:t>
      </w:r>
      <w:r w:rsidR="00797B8D" w:rsidRPr="00FA66BC">
        <w:rPr>
          <w:rFonts w:cs="Arial"/>
        </w:rPr>
        <w:t xml:space="preserve">. </w:t>
      </w:r>
    </w:p>
    <w:p w:rsidR="00C11418" w:rsidRDefault="0075672E" w:rsidP="00624D3B">
      <w:pPr>
        <w:pStyle w:val="HRFHeading2Numbered"/>
      </w:pPr>
      <w:bookmarkStart w:id="12" w:name="_Toc373502481"/>
      <w:r w:rsidRPr="0075672E">
        <w:t>Using benefits of technical interventions to evaluate health system support interventions</w:t>
      </w:r>
      <w:bookmarkEnd w:id="12"/>
      <w:r w:rsidRPr="0075672E">
        <w:t xml:space="preserve"> </w:t>
      </w:r>
    </w:p>
    <w:p w:rsidR="00797B8D" w:rsidRPr="00FA66BC" w:rsidRDefault="00797B8D" w:rsidP="00624D3B">
      <w:pPr>
        <w:spacing w:line="276" w:lineRule="auto"/>
        <w:rPr>
          <w:rFonts w:cs="Arial"/>
        </w:rPr>
      </w:pPr>
      <w:r w:rsidRPr="00FA66BC">
        <w:rPr>
          <w:rFonts w:cs="Arial"/>
        </w:rPr>
        <w:t>Governments and development partners usually have an idea of what support is needed, but lack evidence on which to base assumptions of effectiveness of HSS interventions. The following section discusses</w:t>
      </w:r>
      <w:r w:rsidRPr="00FA66BC">
        <w:rPr>
          <w:rFonts w:cs="Arial"/>
          <w:lang w:val="en-AU"/>
        </w:rPr>
        <w:t xml:space="preserve"> p</w:t>
      </w:r>
      <w:r w:rsidRPr="00FA66BC">
        <w:rPr>
          <w:rFonts w:cs="Arial"/>
          <w:bCs/>
          <w:lang w:val="en-AU"/>
        </w:rPr>
        <w:t xml:space="preserve">roposed </w:t>
      </w:r>
      <w:r w:rsidR="00D0414C">
        <w:rPr>
          <w:rFonts w:cs="Arial"/>
        </w:rPr>
        <w:t>Australian aid</w:t>
      </w:r>
      <w:r w:rsidRPr="00FA66BC">
        <w:rPr>
          <w:rFonts w:cs="Arial"/>
          <w:bCs/>
          <w:lang w:val="en-AU"/>
        </w:rPr>
        <w:t xml:space="preserve"> </w:t>
      </w:r>
      <w:r w:rsidR="00D0414C">
        <w:rPr>
          <w:rFonts w:cs="Arial"/>
          <w:bCs/>
          <w:lang w:val="en-AU"/>
        </w:rPr>
        <w:t>p</w:t>
      </w:r>
      <w:r w:rsidR="0033505D" w:rsidRPr="00D0414C">
        <w:rPr>
          <w:rFonts w:cs="Arial"/>
          <w:bCs/>
          <w:lang w:val="en-AU"/>
        </w:rPr>
        <w:t>rogram</w:t>
      </w:r>
      <w:r w:rsidR="0033505D">
        <w:rPr>
          <w:rFonts w:cs="Arial"/>
          <w:bCs/>
          <w:lang w:val="en-AU"/>
        </w:rPr>
        <w:t xml:space="preserve"> </w:t>
      </w:r>
      <w:r w:rsidRPr="00FA66BC">
        <w:rPr>
          <w:rFonts w:cs="Arial"/>
          <w:bCs/>
          <w:lang w:val="en-AU"/>
        </w:rPr>
        <w:t>activities within this context of a lack of data.</w:t>
      </w:r>
    </w:p>
    <w:p w:rsidR="00797B8D" w:rsidRPr="00FA66BC" w:rsidRDefault="00797B8D" w:rsidP="00624D3B">
      <w:pPr>
        <w:spacing w:line="276" w:lineRule="auto"/>
        <w:rPr>
          <w:rFonts w:cs="Arial"/>
        </w:rPr>
      </w:pPr>
      <w:r w:rsidRPr="00FA66BC">
        <w:rPr>
          <w:rFonts w:cs="Arial"/>
        </w:rPr>
        <w:t xml:space="preserve">For the new </w:t>
      </w:r>
      <w:r w:rsidR="00D0414C">
        <w:rPr>
          <w:rFonts w:cs="Arial"/>
        </w:rPr>
        <w:t>Australian aid</w:t>
      </w:r>
      <w:r w:rsidRPr="00FA66BC">
        <w:rPr>
          <w:rFonts w:cs="Arial"/>
        </w:rPr>
        <w:t xml:space="preserve"> health program, the output is the prevention of avoidable maternal, neonatal, and child deaths and the strategy is to provide support for health sector development.  The proposed support package (Annex 2) is not yet well defined but the first objective is clear – to accelerate the population's access to basic healthcare by establishing functioning, fully staffed Health Posts in each suco by 2017.  The second, to support institutional development, could include any of a wide range of inputs; nothing has been ruled out</w:t>
      </w:r>
      <w:r w:rsidR="00BA1793">
        <w:rPr>
          <w:rFonts w:cs="Arial"/>
        </w:rPr>
        <w:t xml:space="preserve"> but phasing of engagement will be guided by MoH prioritisation and global experience and best practice.</w:t>
      </w:r>
      <w:r w:rsidRPr="00FA66BC">
        <w:rPr>
          <w:rFonts w:cs="Arial"/>
        </w:rPr>
        <w:t xml:space="preserve">  </w:t>
      </w:r>
    </w:p>
    <w:p w:rsidR="0064696D" w:rsidRDefault="00797B8D" w:rsidP="00624D3B">
      <w:pPr>
        <w:spacing w:line="276" w:lineRule="auto"/>
        <w:rPr>
          <w:rFonts w:cs="Arial"/>
        </w:rPr>
      </w:pPr>
      <w:r w:rsidRPr="00FA66BC">
        <w:rPr>
          <w:rFonts w:cs="Arial"/>
        </w:rPr>
        <w:t>More than a third of East Timor’s population lives more than two hours walk from health facilities</w:t>
      </w:r>
      <w:r w:rsidR="003D7117">
        <w:rPr>
          <w:rStyle w:val="FootnoteReference"/>
          <w:rFonts w:cs="Arial"/>
        </w:rPr>
        <w:footnoteReference w:id="15"/>
      </w:r>
      <w:r w:rsidRPr="00FA66BC">
        <w:rPr>
          <w:rFonts w:cs="Arial"/>
        </w:rPr>
        <w:t xml:space="preserve">. The proportion of skilled attendance at birth is only 30%, </w:t>
      </w:r>
      <w:r w:rsidR="00622D9F">
        <w:rPr>
          <w:rFonts w:cs="Arial"/>
        </w:rPr>
        <w:t xml:space="preserve">and </w:t>
      </w:r>
      <w:r w:rsidR="00847741">
        <w:rPr>
          <w:rFonts w:cs="Arial"/>
        </w:rPr>
        <w:t>an</w:t>
      </w:r>
      <w:r w:rsidRPr="00FA66BC">
        <w:rPr>
          <w:rFonts w:cs="Arial"/>
        </w:rPr>
        <w:t>tenatal coverage (</w:t>
      </w:r>
      <w:r w:rsidR="003D7117">
        <w:rPr>
          <w:rFonts w:cs="Arial"/>
        </w:rPr>
        <w:t>four</w:t>
      </w:r>
      <w:r w:rsidRPr="00FA66BC">
        <w:rPr>
          <w:rFonts w:cs="Arial"/>
        </w:rPr>
        <w:t xml:space="preserve"> visits) is only 55%. These indicators are reflected in the high rates of maternal, neonatal, and under-</w:t>
      </w:r>
      <w:r w:rsidR="003D7117">
        <w:rPr>
          <w:rFonts w:cs="Arial"/>
        </w:rPr>
        <w:t>five</w:t>
      </w:r>
      <w:r w:rsidRPr="00FA66BC">
        <w:rPr>
          <w:rFonts w:cs="Arial"/>
        </w:rPr>
        <w:t xml:space="preserve"> mortality</w:t>
      </w:r>
      <w:r w:rsidRPr="00FA66BC">
        <w:rPr>
          <w:rFonts w:cs="Arial"/>
          <w:vertAlign w:val="superscript"/>
        </w:rPr>
        <w:footnoteReference w:id="16"/>
      </w:r>
      <w:r w:rsidRPr="00FA66BC">
        <w:rPr>
          <w:rFonts w:cs="Arial"/>
        </w:rPr>
        <w:t xml:space="preserve">. </w:t>
      </w:r>
      <w:r w:rsidR="00DE34C7">
        <w:rPr>
          <w:rFonts w:cs="Arial"/>
        </w:rPr>
        <w:t xml:space="preserve">It is in this context </w:t>
      </w:r>
      <w:r w:rsidRPr="00FA66BC">
        <w:rPr>
          <w:rFonts w:cs="Arial"/>
        </w:rPr>
        <w:t xml:space="preserve">that a package of interventions will be agreed upon by the </w:t>
      </w:r>
      <w:r w:rsidR="00D0414C">
        <w:rPr>
          <w:rFonts w:cs="Arial"/>
        </w:rPr>
        <w:t>Australian aid</w:t>
      </w:r>
      <w:r w:rsidRPr="00FA66BC">
        <w:rPr>
          <w:rFonts w:cs="Arial"/>
        </w:rPr>
        <w:t xml:space="preserve"> program and the MoH. </w:t>
      </w:r>
    </w:p>
    <w:p w:rsidR="00622D9F" w:rsidRDefault="00622D9F" w:rsidP="00624D3B">
      <w:pPr>
        <w:spacing w:line="276" w:lineRule="auto"/>
        <w:rPr>
          <w:rFonts w:cs="Arial"/>
        </w:rPr>
      </w:pPr>
      <w:r>
        <w:rPr>
          <w:rFonts w:cs="Arial"/>
        </w:rPr>
        <w:t>A</w:t>
      </w:r>
      <w:r w:rsidRPr="00FA66BC">
        <w:rPr>
          <w:rFonts w:cs="Arial"/>
        </w:rPr>
        <w:t xml:space="preserve"> recent model</w:t>
      </w:r>
      <w:r>
        <w:rPr>
          <w:rFonts w:cs="Arial"/>
        </w:rPr>
        <w:t xml:space="preserve"> makes it easier to estimate t</w:t>
      </w:r>
      <w:r w:rsidRPr="00FA66BC">
        <w:rPr>
          <w:rFonts w:cs="Arial"/>
        </w:rPr>
        <w:t>he potential impact of different RMNCH interventio</w:t>
      </w:r>
      <w:r>
        <w:rPr>
          <w:rFonts w:cs="Arial"/>
        </w:rPr>
        <w:t>ns, or of packages of interventions targeted at different levels of the health system</w:t>
      </w:r>
      <w:r>
        <w:rPr>
          <w:rStyle w:val="FootnoteReference"/>
        </w:rPr>
        <w:footnoteReference w:id="17"/>
      </w:r>
      <w:r w:rsidRPr="00FA66BC">
        <w:rPr>
          <w:rFonts w:cs="Arial"/>
        </w:rPr>
        <w:t>.</w:t>
      </w:r>
      <w:r w:rsidR="00797B8D" w:rsidRPr="00FA66BC">
        <w:rPr>
          <w:rFonts w:cs="Arial"/>
        </w:rPr>
        <w:t xml:space="preserve"> The model begins with the numbers of deaths due to the main causes of maternal, neonatal, and child mortality, then uses a 'disability multiplier' based on international literature to estimate the number of surviving but disabled women or children, by cause. The percentage of each of the main causes of mortality that could be treated at three levels of the health services was estimated based on international data which assumes performance of a functional health system. With this data it is possibl</w:t>
      </w:r>
      <w:r w:rsidR="00494623">
        <w:rPr>
          <w:rFonts w:cs="Arial"/>
        </w:rPr>
        <w:t>e to calculate the total number</w:t>
      </w:r>
      <w:r w:rsidR="00797B8D" w:rsidRPr="00FA66BC">
        <w:rPr>
          <w:rFonts w:cs="Arial"/>
        </w:rPr>
        <w:t xml:space="preserve">s of avoidable premature death and disability and attribute potential benefits to various types of interventions and the level of service (community, health </w:t>
      </w:r>
      <w:r w:rsidR="00494623" w:rsidRPr="00FA66BC">
        <w:rPr>
          <w:rFonts w:cs="Arial"/>
        </w:rPr>
        <w:t>centre</w:t>
      </w:r>
      <w:r w:rsidR="00797B8D" w:rsidRPr="00FA66BC">
        <w:rPr>
          <w:rFonts w:cs="Arial"/>
        </w:rPr>
        <w:t>, or referral).</w:t>
      </w:r>
      <w:r w:rsidR="00797B8D" w:rsidRPr="00FA66BC">
        <w:rPr>
          <w:rFonts w:cs="Arial"/>
          <w:noProof/>
        </w:rPr>
        <w:t xml:space="preserve">  Tables </w:t>
      </w:r>
      <w:r w:rsidR="00BB2CC1">
        <w:rPr>
          <w:rFonts w:cs="Arial"/>
          <w:noProof/>
        </w:rPr>
        <w:t>2</w:t>
      </w:r>
      <w:r w:rsidR="00624D3B">
        <w:rPr>
          <w:rFonts w:cs="Arial"/>
          <w:noProof/>
        </w:rPr>
        <w:t xml:space="preserve"> and </w:t>
      </w:r>
      <w:r w:rsidR="00BB2CC1">
        <w:rPr>
          <w:rFonts w:cs="Arial"/>
          <w:noProof/>
        </w:rPr>
        <w:t>3</w:t>
      </w:r>
      <w:r w:rsidR="00797B8D" w:rsidRPr="00FA66BC">
        <w:rPr>
          <w:rFonts w:cs="Arial"/>
          <w:noProof/>
        </w:rPr>
        <w:t xml:space="preserve"> show the 'global' evidence-based assumptions used. These</w:t>
      </w:r>
      <w:r w:rsidR="00797B8D" w:rsidRPr="00FA66BC">
        <w:rPr>
          <w:rFonts w:cs="Arial"/>
        </w:rPr>
        <w:t xml:space="preserve"> are approximately the same as will be provided in Timor-Leste's basic service package</w:t>
      </w:r>
      <w:r w:rsidR="009322F3">
        <w:rPr>
          <w:rFonts w:cs="Arial"/>
        </w:rPr>
        <w:t xml:space="preserve"> (BSP)</w:t>
      </w:r>
      <w:r w:rsidR="00797B8D" w:rsidRPr="00FA66BC">
        <w:rPr>
          <w:rFonts w:cs="Arial"/>
        </w:rPr>
        <w:t>.</w:t>
      </w:r>
      <w:r w:rsidR="00BB2CC1" w:rsidRPr="00BB2CC1">
        <w:rPr>
          <w:rFonts w:cs="Arial"/>
          <w:vertAlign w:val="superscript"/>
          <w:lang w:bidi="ar-SA"/>
        </w:rPr>
        <w:footnoteReference w:id="18"/>
      </w:r>
    </w:p>
    <w:p w:rsidR="007C221C" w:rsidRDefault="007C221C" w:rsidP="007C221C">
      <w:pPr>
        <w:spacing w:line="276" w:lineRule="auto"/>
        <w:rPr>
          <w:rFonts w:cs="Arial"/>
          <w:b/>
          <w:bCs/>
        </w:rPr>
      </w:pPr>
    </w:p>
    <w:p w:rsidR="007C221C" w:rsidRPr="007C221C" w:rsidRDefault="003863C4" w:rsidP="003863C4">
      <w:pPr>
        <w:pStyle w:val="Caption"/>
        <w:rPr>
          <w:rFonts w:cs="Arial"/>
          <w:b w:val="0"/>
          <w:bCs w:val="0"/>
        </w:rPr>
      </w:pPr>
      <w:bookmarkStart w:id="13" w:name="_Toc373501346"/>
      <w:r>
        <w:t xml:space="preserve">Table </w:t>
      </w:r>
      <w:r>
        <w:fldChar w:fldCharType="begin"/>
      </w:r>
      <w:r>
        <w:instrText xml:space="preserve"> SEQ Table \* ARABIC </w:instrText>
      </w:r>
      <w:r>
        <w:fldChar w:fldCharType="separate"/>
      </w:r>
      <w:r w:rsidR="00B363D8">
        <w:rPr>
          <w:noProof/>
        </w:rPr>
        <w:t>2</w:t>
      </w:r>
      <w:r>
        <w:fldChar w:fldCharType="end"/>
      </w:r>
      <w:r>
        <w:t xml:space="preserve">: </w:t>
      </w:r>
      <w:r w:rsidRPr="00BC3F33">
        <w:t>Intervention Packages by Level</w:t>
      </w:r>
      <w:r w:rsidR="007C221C" w:rsidRPr="007C221C">
        <w:rPr>
          <w:rFonts w:cs="Arial"/>
          <w:b w:val="0"/>
          <w:bCs w:val="0"/>
          <w:vertAlign w:val="superscript"/>
        </w:rPr>
        <w:footnoteReference w:id="19"/>
      </w:r>
      <w:bookmarkEnd w:id="13"/>
      <w:r w:rsidR="007C221C" w:rsidRPr="007C221C">
        <w:rPr>
          <w:rFonts w:cs="Arial"/>
          <w:b w:val="0"/>
          <w:bCs w:val="0"/>
        </w:rPr>
        <w:t xml:space="preserve"> </w:t>
      </w:r>
    </w:p>
    <w:tbl>
      <w:tblPr>
        <w:tblStyle w:val="HRF"/>
        <w:tblW w:w="8472" w:type="dxa"/>
        <w:tblLook w:val="04A0" w:firstRow="1" w:lastRow="0" w:firstColumn="1" w:lastColumn="0" w:noHBand="0" w:noVBand="1"/>
      </w:tblPr>
      <w:tblGrid>
        <w:gridCol w:w="2518"/>
        <w:gridCol w:w="5954"/>
      </w:tblGrid>
      <w:tr w:rsidR="007C62E0" w:rsidRPr="007C62E0" w:rsidTr="007C62E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18" w:type="dxa"/>
            <w:noWrap/>
            <w:hideMark/>
          </w:tcPr>
          <w:p w:rsidR="007C62E0" w:rsidRPr="007C62E0" w:rsidRDefault="007C62E0" w:rsidP="007C62E0">
            <w:pPr>
              <w:spacing w:after="0"/>
              <w:jc w:val="left"/>
              <w:rPr>
                <w:rFonts w:cs="Arial"/>
                <w:b/>
                <w:sz w:val="20"/>
                <w:szCs w:val="20"/>
                <w:lang w:bidi="ar-SA"/>
              </w:rPr>
            </w:pPr>
            <w:r w:rsidRPr="007C62E0">
              <w:rPr>
                <w:rFonts w:cs="Arial"/>
                <w:b/>
                <w:sz w:val="20"/>
                <w:szCs w:val="20"/>
                <w:lang w:bidi="ar-SA"/>
              </w:rPr>
              <w:t xml:space="preserve">Category </w:t>
            </w:r>
          </w:p>
        </w:tc>
        <w:tc>
          <w:tcPr>
            <w:tcW w:w="5954" w:type="dxa"/>
            <w:noWrap/>
            <w:hideMark/>
          </w:tcPr>
          <w:p w:rsidR="007C62E0" w:rsidRPr="007C62E0" w:rsidRDefault="007C62E0" w:rsidP="007C62E0">
            <w:pPr>
              <w:spacing w:after="0"/>
              <w:jc w:val="left"/>
              <w:cnfStyle w:val="100000000000" w:firstRow="1" w:lastRow="0" w:firstColumn="0" w:lastColumn="0" w:oddVBand="0" w:evenVBand="0" w:oddHBand="0" w:evenHBand="0" w:firstRowFirstColumn="0" w:firstRowLastColumn="0" w:lastRowFirstColumn="0" w:lastRowLastColumn="0"/>
              <w:rPr>
                <w:rFonts w:cs="Arial"/>
                <w:b/>
                <w:sz w:val="20"/>
                <w:szCs w:val="20"/>
                <w:lang w:bidi="ar-SA"/>
              </w:rPr>
            </w:pPr>
            <w:r w:rsidRPr="007C62E0">
              <w:rPr>
                <w:rFonts w:cs="Arial"/>
                <w:b/>
                <w:sz w:val="20"/>
                <w:szCs w:val="20"/>
                <w:lang w:bidi="ar-SA"/>
              </w:rPr>
              <w:t xml:space="preserve">Interventions </w:t>
            </w:r>
          </w:p>
        </w:tc>
      </w:tr>
      <w:tr w:rsidR="007C62E0" w:rsidRPr="007C62E0" w:rsidTr="007C62E0">
        <w:trPr>
          <w:trHeight w:val="1094"/>
        </w:trPr>
        <w:tc>
          <w:tcPr>
            <w:cnfStyle w:val="001000000000" w:firstRow="0" w:lastRow="0" w:firstColumn="1" w:lastColumn="0" w:oddVBand="0" w:evenVBand="0" w:oddHBand="0" w:evenHBand="0" w:firstRowFirstColumn="0" w:firstRowLastColumn="0" w:lastRowFirstColumn="0" w:lastRowLastColumn="0"/>
            <w:tcW w:w="2518" w:type="dxa"/>
            <w:hideMark/>
          </w:tcPr>
          <w:p w:rsidR="007C62E0" w:rsidRPr="007C62E0" w:rsidRDefault="007C62E0" w:rsidP="007C62E0">
            <w:pPr>
              <w:spacing w:after="0"/>
              <w:jc w:val="left"/>
              <w:rPr>
                <w:rFonts w:cs="Arial"/>
                <w:sz w:val="20"/>
                <w:szCs w:val="20"/>
                <w:lang w:bidi="ar-SA"/>
              </w:rPr>
            </w:pPr>
            <w:r w:rsidRPr="007C62E0">
              <w:rPr>
                <w:rFonts w:cs="Arial"/>
                <w:sz w:val="20"/>
                <w:szCs w:val="20"/>
                <w:lang w:bidi="ar-SA"/>
              </w:rPr>
              <w:t>Core Package: community level</w:t>
            </w:r>
          </w:p>
        </w:tc>
        <w:tc>
          <w:tcPr>
            <w:tcW w:w="5954" w:type="dxa"/>
            <w:hideMark/>
          </w:tcPr>
          <w:p w:rsidR="007C62E0" w:rsidRDefault="007C62E0" w:rsidP="007C62E0">
            <w:pPr>
              <w:spacing w:after="0"/>
              <w:jc w:val="left"/>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7C62E0">
              <w:rPr>
                <w:rFonts w:cs="Arial"/>
                <w:sz w:val="20"/>
                <w:szCs w:val="20"/>
                <w:lang w:bidi="ar-SA"/>
              </w:rPr>
              <w:t xml:space="preserve">Antenatal </w:t>
            </w:r>
            <w:r w:rsidRPr="00D0414C">
              <w:rPr>
                <w:rFonts w:cs="Arial"/>
                <w:sz w:val="20"/>
                <w:szCs w:val="20"/>
                <w:lang w:bidi="ar-SA"/>
              </w:rPr>
              <w:t>care</w:t>
            </w:r>
            <w:r w:rsidR="0033505D" w:rsidRPr="00D0414C">
              <w:rPr>
                <w:rFonts w:cs="Arial"/>
                <w:sz w:val="20"/>
                <w:szCs w:val="20"/>
                <w:lang w:bidi="ar-SA"/>
              </w:rPr>
              <w:t xml:space="preserve"> (ANC)</w:t>
            </w:r>
            <w:r w:rsidRPr="00D0414C">
              <w:rPr>
                <w:rFonts w:cs="Arial"/>
                <w:sz w:val="20"/>
                <w:szCs w:val="20"/>
                <w:lang w:bidi="ar-SA"/>
              </w:rPr>
              <w:t>, Skilled</w:t>
            </w:r>
            <w:r w:rsidRPr="007C62E0">
              <w:rPr>
                <w:rFonts w:cs="Arial"/>
                <w:sz w:val="20"/>
                <w:szCs w:val="20"/>
                <w:lang w:bidi="ar-SA"/>
              </w:rPr>
              <w:t xml:space="preserve"> birth attendance, Basic family planning, Essential newborn care, Promotion of exclusive breastfeeding, Immunization, Vitamin A supplementation, Oral Rehydration, IMCI, Hygiene, Bed nets </w:t>
            </w:r>
          </w:p>
          <w:p w:rsidR="007C62E0" w:rsidRPr="007C62E0" w:rsidRDefault="007C62E0" w:rsidP="007C62E0">
            <w:pPr>
              <w:spacing w:after="0"/>
              <w:jc w:val="left"/>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7C62E0">
              <w:rPr>
                <w:rFonts w:cs="Arial"/>
                <w:sz w:val="20"/>
                <w:szCs w:val="20"/>
                <w:lang w:bidi="ar-SA"/>
              </w:rPr>
              <w:t>Enhanced: + antibiotic, + misoprostol</w:t>
            </w:r>
          </w:p>
        </w:tc>
      </w:tr>
      <w:tr w:rsidR="007C62E0" w:rsidRPr="007C62E0" w:rsidTr="007C62E0">
        <w:trPr>
          <w:trHeight w:val="1040"/>
        </w:trPr>
        <w:tc>
          <w:tcPr>
            <w:cnfStyle w:val="001000000000" w:firstRow="0" w:lastRow="0" w:firstColumn="1" w:lastColumn="0" w:oddVBand="0" w:evenVBand="0" w:oddHBand="0" w:evenHBand="0" w:firstRowFirstColumn="0" w:firstRowLastColumn="0" w:lastRowFirstColumn="0" w:lastRowLastColumn="0"/>
            <w:tcW w:w="2518" w:type="dxa"/>
            <w:hideMark/>
          </w:tcPr>
          <w:p w:rsidR="007C62E0" w:rsidRPr="007C62E0" w:rsidRDefault="007C62E0" w:rsidP="007C62E0">
            <w:pPr>
              <w:spacing w:after="0"/>
              <w:jc w:val="left"/>
              <w:rPr>
                <w:rFonts w:cs="Arial"/>
                <w:sz w:val="20"/>
                <w:szCs w:val="20"/>
                <w:lang w:bidi="ar-SA"/>
              </w:rPr>
            </w:pPr>
            <w:r w:rsidRPr="007C62E0">
              <w:rPr>
                <w:rFonts w:cs="Arial"/>
                <w:sz w:val="20"/>
                <w:szCs w:val="20"/>
                <w:lang w:bidi="ar-SA"/>
              </w:rPr>
              <w:t>Expanded Package: health center level</w:t>
            </w:r>
          </w:p>
        </w:tc>
        <w:tc>
          <w:tcPr>
            <w:tcW w:w="5954" w:type="dxa"/>
            <w:hideMark/>
          </w:tcPr>
          <w:p w:rsidR="007C62E0" w:rsidRDefault="007C62E0" w:rsidP="007C62E0">
            <w:pPr>
              <w:spacing w:after="0"/>
              <w:jc w:val="left"/>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7C62E0">
              <w:rPr>
                <w:rFonts w:cs="Arial"/>
                <w:sz w:val="20"/>
                <w:szCs w:val="20"/>
                <w:lang w:bidi="ar-SA"/>
              </w:rPr>
              <w:t xml:space="preserve">All the above plus complementary and therapeutic feeding, zinc supplementation, new vaccines, long-term family planning methods </w:t>
            </w:r>
          </w:p>
          <w:p w:rsidR="007C62E0" w:rsidRPr="007C62E0" w:rsidRDefault="007C62E0" w:rsidP="007C62E0">
            <w:pPr>
              <w:spacing w:after="0"/>
              <w:jc w:val="left"/>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7C62E0">
              <w:rPr>
                <w:rFonts w:cs="Arial"/>
                <w:sz w:val="20"/>
                <w:szCs w:val="20"/>
                <w:lang w:bidi="ar-SA"/>
              </w:rPr>
              <w:t>Enhanced: + intravenous magnesium sulfate + MVE capacity</w:t>
            </w:r>
          </w:p>
        </w:tc>
      </w:tr>
      <w:tr w:rsidR="007C62E0" w:rsidRPr="007C62E0" w:rsidTr="007C62E0">
        <w:trPr>
          <w:trHeight w:val="510"/>
        </w:trPr>
        <w:tc>
          <w:tcPr>
            <w:cnfStyle w:val="001000000000" w:firstRow="0" w:lastRow="0" w:firstColumn="1" w:lastColumn="0" w:oddVBand="0" w:evenVBand="0" w:oddHBand="0" w:evenHBand="0" w:firstRowFirstColumn="0" w:firstRowLastColumn="0" w:lastRowFirstColumn="0" w:lastRowLastColumn="0"/>
            <w:tcW w:w="2518" w:type="dxa"/>
            <w:hideMark/>
          </w:tcPr>
          <w:p w:rsidR="007C62E0" w:rsidRPr="007C62E0" w:rsidRDefault="007C62E0" w:rsidP="007C62E0">
            <w:pPr>
              <w:spacing w:after="0"/>
              <w:jc w:val="left"/>
              <w:rPr>
                <w:rFonts w:cs="Arial"/>
                <w:sz w:val="20"/>
                <w:szCs w:val="20"/>
                <w:lang w:bidi="ar-SA"/>
              </w:rPr>
            </w:pPr>
            <w:r w:rsidRPr="007C62E0">
              <w:rPr>
                <w:rFonts w:cs="Arial"/>
                <w:sz w:val="20"/>
                <w:szCs w:val="20"/>
                <w:lang w:bidi="ar-SA"/>
              </w:rPr>
              <w:t>Comprehensive Package: district hospital level</w:t>
            </w:r>
          </w:p>
        </w:tc>
        <w:tc>
          <w:tcPr>
            <w:tcW w:w="5954" w:type="dxa"/>
            <w:hideMark/>
          </w:tcPr>
          <w:p w:rsidR="007C62E0" w:rsidRPr="007C62E0" w:rsidRDefault="007C62E0" w:rsidP="007C62E0">
            <w:pPr>
              <w:spacing w:after="0"/>
              <w:jc w:val="left"/>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7C62E0">
              <w:rPr>
                <w:rFonts w:cs="Arial"/>
                <w:sz w:val="20"/>
                <w:szCs w:val="20"/>
                <w:lang w:bidi="ar-SA"/>
              </w:rPr>
              <w:t>All the above plus emergency obstetric and neonatal care, antiretrovirals for HIV and PMTCT, water and sanitation</w:t>
            </w:r>
          </w:p>
        </w:tc>
      </w:tr>
    </w:tbl>
    <w:p w:rsidR="00DE34C7" w:rsidRDefault="00DE34C7" w:rsidP="00DE34C7">
      <w:pPr>
        <w:spacing w:after="0"/>
        <w:jc w:val="left"/>
        <w:rPr>
          <w:sz w:val="20"/>
        </w:rPr>
      </w:pPr>
    </w:p>
    <w:p w:rsidR="00422449" w:rsidRDefault="00422449">
      <w:pPr>
        <w:spacing w:after="0"/>
        <w:jc w:val="left"/>
        <w:rPr>
          <w:b/>
          <w:bCs/>
          <w:sz w:val="20"/>
          <w:szCs w:val="16"/>
        </w:rPr>
      </w:pPr>
      <w:bookmarkStart w:id="14" w:name="_Toc373501347"/>
      <w:r>
        <w:br w:type="page"/>
      </w:r>
    </w:p>
    <w:p w:rsidR="00C10ECC" w:rsidRPr="00DE34C7" w:rsidRDefault="003863C4" w:rsidP="003863C4">
      <w:pPr>
        <w:pStyle w:val="Caption"/>
        <w:rPr>
          <w:b w:val="0"/>
        </w:rPr>
      </w:pPr>
      <w:r>
        <w:t xml:space="preserve">Table </w:t>
      </w:r>
      <w:r>
        <w:fldChar w:fldCharType="begin"/>
      </w:r>
      <w:r>
        <w:instrText xml:space="preserve"> SEQ Table \* ARABIC </w:instrText>
      </w:r>
      <w:r>
        <w:fldChar w:fldCharType="separate"/>
      </w:r>
      <w:r w:rsidR="00B363D8">
        <w:rPr>
          <w:noProof/>
        </w:rPr>
        <w:t>3</w:t>
      </w:r>
      <w:r>
        <w:fldChar w:fldCharType="end"/>
      </w:r>
      <w:r>
        <w:t xml:space="preserve">: </w:t>
      </w:r>
      <w:r w:rsidRPr="002D6AE4">
        <w:t>Disability multipliers and level that condition could be treated</w:t>
      </w:r>
      <w:r w:rsidR="00DE34C7">
        <w:rPr>
          <w:rStyle w:val="FootnoteReference"/>
          <w:b w:val="0"/>
        </w:rPr>
        <w:footnoteReference w:id="20"/>
      </w:r>
      <w:bookmarkEnd w:id="14"/>
      <w:r w:rsidR="00F749B8" w:rsidRPr="00DE34C7">
        <w:rPr>
          <w:b w:val="0"/>
        </w:rPr>
        <w:t xml:space="preserve"> </w:t>
      </w:r>
    </w:p>
    <w:tbl>
      <w:tblPr>
        <w:tblStyle w:val="HRF"/>
        <w:tblW w:w="8755" w:type="dxa"/>
        <w:tblLook w:val="04A0" w:firstRow="1" w:lastRow="0" w:firstColumn="1" w:lastColumn="0" w:noHBand="0" w:noVBand="1"/>
      </w:tblPr>
      <w:tblGrid>
        <w:gridCol w:w="1809"/>
        <w:gridCol w:w="1418"/>
        <w:gridCol w:w="1984"/>
        <w:gridCol w:w="1843"/>
        <w:gridCol w:w="1701"/>
      </w:tblGrid>
      <w:tr w:rsidR="009610C8" w:rsidRPr="004934DF" w:rsidTr="008E322D">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227" w:type="dxa"/>
            <w:gridSpan w:val="2"/>
            <w:noWrap/>
            <w:hideMark/>
          </w:tcPr>
          <w:p w:rsidR="009610C8" w:rsidRPr="004934DF" w:rsidRDefault="009610C8" w:rsidP="002C6FEE">
            <w:pPr>
              <w:spacing w:after="0"/>
              <w:jc w:val="center"/>
              <w:rPr>
                <w:rFonts w:cs="Arial"/>
                <w:b/>
                <w:sz w:val="20"/>
                <w:szCs w:val="20"/>
                <w:lang w:bidi="ar-SA"/>
              </w:rPr>
            </w:pPr>
          </w:p>
        </w:tc>
        <w:tc>
          <w:tcPr>
            <w:tcW w:w="5528" w:type="dxa"/>
            <w:gridSpan w:val="3"/>
          </w:tcPr>
          <w:p w:rsidR="009610C8" w:rsidRPr="004934DF" w:rsidRDefault="009610C8" w:rsidP="002C6FEE">
            <w:pPr>
              <w:spacing w:after="0"/>
              <w:jc w:val="center"/>
              <w:cnfStyle w:val="100000000000" w:firstRow="1" w:lastRow="0" w:firstColumn="0" w:lastColumn="0" w:oddVBand="0" w:evenVBand="0" w:oddHBand="0" w:evenHBand="0" w:firstRowFirstColumn="0" w:firstRowLastColumn="0" w:lastRowFirstColumn="0" w:lastRowLastColumn="0"/>
              <w:rPr>
                <w:rFonts w:cs="Arial"/>
                <w:b/>
                <w:color w:val="auto"/>
                <w:sz w:val="20"/>
                <w:szCs w:val="20"/>
                <w:lang w:bidi="ar-SA"/>
              </w:rPr>
            </w:pPr>
            <w:r w:rsidRPr="004934DF">
              <w:rPr>
                <w:rFonts w:cs="Arial"/>
                <w:b/>
                <w:color w:val="auto"/>
                <w:sz w:val="20"/>
                <w:szCs w:val="20"/>
                <w:lang w:bidi="ar-SA"/>
              </w:rPr>
              <w:t>% of condition which could be treated at level:</w:t>
            </w:r>
          </w:p>
        </w:tc>
      </w:tr>
      <w:tr w:rsidR="008E322D" w:rsidRPr="004934DF" w:rsidTr="008E322D">
        <w:trPr>
          <w:trHeight w:val="269"/>
        </w:trPr>
        <w:tc>
          <w:tcPr>
            <w:cnfStyle w:val="001000000000" w:firstRow="0" w:lastRow="0" w:firstColumn="1" w:lastColumn="0" w:oddVBand="0" w:evenVBand="0" w:oddHBand="0" w:evenHBand="0" w:firstRowFirstColumn="0" w:firstRowLastColumn="0" w:lastRowFirstColumn="0" w:lastRowLastColumn="0"/>
            <w:tcW w:w="1809" w:type="dxa"/>
            <w:vMerge w:val="restart"/>
            <w:hideMark/>
          </w:tcPr>
          <w:p w:rsidR="002C6FEE" w:rsidRPr="004934DF" w:rsidRDefault="002C6FEE" w:rsidP="002C6FEE">
            <w:pPr>
              <w:spacing w:after="0"/>
              <w:jc w:val="left"/>
              <w:rPr>
                <w:rFonts w:cs="Arial"/>
                <w:sz w:val="20"/>
                <w:szCs w:val="20"/>
                <w:lang w:bidi="ar-SA"/>
              </w:rPr>
            </w:pPr>
            <w:r w:rsidRPr="004934DF">
              <w:rPr>
                <w:rFonts w:cs="Arial"/>
                <w:sz w:val="20"/>
                <w:szCs w:val="20"/>
                <w:lang w:val="en-US" w:bidi="ar-SA"/>
              </w:rPr>
              <w:t> </w:t>
            </w:r>
          </w:p>
        </w:tc>
        <w:tc>
          <w:tcPr>
            <w:tcW w:w="1418" w:type="dxa"/>
            <w:vMerge w:val="restart"/>
            <w:shd w:val="clear" w:color="auto" w:fill="CDE6FF"/>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Disability Multiplier</w:t>
            </w:r>
          </w:p>
        </w:tc>
        <w:tc>
          <w:tcPr>
            <w:tcW w:w="1984" w:type="dxa"/>
            <w:vMerge w:val="restart"/>
            <w:hideMark/>
          </w:tcPr>
          <w:p w:rsidR="002C6FEE" w:rsidRPr="004934DF" w:rsidRDefault="002C6FEE" w:rsidP="004934DF">
            <w:pPr>
              <w:spacing w:after="0"/>
              <w:ind w:firstLineChars="100" w:firstLine="200"/>
              <w:jc w:val="left"/>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Community</w:t>
            </w:r>
          </w:p>
        </w:tc>
        <w:tc>
          <w:tcPr>
            <w:tcW w:w="1843" w:type="dxa"/>
            <w:vMerge w:val="restart"/>
            <w:hideMark/>
          </w:tcPr>
          <w:p w:rsidR="002C6FEE" w:rsidRPr="004934DF" w:rsidRDefault="002C6FEE" w:rsidP="004934DF">
            <w:pPr>
              <w:spacing w:after="0"/>
              <w:ind w:firstLineChars="100" w:firstLine="200"/>
              <w:jc w:val="left"/>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Health Center</w:t>
            </w:r>
          </w:p>
        </w:tc>
        <w:tc>
          <w:tcPr>
            <w:tcW w:w="1701" w:type="dxa"/>
            <w:vMerge w:val="restart"/>
            <w:hideMark/>
          </w:tcPr>
          <w:p w:rsidR="002C6FEE" w:rsidRPr="004934DF" w:rsidRDefault="002C6FEE" w:rsidP="004934DF">
            <w:pPr>
              <w:spacing w:after="0"/>
              <w:ind w:firstLineChars="200" w:firstLine="400"/>
              <w:jc w:val="left"/>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Hospital</w:t>
            </w:r>
          </w:p>
        </w:tc>
      </w:tr>
      <w:tr w:rsidR="008E322D" w:rsidRPr="004934DF" w:rsidTr="008E322D">
        <w:trPr>
          <w:trHeight w:val="270"/>
        </w:trPr>
        <w:tc>
          <w:tcPr>
            <w:cnfStyle w:val="001000000000" w:firstRow="0" w:lastRow="0" w:firstColumn="1" w:lastColumn="0" w:oddVBand="0" w:evenVBand="0" w:oddHBand="0" w:evenHBand="0" w:firstRowFirstColumn="0" w:firstRowLastColumn="0" w:lastRowFirstColumn="0" w:lastRowLastColumn="0"/>
            <w:tcW w:w="1809" w:type="dxa"/>
            <w:vMerge/>
            <w:hideMark/>
          </w:tcPr>
          <w:p w:rsidR="002C6FEE" w:rsidRPr="004934DF" w:rsidRDefault="002C6FEE" w:rsidP="002C6FEE">
            <w:pPr>
              <w:spacing w:after="0"/>
              <w:jc w:val="left"/>
              <w:rPr>
                <w:rFonts w:cs="Arial"/>
                <w:sz w:val="20"/>
                <w:szCs w:val="20"/>
                <w:lang w:bidi="ar-SA"/>
              </w:rPr>
            </w:pPr>
          </w:p>
        </w:tc>
        <w:tc>
          <w:tcPr>
            <w:tcW w:w="1418" w:type="dxa"/>
            <w:vMerge/>
            <w:shd w:val="clear" w:color="auto" w:fill="CDE6FF"/>
            <w:hideMark/>
          </w:tcPr>
          <w:p w:rsidR="002C6FEE" w:rsidRPr="004934DF" w:rsidRDefault="002C6FEE" w:rsidP="002C6FEE">
            <w:pPr>
              <w:spacing w:after="0"/>
              <w:jc w:val="left"/>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tc>
        <w:tc>
          <w:tcPr>
            <w:tcW w:w="1984" w:type="dxa"/>
            <w:vMerge/>
            <w:hideMark/>
          </w:tcPr>
          <w:p w:rsidR="002C6FEE" w:rsidRPr="004934DF" w:rsidRDefault="002C6FEE" w:rsidP="002C6FEE">
            <w:pPr>
              <w:spacing w:after="0"/>
              <w:jc w:val="left"/>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tc>
        <w:tc>
          <w:tcPr>
            <w:tcW w:w="1843" w:type="dxa"/>
            <w:vMerge/>
            <w:hideMark/>
          </w:tcPr>
          <w:p w:rsidR="002C6FEE" w:rsidRPr="004934DF" w:rsidRDefault="002C6FEE" w:rsidP="002C6FEE">
            <w:pPr>
              <w:spacing w:after="0"/>
              <w:jc w:val="left"/>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tc>
        <w:tc>
          <w:tcPr>
            <w:tcW w:w="1701" w:type="dxa"/>
            <w:vMerge/>
            <w:hideMark/>
          </w:tcPr>
          <w:p w:rsidR="002C6FEE" w:rsidRPr="004934DF" w:rsidRDefault="002C6FEE" w:rsidP="002C6FEE">
            <w:pPr>
              <w:spacing w:after="0"/>
              <w:jc w:val="left"/>
              <w:cnfStyle w:val="000000000000" w:firstRow="0" w:lastRow="0" w:firstColumn="0" w:lastColumn="0" w:oddVBand="0" w:evenVBand="0" w:oddHBand="0" w:evenHBand="0" w:firstRowFirstColumn="0" w:firstRowLastColumn="0" w:lastRowFirstColumn="0" w:lastRowLastColumn="0"/>
              <w:rPr>
                <w:rFonts w:cs="Arial"/>
                <w:sz w:val="20"/>
                <w:szCs w:val="20"/>
                <w:lang w:bidi="ar-SA"/>
              </w:rPr>
            </w:pPr>
          </w:p>
        </w:tc>
      </w:tr>
      <w:tr w:rsidR="002C6FEE" w:rsidRPr="004934DF" w:rsidTr="009610C8">
        <w:trPr>
          <w:trHeight w:hRule="exact" w:val="315"/>
        </w:trPr>
        <w:tc>
          <w:tcPr>
            <w:cnfStyle w:val="001000000000" w:firstRow="0" w:lastRow="0" w:firstColumn="1" w:lastColumn="0" w:oddVBand="0" w:evenVBand="0" w:oddHBand="0" w:evenHBand="0" w:firstRowFirstColumn="0" w:firstRowLastColumn="0" w:lastRowFirstColumn="0" w:lastRowLastColumn="0"/>
            <w:tcW w:w="8755" w:type="dxa"/>
            <w:gridSpan w:val="5"/>
            <w:hideMark/>
          </w:tcPr>
          <w:p w:rsidR="002C6FEE" w:rsidRPr="004934DF" w:rsidRDefault="002C6FEE" w:rsidP="002C6FEE">
            <w:pPr>
              <w:spacing w:after="0"/>
              <w:jc w:val="left"/>
              <w:rPr>
                <w:rFonts w:cs="Arial"/>
                <w:b/>
                <w:bCs/>
                <w:sz w:val="20"/>
                <w:szCs w:val="20"/>
                <w:lang w:bidi="ar-SA"/>
              </w:rPr>
            </w:pPr>
            <w:r w:rsidRPr="004934DF">
              <w:rPr>
                <w:rFonts w:cs="Arial"/>
                <w:b/>
                <w:bCs/>
                <w:sz w:val="20"/>
                <w:szCs w:val="20"/>
                <w:lang w:val="en-US" w:bidi="ar-SA"/>
              </w:rPr>
              <w:t>Maternal</w:t>
            </w:r>
            <w:r w:rsidRPr="004934DF">
              <w:rPr>
                <w:rFonts w:cs="Arial"/>
                <w:sz w:val="20"/>
                <w:szCs w:val="20"/>
                <w:lang w:val="en-US" w:bidi="ar-SA"/>
              </w:rPr>
              <w:t>:</w:t>
            </w:r>
          </w:p>
          <w:p w:rsidR="002C6FEE" w:rsidRPr="004934DF" w:rsidRDefault="002C6FEE" w:rsidP="002C6FEE">
            <w:pPr>
              <w:spacing w:after="0"/>
              <w:jc w:val="left"/>
              <w:rPr>
                <w:rFonts w:cs="Arial"/>
                <w:sz w:val="20"/>
                <w:szCs w:val="20"/>
                <w:lang w:bidi="ar-SA"/>
              </w:rPr>
            </w:pPr>
            <w:r w:rsidRPr="004934DF">
              <w:rPr>
                <w:rFonts w:cs="Arial"/>
                <w:sz w:val="20"/>
                <w:szCs w:val="20"/>
                <w:lang w:val="en-US" w:bidi="ar-SA"/>
              </w:rPr>
              <w:t> </w:t>
            </w:r>
          </w:p>
          <w:p w:rsidR="002C6FEE" w:rsidRPr="004934DF" w:rsidRDefault="002C6FEE" w:rsidP="002C6FEE">
            <w:pPr>
              <w:spacing w:after="0"/>
              <w:jc w:val="left"/>
              <w:rPr>
                <w:rFonts w:cs="Arial"/>
                <w:sz w:val="20"/>
                <w:szCs w:val="20"/>
                <w:lang w:bidi="ar-SA"/>
              </w:rPr>
            </w:pPr>
            <w:r w:rsidRPr="004934DF">
              <w:rPr>
                <w:rFonts w:cs="Arial"/>
                <w:sz w:val="20"/>
                <w:szCs w:val="20"/>
                <w:lang w:val="en-US" w:bidi="ar-SA"/>
              </w:rPr>
              <w:t> </w:t>
            </w:r>
          </w:p>
          <w:p w:rsidR="002C6FEE" w:rsidRPr="004934DF" w:rsidRDefault="002C6FEE" w:rsidP="002C6FEE">
            <w:pPr>
              <w:spacing w:after="0"/>
              <w:jc w:val="left"/>
              <w:rPr>
                <w:rFonts w:cs="Arial"/>
                <w:sz w:val="20"/>
                <w:szCs w:val="20"/>
                <w:lang w:bidi="ar-SA"/>
              </w:rPr>
            </w:pPr>
            <w:r w:rsidRPr="004934DF">
              <w:rPr>
                <w:rFonts w:cs="Arial"/>
                <w:sz w:val="20"/>
                <w:szCs w:val="20"/>
                <w:lang w:val="en-US" w:bidi="ar-SA"/>
              </w:rPr>
              <w:t> </w:t>
            </w:r>
          </w:p>
          <w:p w:rsidR="002C6FEE" w:rsidRPr="004934DF" w:rsidRDefault="002C6FEE" w:rsidP="002C6FEE">
            <w:pPr>
              <w:spacing w:after="0"/>
              <w:jc w:val="left"/>
              <w:rPr>
                <w:rFonts w:cs="Arial"/>
                <w:sz w:val="20"/>
                <w:szCs w:val="20"/>
                <w:lang w:bidi="ar-SA"/>
              </w:rPr>
            </w:pPr>
            <w:r w:rsidRPr="004934DF">
              <w:rPr>
                <w:rFonts w:cs="Arial"/>
                <w:sz w:val="20"/>
                <w:szCs w:val="20"/>
                <w:lang w:val="en-US" w:bidi="ar-SA"/>
              </w:rPr>
              <w:t> </w:t>
            </w:r>
          </w:p>
        </w:tc>
      </w:tr>
      <w:tr w:rsidR="008E322D" w:rsidRPr="004934DF" w:rsidTr="008E322D">
        <w:trPr>
          <w:trHeight w:hRule="exact" w:val="315"/>
        </w:trPr>
        <w:tc>
          <w:tcPr>
            <w:cnfStyle w:val="001000000000" w:firstRow="0" w:lastRow="0" w:firstColumn="1" w:lastColumn="0" w:oddVBand="0" w:evenVBand="0" w:oddHBand="0" w:evenHBand="0" w:firstRowFirstColumn="0" w:firstRowLastColumn="0" w:lastRowFirstColumn="0" w:lastRowLastColumn="0"/>
            <w:tcW w:w="1809" w:type="dxa"/>
            <w:hideMark/>
          </w:tcPr>
          <w:p w:rsidR="002C6FEE" w:rsidRPr="004934DF" w:rsidRDefault="002C6FEE" w:rsidP="002C6FEE">
            <w:pPr>
              <w:spacing w:after="0"/>
              <w:jc w:val="left"/>
              <w:rPr>
                <w:rFonts w:cs="Arial"/>
                <w:sz w:val="20"/>
                <w:szCs w:val="20"/>
                <w:lang w:bidi="ar-SA"/>
              </w:rPr>
            </w:pPr>
            <w:r w:rsidRPr="004934DF">
              <w:rPr>
                <w:rFonts w:cs="Arial"/>
                <w:sz w:val="20"/>
                <w:szCs w:val="20"/>
                <w:lang w:val="en-US" w:bidi="ar-SA"/>
              </w:rPr>
              <w:t>PPH</w:t>
            </w:r>
          </w:p>
        </w:tc>
        <w:tc>
          <w:tcPr>
            <w:tcW w:w="1418" w:type="dxa"/>
            <w:shd w:val="clear" w:color="auto" w:fill="CDE6FF"/>
            <w:hideMark/>
          </w:tcPr>
          <w:p w:rsidR="002C6FEE" w:rsidRPr="004934DF" w:rsidRDefault="002C6FEE" w:rsidP="002C6FEE">
            <w:pPr>
              <w:spacing w:after="0"/>
              <w:jc w:val="right"/>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2</w:t>
            </w:r>
          </w:p>
        </w:tc>
        <w:tc>
          <w:tcPr>
            <w:tcW w:w="1984"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30%</w:t>
            </w:r>
          </w:p>
        </w:tc>
        <w:tc>
          <w:tcPr>
            <w:tcW w:w="1843"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75%</w:t>
            </w:r>
          </w:p>
        </w:tc>
        <w:tc>
          <w:tcPr>
            <w:tcW w:w="1701"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90%</w:t>
            </w:r>
          </w:p>
        </w:tc>
      </w:tr>
      <w:tr w:rsidR="008E322D" w:rsidRPr="004934DF" w:rsidTr="008E322D">
        <w:trPr>
          <w:trHeight w:hRule="exact" w:val="315"/>
        </w:trPr>
        <w:tc>
          <w:tcPr>
            <w:cnfStyle w:val="001000000000" w:firstRow="0" w:lastRow="0" w:firstColumn="1" w:lastColumn="0" w:oddVBand="0" w:evenVBand="0" w:oddHBand="0" w:evenHBand="0" w:firstRowFirstColumn="0" w:firstRowLastColumn="0" w:lastRowFirstColumn="0" w:lastRowLastColumn="0"/>
            <w:tcW w:w="1809" w:type="dxa"/>
            <w:hideMark/>
          </w:tcPr>
          <w:p w:rsidR="002C6FEE" w:rsidRPr="004934DF" w:rsidRDefault="002C6FEE" w:rsidP="002C6FEE">
            <w:pPr>
              <w:spacing w:after="0"/>
              <w:jc w:val="left"/>
              <w:rPr>
                <w:rFonts w:cs="Arial"/>
                <w:sz w:val="20"/>
                <w:szCs w:val="20"/>
                <w:lang w:bidi="ar-SA"/>
              </w:rPr>
            </w:pPr>
            <w:r w:rsidRPr="004934DF">
              <w:rPr>
                <w:rFonts w:cs="Arial"/>
                <w:sz w:val="20"/>
                <w:szCs w:val="20"/>
                <w:lang w:val="en-US" w:bidi="ar-SA"/>
              </w:rPr>
              <w:t>Sepsis</w:t>
            </w:r>
          </w:p>
        </w:tc>
        <w:tc>
          <w:tcPr>
            <w:tcW w:w="1418" w:type="dxa"/>
            <w:shd w:val="clear" w:color="auto" w:fill="CDE6FF"/>
            <w:hideMark/>
          </w:tcPr>
          <w:p w:rsidR="002C6FEE" w:rsidRPr="004934DF" w:rsidRDefault="002C6FEE" w:rsidP="002C6FEE">
            <w:pPr>
              <w:spacing w:after="0"/>
              <w:jc w:val="right"/>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1</w:t>
            </w:r>
          </w:p>
        </w:tc>
        <w:tc>
          <w:tcPr>
            <w:tcW w:w="1984"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40%</w:t>
            </w:r>
          </w:p>
        </w:tc>
        <w:tc>
          <w:tcPr>
            <w:tcW w:w="1843"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70%</w:t>
            </w:r>
          </w:p>
        </w:tc>
        <w:tc>
          <w:tcPr>
            <w:tcW w:w="1701"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95%</w:t>
            </w:r>
          </w:p>
        </w:tc>
      </w:tr>
      <w:tr w:rsidR="008E322D" w:rsidRPr="004934DF" w:rsidTr="008E322D">
        <w:trPr>
          <w:trHeight w:hRule="exact" w:val="315"/>
        </w:trPr>
        <w:tc>
          <w:tcPr>
            <w:cnfStyle w:val="001000000000" w:firstRow="0" w:lastRow="0" w:firstColumn="1" w:lastColumn="0" w:oddVBand="0" w:evenVBand="0" w:oddHBand="0" w:evenHBand="0" w:firstRowFirstColumn="0" w:firstRowLastColumn="0" w:lastRowFirstColumn="0" w:lastRowLastColumn="0"/>
            <w:tcW w:w="1809" w:type="dxa"/>
            <w:hideMark/>
          </w:tcPr>
          <w:p w:rsidR="002C6FEE" w:rsidRPr="004934DF" w:rsidRDefault="002C6FEE" w:rsidP="002C6FEE">
            <w:pPr>
              <w:spacing w:after="0"/>
              <w:jc w:val="left"/>
              <w:rPr>
                <w:rFonts w:cs="Arial"/>
                <w:sz w:val="20"/>
                <w:szCs w:val="20"/>
                <w:lang w:bidi="ar-SA"/>
              </w:rPr>
            </w:pPr>
            <w:r w:rsidRPr="004934DF">
              <w:rPr>
                <w:rFonts w:cs="Arial"/>
                <w:sz w:val="20"/>
                <w:szCs w:val="20"/>
                <w:lang w:val="en-US" w:bidi="ar-SA"/>
              </w:rPr>
              <w:t>Obstructed labor</w:t>
            </w:r>
          </w:p>
        </w:tc>
        <w:tc>
          <w:tcPr>
            <w:tcW w:w="1418" w:type="dxa"/>
            <w:shd w:val="clear" w:color="auto" w:fill="CDE6FF"/>
            <w:hideMark/>
          </w:tcPr>
          <w:p w:rsidR="002C6FEE" w:rsidRPr="004934DF" w:rsidRDefault="002C6FEE" w:rsidP="002C6FEE">
            <w:pPr>
              <w:spacing w:after="0"/>
              <w:jc w:val="right"/>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20</w:t>
            </w:r>
          </w:p>
        </w:tc>
        <w:tc>
          <w:tcPr>
            <w:tcW w:w="1984"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0%</w:t>
            </w:r>
          </w:p>
        </w:tc>
        <w:tc>
          <w:tcPr>
            <w:tcW w:w="1843"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25%</w:t>
            </w:r>
          </w:p>
        </w:tc>
        <w:tc>
          <w:tcPr>
            <w:tcW w:w="1701"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95%</w:t>
            </w:r>
          </w:p>
        </w:tc>
      </w:tr>
      <w:tr w:rsidR="008E322D" w:rsidRPr="004934DF" w:rsidTr="008E322D">
        <w:trPr>
          <w:trHeight w:hRule="exact" w:val="315"/>
        </w:trPr>
        <w:tc>
          <w:tcPr>
            <w:cnfStyle w:val="001000000000" w:firstRow="0" w:lastRow="0" w:firstColumn="1" w:lastColumn="0" w:oddVBand="0" w:evenVBand="0" w:oddHBand="0" w:evenHBand="0" w:firstRowFirstColumn="0" w:firstRowLastColumn="0" w:lastRowFirstColumn="0" w:lastRowLastColumn="0"/>
            <w:tcW w:w="1809" w:type="dxa"/>
            <w:hideMark/>
          </w:tcPr>
          <w:p w:rsidR="002C6FEE" w:rsidRPr="004934DF" w:rsidRDefault="002C6FEE" w:rsidP="002C6FEE">
            <w:pPr>
              <w:spacing w:after="0"/>
              <w:jc w:val="left"/>
              <w:rPr>
                <w:rFonts w:cs="Arial"/>
                <w:sz w:val="20"/>
                <w:szCs w:val="20"/>
                <w:lang w:bidi="ar-SA"/>
              </w:rPr>
            </w:pPr>
            <w:r w:rsidRPr="004934DF">
              <w:rPr>
                <w:rFonts w:cs="Arial"/>
                <w:sz w:val="20"/>
                <w:szCs w:val="20"/>
                <w:lang w:val="en-US" w:bidi="ar-SA"/>
              </w:rPr>
              <w:t>Hypertension</w:t>
            </w:r>
          </w:p>
        </w:tc>
        <w:tc>
          <w:tcPr>
            <w:tcW w:w="1418" w:type="dxa"/>
            <w:shd w:val="clear" w:color="auto" w:fill="CDE6FF"/>
            <w:hideMark/>
          </w:tcPr>
          <w:p w:rsidR="002C6FEE" w:rsidRPr="004934DF" w:rsidRDefault="002C6FEE" w:rsidP="002C6FEE">
            <w:pPr>
              <w:spacing w:after="0"/>
              <w:jc w:val="right"/>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1</w:t>
            </w:r>
          </w:p>
        </w:tc>
        <w:tc>
          <w:tcPr>
            <w:tcW w:w="1984"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0%</w:t>
            </w:r>
          </w:p>
        </w:tc>
        <w:tc>
          <w:tcPr>
            <w:tcW w:w="1843"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60%</w:t>
            </w:r>
          </w:p>
        </w:tc>
        <w:tc>
          <w:tcPr>
            <w:tcW w:w="1701"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90%</w:t>
            </w:r>
          </w:p>
        </w:tc>
      </w:tr>
      <w:tr w:rsidR="008E322D" w:rsidRPr="004934DF" w:rsidTr="008E322D">
        <w:trPr>
          <w:trHeight w:hRule="exact" w:val="315"/>
        </w:trPr>
        <w:tc>
          <w:tcPr>
            <w:cnfStyle w:val="001000000000" w:firstRow="0" w:lastRow="0" w:firstColumn="1" w:lastColumn="0" w:oddVBand="0" w:evenVBand="0" w:oddHBand="0" w:evenHBand="0" w:firstRowFirstColumn="0" w:firstRowLastColumn="0" w:lastRowFirstColumn="0" w:lastRowLastColumn="0"/>
            <w:tcW w:w="1809" w:type="dxa"/>
            <w:hideMark/>
          </w:tcPr>
          <w:p w:rsidR="002C6FEE" w:rsidRPr="004934DF" w:rsidRDefault="002C6FEE" w:rsidP="002C6FEE">
            <w:pPr>
              <w:spacing w:after="0"/>
              <w:jc w:val="left"/>
              <w:rPr>
                <w:rFonts w:cs="Arial"/>
                <w:sz w:val="20"/>
                <w:szCs w:val="20"/>
                <w:lang w:bidi="ar-SA"/>
              </w:rPr>
            </w:pPr>
            <w:r w:rsidRPr="004934DF">
              <w:rPr>
                <w:rFonts w:cs="Arial"/>
                <w:sz w:val="20"/>
                <w:szCs w:val="20"/>
                <w:lang w:val="en-US" w:bidi="ar-SA"/>
              </w:rPr>
              <w:t>Unsafe abortion</w:t>
            </w:r>
          </w:p>
        </w:tc>
        <w:tc>
          <w:tcPr>
            <w:tcW w:w="1418" w:type="dxa"/>
            <w:shd w:val="clear" w:color="auto" w:fill="CDE6FF"/>
            <w:hideMark/>
          </w:tcPr>
          <w:p w:rsidR="002C6FEE" w:rsidRPr="004934DF" w:rsidRDefault="002C6FEE" w:rsidP="002C6FEE">
            <w:pPr>
              <w:spacing w:after="0"/>
              <w:jc w:val="right"/>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10</w:t>
            </w:r>
          </w:p>
        </w:tc>
        <w:tc>
          <w:tcPr>
            <w:tcW w:w="1984"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0%</w:t>
            </w:r>
          </w:p>
        </w:tc>
        <w:tc>
          <w:tcPr>
            <w:tcW w:w="1843"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50%</w:t>
            </w:r>
          </w:p>
        </w:tc>
        <w:tc>
          <w:tcPr>
            <w:tcW w:w="1701"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85%</w:t>
            </w:r>
          </w:p>
        </w:tc>
      </w:tr>
      <w:tr w:rsidR="008E322D" w:rsidRPr="004934DF" w:rsidTr="008E322D">
        <w:trPr>
          <w:trHeight w:hRule="exact" w:val="315"/>
        </w:trPr>
        <w:tc>
          <w:tcPr>
            <w:cnfStyle w:val="001000000000" w:firstRow="0" w:lastRow="0" w:firstColumn="1" w:lastColumn="0" w:oddVBand="0" w:evenVBand="0" w:oddHBand="0" w:evenHBand="0" w:firstRowFirstColumn="0" w:firstRowLastColumn="0" w:lastRowFirstColumn="0" w:lastRowLastColumn="0"/>
            <w:tcW w:w="1809" w:type="dxa"/>
            <w:hideMark/>
          </w:tcPr>
          <w:p w:rsidR="002C6FEE" w:rsidRPr="004934DF" w:rsidRDefault="002C6FEE" w:rsidP="002C6FEE">
            <w:pPr>
              <w:spacing w:after="0"/>
              <w:jc w:val="left"/>
              <w:rPr>
                <w:rFonts w:cs="Arial"/>
                <w:sz w:val="20"/>
                <w:szCs w:val="20"/>
                <w:lang w:bidi="ar-SA"/>
              </w:rPr>
            </w:pPr>
            <w:r w:rsidRPr="004934DF">
              <w:rPr>
                <w:rFonts w:cs="Arial"/>
                <w:sz w:val="20"/>
                <w:szCs w:val="20"/>
                <w:lang w:val="en-US" w:bidi="ar-SA"/>
              </w:rPr>
              <w:t>Embolism</w:t>
            </w:r>
          </w:p>
        </w:tc>
        <w:tc>
          <w:tcPr>
            <w:tcW w:w="1418" w:type="dxa"/>
            <w:shd w:val="clear" w:color="auto" w:fill="CDE6FF"/>
            <w:hideMark/>
          </w:tcPr>
          <w:p w:rsidR="002C6FEE" w:rsidRPr="004934DF" w:rsidRDefault="002C6FEE" w:rsidP="002C6FEE">
            <w:pPr>
              <w:spacing w:after="0"/>
              <w:jc w:val="right"/>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0.25</w:t>
            </w:r>
          </w:p>
        </w:tc>
        <w:tc>
          <w:tcPr>
            <w:tcW w:w="1984"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0%</w:t>
            </w:r>
          </w:p>
        </w:tc>
        <w:tc>
          <w:tcPr>
            <w:tcW w:w="1843"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0%</w:t>
            </w:r>
          </w:p>
        </w:tc>
        <w:tc>
          <w:tcPr>
            <w:tcW w:w="1701"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5%</w:t>
            </w:r>
          </w:p>
        </w:tc>
      </w:tr>
      <w:tr w:rsidR="008E322D" w:rsidRPr="004934DF" w:rsidTr="008E322D">
        <w:trPr>
          <w:trHeight w:hRule="exact" w:val="315"/>
        </w:trPr>
        <w:tc>
          <w:tcPr>
            <w:cnfStyle w:val="001000000000" w:firstRow="0" w:lastRow="0" w:firstColumn="1" w:lastColumn="0" w:oddVBand="0" w:evenVBand="0" w:oddHBand="0" w:evenHBand="0" w:firstRowFirstColumn="0" w:firstRowLastColumn="0" w:lastRowFirstColumn="0" w:lastRowLastColumn="0"/>
            <w:tcW w:w="1809" w:type="dxa"/>
            <w:hideMark/>
          </w:tcPr>
          <w:p w:rsidR="002C6FEE" w:rsidRPr="004934DF" w:rsidRDefault="002C6FEE" w:rsidP="002C6FEE">
            <w:pPr>
              <w:spacing w:after="0"/>
              <w:jc w:val="left"/>
              <w:rPr>
                <w:rFonts w:cs="Arial"/>
                <w:sz w:val="20"/>
                <w:szCs w:val="20"/>
                <w:lang w:bidi="ar-SA"/>
              </w:rPr>
            </w:pPr>
            <w:r w:rsidRPr="004934DF">
              <w:rPr>
                <w:rFonts w:cs="Arial"/>
                <w:sz w:val="20"/>
                <w:szCs w:val="20"/>
                <w:lang w:val="en-US" w:bidi="ar-SA"/>
              </w:rPr>
              <w:t>Other direct causes</w:t>
            </w:r>
          </w:p>
        </w:tc>
        <w:tc>
          <w:tcPr>
            <w:tcW w:w="1418" w:type="dxa"/>
            <w:shd w:val="clear" w:color="auto" w:fill="CDE6FF"/>
            <w:hideMark/>
          </w:tcPr>
          <w:p w:rsidR="002C6FEE" w:rsidRPr="004934DF" w:rsidRDefault="002C6FEE" w:rsidP="002C6FEE">
            <w:pPr>
              <w:spacing w:after="0"/>
              <w:jc w:val="right"/>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1</w:t>
            </w:r>
          </w:p>
        </w:tc>
        <w:tc>
          <w:tcPr>
            <w:tcW w:w="1984"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25%</w:t>
            </w:r>
          </w:p>
        </w:tc>
        <w:tc>
          <w:tcPr>
            <w:tcW w:w="1843"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25%</w:t>
            </w:r>
          </w:p>
        </w:tc>
        <w:tc>
          <w:tcPr>
            <w:tcW w:w="1701"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90%</w:t>
            </w:r>
          </w:p>
        </w:tc>
      </w:tr>
      <w:tr w:rsidR="008E322D" w:rsidRPr="004934DF" w:rsidTr="008E322D">
        <w:trPr>
          <w:trHeight w:hRule="exact" w:val="315"/>
        </w:trPr>
        <w:tc>
          <w:tcPr>
            <w:cnfStyle w:val="001000000000" w:firstRow="0" w:lastRow="0" w:firstColumn="1" w:lastColumn="0" w:oddVBand="0" w:evenVBand="0" w:oddHBand="0" w:evenHBand="0" w:firstRowFirstColumn="0" w:firstRowLastColumn="0" w:lastRowFirstColumn="0" w:lastRowLastColumn="0"/>
            <w:tcW w:w="1809" w:type="dxa"/>
            <w:hideMark/>
          </w:tcPr>
          <w:p w:rsidR="002C6FEE" w:rsidRPr="004934DF" w:rsidRDefault="002C6FEE" w:rsidP="002C6FEE">
            <w:pPr>
              <w:spacing w:after="0"/>
              <w:jc w:val="left"/>
              <w:rPr>
                <w:rFonts w:cs="Arial"/>
                <w:sz w:val="20"/>
                <w:szCs w:val="20"/>
                <w:lang w:bidi="ar-SA"/>
              </w:rPr>
            </w:pPr>
            <w:r w:rsidRPr="004934DF">
              <w:rPr>
                <w:rFonts w:cs="Arial"/>
                <w:sz w:val="20"/>
                <w:szCs w:val="20"/>
                <w:lang w:val="en-US" w:bidi="ar-SA"/>
              </w:rPr>
              <w:t>Indirect causes</w:t>
            </w:r>
          </w:p>
        </w:tc>
        <w:tc>
          <w:tcPr>
            <w:tcW w:w="1418" w:type="dxa"/>
            <w:shd w:val="clear" w:color="auto" w:fill="CDE6FF"/>
            <w:hideMark/>
          </w:tcPr>
          <w:p w:rsidR="002C6FEE" w:rsidRPr="004934DF" w:rsidRDefault="002C6FEE" w:rsidP="002C6FEE">
            <w:pPr>
              <w:spacing w:after="0"/>
              <w:jc w:val="right"/>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1</w:t>
            </w:r>
          </w:p>
        </w:tc>
        <w:tc>
          <w:tcPr>
            <w:tcW w:w="1984"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50%</w:t>
            </w:r>
          </w:p>
        </w:tc>
        <w:tc>
          <w:tcPr>
            <w:tcW w:w="1843"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50%</w:t>
            </w:r>
          </w:p>
        </w:tc>
        <w:tc>
          <w:tcPr>
            <w:tcW w:w="1701"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50%</w:t>
            </w:r>
          </w:p>
        </w:tc>
      </w:tr>
      <w:tr w:rsidR="002C6FEE" w:rsidRPr="004934DF" w:rsidTr="009610C8">
        <w:trPr>
          <w:trHeight w:val="315"/>
        </w:trPr>
        <w:tc>
          <w:tcPr>
            <w:cnfStyle w:val="001000000000" w:firstRow="0" w:lastRow="0" w:firstColumn="1" w:lastColumn="0" w:oddVBand="0" w:evenVBand="0" w:oddHBand="0" w:evenHBand="0" w:firstRowFirstColumn="0" w:firstRowLastColumn="0" w:lastRowFirstColumn="0" w:lastRowLastColumn="0"/>
            <w:tcW w:w="8755" w:type="dxa"/>
            <w:gridSpan w:val="5"/>
            <w:hideMark/>
          </w:tcPr>
          <w:p w:rsidR="002C6FEE" w:rsidRPr="004934DF" w:rsidRDefault="002C6FEE" w:rsidP="002C6FEE">
            <w:pPr>
              <w:spacing w:after="0"/>
              <w:jc w:val="left"/>
              <w:rPr>
                <w:rFonts w:cs="Arial"/>
                <w:b/>
                <w:bCs/>
                <w:sz w:val="20"/>
                <w:szCs w:val="20"/>
                <w:lang w:bidi="ar-SA"/>
              </w:rPr>
            </w:pPr>
            <w:r w:rsidRPr="004934DF">
              <w:rPr>
                <w:rFonts w:cs="Arial"/>
                <w:b/>
                <w:bCs/>
                <w:sz w:val="20"/>
                <w:szCs w:val="20"/>
                <w:lang w:val="en-US" w:bidi="ar-SA"/>
              </w:rPr>
              <w:t>Newborn:</w:t>
            </w:r>
          </w:p>
        </w:tc>
      </w:tr>
      <w:tr w:rsidR="008E322D" w:rsidRPr="004934DF" w:rsidTr="008E322D">
        <w:trPr>
          <w:trHeight w:hRule="exact" w:val="315"/>
        </w:trPr>
        <w:tc>
          <w:tcPr>
            <w:cnfStyle w:val="001000000000" w:firstRow="0" w:lastRow="0" w:firstColumn="1" w:lastColumn="0" w:oddVBand="0" w:evenVBand="0" w:oddHBand="0" w:evenHBand="0" w:firstRowFirstColumn="0" w:firstRowLastColumn="0" w:lastRowFirstColumn="0" w:lastRowLastColumn="0"/>
            <w:tcW w:w="1809" w:type="dxa"/>
            <w:hideMark/>
          </w:tcPr>
          <w:p w:rsidR="002C6FEE" w:rsidRPr="004934DF" w:rsidRDefault="002C6FEE" w:rsidP="002C6FEE">
            <w:pPr>
              <w:spacing w:after="0"/>
              <w:jc w:val="left"/>
              <w:rPr>
                <w:rFonts w:cs="Arial"/>
                <w:sz w:val="20"/>
                <w:szCs w:val="20"/>
                <w:lang w:bidi="ar-SA"/>
              </w:rPr>
            </w:pPr>
            <w:r w:rsidRPr="004934DF">
              <w:rPr>
                <w:rFonts w:cs="Arial"/>
                <w:sz w:val="20"/>
                <w:szCs w:val="20"/>
                <w:lang w:val="en-US" w:bidi="ar-SA"/>
              </w:rPr>
              <w:t>Asphyxia</w:t>
            </w:r>
          </w:p>
        </w:tc>
        <w:tc>
          <w:tcPr>
            <w:tcW w:w="1418" w:type="dxa"/>
            <w:shd w:val="clear" w:color="auto" w:fill="CDE6FF"/>
            <w:hideMark/>
          </w:tcPr>
          <w:p w:rsidR="002C6FEE" w:rsidRPr="004934DF" w:rsidRDefault="002C6FEE" w:rsidP="002C6FEE">
            <w:pPr>
              <w:spacing w:after="0"/>
              <w:jc w:val="right"/>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8</w:t>
            </w:r>
          </w:p>
        </w:tc>
        <w:tc>
          <w:tcPr>
            <w:tcW w:w="1984"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75%</w:t>
            </w:r>
          </w:p>
        </w:tc>
        <w:tc>
          <w:tcPr>
            <w:tcW w:w="1843"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95%</w:t>
            </w:r>
          </w:p>
        </w:tc>
        <w:tc>
          <w:tcPr>
            <w:tcW w:w="1701"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95%</w:t>
            </w:r>
          </w:p>
        </w:tc>
      </w:tr>
      <w:tr w:rsidR="008E322D" w:rsidRPr="004934DF" w:rsidTr="008E322D">
        <w:trPr>
          <w:trHeight w:hRule="exact" w:val="315"/>
        </w:trPr>
        <w:tc>
          <w:tcPr>
            <w:cnfStyle w:val="001000000000" w:firstRow="0" w:lastRow="0" w:firstColumn="1" w:lastColumn="0" w:oddVBand="0" w:evenVBand="0" w:oddHBand="0" w:evenHBand="0" w:firstRowFirstColumn="0" w:firstRowLastColumn="0" w:lastRowFirstColumn="0" w:lastRowLastColumn="0"/>
            <w:tcW w:w="1809" w:type="dxa"/>
            <w:hideMark/>
          </w:tcPr>
          <w:p w:rsidR="002C6FEE" w:rsidRPr="004934DF" w:rsidRDefault="002C6FEE" w:rsidP="002C6FEE">
            <w:pPr>
              <w:spacing w:after="0"/>
              <w:jc w:val="left"/>
              <w:rPr>
                <w:rFonts w:cs="Arial"/>
                <w:sz w:val="20"/>
                <w:szCs w:val="20"/>
                <w:lang w:bidi="ar-SA"/>
              </w:rPr>
            </w:pPr>
            <w:r w:rsidRPr="004934DF">
              <w:rPr>
                <w:rFonts w:cs="Arial"/>
                <w:sz w:val="20"/>
                <w:szCs w:val="20"/>
                <w:lang w:val="en-US" w:bidi="ar-SA"/>
              </w:rPr>
              <w:t>Infection</w:t>
            </w:r>
          </w:p>
        </w:tc>
        <w:tc>
          <w:tcPr>
            <w:tcW w:w="1418" w:type="dxa"/>
            <w:shd w:val="clear" w:color="auto" w:fill="CDE6FF"/>
            <w:hideMark/>
          </w:tcPr>
          <w:p w:rsidR="002C6FEE" w:rsidRPr="004934DF" w:rsidRDefault="002C6FEE" w:rsidP="002C6FEE">
            <w:pPr>
              <w:spacing w:after="0"/>
              <w:jc w:val="right"/>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1</w:t>
            </w:r>
          </w:p>
        </w:tc>
        <w:tc>
          <w:tcPr>
            <w:tcW w:w="1984"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75%</w:t>
            </w:r>
          </w:p>
        </w:tc>
        <w:tc>
          <w:tcPr>
            <w:tcW w:w="1843"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75%</w:t>
            </w:r>
          </w:p>
        </w:tc>
        <w:tc>
          <w:tcPr>
            <w:tcW w:w="1701"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95%</w:t>
            </w:r>
          </w:p>
        </w:tc>
      </w:tr>
      <w:tr w:rsidR="008E322D" w:rsidRPr="004934DF" w:rsidTr="008E322D">
        <w:trPr>
          <w:trHeight w:hRule="exact" w:val="315"/>
        </w:trPr>
        <w:tc>
          <w:tcPr>
            <w:cnfStyle w:val="001000000000" w:firstRow="0" w:lastRow="0" w:firstColumn="1" w:lastColumn="0" w:oddVBand="0" w:evenVBand="0" w:oddHBand="0" w:evenHBand="0" w:firstRowFirstColumn="0" w:firstRowLastColumn="0" w:lastRowFirstColumn="0" w:lastRowLastColumn="0"/>
            <w:tcW w:w="1809" w:type="dxa"/>
            <w:hideMark/>
          </w:tcPr>
          <w:p w:rsidR="002C6FEE" w:rsidRPr="004934DF" w:rsidRDefault="002C6FEE" w:rsidP="002C6FEE">
            <w:pPr>
              <w:spacing w:after="0"/>
              <w:jc w:val="left"/>
              <w:rPr>
                <w:rFonts w:cs="Arial"/>
                <w:sz w:val="20"/>
                <w:szCs w:val="20"/>
                <w:lang w:bidi="ar-SA"/>
              </w:rPr>
            </w:pPr>
            <w:r w:rsidRPr="004934DF">
              <w:rPr>
                <w:rFonts w:cs="Arial"/>
                <w:sz w:val="20"/>
                <w:szCs w:val="20"/>
                <w:lang w:val="en-US" w:bidi="ar-SA"/>
              </w:rPr>
              <w:t>Congenital</w:t>
            </w:r>
          </w:p>
        </w:tc>
        <w:tc>
          <w:tcPr>
            <w:tcW w:w="1418" w:type="dxa"/>
            <w:shd w:val="clear" w:color="auto" w:fill="CDE6FF"/>
            <w:hideMark/>
          </w:tcPr>
          <w:p w:rsidR="002C6FEE" w:rsidRPr="004934DF" w:rsidRDefault="002C6FEE" w:rsidP="002C6FEE">
            <w:pPr>
              <w:spacing w:after="0"/>
              <w:jc w:val="right"/>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10</w:t>
            </w:r>
          </w:p>
        </w:tc>
        <w:tc>
          <w:tcPr>
            <w:tcW w:w="1984"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0%</w:t>
            </w:r>
          </w:p>
        </w:tc>
        <w:tc>
          <w:tcPr>
            <w:tcW w:w="1843"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0%</w:t>
            </w:r>
          </w:p>
        </w:tc>
        <w:tc>
          <w:tcPr>
            <w:tcW w:w="1701"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25%</w:t>
            </w:r>
          </w:p>
        </w:tc>
      </w:tr>
      <w:tr w:rsidR="008E322D" w:rsidRPr="004934DF" w:rsidTr="008E322D">
        <w:trPr>
          <w:trHeight w:hRule="exact" w:val="315"/>
        </w:trPr>
        <w:tc>
          <w:tcPr>
            <w:cnfStyle w:val="001000000000" w:firstRow="0" w:lastRow="0" w:firstColumn="1" w:lastColumn="0" w:oddVBand="0" w:evenVBand="0" w:oddHBand="0" w:evenHBand="0" w:firstRowFirstColumn="0" w:firstRowLastColumn="0" w:lastRowFirstColumn="0" w:lastRowLastColumn="0"/>
            <w:tcW w:w="1809" w:type="dxa"/>
            <w:hideMark/>
          </w:tcPr>
          <w:p w:rsidR="002C6FEE" w:rsidRPr="004934DF" w:rsidRDefault="002C6FEE" w:rsidP="002C6FEE">
            <w:pPr>
              <w:spacing w:after="0"/>
              <w:jc w:val="left"/>
              <w:rPr>
                <w:rFonts w:cs="Arial"/>
                <w:sz w:val="20"/>
                <w:szCs w:val="20"/>
                <w:lang w:bidi="ar-SA"/>
              </w:rPr>
            </w:pPr>
            <w:r w:rsidRPr="004934DF">
              <w:rPr>
                <w:rFonts w:cs="Arial"/>
                <w:sz w:val="20"/>
                <w:szCs w:val="20"/>
                <w:lang w:val="en-US" w:bidi="ar-SA"/>
              </w:rPr>
              <w:t>Preterm</w:t>
            </w:r>
          </w:p>
        </w:tc>
        <w:tc>
          <w:tcPr>
            <w:tcW w:w="1418" w:type="dxa"/>
            <w:shd w:val="clear" w:color="auto" w:fill="CDE6FF"/>
            <w:hideMark/>
          </w:tcPr>
          <w:p w:rsidR="002C6FEE" w:rsidRPr="004934DF" w:rsidRDefault="002C6FEE" w:rsidP="002C6FEE">
            <w:pPr>
              <w:spacing w:after="0"/>
              <w:jc w:val="right"/>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8</w:t>
            </w:r>
          </w:p>
        </w:tc>
        <w:tc>
          <w:tcPr>
            <w:tcW w:w="1984"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40%</w:t>
            </w:r>
          </w:p>
        </w:tc>
        <w:tc>
          <w:tcPr>
            <w:tcW w:w="1843"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50%</w:t>
            </w:r>
          </w:p>
        </w:tc>
        <w:tc>
          <w:tcPr>
            <w:tcW w:w="1701"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60%</w:t>
            </w:r>
          </w:p>
        </w:tc>
      </w:tr>
      <w:tr w:rsidR="008E322D" w:rsidRPr="004934DF" w:rsidTr="008E322D">
        <w:trPr>
          <w:trHeight w:hRule="exact" w:val="315"/>
        </w:trPr>
        <w:tc>
          <w:tcPr>
            <w:cnfStyle w:val="001000000000" w:firstRow="0" w:lastRow="0" w:firstColumn="1" w:lastColumn="0" w:oddVBand="0" w:evenVBand="0" w:oddHBand="0" w:evenHBand="0" w:firstRowFirstColumn="0" w:firstRowLastColumn="0" w:lastRowFirstColumn="0" w:lastRowLastColumn="0"/>
            <w:tcW w:w="1809" w:type="dxa"/>
            <w:hideMark/>
          </w:tcPr>
          <w:p w:rsidR="002C6FEE" w:rsidRPr="004934DF" w:rsidRDefault="002C6FEE" w:rsidP="002C6FEE">
            <w:pPr>
              <w:spacing w:after="0"/>
              <w:jc w:val="left"/>
              <w:rPr>
                <w:rFonts w:cs="Arial"/>
                <w:sz w:val="20"/>
                <w:szCs w:val="20"/>
                <w:lang w:bidi="ar-SA"/>
              </w:rPr>
            </w:pPr>
            <w:r w:rsidRPr="004934DF">
              <w:rPr>
                <w:rFonts w:cs="Arial"/>
                <w:sz w:val="20"/>
                <w:szCs w:val="20"/>
                <w:lang w:val="en-US" w:bidi="ar-SA"/>
              </w:rPr>
              <w:t>Diarrhoea</w:t>
            </w:r>
          </w:p>
        </w:tc>
        <w:tc>
          <w:tcPr>
            <w:tcW w:w="1418" w:type="dxa"/>
            <w:shd w:val="clear" w:color="auto" w:fill="CDE6FF"/>
            <w:hideMark/>
          </w:tcPr>
          <w:p w:rsidR="002C6FEE" w:rsidRPr="004934DF" w:rsidRDefault="002C6FEE" w:rsidP="002C6FEE">
            <w:pPr>
              <w:spacing w:after="0"/>
              <w:jc w:val="right"/>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0</w:t>
            </w:r>
          </w:p>
        </w:tc>
        <w:tc>
          <w:tcPr>
            <w:tcW w:w="1984"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80%</w:t>
            </w:r>
          </w:p>
        </w:tc>
        <w:tc>
          <w:tcPr>
            <w:tcW w:w="1843"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95%</w:t>
            </w:r>
          </w:p>
        </w:tc>
        <w:tc>
          <w:tcPr>
            <w:tcW w:w="1701"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95%</w:t>
            </w:r>
          </w:p>
        </w:tc>
      </w:tr>
      <w:tr w:rsidR="008E322D" w:rsidRPr="004934DF" w:rsidTr="008E322D">
        <w:trPr>
          <w:trHeight w:hRule="exact" w:val="315"/>
        </w:trPr>
        <w:tc>
          <w:tcPr>
            <w:cnfStyle w:val="001000000000" w:firstRow="0" w:lastRow="0" w:firstColumn="1" w:lastColumn="0" w:oddVBand="0" w:evenVBand="0" w:oddHBand="0" w:evenHBand="0" w:firstRowFirstColumn="0" w:firstRowLastColumn="0" w:lastRowFirstColumn="0" w:lastRowLastColumn="0"/>
            <w:tcW w:w="1809" w:type="dxa"/>
            <w:hideMark/>
          </w:tcPr>
          <w:p w:rsidR="002C6FEE" w:rsidRPr="004934DF" w:rsidRDefault="002C6FEE" w:rsidP="002C6FEE">
            <w:pPr>
              <w:spacing w:after="0"/>
              <w:jc w:val="left"/>
              <w:rPr>
                <w:rFonts w:cs="Arial"/>
                <w:sz w:val="20"/>
                <w:szCs w:val="20"/>
                <w:lang w:bidi="ar-SA"/>
              </w:rPr>
            </w:pPr>
            <w:r w:rsidRPr="004934DF">
              <w:rPr>
                <w:rFonts w:cs="Arial"/>
                <w:sz w:val="20"/>
                <w:szCs w:val="20"/>
                <w:lang w:val="en-US" w:bidi="ar-SA"/>
              </w:rPr>
              <w:t>Tetanus</w:t>
            </w:r>
          </w:p>
        </w:tc>
        <w:tc>
          <w:tcPr>
            <w:tcW w:w="1418" w:type="dxa"/>
            <w:shd w:val="clear" w:color="auto" w:fill="CDE6FF"/>
            <w:hideMark/>
          </w:tcPr>
          <w:p w:rsidR="002C6FEE" w:rsidRPr="004934DF" w:rsidRDefault="002C6FEE" w:rsidP="002C6FEE">
            <w:pPr>
              <w:spacing w:after="0"/>
              <w:jc w:val="right"/>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0</w:t>
            </w:r>
          </w:p>
        </w:tc>
        <w:tc>
          <w:tcPr>
            <w:tcW w:w="1984"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0%</w:t>
            </w:r>
          </w:p>
        </w:tc>
        <w:tc>
          <w:tcPr>
            <w:tcW w:w="1843"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0%</w:t>
            </w:r>
          </w:p>
        </w:tc>
        <w:tc>
          <w:tcPr>
            <w:tcW w:w="1701"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10%</w:t>
            </w:r>
          </w:p>
        </w:tc>
      </w:tr>
      <w:tr w:rsidR="008E322D" w:rsidRPr="004934DF" w:rsidTr="008E322D">
        <w:trPr>
          <w:trHeight w:hRule="exact" w:val="315"/>
        </w:trPr>
        <w:tc>
          <w:tcPr>
            <w:cnfStyle w:val="001000000000" w:firstRow="0" w:lastRow="0" w:firstColumn="1" w:lastColumn="0" w:oddVBand="0" w:evenVBand="0" w:oddHBand="0" w:evenHBand="0" w:firstRowFirstColumn="0" w:firstRowLastColumn="0" w:lastRowFirstColumn="0" w:lastRowLastColumn="0"/>
            <w:tcW w:w="1809" w:type="dxa"/>
            <w:hideMark/>
          </w:tcPr>
          <w:p w:rsidR="002C6FEE" w:rsidRPr="004934DF" w:rsidRDefault="002C6FEE" w:rsidP="002C6FEE">
            <w:pPr>
              <w:spacing w:after="0"/>
              <w:jc w:val="left"/>
              <w:rPr>
                <w:rFonts w:cs="Arial"/>
                <w:sz w:val="20"/>
                <w:szCs w:val="20"/>
                <w:lang w:bidi="ar-SA"/>
              </w:rPr>
            </w:pPr>
            <w:r w:rsidRPr="004934DF">
              <w:rPr>
                <w:rFonts w:cs="Arial"/>
                <w:sz w:val="20"/>
                <w:szCs w:val="20"/>
                <w:lang w:val="en-US" w:bidi="ar-SA"/>
              </w:rPr>
              <w:t>Other</w:t>
            </w:r>
          </w:p>
        </w:tc>
        <w:tc>
          <w:tcPr>
            <w:tcW w:w="1418" w:type="dxa"/>
            <w:shd w:val="clear" w:color="auto" w:fill="CDE6FF"/>
            <w:hideMark/>
          </w:tcPr>
          <w:p w:rsidR="002C6FEE" w:rsidRPr="004934DF" w:rsidRDefault="002C6FEE" w:rsidP="002C6FEE">
            <w:pPr>
              <w:spacing w:after="0"/>
              <w:jc w:val="right"/>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1</w:t>
            </w:r>
          </w:p>
        </w:tc>
        <w:tc>
          <w:tcPr>
            <w:tcW w:w="1984"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25%</w:t>
            </w:r>
          </w:p>
        </w:tc>
        <w:tc>
          <w:tcPr>
            <w:tcW w:w="1843"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50%</w:t>
            </w:r>
          </w:p>
        </w:tc>
        <w:tc>
          <w:tcPr>
            <w:tcW w:w="1701"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50%</w:t>
            </w:r>
          </w:p>
        </w:tc>
      </w:tr>
      <w:tr w:rsidR="002C6FEE" w:rsidRPr="004934DF" w:rsidTr="009610C8">
        <w:trPr>
          <w:trHeight w:val="315"/>
        </w:trPr>
        <w:tc>
          <w:tcPr>
            <w:cnfStyle w:val="001000000000" w:firstRow="0" w:lastRow="0" w:firstColumn="1" w:lastColumn="0" w:oddVBand="0" w:evenVBand="0" w:oddHBand="0" w:evenHBand="0" w:firstRowFirstColumn="0" w:firstRowLastColumn="0" w:lastRowFirstColumn="0" w:lastRowLastColumn="0"/>
            <w:tcW w:w="8755" w:type="dxa"/>
            <w:gridSpan w:val="5"/>
            <w:hideMark/>
          </w:tcPr>
          <w:p w:rsidR="002C6FEE" w:rsidRPr="004934DF" w:rsidRDefault="002C6FEE" w:rsidP="002C6FEE">
            <w:pPr>
              <w:spacing w:after="0"/>
              <w:jc w:val="left"/>
              <w:rPr>
                <w:rFonts w:cs="Arial"/>
                <w:sz w:val="20"/>
                <w:szCs w:val="20"/>
                <w:lang w:bidi="ar-SA"/>
              </w:rPr>
            </w:pPr>
            <w:r w:rsidRPr="004934DF">
              <w:rPr>
                <w:rFonts w:cs="Arial"/>
                <w:b/>
                <w:bCs/>
                <w:sz w:val="20"/>
                <w:szCs w:val="20"/>
                <w:lang w:val="en-US" w:bidi="ar-SA"/>
              </w:rPr>
              <w:t>Child</w:t>
            </w:r>
            <w:r w:rsidRPr="004934DF">
              <w:rPr>
                <w:rFonts w:cs="Arial"/>
                <w:sz w:val="20"/>
                <w:szCs w:val="20"/>
                <w:lang w:val="en-US" w:bidi="ar-SA"/>
              </w:rPr>
              <w:t>:</w:t>
            </w:r>
          </w:p>
        </w:tc>
      </w:tr>
      <w:tr w:rsidR="008E322D" w:rsidRPr="004934DF" w:rsidTr="008E322D">
        <w:trPr>
          <w:trHeight w:hRule="exact" w:val="315"/>
        </w:trPr>
        <w:tc>
          <w:tcPr>
            <w:cnfStyle w:val="001000000000" w:firstRow="0" w:lastRow="0" w:firstColumn="1" w:lastColumn="0" w:oddVBand="0" w:evenVBand="0" w:oddHBand="0" w:evenHBand="0" w:firstRowFirstColumn="0" w:firstRowLastColumn="0" w:lastRowFirstColumn="0" w:lastRowLastColumn="0"/>
            <w:tcW w:w="1809" w:type="dxa"/>
            <w:hideMark/>
          </w:tcPr>
          <w:p w:rsidR="002C6FEE" w:rsidRPr="004934DF" w:rsidRDefault="002C6FEE" w:rsidP="002C6FEE">
            <w:pPr>
              <w:spacing w:after="0"/>
              <w:jc w:val="left"/>
              <w:rPr>
                <w:rFonts w:cs="Arial"/>
                <w:sz w:val="20"/>
                <w:szCs w:val="20"/>
                <w:lang w:bidi="ar-SA"/>
              </w:rPr>
            </w:pPr>
            <w:r w:rsidRPr="004934DF">
              <w:rPr>
                <w:rFonts w:cs="Arial"/>
                <w:sz w:val="20"/>
                <w:szCs w:val="20"/>
                <w:lang w:val="en-US" w:bidi="ar-SA"/>
              </w:rPr>
              <w:t>Pneumonia</w:t>
            </w:r>
          </w:p>
        </w:tc>
        <w:tc>
          <w:tcPr>
            <w:tcW w:w="1418" w:type="dxa"/>
            <w:shd w:val="clear" w:color="auto" w:fill="CDE6FF"/>
            <w:hideMark/>
          </w:tcPr>
          <w:p w:rsidR="002C6FEE" w:rsidRPr="004934DF" w:rsidRDefault="002C6FEE" w:rsidP="002C6FEE">
            <w:pPr>
              <w:spacing w:after="0"/>
              <w:jc w:val="right"/>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0</w:t>
            </w:r>
          </w:p>
        </w:tc>
        <w:tc>
          <w:tcPr>
            <w:tcW w:w="1984"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75%</w:t>
            </w:r>
          </w:p>
        </w:tc>
        <w:tc>
          <w:tcPr>
            <w:tcW w:w="1843"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95%</w:t>
            </w:r>
          </w:p>
        </w:tc>
        <w:tc>
          <w:tcPr>
            <w:tcW w:w="1701"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95%</w:t>
            </w:r>
          </w:p>
        </w:tc>
      </w:tr>
      <w:tr w:rsidR="008E322D" w:rsidRPr="004934DF" w:rsidTr="008E322D">
        <w:trPr>
          <w:trHeight w:hRule="exact" w:val="315"/>
        </w:trPr>
        <w:tc>
          <w:tcPr>
            <w:cnfStyle w:val="001000000000" w:firstRow="0" w:lastRow="0" w:firstColumn="1" w:lastColumn="0" w:oddVBand="0" w:evenVBand="0" w:oddHBand="0" w:evenHBand="0" w:firstRowFirstColumn="0" w:firstRowLastColumn="0" w:lastRowFirstColumn="0" w:lastRowLastColumn="0"/>
            <w:tcW w:w="1809" w:type="dxa"/>
            <w:hideMark/>
          </w:tcPr>
          <w:p w:rsidR="002C6FEE" w:rsidRPr="004934DF" w:rsidRDefault="002C6FEE" w:rsidP="002C6FEE">
            <w:pPr>
              <w:spacing w:after="0"/>
              <w:jc w:val="left"/>
              <w:rPr>
                <w:rFonts w:cs="Arial"/>
                <w:sz w:val="20"/>
                <w:szCs w:val="20"/>
                <w:lang w:bidi="ar-SA"/>
              </w:rPr>
            </w:pPr>
            <w:r w:rsidRPr="004934DF">
              <w:rPr>
                <w:rFonts w:cs="Arial"/>
                <w:sz w:val="20"/>
                <w:szCs w:val="20"/>
                <w:lang w:val="en-US" w:bidi="ar-SA"/>
              </w:rPr>
              <w:t>Other</w:t>
            </w:r>
          </w:p>
        </w:tc>
        <w:tc>
          <w:tcPr>
            <w:tcW w:w="1418" w:type="dxa"/>
            <w:shd w:val="clear" w:color="auto" w:fill="CDE6FF"/>
            <w:hideMark/>
          </w:tcPr>
          <w:p w:rsidR="002C6FEE" w:rsidRPr="004934DF" w:rsidRDefault="002C6FEE" w:rsidP="002C6FEE">
            <w:pPr>
              <w:spacing w:after="0"/>
              <w:jc w:val="right"/>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0.25</w:t>
            </w:r>
          </w:p>
        </w:tc>
        <w:tc>
          <w:tcPr>
            <w:tcW w:w="1984"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25%</w:t>
            </w:r>
          </w:p>
        </w:tc>
        <w:tc>
          <w:tcPr>
            <w:tcW w:w="1843"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50%</w:t>
            </w:r>
          </w:p>
        </w:tc>
        <w:tc>
          <w:tcPr>
            <w:tcW w:w="1701"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75%</w:t>
            </w:r>
          </w:p>
        </w:tc>
      </w:tr>
      <w:tr w:rsidR="008E322D" w:rsidRPr="004934DF" w:rsidTr="008E322D">
        <w:trPr>
          <w:trHeight w:hRule="exact" w:val="315"/>
        </w:trPr>
        <w:tc>
          <w:tcPr>
            <w:cnfStyle w:val="001000000000" w:firstRow="0" w:lastRow="0" w:firstColumn="1" w:lastColumn="0" w:oddVBand="0" w:evenVBand="0" w:oddHBand="0" w:evenHBand="0" w:firstRowFirstColumn="0" w:firstRowLastColumn="0" w:lastRowFirstColumn="0" w:lastRowLastColumn="0"/>
            <w:tcW w:w="1809" w:type="dxa"/>
            <w:hideMark/>
          </w:tcPr>
          <w:p w:rsidR="002C6FEE" w:rsidRPr="004934DF" w:rsidRDefault="002C6FEE" w:rsidP="002C6FEE">
            <w:pPr>
              <w:spacing w:after="0"/>
              <w:jc w:val="left"/>
              <w:rPr>
                <w:rFonts w:cs="Arial"/>
                <w:sz w:val="20"/>
                <w:szCs w:val="20"/>
                <w:lang w:bidi="ar-SA"/>
              </w:rPr>
            </w:pPr>
            <w:r w:rsidRPr="004934DF">
              <w:rPr>
                <w:rFonts w:cs="Arial"/>
                <w:sz w:val="20"/>
                <w:szCs w:val="20"/>
                <w:lang w:val="en-US" w:bidi="ar-SA"/>
              </w:rPr>
              <w:t>Diarrhoea</w:t>
            </w:r>
          </w:p>
        </w:tc>
        <w:tc>
          <w:tcPr>
            <w:tcW w:w="1418" w:type="dxa"/>
            <w:shd w:val="clear" w:color="auto" w:fill="CDE6FF"/>
            <w:hideMark/>
          </w:tcPr>
          <w:p w:rsidR="002C6FEE" w:rsidRPr="004934DF" w:rsidRDefault="002C6FEE" w:rsidP="002C6FEE">
            <w:pPr>
              <w:spacing w:after="0"/>
              <w:jc w:val="right"/>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0</w:t>
            </w:r>
          </w:p>
        </w:tc>
        <w:tc>
          <w:tcPr>
            <w:tcW w:w="1984"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80%</w:t>
            </w:r>
          </w:p>
        </w:tc>
        <w:tc>
          <w:tcPr>
            <w:tcW w:w="1843"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90%</w:t>
            </w:r>
          </w:p>
        </w:tc>
        <w:tc>
          <w:tcPr>
            <w:tcW w:w="1701"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95%</w:t>
            </w:r>
          </w:p>
        </w:tc>
      </w:tr>
      <w:tr w:rsidR="008E322D" w:rsidRPr="004934DF" w:rsidTr="008E322D">
        <w:trPr>
          <w:trHeight w:hRule="exact" w:val="315"/>
        </w:trPr>
        <w:tc>
          <w:tcPr>
            <w:cnfStyle w:val="001000000000" w:firstRow="0" w:lastRow="0" w:firstColumn="1" w:lastColumn="0" w:oddVBand="0" w:evenVBand="0" w:oddHBand="0" w:evenHBand="0" w:firstRowFirstColumn="0" w:firstRowLastColumn="0" w:lastRowFirstColumn="0" w:lastRowLastColumn="0"/>
            <w:tcW w:w="1809" w:type="dxa"/>
            <w:hideMark/>
          </w:tcPr>
          <w:p w:rsidR="002C6FEE" w:rsidRPr="004934DF" w:rsidRDefault="002C6FEE" w:rsidP="002C6FEE">
            <w:pPr>
              <w:spacing w:after="0"/>
              <w:jc w:val="left"/>
              <w:rPr>
                <w:rFonts w:cs="Arial"/>
                <w:sz w:val="20"/>
                <w:szCs w:val="20"/>
                <w:lang w:bidi="ar-SA"/>
              </w:rPr>
            </w:pPr>
            <w:r w:rsidRPr="004934DF">
              <w:rPr>
                <w:rFonts w:cs="Arial"/>
                <w:sz w:val="20"/>
                <w:szCs w:val="20"/>
                <w:lang w:val="en-US" w:bidi="ar-SA"/>
              </w:rPr>
              <w:t>Malaria</w:t>
            </w:r>
          </w:p>
        </w:tc>
        <w:tc>
          <w:tcPr>
            <w:tcW w:w="1418" w:type="dxa"/>
            <w:shd w:val="clear" w:color="auto" w:fill="CDE6FF"/>
            <w:hideMark/>
          </w:tcPr>
          <w:p w:rsidR="002C6FEE" w:rsidRPr="004934DF" w:rsidRDefault="002C6FEE" w:rsidP="002C6FEE">
            <w:pPr>
              <w:spacing w:after="0"/>
              <w:jc w:val="right"/>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0.25</w:t>
            </w:r>
          </w:p>
        </w:tc>
        <w:tc>
          <w:tcPr>
            <w:tcW w:w="1984"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40%</w:t>
            </w:r>
          </w:p>
        </w:tc>
        <w:tc>
          <w:tcPr>
            <w:tcW w:w="1843"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75%</w:t>
            </w:r>
          </w:p>
        </w:tc>
        <w:tc>
          <w:tcPr>
            <w:tcW w:w="1701"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90%</w:t>
            </w:r>
          </w:p>
        </w:tc>
      </w:tr>
      <w:tr w:rsidR="008E322D" w:rsidRPr="004934DF" w:rsidTr="008E322D">
        <w:trPr>
          <w:trHeight w:hRule="exact" w:val="315"/>
        </w:trPr>
        <w:tc>
          <w:tcPr>
            <w:cnfStyle w:val="001000000000" w:firstRow="0" w:lastRow="0" w:firstColumn="1" w:lastColumn="0" w:oddVBand="0" w:evenVBand="0" w:oddHBand="0" w:evenHBand="0" w:firstRowFirstColumn="0" w:firstRowLastColumn="0" w:lastRowFirstColumn="0" w:lastRowLastColumn="0"/>
            <w:tcW w:w="1809" w:type="dxa"/>
            <w:hideMark/>
          </w:tcPr>
          <w:p w:rsidR="002C6FEE" w:rsidRPr="004934DF" w:rsidRDefault="002C6FEE" w:rsidP="002C6FEE">
            <w:pPr>
              <w:spacing w:after="0"/>
              <w:jc w:val="left"/>
              <w:rPr>
                <w:rFonts w:cs="Arial"/>
                <w:sz w:val="20"/>
                <w:szCs w:val="20"/>
                <w:lang w:bidi="ar-SA"/>
              </w:rPr>
            </w:pPr>
            <w:r w:rsidRPr="004934DF">
              <w:rPr>
                <w:rFonts w:cs="Arial"/>
                <w:sz w:val="20"/>
                <w:szCs w:val="20"/>
                <w:lang w:val="en-US" w:bidi="ar-SA"/>
              </w:rPr>
              <w:t>Injury</w:t>
            </w:r>
          </w:p>
        </w:tc>
        <w:tc>
          <w:tcPr>
            <w:tcW w:w="1418" w:type="dxa"/>
            <w:shd w:val="clear" w:color="auto" w:fill="CDE6FF"/>
            <w:hideMark/>
          </w:tcPr>
          <w:p w:rsidR="002C6FEE" w:rsidRPr="004934DF" w:rsidRDefault="002C6FEE" w:rsidP="002C6FEE">
            <w:pPr>
              <w:spacing w:after="0"/>
              <w:jc w:val="right"/>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2</w:t>
            </w:r>
          </w:p>
        </w:tc>
        <w:tc>
          <w:tcPr>
            <w:tcW w:w="1984"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25%</w:t>
            </w:r>
          </w:p>
        </w:tc>
        <w:tc>
          <w:tcPr>
            <w:tcW w:w="1843"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50%</w:t>
            </w:r>
          </w:p>
        </w:tc>
        <w:tc>
          <w:tcPr>
            <w:tcW w:w="1701"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75%</w:t>
            </w:r>
          </w:p>
        </w:tc>
      </w:tr>
      <w:tr w:rsidR="008E322D" w:rsidRPr="004934DF" w:rsidTr="008E322D">
        <w:trPr>
          <w:trHeight w:hRule="exact" w:val="315"/>
        </w:trPr>
        <w:tc>
          <w:tcPr>
            <w:cnfStyle w:val="001000000000" w:firstRow="0" w:lastRow="0" w:firstColumn="1" w:lastColumn="0" w:oddVBand="0" w:evenVBand="0" w:oddHBand="0" w:evenHBand="0" w:firstRowFirstColumn="0" w:firstRowLastColumn="0" w:lastRowFirstColumn="0" w:lastRowLastColumn="0"/>
            <w:tcW w:w="1809" w:type="dxa"/>
            <w:hideMark/>
          </w:tcPr>
          <w:p w:rsidR="002C6FEE" w:rsidRPr="004934DF" w:rsidRDefault="002C6FEE" w:rsidP="002C6FEE">
            <w:pPr>
              <w:spacing w:after="0"/>
              <w:jc w:val="left"/>
              <w:rPr>
                <w:rFonts w:cs="Arial"/>
                <w:sz w:val="20"/>
                <w:szCs w:val="20"/>
                <w:lang w:bidi="ar-SA"/>
              </w:rPr>
            </w:pPr>
            <w:r w:rsidRPr="004934DF">
              <w:rPr>
                <w:rFonts w:cs="Arial"/>
                <w:sz w:val="20"/>
                <w:szCs w:val="20"/>
                <w:lang w:val="en-US" w:bidi="ar-SA"/>
              </w:rPr>
              <w:t>Meningitis</w:t>
            </w:r>
          </w:p>
        </w:tc>
        <w:tc>
          <w:tcPr>
            <w:tcW w:w="1418" w:type="dxa"/>
            <w:shd w:val="clear" w:color="auto" w:fill="CDE6FF"/>
            <w:hideMark/>
          </w:tcPr>
          <w:p w:rsidR="002C6FEE" w:rsidRPr="004934DF" w:rsidRDefault="002C6FEE" w:rsidP="002C6FEE">
            <w:pPr>
              <w:spacing w:after="0"/>
              <w:jc w:val="right"/>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1</w:t>
            </w:r>
          </w:p>
        </w:tc>
        <w:tc>
          <w:tcPr>
            <w:tcW w:w="1984"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0%</w:t>
            </w:r>
          </w:p>
        </w:tc>
        <w:tc>
          <w:tcPr>
            <w:tcW w:w="1843"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0%</w:t>
            </w:r>
          </w:p>
        </w:tc>
        <w:tc>
          <w:tcPr>
            <w:tcW w:w="1701"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75%</w:t>
            </w:r>
          </w:p>
        </w:tc>
      </w:tr>
      <w:tr w:rsidR="008E322D" w:rsidRPr="004934DF" w:rsidTr="008E322D">
        <w:trPr>
          <w:trHeight w:hRule="exact" w:val="315"/>
        </w:trPr>
        <w:tc>
          <w:tcPr>
            <w:cnfStyle w:val="001000000000" w:firstRow="0" w:lastRow="0" w:firstColumn="1" w:lastColumn="0" w:oddVBand="0" w:evenVBand="0" w:oddHBand="0" w:evenHBand="0" w:firstRowFirstColumn="0" w:firstRowLastColumn="0" w:lastRowFirstColumn="0" w:lastRowLastColumn="0"/>
            <w:tcW w:w="1809" w:type="dxa"/>
            <w:hideMark/>
          </w:tcPr>
          <w:p w:rsidR="002C6FEE" w:rsidRPr="004934DF" w:rsidRDefault="002C6FEE" w:rsidP="002C6FEE">
            <w:pPr>
              <w:spacing w:after="0"/>
              <w:jc w:val="left"/>
              <w:rPr>
                <w:rFonts w:cs="Arial"/>
                <w:sz w:val="20"/>
                <w:szCs w:val="20"/>
                <w:lang w:bidi="ar-SA"/>
              </w:rPr>
            </w:pPr>
            <w:r w:rsidRPr="004934DF">
              <w:rPr>
                <w:rFonts w:cs="Arial"/>
                <w:sz w:val="20"/>
                <w:szCs w:val="20"/>
                <w:lang w:val="en-US" w:bidi="ar-SA"/>
              </w:rPr>
              <w:t>AIDS</w:t>
            </w:r>
          </w:p>
        </w:tc>
        <w:tc>
          <w:tcPr>
            <w:tcW w:w="1418" w:type="dxa"/>
            <w:shd w:val="clear" w:color="auto" w:fill="CDE6FF"/>
            <w:hideMark/>
          </w:tcPr>
          <w:p w:rsidR="002C6FEE" w:rsidRPr="004934DF" w:rsidRDefault="002C6FEE" w:rsidP="002C6FEE">
            <w:pPr>
              <w:spacing w:after="0"/>
              <w:jc w:val="right"/>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0.5</w:t>
            </w:r>
          </w:p>
        </w:tc>
        <w:tc>
          <w:tcPr>
            <w:tcW w:w="1984"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25%</w:t>
            </w:r>
          </w:p>
        </w:tc>
        <w:tc>
          <w:tcPr>
            <w:tcW w:w="1843"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60%</w:t>
            </w:r>
          </w:p>
        </w:tc>
        <w:tc>
          <w:tcPr>
            <w:tcW w:w="1701" w:type="dxa"/>
            <w:hideMark/>
          </w:tcPr>
          <w:p w:rsidR="002C6FEE" w:rsidRPr="004934DF" w:rsidRDefault="002C6FEE" w:rsidP="002C6FEE">
            <w:pPr>
              <w:spacing w:after="0"/>
              <w:jc w:val="center"/>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val="en-US" w:bidi="ar-SA"/>
              </w:rPr>
              <w:t>90%</w:t>
            </w:r>
          </w:p>
        </w:tc>
      </w:tr>
    </w:tbl>
    <w:p w:rsidR="00773916" w:rsidRDefault="00773916" w:rsidP="00624D3B">
      <w:pPr>
        <w:spacing w:line="276" w:lineRule="auto"/>
      </w:pPr>
    </w:p>
    <w:p w:rsidR="00797B8D" w:rsidRDefault="00797B8D" w:rsidP="00624D3B">
      <w:pPr>
        <w:spacing w:line="276" w:lineRule="auto"/>
      </w:pPr>
      <w:r w:rsidRPr="00FA66BC">
        <w:rPr>
          <w:rFonts w:cs="Arial"/>
        </w:rPr>
        <w:t xml:space="preserve">Total annual deaths and disabilities and potential health system response calculated for Timor-Leste are shown in Table </w:t>
      </w:r>
      <w:r w:rsidR="00E1217B">
        <w:rPr>
          <w:rFonts w:cs="Arial"/>
        </w:rPr>
        <w:t>4</w:t>
      </w:r>
      <w:r w:rsidRPr="00FA66BC">
        <w:rPr>
          <w:rFonts w:cs="Arial"/>
        </w:rPr>
        <w:t xml:space="preserve"> against the three levels of intervention package. The </w:t>
      </w:r>
      <w:r w:rsidR="003C2BA4">
        <w:rPr>
          <w:rFonts w:cs="Arial"/>
        </w:rPr>
        <w:t>T</w:t>
      </w:r>
      <w:r w:rsidRPr="00FA66BC">
        <w:rPr>
          <w:rFonts w:cs="Arial"/>
        </w:rPr>
        <w:t>able therefore identifies the possible additional deaths and disability averted as a package of interventions becom</w:t>
      </w:r>
      <w:r w:rsidR="00494623">
        <w:rPr>
          <w:rFonts w:cs="Arial"/>
        </w:rPr>
        <w:t>es increasingly comprehensive. N</w:t>
      </w:r>
      <w:r w:rsidRPr="00FA66BC">
        <w:rPr>
          <w:rFonts w:cs="Arial"/>
        </w:rPr>
        <w:t>eonatal disabilities are by far the highest number, followed by child deaths and maternal deaths. Unsurprisingly, as the package becomes more comprehensive, an increasing number of deaths and disability are averted. (The figures represent cases, not DALYs).</w:t>
      </w:r>
    </w:p>
    <w:p w:rsidR="00773916" w:rsidRDefault="00773916" w:rsidP="00624D3B">
      <w:pPr>
        <w:spacing w:line="276" w:lineRule="auto"/>
      </w:pPr>
      <w:r>
        <w:t xml:space="preserve"> </w:t>
      </w:r>
    </w:p>
    <w:p w:rsidR="003A52A7" w:rsidRDefault="003A52A7" w:rsidP="00624D3B">
      <w:pPr>
        <w:spacing w:after="0" w:line="276" w:lineRule="auto"/>
        <w:jc w:val="left"/>
        <w:rPr>
          <w:b/>
          <w:bCs/>
          <w:sz w:val="18"/>
          <w:szCs w:val="16"/>
        </w:rPr>
      </w:pPr>
      <w:r>
        <w:br w:type="page"/>
      </w:r>
    </w:p>
    <w:p w:rsidR="00610965" w:rsidRDefault="00AD246F" w:rsidP="00AD246F">
      <w:pPr>
        <w:pStyle w:val="Caption"/>
        <w:rPr>
          <w:szCs w:val="20"/>
        </w:rPr>
      </w:pPr>
      <w:r>
        <w:t xml:space="preserve">Table 4: </w:t>
      </w:r>
      <w:r w:rsidRPr="00A573B7">
        <w:t>Maximum benefits from NMCH interventions in Timor-Leste</w:t>
      </w:r>
      <w:r w:rsidR="00C94A76" w:rsidRPr="000B55BB">
        <w:rPr>
          <w:rStyle w:val="FootnoteReference"/>
          <w:b w:val="0"/>
        </w:rPr>
        <w:footnoteReference w:id="21"/>
      </w:r>
    </w:p>
    <w:tbl>
      <w:tblPr>
        <w:tblStyle w:val="HRF"/>
        <w:tblW w:w="9322" w:type="dxa"/>
        <w:tblLayout w:type="fixed"/>
        <w:tblLook w:val="04A0" w:firstRow="1" w:lastRow="0" w:firstColumn="1" w:lastColumn="0" w:noHBand="0" w:noVBand="1"/>
      </w:tblPr>
      <w:tblGrid>
        <w:gridCol w:w="1951"/>
        <w:gridCol w:w="1276"/>
        <w:gridCol w:w="1276"/>
        <w:gridCol w:w="1134"/>
        <w:gridCol w:w="1275"/>
        <w:gridCol w:w="1134"/>
        <w:gridCol w:w="1276"/>
      </w:tblGrid>
      <w:tr w:rsidR="00111E0B" w:rsidRPr="00D84164" w:rsidTr="001833BF">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51" w:type="dxa"/>
            <w:vMerge w:val="restart"/>
            <w:noWrap/>
            <w:hideMark/>
          </w:tcPr>
          <w:p w:rsidR="00111E0B" w:rsidRPr="00D84164" w:rsidRDefault="00111E0B" w:rsidP="00624D3B">
            <w:pPr>
              <w:spacing w:line="276" w:lineRule="auto"/>
              <w:rPr>
                <w:rFonts w:cs="Arial"/>
                <w:color w:val="000000"/>
                <w:sz w:val="20"/>
                <w:szCs w:val="20"/>
              </w:rPr>
            </w:pPr>
          </w:p>
        </w:tc>
        <w:tc>
          <w:tcPr>
            <w:tcW w:w="7371" w:type="dxa"/>
            <w:gridSpan w:val="6"/>
            <w:vAlign w:val="center"/>
            <w:hideMark/>
          </w:tcPr>
          <w:p w:rsidR="00111E0B" w:rsidRPr="001833BF" w:rsidRDefault="00111E0B" w:rsidP="00624D3B">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b/>
                <w:bCs/>
                <w:color w:val="000000"/>
                <w:sz w:val="20"/>
                <w:szCs w:val="20"/>
              </w:rPr>
            </w:pPr>
            <w:r w:rsidRPr="001833BF">
              <w:rPr>
                <w:rFonts w:cs="Arial"/>
                <w:b/>
                <w:bCs/>
                <w:color w:val="FFFFFF" w:themeColor="background1"/>
                <w:sz w:val="20"/>
                <w:szCs w:val="20"/>
              </w:rPr>
              <w:t>Health System Response - Maximum Deaths and Disabilities Averted by level</w:t>
            </w:r>
            <w:r w:rsidR="00FB2796">
              <w:rPr>
                <w:rStyle w:val="FootnoteReference"/>
                <w:rFonts w:cs="Arial"/>
                <w:sz w:val="20"/>
                <w:szCs w:val="20"/>
              </w:rPr>
              <w:footnoteReference w:id="22"/>
            </w:r>
          </w:p>
        </w:tc>
      </w:tr>
      <w:tr w:rsidR="00111E0B" w:rsidRPr="00D84164" w:rsidTr="001833BF">
        <w:trPr>
          <w:trHeight w:val="332"/>
        </w:trPr>
        <w:tc>
          <w:tcPr>
            <w:cnfStyle w:val="001000000000" w:firstRow="0" w:lastRow="0" w:firstColumn="1" w:lastColumn="0" w:oddVBand="0" w:evenVBand="0" w:oddHBand="0" w:evenHBand="0" w:firstRowFirstColumn="0" w:firstRowLastColumn="0" w:lastRowFirstColumn="0" w:lastRowLastColumn="0"/>
            <w:tcW w:w="1951" w:type="dxa"/>
            <w:vMerge/>
            <w:shd w:val="clear" w:color="auto" w:fill="1B3A59"/>
            <w:noWrap/>
            <w:hideMark/>
          </w:tcPr>
          <w:p w:rsidR="00111E0B" w:rsidRPr="00D84164" w:rsidRDefault="00111E0B" w:rsidP="00624D3B">
            <w:pPr>
              <w:spacing w:line="276" w:lineRule="auto"/>
              <w:jc w:val="center"/>
              <w:rPr>
                <w:rFonts w:cs="Arial"/>
                <w:sz w:val="20"/>
                <w:szCs w:val="20"/>
              </w:rPr>
            </w:pPr>
          </w:p>
        </w:tc>
        <w:tc>
          <w:tcPr>
            <w:tcW w:w="2552" w:type="dxa"/>
            <w:gridSpan w:val="2"/>
            <w:shd w:val="clear" w:color="auto" w:fill="CDE6FF"/>
            <w:vAlign w:val="center"/>
            <w:hideMark/>
          </w:tcPr>
          <w:p w:rsidR="00111E0B" w:rsidRPr="00D84164" w:rsidRDefault="00111E0B"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84164">
              <w:rPr>
                <w:rFonts w:cs="Arial"/>
                <w:sz w:val="20"/>
                <w:szCs w:val="20"/>
              </w:rPr>
              <w:t>Maternal</w:t>
            </w:r>
          </w:p>
        </w:tc>
        <w:tc>
          <w:tcPr>
            <w:tcW w:w="2409" w:type="dxa"/>
            <w:gridSpan w:val="2"/>
            <w:shd w:val="clear" w:color="auto" w:fill="CDE6FF"/>
            <w:vAlign w:val="center"/>
            <w:hideMark/>
          </w:tcPr>
          <w:p w:rsidR="00111E0B" w:rsidRPr="00D84164" w:rsidRDefault="00111E0B"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84164">
              <w:rPr>
                <w:rFonts w:cs="Arial"/>
                <w:sz w:val="20"/>
                <w:szCs w:val="20"/>
              </w:rPr>
              <w:t>Neonatal</w:t>
            </w:r>
          </w:p>
        </w:tc>
        <w:tc>
          <w:tcPr>
            <w:tcW w:w="2410" w:type="dxa"/>
            <w:gridSpan w:val="2"/>
            <w:shd w:val="clear" w:color="auto" w:fill="CDE6FF"/>
            <w:vAlign w:val="center"/>
            <w:hideMark/>
          </w:tcPr>
          <w:p w:rsidR="00111E0B" w:rsidRPr="00D84164" w:rsidRDefault="00111E0B"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84164">
              <w:rPr>
                <w:rFonts w:cs="Arial"/>
                <w:sz w:val="20"/>
                <w:szCs w:val="20"/>
              </w:rPr>
              <w:t>Child</w:t>
            </w:r>
          </w:p>
        </w:tc>
      </w:tr>
      <w:tr w:rsidR="00111E0B" w:rsidRPr="00D84164" w:rsidTr="001833BF">
        <w:trPr>
          <w:trHeight w:val="323"/>
        </w:trPr>
        <w:tc>
          <w:tcPr>
            <w:cnfStyle w:val="001000000000" w:firstRow="0" w:lastRow="0" w:firstColumn="1" w:lastColumn="0" w:oddVBand="0" w:evenVBand="0" w:oddHBand="0" w:evenHBand="0" w:firstRowFirstColumn="0" w:firstRowLastColumn="0" w:lastRowFirstColumn="0" w:lastRowLastColumn="0"/>
            <w:tcW w:w="1951" w:type="dxa"/>
            <w:vAlign w:val="center"/>
            <w:hideMark/>
          </w:tcPr>
          <w:p w:rsidR="00773916" w:rsidRPr="00D84164" w:rsidRDefault="00773916" w:rsidP="00FB2796">
            <w:pPr>
              <w:spacing w:line="276" w:lineRule="auto"/>
              <w:jc w:val="left"/>
              <w:rPr>
                <w:rFonts w:cs="Arial"/>
                <w:sz w:val="20"/>
                <w:szCs w:val="20"/>
              </w:rPr>
            </w:pPr>
            <w:r w:rsidRPr="00D84164">
              <w:rPr>
                <w:rFonts w:cs="Arial"/>
                <w:sz w:val="20"/>
                <w:szCs w:val="20"/>
              </w:rPr>
              <w:t>Actual</w:t>
            </w:r>
          </w:p>
        </w:tc>
        <w:tc>
          <w:tcPr>
            <w:tcW w:w="1276" w:type="dxa"/>
            <w:vAlign w:val="center"/>
            <w:hideMark/>
          </w:tcPr>
          <w:p w:rsidR="00773916" w:rsidRPr="00D84164" w:rsidRDefault="00BC6810"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131</w:t>
            </w:r>
          </w:p>
        </w:tc>
        <w:tc>
          <w:tcPr>
            <w:tcW w:w="1276" w:type="dxa"/>
            <w:vAlign w:val="center"/>
            <w:hideMark/>
          </w:tcPr>
          <w:p w:rsidR="00773916" w:rsidRPr="00D84164" w:rsidRDefault="00BC6810"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418</w:t>
            </w:r>
          </w:p>
        </w:tc>
        <w:tc>
          <w:tcPr>
            <w:tcW w:w="1134" w:type="dxa"/>
            <w:vAlign w:val="center"/>
            <w:hideMark/>
          </w:tcPr>
          <w:p w:rsidR="00773916" w:rsidRPr="00D84164" w:rsidRDefault="00BC6810"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1062</w:t>
            </w:r>
          </w:p>
        </w:tc>
        <w:tc>
          <w:tcPr>
            <w:tcW w:w="1275" w:type="dxa"/>
            <w:vAlign w:val="center"/>
            <w:hideMark/>
          </w:tcPr>
          <w:p w:rsidR="00773916" w:rsidRPr="00D84164" w:rsidRDefault="00BC6810"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5339</w:t>
            </w:r>
          </w:p>
        </w:tc>
        <w:tc>
          <w:tcPr>
            <w:tcW w:w="1134" w:type="dxa"/>
            <w:vAlign w:val="center"/>
            <w:hideMark/>
          </w:tcPr>
          <w:p w:rsidR="00773916" w:rsidRPr="00D84164" w:rsidRDefault="00BC6810"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2365</w:t>
            </w:r>
          </w:p>
        </w:tc>
        <w:tc>
          <w:tcPr>
            <w:tcW w:w="1276" w:type="dxa"/>
            <w:vAlign w:val="center"/>
            <w:hideMark/>
          </w:tcPr>
          <w:p w:rsidR="00773916" w:rsidRPr="00D84164" w:rsidRDefault="00BC6810"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651</w:t>
            </w:r>
          </w:p>
        </w:tc>
      </w:tr>
      <w:tr w:rsidR="003A52A7" w:rsidRPr="00D84164" w:rsidTr="001833BF">
        <w:trPr>
          <w:trHeight w:val="296"/>
        </w:trPr>
        <w:tc>
          <w:tcPr>
            <w:cnfStyle w:val="001000000000" w:firstRow="0" w:lastRow="0" w:firstColumn="1" w:lastColumn="0" w:oddVBand="0" w:evenVBand="0" w:oddHBand="0" w:evenHBand="0" w:firstRowFirstColumn="0" w:firstRowLastColumn="0" w:lastRowFirstColumn="0" w:lastRowLastColumn="0"/>
            <w:tcW w:w="1951" w:type="dxa"/>
            <w:vAlign w:val="center"/>
            <w:hideMark/>
          </w:tcPr>
          <w:p w:rsidR="00773916" w:rsidRPr="00D84164" w:rsidRDefault="00773916" w:rsidP="00624D3B">
            <w:pPr>
              <w:spacing w:line="276" w:lineRule="auto"/>
              <w:jc w:val="left"/>
              <w:rPr>
                <w:rFonts w:cs="Arial"/>
                <w:sz w:val="20"/>
                <w:szCs w:val="20"/>
              </w:rPr>
            </w:pPr>
            <w:r w:rsidRPr="00D84164">
              <w:rPr>
                <w:rFonts w:cs="Arial"/>
                <w:sz w:val="20"/>
                <w:szCs w:val="20"/>
              </w:rPr>
              <w:t>Package and level of service</w:t>
            </w:r>
          </w:p>
        </w:tc>
        <w:tc>
          <w:tcPr>
            <w:tcW w:w="1276" w:type="dxa"/>
            <w:shd w:val="clear" w:color="auto" w:fill="CDE6FF"/>
            <w:vAlign w:val="center"/>
            <w:hideMark/>
          </w:tcPr>
          <w:p w:rsidR="00773916" w:rsidRPr="00D84164" w:rsidRDefault="00773916"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84164">
              <w:rPr>
                <w:rFonts w:cs="Arial"/>
                <w:sz w:val="20"/>
                <w:szCs w:val="20"/>
              </w:rPr>
              <w:t>deaths</w:t>
            </w:r>
          </w:p>
        </w:tc>
        <w:tc>
          <w:tcPr>
            <w:tcW w:w="1276" w:type="dxa"/>
            <w:shd w:val="clear" w:color="auto" w:fill="CDE6FF"/>
            <w:vAlign w:val="center"/>
            <w:hideMark/>
          </w:tcPr>
          <w:p w:rsidR="00773916" w:rsidRPr="00D84164" w:rsidRDefault="00773916"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84164">
              <w:rPr>
                <w:rFonts w:cs="Arial"/>
                <w:sz w:val="20"/>
                <w:szCs w:val="20"/>
              </w:rPr>
              <w:t>disabilities (all types)</w:t>
            </w:r>
          </w:p>
        </w:tc>
        <w:tc>
          <w:tcPr>
            <w:tcW w:w="1134" w:type="dxa"/>
            <w:shd w:val="clear" w:color="auto" w:fill="CDE6FF"/>
            <w:vAlign w:val="center"/>
            <w:hideMark/>
          </w:tcPr>
          <w:p w:rsidR="00773916" w:rsidRPr="00D84164" w:rsidRDefault="00773916"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84164">
              <w:rPr>
                <w:rFonts w:cs="Arial"/>
                <w:sz w:val="20"/>
                <w:szCs w:val="20"/>
              </w:rPr>
              <w:t>deaths</w:t>
            </w:r>
          </w:p>
        </w:tc>
        <w:tc>
          <w:tcPr>
            <w:tcW w:w="1275" w:type="dxa"/>
            <w:shd w:val="clear" w:color="auto" w:fill="CDE6FF"/>
            <w:vAlign w:val="center"/>
            <w:hideMark/>
          </w:tcPr>
          <w:p w:rsidR="00773916" w:rsidRPr="00D84164" w:rsidRDefault="00773916"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84164">
              <w:rPr>
                <w:rFonts w:cs="Arial"/>
                <w:sz w:val="20"/>
                <w:szCs w:val="20"/>
              </w:rPr>
              <w:t>disabilities (all types)</w:t>
            </w:r>
          </w:p>
        </w:tc>
        <w:tc>
          <w:tcPr>
            <w:tcW w:w="1134" w:type="dxa"/>
            <w:shd w:val="clear" w:color="auto" w:fill="CDE6FF"/>
            <w:vAlign w:val="center"/>
            <w:hideMark/>
          </w:tcPr>
          <w:p w:rsidR="00773916" w:rsidRPr="00D84164" w:rsidRDefault="00773916"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84164">
              <w:rPr>
                <w:rFonts w:cs="Arial"/>
                <w:sz w:val="20"/>
                <w:szCs w:val="20"/>
              </w:rPr>
              <w:t>deaths</w:t>
            </w:r>
          </w:p>
        </w:tc>
        <w:tc>
          <w:tcPr>
            <w:tcW w:w="1276" w:type="dxa"/>
            <w:shd w:val="clear" w:color="auto" w:fill="CDE6FF"/>
            <w:vAlign w:val="center"/>
            <w:hideMark/>
          </w:tcPr>
          <w:p w:rsidR="00773916" w:rsidRPr="00D84164" w:rsidRDefault="00773916"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84164">
              <w:rPr>
                <w:rFonts w:cs="Arial"/>
                <w:sz w:val="20"/>
                <w:szCs w:val="20"/>
              </w:rPr>
              <w:t>disabilities (all types)</w:t>
            </w:r>
          </w:p>
        </w:tc>
      </w:tr>
      <w:tr w:rsidR="00111E0B" w:rsidRPr="00D84164" w:rsidTr="001833BF">
        <w:trPr>
          <w:trHeight w:val="288"/>
        </w:trPr>
        <w:tc>
          <w:tcPr>
            <w:cnfStyle w:val="001000000000" w:firstRow="0" w:lastRow="0" w:firstColumn="1" w:lastColumn="0" w:oddVBand="0" w:evenVBand="0" w:oddHBand="0" w:evenHBand="0" w:firstRowFirstColumn="0" w:firstRowLastColumn="0" w:lastRowFirstColumn="0" w:lastRowLastColumn="0"/>
            <w:tcW w:w="1951" w:type="dxa"/>
            <w:noWrap/>
            <w:vAlign w:val="center"/>
            <w:hideMark/>
          </w:tcPr>
          <w:p w:rsidR="00773916" w:rsidRPr="00D84164" w:rsidRDefault="00773916" w:rsidP="00624D3B">
            <w:pPr>
              <w:spacing w:line="276" w:lineRule="auto"/>
              <w:jc w:val="left"/>
              <w:rPr>
                <w:rFonts w:cs="Arial"/>
                <w:sz w:val="20"/>
                <w:szCs w:val="20"/>
              </w:rPr>
            </w:pPr>
            <w:r w:rsidRPr="00D84164">
              <w:rPr>
                <w:rFonts w:cs="Arial"/>
                <w:sz w:val="20"/>
                <w:szCs w:val="20"/>
              </w:rPr>
              <w:t>Basic</w:t>
            </w:r>
          </w:p>
        </w:tc>
        <w:tc>
          <w:tcPr>
            <w:tcW w:w="1276" w:type="dxa"/>
            <w:noWrap/>
            <w:vAlign w:val="center"/>
            <w:hideMark/>
          </w:tcPr>
          <w:p w:rsidR="00773916" w:rsidRPr="00D84164" w:rsidRDefault="00773916" w:rsidP="00BC6810">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84164">
              <w:rPr>
                <w:rFonts w:cs="Arial"/>
                <w:sz w:val="20"/>
                <w:szCs w:val="20"/>
              </w:rPr>
              <w:t>1</w:t>
            </w:r>
            <w:r w:rsidR="00BC6810">
              <w:rPr>
                <w:rFonts w:cs="Arial"/>
                <w:sz w:val="20"/>
                <w:szCs w:val="20"/>
              </w:rPr>
              <w:t>8</w:t>
            </w:r>
          </w:p>
        </w:tc>
        <w:tc>
          <w:tcPr>
            <w:tcW w:w="1276" w:type="dxa"/>
            <w:noWrap/>
            <w:vAlign w:val="center"/>
            <w:hideMark/>
          </w:tcPr>
          <w:p w:rsidR="00773916" w:rsidRPr="00D84164" w:rsidRDefault="00773916" w:rsidP="00BC6810">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84164">
              <w:rPr>
                <w:rFonts w:cs="Arial"/>
                <w:sz w:val="20"/>
                <w:szCs w:val="20"/>
              </w:rPr>
              <w:t>5</w:t>
            </w:r>
            <w:r w:rsidR="00BC6810">
              <w:rPr>
                <w:rFonts w:cs="Arial"/>
                <w:sz w:val="20"/>
                <w:szCs w:val="20"/>
              </w:rPr>
              <w:t>7</w:t>
            </w:r>
          </w:p>
        </w:tc>
        <w:tc>
          <w:tcPr>
            <w:tcW w:w="1134" w:type="dxa"/>
            <w:noWrap/>
            <w:vAlign w:val="center"/>
            <w:hideMark/>
          </w:tcPr>
          <w:p w:rsidR="00773916" w:rsidRPr="00D84164" w:rsidRDefault="00BC6810"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561</w:t>
            </w:r>
          </w:p>
        </w:tc>
        <w:tc>
          <w:tcPr>
            <w:tcW w:w="1275" w:type="dxa"/>
            <w:noWrap/>
            <w:vAlign w:val="center"/>
            <w:hideMark/>
          </w:tcPr>
          <w:p w:rsidR="00773916" w:rsidRPr="00D84164" w:rsidRDefault="00BC6810"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2824</w:t>
            </w:r>
          </w:p>
        </w:tc>
        <w:tc>
          <w:tcPr>
            <w:tcW w:w="1134" w:type="dxa"/>
            <w:noWrap/>
            <w:vAlign w:val="center"/>
            <w:hideMark/>
          </w:tcPr>
          <w:p w:rsidR="00773916" w:rsidRPr="00D84164" w:rsidRDefault="00BC6810"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995</w:t>
            </w:r>
          </w:p>
        </w:tc>
        <w:tc>
          <w:tcPr>
            <w:tcW w:w="1276" w:type="dxa"/>
            <w:noWrap/>
            <w:vAlign w:val="center"/>
            <w:hideMark/>
          </w:tcPr>
          <w:p w:rsidR="00773916" w:rsidRPr="00D84164" w:rsidRDefault="00BC6810"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274</w:t>
            </w:r>
          </w:p>
        </w:tc>
      </w:tr>
      <w:tr w:rsidR="00111E0B" w:rsidRPr="00D84164" w:rsidTr="001833BF">
        <w:trPr>
          <w:trHeight w:val="288"/>
        </w:trPr>
        <w:tc>
          <w:tcPr>
            <w:cnfStyle w:val="001000000000" w:firstRow="0" w:lastRow="0" w:firstColumn="1" w:lastColumn="0" w:oddVBand="0" w:evenVBand="0" w:oddHBand="0" w:evenHBand="0" w:firstRowFirstColumn="0" w:firstRowLastColumn="0" w:lastRowFirstColumn="0" w:lastRowLastColumn="0"/>
            <w:tcW w:w="1951" w:type="dxa"/>
            <w:noWrap/>
            <w:vAlign w:val="center"/>
            <w:hideMark/>
          </w:tcPr>
          <w:p w:rsidR="00773916" w:rsidRPr="00D84164" w:rsidRDefault="00773916" w:rsidP="00624D3B">
            <w:pPr>
              <w:spacing w:line="276" w:lineRule="auto"/>
              <w:jc w:val="left"/>
              <w:rPr>
                <w:rFonts w:cs="Arial"/>
                <w:sz w:val="20"/>
                <w:szCs w:val="20"/>
              </w:rPr>
            </w:pPr>
            <w:r w:rsidRPr="00D84164">
              <w:rPr>
                <w:rFonts w:cs="Arial"/>
                <w:sz w:val="20"/>
                <w:szCs w:val="20"/>
              </w:rPr>
              <w:t>Expanded</w:t>
            </w:r>
          </w:p>
        </w:tc>
        <w:tc>
          <w:tcPr>
            <w:tcW w:w="1276" w:type="dxa"/>
            <w:noWrap/>
            <w:vAlign w:val="center"/>
            <w:hideMark/>
          </w:tcPr>
          <w:p w:rsidR="00773916" w:rsidRPr="00D84164" w:rsidRDefault="00773916" w:rsidP="00BC6810">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84164">
              <w:rPr>
                <w:rFonts w:cs="Arial"/>
                <w:sz w:val="20"/>
                <w:szCs w:val="20"/>
              </w:rPr>
              <w:t>6</w:t>
            </w:r>
            <w:r w:rsidR="00BC6810">
              <w:rPr>
                <w:rFonts w:cs="Arial"/>
                <w:sz w:val="20"/>
                <w:szCs w:val="20"/>
              </w:rPr>
              <w:t>6</w:t>
            </w:r>
          </w:p>
        </w:tc>
        <w:tc>
          <w:tcPr>
            <w:tcW w:w="1276" w:type="dxa"/>
            <w:noWrap/>
            <w:vAlign w:val="center"/>
            <w:hideMark/>
          </w:tcPr>
          <w:p w:rsidR="00773916" w:rsidRPr="00D84164" w:rsidRDefault="00773916" w:rsidP="00BC6810">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84164">
              <w:rPr>
                <w:rFonts w:cs="Arial"/>
                <w:sz w:val="20"/>
                <w:szCs w:val="20"/>
              </w:rPr>
              <w:t>20</w:t>
            </w:r>
            <w:r w:rsidR="00BC6810">
              <w:rPr>
                <w:rFonts w:cs="Arial"/>
                <w:sz w:val="20"/>
                <w:szCs w:val="20"/>
              </w:rPr>
              <w:t>9</w:t>
            </w:r>
          </w:p>
        </w:tc>
        <w:tc>
          <w:tcPr>
            <w:tcW w:w="1134" w:type="dxa"/>
            <w:noWrap/>
            <w:vAlign w:val="center"/>
            <w:hideMark/>
          </w:tcPr>
          <w:p w:rsidR="00773916" w:rsidRPr="00D84164" w:rsidRDefault="00BC6810"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687</w:t>
            </w:r>
          </w:p>
        </w:tc>
        <w:tc>
          <w:tcPr>
            <w:tcW w:w="1275" w:type="dxa"/>
            <w:noWrap/>
            <w:vAlign w:val="center"/>
            <w:hideMark/>
          </w:tcPr>
          <w:p w:rsidR="00773916" w:rsidRPr="00D84164" w:rsidRDefault="00BC6810"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3456</w:t>
            </w:r>
          </w:p>
        </w:tc>
        <w:tc>
          <w:tcPr>
            <w:tcW w:w="1134" w:type="dxa"/>
            <w:noWrap/>
            <w:vAlign w:val="center"/>
            <w:hideMark/>
          </w:tcPr>
          <w:p w:rsidR="00773916" w:rsidRPr="00D84164" w:rsidRDefault="00BC6810"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1601</w:t>
            </w:r>
          </w:p>
        </w:tc>
        <w:tc>
          <w:tcPr>
            <w:tcW w:w="1276" w:type="dxa"/>
            <w:noWrap/>
            <w:vAlign w:val="center"/>
            <w:hideMark/>
          </w:tcPr>
          <w:p w:rsidR="00773916" w:rsidRPr="00D84164" w:rsidRDefault="00BC6810"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411</w:t>
            </w:r>
          </w:p>
        </w:tc>
      </w:tr>
      <w:tr w:rsidR="00111E0B" w:rsidRPr="00D84164" w:rsidTr="001833BF">
        <w:trPr>
          <w:trHeight w:val="288"/>
        </w:trPr>
        <w:tc>
          <w:tcPr>
            <w:cnfStyle w:val="001000000000" w:firstRow="0" w:lastRow="0" w:firstColumn="1" w:lastColumn="0" w:oddVBand="0" w:evenVBand="0" w:oddHBand="0" w:evenHBand="0" w:firstRowFirstColumn="0" w:firstRowLastColumn="0" w:lastRowFirstColumn="0" w:lastRowLastColumn="0"/>
            <w:tcW w:w="1951" w:type="dxa"/>
            <w:noWrap/>
            <w:vAlign w:val="center"/>
            <w:hideMark/>
          </w:tcPr>
          <w:p w:rsidR="00773916" w:rsidRPr="00D84164" w:rsidRDefault="00773916" w:rsidP="00624D3B">
            <w:pPr>
              <w:spacing w:line="276" w:lineRule="auto"/>
              <w:jc w:val="left"/>
              <w:rPr>
                <w:rFonts w:cs="Arial"/>
                <w:sz w:val="20"/>
                <w:szCs w:val="20"/>
              </w:rPr>
            </w:pPr>
            <w:r w:rsidRPr="00D84164">
              <w:rPr>
                <w:rFonts w:cs="Arial"/>
                <w:sz w:val="20"/>
                <w:szCs w:val="20"/>
              </w:rPr>
              <w:t>Comprehensive</w:t>
            </w:r>
          </w:p>
        </w:tc>
        <w:tc>
          <w:tcPr>
            <w:tcW w:w="1276" w:type="dxa"/>
            <w:noWrap/>
            <w:vAlign w:val="center"/>
            <w:hideMark/>
          </w:tcPr>
          <w:p w:rsidR="00773916" w:rsidRPr="00D84164" w:rsidRDefault="00773916" w:rsidP="00BC6810">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84164">
              <w:rPr>
                <w:rFonts w:cs="Arial"/>
                <w:sz w:val="20"/>
                <w:szCs w:val="20"/>
              </w:rPr>
              <w:t>1</w:t>
            </w:r>
            <w:r w:rsidR="00BC6810">
              <w:rPr>
                <w:rFonts w:cs="Arial"/>
                <w:sz w:val="20"/>
                <w:szCs w:val="20"/>
              </w:rPr>
              <w:t>14</w:t>
            </w:r>
          </w:p>
        </w:tc>
        <w:tc>
          <w:tcPr>
            <w:tcW w:w="1276" w:type="dxa"/>
            <w:noWrap/>
            <w:vAlign w:val="center"/>
            <w:hideMark/>
          </w:tcPr>
          <w:p w:rsidR="00773916" w:rsidRPr="00D84164" w:rsidRDefault="00BC6810"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418</w:t>
            </w:r>
          </w:p>
        </w:tc>
        <w:tc>
          <w:tcPr>
            <w:tcW w:w="1134" w:type="dxa"/>
            <w:noWrap/>
            <w:vAlign w:val="center"/>
            <w:hideMark/>
          </w:tcPr>
          <w:p w:rsidR="00773916" w:rsidRPr="00D84164" w:rsidRDefault="00BC6810"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780</w:t>
            </w:r>
          </w:p>
        </w:tc>
        <w:tc>
          <w:tcPr>
            <w:tcW w:w="1275" w:type="dxa"/>
            <w:noWrap/>
            <w:vAlign w:val="center"/>
            <w:hideMark/>
          </w:tcPr>
          <w:p w:rsidR="00773916" w:rsidRPr="00D84164" w:rsidRDefault="00BC6810"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3922</w:t>
            </w:r>
          </w:p>
        </w:tc>
        <w:tc>
          <w:tcPr>
            <w:tcW w:w="1134" w:type="dxa"/>
            <w:noWrap/>
            <w:vAlign w:val="center"/>
            <w:hideMark/>
          </w:tcPr>
          <w:p w:rsidR="00773916" w:rsidRPr="00D84164" w:rsidRDefault="00BC6810"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2029</w:t>
            </w:r>
          </w:p>
        </w:tc>
        <w:tc>
          <w:tcPr>
            <w:tcW w:w="1276" w:type="dxa"/>
            <w:noWrap/>
            <w:vAlign w:val="center"/>
            <w:hideMark/>
          </w:tcPr>
          <w:p w:rsidR="00773916" w:rsidRPr="00D84164" w:rsidRDefault="00BC6810"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559</w:t>
            </w:r>
          </w:p>
        </w:tc>
      </w:tr>
      <w:tr w:rsidR="00773916" w:rsidRPr="00D84164" w:rsidTr="001833BF">
        <w:trPr>
          <w:trHeight w:val="269"/>
        </w:trPr>
        <w:tc>
          <w:tcPr>
            <w:cnfStyle w:val="001000000000" w:firstRow="0" w:lastRow="0" w:firstColumn="1" w:lastColumn="0" w:oddVBand="0" w:evenVBand="0" w:oddHBand="0" w:evenHBand="0" w:firstRowFirstColumn="0" w:firstRowLastColumn="0" w:lastRowFirstColumn="0" w:lastRowLastColumn="0"/>
            <w:tcW w:w="1951" w:type="dxa"/>
            <w:vAlign w:val="center"/>
            <w:hideMark/>
          </w:tcPr>
          <w:p w:rsidR="00773916" w:rsidRPr="00D84164" w:rsidRDefault="00773916" w:rsidP="00624D3B">
            <w:pPr>
              <w:spacing w:line="276" w:lineRule="auto"/>
              <w:jc w:val="left"/>
              <w:rPr>
                <w:rFonts w:cs="Arial"/>
                <w:sz w:val="20"/>
                <w:szCs w:val="20"/>
              </w:rPr>
            </w:pPr>
            <w:r w:rsidRPr="00D84164">
              <w:rPr>
                <w:rFonts w:cs="Arial"/>
                <w:sz w:val="20"/>
                <w:szCs w:val="20"/>
              </w:rPr>
              <w:t>Ratio of disabilities to deaths</w:t>
            </w:r>
          </w:p>
        </w:tc>
        <w:tc>
          <w:tcPr>
            <w:tcW w:w="2552" w:type="dxa"/>
            <w:gridSpan w:val="2"/>
            <w:noWrap/>
            <w:vAlign w:val="center"/>
            <w:hideMark/>
          </w:tcPr>
          <w:p w:rsidR="00773916" w:rsidRPr="00D84164" w:rsidRDefault="00773916"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84164">
              <w:rPr>
                <w:rFonts w:cs="Arial"/>
                <w:sz w:val="20"/>
                <w:szCs w:val="20"/>
              </w:rPr>
              <w:t>3.17</w:t>
            </w:r>
          </w:p>
        </w:tc>
        <w:tc>
          <w:tcPr>
            <w:tcW w:w="2409" w:type="dxa"/>
            <w:gridSpan w:val="2"/>
            <w:noWrap/>
            <w:vAlign w:val="center"/>
            <w:hideMark/>
          </w:tcPr>
          <w:p w:rsidR="00773916" w:rsidRPr="00D84164" w:rsidRDefault="00773916"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84164">
              <w:rPr>
                <w:rFonts w:cs="Arial"/>
                <w:sz w:val="20"/>
                <w:szCs w:val="20"/>
              </w:rPr>
              <w:t>5.03</w:t>
            </w:r>
          </w:p>
        </w:tc>
        <w:tc>
          <w:tcPr>
            <w:tcW w:w="2410" w:type="dxa"/>
            <w:gridSpan w:val="2"/>
            <w:noWrap/>
            <w:vAlign w:val="center"/>
            <w:hideMark/>
          </w:tcPr>
          <w:p w:rsidR="00773916" w:rsidRPr="00D84164" w:rsidRDefault="00773916"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84164">
              <w:rPr>
                <w:rFonts w:cs="Arial"/>
                <w:sz w:val="20"/>
                <w:szCs w:val="20"/>
              </w:rPr>
              <w:t>0.27</w:t>
            </w:r>
          </w:p>
        </w:tc>
      </w:tr>
      <w:tr w:rsidR="00773916" w:rsidRPr="00D84164" w:rsidTr="000B55BB">
        <w:trPr>
          <w:trHeight w:val="583"/>
        </w:trPr>
        <w:tc>
          <w:tcPr>
            <w:cnfStyle w:val="001000000000" w:firstRow="0" w:lastRow="0" w:firstColumn="1" w:lastColumn="0" w:oddVBand="0" w:evenVBand="0" w:oddHBand="0" w:evenHBand="0" w:firstRowFirstColumn="0" w:firstRowLastColumn="0" w:lastRowFirstColumn="0" w:lastRowLastColumn="0"/>
            <w:tcW w:w="1951" w:type="dxa"/>
            <w:vAlign w:val="center"/>
            <w:hideMark/>
          </w:tcPr>
          <w:p w:rsidR="00773916" w:rsidRPr="00D84164" w:rsidRDefault="00D87298" w:rsidP="00B04878">
            <w:pPr>
              <w:spacing w:line="276" w:lineRule="auto"/>
              <w:jc w:val="left"/>
              <w:rPr>
                <w:rFonts w:cs="Arial"/>
                <w:sz w:val="20"/>
                <w:szCs w:val="20"/>
              </w:rPr>
            </w:pPr>
            <w:r>
              <w:rPr>
                <w:rFonts w:cs="Arial"/>
                <w:sz w:val="20"/>
                <w:szCs w:val="20"/>
              </w:rPr>
              <w:t>Averted i</w:t>
            </w:r>
            <w:r w:rsidR="00773916" w:rsidRPr="00D84164">
              <w:rPr>
                <w:rFonts w:cs="Arial"/>
                <w:sz w:val="20"/>
                <w:szCs w:val="20"/>
              </w:rPr>
              <w:t xml:space="preserve">f </w:t>
            </w:r>
            <w:r w:rsidR="00B04878">
              <w:rPr>
                <w:rFonts w:cs="Arial"/>
                <w:sz w:val="20"/>
                <w:szCs w:val="20"/>
              </w:rPr>
              <w:t xml:space="preserve">service </w:t>
            </w:r>
            <w:r w:rsidR="00773916" w:rsidRPr="00D84164">
              <w:rPr>
                <w:rFonts w:cs="Arial"/>
                <w:sz w:val="20"/>
                <w:szCs w:val="20"/>
              </w:rPr>
              <w:t xml:space="preserve">level </w:t>
            </w:r>
            <w:r w:rsidR="00B04878">
              <w:rPr>
                <w:rFonts w:cs="Arial"/>
                <w:sz w:val="20"/>
                <w:szCs w:val="20"/>
              </w:rPr>
              <w:t xml:space="preserve">is </w:t>
            </w:r>
            <w:r w:rsidR="00773916" w:rsidRPr="00D84164">
              <w:rPr>
                <w:rFonts w:cs="Arial"/>
                <w:sz w:val="20"/>
                <w:szCs w:val="20"/>
              </w:rPr>
              <w:t>fully effective</w:t>
            </w:r>
          </w:p>
        </w:tc>
        <w:tc>
          <w:tcPr>
            <w:tcW w:w="2552" w:type="dxa"/>
            <w:gridSpan w:val="2"/>
            <w:noWrap/>
            <w:vAlign w:val="center"/>
            <w:hideMark/>
          </w:tcPr>
          <w:p w:rsidR="00773916" w:rsidRPr="00D84164" w:rsidRDefault="00773916"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84164">
              <w:rPr>
                <w:rFonts w:cs="Arial"/>
                <w:sz w:val="20"/>
                <w:szCs w:val="20"/>
              </w:rPr>
              <w:t>86.9%</w:t>
            </w:r>
          </w:p>
        </w:tc>
        <w:tc>
          <w:tcPr>
            <w:tcW w:w="2409" w:type="dxa"/>
            <w:gridSpan w:val="2"/>
            <w:noWrap/>
            <w:vAlign w:val="center"/>
            <w:hideMark/>
          </w:tcPr>
          <w:p w:rsidR="00773916" w:rsidRPr="00D84164" w:rsidRDefault="00773916"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84164">
              <w:rPr>
                <w:rFonts w:cs="Arial"/>
                <w:sz w:val="20"/>
                <w:szCs w:val="20"/>
              </w:rPr>
              <w:t>73.5%</w:t>
            </w:r>
          </w:p>
        </w:tc>
        <w:tc>
          <w:tcPr>
            <w:tcW w:w="2410" w:type="dxa"/>
            <w:gridSpan w:val="2"/>
            <w:noWrap/>
            <w:vAlign w:val="center"/>
            <w:hideMark/>
          </w:tcPr>
          <w:p w:rsidR="00773916" w:rsidRPr="00D84164" w:rsidRDefault="00773916"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84164">
              <w:rPr>
                <w:rFonts w:cs="Arial"/>
                <w:sz w:val="20"/>
                <w:szCs w:val="20"/>
              </w:rPr>
              <w:t>85.8%</w:t>
            </w:r>
          </w:p>
        </w:tc>
      </w:tr>
    </w:tbl>
    <w:p w:rsidR="00773916" w:rsidRDefault="00773916" w:rsidP="00624D3B">
      <w:pPr>
        <w:autoSpaceDE w:val="0"/>
        <w:autoSpaceDN w:val="0"/>
        <w:adjustRightInd w:val="0"/>
        <w:spacing w:line="276" w:lineRule="auto"/>
      </w:pPr>
    </w:p>
    <w:p w:rsidR="005009B0" w:rsidRDefault="005009B0" w:rsidP="00624D3B">
      <w:pPr>
        <w:spacing w:line="276" w:lineRule="auto"/>
      </w:pPr>
      <w:r w:rsidRPr="00FA66BC">
        <w:rPr>
          <w:rFonts w:cs="Arial"/>
        </w:rPr>
        <w:t xml:space="preserve">The percentage of deaths and disabilities averted shown above as the health system response </w:t>
      </w:r>
      <w:r w:rsidR="00B04878">
        <w:rPr>
          <w:rFonts w:cs="Arial"/>
        </w:rPr>
        <w:t>would be the</w:t>
      </w:r>
      <w:r w:rsidRPr="00FA66BC">
        <w:rPr>
          <w:rFonts w:cs="Arial"/>
        </w:rPr>
        <w:t xml:space="preserve"> theoretical </w:t>
      </w:r>
      <w:r w:rsidR="00B04878">
        <w:rPr>
          <w:rFonts w:cs="Arial"/>
        </w:rPr>
        <w:t>outputs</w:t>
      </w:r>
      <w:r w:rsidRPr="00FA66BC">
        <w:rPr>
          <w:rFonts w:cs="Arial"/>
        </w:rPr>
        <w:t xml:space="preserve"> achievable by a strong health system</w:t>
      </w:r>
      <w:r w:rsidRPr="00FA66BC">
        <w:rPr>
          <w:rFonts w:cs="Arial"/>
          <w:vertAlign w:val="superscript"/>
        </w:rPr>
        <w:footnoteReference w:id="23"/>
      </w:r>
      <w:r w:rsidRPr="00FA66BC">
        <w:rPr>
          <w:rFonts w:cs="Arial"/>
        </w:rPr>
        <w:t xml:space="preserve">. If the Comprehensive level (roughly equivalent to Timor-Leste's </w:t>
      </w:r>
      <w:r w:rsidR="00363B7B">
        <w:rPr>
          <w:rFonts w:cs="Arial"/>
        </w:rPr>
        <w:t>b</w:t>
      </w:r>
      <w:r w:rsidRPr="00FA66BC">
        <w:rPr>
          <w:rFonts w:cs="Arial"/>
        </w:rPr>
        <w:t xml:space="preserve">asic </w:t>
      </w:r>
      <w:r w:rsidR="00363B7B">
        <w:rPr>
          <w:rFonts w:cs="Arial"/>
        </w:rPr>
        <w:t>s</w:t>
      </w:r>
      <w:r w:rsidRPr="00FA66BC">
        <w:rPr>
          <w:rFonts w:cs="Arial"/>
        </w:rPr>
        <w:t xml:space="preserve">ervice </w:t>
      </w:r>
      <w:r w:rsidR="00363B7B">
        <w:rPr>
          <w:rFonts w:cs="Arial"/>
        </w:rPr>
        <w:t>p</w:t>
      </w:r>
      <w:r w:rsidRPr="00FA66BC">
        <w:rPr>
          <w:rFonts w:cs="Arial"/>
        </w:rPr>
        <w:t xml:space="preserve">ackage) reduced </w:t>
      </w:r>
      <w:r w:rsidR="00FE7BCE">
        <w:rPr>
          <w:rFonts w:cs="Arial"/>
        </w:rPr>
        <w:t>the maternal mortality rate (</w:t>
      </w:r>
      <w:r w:rsidRPr="00FA66BC">
        <w:rPr>
          <w:rFonts w:cs="Arial"/>
        </w:rPr>
        <w:t>MMR</w:t>
      </w:r>
      <w:r w:rsidR="00FE7BCE">
        <w:rPr>
          <w:rFonts w:cs="Arial"/>
        </w:rPr>
        <w:t>)</w:t>
      </w:r>
      <w:r w:rsidRPr="00FA66BC">
        <w:rPr>
          <w:rFonts w:cs="Arial"/>
        </w:rPr>
        <w:t xml:space="preserve"> by 87%, </w:t>
      </w:r>
      <w:r w:rsidR="00FE7BCE">
        <w:rPr>
          <w:rFonts w:cs="Arial"/>
        </w:rPr>
        <w:t>the neonatal mortality rate (</w:t>
      </w:r>
      <w:r w:rsidRPr="00FA66BC">
        <w:rPr>
          <w:rFonts w:cs="Arial"/>
        </w:rPr>
        <w:t>NNMR</w:t>
      </w:r>
      <w:r w:rsidR="00FE7BCE">
        <w:rPr>
          <w:rFonts w:cs="Arial"/>
        </w:rPr>
        <w:t>)</w:t>
      </w:r>
      <w:r w:rsidRPr="00FA66BC">
        <w:rPr>
          <w:rFonts w:cs="Arial"/>
        </w:rPr>
        <w:t xml:space="preserve"> by 73%, and</w:t>
      </w:r>
      <w:r w:rsidR="00FE7BCE">
        <w:rPr>
          <w:rFonts w:cs="Arial"/>
        </w:rPr>
        <w:t xml:space="preserve"> the child mortality rate</w:t>
      </w:r>
      <w:r w:rsidRPr="00FA66BC">
        <w:rPr>
          <w:rFonts w:cs="Arial"/>
        </w:rPr>
        <w:t xml:space="preserve"> </w:t>
      </w:r>
      <w:r w:rsidR="00FE7BCE">
        <w:rPr>
          <w:rFonts w:cs="Arial"/>
        </w:rPr>
        <w:t>(</w:t>
      </w:r>
      <w:r w:rsidRPr="00FA66BC">
        <w:rPr>
          <w:rFonts w:cs="Arial"/>
        </w:rPr>
        <w:t>CMR</w:t>
      </w:r>
      <w:r w:rsidR="00FE7BCE">
        <w:rPr>
          <w:rFonts w:cs="Arial"/>
        </w:rPr>
        <w:t>)</w:t>
      </w:r>
      <w:r w:rsidRPr="00FA66BC">
        <w:rPr>
          <w:rFonts w:cs="Arial"/>
        </w:rPr>
        <w:t xml:space="preserve"> by 86%, Timor-Leste would in the same class as many industriali</w:t>
      </w:r>
      <w:r w:rsidR="006827E3">
        <w:rPr>
          <w:rFonts w:cs="Arial"/>
        </w:rPr>
        <w:t>s</w:t>
      </w:r>
      <w:r w:rsidRPr="00FA66BC">
        <w:rPr>
          <w:rFonts w:cs="Arial"/>
        </w:rPr>
        <w:t xml:space="preserve">ed countries.  The </w:t>
      </w:r>
      <w:r w:rsidRPr="00FA66BC">
        <w:rPr>
          <w:rFonts w:cs="Arial"/>
          <w:u w:val="single"/>
        </w:rPr>
        <w:t>actual</w:t>
      </w:r>
      <w:r w:rsidRPr="00FA66BC">
        <w:rPr>
          <w:rFonts w:cs="Arial"/>
        </w:rPr>
        <w:t xml:space="preserve"> numbers of lives and disability </w:t>
      </w:r>
      <w:r w:rsidR="00B04878">
        <w:rPr>
          <w:rFonts w:cs="Arial"/>
        </w:rPr>
        <w:t xml:space="preserve">currently </w:t>
      </w:r>
      <w:r w:rsidRPr="00FA66BC">
        <w:rPr>
          <w:rFonts w:cs="Arial"/>
        </w:rPr>
        <w:t xml:space="preserve">averted </w:t>
      </w:r>
      <w:r w:rsidR="00B04878">
        <w:rPr>
          <w:rFonts w:cs="Arial"/>
        </w:rPr>
        <w:t xml:space="preserve">is </w:t>
      </w:r>
      <w:r w:rsidRPr="00FA66BC">
        <w:rPr>
          <w:rFonts w:cs="Arial"/>
        </w:rPr>
        <w:t>closely related to actual health system effectiveness. In recent years the rate of improvement in the main indicators has been less than 5 per</w:t>
      </w:r>
      <w:r w:rsidR="00FE7BCE">
        <w:rPr>
          <w:rFonts w:cs="Arial"/>
        </w:rPr>
        <w:t xml:space="preserve"> </w:t>
      </w:r>
      <w:r w:rsidRPr="00FA66BC">
        <w:rPr>
          <w:rFonts w:cs="Arial"/>
        </w:rPr>
        <w:t>cent a year. This average</w:t>
      </w:r>
      <w:r w:rsidR="00FE7BCE">
        <w:rPr>
          <w:rFonts w:cs="Arial"/>
        </w:rPr>
        <w:t xml:space="preserve"> annual</w:t>
      </w:r>
      <w:r w:rsidRPr="00FA66BC">
        <w:rPr>
          <w:rFonts w:cs="Arial"/>
        </w:rPr>
        <w:t xml:space="preserve"> rate of decline (AARD) is typical among low-middle income countries</w:t>
      </w:r>
      <w:r w:rsidR="003D7117">
        <w:rPr>
          <w:rStyle w:val="FootnoteReference"/>
          <w:rFonts w:cs="Arial"/>
        </w:rPr>
        <w:footnoteReference w:id="24"/>
      </w:r>
      <w:r w:rsidRPr="00FA66BC">
        <w:rPr>
          <w:rFonts w:cs="Arial"/>
        </w:rPr>
        <w:t xml:space="preserve">. According to the models of health system constraints discussed earlier, this implies health systems that have made the maximum possible improvements in health status are either not getting the resources they need, and/or the system does not efficiently convert resources into health outcomes. Current health </w:t>
      </w:r>
      <w:r w:rsidR="00B04878">
        <w:rPr>
          <w:rFonts w:cs="Arial"/>
        </w:rPr>
        <w:t xml:space="preserve">district-level </w:t>
      </w:r>
      <w:r w:rsidRPr="00FA66BC">
        <w:rPr>
          <w:rFonts w:cs="Arial"/>
        </w:rPr>
        <w:t xml:space="preserve">financing  in Timor-Leste (discussed under Question 4) is close to the </w:t>
      </w:r>
      <w:r w:rsidR="009322F3">
        <w:rPr>
          <w:rFonts w:cs="Arial"/>
          <w:bCs/>
        </w:rPr>
        <w:t>US</w:t>
      </w:r>
      <w:r w:rsidRPr="00FA66BC">
        <w:rPr>
          <w:rFonts w:cs="Arial"/>
        </w:rPr>
        <w:t xml:space="preserve">$28 per capita normative cost of the </w:t>
      </w:r>
      <w:r w:rsidR="00F868F1">
        <w:rPr>
          <w:rFonts w:cs="Arial"/>
        </w:rPr>
        <w:t>BSP</w:t>
      </w:r>
      <w:r w:rsidRPr="00FA66BC">
        <w:rPr>
          <w:rFonts w:cs="Arial"/>
        </w:rPr>
        <w:t xml:space="preserve"> including referral hospitals</w:t>
      </w:r>
      <w:r w:rsidR="00AF57B3">
        <w:rPr>
          <w:rStyle w:val="FootnoteReference"/>
          <w:rFonts w:cs="Arial"/>
        </w:rPr>
        <w:footnoteReference w:id="25"/>
      </w:r>
      <w:r w:rsidRPr="00FA66BC">
        <w:rPr>
          <w:rFonts w:cs="Arial"/>
        </w:rPr>
        <w:t xml:space="preserve">, so if the </w:t>
      </w:r>
      <w:r w:rsidR="00EA2F2A">
        <w:rPr>
          <w:rFonts w:cs="Arial"/>
        </w:rPr>
        <w:t>present</w:t>
      </w:r>
      <w:r w:rsidRPr="00FA66BC">
        <w:rPr>
          <w:rFonts w:cs="Arial"/>
        </w:rPr>
        <w:t xml:space="preserve"> rate of reduction in key health MDG indicators is only 5% rather the theoretical </w:t>
      </w:r>
      <w:r w:rsidR="00B04878">
        <w:rPr>
          <w:rFonts w:cs="Arial"/>
        </w:rPr>
        <w:t>≈</w:t>
      </w:r>
      <w:r w:rsidRPr="00FA66BC">
        <w:rPr>
          <w:rFonts w:cs="Arial"/>
        </w:rPr>
        <w:t>80% achievable with a comprehensive package of services</w:t>
      </w:r>
      <w:r w:rsidR="00EA2F2A">
        <w:rPr>
          <w:rFonts w:cs="Arial"/>
        </w:rPr>
        <w:t xml:space="preserve"> </w:t>
      </w:r>
      <w:r w:rsidR="00B04878" w:rsidRPr="00FA66BC">
        <w:rPr>
          <w:rFonts w:cs="Arial"/>
        </w:rPr>
        <w:t xml:space="preserve">(73.5% </w:t>
      </w:r>
      <w:r w:rsidR="00B04878">
        <w:rPr>
          <w:rFonts w:cs="Arial"/>
        </w:rPr>
        <w:t>to</w:t>
      </w:r>
      <w:r w:rsidR="00B04878" w:rsidRPr="00FA66BC">
        <w:rPr>
          <w:rFonts w:cs="Arial"/>
        </w:rPr>
        <w:t xml:space="preserve"> 86.9% </w:t>
      </w:r>
      <w:r w:rsidR="00B04878">
        <w:rPr>
          <w:rFonts w:cs="Arial"/>
        </w:rPr>
        <w:t>seen</w:t>
      </w:r>
      <w:r w:rsidR="00B04878" w:rsidRPr="00FA66BC">
        <w:rPr>
          <w:rFonts w:cs="Arial"/>
        </w:rPr>
        <w:t xml:space="preserve"> </w:t>
      </w:r>
      <w:r w:rsidR="00B04878">
        <w:rPr>
          <w:rFonts w:cs="Arial"/>
        </w:rPr>
        <w:t>in Table 4</w:t>
      </w:r>
      <w:r w:rsidR="00B04878" w:rsidRPr="00FA66BC">
        <w:rPr>
          <w:rFonts w:cs="Arial"/>
        </w:rPr>
        <w:t>)</w:t>
      </w:r>
      <w:r w:rsidR="00EA2F2A">
        <w:rPr>
          <w:rFonts w:cs="Arial"/>
        </w:rPr>
        <w:t xml:space="preserve">, </w:t>
      </w:r>
      <w:r w:rsidRPr="00FA66BC">
        <w:rPr>
          <w:rFonts w:cs="Arial"/>
        </w:rPr>
        <w:t>the current level of health system efficiency in converting resources to potential outputs could be considered to be the ratio, 5/80 or 6.25%.</w:t>
      </w:r>
    </w:p>
    <w:p w:rsidR="00773916" w:rsidRDefault="00E1217B" w:rsidP="00624D3B">
      <w:pPr>
        <w:pStyle w:val="HRFHeading2Numbered"/>
      </w:pPr>
      <w:bookmarkStart w:id="15" w:name="_Toc373231840"/>
      <w:bookmarkStart w:id="16" w:name="_Toc373231930"/>
      <w:bookmarkStart w:id="17" w:name="_Toc373502444"/>
      <w:bookmarkStart w:id="18" w:name="_Toc373502482"/>
      <w:bookmarkStart w:id="19" w:name="_Toc373502483"/>
      <w:bookmarkEnd w:id="15"/>
      <w:bookmarkEnd w:id="16"/>
      <w:bookmarkEnd w:id="17"/>
      <w:bookmarkEnd w:id="18"/>
      <w:r>
        <w:t>H</w:t>
      </w:r>
      <w:r w:rsidRPr="00773916">
        <w:t>ealth system interventions</w:t>
      </w:r>
      <w:r>
        <w:t xml:space="preserve"> map onto</w:t>
      </w:r>
      <w:r w:rsidR="005009B0">
        <w:t xml:space="preserve"> RMN</w:t>
      </w:r>
      <w:r w:rsidR="00773916" w:rsidRPr="00773916">
        <w:t>CH benefits</w:t>
      </w:r>
      <w:bookmarkEnd w:id="19"/>
    </w:p>
    <w:p w:rsidR="005009B0" w:rsidRDefault="005A151D" w:rsidP="00624D3B">
      <w:pPr>
        <w:spacing w:line="276" w:lineRule="auto"/>
      </w:pPr>
      <w:r>
        <w:rPr>
          <w:rFonts w:cs="Arial"/>
        </w:rPr>
        <w:t xml:space="preserve">Table </w:t>
      </w:r>
      <w:r w:rsidR="009322F3">
        <w:rPr>
          <w:rFonts w:cs="Arial"/>
        </w:rPr>
        <w:t>4</w:t>
      </w:r>
      <w:r w:rsidR="005009B0" w:rsidRPr="00FA66BC">
        <w:rPr>
          <w:rFonts w:cs="Arial"/>
        </w:rPr>
        <w:t xml:space="preserve"> shows the maximum benefits obtainable if the health system performed optimally, and the marginal benefits of treating cases </w:t>
      </w:r>
      <w:r w:rsidR="007C221C">
        <w:rPr>
          <w:rFonts w:cs="Arial"/>
        </w:rPr>
        <w:t xml:space="preserve">with an adequate service package </w:t>
      </w:r>
      <w:r w:rsidR="005009B0" w:rsidRPr="00FA66BC">
        <w:rPr>
          <w:rFonts w:cs="Arial"/>
        </w:rPr>
        <w:t xml:space="preserve">at </w:t>
      </w:r>
      <w:r w:rsidR="00624D3B">
        <w:rPr>
          <w:rFonts w:cs="Arial"/>
        </w:rPr>
        <w:t xml:space="preserve">increasingly </w:t>
      </w:r>
      <w:r w:rsidR="005009B0" w:rsidRPr="00FA66BC">
        <w:rPr>
          <w:rFonts w:cs="Arial"/>
        </w:rPr>
        <w:t>higher level</w:t>
      </w:r>
      <w:r w:rsidR="00624D3B">
        <w:rPr>
          <w:rFonts w:cs="Arial"/>
        </w:rPr>
        <w:t>s</w:t>
      </w:r>
      <w:r w:rsidR="007C221C">
        <w:rPr>
          <w:rFonts w:cs="Arial"/>
        </w:rPr>
        <w:t>,</w:t>
      </w:r>
      <w:r w:rsidR="005009B0" w:rsidRPr="00FA66BC">
        <w:rPr>
          <w:rFonts w:cs="Arial"/>
        </w:rPr>
        <w:t xml:space="preserve"> where there is a better chance of preventing death and disability. The benefit from providing a specific individual resource or health system intervention is more difficult to estimate. </w:t>
      </w:r>
      <w:r w:rsidR="005009B0" w:rsidRPr="00AB13C2">
        <w:rPr>
          <w:rFonts w:cs="Arial"/>
        </w:rPr>
        <w:t>Using ambulance repair as an example can illustrate how benefits can be related to a</w:t>
      </w:r>
      <w:r w:rsidR="007C221C">
        <w:rPr>
          <w:rFonts w:cs="Arial"/>
        </w:rPr>
        <w:t xml:space="preserve"> specific</w:t>
      </w:r>
      <w:r w:rsidR="005009B0" w:rsidRPr="00AB13C2">
        <w:rPr>
          <w:rFonts w:cs="Arial"/>
        </w:rPr>
        <w:t xml:space="preserve"> activity.</w:t>
      </w:r>
    </w:p>
    <w:p w:rsidR="00773916" w:rsidRDefault="00773916" w:rsidP="00624D3B">
      <w:pPr>
        <w:pStyle w:val="HRFHeading2Numbered"/>
      </w:pPr>
      <w:bookmarkStart w:id="20" w:name="_Toc373502484"/>
      <w:r>
        <w:t>Health transport analysis</w:t>
      </w:r>
      <w:bookmarkEnd w:id="20"/>
    </w:p>
    <w:p w:rsidR="005009B0" w:rsidRPr="00FA66BC" w:rsidRDefault="005009B0" w:rsidP="00624D3B">
      <w:pPr>
        <w:spacing w:line="276" w:lineRule="auto"/>
        <w:rPr>
          <w:rFonts w:cs="Arial"/>
        </w:rPr>
      </w:pPr>
      <w:r w:rsidRPr="00FA66BC">
        <w:rPr>
          <w:rFonts w:cs="Arial"/>
        </w:rPr>
        <w:t xml:space="preserve">Population dispersal and the condition of transport infrastructure have large influences on the cost and effectiveness of service delivery. Excluding cases where the illness was not considered serious enough, the overwhelming reason why sick persons do not seek treatment in Timor Leste is that health facilities are too difficult to </w:t>
      </w:r>
      <w:r w:rsidR="00AF57B3" w:rsidRPr="003F755B">
        <w:t>access</w:t>
      </w:r>
      <w:r w:rsidR="00AF57B3">
        <w:rPr>
          <w:rStyle w:val="FootnoteReference"/>
        </w:rPr>
        <w:footnoteReference w:id="26"/>
      </w:r>
      <w:r w:rsidRPr="00FA66BC">
        <w:rPr>
          <w:rFonts w:cs="Arial"/>
        </w:rPr>
        <w:t>. Although the density of the road network in Timor-Leste is</w:t>
      </w:r>
      <w:r w:rsidR="00624D3B">
        <w:rPr>
          <w:rFonts w:cs="Arial"/>
        </w:rPr>
        <w:t xml:space="preserve"> relatively</w:t>
      </w:r>
      <w:r w:rsidRPr="00FA66BC">
        <w:rPr>
          <w:rFonts w:cs="Arial"/>
        </w:rPr>
        <w:t xml:space="preserve"> high compared to</w:t>
      </w:r>
      <w:r w:rsidR="00624D3B">
        <w:rPr>
          <w:rFonts w:cs="Arial"/>
        </w:rPr>
        <w:t xml:space="preserve"> some</w:t>
      </w:r>
      <w:r w:rsidRPr="00FA66BC">
        <w:rPr>
          <w:rFonts w:cs="Arial"/>
        </w:rPr>
        <w:t xml:space="preserve"> </w:t>
      </w:r>
      <w:r w:rsidR="00624D3B">
        <w:rPr>
          <w:rFonts w:cs="Arial"/>
        </w:rPr>
        <w:t xml:space="preserve">other low and middle </w:t>
      </w:r>
      <w:r w:rsidRPr="00FA66BC">
        <w:rPr>
          <w:rFonts w:cs="Arial"/>
        </w:rPr>
        <w:t>income countries with reasonably good penetration that make villages an average of 0.7 km from a vehicle-passable road, access to health facilities is difficult from poor villages that are the furthest from paved roads. Rural road improvements that improve access to markets and services are seen as a modality for poverty reduction, although this is disputed</w:t>
      </w:r>
      <w:r w:rsidR="009213C9">
        <w:rPr>
          <w:rStyle w:val="FootnoteReference"/>
          <w:rFonts w:cs="Arial"/>
        </w:rPr>
        <w:footnoteReference w:id="27"/>
      </w:r>
      <w:r w:rsidRPr="00FA66BC">
        <w:rPr>
          <w:rFonts w:cs="Arial"/>
        </w:rPr>
        <w:t>. Increasing the number of community health centers and other outreach services is an alternative, but the economic advantages over road and transport improvement has not been carefully studied in Timor-Leste or elsewhere</w:t>
      </w:r>
      <w:r w:rsidR="007C221C">
        <w:rPr>
          <w:rStyle w:val="FootnoteReference"/>
          <w:rFonts w:cs="Arial"/>
        </w:rPr>
        <w:footnoteReference w:id="28"/>
      </w:r>
      <w:r w:rsidR="007C221C">
        <w:rPr>
          <w:rFonts w:cs="Arial"/>
        </w:rPr>
        <w:t xml:space="preserve">. </w:t>
      </w:r>
      <w:r w:rsidRPr="00FA66BC">
        <w:rPr>
          <w:rFonts w:cs="Arial"/>
        </w:rPr>
        <w:t xml:space="preserve">Poor roads are also costly to vehicles, </w:t>
      </w:r>
      <w:r w:rsidR="007C221C">
        <w:rPr>
          <w:rFonts w:cs="Arial"/>
        </w:rPr>
        <w:t>as shown by most</w:t>
      </w:r>
      <w:r w:rsidRPr="00FA66BC">
        <w:rPr>
          <w:rFonts w:cs="Arial"/>
        </w:rPr>
        <w:t xml:space="preserve"> of the disabled ambulances needing new suspension </w:t>
      </w:r>
      <w:r w:rsidR="00AF57B3" w:rsidRPr="003F755B">
        <w:t>components</w:t>
      </w:r>
      <w:r w:rsidR="00AF57B3">
        <w:rPr>
          <w:rStyle w:val="FootnoteReference"/>
        </w:rPr>
        <w:footnoteReference w:id="29"/>
      </w:r>
      <w:r w:rsidRPr="00FA66BC">
        <w:rPr>
          <w:rFonts w:cs="Arial"/>
        </w:rPr>
        <w:t xml:space="preserve">. </w:t>
      </w:r>
    </w:p>
    <w:p w:rsidR="005009B0" w:rsidRPr="00FA66BC" w:rsidRDefault="005009B0" w:rsidP="00624D3B">
      <w:pPr>
        <w:spacing w:line="276" w:lineRule="auto"/>
        <w:rPr>
          <w:rFonts w:cs="Arial"/>
        </w:rPr>
      </w:pPr>
      <w:r w:rsidRPr="00FA66BC">
        <w:rPr>
          <w:rFonts w:cs="Arial"/>
        </w:rPr>
        <w:t xml:space="preserve">MoH ambulances are based at the National Hospital or at district referral hospitals, but </w:t>
      </w:r>
      <w:r w:rsidR="00847741">
        <w:rPr>
          <w:rFonts w:cs="Arial"/>
        </w:rPr>
        <w:t xml:space="preserve">it is reported that </w:t>
      </w:r>
      <w:r w:rsidRPr="00FA66BC">
        <w:rPr>
          <w:rFonts w:cs="Arial"/>
        </w:rPr>
        <w:t xml:space="preserve">84% of emergency calls </w:t>
      </w:r>
      <w:r w:rsidR="00847741">
        <w:rPr>
          <w:rFonts w:cs="Arial"/>
        </w:rPr>
        <w:t>are not responded to</w:t>
      </w:r>
      <w:r w:rsidR="00052C07">
        <w:rPr>
          <w:rStyle w:val="FootnoteReference"/>
          <w:rFonts w:cs="Arial"/>
        </w:rPr>
        <w:footnoteReference w:id="30"/>
      </w:r>
      <w:r w:rsidRPr="00FA66BC">
        <w:rPr>
          <w:rFonts w:cs="Arial"/>
        </w:rPr>
        <w:t xml:space="preserve">, in part because 10 of the 44 ambulance/multipurpose vehicles in the country are currently inoperable. The extent to which vehicles are used for personal transport rather than intended use has not been documented. Management of fuel supplies was identified as a problem of financial </w:t>
      </w:r>
      <w:r w:rsidR="00AF57B3" w:rsidRPr="003F755B">
        <w:t>management</w:t>
      </w:r>
      <w:r w:rsidR="00AF57B3">
        <w:rPr>
          <w:rStyle w:val="FootnoteReference"/>
        </w:rPr>
        <w:footnoteReference w:id="31"/>
      </w:r>
      <w:r w:rsidR="00AF57B3">
        <w:t xml:space="preserve"> </w:t>
      </w:r>
      <w:r w:rsidRPr="00FA66BC">
        <w:rPr>
          <w:rFonts w:cs="Arial"/>
        </w:rPr>
        <w:t>but is no longer considered to be a problem</w:t>
      </w:r>
      <w:r w:rsidR="00052C07">
        <w:rPr>
          <w:rStyle w:val="FootnoteReference"/>
          <w:rFonts w:cs="Arial"/>
        </w:rPr>
        <w:footnoteReference w:id="32"/>
      </w:r>
      <w:r w:rsidRPr="00FA66BC">
        <w:rPr>
          <w:rFonts w:cs="Arial"/>
        </w:rPr>
        <w:t xml:space="preserve">. </w:t>
      </w:r>
    </w:p>
    <w:p w:rsidR="00AB13C2" w:rsidRDefault="005009B0" w:rsidP="00624D3B">
      <w:pPr>
        <w:spacing w:line="276" w:lineRule="auto"/>
        <w:rPr>
          <w:rFonts w:cs="Arial"/>
          <w:lang w:val="en-AU"/>
        </w:rPr>
      </w:pPr>
      <w:r w:rsidRPr="00FA66BC">
        <w:rPr>
          <w:rFonts w:cs="Arial"/>
        </w:rPr>
        <w:t xml:space="preserve">Most of the </w:t>
      </w:r>
      <w:r w:rsidR="00845E38">
        <w:rPr>
          <w:rFonts w:cs="Arial"/>
        </w:rPr>
        <w:t xml:space="preserve">assumed newer </w:t>
      </w:r>
      <w:r w:rsidRPr="00FA66BC">
        <w:rPr>
          <w:rFonts w:cs="Arial"/>
        </w:rPr>
        <w:t>ambulances a</w:t>
      </w:r>
      <w:r w:rsidR="00845E38">
        <w:rPr>
          <w:rFonts w:cs="Arial"/>
        </w:rPr>
        <w:t>ppear to be</w:t>
      </w:r>
      <w:r w:rsidRPr="00FA66BC">
        <w:rPr>
          <w:rFonts w:cs="Arial"/>
        </w:rPr>
        <w:t xml:space="preserve"> </w:t>
      </w:r>
      <w:r w:rsidR="009213C9">
        <w:rPr>
          <w:rFonts w:cs="Arial"/>
        </w:rPr>
        <w:t xml:space="preserve">of </w:t>
      </w:r>
      <w:r w:rsidRPr="00FA66BC">
        <w:rPr>
          <w:rFonts w:cs="Arial"/>
        </w:rPr>
        <w:t>Korean or Chinese manufacture</w:t>
      </w:r>
      <w:r w:rsidR="00845E38">
        <w:rPr>
          <w:rFonts w:cs="Arial"/>
        </w:rPr>
        <w:t xml:space="preserve">, whilst most of the </w:t>
      </w:r>
      <w:r w:rsidRPr="00FA66BC">
        <w:rPr>
          <w:rFonts w:cs="Arial"/>
        </w:rPr>
        <w:t xml:space="preserve">inoperable ones are Toyota Land Cruisers and Nissan Patrols that were probably supplied by </w:t>
      </w:r>
      <w:r w:rsidR="00845E38">
        <w:rPr>
          <w:rFonts w:cs="Arial"/>
        </w:rPr>
        <w:t>previous</w:t>
      </w:r>
      <w:r w:rsidRPr="00FA66BC">
        <w:rPr>
          <w:rFonts w:cs="Arial"/>
        </w:rPr>
        <w:t xml:space="preserve"> projects. </w:t>
      </w:r>
      <w:r w:rsidRPr="00FA66BC">
        <w:rPr>
          <w:rFonts w:cs="Arial"/>
          <w:lang w:val="en-AU"/>
        </w:rPr>
        <w:t>Currently a</w:t>
      </w:r>
      <w:r w:rsidRPr="00FA66BC">
        <w:rPr>
          <w:rFonts w:cs="Arial"/>
        </w:rPr>
        <w:t>ll GoTL ambulances are repaired by contracted workshops in Dili, one for hospital ambulances and the other for multipurpose and general vehicles</w:t>
      </w:r>
      <w:r w:rsidR="00052C07">
        <w:rPr>
          <w:rStyle w:val="FootnoteReference"/>
          <w:rFonts w:cs="Arial"/>
        </w:rPr>
        <w:footnoteReference w:id="33"/>
      </w:r>
      <w:r w:rsidRPr="00FA66BC">
        <w:rPr>
          <w:rFonts w:cs="Arial"/>
        </w:rPr>
        <w:t xml:space="preserve">. This apparently precludes using any repair shops in rural areas, so the planned mobile team would mainly repair vehicles which cannot be moved to Dili. A </w:t>
      </w:r>
      <w:r w:rsidRPr="00FA66BC">
        <w:rPr>
          <w:rFonts w:cs="Arial"/>
          <w:lang w:val="en-AU"/>
        </w:rPr>
        <w:t xml:space="preserve">mobile repair van </w:t>
      </w:r>
      <w:r w:rsidR="00845E38">
        <w:rPr>
          <w:rFonts w:cs="Arial"/>
          <w:lang w:val="en-AU"/>
        </w:rPr>
        <w:t>would</w:t>
      </w:r>
      <w:r w:rsidRPr="00FA66BC">
        <w:rPr>
          <w:rFonts w:cs="Arial"/>
          <w:lang w:val="en-AU"/>
        </w:rPr>
        <w:t xml:space="preserve"> be limited to simple repairs such as brakes, tyres, and replacing batteries and minor parts. The proposed initial assessment of needed repairs and the design of a longer-term sustainable project will require professional expertise to be provided by </w:t>
      </w:r>
      <w:r w:rsidR="00D0414C">
        <w:rPr>
          <w:rFonts w:cs="Arial"/>
          <w:lang w:val="en-AU"/>
        </w:rPr>
        <w:t>Australian aid</w:t>
      </w:r>
      <w:r w:rsidRPr="00FA66BC">
        <w:rPr>
          <w:rFonts w:cs="Arial"/>
          <w:lang w:val="en-AU"/>
        </w:rPr>
        <w:t>'s procurement and logistics contractor Charles Kendall Group. Ad hoc vehicle repair by a mobile mechanic team could be the foundation of health system strengthening</w:t>
      </w:r>
      <w:r w:rsidR="00AB13C2">
        <w:rPr>
          <w:rFonts w:cs="Arial"/>
          <w:lang w:val="en-AU"/>
        </w:rPr>
        <w:t>,</w:t>
      </w:r>
      <w:r w:rsidRPr="00FA66BC">
        <w:rPr>
          <w:rFonts w:cs="Arial"/>
          <w:lang w:val="en-AU"/>
        </w:rPr>
        <w:t xml:space="preserve"> </w:t>
      </w:r>
      <w:r w:rsidR="00B44FBB">
        <w:rPr>
          <w:rFonts w:cs="Arial"/>
          <w:lang w:val="en-AU"/>
        </w:rPr>
        <w:t>and options for longer-term solutions will need to be explored</w:t>
      </w:r>
      <w:r w:rsidR="00AB13C2">
        <w:rPr>
          <w:rFonts w:cs="Arial"/>
          <w:lang w:val="en-AU"/>
        </w:rPr>
        <w:t>.</w:t>
      </w:r>
    </w:p>
    <w:p w:rsidR="005009B0" w:rsidRPr="00FA66BC" w:rsidRDefault="005009B0" w:rsidP="00624D3B">
      <w:pPr>
        <w:spacing w:line="276" w:lineRule="auto"/>
        <w:rPr>
          <w:rFonts w:cs="Arial"/>
        </w:rPr>
      </w:pPr>
      <w:r w:rsidRPr="00FA66BC">
        <w:rPr>
          <w:rFonts w:cs="Arial"/>
        </w:rPr>
        <w:t>In the short term, a vehicle repair activity increases the value of a broken ambulance from near zero to the cost of a similar vehicle. An intermediate-term value can be placed on having a system of regular preventive maintenance that will extend the useful life of a large number of vehicles. The long-term value can be related to an improvement in overall health system performance that reduces avoidable deaths and disabilities. Using the results of the health system respo</w:t>
      </w:r>
      <w:r w:rsidR="001B01D0">
        <w:rPr>
          <w:rFonts w:cs="Arial"/>
        </w:rPr>
        <w:t xml:space="preserve">nse analysis (Table </w:t>
      </w:r>
      <w:r w:rsidR="009563E1">
        <w:rPr>
          <w:rFonts w:cs="Arial"/>
        </w:rPr>
        <w:t>4</w:t>
      </w:r>
      <w:r w:rsidRPr="00FA66BC">
        <w:rPr>
          <w:rFonts w:cs="Arial"/>
        </w:rPr>
        <w:t>), if maternal emergencies are treated at hospital rather than in the community the increased survival rate would represent the benefit obtained from equipping and staffing a hospital with staff and resources to deal with these cases and removing barriers to access. This would amount to (1</w:t>
      </w:r>
      <w:r w:rsidR="00B56E0A">
        <w:rPr>
          <w:rFonts w:cs="Arial"/>
        </w:rPr>
        <w:t>14</w:t>
      </w:r>
      <w:r w:rsidRPr="00FA66BC">
        <w:rPr>
          <w:rFonts w:cs="Arial"/>
        </w:rPr>
        <w:t>-1</w:t>
      </w:r>
      <w:r w:rsidR="00B56E0A">
        <w:rPr>
          <w:rFonts w:cs="Arial"/>
        </w:rPr>
        <w:t>8</w:t>
      </w:r>
      <w:r w:rsidRPr="00FA66BC">
        <w:rPr>
          <w:rFonts w:cs="Arial"/>
        </w:rPr>
        <w:t>) = 9</w:t>
      </w:r>
      <w:r w:rsidR="00B56E0A">
        <w:rPr>
          <w:rFonts w:cs="Arial"/>
        </w:rPr>
        <w:t>6</w:t>
      </w:r>
      <w:r w:rsidRPr="00FA66BC">
        <w:rPr>
          <w:rFonts w:cs="Arial"/>
        </w:rPr>
        <w:t xml:space="preserve"> maternal deaths and </w:t>
      </w:r>
      <w:r w:rsidR="00B56E0A">
        <w:rPr>
          <w:rFonts w:cs="Arial"/>
        </w:rPr>
        <w:t>306</w:t>
      </w:r>
      <w:r w:rsidRPr="00FA66BC">
        <w:rPr>
          <w:rFonts w:cs="Arial"/>
        </w:rPr>
        <w:t xml:space="preserve"> maternal disabilities per year.   </w:t>
      </w:r>
    </w:p>
    <w:p w:rsidR="005009B0" w:rsidRPr="00FA66BC" w:rsidRDefault="005009B0" w:rsidP="00624D3B">
      <w:pPr>
        <w:spacing w:line="276" w:lineRule="auto"/>
        <w:rPr>
          <w:rFonts w:cs="Arial"/>
        </w:rPr>
      </w:pPr>
      <w:r w:rsidRPr="00FA66BC">
        <w:rPr>
          <w:rFonts w:cs="Arial"/>
        </w:rPr>
        <w:t>This provides an illustration of how overall system outcomes can be used to isolate the value of a system support intervention.  In an (unrealistic) scenario, the hospitals are otherwise fully resourced, operate efficiently and provide all emergency services except for transportation from community level. A loss of all 9</w:t>
      </w:r>
      <w:r w:rsidR="00B56E0A">
        <w:rPr>
          <w:rFonts w:cs="Arial"/>
        </w:rPr>
        <w:t>6</w:t>
      </w:r>
      <w:r w:rsidRPr="00FA66BC">
        <w:rPr>
          <w:rFonts w:cs="Arial"/>
        </w:rPr>
        <w:t xml:space="preserve"> mother's lives and </w:t>
      </w:r>
      <w:r w:rsidR="00B56E0A">
        <w:rPr>
          <w:rFonts w:cs="Arial"/>
        </w:rPr>
        <w:t>306</w:t>
      </w:r>
      <w:r w:rsidRPr="00FA66BC">
        <w:rPr>
          <w:rFonts w:cs="Arial"/>
        </w:rPr>
        <w:t xml:space="preserve"> disabilities could then be attributed to lack of emergency transport. (Similar estimates can be made for the case of transportation between Health </w:t>
      </w:r>
      <w:r w:rsidR="00494623" w:rsidRPr="00FA66BC">
        <w:rPr>
          <w:rFonts w:cs="Arial"/>
        </w:rPr>
        <w:t>Centre</w:t>
      </w:r>
      <w:r w:rsidRPr="00FA66BC">
        <w:rPr>
          <w:rFonts w:cs="Arial"/>
        </w:rPr>
        <w:t xml:space="preserve"> level and referral hospital, or community to health </w:t>
      </w:r>
      <w:r w:rsidR="00494623" w:rsidRPr="00FA66BC">
        <w:rPr>
          <w:rFonts w:cs="Arial"/>
        </w:rPr>
        <w:t>centre</w:t>
      </w:r>
      <w:r w:rsidRPr="00FA66BC">
        <w:rPr>
          <w:rFonts w:cs="Arial"/>
        </w:rPr>
        <w:t>)</w:t>
      </w:r>
      <w:r w:rsidR="00C453FB">
        <w:rPr>
          <w:rFonts w:cs="Arial"/>
        </w:rPr>
        <w:t>.</w:t>
      </w:r>
      <w:r w:rsidRPr="00FA66BC">
        <w:rPr>
          <w:rFonts w:cs="Arial"/>
        </w:rPr>
        <w:t xml:space="preserve"> If 26 ambulances (</w:t>
      </w:r>
      <w:r w:rsidR="009213C9">
        <w:rPr>
          <w:rFonts w:cs="Arial"/>
        </w:rPr>
        <w:t>two</w:t>
      </w:r>
      <w:r w:rsidRPr="00FA66BC">
        <w:rPr>
          <w:rFonts w:cs="Arial"/>
        </w:rPr>
        <w:t xml:space="preserve"> per district) were needed to handle all emergency transportation, the benefit per ambulance (and therefore the cost per non-operational vehicle), would be about 3.</w:t>
      </w:r>
      <w:r w:rsidR="00B56E0A">
        <w:rPr>
          <w:rFonts w:cs="Arial"/>
        </w:rPr>
        <w:t>7</w:t>
      </w:r>
      <w:r w:rsidRPr="00FA66BC">
        <w:rPr>
          <w:rFonts w:cs="Arial"/>
        </w:rPr>
        <w:t xml:space="preserve"> maternal deaths and 1</w:t>
      </w:r>
      <w:r w:rsidR="00B56E0A">
        <w:rPr>
          <w:rFonts w:cs="Arial"/>
        </w:rPr>
        <w:t>1.7</w:t>
      </w:r>
      <w:r w:rsidRPr="00FA66BC">
        <w:rPr>
          <w:rFonts w:cs="Arial"/>
        </w:rPr>
        <w:t xml:space="preserve"> maternal disabilities per year.</w:t>
      </w:r>
      <w:r w:rsidR="00BD0FC5">
        <w:rPr>
          <w:rFonts w:cs="Arial"/>
        </w:rPr>
        <w:t xml:space="preserve"> (These numbers could be converted to DALYs if detailed data existed about the disabilities.)</w:t>
      </w:r>
    </w:p>
    <w:p w:rsidR="005009B0" w:rsidRDefault="005009B0" w:rsidP="00624D3B">
      <w:pPr>
        <w:spacing w:line="276" w:lineRule="auto"/>
        <w:rPr>
          <w:rFonts w:cs="Arial"/>
        </w:rPr>
      </w:pPr>
      <w:r w:rsidRPr="00FA66BC">
        <w:rPr>
          <w:rFonts w:cs="Arial"/>
        </w:rPr>
        <w:t>The benefits increase considerably if ambulances are also used for neonatal and child emergencies. The benefits under the (unrealistic) full efficiency scenario comprise 2</w:t>
      </w:r>
      <w:r w:rsidR="00B56E0A">
        <w:rPr>
          <w:rFonts w:cs="Arial"/>
        </w:rPr>
        <w:t>19</w:t>
      </w:r>
      <w:r w:rsidRPr="00FA66BC">
        <w:rPr>
          <w:rFonts w:cs="Arial"/>
        </w:rPr>
        <w:t xml:space="preserve"> neonatal deaths and 10</w:t>
      </w:r>
      <w:r w:rsidR="00B56E0A">
        <w:rPr>
          <w:rFonts w:cs="Arial"/>
        </w:rPr>
        <w:t>98</w:t>
      </w:r>
      <w:r w:rsidRPr="00FA66BC">
        <w:rPr>
          <w:rFonts w:cs="Arial"/>
        </w:rPr>
        <w:t xml:space="preserve"> disabilities</w:t>
      </w:r>
      <w:r w:rsidR="00041490">
        <w:rPr>
          <w:rFonts w:cs="Arial"/>
        </w:rPr>
        <w:t>,</w:t>
      </w:r>
      <w:r w:rsidRPr="00FA66BC">
        <w:rPr>
          <w:rFonts w:cs="Arial"/>
        </w:rPr>
        <w:t xml:space="preserve"> and </w:t>
      </w:r>
      <w:r w:rsidR="00B56E0A">
        <w:rPr>
          <w:rFonts w:cs="Arial"/>
        </w:rPr>
        <w:t>1034</w:t>
      </w:r>
      <w:r w:rsidRPr="00FA66BC">
        <w:rPr>
          <w:rFonts w:cs="Arial"/>
        </w:rPr>
        <w:t xml:space="preserve"> child deaths and </w:t>
      </w:r>
      <w:r w:rsidR="00B56E0A">
        <w:rPr>
          <w:rFonts w:cs="Arial"/>
        </w:rPr>
        <w:t>285</w:t>
      </w:r>
      <w:r w:rsidRPr="00FA66BC">
        <w:rPr>
          <w:rFonts w:cs="Arial"/>
        </w:rPr>
        <w:t xml:space="preserve"> disabilities. Again assuming the lack of ambulance transport from community to hospital is the</w:t>
      </w:r>
      <w:r w:rsidR="00B44FBB">
        <w:rPr>
          <w:rFonts w:cs="Arial"/>
        </w:rPr>
        <w:t xml:space="preserve"> only</w:t>
      </w:r>
      <w:r w:rsidRPr="00FA66BC">
        <w:rPr>
          <w:rFonts w:cs="Arial"/>
        </w:rPr>
        <w:t xml:space="preserve"> reason for these avoidable deaths and disabilities yields a</w:t>
      </w:r>
      <w:r w:rsidR="00B56E0A">
        <w:rPr>
          <w:rFonts w:cs="Arial"/>
        </w:rPr>
        <w:t>n additional</w:t>
      </w:r>
      <w:r w:rsidRPr="00FA66BC">
        <w:rPr>
          <w:rFonts w:cs="Arial"/>
        </w:rPr>
        <w:t xml:space="preserve"> benefit per working ambulance of </w:t>
      </w:r>
      <w:r w:rsidR="00B56E0A">
        <w:rPr>
          <w:rFonts w:cs="Arial"/>
        </w:rPr>
        <w:t>1253</w:t>
      </w:r>
      <w:r w:rsidRPr="00FA66BC">
        <w:rPr>
          <w:rFonts w:cs="Arial"/>
        </w:rPr>
        <w:t xml:space="preserve">/26 = </w:t>
      </w:r>
      <w:r w:rsidR="00B56E0A">
        <w:rPr>
          <w:rFonts w:cs="Arial"/>
        </w:rPr>
        <w:t>48.2</w:t>
      </w:r>
      <w:r w:rsidRPr="00FA66BC">
        <w:rPr>
          <w:rFonts w:cs="Arial"/>
        </w:rPr>
        <w:t xml:space="preserve"> deaths and </w:t>
      </w:r>
      <w:r w:rsidR="00041490">
        <w:rPr>
          <w:rFonts w:cs="Arial"/>
        </w:rPr>
        <w:t>1383</w:t>
      </w:r>
      <w:r w:rsidRPr="00FA66BC">
        <w:rPr>
          <w:rFonts w:cs="Arial"/>
        </w:rPr>
        <w:t>/26 = 5</w:t>
      </w:r>
      <w:r w:rsidR="00041490">
        <w:rPr>
          <w:rFonts w:cs="Arial"/>
        </w:rPr>
        <w:t>3.2</w:t>
      </w:r>
      <w:r w:rsidRPr="00FA66BC">
        <w:rPr>
          <w:rFonts w:cs="Arial"/>
        </w:rPr>
        <w:t xml:space="preserve"> disabilities per year. There are other</w:t>
      </w:r>
      <w:r w:rsidR="00AB13C2">
        <w:rPr>
          <w:rFonts w:cs="Arial"/>
        </w:rPr>
        <w:t>, perhaps equally or more important,</w:t>
      </w:r>
      <w:r w:rsidRPr="00FA66BC">
        <w:rPr>
          <w:rFonts w:cs="Arial"/>
        </w:rPr>
        <w:t xml:space="preserve"> health system reasons for the avoidable deaths, but even if lack of emergency transport was the immediate cause of only a small fraction, vehicle repair</w:t>
      </w:r>
      <w:r w:rsidR="00B56E0A">
        <w:rPr>
          <w:rFonts w:cs="Arial"/>
        </w:rPr>
        <w:t xml:space="preserve"> </w:t>
      </w:r>
      <w:r w:rsidRPr="00FA66BC">
        <w:rPr>
          <w:rFonts w:cs="Arial"/>
        </w:rPr>
        <w:t xml:space="preserve">and maintenance </w:t>
      </w:r>
      <w:r w:rsidR="00845E38">
        <w:rPr>
          <w:rFonts w:cs="Arial"/>
        </w:rPr>
        <w:t>can</w:t>
      </w:r>
      <w:r w:rsidRPr="00FA66BC">
        <w:rPr>
          <w:rFonts w:cs="Arial"/>
        </w:rPr>
        <w:t xml:space="preserve"> still be considered an excellent investment both in the short term and the long term.  (The cost of a new ambulance can vary between US$20</w:t>
      </w:r>
      <w:r w:rsidR="000F1F7A">
        <w:rPr>
          <w:rFonts w:cs="Arial"/>
        </w:rPr>
        <w:t xml:space="preserve"> </w:t>
      </w:r>
      <w:r w:rsidRPr="00FA66BC">
        <w:rPr>
          <w:rFonts w:cs="Arial"/>
        </w:rPr>
        <w:t xml:space="preserve">000 and </w:t>
      </w:r>
      <w:r w:rsidR="009322F3">
        <w:rPr>
          <w:rFonts w:cs="Arial"/>
          <w:bCs/>
        </w:rPr>
        <w:t>US</w:t>
      </w:r>
      <w:r w:rsidRPr="00FA66BC">
        <w:rPr>
          <w:rFonts w:cs="Arial"/>
        </w:rPr>
        <w:t>$60</w:t>
      </w:r>
      <w:r w:rsidR="000F1F7A">
        <w:rPr>
          <w:rFonts w:cs="Arial"/>
        </w:rPr>
        <w:t xml:space="preserve"> </w:t>
      </w:r>
      <w:r w:rsidRPr="00FA66BC">
        <w:rPr>
          <w:rFonts w:cs="Arial"/>
        </w:rPr>
        <w:t xml:space="preserve">000; repairs to vehicles that are disabled for causes mentioned in a recent MoH survey would likely cost between </w:t>
      </w:r>
      <w:r w:rsidR="009322F3">
        <w:rPr>
          <w:rFonts w:cs="Arial"/>
          <w:bCs/>
        </w:rPr>
        <w:t>US</w:t>
      </w:r>
      <w:r w:rsidRPr="00FA66BC">
        <w:rPr>
          <w:rFonts w:cs="Arial"/>
        </w:rPr>
        <w:t xml:space="preserve">$100 and </w:t>
      </w:r>
      <w:r w:rsidR="009322F3">
        <w:rPr>
          <w:rFonts w:cs="Arial"/>
        </w:rPr>
        <w:t>US</w:t>
      </w:r>
      <w:r w:rsidRPr="00FA66BC">
        <w:rPr>
          <w:rFonts w:cs="Arial"/>
        </w:rPr>
        <w:t>$2000 in direct costs of parts and labour)</w:t>
      </w:r>
      <w:r w:rsidR="000F1F7A">
        <w:rPr>
          <w:rFonts w:cs="Arial"/>
        </w:rPr>
        <w:t>.</w:t>
      </w:r>
    </w:p>
    <w:p w:rsidR="00F85586" w:rsidRDefault="00F85586" w:rsidP="00624D3B">
      <w:pPr>
        <w:spacing w:line="276" w:lineRule="auto"/>
      </w:pPr>
      <w:r w:rsidRPr="003F3DC0">
        <w:rPr>
          <w:rFonts w:cs="Arial"/>
        </w:rPr>
        <w:t xml:space="preserve">If the relative influence of every system bottleneck could be estimated, a more realistic estimate of </w:t>
      </w:r>
      <w:r w:rsidR="005F0E16" w:rsidRPr="003F3DC0">
        <w:rPr>
          <w:rFonts w:cs="Arial"/>
        </w:rPr>
        <w:t>benefits</w:t>
      </w:r>
      <w:r w:rsidRPr="003F3DC0">
        <w:rPr>
          <w:rFonts w:cs="Arial"/>
        </w:rPr>
        <w:t xml:space="preserve"> could be made for each weak link that is strengthened. For example, if </w:t>
      </w:r>
      <w:r w:rsidR="005F0E16" w:rsidRPr="003F3DC0">
        <w:rPr>
          <w:rFonts w:cs="Arial"/>
        </w:rPr>
        <w:t xml:space="preserve">all "three delays" </w:t>
      </w:r>
      <w:r w:rsidR="005F609D" w:rsidRPr="003F3DC0">
        <w:rPr>
          <w:rFonts w:cs="Arial"/>
        </w:rPr>
        <w:t xml:space="preserve">in emergency obstetric and newborn care (EmONC) </w:t>
      </w:r>
      <w:r w:rsidR="005F0E16" w:rsidRPr="003F3DC0">
        <w:rPr>
          <w:rFonts w:cs="Arial"/>
        </w:rPr>
        <w:t xml:space="preserve">are estimated to be equally critical, then one-third of maternal deaths and disabilities would be attributed to each. Or, if emergency </w:t>
      </w:r>
      <w:r w:rsidRPr="003F3DC0">
        <w:rPr>
          <w:rFonts w:cs="Arial"/>
        </w:rPr>
        <w:t>transport</w:t>
      </w:r>
      <w:r w:rsidR="005F0E16" w:rsidRPr="003F3DC0">
        <w:rPr>
          <w:rFonts w:cs="Arial"/>
        </w:rPr>
        <w:t xml:space="preserve"> (generally, access)</w:t>
      </w:r>
      <w:r w:rsidRPr="003F3DC0">
        <w:rPr>
          <w:rFonts w:cs="Arial"/>
        </w:rPr>
        <w:t xml:space="preserve"> and each of the following five system building blocks are estimated to be equally critical links</w:t>
      </w:r>
      <w:r w:rsidR="005F0E16" w:rsidRPr="003F3DC0">
        <w:rPr>
          <w:rFonts w:cs="Arial"/>
        </w:rPr>
        <w:t>, then one-sixth of the total number of deaths and disabilities could be attributed to each. This is still very hypothetical but may provide decision-makers with a rough idea of the benefits to be had from successful system interventions.</w:t>
      </w:r>
      <w:r w:rsidR="005F0E16">
        <w:rPr>
          <w:rFonts w:cs="Arial"/>
        </w:rPr>
        <w:t xml:space="preserve"> </w:t>
      </w:r>
    </w:p>
    <w:p w:rsidR="00773916" w:rsidRPr="00E62F5C" w:rsidRDefault="00773916" w:rsidP="00624D3B">
      <w:pPr>
        <w:pStyle w:val="HRFHeading2Numbered"/>
        <w:rPr>
          <w:lang w:val="en-AU"/>
        </w:rPr>
      </w:pPr>
      <w:bookmarkStart w:id="21" w:name="_Toc373502485"/>
      <w:r w:rsidRPr="00E62F5C">
        <w:rPr>
          <w:lang w:val="en-AU"/>
        </w:rPr>
        <w:t>Health infrastructure and equipment</w:t>
      </w:r>
      <w:bookmarkEnd w:id="21"/>
    </w:p>
    <w:p w:rsidR="005009B0" w:rsidRPr="00D0414C" w:rsidRDefault="005009B0" w:rsidP="00624D3B">
      <w:pPr>
        <w:spacing w:line="276" w:lineRule="auto"/>
        <w:rPr>
          <w:rFonts w:cs="Arial"/>
          <w:bCs/>
          <w:lang w:val="en-AU"/>
        </w:rPr>
      </w:pPr>
      <w:r w:rsidRPr="00FA66BC">
        <w:rPr>
          <w:rFonts w:cs="Arial"/>
          <w:bCs/>
        </w:rPr>
        <w:t xml:space="preserve">The government allocated a total of </w:t>
      </w:r>
      <w:r w:rsidR="009322F3">
        <w:rPr>
          <w:rFonts w:cs="Arial"/>
          <w:bCs/>
        </w:rPr>
        <w:t>US</w:t>
      </w:r>
      <w:r w:rsidRPr="00FA66BC">
        <w:rPr>
          <w:rFonts w:cs="Arial"/>
          <w:bCs/>
        </w:rPr>
        <w:t xml:space="preserve">$3.1 million for medical equipment for district health services in the 2013 budget. There was no special budget for maintenance and repair of medical equipment, or for equipment at district level in 2011 or 2012. </w:t>
      </w:r>
      <w:r w:rsidR="00B44FBB">
        <w:rPr>
          <w:rFonts w:cs="Arial"/>
          <w:bCs/>
        </w:rPr>
        <w:t>Longer-term system s</w:t>
      </w:r>
      <w:r w:rsidRPr="00FA66BC">
        <w:rPr>
          <w:rFonts w:cs="Arial"/>
          <w:bCs/>
        </w:rPr>
        <w:t xml:space="preserve">trengthening should include creating a mechanism to conduct regular surveys of facility equipment, complemented with revised budgeting procedures that include funding for equipment maintenance and replacement. </w:t>
      </w:r>
    </w:p>
    <w:p w:rsidR="005009B0" w:rsidRPr="00FA66BC" w:rsidRDefault="005009B0" w:rsidP="00624D3B">
      <w:pPr>
        <w:spacing w:line="276" w:lineRule="auto"/>
        <w:rPr>
          <w:rFonts w:cs="Arial"/>
          <w:bCs/>
        </w:rPr>
      </w:pPr>
      <w:r w:rsidRPr="00FA66BC">
        <w:rPr>
          <w:rFonts w:cs="Arial"/>
          <w:bCs/>
        </w:rPr>
        <w:t>Providing surgical</w:t>
      </w:r>
      <w:r w:rsidR="00624D3B">
        <w:rPr>
          <w:rFonts w:cs="Arial"/>
          <w:bCs/>
        </w:rPr>
        <w:t xml:space="preserve"> equipment and</w:t>
      </w:r>
      <w:r w:rsidRPr="00FA66BC">
        <w:rPr>
          <w:rFonts w:cs="Arial"/>
          <w:bCs/>
        </w:rPr>
        <w:t xml:space="preserve"> </w:t>
      </w:r>
      <w:r w:rsidR="00B44FBB">
        <w:rPr>
          <w:rFonts w:cs="Arial"/>
          <w:bCs/>
        </w:rPr>
        <w:t>skilled staff</w:t>
      </w:r>
      <w:r w:rsidRPr="00FA66BC">
        <w:rPr>
          <w:rFonts w:cs="Arial"/>
          <w:bCs/>
        </w:rPr>
        <w:t xml:space="preserve"> to address emergency obstetric care (EmOC) would bring benefits beyond maternal health, by providing the ability to care for victims of trauma such as road traffic accidents, falls, and burns, and other surgical emergencies such as appendicitis, hernia, and other surgical conditions. It is a highly cost-effective intervention in virtually all </w:t>
      </w:r>
      <w:r w:rsidR="00AF57B3" w:rsidRPr="00E62F5C">
        <w:rPr>
          <w:bCs/>
        </w:rPr>
        <w:t>settings</w:t>
      </w:r>
      <w:r w:rsidR="00AF57B3">
        <w:rPr>
          <w:rStyle w:val="FootnoteReference"/>
          <w:bCs/>
        </w:rPr>
        <w:footnoteReference w:id="34"/>
      </w:r>
      <w:r w:rsidR="00AF57B3">
        <w:rPr>
          <w:bCs/>
        </w:rPr>
        <w:t>.</w:t>
      </w:r>
    </w:p>
    <w:p w:rsidR="005009B0" w:rsidRDefault="005009B0" w:rsidP="00624D3B">
      <w:pPr>
        <w:spacing w:line="276" w:lineRule="auto"/>
      </w:pPr>
      <w:r w:rsidRPr="00FA66BC">
        <w:rPr>
          <w:rFonts w:cs="Arial"/>
          <w:color w:val="000000"/>
        </w:rPr>
        <w:t>To significantly improve the availability, distribution and condition of appropriate essential infrastructure and equipment and improve equity of access to essential health services will require a database sy</w:t>
      </w:r>
      <w:r w:rsidR="00882800">
        <w:rPr>
          <w:rFonts w:cs="Arial"/>
          <w:color w:val="000000"/>
        </w:rPr>
        <w:t>s</w:t>
      </w:r>
      <w:r w:rsidRPr="00FA66BC">
        <w:rPr>
          <w:rFonts w:cs="Arial"/>
          <w:color w:val="000000"/>
        </w:rPr>
        <w:t>tem, establishing standards, an infrastructure development plan, a capital fund, and capacity building in development and maintenance of all infrastructure and equipment.</w:t>
      </w:r>
      <w:r w:rsidRPr="00FA66BC">
        <w:rPr>
          <w:rFonts w:cs="Arial"/>
          <w:bCs/>
          <w:lang w:val="en-AU"/>
        </w:rPr>
        <w:t xml:space="preserve"> The </w:t>
      </w:r>
      <w:r w:rsidR="00845E38">
        <w:rPr>
          <w:rFonts w:cs="Arial"/>
          <w:bCs/>
          <w:lang w:val="en-AU"/>
        </w:rPr>
        <w:t>Consultant</w:t>
      </w:r>
      <w:r w:rsidRPr="00FA66BC">
        <w:rPr>
          <w:rFonts w:cs="Arial"/>
          <w:bCs/>
          <w:lang w:val="en-AU"/>
        </w:rPr>
        <w:t xml:space="preserve"> managed a hospital equipment maintenance project in a medium-income country some time ago. Most repairs to sophisticated equipment were done by manufacturer's representatives, so project activities mostly involved basic on-site electrical and plumbing repairs including generators and medical gases and kitchen and laundry equipment. A mobile van with some basic tools was provided but not used very much since most hospitals had similarly-equipped workshops. A central workshop may not be needed but trained technicians are, as well as means of transport.</w:t>
      </w:r>
    </w:p>
    <w:p w:rsidR="00773916" w:rsidRPr="003F755B" w:rsidRDefault="00773916" w:rsidP="00624D3B">
      <w:pPr>
        <w:pStyle w:val="HRFHeading2Numbered"/>
        <w:rPr>
          <w:lang w:val="en-AU"/>
        </w:rPr>
      </w:pPr>
      <w:bookmarkStart w:id="22" w:name="_Toc373502486"/>
      <w:r w:rsidRPr="003F755B">
        <w:rPr>
          <w:lang w:val="en-AU"/>
        </w:rPr>
        <w:t>Human resources for health</w:t>
      </w:r>
      <w:bookmarkEnd w:id="22"/>
    </w:p>
    <w:p w:rsidR="005009B0" w:rsidRPr="00FA66BC" w:rsidRDefault="005009B0" w:rsidP="00624D3B">
      <w:pPr>
        <w:spacing w:line="276" w:lineRule="auto"/>
        <w:rPr>
          <w:rFonts w:cs="Arial"/>
          <w:lang w:val="en-AU"/>
        </w:rPr>
      </w:pPr>
      <w:r w:rsidRPr="00FA66BC">
        <w:rPr>
          <w:rFonts w:cs="Arial"/>
        </w:rPr>
        <w:t xml:space="preserve">Between 3000 and 3500 of the estimated workers in the health sector in Timor-Leste are civil servants in MoH institutions and units. Half do not have medical or health skills. Of the total of </w:t>
      </w:r>
      <w:r w:rsidR="009322F3">
        <w:rPr>
          <w:rFonts w:cs="Arial"/>
        </w:rPr>
        <w:t>US</w:t>
      </w:r>
      <w:r w:rsidRPr="00FA66BC">
        <w:rPr>
          <w:rFonts w:cs="Arial"/>
        </w:rPr>
        <w:t xml:space="preserve">$22.47 million in salary and wages in 2013, 62.1% was spent on district health services and 25.8% on hospitals, of which half was for the national </w:t>
      </w:r>
      <w:r w:rsidR="00AF57B3">
        <w:t>hospital</w:t>
      </w:r>
      <w:r w:rsidR="00AF57B3">
        <w:rPr>
          <w:rStyle w:val="FootnoteReference"/>
        </w:rPr>
        <w:footnoteReference w:id="35"/>
      </w:r>
      <w:r w:rsidRPr="00FA66BC">
        <w:rPr>
          <w:rFonts w:cs="Arial"/>
        </w:rPr>
        <w:t xml:space="preserve">. The number of health workers employed in the private sector remains </w:t>
      </w:r>
      <w:r w:rsidR="00AF57B3" w:rsidRPr="003F755B">
        <w:t>undocumented</w:t>
      </w:r>
      <w:r w:rsidR="00AF57B3">
        <w:rPr>
          <w:rStyle w:val="FootnoteReference"/>
        </w:rPr>
        <w:footnoteReference w:id="36"/>
      </w:r>
      <w:r w:rsidRPr="00FA66BC">
        <w:rPr>
          <w:rFonts w:cs="Arial"/>
        </w:rPr>
        <w:t>. Health workforce development is a major priority of the government. Labour markets and state action play key roles in both the short and long term, prepare the workforce through strategic investments in education, enhancing workforce quality and performance through in-service training and good management, and finally by managing migration and attrition to reduce wasteful loss of human resources.</w:t>
      </w:r>
    </w:p>
    <w:p w:rsidR="00773916" w:rsidRDefault="00773916" w:rsidP="00624D3B">
      <w:pPr>
        <w:spacing w:line="276" w:lineRule="auto"/>
      </w:pPr>
      <w:r w:rsidRPr="00B311F1">
        <w:t>Only 50% of births are currently attended by skilled personnel, although the NHSSP points out that rapid progress is being made on this. Caesarean deliveries are only 2% of the total. Unmet need for family planning is 32% and contraceptive prevalence only 22%</w:t>
      </w:r>
      <w:r w:rsidR="00E5770D">
        <w:rPr>
          <w:rStyle w:val="FootnoteReference"/>
        </w:rPr>
        <w:footnoteReference w:id="37"/>
      </w:r>
      <w:r w:rsidR="00E5770D">
        <w:t xml:space="preserve"> </w:t>
      </w:r>
      <w:r w:rsidRPr="00B311F1">
        <w:t>. Other indicators of maternal, infant and child care are low-to-middling. The MoH recogni</w:t>
      </w:r>
      <w:r w:rsidR="006827E3">
        <w:t>s</w:t>
      </w:r>
      <w:r w:rsidRPr="00B311F1">
        <w:t xml:space="preserve">es the critical shortage of nurses and midwives and is taking measures to </w:t>
      </w:r>
      <w:r w:rsidRPr="003F755B">
        <w:t xml:space="preserve">significantly increase the number of health workers, particularly in rural areas. Challenges include retention of health workers in rural areas, sufficient supervision and management for health workers to perform to their maximal capacity, sufficient medical equipment and supplies for them to perform their jobs, and the need for additional clinical and management training.  The Government Plan is to allocate </w:t>
      </w:r>
      <w:r>
        <w:t>one</w:t>
      </w:r>
      <w:r w:rsidRPr="003F755B">
        <w:t xml:space="preserve"> medical doctor, </w:t>
      </w:r>
      <w:r w:rsidR="00845E38">
        <w:t>two</w:t>
      </w:r>
      <w:r w:rsidRPr="003F755B">
        <w:t xml:space="preserve"> nurses, </w:t>
      </w:r>
      <w:r w:rsidR="00845E38">
        <w:t>two</w:t>
      </w:r>
      <w:r w:rsidRPr="003F755B">
        <w:t xml:space="preserve"> midwifes and </w:t>
      </w:r>
      <w:r w:rsidR="00845E38">
        <w:t>one</w:t>
      </w:r>
      <w:r w:rsidRPr="003F755B">
        <w:t xml:space="preserve"> lab </w:t>
      </w:r>
      <w:r>
        <w:t>technician</w:t>
      </w:r>
      <w:r w:rsidRPr="003F755B">
        <w:t xml:space="preserve"> </w:t>
      </w:r>
      <w:r>
        <w:t>to health posts in</w:t>
      </w:r>
      <w:r w:rsidRPr="003F755B">
        <w:t xml:space="preserve"> every village with population of 1500-2000. The Cuban Medical Brigade constitutes a major component of the clinical workforce, providing two of every three doctors in Timor-Leste. </w:t>
      </w:r>
      <w:r w:rsidR="00882800">
        <w:t>By 2015 a</w:t>
      </w:r>
      <w:r w:rsidRPr="003F755B">
        <w:t xml:space="preserve">bout </w:t>
      </w:r>
      <w:r w:rsidR="00882800">
        <w:t>9</w:t>
      </w:r>
      <w:r w:rsidRPr="003F755B">
        <w:t xml:space="preserve">00 students from Timor-Leste </w:t>
      </w:r>
      <w:r w:rsidR="00882800">
        <w:t>will have studied</w:t>
      </w:r>
      <w:r w:rsidRPr="003F755B">
        <w:t xml:space="preserve"> medicine in Cuba </w:t>
      </w:r>
      <w:r w:rsidR="00A460F4">
        <w:rPr>
          <w:rStyle w:val="FootnoteReference"/>
        </w:rPr>
        <w:footnoteReference w:id="38"/>
      </w:r>
      <w:r w:rsidR="00A460F4">
        <w:t xml:space="preserve">. </w:t>
      </w:r>
      <w:r w:rsidRPr="003F755B">
        <w:t>Managing their return, funding and deployment will present a major management challenge. A new human resources policy will increase the pay of health professionals with appropriate qualifications</w:t>
      </w:r>
      <w:r>
        <w:t xml:space="preserve">. </w:t>
      </w:r>
    </w:p>
    <w:p w:rsidR="00773916" w:rsidRPr="003F755B" w:rsidRDefault="00773916" w:rsidP="00624D3B">
      <w:pPr>
        <w:spacing w:line="276" w:lineRule="auto"/>
      </w:pPr>
      <w:r>
        <w:t xml:space="preserve">The current low rate of skilled assistance at deliveries can be in part attributed to a shortage of nurses and midwives. </w:t>
      </w:r>
      <w:r w:rsidRPr="00D7095C">
        <w:t xml:space="preserve">The shortage of midwives is estimated to be 462, </w:t>
      </w:r>
      <w:r>
        <w:t xml:space="preserve">nearly the same number as currently serving. Around 460 new nurses will be needed </w:t>
      </w:r>
      <w:r w:rsidRPr="00D7095C">
        <w:t>at district and subdistrict level. These gaps are planned to be filled by 2017, corresponding to a recruitment of approximately 11</w:t>
      </w:r>
      <w:r>
        <w:t>5</w:t>
      </w:r>
      <w:r w:rsidRPr="00D7095C">
        <w:t xml:space="preserve"> of each per year for four years</w:t>
      </w:r>
      <w:r w:rsidR="00AB13C2">
        <w:rPr>
          <w:rStyle w:val="FootnoteReference"/>
        </w:rPr>
        <w:footnoteReference w:id="39"/>
      </w:r>
      <w:r w:rsidRPr="00D7095C">
        <w:t xml:space="preserve">. </w:t>
      </w:r>
      <w:r w:rsidRPr="003F755B">
        <w:t>It is not known if Timor salary levels are a sufficient inducement for Indonesian nurses and midwives to come. If midwives and nurses are recruited from Indonesia, in addition to assuring their salaries are paid regularly they will need medical supplies, living quarters, transportation, etc. to deliver services.   Most of the current nurses and midwives were trained in Indonesian nursing and midwifery schools, and some are now being trained by the MoH at the National University of Timor-Leste (UNTL) as well</w:t>
      </w:r>
      <w:r w:rsidR="00A460F4">
        <w:rPr>
          <w:rStyle w:val="FootnoteReference"/>
        </w:rPr>
        <w:footnoteReference w:id="40"/>
      </w:r>
      <w:r w:rsidRPr="003F755B">
        <w:t>.  It is not known if the standard training at UNTL is the same as in Indonesia. UNTL nursing and midwifery students are fresh graduates from Senior Secondary school whereas the Indonesia model is to train Junior Secondary graduates for 3 years to become nurses, and they can continue for a 1-year diploma in midwifery.</w:t>
      </w:r>
    </w:p>
    <w:p w:rsidR="00773916" w:rsidRPr="003F755B" w:rsidRDefault="00773916" w:rsidP="00624D3B">
      <w:pPr>
        <w:spacing w:line="276" w:lineRule="auto"/>
      </w:pPr>
      <w:r>
        <w:t xml:space="preserve">The above measures should be effective in the short and medium-term in improving access to and quality of services. </w:t>
      </w:r>
      <w:r w:rsidRPr="003F755B">
        <w:t>Long-term planning for adequate human resources requires allocating a permanent training budget, creating a periodic procedure for conducting skills assessments, establishing mechanisms to regularly review training curricula, and creating institutional capacity to conduct training on a regular ongoing basis, as well as developing a tra</w:t>
      </w:r>
      <w:r w:rsidR="00E5770D">
        <w:t xml:space="preserve">ined management cadre for </w:t>
      </w:r>
      <w:r w:rsidR="009322F3">
        <w:t>health human resources</w:t>
      </w:r>
      <w:r w:rsidR="00E5770D">
        <w:t xml:space="preserve">. </w:t>
      </w:r>
      <w:r>
        <w:rPr>
          <w:color w:val="000000"/>
        </w:rPr>
        <w:t>A comprehensive workforce plan detailing current staffing gaps, training opportunities and recruitments as per health facility and service levels will be developed, given priorities to the district health services. Strategies for Human Resources Management will include performance based incentive schemes linking reward and promotion to workload, performance and results.</w:t>
      </w:r>
    </w:p>
    <w:p w:rsidR="00773916" w:rsidRPr="00773916" w:rsidRDefault="00773916" w:rsidP="00624D3B">
      <w:pPr>
        <w:pStyle w:val="HRFHeading2Numbered"/>
      </w:pPr>
      <w:bookmarkStart w:id="23" w:name="_Toc373502487"/>
      <w:r w:rsidRPr="00773916">
        <w:t>Leadership and Governance</w:t>
      </w:r>
      <w:bookmarkEnd w:id="23"/>
    </w:p>
    <w:p w:rsidR="00773916" w:rsidRDefault="00773916" w:rsidP="00624D3B">
      <w:pPr>
        <w:spacing w:line="276" w:lineRule="auto"/>
      </w:pPr>
      <w:r>
        <w:t>The NHSSP proposes a major agenda to improve health sector leadership and governance, recogni</w:t>
      </w:r>
      <w:r w:rsidR="006827E3">
        <w:t>s</w:t>
      </w:r>
      <w:r>
        <w:t xml:space="preserve">ing its critical importance in meeting health objectives. The areas identified for strengthening are policy and regulation, health system responsiveness and accountability, and inter-sectoral collaboration.  </w:t>
      </w:r>
    </w:p>
    <w:p w:rsidR="00773916" w:rsidRDefault="00773916" w:rsidP="00624D3B">
      <w:pPr>
        <w:spacing w:line="276" w:lineRule="auto"/>
      </w:pPr>
      <w:r>
        <w:t xml:space="preserve">The tasks described in the NHSSP for implementing and monitoring the development of the national health system are enormous in scope and number. Success will depend on effective leadership and day-to-day management of the Ministry of Health. </w:t>
      </w:r>
      <w:r w:rsidR="00351D3C">
        <w:t xml:space="preserve">Given the large number of activities and assistance projects that the MoH needs to manage, both the number and skills of (especially) mid-level managers probably needs to increase. </w:t>
      </w:r>
    </w:p>
    <w:p w:rsidR="00773916" w:rsidRPr="003F755B" w:rsidRDefault="00773916" w:rsidP="00624D3B">
      <w:pPr>
        <w:spacing w:line="276" w:lineRule="auto"/>
      </w:pPr>
      <w:r w:rsidRPr="003F755B">
        <w:t>There were about 50 senior managers/directors and 130 middle-management personnel working in the Timor-Leste health system as of November 2007. Top MoH management is well qualified (</w:t>
      </w:r>
      <w:r w:rsidR="00667A3B">
        <w:t>the</w:t>
      </w:r>
      <w:r w:rsidR="00667A3B" w:rsidRPr="003F755B">
        <w:t xml:space="preserve"> </w:t>
      </w:r>
      <w:r w:rsidR="00667A3B">
        <w:t>M</w:t>
      </w:r>
      <w:r w:rsidRPr="003F755B">
        <w:t xml:space="preserve">inister and </w:t>
      </w:r>
      <w:r w:rsidR="00667A3B">
        <w:t>V</w:t>
      </w:r>
      <w:r w:rsidRPr="003F755B">
        <w:t xml:space="preserve">ice </w:t>
      </w:r>
      <w:r w:rsidR="00667A3B">
        <w:t>M</w:t>
      </w:r>
      <w:r w:rsidRPr="003F755B">
        <w:t xml:space="preserve">inister </w:t>
      </w:r>
      <w:r w:rsidR="00667A3B">
        <w:t xml:space="preserve">are medical doctors </w:t>
      </w:r>
      <w:r w:rsidRPr="003F755B">
        <w:t xml:space="preserve">and one Vice minister, a Director-General and 4 of 5 national directors </w:t>
      </w:r>
      <w:r w:rsidR="00507642">
        <w:t>have</w:t>
      </w:r>
      <w:r w:rsidR="00507642" w:rsidRPr="003F755B">
        <w:t xml:space="preserve"> </w:t>
      </w:r>
      <w:r w:rsidRPr="003F755B">
        <w:t>public health training), but a recent report summari</w:t>
      </w:r>
      <w:r w:rsidR="006827E3">
        <w:t>s</w:t>
      </w:r>
      <w:r w:rsidRPr="003F755B">
        <w:t>es managerial competence at the district level as being low</w:t>
      </w:r>
      <w:r w:rsidR="003D7117">
        <w:rPr>
          <w:rStyle w:val="FootnoteReference"/>
        </w:rPr>
        <w:footnoteReference w:id="41"/>
      </w:r>
      <w:r w:rsidRPr="003F755B">
        <w:t xml:space="preserve">. Each of the 13 districts has a health management team headed by the district Director of Health Services. Most district health managers perform dual roles as both nurses and managers, conducting a clinical role while also performing management and administrative functions, but the majority has no formal qualification in management or a related discipline. </w:t>
      </w:r>
    </w:p>
    <w:p w:rsidR="00773916" w:rsidRPr="003F755B" w:rsidRDefault="00773916" w:rsidP="00624D3B">
      <w:pPr>
        <w:spacing w:line="276" w:lineRule="auto"/>
      </w:pPr>
      <w:r w:rsidRPr="003F755B">
        <w:t xml:space="preserve">WHO has facilitated management training of health personnel and multiple donors provide or support short courses in management, and in-service training in community health centre management and leadership by the Timorese Institute of Health Services, but the impact of such training on management performance is largely unknown. </w:t>
      </w:r>
    </w:p>
    <w:p w:rsidR="00773916" w:rsidRPr="003F755B" w:rsidRDefault="00773916" w:rsidP="00624D3B">
      <w:pPr>
        <w:spacing w:line="276" w:lineRule="auto"/>
      </w:pPr>
      <w:r w:rsidRPr="003F755B">
        <w:t xml:space="preserve">New district health managers receive little supportive supervision from their more experienced colleagues at higher levels. Key management support systems do not function adequately in support of managers. Supply of essential drugs and materials </w:t>
      </w:r>
      <w:r w:rsidR="00507642">
        <w:t>can be</w:t>
      </w:r>
      <w:r w:rsidRPr="003F755B">
        <w:t xml:space="preserve"> erratic, compromising the effectiveness of managers. Through the </w:t>
      </w:r>
      <w:r w:rsidR="00507642">
        <w:t>NHSSP</w:t>
      </w:r>
      <w:r w:rsidRPr="003F755B">
        <w:t xml:space="preserve"> Support Project, </w:t>
      </w:r>
      <w:r w:rsidR="00D0414C">
        <w:t>Australian aid</w:t>
      </w:r>
      <w:r w:rsidRPr="003F755B">
        <w:t xml:space="preserve"> currently supports health leadership and management training for district Directors, with modules on management of health resources at the district level, leadership, management and partnership in health, and planning and implementation of health services. In the future, the Ministry aims to train all managers both at central and district and sub-district level</w:t>
      </w:r>
      <w:r w:rsidR="00A460F4">
        <w:rPr>
          <w:rStyle w:val="FootnoteReference"/>
        </w:rPr>
        <w:footnoteReference w:id="42"/>
      </w:r>
      <w:r w:rsidRPr="003F755B">
        <w:t>.</w:t>
      </w:r>
    </w:p>
    <w:p w:rsidR="00773916" w:rsidRPr="003F755B" w:rsidRDefault="00773916" w:rsidP="00624D3B">
      <w:pPr>
        <w:spacing w:line="276" w:lineRule="auto"/>
      </w:pPr>
      <w:r>
        <w:t>Sector coordination is an ongoing challenge</w:t>
      </w:r>
      <w:r w:rsidR="00A460F4">
        <w:rPr>
          <w:rStyle w:val="FootnoteReference"/>
        </w:rPr>
        <w:footnoteReference w:id="43"/>
      </w:r>
      <w:r>
        <w:t xml:space="preserve">. </w:t>
      </w:r>
      <w:r w:rsidRPr="003F755B">
        <w:t xml:space="preserve">The State Budget Book #5 lists 22 health projects funded by development partners in 2014 for a total of </w:t>
      </w:r>
      <w:r w:rsidR="009322F3">
        <w:t>US</w:t>
      </w:r>
      <w:r w:rsidRPr="003F755B">
        <w:t>$32.8 million in the health sector</w:t>
      </w:r>
      <w:r>
        <w:t>,</w:t>
      </w:r>
      <w:r w:rsidRPr="003F755B">
        <w:t xml:space="preserve"> including water and sanitation</w:t>
      </w:r>
      <w:r>
        <w:t xml:space="preserve"> projects</w:t>
      </w:r>
      <w:r w:rsidRPr="003F755B">
        <w:t>. At least ten different UN, multilateral, and bilateral donor agencies are funders or implementers. There have been attempts to move away from the model of a dedicated Project Implementation Unit to a more integrated and mainstreamed approach to managing projects but the pace of implementation has been limited by the shortage of institutional and implementation capacity withi</w:t>
      </w:r>
      <w:r w:rsidR="003C025F">
        <w:t>n the MoH</w:t>
      </w:r>
      <w:r w:rsidR="003C025F">
        <w:rPr>
          <w:rStyle w:val="FootnoteReference"/>
        </w:rPr>
        <w:footnoteReference w:id="44"/>
      </w:r>
      <w:r w:rsidRPr="003F755B">
        <w:t xml:space="preserve">. The new </w:t>
      </w:r>
      <w:r w:rsidR="00D0414C" w:rsidRPr="00D0414C">
        <w:t>Australian aid</w:t>
      </w:r>
      <w:r w:rsidRPr="00D0414C">
        <w:t xml:space="preserve"> </w:t>
      </w:r>
      <w:r w:rsidR="00D0414C" w:rsidRPr="00D0414C">
        <w:t>p</w:t>
      </w:r>
      <w:r w:rsidR="0033505D" w:rsidRPr="00D0414C">
        <w:t xml:space="preserve">rogram </w:t>
      </w:r>
      <w:r w:rsidRPr="00D0414C">
        <w:t>envisions</w:t>
      </w:r>
      <w:r w:rsidRPr="003F755B">
        <w:t xml:space="preserve"> a capacity-building, mentoring model </w:t>
      </w:r>
      <w:r w:rsidR="00845E38">
        <w:t>t</w:t>
      </w:r>
      <w:r w:rsidR="00882800">
        <w:t xml:space="preserve">hat intends going </w:t>
      </w:r>
      <w:r w:rsidR="003C22E9">
        <w:t>no faster than</w:t>
      </w:r>
      <w:r w:rsidR="00882800">
        <w:t xml:space="preserve"> the speed of government and taking an incremental approach to addressing critical challenges.</w:t>
      </w:r>
    </w:p>
    <w:p w:rsidR="00773916" w:rsidRPr="003F755B" w:rsidRDefault="00773916" w:rsidP="00624D3B">
      <w:pPr>
        <w:spacing w:line="276" w:lineRule="auto"/>
      </w:pPr>
      <w:r w:rsidRPr="003F755B">
        <w:t>There are no "toolkits" to help break through the extreme constraint</w:t>
      </w:r>
      <w:r w:rsidR="003C22E9">
        <w:t>s on</w:t>
      </w:r>
      <w:r w:rsidRPr="003F755B">
        <w:t xml:space="preserve"> health system effectiveness </w:t>
      </w:r>
      <w:r w:rsidR="003C22E9">
        <w:t>that improved management</w:t>
      </w:r>
      <w:r w:rsidRPr="003F755B">
        <w:t xml:space="preserve"> and coordination</w:t>
      </w:r>
      <w:r w:rsidR="003C22E9">
        <w:t xml:space="preserve"> would help to reduce</w:t>
      </w:r>
      <w:r w:rsidRPr="003F755B">
        <w:t>. Any solutions are likely to be specific and ad hoc, but the Consultant worked on a short project in The Gambia in 1995 that was p</w:t>
      </w:r>
      <w:r w:rsidR="003C22E9">
        <w:t>ropelled</w:t>
      </w:r>
      <w:r w:rsidRPr="003F755B">
        <w:t xml:space="preserve"> by impressive coordinated support </w:t>
      </w:r>
      <w:r w:rsidR="003C22E9">
        <w:t>from</w:t>
      </w:r>
      <w:r w:rsidRPr="003F755B">
        <w:t xml:space="preserve"> the </w:t>
      </w:r>
      <w:r w:rsidR="006827E3">
        <w:t>MoH</w:t>
      </w:r>
      <w:r w:rsidRPr="003F755B">
        <w:t xml:space="preserve">. At that time DfID (UK) was sponsoring MoH staff for masters-level training in health planning and management, all </w:t>
      </w:r>
      <w:r w:rsidR="003C22E9">
        <w:t xml:space="preserve">at </w:t>
      </w:r>
      <w:r w:rsidRPr="003F755B">
        <w:t xml:space="preserve">Nuffield Centre at Leeds University. By 1995, enough senior and mid-level staff had returned to the small </w:t>
      </w:r>
      <w:r w:rsidR="003C22E9">
        <w:t>health ministry</w:t>
      </w:r>
      <w:r w:rsidRPr="003F755B">
        <w:t xml:space="preserve"> to form a critical mass of leaders who were "on the same page" about how to advance public health, and were making rapid progress improving the management of the health system. This is of course an expensive way to train people, but perhaps return</w:t>
      </w:r>
      <w:r>
        <w:t>s</w:t>
      </w:r>
      <w:r w:rsidRPr="003F755B">
        <w:t xml:space="preserve"> benefits that in-country </w:t>
      </w:r>
      <w:r>
        <w:t xml:space="preserve">training </w:t>
      </w:r>
      <w:r w:rsidRPr="003F755B">
        <w:t>cannot. Language is a barrier for Timor-Leste, but appropriate training courses in Portuguese-speaking countries or in Indonesia could provide the quality (and prestige) valued by participants and donors.</w:t>
      </w:r>
    </w:p>
    <w:p w:rsidR="00773916" w:rsidRPr="003F755B" w:rsidRDefault="00773916" w:rsidP="00624D3B">
      <w:pPr>
        <w:pStyle w:val="HRFHeading2Numbered"/>
      </w:pPr>
      <w:bookmarkStart w:id="24" w:name="_Toc373502488"/>
      <w:r w:rsidRPr="003F755B">
        <w:t>Demand creation</w:t>
      </w:r>
      <w:r>
        <w:t xml:space="preserve">, </w:t>
      </w:r>
      <w:r w:rsidRPr="003F755B">
        <w:t>community mobili</w:t>
      </w:r>
      <w:r w:rsidR="006827E3">
        <w:t>s</w:t>
      </w:r>
      <w:r w:rsidRPr="003F755B">
        <w:t>ation</w:t>
      </w:r>
      <w:r>
        <w:t>,</w:t>
      </w:r>
      <w:r w:rsidRPr="003F755B">
        <w:t xml:space="preserve"> and </w:t>
      </w:r>
      <w:r w:rsidR="006827E3">
        <w:t>behaviour</w:t>
      </w:r>
      <w:r>
        <w:t xml:space="preserve"> change communications (</w:t>
      </w:r>
      <w:r w:rsidRPr="003F755B">
        <w:t>BCC)</w:t>
      </w:r>
      <w:bookmarkEnd w:id="24"/>
    </w:p>
    <w:p w:rsidR="00773916" w:rsidRPr="003F755B" w:rsidRDefault="00773916" w:rsidP="003C22E9">
      <w:pPr>
        <w:spacing w:line="276" w:lineRule="auto"/>
      </w:pPr>
      <w:r>
        <w:t>Low utili</w:t>
      </w:r>
      <w:r w:rsidR="006827E3">
        <w:t>s</w:t>
      </w:r>
      <w:r>
        <w:t>ation of health services and high maternal mortality are associated with low female literacy in many developing countries. Improvements are inherently slow to achieve in education, so BCC for health can be a critical substitute.  It is understood that there have been several projects to improve BCC in Timor-Leste related to HIV/AIDS prevention. Indonesia has also had many, going back to the early 1990's</w:t>
      </w:r>
      <w:r>
        <w:rPr>
          <w:rStyle w:val="FootnoteReference"/>
        </w:rPr>
        <w:footnoteReference w:id="45"/>
      </w:r>
      <w:r>
        <w:t xml:space="preserve">, but online searches for documentation found none. The </w:t>
      </w:r>
      <w:r w:rsidR="006827E3">
        <w:t>Timor Leste Demographic and Health Survey (</w:t>
      </w:r>
      <w:r>
        <w:t>TLDHS</w:t>
      </w:r>
      <w:r w:rsidR="006827E3">
        <w:t>)</w:t>
      </w:r>
      <w:r>
        <w:t xml:space="preserve"> gathered information about knowledge, attitudes and practices related to HIV/AIDS, and also knowledge of birth spacing methods. The latter suggested a large gap between knowledge and practice. It would be useful to know if there have been any studies that would help understand this gap, and especially the low utili</w:t>
      </w:r>
      <w:r w:rsidR="006827E3">
        <w:t>s</w:t>
      </w:r>
      <w:r>
        <w:t xml:space="preserve">ation of health facilities, and in general to prioritise objectives for </w:t>
      </w:r>
      <w:r w:rsidR="00E5770D">
        <w:t>behaviour</w:t>
      </w:r>
      <w:r>
        <w:t xml:space="preserve"> change. </w:t>
      </w:r>
      <w:r w:rsidR="00C300B0">
        <w:t xml:space="preserve">The NHSSP </w:t>
      </w:r>
      <w:r w:rsidR="00920E38">
        <w:t xml:space="preserve">mentions the need to develop the national plan for health promotion but </w:t>
      </w:r>
      <w:r w:rsidR="00C300B0">
        <w:t xml:space="preserve">does not </w:t>
      </w:r>
      <w:r w:rsidR="00920E38">
        <w:t>go into detail. Support in this area should focus on</w:t>
      </w:r>
      <w:r w:rsidR="006827E3">
        <w:t xml:space="preserve"> RMNCH </w:t>
      </w:r>
      <w:r w:rsidR="00920E38">
        <w:t xml:space="preserve">, especially in ways that </w:t>
      </w:r>
      <w:r w:rsidR="003C22E9">
        <w:t xml:space="preserve">will </w:t>
      </w:r>
      <w:r w:rsidR="00920E38">
        <w:t xml:space="preserve">increase the use of </w:t>
      </w:r>
      <w:r w:rsidR="006827E3">
        <w:t>antenatal care</w:t>
      </w:r>
      <w:r w:rsidR="00920E38">
        <w:t xml:space="preserve"> and assisted delivery. </w:t>
      </w:r>
    </w:p>
    <w:p w:rsidR="00773916" w:rsidRPr="003F755B" w:rsidRDefault="00773916" w:rsidP="00624D3B">
      <w:pPr>
        <w:pStyle w:val="HRFHeading2Numbered"/>
      </w:pPr>
      <w:bookmarkStart w:id="25" w:name="_Toc373502489"/>
      <w:r w:rsidRPr="003F755B">
        <w:t>Medicines and consumables</w:t>
      </w:r>
      <w:bookmarkEnd w:id="25"/>
    </w:p>
    <w:p w:rsidR="00023FE4" w:rsidRDefault="00773916" w:rsidP="00624D3B">
      <w:pPr>
        <w:spacing w:line="276" w:lineRule="auto"/>
      </w:pPr>
      <w:r w:rsidRPr="003F755B">
        <w:t xml:space="preserve">Medicines and consumable medical supplies are procured and managed by </w:t>
      </w:r>
      <w:r w:rsidRPr="00CF28C4">
        <w:t xml:space="preserve">Servico Autonomo de Medicamentos e Equipamentos de Saude (SAMES), </w:t>
      </w:r>
      <w:r w:rsidRPr="003F755B">
        <w:t>now a semi-autonomous MoH unit. A 2011 study of management of the pharmaceutical sector recommended giving SAMES autonomy as a commercial entity under government control</w:t>
      </w:r>
      <w:r w:rsidR="00E5770D">
        <w:rPr>
          <w:rStyle w:val="FootnoteReference"/>
        </w:rPr>
        <w:footnoteReference w:id="46"/>
      </w:r>
      <w:r w:rsidRPr="003F755B">
        <w:t xml:space="preserve">. A recent </w:t>
      </w:r>
      <w:r>
        <w:t>s</w:t>
      </w:r>
      <w:r w:rsidRPr="00D357D3">
        <w:t>ituation analysis o</w:t>
      </w:r>
      <w:r>
        <w:t>f the pharmaceutical situation</w:t>
      </w:r>
      <w:r w:rsidRPr="00D357D3">
        <w:t xml:space="preserve"> with</w:t>
      </w:r>
      <w:r>
        <w:t xml:space="preserve"> </w:t>
      </w:r>
      <w:r w:rsidRPr="00D357D3">
        <w:t>a focus on health care delivery and use of medicine</w:t>
      </w:r>
      <w:r>
        <w:t>s</w:t>
      </w:r>
      <w:r w:rsidRPr="003F755B">
        <w:t xml:space="preserve"> found that the management of drug supplies was weak in several areas. Regulation, guidelines for drug use, and management tools were under-developed, and the management system at district level was especially deficient</w:t>
      </w:r>
      <w:r>
        <w:t>. No specific short-term needs for more drugs or equipment were identified, but s</w:t>
      </w:r>
      <w:r w:rsidRPr="003F755B">
        <w:t>everal organi</w:t>
      </w:r>
      <w:r w:rsidR="006827E3">
        <w:t>s</w:t>
      </w:r>
      <w:r w:rsidRPr="003F755B">
        <w:t xml:space="preserve">ational changes </w:t>
      </w:r>
      <w:r>
        <w:t xml:space="preserve">were suggested </w:t>
      </w:r>
      <w:r w:rsidRPr="003F755B">
        <w:t>including better coordination between the Department of Pharmacy and SAMES</w:t>
      </w:r>
      <w:r w:rsidR="00E5770D">
        <w:rPr>
          <w:rStyle w:val="FootnoteReference"/>
        </w:rPr>
        <w:footnoteReference w:id="47"/>
      </w:r>
      <w:r w:rsidR="00E5770D">
        <w:t xml:space="preserve"> </w:t>
      </w:r>
      <w:r w:rsidRPr="003F755B">
        <w:t xml:space="preserve">. </w:t>
      </w:r>
      <w:r>
        <w:t>T</w:t>
      </w:r>
      <w:r w:rsidRPr="003F755B">
        <w:t xml:space="preserve">he </w:t>
      </w:r>
      <w:r>
        <w:t xml:space="preserve">new </w:t>
      </w:r>
      <w:r w:rsidRPr="003F755B">
        <w:t xml:space="preserve">project could </w:t>
      </w:r>
      <w:r>
        <w:t xml:space="preserve">continue </w:t>
      </w:r>
      <w:r w:rsidR="006827E3">
        <w:t xml:space="preserve">to </w:t>
      </w:r>
      <w:r w:rsidRPr="003F755B">
        <w:t xml:space="preserve">provide </w:t>
      </w:r>
      <w:r>
        <w:t xml:space="preserve">technical assistance and other </w:t>
      </w:r>
      <w:r w:rsidRPr="003F755B">
        <w:t>inputs to aid the SAMES transition and organi</w:t>
      </w:r>
      <w:r w:rsidR="006827E3">
        <w:t>s</w:t>
      </w:r>
      <w:r w:rsidRPr="003F755B">
        <w:t>ational changes.</w:t>
      </w:r>
      <w:r w:rsidR="003C22E9">
        <w:t xml:space="preserve"> In addition many guides and 'toolkits' for supply management are available.</w:t>
      </w:r>
    </w:p>
    <w:p w:rsidR="000D1C92" w:rsidRDefault="003C22E9" w:rsidP="00624D3B">
      <w:pPr>
        <w:spacing w:line="276" w:lineRule="auto"/>
        <w:rPr>
          <w:rFonts w:cs="Arial"/>
        </w:rPr>
      </w:pPr>
      <w:r>
        <w:rPr>
          <w:rFonts w:cs="Arial"/>
        </w:rPr>
        <w:t>To summari</w:t>
      </w:r>
      <w:r w:rsidR="006827E3">
        <w:rPr>
          <w:rFonts w:cs="Arial"/>
        </w:rPr>
        <w:t>s</w:t>
      </w:r>
      <w:r>
        <w:rPr>
          <w:rFonts w:cs="Arial"/>
        </w:rPr>
        <w:t>e the foregoing,</w:t>
      </w:r>
      <w:r w:rsidR="001173D9" w:rsidRPr="001173D9">
        <w:rPr>
          <w:rFonts w:cs="Arial"/>
        </w:rPr>
        <w:t xml:space="preserve"> health systems strengthening is necessary to meet RMNCH health targets in most countries, and far more </w:t>
      </w:r>
      <w:r w:rsidR="00710827">
        <w:rPr>
          <w:rFonts w:cs="Arial"/>
        </w:rPr>
        <w:t xml:space="preserve">time and </w:t>
      </w:r>
      <w:r w:rsidR="001173D9" w:rsidRPr="001173D9">
        <w:rPr>
          <w:rFonts w:cs="Arial"/>
        </w:rPr>
        <w:t>resources will be needed to develop health systems than for technical interventions. At the service delivery level, overall performance improvements may require addressing all weak links at the same time. The new health program appropriately emphasi</w:t>
      </w:r>
      <w:r w:rsidR="006827E3">
        <w:rPr>
          <w:rFonts w:cs="Arial"/>
        </w:rPr>
        <w:t>s</w:t>
      </w:r>
      <w:r w:rsidR="001173D9" w:rsidRPr="001173D9">
        <w:rPr>
          <w:rFonts w:cs="Arial"/>
        </w:rPr>
        <w:t>es system support activities, but lack of global evidence on the effectiveness of HSS interventions, and the lack of specific information about the situation in Timor-Leste (exceptions being the gaps in ambulance service and key RMNCH human resources) makes it difficult to prospectively evaluate the proposed Project interventions.  It is important, however, to assure that short-term interventions are followed by activities to permanently strengthen the related part of the system. The steps needed in some of these areas are clear, but in others, including leadership and governance and BCC, an approach to long-term strengthening should be studied carefully before proposing activities.</w:t>
      </w:r>
    </w:p>
    <w:p w:rsidR="003861A9" w:rsidRDefault="003861A9" w:rsidP="00624D3B">
      <w:pPr>
        <w:spacing w:line="276" w:lineRule="auto"/>
      </w:pPr>
    </w:p>
    <w:p w:rsidR="00773916" w:rsidRDefault="00773916" w:rsidP="00422449">
      <w:pPr>
        <w:pStyle w:val="HRFHeading1Numbered"/>
        <w:ind w:left="360"/>
      </w:pPr>
      <w:bookmarkStart w:id="26" w:name="_Toc373502490"/>
      <w:r w:rsidRPr="00EA3889">
        <w:t>How efficient is current government allocation and expenditure for health?  How could government better use the</w:t>
      </w:r>
      <w:r w:rsidR="00BD2D40">
        <w:t xml:space="preserve"> </w:t>
      </w:r>
      <w:r w:rsidR="009322F3">
        <w:t>US</w:t>
      </w:r>
      <w:r w:rsidRPr="00EA3889">
        <w:t>$60 per capita spent to improve maternal and child health outcomes, and how is it currently spent?</w:t>
      </w:r>
      <w:bookmarkEnd w:id="26"/>
    </w:p>
    <w:p w:rsidR="00773916" w:rsidRDefault="00773916" w:rsidP="00624D3B">
      <w:pPr>
        <w:spacing w:line="276" w:lineRule="auto"/>
      </w:pPr>
      <w:r>
        <w:t xml:space="preserve">This question is answered by examining several efficiency criteria and by comparing Timor-Leste with other countries. Some of these analyses </w:t>
      </w:r>
      <w:r w:rsidR="00E85A47">
        <w:t xml:space="preserve">have </w:t>
      </w:r>
      <w:r>
        <w:t xml:space="preserve">been done in previous studies which are updated here. </w:t>
      </w:r>
      <w:r w:rsidR="001D6B85">
        <w:t xml:space="preserve">Better data on health spending including donor sources, equity, and the private sector will become available when National Health Accounts are established. This new </w:t>
      </w:r>
      <w:r w:rsidR="00BD2D40">
        <w:t>activity</w:t>
      </w:r>
      <w:r w:rsidR="001D6B85">
        <w:t xml:space="preserve"> will provide information in a format that can be more easily compared to other countries. </w:t>
      </w:r>
    </w:p>
    <w:p w:rsidR="008E521E" w:rsidRDefault="00773916" w:rsidP="008E521E">
      <w:pPr>
        <w:pStyle w:val="HRFHeading2Numbered"/>
      </w:pPr>
      <w:bookmarkStart w:id="27" w:name="_Toc373502491"/>
      <w:r>
        <w:t>How is Timor-Leste performing compared to similar countries?</w:t>
      </w:r>
      <w:bookmarkEnd w:id="27"/>
    </w:p>
    <w:p w:rsidR="005009B0" w:rsidRDefault="00E85A47" w:rsidP="00624D3B">
      <w:pPr>
        <w:spacing w:line="276" w:lineRule="auto"/>
        <w:rPr>
          <w:rFonts w:cs="Arial"/>
        </w:rPr>
      </w:pPr>
      <w:r>
        <w:rPr>
          <w:rFonts w:cs="Arial"/>
        </w:rPr>
        <w:t>A</w:t>
      </w:r>
      <w:r w:rsidRPr="00FA66BC">
        <w:rPr>
          <w:rFonts w:cs="Arial"/>
        </w:rPr>
        <w:t xml:space="preserve"> </w:t>
      </w:r>
      <w:r w:rsidR="005009B0" w:rsidRPr="00FA66BC">
        <w:rPr>
          <w:rFonts w:cs="Arial"/>
        </w:rPr>
        <w:t xml:space="preserve">2011 </w:t>
      </w:r>
      <w:r>
        <w:rPr>
          <w:rFonts w:cs="Arial"/>
        </w:rPr>
        <w:t>World Bank</w:t>
      </w:r>
      <w:r w:rsidRPr="00FA66BC">
        <w:rPr>
          <w:rFonts w:cs="Arial"/>
        </w:rPr>
        <w:t xml:space="preserve"> </w:t>
      </w:r>
      <w:r w:rsidR="005009B0" w:rsidRPr="00FA66BC">
        <w:rPr>
          <w:rFonts w:cs="Arial"/>
        </w:rPr>
        <w:t>Health Financing Note compared Timor-Leste with other groups of countries (island, post-conflict, similar income levels) and concluded that performance is mediocre in measles immuni</w:t>
      </w:r>
      <w:r w:rsidR="006827E3">
        <w:rPr>
          <w:rFonts w:cs="Arial"/>
        </w:rPr>
        <w:t>s</w:t>
      </w:r>
      <w:r w:rsidR="005009B0" w:rsidRPr="00FA66BC">
        <w:rPr>
          <w:rFonts w:cs="Arial"/>
        </w:rPr>
        <w:t xml:space="preserve">ation, TB incidence, and TB detection, and average with respect to infant mortality.  For maternal mortality, several countries that spend considerably less on health than Timor-Leste have similar maternal mortality rates. </w:t>
      </w:r>
      <w:r w:rsidR="00FF5850">
        <w:rPr>
          <w:rFonts w:cs="Arial"/>
        </w:rPr>
        <w:t>A recent study</w:t>
      </w:r>
      <w:r w:rsidR="00CC01D0">
        <w:rPr>
          <w:rFonts w:cs="Arial"/>
        </w:rPr>
        <w:t xml:space="preserve"> suggest</w:t>
      </w:r>
      <w:r w:rsidR="00146FEB">
        <w:rPr>
          <w:rFonts w:cs="Arial"/>
        </w:rPr>
        <w:t>s</w:t>
      </w:r>
      <w:r w:rsidR="00CC01D0">
        <w:rPr>
          <w:rFonts w:cs="Arial"/>
        </w:rPr>
        <w:t xml:space="preserve"> that health spending </w:t>
      </w:r>
      <w:r w:rsidR="00254962">
        <w:rPr>
          <w:rFonts w:cs="Arial"/>
        </w:rPr>
        <w:t xml:space="preserve">and life expectancy </w:t>
      </w:r>
      <w:r w:rsidR="00CC01D0">
        <w:rPr>
          <w:rFonts w:cs="Arial"/>
        </w:rPr>
        <w:t>in 'fragile states' in the Asia-Pacific region (Timor-Leste and Papua New Guinea) is close to that in the low- income countries but considerably less than the region's middle-income countries</w:t>
      </w:r>
      <w:r w:rsidR="003C2BA4">
        <w:rPr>
          <w:rFonts w:cs="Arial"/>
        </w:rPr>
        <w:t xml:space="preserve"> (Table 5)</w:t>
      </w:r>
      <w:r w:rsidR="00CC01D0">
        <w:rPr>
          <w:rFonts w:cs="Arial"/>
        </w:rPr>
        <w:t xml:space="preserve">. </w:t>
      </w:r>
    </w:p>
    <w:p w:rsidR="00E85A47" w:rsidRDefault="004972C0" w:rsidP="004972C0">
      <w:pPr>
        <w:pStyle w:val="Caption"/>
      </w:pPr>
      <w:bookmarkStart w:id="28" w:name="_Toc373501348"/>
      <w:r>
        <w:t xml:space="preserve">Table </w:t>
      </w:r>
      <w:r w:rsidR="00AD246F">
        <w:t>5</w:t>
      </w:r>
      <w:r>
        <w:t xml:space="preserve">: </w:t>
      </w:r>
      <w:r w:rsidRPr="00563717">
        <w:t>Comparisons of health expenditures in Asia-Pacific countries</w:t>
      </w:r>
      <w:r w:rsidR="00E85A47" w:rsidRPr="00CC01D0">
        <w:rPr>
          <w:vertAlign w:val="superscript"/>
        </w:rPr>
        <w:footnoteReference w:id="48"/>
      </w:r>
      <w:bookmarkEnd w:id="28"/>
      <w:r w:rsidR="004934DF">
        <w:t>,</w:t>
      </w:r>
      <w:r w:rsidR="004934DF">
        <w:rPr>
          <w:rStyle w:val="FootnoteReference"/>
        </w:rPr>
        <w:footnoteReference w:id="49"/>
      </w:r>
    </w:p>
    <w:tbl>
      <w:tblPr>
        <w:tblStyle w:val="HRF"/>
        <w:tblW w:w="0" w:type="auto"/>
        <w:tblLayout w:type="fixed"/>
        <w:tblLook w:val="04A0" w:firstRow="1" w:lastRow="0" w:firstColumn="1" w:lastColumn="0" w:noHBand="0" w:noVBand="1"/>
      </w:tblPr>
      <w:tblGrid>
        <w:gridCol w:w="2518"/>
        <w:gridCol w:w="1418"/>
        <w:gridCol w:w="1559"/>
        <w:gridCol w:w="1417"/>
      </w:tblGrid>
      <w:tr w:rsidR="00130409" w:rsidRPr="004934DF" w:rsidTr="001304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30409" w:rsidRPr="004934DF" w:rsidRDefault="00130409" w:rsidP="006946F8">
            <w:pPr>
              <w:spacing w:after="0"/>
              <w:rPr>
                <w:rFonts w:cs="Arial"/>
                <w:sz w:val="20"/>
                <w:szCs w:val="20"/>
                <w:lang w:bidi="ar-SA"/>
              </w:rPr>
            </w:pPr>
          </w:p>
        </w:tc>
        <w:tc>
          <w:tcPr>
            <w:tcW w:w="1418" w:type="dxa"/>
          </w:tcPr>
          <w:p w:rsidR="00130409" w:rsidRPr="004934DF" w:rsidRDefault="00130409" w:rsidP="006946F8">
            <w:pPr>
              <w:spacing w:after="0"/>
              <w:cnfStyle w:val="100000000000" w:firstRow="1" w:lastRow="0" w:firstColumn="0" w:lastColumn="0" w:oddVBand="0" w:evenVBand="0" w:oddHBand="0" w:evenHBand="0" w:firstRowFirstColumn="0" w:firstRowLastColumn="0" w:lastRowFirstColumn="0" w:lastRowLastColumn="0"/>
              <w:rPr>
                <w:rFonts w:cs="Arial"/>
                <w:b/>
                <w:color w:val="FFFFFF" w:themeColor="background1"/>
                <w:sz w:val="20"/>
                <w:szCs w:val="20"/>
                <w:lang w:bidi="ar-SA"/>
              </w:rPr>
            </w:pPr>
            <w:r w:rsidRPr="004934DF">
              <w:rPr>
                <w:rFonts w:cs="Arial"/>
                <w:b/>
                <w:color w:val="FFFFFF" w:themeColor="background1"/>
                <w:sz w:val="20"/>
                <w:szCs w:val="20"/>
                <w:lang w:bidi="ar-SA"/>
              </w:rPr>
              <w:t>GDP/capita, $, 2011</w:t>
            </w:r>
          </w:p>
        </w:tc>
        <w:tc>
          <w:tcPr>
            <w:tcW w:w="1559" w:type="dxa"/>
          </w:tcPr>
          <w:p w:rsidR="00130409" w:rsidRPr="004934DF" w:rsidRDefault="00130409" w:rsidP="006946F8">
            <w:pPr>
              <w:spacing w:after="0"/>
              <w:cnfStyle w:val="100000000000" w:firstRow="1" w:lastRow="0" w:firstColumn="0" w:lastColumn="0" w:oddVBand="0" w:evenVBand="0" w:oddHBand="0" w:evenHBand="0" w:firstRowFirstColumn="0" w:firstRowLastColumn="0" w:lastRowFirstColumn="0" w:lastRowLastColumn="0"/>
              <w:rPr>
                <w:rFonts w:cs="Arial"/>
                <w:b/>
                <w:color w:val="FFFFFF" w:themeColor="background1"/>
                <w:sz w:val="20"/>
                <w:szCs w:val="20"/>
                <w:lang w:bidi="ar-SA"/>
              </w:rPr>
            </w:pPr>
            <w:r w:rsidRPr="004934DF">
              <w:rPr>
                <w:rFonts w:cs="Arial"/>
                <w:b/>
                <w:color w:val="FFFFFF" w:themeColor="background1"/>
                <w:sz w:val="20"/>
                <w:szCs w:val="20"/>
                <w:lang w:bidi="ar-SA"/>
              </w:rPr>
              <w:t xml:space="preserve">Health spend/capita, $, 2011 </w:t>
            </w:r>
          </w:p>
        </w:tc>
        <w:tc>
          <w:tcPr>
            <w:tcW w:w="1417" w:type="dxa"/>
          </w:tcPr>
          <w:p w:rsidR="00130409" w:rsidRPr="004934DF" w:rsidRDefault="00130409" w:rsidP="006946F8">
            <w:pPr>
              <w:spacing w:after="0"/>
              <w:cnfStyle w:val="100000000000" w:firstRow="1" w:lastRow="0" w:firstColumn="0" w:lastColumn="0" w:oddVBand="0" w:evenVBand="0" w:oddHBand="0" w:evenHBand="0" w:firstRowFirstColumn="0" w:firstRowLastColumn="0" w:lastRowFirstColumn="0" w:lastRowLastColumn="0"/>
              <w:rPr>
                <w:rFonts w:cs="Arial"/>
                <w:b/>
                <w:color w:val="FFFFFF" w:themeColor="background1"/>
                <w:sz w:val="20"/>
                <w:szCs w:val="20"/>
                <w:lang w:bidi="ar-SA"/>
              </w:rPr>
            </w:pPr>
            <w:r w:rsidRPr="004934DF">
              <w:rPr>
                <w:rFonts w:cs="Arial"/>
                <w:b/>
                <w:color w:val="FFFFFF" w:themeColor="background1"/>
                <w:sz w:val="20"/>
                <w:szCs w:val="20"/>
                <w:lang w:bidi="ar-SA"/>
              </w:rPr>
              <w:t>Life expectancy, years</w:t>
            </w:r>
          </w:p>
        </w:tc>
      </w:tr>
      <w:tr w:rsidR="00130409" w:rsidRPr="004934DF" w:rsidTr="00130409">
        <w:tc>
          <w:tcPr>
            <w:cnfStyle w:val="001000000000" w:firstRow="0" w:lastRow="0" w:firstColumn="1" w:lastColumn="0" w:oddVBand="0" w:evenVBand="0" w:oddHBand="0" w:evenHBand="0" w:firstRowFirstColumn="0" w:firstRowLastColumn="0" w:lastRowFirstColumn="0" w:lastRowLastColumn="0"/>
            <w:tcW w:w="2518" w:type="dxa"/>
          </w:tcPr>
          <w:p w:rsidR="00130409" w:rsidRPr="004934DF" w:rsidRDefault="00130409" w:rsidP="006946F8">
            <w:pPr>
              <w:spacing w:after="0"/>
              <w:rPr>
                <w:rFonts w:cs="Arial"/>
                <w:sz w:val="20"/>
                <w:szCs w:val="20"/>
                <w:lang w:bidi="ar-SA"/>
              </w:rPr>
            </w:pPr>
            <w:r w:rsidRPr="004934DF">
              <w:rPr>
                <w:rFonts w:cs="Arial"/>
                <w:sz w:val="20"/>
                <w:szCs w:val="20"/>
                <w:lang w:bidi="ar-SA"/>
              </w:rPr>
              <w:t>Indonesia (MIC)</w:t>
            </w:r>
          </w:p>
        </w:tc>
        <w:tc>
          <w:tcPr>
            <w:tcW w:w="1418" w:type="dxa"/>
          </w:tcPr>
          <w:p w:rsidR="00130409" w:rsidRPr="004934DF" w:rsidRDefault="00130409" w:rsidP="006946F8">
            <w:pPr>
              <w:spacing w:after="0"/>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bidi="ar-SA"/>
              </w:rPr>
              <w:t>3,495</w:t>
            </w:r>
          </w:p>
        </w:tc>
        <w:tc>
          <w:tcPr>
            <w:tcW w:w="1559" w:type="dxa"/>
          </w:tcPr>
          <w:p w:rsidR="00130409" w:rsidRPr="004934DF" w:rsidRDefault="00130409" w:rsidP="006946F8">
            <w:pPr>
              <w:spacing w:after="0"/>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bidi="ar-SA"/>
              </w:rPr>
              <w:t>95</w:t>
            </w:r>
          </w:p>
        </w:tc>
        <w:tc>
          <w:tcPr>
            <w:tcW w:w="1417" w:type="dxa"/>
          </w:tcPr>
          <w:p w:rsidR="00130409" w:rsidRPr="004934DF" w:rsidRDefault="00130409" w:rsidP="006946F8">
            <w:pPr>
              <w:spacing w:after="0"/>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bidi="ar-SA"/>
              </w:rPr>
              <w:t>70</w:t>
            </w:r>
          </w:p>
        </w:tc>
      </w:tr>
      <w:tr w:rsidR="00130409" w:rsidRPr="004934DF" w:rsidTr="00130409">
        <w:tc>
          <w:tcPr>
            <w:cnfStyle w:val="001000000000" w:firstRow="0" w:lastRow="0" w:firstColumn="1" w:lastColumn="0" w:oddVBand="0" w:evenVBand="0" w:oddHBand="0" w:evenHBand="0" w:firstRowFirstColumn="0" w:firstRowLastColumn="0" w:lastRowFirstColumn="0" w:lastRowLastColumn="0"/>
            <w:tcW w:w="2518" w:type="dxa"/>
          </w:tcPr>
          <w:p w:rsidR="00130409" w:rsidRPr="004934DF" w:rsidRDefault="00130409" w:rsidP="006946F8">
            <w:pPr>
              <w:spacing w:after="0"/>
              <w:rPr>
                <w:rFonts w:cs="Arial"/>
                <w:sz w:val="20"/>
                <w:szCs w:val="20"/>
                <w:lang w:bidi="ar-SA"/>
              </w:rPr>
            </w:pPr>
            <w:r w:rsidRPr="004934DF">
              <w:rPr>
                <w:rFonts w:cs="Arial"/>
                <w:sz w:val="20"/>
                <w:szCs w:val="20"/>
                <w:lang w:bidi="ar-SA"/>
              </w:rPr>
              <w:t>MICs average</w:t>
            </w:r>
          </w:p>
        </w:tc>
        <w:tc>
          <w:tcPr>
            <w:tcW w:w="1418" w:type="dxa"/>
          </w:tcPr>
          <w:p w:rsidR="00130409" w:rsidRPr="004934DF" w:rsidRDefault="00130409" w:rsidP="006946F8">
            <w:pPr>
              <w:spacing w:after="0"/>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bidi="ar-SA"/>
              </w:rPr>
              <w:t>3,378</w:t>
            </w:r>
          </w:p>
        </w:tc>
        <w:tc>
          <w:tcPr>
            <w:tcW w:w="1559" w:type="dxa"/>
          </w:tcPr>
          <w:p w:rsidR="00130409" w:rsidRPr="004934DF" w:rsidRDefault="00130409" w:rsidP="006946F8">
            <w:pPr>
              <w:spacing w:after="0"/>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bidi="ar-SA"/>
              </w:rPr>
              <w:t>172</w:t>
            </w:r>
          </w:p>
        </w:tc>
        <w:tc>
          <w:tcPr>
            <w:tcW w:w="1417" w:type="dxa"/>
          </w:tcPr>
          <w:p w:rsidR="00130409" w:rsidRPr="004934DF" w:rsidRDefault="00130409" w:rsidP="006946F8">
            <w:pPr>
              <w:spacing w:after="0"/>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bidi="ar-SA"/>
              </w:rPr>
              <w:t>72</w:t>
            </w:r>
          </w:p>
        </w:tc>
      </w:tr>
      <w:tr w:rsidR="00130409" w:rsidRPr="004934DF" w:rsidTr="00130409">
        <w:tc>
          <w:tcPr>
            <w:cnfStyle w:val="001000000000" w:firstRow="0" w:lastRow="0" w:firstColumn="1" w:lastColumn="0" w:oddVBand="0" w:evenVBand="0" w:oddHBand="0" w:evenHBand="0" w:firstRowFirstColumn="0" w:firstRowLastColumn="0" w:lastRowFirstColumn="0" w:lastRowLastColumn="0"/>
            <w:tcW w:w="2518" w:type="dxa"/>
          </w:tcPr>
          <w:p w:rsidR="00130409" w:rsidRPr="004934DF" w:rsidRDefault="00130409" w:rsidP="006946F8">
            <w:pPr>
              <w:spacing w:after="0"/>
              <w:rPr>
                <w:rFonts w:cs="Arial"/>
                <w:sz w:val="20"/>
                <w:szCs w:val="20"/>
                <w:lang w:bidi="ar-SA"/>
              </w:rPr>
            </w:pPr>
            <w:r w:rsidRPr="004934DF">
              <w:rPr>
                <w:rFonts w:cs="Arial"/>
                <w:sz w:val="20"/>
                <w:szCs w:val="20"/>
                <w:lang w:bidi="ar-SA"/>
              </w:rPr>
              <w:t>Cambodia (LIC)</w:t>
            </w:r>
          </w:p>
        </w:tc>
        <w:tc>
          <w:tcPr>
            <w:tcW w:w="1418" w:type="dxa"/>
          </w:tcPr>
          <w:p w:rsidR="00130409" w:rsidRPr="004934DF" w:rsidRDefault="00130409" w:rsidP="006946F8">
            <w:pPr>
              <w:spacing w:after="0"/>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bidi="ar-SA"/>
              </w:rPr>
              <w:t>897</w:t>
            </w:r>
          </w:p>
        </w:tc>
        <w:tc>
          <w:tcPr>
            <w:tcW w:w="1559" w:type="dxa"/>
          </w:tcPr>
          <w:p w:rsidR="00130409" w:rsidRPr="004934DF" w:rsidRDefault="00130409" w:rsidP="006946F8">
            <w:pPr>
              <w:spacing w:after="0"/>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bidi="ar-SA"/>
              </w:rPr>
              <w:t>51</w:t>
            </w:r>
          </w:p>
        </w:tc>
        <w:tc>
          <w:tcPr>
            <w:tcW w:w="1417" w:type="dxa"/>
          </w:tcPr>
          <w:p w:rsidR="00130409" w:rsidRPr="004934DF" w:rsidRDefault="00130409" w:rsidP="006946F8">
            <w:pPr>
              <w:spacing w:after="0"/>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bidi="ar-SA"/>
              </w:rPr>
              <w:t>63</w:t>
            </w:r>
          </w:p>
        </w:tc>
      </w:tr>
      <w:tr w:rsidR="00130409" w:rsidRPr="004934DF" w:rsidTr="00130409">
        <w:tc>
          <w:tcPr>
            <w:cnfStyle w:val="001000000000" w:firstRow="0" w:lastRow="0" w:firstColumn="1" w:lastColumn="0" w:oddVBand="0" w:evenVBand="0" w:oddHBand="0" w:evenHBand="0" w:firstRowFirstColumn="0" w:firstRowLastColumn="0" w:lastRowFirstColumn="0" w:lastRowLastColumn="0"/>
            <w:tcW w:w="2518" w:type="dxa"/>
          </w:tcPr>
          <w:p w:rsidR="00130409" w:rsidRPr="004934DF" w:rsidRDefault="00130409" w:rsidP="006946F8">
            <w:pPr>
              <w:spacing w:after="0"/>
              <w:rPr>
                <w:rFonts w:cs="Arial"/>
                <w:sz w:val="20"/>
                <w:szCs w:val="20"/>
                <w:lang w:bidi="ar-SA"/>
              </w:rPr>
            </w:pPr>
            <w:r w:rsidRPr="004934DF">
              <w:rPr>
                <w:rFonts w:cs="Arial"/>
                <w:sz w:val="20"/>
                <w:szCs w:val="20"/>
                <w:lang w:bidi="ar-SA"/>
              </w:rPr>
              <w:t>LICs average</w:t>
            </w:r>
          </w:p>
        </w:tc>
        <w:tc>
          <w:tcPr>
            <w:tcW w:w="1418" w:type="dxa"/>
          </w:tcPr>
          <w:p w:rsidR="00130409" w:rsidRPr="004934DF" w:rsidRDefault="00130409" w:rsidP="006946F8">
            <w:pPr>
              <w:spacing w:after="0"/>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bidi="ar-SA"/>
              </w:rPr>
              <w:t>1,113</w:t>
            </w:r>
          </w:p>
        </w:tc>
        <w:tc>
          <w:tcPr>
            <w:tcW w:w="1559" w:type="dxa"/>
          </w:tcPr>
          <w:p w:rsidR="00130409" w:rsidRPr="004934DF" w:rsidRDefault="00130409" w:rsidP="006946F8">
            <w:pPr>
              <w:spacing w:after="0"/>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bidi="ar-SA"/>
              </w:rPr>
              <w:t>47</w:t>
            </w:r>
          </w:p>
        </w:tc>
        <w:tc>
          <w:tcPr>
            <w:tcW w:w="1417" w:type="dxa"/>
          </w:tcPr>
          <w:p w:rsidR="00130409" w:rsidRPr="004934DF" w:rsidRDefault="00130409" w:rsidP="006946F8">
            <w:pPr>
              <w:spacing w:after="0"/>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bidi="ar-SA"/>
              </w:rPr>
              <w:t>68</w:t>
            </w:r>
          </w:p>
        </w:tc>
      </w:tr>
      <w:tr w:rsidR="00130409" w:rsidRPr="004934DF" w:rsidTr="00130409">
        <w:tc>
          <w:tcPr>
            <w:cnfStyle w:val="001000000000" w:firstRow="0" w:lastRow="0" w:firstColumn="1" w:lastColumn="0" w:oddVBand="0" w:evenVBand="0" w:oddHBand="0" w:evenHBand="0" w:firstRowFirstColumn="0" w:firstRowLastColumn="0" w:lastRowFirstColumn="0" w:lastRowLastColumn="0"/>
            <w:tcW w:w="2518" w:type="dxa"/>
          </w:tcPr>
          <w:p w:rsidR="00130409" w:rsidRPr="004934DF" w:rsidRDefault="00130409" w:rsidP="006946F8">
            <w:pPr>
              <w:spacing w:after="0"/>
              <w:rPr>
                <w:rFonts w:cs="Arial"/>
                <w:sz w:val="20"/>
                <w:szCs w:val="20"/>
                <w:lang w:bidi="ar-SA"/>
              </w:rPr>
            </w:pPr>
            <w:r w:rsidRPr="004934DF">
              <w:rPr>
                <w:rFonts w:cs="Arial"/>
                <w:sz w:val="20"/>
                <w:szCs w:val="20"/>
                <w:lang w:bidi="ar-SA"/>
              </w:rPr>
              <w:t>PNG (Fragile state)</w:t>
            </w:r>
          </w:p>
        </w:tc>
        <w:tc>
          <w:tcPr>
            <w:tcW w:w="1418" w:type="dxa"/>
          </w:tcPr>
          <w:p w:rsidR="00130409" w:rsidRPr="004934DF" w:rsidRDefault="00130409" w:rsidP="006946F8">
            <w:pPr>
              <w:spacing w:after="0"/>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bidi="ar-SA"/>
              </w:rPr>
              <w:t>1,845</w:t>
            </w:r>
          </w:p>
        </w:tc>
        <w:tc>
          <w:tcPr>
            <w:tcW w:w="1559" w:type="dxa"/>
          </w:tcPr>
          <w:p w:rsidR="00130409" w:rsidRPr="004934DF" w:rsidRDefault="00130409" w:rsidP="006946F8">
            <w:pPr>
              <w:spacing w:after="0"/>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bidi="ar-SA"/>
              </w:rPr>
              <w:t>79</w:t>
            </w:r>
          </w:p>
        </w:tc>
        <w:tc>
          <w:tcPr>
            <w:tcW w:w="1417" w:type="dxa"/>
          </w:tcPr>
          <w:p w:rsidR="00130409" w:rsidRPr="004934DF" w:rsidRDefault="00130409" w:rsidP="006946F8">
            <w:pPr>
              <w:spacing w:after="0"/>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bidi="ar-SA"/>
              </w:rPr>
              <w:t>64</w:t>
            </w:r>
          </w:p>
        </w:tc>
      </w:tr>
      <w:tr w:rsidR="00130409" w:rsidRPr="004934DF" w:rsidTr="00130409">
        <w:tc>
          <w:tcPr>
            <w:cnfStyle w:val="001000000000" w:firstRow="0" w:lastRow="0" w:firstColumn="1" w:lastColumn="0" w:oddVBand="0" w:evenVBand="0" w:oddHBand="0" w:evenHBand="0" w:firstRowFirstColumn="0" w:firstRowLastColumn="0" w:lastRowFirstColumn="0" w:lastRowLastColumn="0"/>
            <w:tcW w:w="2518" w:type="dxa"/>
          </w:tcPr>
          <w:p w:rsidR="00130409" w:rsidRPr="004934DF" w:rsidRDefault="00130409" w:rsidP="006946F8">
            <w:pPr>
              <w:spacing w:after="0"/>
              <w:rPr>
                <w:rFonts w:cs="Arial"/>
                <w:sz w:val="20"/>
                <w:szCs w:val="20"/>
                <w:lang w:bidi="ar-SA"/>
              </w:rPr>
            </w:pPr>
            <w:r w:rsidRPr="004934DF">
              <w:rPr>
                <w:rFonts w:cs="Arial"/>
                <w:sz w:val="20"/>
                <w:szCs w:val="20"/>
                <w:lang w:bidi="ar-SA"/>
              </w:rPr>
              <w:t>Fragile states</w:t>
            </w:r>
            <w:r w:rsidRPr="004934DF">
              <w:rPr>
                <w:rStyle w:val="EndnoteReference"/>
                <w:rFonts w:eastAsiaTheme="minorHAnsi" w:cs="Arial"/>
                <w:sz w:val="20"/>
                <w:szCs w:val="20"/>
                <w:lang w:bidi="ar-SA"/>
              </w:rPr>
              <w:endnoteReference w:id="1"/>
            </w:r>
            <w:r w:rsidRPr="004934DF">
              <w:rPr>
                <w:rFonts w:cs="Arial"/>
                <w:sz w:val="20"/>
                <w:szCs w:val="20"/>
                <w:lang w:bidi="ar-SA"/>
              </w:rPr>
              <w:t xml:space="preserve"> average</w:t>
            </w:r>
          </w:p>
        </w:tc>
        <w:tc>
          <w:tcPr>
            <w:tcW w:w="1418" w:type="dxa"/>
          </w:tcPr>
          <w:p w:rsidR="00130409" w:rsidRPr="004934DF" w:rsidRDefault="00130409" w:rsidP="006946F8">
            <w:pPr>
              <w:spacing w:after="0"/>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bidi="ar-SA"/>
              </w:rPr>
              <w:t>1,371</w:t>
            </w:r>
          </w:p>
        </w:tc>
        <w:tc>
          <w:tcPr>
            <w:tcW w:w="1559" w:type="dxa"/>
          </w:tcPr>
          <w:p w:rsidR="00130409" w:rsidRPr="004934DF" w:rsidRDefault="00130409" w:rsidP="006946F8">
            <w:pPr>
              <w:spacing w:after="0"/>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bidi="ar-SA"/>
              </w:rPr>
              <w:t>63</w:t>
            </w:r>
          </w:p>
        </w:tc>
        <w:tc>
          <w:tcPr>
            <w:tcW w:w="1417" w:type="dxa"/>
          </w:tcPr>
          <w:p w:rsidR="00130409" w:rsidRPr="004934DF" w:rsidRDefault="00130409" w:rsidP="006946F8">
            <w:pPr>
              <w:spacing w:after="0"/>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bidi="ar-SA"/>
              </w:rPr>
              <w:t>64</w:t>
            </w:r>
          </w:p>
        </w:tc>
      </w:tr>
      <w:tr w:rsidR="00130409" w:rsidRPr="004934DF" w:rsidTr="00130409">
        <w:tc>
          <w:tcPr>
            <w:cnfStyle w:val="001000000000" w:firstRow="0" w:lastRow="0" w:firstColumn="1" w:lastColumn="0" w:oddVBand="0" w:evenVBand="0" w:oddHBand="0" w:evenHBand="0" w:firstRowFirstColumn="0" w:firstRowLastColumn="0" w:lastRowFirstColumn="0" w:lastRowLastColumn="0"/>
            <w:tcW w:w="2518" w:type="dxa"/>
          </w:tcPr>
          <w:p w:rsidR="00130409" w:rsidRPr="004934DF" w:rsidRDefault="00130409" w:rsidP="006946F8">
            <w:pPr>
              <w:spacing w:after="0"/>
              <w:rPr>
                <w:rFonts w:cs="Arial"/>
                <w:sz w:val="20"/>
                <w:szCs w:val="20"/>
                <w:lang w:bidi="ar-SA"/>
              </w:rPr>
            </w:pPr>
            <w:r w:rsidRPr="004934DF">
              <w:rPr>
                <w:rFonts w:cs="Arial"/>
                <w:sz w:val="20"/>
                <w:szCs w:val="20"/>
                <w:lang w:bidi="ar-SA"/>
              </w:rPr>
              <w:t>Fiji (SIS)</w:t>
            </w:r>
          </w:p>
        </w:tc>
        <w:tc>
          <w:tcPr>
            <w:tcW w:w="1418" w:type="dxa"/>
          </w:tcPr>
          <w:p w:rsidR="00130409" w:rsidRPr="004934DF" w:rsidRDefault="00130409" w:rsidP="006946F8">
            <w:pPr>
              <w:spacing w:after="0"/>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bidi="ar-SA"/>
              </w:rPr>
              <w:t>4,397</w:t>
            </w:r>
          </w:p>
        </w:tc>
        <w:tc>
          <w:tcPr>
            <w:tcW w:w="1559" w:type="dxa"/>
          </w:tcPr>
          <w:p w:rsidR="00130409" w:rsidRPr="004934DF" w:rsidRDefault="00130409" w:rsidP="006946F8">
            <w:pPr>
              <w:spacing w:after="0"/>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bidi="ar-SA"/>
              </w:rPr>
              <w:t>168</w:t>
            </w:r>
          </w:p>
        </w:tc>
        <w:tc>
          <w:tcPr>
            <w:tcW w:w="1417" w:type="dxa"/>
          </w:tcPr>
          <w:p w:rsidR="00130409" w:rsidRPr="004934DF" w:rsidRDefault="00130409" w:rsidP="006946F8">
            <w:pPr>
              <w:spacing w:after="0"/>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bidi="ar-SA"/>
              </w:rPr>
              <w:t>70</w:t>
            </w:r>
          </w:p>
        </w:tc>
      </w:tr>
      <w:tr w:rsidR="00130409" w:rsidRPr="004934DF" w:rsidTr="00130409">
        <w:tc>
          <w:tcPr>
            <w:cnfStyle w:val="001000000000" w:firstRow="0" w:lastRow="0" w:firstColumn="1" w:lastColumn="0" w:oddVBand="0" w:evenVBand="0" w:oddHBand="0" w:evenHBand="0" w:firstRowFirstColumn="0" w:firstRowLastColumn="0" w:lastRowFirstColumn="0" w:lastRowLastColumn="0"/>
            <w:tcW w:w="2518" w:type="dxa"/>
          </w:tcPr>
          <w:p w:rsidR="00130409" w:rsidRPr="004934DF" w:rsidRDefault="00130409" w:rsidP="006946F8">
            <w:pPr>
              <w:spacing w:after="0"/>
              <w:rPr>
                <w:rFonts w:cs="Arial"/>
                <w:sz w:val="20"/>
                <w:szCs w:val="20"/>
                <w:lang w:bidi="ar-SA"/>
              </w:rPr>
            </w:pPr>
            <w:r w:rsidRPr="004934DF">
              <w:rPr>
                <w:rFonts w:cs="Arial"/>
                <w:sz w:val="20"/>
                <w:szCs w:val="20"/>
                <w:lang w:bidi="ar-SA"/>
              </w:rPr>
              <w:t>SIS average</w:t>
            </w:r>
          </w:p>
        </w:tc>
        <w:tc>
          <w:tcPr>
            <w:tcW w:w="1418" w:type="dxa"/>
          </w:tcPr>
          <w:p w:rsidR="00130409" w:rsidRPr="004934DF" w:rsidRDefault="00130409" w:rsidP="006946F8">
            <w:pPr>
              <w:spacing w:after="0"/>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bidi="ar-SA"/>
              </w:rPr>
              <w:t>3,098</w:t>
            </w:r>
          </w:p>
        </w:tc>
        <w:tc>
          <w:tcPr>
            <w:tcW w:w="1559" w:type="dxa"/>
          </w:tcPr>
          <w:p w:rsidR="00130409" w:rsidRPr="004934DF" w:rsidRDefault="00130409" w:rsidP="006946F8">
            <w:pPr>
              <w:spacing w:after="0"/>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bidi="ar-SA"/>
              </w:rPr>
              <w:t>509</w:t>
            </w:r>
          </w:p>
        </w:tc>
        <w:tc>
          <w:tcPr>
            <w:tcW w:w="1417" w:type="dxa"/>
          </w:tcPr>
          <w:p w:rsidR="00130409" w:rsidRPr="004934DF" w:rsidRDefault="00130409" w:rsidP="006946F8">
            <w:pPr>
              <w:spacing w:after="0"/>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bidi="ar-SA"/>
              </w:rPr>
              <w:t>71</w:t>
            </w:r>
          </w:p>
        </w:tc>
      </w:tr>
      <w:tr w:rsidR="00130409" w:rsidRPr="004934DF" w:rsidTr="00130409">
        <w:tc>
          <w:tcPr>
            <w:cnfStyle w:val="001000000000" w:firstRow="0" w:lastRow="0" w:firstColumn="1" w:lastColumn="0" w:oddVBand="0" w:evenVBand="0" w:oddHBand="0" w:evenHBand="0" w:firstRowFirstColumn="0" w:firstRowLastColumn="0" w:lastRowFirstColumn="0" w:lastRowLastColumn="0"/>
            <w:tcW w:w="2518" w:type="dxa"/>
          </w:tcPr>
          <w:p w:rsidR="00130409" w:rsidRPr="004934DF" w:rsidRDefault="00130409" w:rsidP="006946F8">
            <w:pPr>
              <w:spacing w:after="0"/>
              <w:rPr>
                <w:rFonts w:cs="Arial"/>
                <w:sz w:val="20"/>
                <w:szCs w:val="20"/>
                <w:lang w:bidi="ar-SA"/>
              </w:rPr>
            </w:pPr>
            <w:r w:rsidRPr="004934DF">
              <w:rPr>
                <w:rFonts w:cs="Arial"/>
                <w:sz w:val="20"/>
                <w:szCs w:val="20"/>
                <w:lang w:bidi="ar-SA"/>
              </w:rPr>
              <w:t>All countries in study</w:t>
            </w:r>
          </w:p>
        </w:tc>
        <w:tc>
          <w:tcPr>
            <w:tcW w:w="1418" w:type="dxa"/>
          </w:tcPr>
          <w:p w:rsidR="00130409" w:rsidRPr="004934DF" w:rsidRDefault="00130409" w:rsidP="006946F8">
            <w:pPr>
              <w:spacing w:after="0"/>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bidi="ar-SA"/>
              </w:rPr>
              <w:t>2,633</w:t>
            </w:r>
          </w:p>
        </w:tc>
        <w:tc>
          <w:tcPr>
            <w:tcW w:w="1559" w:type="dxa"/>
          </w:tcPr>
          <w:p w:rsidR="00130409" w:rsidRPr="004934DF" w:rsidRDefault="00130409" w:rsidP="006946F8">
            <w:pPr>
              <w:spacing w:after="0"/>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bidi="ar-SA"/>
              </w:rPr>
              <w:t>272</w:t>
            </w:r>
          </w:p>
        </w:tc>
        <w:tc>
          <w:tcPr>
            <w:tcW w:w="1417" w:type="dxa"/>
          </w:tcPr>
          <w:p w:rsidR="00130409" w:rsidRPr="004934DF" w:rsidRDefault="00130409" w:rsidP="006946F8">
            <w:pPr>
              <w:spacing w:after="0"/>
              <w:cnfStyle w:val="000000000000" w:firstRow="0" w:lastRow="0" w:firstColumn="0" w:lastColumn="0" w:oddVBand="0" w:evenVBand="0" w:oddHBand="0" w:evenHBand="0" w:firstRowFirstColumn="0" w:firstRowLastColumn="0" w:lastRowFirstColumn="0" w:lastRowLastColumn="0"/>
              <w:rPr>
                <w:rFonts w:cs="Arial"/>
                <w:sz w:val="20"/>
                <w:szCs w:val="20"/>
                <w:lang w:bidi="ar-SA"/>
              </w:rPr>
            </w:pPr>
            <w:r w:rsidRPr="004934DF">
              <w:rPr>
                <w:rFonts w:cs="Arial"/>
                <w:sz w:val="20"/>
                <w:szCs w:val="20"/>
                <w:lang w:bidi="ar-SA"/>
              </w:rPr>
              <w:t>67</w:t>
            </w:r>
          </w:p>
        </w:tc>
      </w:tr>
      <w:tr w:rsidR="00330297" w:rsidRPr="004934DF" w:rsidTr="00130409">
        <w:tc>
          <w:tcPr>
            <w:cnfStyle w:val="001000000000" w:firstRow="0" w:lastRow="0" w:firstColumn="1" w:lastColumn="0" w:oddVBand="0" w:evenVBand="0" w:oddHBand="0" w:evenHBand="0" w:firstRowFirstColumn="0" w:firstRowLastColumn="0" w:lastRowFirstColumn="0" w:lastRowLastColumn="0"/>
            <w:tcW w:w="2518" w:type="dxa"/>
          </w:tcPr>
          <w:p w:rsidR="00330297" w:rsidRPr="004934DF" w:rsidRDefault="00330297" w:rsidP="006946F8">
            <w:pPr>
              <w:spacing w:after="0"/>
              <w:rPr>
                <w:rFonts w:cs="Arial"/>
                <w:b/>
                <w:sz w:val="20"/>
                <w:szCs w:val="20"/>
                <w:lang w:bidi="ar-SA"/>
              </w:rPr>
            </w:pPr>
            <w:r w:rsidRPr="004934DF">
              <w:rPr>
                <w:rFonts w:cs="Arial"/>
                <w:b/>
                <w:sz w:val="20"/>
                <w:szCs w:val="20"/>
                <w:lang w:bidi="ar-SA"/>
              </w:rPr>
              <w:t>Timor-Leste</w:t>
            </w:r>
            <w:r w:rsidR="004934DF">
              <w:rPr>
                <w:rFonts w:cs="Arial"/>
                <w:b/>
                <w:sz w:val="20"/>
                <w:szCs w:val="20"/>
                <w:lang w:bidi="ar-SA"/>
              </w:rPr>
              <w:t>*</w:t>
            </w:r>
          </w:p>
        </w:tc>
        <w:tc>
          <w:tcPr>
            <w:tcW w:w="1418" w:type="dxa"/>
          </w:tcPr>
          <w:p w:rsidR="00330297" w:rsidRPr="004934DF" w:rsidRDefault="00D87298" w:rsidP="006946F8">
            <w:pPr>
              <w:spacing w:after="0"/>
              <w:cnfStyle w:val="000000000000" w:firstRow="0" w:lastRow="0" w:firstColumn="0" w:lastColumn="0" w:oddVBand="0" w:evenVBand="0" w:oddHBand="0" w:evenHBand="0" w:firstRowFirstColumn="0" w:firstRowLastColumn="0" w:lastRowFirstColumn="0" w:lastRowLastColumn="0"/>
              <w:rPr>
                <w:rFonts w:cs="Arial"/>
                <w:b/>
                <w:sz w:val="20"/>
                <w:szCs w:val="20"/>
                <w:lang w:bidi="ar-SA"/>
              </w:rPr>
            </w:pPr>
            <w:r>
              <w:rPr>
                <w:rFonts w:cs="Arial"/>
                <w:b/>
                <w:sz w:val="20"/>
                <w:szCs w:val="20"/>
                <w:lang w:bidi="ar-SA"/>
              </w:rPr>
              <w:t>896</w:t>
            </w:r>
          </w:p>
        </w:tc>
        <w:tc>
          <w:tcPr>
            <w:tcW w:w="1559" w:type="dxa"/>
          </w:tcPr>
          <w:p w:rsidR="00330297" w:rsidRPr="004934DF" w:rsidRDefault="00D87298" w:rsidP="006946F8">
            <w:pPr>
              <w:spacing w:after="0"/>
              <w:cnfStyle w:val="000000000000" w:firstRow="0" w:lastRow="0" w:firstColumn="0" w:lastColumn="0" w:oddVBand="0" w:evenVBand="0" w:oddHBand="0" w:evenHBand="0" w:firstRowFirstColumn="0" w:firstRowLastColumn="0" w:lastRowFirstColumn="0" w:lastRowLastColumn="0"/>
              <w:rPr>
                <w:rFonts w:cs="Arial"/>
                <w:b/>
                <w:sz w:val="20"/>
                <w:szCs w:val="20"/>
                <w:lang w:bidi="ar-SA"/>
              </w:rPr>
            </w:pPr>
            <w:r>
              <w:rPr>
                <w:rFonts w:cs="Arial"/>
                <w:b/>
                <w:sz w:val="20"/>
                <w:szCs w:val="20"/>
                <w:lang w:bidi="ar-SA"/>
              </w:rPr>
              <w:t>34</w:t>
            </w:r>
          </w:p>
        </w:tc>
        <w:tc>
          <w:tcPr>
            <w:tcW w:w="1417" w:type="dxa"/>
          </w:tcPr>
          <w:p w:rsidR="00330297" w:rsidRPr="004934DF" w:rsidRDefault="00D87298" w:rsidP="006946F8">
            <w:pPr>
              <w:spacing w:after="0"/>
              <w:cnfStyle w:val="000000000000" w:firstRow="0" w:lastRow="0" w:firstColumn="0" w:lastColumn="0" w:oddVBand="0" w:evenVBand="0" w:oddHBand="0" w:evenHBand="0" w:firstRowFirstColumn="0" w:firstRowLastColumn="0" w:lastRowFirstColumn="0" w:lastRowLastColumn="0"/>
              <w:rPr>
                <w:rFonts w:cs="Arial"/>
                <w:b/>
                <w:sz w:val="20"/>
                <w:szCs w:val="20"/>
                <w:lang w:bidi="ar-SA"/>
              </w:rPr>
            </w:pPr>
            <w:r>
              <w:rPr>
                <w:rFonts w:cs="Arial"/>
                <w:b/>
                <w:sz w:val="20"/>
                <w:szCs w:val="20"/>
                <w:lang w:bidi="ar-SA"/>
              </w:rPr>
              <w:t>63</w:t>
            </w:r>
          </w:p>
        </w:tc>
      </w:tr>
    </w:tbl>
    <w:p w:rsidR="00FF5850" w:rsidRDefault="00FF5850" w:rsidP="00624D3B">
      <w:pPr>
        <w:spacing w:line="276" w:lineRule="auto"/>
        <w:rPr>
          <w:rFonts w:cs="Arial"/>
        </w:rPr>
      </w:pPr>
    </w:p>
    <w:p w:rsidR="005009B0" w:rsidRPr="00FA66BC" w:rsidRDefault="001400C7" w:rsidP="00624D3B">
      <w:pPr>
        <w:spacing w:line="276" w:lineRule="auto"/>
        <w:rPr>
          <w:rFonts w:cs="Arial"/>
        </w:rPr>
      </w:pPr>
      <w:r>
        <w:rPr>
          <w:rFonts w:cs="Arial"/>
        </w:rPr>
        <w:t>Figure 5</w:t>
      </w:r>
      <w:r w:rsidR="005009B0" w:rsidRPr="00FA66BC">
        <w:rPr>
          <w:rFonts w:cs="Arial"/>
        </w:rPr>
        <w:t xml:space="preserve"> shows countries with similar levels of Government Health Expenditure (GHE) per capita to Timor-Leste, ten immediately above and ten below, compared with their health indicators.  Timor-Leste (large size data points) outperformed comparable spenders for CMR, and is almost at the expected level for IMR</w:t>
      </w:r>
      <w:r w:rsidR="005009B0" w:rsidRPr="00FA66BC">
        <w:rPr>
          <w:rFonts w:cs="Arial"/>
          <w:vertAlign w:val="superscript"/>
        </w:rPr>
        <w:footnoteReference w:id="50"/>
      </w:r>
      <w:r w:rsidR="005009B0" w:rsidRPr="00FA66BC">
        <w:rPr>
          <w:rFonts w:cs="Arial"/>
        </w:rPr>
        <w:t>.  If only government health expenditures were driving health outcomes, the steep trendlines imply that the increases in the Timor-Leste GHE in recent years should have produced significant falls in these indicators</w:t>
      </w:r>
      <w:r w:rsidR="005009B0" w:rsidRPr="00FA66BC">
        <w:rPr>
          <w:rFonts w:cs="Arial"/>
          <w:vertAlign w:val="superscript"/>
        </w:rPr>
        <w:footnoteReference w:id="51"/>
      </w:r>
      <w:r w:rsidR="005009B0" w:rsidRPr="00FA66BC">
        <w:rPr>
          <w:rFonts w:cs="Arial"/>
        </w:rPr>
        <w:t>. The econometric model mentioned in the previous section supports a different interpretation</w:t>
      </w:r>
      <w:r w:rsidR="00624D3B">
        <w:rPr>
          <w:rFonts w:cs="Arial"/>
        </w:rPr>
        <w:t xml:space="preserve"> however</w:t>
      </w:r>
      <w:r w:rsidR="005009B0" w:rsidRPr="00FA66BC">
        <w:rPr>
          <w:rFonts w:cs="Arial"/>
        </w:rPr>
        <w:t>, that the better outcomes shown result  primarily from higher national incomes in those countries, which produce health improvements independent of government spending on health (such as better housing and nutrition), but also drive public health expenditures to higher levels</w:t>
      </w:r>
      <w:r w:rsidR="005009B0" w:rsidRPr="00FA66BC">
        <w:rPr>
          <w:rStyle w:val="FootnoteReference"/>
          <w:rFonts w:cs="Arial"/>
        </w:rPr>
        <w:footnoteReference w:id="52"/>
      </w:r>
      <w:r w:rsidR="005009B0" w:rsidRPr="00FA66BC">
        <w:rPr>
          <w:rFonts w:cs="Arial"/>
        </w:rPr>
        <w:t xml:space="preserve">. </w:t>
      </w:r>
    </w:p>
    <w:p w:rsidR="003A52A7" w:rsidRDefault="003A52A7" w:rsidP="00624D3B">
      <w:pPr>
        <w:spacing w:after="0" w:line="276" w:lineRule="auto"/>
        <w:jc w:val="left"/>
        <w:rPr>
          <w:b/>
          <w:bCs/>
          <w:sz w:val="20"/>
          <w:szCs w:val="16"/>
        </w:rPr>
      </w:pPr>
    </w:p>
    <w:p w:rsidR="001833BF" w:rsidRDefault="00773916" w:rsidP="00624D3B">
      <w:pPr>
        <w:pStyle w:val="Caption"/>
        <w:spacing w:line="276" w:lineRule="auto"/>
      </w:pPr>
      <w:r w:rsidRPr="00773916">
        <w:t xml:space="preserve">Figure </w:t>
      </w:r>
      <w:r w:rsidR="00C94A76" w:rsidRPr="00773916">
        <w:fldChar w:fldCharType="begin"/>
      </w:r>
      <w:r w:rsidRPr="00773916">
        <w:instrText xml:space="preserve"> SEQ Figure \* ARABIC </w:instrText>
      </w:r>
      <w:r w:rsidR="00C94A76" w:rsidRPr="00773916">
        <w:fldChar w:fldCharType="separate"/>
      </w:r>
      <w:r w:rsidR="00B363D8">
        <w:rPr>
          <w:noProof/>
        </w:rPr>
        <w:t>4</w:t>
      </w:r>
      <w:r w:rsidR="00C94A76" w:rsidRPr="00773916">
        <w:fldChar w:fldCharType="end"/>
      </w:r>
      <w:r w:rsidR="001833BF">
        <w:t xml:space="preserve">: </w:t>
      </w:r>
      <w:r w:rsidR="00A97B2D">
        <w:t xml:space="preserve">Health indicators vs. </w:t>
      </w:r>
      <w:r w:rsidR="001833BF" w:rsidRPr="001833BF">
        <w:rPr>
          <w:lang w:val="en-US"/>
        </w:rPr>
        <w:t>Government Health Expenditure</w:t>
      </w:r>
      <w:r w:rsidR="00A97B2D">
        <w:rPr>
          <w:lang w:val="en-US"/>
        </w:rPr>
        <w:t xml:space="preserve"> per capita</w:t>
      </w:r>
      <w:r w:rsidR="003D323E">
        <w:rPr>
          <w:rStyle w:val="FootnoteReference"/>
          <w:lang w:val="en-US"/>
        </w:rPr>
        <w:footnoteReference w:id="53"/>
      </w:r>
    </w:p>
    <w:p w:rsidR="001833BF" w:rsidRDefault="001833BF" w:rsidP="00624D3B">
      <w:pPr>
        <w:pStyle w:val="Caption"/>
        <w:spacing w:line="276" w:lineRule="auto"/>
      </w:pPr>
      <w:r>
        <w:t xml:space="preserve"> </w:t>
      </w:r>
      <w:r w:rsidRPr="00D73F59">
        <w:rPr>
          <w:noProof/>
          <w:lang w:val="en-AU" w:eastAsia="en-AU" w:bidi="ar-SA"/>
        </w:rPr>
        <w:drawing>
          <wp:inline distT="0" distB="0" distL="0" distR="0" wp14:anchorId="47164558" wp14:editId="3C6F278C">
            <wp:extent cx="4674870" cy="3111500"/>
            <wp:effectExtent l="0" t="0" r="11430" b="12700"/>
            <wp:docPr id="2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73916" w:rsidRPr="000B55BB" w:rsidRDefault="00C94A76" w:rsidP="00624D3B">
      <w:pPr>
        <w:spacing w:line="276" w:lineRule="auto"/>
        <w:rPr>
          <w:sz w:val="18"/>
        </w:rPr>
      </w:pPr>
      <w:r w:rsidRPr="000B55BB">
        <w:rPr>
          <w:sz w:val="18"/>
          <w:lang w:val="en-US"/>
        </w:rPr>
        <w:t>GHE</w:t>
      </w:r>
      <w:r w:rsidR="00A97B2D">
        <w:rPr>
          <w:sz w:val="18"/>
          <w:lang w:val="en-US"/>
        </w:rPr>
        <w:t xml:space="preserve"> per capita</w:t>
      </w:r>
      <w:r w:rsidRPr="000B55BB">
        <w:rPr>
          <w:sz w:val="18"/>
          <w:lang w:val="en-US"/>
        </w:rPr>
        <w:t xml:space="preserve"> (US$): Mali 20, Côte d'Ivoire 21, Cameroon 21, Malawi 23, Togo 23, Comoros 25, Nigeria 29, Sudan 29, Philippines 32, Indonesia 33, </w:t>
      </w:r>
      <w:r w:rsidRPr="000B55BB">
        <w:rPr>
          <w:sz w:val="18"/>
          <w:u w:val="single"/>
          <w:lang w:val="en-US"/>
        </w:rPr>
        <w:t>Timor-Leste 33</w:t>
      </w:r>
      <w:r w:rsidRPr="000B55BB">
        <w:rPr>
          <w:sz w:val="18"/>
          <w:lang w:val="en-US"/>
        </w:rPr>
        <w:t>, Mauritania 35, Rwanda 36, Viet Nam 38, Sao Tome and Principe 39, Senegal 39, Ghana 42, Kyrgyzstan 43, Sri Lanka 43, Uzbekistan 45, Syrian Arab Republic 50.</w:t>
      </w:r>
    </w:p>
    <w:p w:rsidR="00F749B8" w:rsidRDefault="00F749B8" w:rsidP="00624D3B">
      <w:pPr>
        <w:pStyle w:val="HRFHeading2Numbered"/>
      </w:pPr>
      <w:bookmarkStart w:id="29" w:name="_Toc373231850"/>
      <w:bookmarkStart w:id="30" w:name="_Toc373231940"/>
      <w:bookmarkStart w:id="31" w:name="_Toc373502454"/>
      <w:bookmarkStart w:id="32" w:name="_Toc373502492"/>
      <w:bookmarkStart w:id="33" w:name="_Toc373502493"/>
      <w:bookmarkEnd w:id="29"/>
      <w:bookmarkEnd w:id="30"/>
      <w:bookmarkEnd w:id="31"/>
      <w:bookmarkEnd w:id="32"/>
      <w:r>
        <w:t>Health expenditures in Timor-Leste</w:t>
      </w:r>
      <w:bookmarkEnd w:id="33"/>
    </w:p>
    <w:p w:rsidR="003A52A7" w:rsidRDefault="00F749B8" w:rsidP="00C8305D">
      <w:pPr>
        <w:spacing w:line="276" w:lineRule="auto"/>
        <w:rPr>
          <w:b/>
          <w:bCs/>
          <w:sz w:val="20"/>
          <w:szCs w:val="20"/>
        </w:rPr>
      </w:pPr>
      <w:r>
        <w:t>Ta</w:t>
      </w:r>
      <w:r w:rsidRPr="00FF5446">
        <w:t xml:space="preserve">ble </w:t>
      </w:r>
      <w:r w:rsidR="00223373">
        <w:t>6</w:t>
      </w:r>
      <w:r w:rsidR="005009B0">
        <w:t xml:space="preserve"> </w:t>
      </w:r>
      <w:r>
        <w:t xml:space="preserve">updates </w:t>
      </w:r>
      <w:r w:rsidRPr="00FF5446">
        <w:t xml:space="preserve">the </w:t>
      </w:r>
      <w:r>
        <w:t xml:space="preserve">World Bank </w:t>
      </w:r>
      <w:r w:rsidRPr="00FF5446">
        <w:t>Health Financing Note</w:t>
      </w:r>
      <w:r>
        <w:t xml:space="preserve"> (</w:t>
      </w:r>
      <w:r w:rsidRPr="00FF5446">
        <w:t>2011)</w:t>
      </w:r>
      <w:r>
        <w:t xml:space="preserve"> with recent WHO data. In addition to extending the series by three years, there are changes to several data points prior to 2009, </w:t>
      </w:r>
      <w:r w:rsidRPr="00FF5446">
        <w:t>suggest</w:t>
      </w:r>
      <w:r>
        <w:t>ing</w:t>
      </w:r>
      <w:r w:rsidRPr="00FF5446">
        <w:t xml:space="preserve"> </w:t>
      </w:r>
      <w:r>
        <w:t>the earlier dataset contained errors</w:t>
      </w:r>
      <w:r w:rsidRPr="00FF5446">
        <w:t>.</w:t>
      </w:r>
      <w:r w:rsidR="003A52A7">
        <w:rPr>
          <w:sz w:val="20"/>
          <w:szCs w:val="20"/>
        </w:rPr>
        <w:br w:type="page"/>
      </w:r>
    </w:p>
    <w:p w:rsidR="00F749B8" w:rsidRPr="00F749B8" w:rsidRDefault="00CC68E7" w:rsidP="00CC68E7">
      <w:pPr>
        <w:pStyle w:val="Caption"/>
        <w:rPr>
          <w:szCs w:val="20"/>
        </w:rPr>
      </w:pPr>
      <w:bookmarkStart w:id="34" w:name="_Toc373501349"/>
      <w:r>
        <w:t xml:space="preserve">Table </w:t>
      </w:r>
      <w:r w:rsidR="00AD246F">
        <w:t>6</w:t>
      </w:r>
      <w:r>
        <w:t xml:space="preserve">: </w:t>
      </w:r>
      <w:r w:rsidRPr="00575514">
        <w:t>Revised Timor-Leste historical health expenditures 2000-2011</w:t>
      </w:r>
      <w:r>
        <w:t xml:space="preserve"> </w:t>
      </w:r>
      <w:r w:rsidR="00351D3C">
        <w:rPr>
          <w:rStyle w:val="FootnoteReference"/>
          <w:szCs w:val="20"/>
        </w:rPr>
        <w:footnoteReference w:id="54"/>
      </w:r>
      <w:bookmarkEnd w:id="34"/>
    </w:p>
    <w:tbl>
      <w:tblPr>
        <w:tblStyle w:val="HRF"/>
        <w:tblW w:w="10177" w:type="dxa"/>
        <w:tblInd w:w="-601" w:type="dxa"/>
        <w:tblLayout w:type="fixed"/>
        <w:tblLook w:val="04A0" w:firstRow="1" w:lastRow="0" w:firstColumn="1" w:lastColumn="0" w:noHBand="0" w:noVBand="1"/>
      </w:tblPr>
      <w:tblGrid>
        <w:gridCol w:w="2216"/>
        <w:gridCol w:w="664"/>
        <w:gridCol w:w="664"/>
        <w:gridCol w:w="664"/>
        <w:gridCol w:w="664"/>
        <w:gridCol w:w="664"/>
        <w:gridCol w:w="663"/>
        <w:gridCol w:w="663"/>
        <w:gridCol w:w="663"/>
        <w:gridCol w:w="663"/>
        <w:gridCol w:w="663"/>
        <w:gridCol w:w="663"/>
        <w:gridCol w:w="663"/>
      </w:tblGrid>
      <w:tr w:rsidR="00EE0183" w:rsidRPr="00EE0183" w:rsidTr="00D84164">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216" w:type="dxa"/>
            <w:noWrap/>
            <w:hideMark/>
          </w:tcPr>
          <w:p w:rsidR="00F749B8" w:rsidRPr="00EE0183" w:rsidRDefault="00F749B8" w:rsidP="00624D3B">
            <w:pPr>
              <w:spacing w:line="276" w:lineRule="auto"/>
              <w:rPr>
                <w:rFonts w:cs="Arial"/>
                <w:sz w:val="20"/>
                <w:szCs w:val="20"/>
              </w:rPr>
            </w:pPr>
          </w:p>
        </w:tc>
        <w:tc>
          <w:tcPr>
            <w:tcW w:w="664" w:type="dxa"/>
            <w:hideMark/>
          </w:tcPr>
          <w:p w:rsidR="00F749B8" w:rsidRPr="009B4A50" w:rsidRDefault="00F749B8" w:rsidP="00624D3B">
            <w:pPr>
              <w:spacing w:line="276" w:lineRule="auto"/>
              <w:cnfStyle w:val="100000000000" w:firstRow="1" w:lastRow="0" w:firstColumn="0" w:lastColumn="0" w:oddVBand="0" w:evenVBand="0" w:oddHBand="0" w:evenHBand="0" w:firstRowFirstColumn="0" w:firstRowLastColumn="0" w:lastRowFirstColumn="0" w:lastRowLastColumn="0"/>
              <w:rPr>
                <w:rFonts w:cs="Arial"/>
                <w:b/>
                <w:bCs/>
                <w:sz w:val="18"/>
                <w:szCs w:val="18"/>
              </w:rPr>
            </w:pPr>
            <w:r w:rsidRPr="009B4A50">
              <w:rPr>
                <w:rFonts w:cs="Arial"/>
                <w:b/>
                <w:bCs/>
                <w:sz w:val="18"/>
                <w:szCs w:val="18"/>
              </w:rPr>
              <w:t>2000</w:t>
            </w:r>
          </w:p>
        </w:tc>
        <w:tc>
          <w:tcPr>
            <w:tcW w:w="664" w:type="dxa"/>
            <w:hideMark/>
          </w:tcPr>
          <w:p w:rsidR="00F749B8" w:rsidRPr="009B4A50" w:rsidRDefault="00F749B8" w:rsidP="00624D3B">
            <w:pPr>
              <w:spacing w:line="276" w:lineRule="auto"/>
              <w:cnfStyle w:val="100000000000" w:firstRow="1" w:lastRow="0" w:firstColumn="0" w:lastColumn="0" w:oddVBand="0" w:evenVBand="0" w:oddHBand="0" w:evenHBand="0" w:firstRowFirstColumn="0" w:firstRowLastColumn="0" w:lastRowFirstColumn="0" w:lastRowLastColumn="0"/>
              <w:rPr>
                <w:rFonts w:cs="Arial"/>
                <w:b/>
                <w:bCs/>
                <w:sz w:val="18"/>
                <w:szCs w:val="18"/>
              </w:rPr>
            </w:pPr>
            <w:r w:rsidRPr="009B4A50">
              <w:rPr>
                <w:rFonts w:cs="Arial"/>
                <w:b/>
                <w:bCs/>
                <w:sz w:val="18"/>
                <w:szCs w:val="18"/>
              </w:rPr>
              <w:t>2001</w:t>
            </w:r>
          </w:p>
        </w:tc>
        <w:tc>
          <w:tcPr>
            <w:tcW w:w="664" w:type="dxa"/>
            <w:hideMark/>
          </w:tcPr>
          <w:p w:rsidR="00F749B8" w:rsidRPr="009B4A50" w:rsidRDefault="00F749B8" w:rsidP="00624D3B">
            <w:pPr>
              <w:spacing w:line="276" w:lineRule="auto"/>
              <w:cnfStyle w:val="100000000000" w:firstRow="1" w:lastRow="0" w:firstColumn="0" w:lastColumn="0" w:oddVBand="0" w:evenVBand="0" w:oddHBand="0" w:evenHBand="0" w:firstRowFirstColumn="0" w:firstRowLastColumn="0" w:lastRowFirstColumn="0" w:lastRowLastColumn="0"/>
              <w:rPr>
                <w:rFonts w:cs="Arial"/>
                <w:b/>
                <w:bCs/>
                <w:sz w:val="18"/>
                <w:szCs w:val="18"/>
              </w:rPr>
            </w:pPr>
            <w:r w:rsidRPr="009B4A50">
              <w:rPr>
                <w:rFonts w:cs="Arial"/>
                <w:b/>
                <w:bCs/>
                <w:sz w:val="18"/>
                <w:szCs w:val="18"/>
              </w:rPr>
              <w:t>2002</w:t>
            </w:r>
          </w:p>
        </w:tc>
        <w:tc>
          <w:tcPr>
            <w:tcW w:w="664" w:type="dxa"/>
            <w:hideMark/>
          </w:tcPr>
          <w:p w:rsidR="00F749B8" w:rsidRPr="009B4A50" w:rsidRDefault="00F749B8" w:rsidP="00624D3B">
            <w:pPr>
              <w:spacing w:line="276" w:lineRule="auto"/>
              <w:cnfStyle w:val="100000000000" w:firstRow="1" w:lastRow="0" w:firstColumn="0" w:lastColumn="0" w:oddVBand="0" w:evenVBand="0" w:oddHBand="0" w:evenHBand="0" w:firstRowFirstColumn="0" w:firstRowLastColumn="0" w:lastRowFirstColumn="0" w:lastRowLastColumn="0"/>
              <w:rPr>
                <w:rFonts w:cs="Arial"/>
                <w:b/>
                <w:bCs/>
                <w:sz w:val="18"/>
                <w:szCs w:val="18"/>
              </w:rPr>
            </w:pPr>
            <w:r w:rsidRPr="009B4A50">
              <w:rPr>
                <w:rFonts w:cs="Arial"/>
                <w:b/>
                <w:bCs/>
                <w:sz w:val="18"/>
                <w:szCs w:val="18"/>
              </w:rPr>
              <w:t>2003</w:t>
            </w:r>
          </w:p>
        </w:tc>
        <w:tc>
          <w:tcPr>
            <w:tcW w:w="664" w:type="dxa"/>
            <w:hideMark/>
          </w:tcPr>
          <w:p w:rsidR="00F749B8" w:rsidRPr="009B4A50" w:rsidRDefault="00F749B8" w:rsidP="00624D3B">
            <w:pPr>
              <w:spacing w:line="276" w:lineRule="auto"/>
              <w:cnfStyle w:val="100000000000" w:firstRow="1" w:lastRow="0" w:firstColumn="0" w:lastColumn="0" w:oddVBand="0" w:evenVBand="0" w:oddHBand="0" w:evenHBand="0" w:firstRowFirstColumn="0" w:firstRowLastColumn="0" w:lastRowFirstColumn="0" w:lastRowLastColumn="0"/>
              <w:rPr>
                <w:rFonts w:cs="Arial"/>
                <w:b/>
                <w:bCs/>
                <w:sz w:val="18"/>
                <w:szCs w:val="18"/>
              </w:rPr>
            </w:pPr>
            <w:r w:rsidRPr="009B4A50">
              <w:rPr>
                <w:rFonts w:cs="Arial"/>
                <w:b/>
                <w:bCs/>
                <w:sz w:val="18"/>
                <w:szCs w:val="18"/>
              </w:rPr>
              <w:t>2004</w:t>
            </w:r>
          </w:p>
        </w:tc>
        <w:tc>
          <w:tcPr>
            <w:tcW w:w="663" w:type="dxa"/>
            <w:hideMark/>
          </w:tcPr>
          <w:p w:rsidR="00F749B8" w:rsidRPr="009B4A50" w:rsidRDefault="00F749B8" w:rsidP="00624D3B">
            <w:pPr>
              <w:spacing w:line="276" w:lineRule="auto"/>
              <w:cnfStyle w:val="100000000000" w:firstRow="1" w:lastRow="0" w:firstColumn="0" w:lastColumn="0" w:oddVBand="0" w:evenVBand="0" w:oddHBand="0" w:evenHBand="0" w:firstRowFirstColumn="0" w:firstRowLastColumn="0" w:lastRowFirstColumn="0" w:lastRowLastColumn="0"/>
              <w:rPr>
                <w:rFonts w:cs="Arial"/>
                <w:b/>
                <w:bCs/>
                <w:sz w:val="18"/>
                <w:szCs w:val="18"/>
              </w:rPr>
            </w:pPr>
            <w:r w:rsidRPr="009B4A50">
              <w:rPr>
                <w:rFonts w:cs="Arial"/>
                <w:b/>
                <w:bCs/>
                <w:sz w:val="18"/>
                <w:szCs w:val="18"/>
              </w:rPr>
              <w:t>2005</w:t>
            </w:r>
          </w:p>
        </w:tc>
        <w:tc>
          <w:tcPr>
            <w:tcW w:w="663" w:type="dxa"/>
            <w:hideMark/>
          </w:tcPr>
          <w:p w:rsidR="00F749B8" w:rsidRPr="009B4A50" w:rsidRDefault="00F749B8" w:rsidP="00624D3B">
            <w:pPr>
              <w:spacing w:line="276" w:lineRule="auto"/>
              <w:cnfStyle w:val="100000000000" w:firstRow="1" w:lastRow="0" w:firstColumn="0" w:lastColumn="0" w:oddVBand="0" w:evenVBand="0" w:oddHBand="0" w:evenHBand="0" w:firstRowFirstColumn="0" w:firstRowLastColumn="0" w:lastRowFirstColumn="0" w:lastRowLastColumn="0"/>
              <w:rPr>
                <w:rFonts w:cs="Arial"/>
                <w:b/>
                <w:bCs/>
                <w:sz w:val="18"/>
                <w:szCs w:val="18"/>
              </w:rPr>
            </w:pPr>
            <w:r w:rsidRPr="009B4A50">
              <w:rPr>
                <w:rFonts w:cs="Arial"/>
                <w:b/>
                <w:bCs/>
                <w:sz w:val="18"/>
                <w:szCs w:val="18"/>
              </w:rPr>
              <w:t>2006</w:t>
            </w:r>
          </w:p>
        </w:tc>
        <w:tc>
          <w:tcPr>
            <w:tcW w:w="663" w:type="dxa"/>
            <w:hideMark/>
          </w:tcPr>
          <w:p w:rsidR="00F749B8" w:rsidRPr="009B4A50" w:rsidRDefault="00F749B8" w:rsidP="00624D3B">
            <w:pPr>
              <w:spacing w:line="276" w:lineRule="auto"/>
              <w:cnfStyle w:val="100000000000" w:firstRow="1" w:lastRow="0" w:firstColumn="0" w:lastColumn="0" w:oddVBand="0" w:evenVBand="0" w:oddHBand="0" w:evenHBand="0" w:firstRowFirstColumn="0" w:firstRowLastColumn="0" w:lastRowFirstColumn="0" w:lastRowLastColumn="0"/>
              <w:rPr>
                <w:rFonts w:cs="Arial"/>
                <w:b/>
                <w:bCs/>
                <w:sz w:val="18"/>
                <w:szCs w:val="18"/>
              </w:rPr>
            </w:pPr>
            <w:r w:rsidRPr="009B4A50">
              <w:rPr>
                <w:rFonts w:cs="Arial"/>
                <w:b/>
                <w:bCs/>
                <w:sz w:val="18"/>
                <w:szCs w:val="18"/>
              </w:rPr>
              <w:t>2007</w:t>
            </w:r>
          </w:p>
        </w:tc>
        <w:tc>
          <w:tcPr>
            <w:tcW w:w="663" w:type="dxa"/>
            <w:hideMark/>
          </w:tcPr>
          <w:p w:rsidR="00F749B8" w:rsidRPr="009B4A50" w:rsidRDefault="00F749B8" w:rsidP="00624D3B">
            <w:pPr>
              <w:spacing w:line="276" w:lineRule="auto"/>
              <w:cnfStyle w:val="100000000000" w:firstRow="1" w:lastRow="0" w:firstColumn="0" w:lastColumn="0" w:oddVBand="0" w:evenVBand="0" w:oddHBand="0" w:evenHBand="0" w:firstRowFirstColumn="0" w:firstRowLastColumn="0" w:lastRowFirstColumn="0" w:lastRowLastColumn="0"/>
              <w:rPr>
                <w:rFonts w:cs="Arial"/>
                <w:b/>
                <w:bCs/>
                <w:sz w:val="18"/>
                <w:szCs w:val="18"/>
              </w:rPr>
            </w:pPr>
            <w:r w:rsidRPr="009B4A50">
              <w:rPr>
                <w:rFonts w:cs="Arial"/>
                <w:b/>
                <w:bCs/>
                <w:sz w:val="18"/>
                <w:szCs w:val="18"/>
              </w:rPr>
              <w:t>2008</w:t>
            </w:r>
          </w:p>
        </w:tc>
        <w:tc>
          <w:tcPr>
            <w:tcW w:w="663" w:type="dxa"/>
            <w:hideMark/>
          </w:tcPr>
          <w:p w:rsidR="00F749B8" w:rsidRPr="009B4A50" w:rsidRDefault="00F749B8" w:rsidP="00624D3B">
            <w:pPr>
              <w:spacing w:line="276" w:lineRule="auto"/>
              <w:cnfStyle w:val="100000000000" w:firstRow="1" w:lastRow="0" w:firstColumn="0" w:lastColumn="0" w:oddVBand="0" w:evenVBand="0" w:oddHBand="0" w:evenHBand="0" w:firstRowFirstColumn="0" w:firstRowLastColumn="0" w:lastRowFirstColumn="0" w:lastRowLastColumn="0"/>
              <w:rPr>
                <w:rFonts w:cs="Arial"/>
                <w:b/>
                <w:bCs/>
                <w:sz w:val="18"/>
                <w:szCs w:val="18"/>
              </w:rPr>
            </w:pPr>
            <w:r w:rsidRPr="009B4A50">
              <w:rPr>
                <w:rFonts w:cs="Arial"/>
                <w:b/>
                <w:bCs/>
                <w:sz w:val="18"/>
                <w:szCs w:val="18"/>
              </w:rPr>
              <w:t>2009</w:t>
            </w:r>
          </w:p>
        </w:tc>
        <w:tc>
          <w:tcPr>
            <w:tcW w:w="663" w:type="dxa"/>
            <w:hideMark/>
          </w:tcPr>
          <w:p w:rsidR="00F749B8" w:rsidRPr="009B4A50" w:rsidRDefault="00F749B8" w:rsidP="00624D3B">
            <w:pPr>
              <w:spacing w:line="276" w:lineRule="auto"/>
              <w:cnfStyle w:val="100000000000" w:firstRow="1" w:lastRow="0" w:firstColumn="0" w:lastColumn="0" w:oddVBand="0" w:evenVBand="0" w:oddHBand="0" w:evenHBand="0" w:firstRowFirstColumn="0" w:firstRowLastColumn="0" w:lastRowFirstColumn="0" w:lastRowLastColumn="0"/>
              <w:rPr>
                <w:rFonts w:cs="Arial"/>
                <w:b/>
                <w:bCs/>
                <w:sz w:val="18"/>
                <w:szCs w:val="18"/>
              </w:rPr>
            </w:pPr>
            <w:r w:rsidRPr="009B4A50">
              <w:rPr>
                <w:rFonts w:cs="Arial"/>
                <w:b/>
                <w:bCs/>
                <w:sz w:val="18"/>
                <w:szCs w:val="18"/>
              </w:rPr>
              <w:t>2010</w:t>
            </w:r>
          </w:p>
        </w:tc>
        <w:tc>
          <w:tcPr>
            <w:tcW w:w="663" w:type="dxa"/>
            <w:hideMark/>
          </w:tcPr>
          <w:p w:rsidR="00F749B8" w:rsidRPr="009B4A50" w:rsidRDefault="00F749B8" w:rsidP="00624D3B">
            <w:pPr>
              <w:spacing w:line="276" w:lineRule="auto"/>
              <w:cnfStyle w:val="100000000000" w:firstRow="1" w:lastRow="0" w:firstColumn="0" w:lastColumn="0" w:oddVBand="0" w:evenVBand="0" w:oddHBand="0" w:evenHBand="0" w:firstRowFirstColumn="0" w:firstRowLastColumn="0" w:lastRowFirstColumn="0" w:lastRowLastColumn="0"/>
              <w:rPr>
                <w:rFonts w:cs="Arial"/>
                <w:b/>
                <w:bCs/>
                <w:sz w:val="18"/>
                <w:szCs w:val="18"/>
              </w:rPr>
            </w:pPr>
            <w:r w:rsidRPr="009B4A50">
              <w:rPr>
                <w:rFonts w:cs="Arial"/>
                <w:b/>
                <w:bCs/>
                <w:sz w:val="18"/>
                <w:szCs w:val="18"/>
              </w:rPr>
              <w:t>2011</w:t>
            </w:r>
          </w:p>
        </w:tc>
      </w:tr>
      <w:tr w:rsidR="00EE0183" w:rsidRPr="00EE0183" w:rsidTr="00D84164">
        <w:trPr>
          <w:trHeight w:val="440"/>
        </w:trPr>
        <w:tc>
          <w:tcPr>
            <w:cnfStyle w:val="001000000000" w:firstRow="0" w:lastRow="0" w:firstColumn="1" w:lastColumn="0" w:oddVBand="0" w:evenVBand="0" w:oddHBand="0" w:evenHBand="0" w:firstRowFirstColumn="0" w:firstRowLastColumn="0" w:lastRowFirstColumn="0" w:lastRowLastColumn="0"/>
            <w:tcW w:w="2216" w:type="dxa"/>
            <w:hideMark/>
          </w:tcPr>
          <w:p w:rsidR="00F749B8" w:rsidRPr="00EE0183" w:rsidRDefault="00F749B8" w:rsidP="00624D3B">
            <w:pPr>
              <w:spacing w:line="276" w:lineRule="auto"/>
              <w:jc w:val="left"/>
              <w:rPr>
                <w:rFonts w:cs="Arial"/>
                <w:bCs/>
                <w:sz w:val="20"/>
                <w:szCs w:val="20"/>
              </w:rPr>
            </w:pPr>
            <w:r w:rsidRPr="00EE0183">
              <w:rPr>
                <w:rFonts w:cs="Arial"/>
                <w:bCs/>
                <w:sz w:val="20"/>
                <w:szCs w:val="20"/>
              </w:rPr>
              <w:t>Total expenditure on health (THE) as % of GDP</w:t>
            </w:r>
          </w:p>
        </w:tc>
        <w:tc>
          <w:tcPr>
            <w:tcW w:w="664"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8.0</w:t>
            </w:r>
          </w:p>
        </w:tc>
        <w:tc>
          <w:tcPr>
            <w:tcW w:w="664"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10.3</w:t>
            </w:r>
          </w:p>
        </w:tc>
        <w:tc>
          <w:tcPr>
            <w:tcW w:w="664"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9.7</w:t>
            </w:r>
          </w:p>
        </w:tc>
        <w:tc>
          <w:tcPr>
            <w:tcW w:w="664"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10.2</w:t>
            </w:r>
          </w:p>
        </w:tc>
        <w:tc>
          <w:tcPr>
            <w:tcW w:w="664"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11.0</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10.2</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11.7</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10.1</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8.6</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6.9</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5.7</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4.9</w:t>
            </w:r>
          </w:p>
        </w:tc>
      </w:tr>
      <w:tr w:rsidR="00EE0183" w:rsidRPr="00EE0183" w:rsidTr="00D84164">
        <w:trPr>
          <w:trHeight w:val="404"/>
        </w:trPr>
        <w:tc>
          <w:tcPr>
            <w:cnfStyle w:val="001000000000" w:firstRow="0" w:lastRow="0" w:firstColumn="1" w:lastColumn="0" w:oddVBand="0" w:evenVBand="0" w:oddHBand="0" w:evenHBand="0" w:firstRowFirstColumn="0" w:firstRowLastColumn="0" w:lastRowFirstColumn="0" w:lastRowLastColumn="0"/>
            <w:tcW w:w="2216" w:type="dxa"/>
            <w:hideMark/>
          </w:tcPr>
          <w:p w:rsidR="00F749B8" w:rsidRPr="00EE0183" w:rsidRDefault="00F749B8" w:rsidP="00624D3B">
            <w:pPr>
              <w:spacing w:line="276" w:lineRule="auto"/>
              <w:jc w:val="left"/>
              <w:rPr>
                <w:rFonts w:cs="Arial"/>
                <w:bCs/>
                <w:sz w:val="20"/>
                <w:szCs w:val="20"/>
              </w:rPr>
            </w:pPr>
            <w:r w:rsidRPr="00EE0183">
              <w:rPr>
                <w:rFonts w:cs="Arial"/>
                <w:bCs/>
                <w:sz w:val="20"/>
                <w:szCs w:val="20"/>
              </w:rPr>
              <w:t>External resources for health as % of THE</w:t>
            </w:r>
          </w:p>
        </w:tc>
        <w:tc>
          <w:tcPr>
            <w:tcW w:w="664"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58.6</w:t>
            </w:r>
          </w:p>
        </w:tc>
        <w:tc>
          <w:tcPr>
            <w:tcW w:w="664"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57.2</w:t>
            </w:r>
          </w:p>
        </w:tc>
        <w:tc>
          <w:tcPr>
            <w:tcW w:w="664"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50.4</w:t>
            </w:r>
          </w:p>
        </w:tc>
        <w:tc>
          <w:tcPr>
            <w:tcW w:w="664"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14.8</w:t>
            </w:r>
          </w:p>
        </w:tc>
        <w:tc>
          <w:tcPr>
            <w:tcW w:w="664"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23.2</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22.8</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25.1</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38.2</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31.3</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47.1</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42.8</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50.8</w:t>
            </w:r>
          </w:p>
        </w:tc>
      </w:tr>
      <w:tr w:rsidR="00EE0183" w:rsidRPr="00EE0183" w:rsidTr="00D84164">
        <w:trPr>
          <w:trHeight w:val="449"/>
        </w:trPr>
        <w:tc>
          <w:tcPr>
            <w:cnfStyle w:val="001000000000" w:firstRow="0" w:lastRow="0" w:firstColumn="1" w:lastColumn="0" w:oddVBand="0" w:evenVBand="0" w:oddHBand="0" w:evenHBand="0" w:firstRowFirstColumn="0" w:firstRowLastColumn="0" w:lastRowFirstColumn="0" w:lastRowLastColumn="0"/>
            <w:tcW w:w="2216" w:type="dxa"/>
            <w:hideMark/>
          </w:tcPr>
          <w:p w:rsidR="00F749B8" w:rsidRPr="00EE0183" w:rsidRDefault="00F749B8" w:rsidP="00624D3B">
            <w:pPr>
              <w:spacing w:line="276" w:lineRule="auto"/>
              <w:jc w:val="left"/>
              <w:rPr>
                <w:rFonts w:cs="Arial"/>
                <w:bCs/>
                <w:sz w:val="20"/>
                <w:szCs w:val="20"/>
              </w:rPr>
            </w:pPr>
            <w:r w:rsidRPr="00EE0183">
              <w:rPr>
                <w:rFonts w:cs="Arial"/>
                <w:bCs/>
                <w:sz w:val="20"/>
                <w:szCs w:val="20"/>
              </w:rPr>
              <w:t>General government expenditure on health as % of THE</w:t>
            </w:r>
          </w:p>
        </w:tc>
        <w:tc>
          <w:tcPr>
            <w:tcW w:w="664"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78.9</w:t>
            </w:r>
          </w:p>
        </w:tc>
        <w:tc>
          <w:tcPr>
            <w:tcW w:w="664"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75.8</w:t>
            </w:r>
          </w:p>
        </w:tc>
        <w:tc>
          <w:tcPr>
            <w:tcW w:w="664"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78.7</w:t>
            </w:r>
          </w:p>
        </w:tc>
        <w:tc>
          <w:tcPr>
            <w:tcW w:w="664"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79.8</w:t>
            </w:r>
          </w:p>
        </w:tc>
        <w:tc>
          <w:tcPr>
            <w:tcW w:w="664"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80.8</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86.0</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88.1</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86.3</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83.6</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78.9</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74.7</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71.5</w:t>
            </w:r>
          </w:p>
        </w:tc>
      </w:tr>
      <w:tr w:rsidR="00EE0183" w:rsidRPr="00EE0183" w:rsidTr="00D84164">
        <w:trPr>
          <w:trHeight w:val="503"/>
        </w:trPr>
        <w:tc>
          <w:tcPr>
            <w:cnfStyle w:val="001000000000" w:firstRow="0" w:lastRow="0" w:firstColumn="1" w:lastColumn="0" w:oddVBand="0" w:evenVBand="0" w:oddHBand="0" w:evenHBand="0" w:firstRowFirstColumn="0" w:firstRowLastColumn="0" w:lastRowFirstColumn="0" w:lastRowLastColumn="0"/>
            <w:tcW w:w="2216" w:type="dxa"/>
            <w:hideMark/>
          </w:tcPr>
          <w:p w:rsidR="00F749B8" w:rsidRPr="00EE0183" w:rsidRDefault="00F749B8" w:rsidP="00624D3B">
            <w:pPr>
              <w:spacing w:line="276" w:lineRule="auto"/>
              <w:jc w:val="left"/>
              <w:rPr>
                <w:rFonts w:cs="Arial"/>
                <w:bCs/>
                <w:sz w:val="20"/>
                <w:szCs w:val="20"/>
              </w:rPr>
            </w:pPr>
            <w:r w:rsidRPr="00EE0183">
              <w:rPr>
                <w:rFonts w:cs="Arial"/>
                <w:bCs/>
                <w:sz w:val="20"/>
                <w:szCs w:val="20"/>
              </w:rPr>
              <w:t>Private expenditure on health as % of THE</w:t>
            </w:r>
          </w:p>
        </w:tc>
        <w:tc>
          <w:tcPr>
            <w:tcW w:w="664"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21.1</w:t>
            </w:r>
          </w:p>
        </w:tc>
        <w:tc>
          <w:tcPr>
            <w:tcW w:w="664"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24.2</w:t>
            </w:r>
          </w:p>
        </w:tc>
        <w:tc>
          <w:tcPr>
            <w:tcW w:w="664"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21.3</w:t>
            </w:r>
          </w:p>
        </w:tc>
        <w:tc>
          <w:tcPr>
            <w:tcW w:w="664"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20.2</w:t>
            </w:r>
          </w:p>
        </w:tc>
        <w:tc>
          <w:tcPr>
            <w:tcW w:w="664"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19.2</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14.0</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11.9</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13.7</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16.4</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21.1</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25.3</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28.5</w:t>
            </w:r>
          </w:p>
        </w:tc>
      </w:tr>
      <w:tr w:rsidR="00EE0183" w:rsidRPr="00EE0183" w:rsidTr="00D84164">
        <w:trPr>
          <w:trHeight w:val="530"/>
        </w:trPr>
        <w:tc>
          <w:tcPr>
            <w:cnfStyle w:val="001000000000" w:firstRow="0" w:lastRow="0" w:firstColumn="1" w:lastColumn="0" w:oddVBand="0" w:evenVBand="0" w:oddHBand="0" w:evenHBand="0" w:firstRowFirstColumn="0" w:firstRowLastColumn="0" w:lastRowFirstColumn="0" w:lastRowLastColumn="0"/>
            <w:tcW w:w="2216" w:type="dxa"/>
            <w:hideMark/>
          </w:tcPr>
          <w:p w:rsidR="00F749B8" w:rsidRPr="00EE0183" w:rsidRDefault="00F749B8" w:rsidP="00624D3B">
            <w:pPr>
              <w:spacing w:line="276" w:lineRule="auto"/>
              <w:jc w:val="left"/>
              <w:rPr>
                <w:rFonts w:cs="Arial"/>
                <w:bCs/>
                <w:sz w:val="20"/>
                <w:szCs w:val="20"/>
              </w:rPr>
            </w:pPr>
            <w:r w:rsidRPr="00EE0183">
              <w:rPr>
                <w:rFonts w:cs="Arial"/>
                <w:bCs/>
                <w:sz w:val="20"/>
                <w:szCs w:val="20"/>
              </w:rPr>
              <w:t>Per capita THE at average exchange rate (US$)</w:t>
            </w:r>
          </w:p>
        </w:tc>
        <w:tc>
          <w:tcPr>
            <w:tcW w:w="664"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30</w:t>
            </w:r>
          </w:p>
        </w:tc>
        <w:tc>
          <w:tcPr>
            <w:tcW w:w="664"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34</w:t>
            </w:r>
          </w:p>
        </w:tc>
        <w:tc>
          <w:tcPr>
            <w:tcW w:w="664"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31</w:t>
            </w:r>
          </w:p>
        </w:tc>
        <w:tc>
          <w:tcPr>
            <w:tcW w:w="664"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33</w:t>
            </w:r>
          </w:p>
        </w:tc>
        <w:tc>
          <w:tcPr>
            <w:tcW w:w="664"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35</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46</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50</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50</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53</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49</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45</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46</w:t>
            </w:r>
          </w:p>
        </w:tc>
      </w:tr>
      <w:tr w:rsidR="00EE0183" w:rsidRPr="00EE0183" w:rsidTr="00D84164">
        <w:trPr>
          <w:trHeight w:val="548"/>
        </w:trPr>
        <w:tc>
          <w:tcPr>
            <w:cnfStyle w:val="001000000000" w:firstRow="0" w:lastRow="0" w:firstColumn="1" w:lastColumn="0" w:oddVBand="0" w:evenVBand="0" w:oddHBand="0" w:evenHBand="0" w:firstRowFirstColumn="0" w:firstRowLastColumn="0" w:lastRowFirstColumn="0" w:lastRowLastColumn="0"/>
            <w:tcW w:w="2216" w:type="dxa"/>
            <w:hideMark/>
          </w:tcPr>
          <w:p w:rsidR="00F749B8" w:rsidRPr="00EE0183" w:rsidRDefault="00F749B8" w:rsidP="00624D3B">
            <w:pPr>
              <w:spacing w:line="276" w:lineRule="auto"/>
              <w:jc w:val="left"/>
              <w:rPr>
                <w:rFonts w:cs="Arial"/>
                <w:bCs/>
                <w:sz w:val="20"/>
                <w:szCs w:val="20"/>
              </w:rPr>
            </w:pPr>
            <w:r w:rsidRPr="00EE0183">
              <w:rPr>
                <w:rFonts w:cs="Arial"/>
                <w:bCs/>
                <w:sz w:val="20"/>
                <w:szCs w:val="20"/>
              </w:rPr>
              <w:t>Per capita GHE at average exchange rate (US$)</w:t>
            </w:r>
          </w:p>
        </w:tc>
        <w:tc>
          <w:tcPr>
            <w:tcW w:w="664"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24</w:t>
            </w:r>
          </w:p>
        </w:tc>
        <w:tc>
          <w:tcPr>
            <w:tcW w:w="664"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26</w:t>
            </w:r>
          </w:p>
        </w:tc>
        <w:tc>
          <w:tcPr>
            <w:tcW w:w="664"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24</w:t>
            </w:r>
          </w:p>
        </w:tc>
        <w:tc>
          <w:tcPr>
            <w:tcW w:w="664"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26</w:t>
            </w:r>
          </w:p>
        </w:tc>
        <w:tc>
          <w:tcPr>
            <w:tcW w:w="664"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28</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39</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44</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43</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44</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39</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33</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33</w:t>
            </w:r>
          </w:p>
        </w:tc>
      </w:tr>
      <w:tr w:rsidR="00EE0183" w:rsidRPr="00EE0183" w:rsidTr="00D84164">
        <w:trPr>
          <w:trHeight w:val="794"/>
        </w:trPr>
        <w:tc>
          <w:tcPr>
            <w:cnfStyle w:val="001000000000" w:firstRow="0" w:lastRow="0" w:firstColumn="1" w:lastColumn="0" w:oddVBand="0" w:evenVBand="0" w:oddHBand="0" w:evenHBand="0" w:firstRowFirstColumn="0" w:firstRowLastColumn="0" w:lastRowFirstColumn="0" w:lastRowLastColumn="0"/>
            <w:tcW w:w="2216" w:type="dxa"/>
            <w:hideMark/>
          </w:tcPr>
          <w:p w:rsidR="00F749B8" w:rsidRPr="00EE0183" w:rsidRDefault="00F749B8" w:rsidP="00624D3B">
            <w:pPr>
              <w:spacing w:line="276" w:lineRule="auto"/>
              <w:jc w:val="left"/>
              <w:rPr>
                <w:rFonts w:cs="Arial"/>
                <w:b/>
                <w:bCs/>
                <w:i/>
                <w:sz w:val="20"/>
                <w:szCs w:val="20"/>
              </w:rPr>
            </w:pPr>
            <w:r w:rsidRPr="00EE0183">
              <w:rPr>
                <w:rFonts w:cs="Arial"/>
                <w:bCs/>
                <w:sz w:val="20"/>
                <w:szCs w:val="20"/>
              </w:rPr>
              <w:t>Per capita GHE, constant (2013) US$</w:t>
            </w:r>
            <w:r w:rsidRPr="00EE0183">
              <w:rPr>
                <w:rFonts w:cs="Arial"/>
                <w:b/>
                <w:bCs/>
                <w:i/>
                <w:sz w:val="20"/>
                <w:szCs w:val="20"/>
              </w:rPr>
              <w:t xml:space="preserve"> ppp 2000=$65, 2010=$63 (WHO)</w:t>
            </w:r>
          </w:p>
        </w:tc>
        <w:tc>
          <w:tcPr>
            <w:tcW w:w="664"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9B4A50">
              <w:rPr>
                <w:rFonts w:cs="Arial"/>
                <w:b/>
                <w:sz w:val="18"/>
                <w:szCs w:val="18"/>
              </w:rPr>
              <w:t>33</w:t>
            </w:r>
          </w:p>
        </w:tc>
        <w:tc>
          <w:tcPr>
            <w:tcW w:w="664"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34</w:t>
            </w:r>
          </w:p>
        </w:tc>
        <w:tc>
          <w:tcPr>
            <w:tcW w:w="664"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31</w:t>
            </w:r>
          </w:p>
        </w:tc>
        <w:tc>
          <w:tcPr>
            <w:tcW w:w="664"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33</w:t>
            </w:r>
          </w:p>
        </w:tc>
        <w:tc>
          <w:tcPr>
            <w:tcW w:w="664"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35</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47</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51</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48</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46</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42</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35</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9B4A50">
              <w:rPr>
                <w:rFonts w:cs="Arial"/>
                <w:sz w:val="18"/>
                <w:szCs w:val="18"/>
              </w:rPr>
              <w:t>34</w:t>
            </w:r>
          </w:p>
        </w:tc>
      </w:tr>
      <w:tr w:rsidR="00EE0183" w:rsidRPr="00EE0183" w:rsidTr="00D84164">
        <w:trPr>
          <w:trHeight w:val="794"/>
        </w:trPr>
        <w:tc>
          <w:tcPr>
            <w:cnfStyle w:val="001000000000" w:firstRow="0" w:lastRow="0" w:firstColumn="1" w:lastColumn="0" w:oddVBand="0" w:evenVBand="0" w:oddHBand="0" w:evenHBand="0" w:firstRowFirstColumn="0" w:firstRowLastColumn="0" w:lastRowFirstColumn="0" w:lastRowLastColumn="0"/>
            <w:tcW w:w="2216" w:type="dxa"/>
            <w:hideMark/>
          </w:tcPr>
          <w:p w:rsidR="00F749B8" w:rsidRPr="00EE0183" w:rsidRDefault="00F749B8" w:rsidP="00624D3B">
            <w:pPr>
              <w:spacing w:line="276" w:lineRule="auto"/>
              <w:jc w:val="left"/>
              <w:rPr>
                <w:rFonts w:cs="Arial"/>
                <w:bCs/>
                <w:i/>
                <w:sz w:val="20"/>
                <w:szCs w:val="20"/>
              </w:rPr>
            </w:pPr>
            <w:r w:rsidRPr="00EE0183">
              <w:rPr>
                <w:rFonts w:cs="Arial"/>
                <w:bCs/>
                <w:i/>
                <w:sz w:val="20"/>
                <w:szCs w:val="20"/>
              </w:rPr>
              <w:t xml:space="preserve">Government expenditure on health as % of total government expenditure </w:t>
            </w:r>
          </w:p>
        </w:tc>
        <w:tc>
          <w:tcPr>
            <w:tcW w:w="664"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i/>
                <w:sz w:val="18"/>
                <w:szCs w:val="18"/>
              </w:rPr>
            </w:pPr>
            <w:r w:rsidRPr="009B4A50">
              <w:rPr>
                <w:rFonts w:cs="Arial"/>
                <w:i/>
                <w:sz w:val="18"/>
                <w:szCs w:val="18"/>
              </w:rPr>
              <w:t>12.7</w:t>
            </w:r>
          </w:p>
        </w:tc>
        <w:tc>
          <w:tcPr>
            <w:tcW w:w="664"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i/>
                <w:sz w:val="18"/>
                <w:szCs w:val="18"/>
              </w:rPr>
            </w:pPr>
            <w:r w:rsidRPr="009B4A50">
              <w:rPr>
                <w:rFonts w:cs="Arial"/>
                <w:i/>
                <w:sz w:val="18"/>
                <w:szCs w:val="18"/>
              </w:rPr>
              <w:t>42.4</w:t>
            </w:r>
          </w:p>
        </w:tc>
        <w:tc>
          <w:tcPr>
            <w:tcW w:w="664"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i/>
                <w:sz w:val="18"/>
                <w:szCs w:val="18"/>
              </w:rPr>
            </w:pPr>
            <w:r w:rsidRPr="009B4A50">
              <w:rPr>
                <w:rFonts w:cs="Arial"/>
                <w:i/>
                <w:sz w:val="18"/>
                <w:szCs w:val="18"/>
              </w:rPr>
              <w:t>41.2</w:t>
            </w:r>
          </w:p>
        </w:tc>
        <w:tc>
          <w:tcPr>
            <w:tcW w:w="664"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i/>
                <w:sz w:val="18"/>
                <w:szCs w:val="18"/>
              </w:rPr>
            </w:pPr>
            <w:r w:rsidRPr="009B4A50">
              <w:rPr>
                <w:rFonts w:cs="Arial"/>
                <w:i/>
                <w:sz w:val="18"/>
                <w:szCs w:val="18"/>
              </w:rPr>
              <w:t>35.5</w:t>
            </w:r>
          </w:p>
        </w:tc>
        <w:tc>
          <w:tcPr>
            <w:tcW w:w="664"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i/>
                <w:sz w:val="18"/>
                <w:szCs w:val="18"/>
              </w:rPr>
            </w:pPr>
            <w:r w:rsidRPr="009B4A50">
              <w:rPr>
                <w:rFonts w:cs="Arial"/>
                <w:i/>
                <w:sz w:val="18"/>
                <w:szCs w:val="18"/>
              </w:rPr>
              <w:t>35.5</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i/>
                <w:sz w:val="18"/>
                <w:szCs w:val="18"/>
              </w:rPr>
            </w:pPr>
            <w:r w:rsidRPr="009B4A50">
              <w:rPr>
                <w:rFonts w:cs="Arial"/>
                <w:i/>
                <w:sz w:val="18"/>
                <w:szCs w:val="18"/>
              </w:rPr>
              <w:t>38.3</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i/>
                <w:sz w:val="18"/>
                <w:szCs w:val="18"/>
              </w:rPr>
            </w:pPr>
            <w:r w:rsidRPr="009B4A50">
              <w:rPr>
                <w:rFonts w:cs="Arial"/>
                <w:i/>
                <w:sz w:val="18"/>
                <w:szCs w:val="18"/>
              </w:rPr>
              <w:t>23.5</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i/>
                <w:sz w:val="18"/>
                <w:szCs w:val="18"/>
              </w:rPr>
            </w:pPr>
            <w:r w:rsidRPr="009B4A50">
              <w:rPr>
                <w:rFonts w:cs="Arial"/>
                <w:i/>
                <w:sz w:val="18"/>
                <w:szCs w:val="18"/>
              </w:rPr>
              <w:t>19.3</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i/>
                <w:sz w:val="18"/>
                <w:szCs w:val="18"/>
              </w:rPr>
            </w:pPr>
            <w:r w:rsidRPr="009B4A50">
              <w:rPr>
                <w:rFonts w:cs="Arial"/>
                <w:i/>
                <w:sz w:val="18"/>
                <w:szCs w:val="18"/>
              </w:rPr>
              <w:t>9.9</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i/>
                <w:sz w:val="18"/>
                <w:szCs w:val="18"/>
              </w:rPr>
            </w:pPr>
            <w:r w:rsidRPr="009B4A50">
              <w:rPr>
                <w:rFonts w:cs="Arial"/>
                <w:i/>
                <w:sz w:val="18"/>
                <w:szCs w:val="18"/>
              </w:rPr>
              <w:t>7.1</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i/>
                <w:sz w:val="18"/>
                <w:szCs w:val="18"/>
              </w:rPr>
            </w:pPr>
            <w:r w:rsidRPr="009B4A50">
              <w:rPr>
                <w:rFonts w:cs="Arial"/>
                <w:i/>
                <w:sz w:val="18"/>
                <w:szCs w:val="18"/>
              </w:rPr>
              <w:t>5.0</w:t>
            </w:r>
          </w:p>
        </w:tc>
        <w:tc>
          <w:tcPr>
            <w:tcW w:w="663" w:type="dxa"/>
            <w:noWrap/>
            <w:hideMark/>
          </w:tcPr>
          <w:p w:rsidR="00F749B8" w:rsidRPr="009B4A50" w:rsidRDefault="00F749B8"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i/>
                <w:sz w:val="18"/>
                <w:szCs w:val="18"/>
              </w:rPr>
            </w:pPr>
            <w:r w:rsidRPr="009B4A50">
              <w:rPr>
                <w:rFonts w:cs="Arial"/>
                <w:i/>
                <w:sz w:val="18"/>
                <w:szCs w:val="18"/>
              </w:rPr>
              <w:t>2.9</w:t>
            </w:r>
          </w:p>
        </w:tc>
      </w:tr>
    </w:tbl>
    <w:p w:rsidR="00F749B8" w:rsidRDefault="00F749B8" w:rsidP="00624D3B">
      <w:pPr>
        <w:spacing w:line="276" w:lineRule="auto"/>
      </w:pPr>
    </w:p>
    <w:p w:rsidR="005009B0" w:rsidRDefault="005009B0" w:rsidP="00624D3B">
      <w:pPr>
        <w:spacing w:line="276" w:lineRule="auto"/>
      </w:pPr>
      <w:r w:rsidRPr="00FA66BC">
        <w:rPr>
          <w:rFonts w:cs="Arial"/>
        </w:rPr>
        <w:t xml:space="preserve">The spike in Total Health Expenditures (THE) as </w:t>
      </w:r>
      <w:r w:rsidR="00A97B2D">
        <w:rPr>
          <w:rFonts w:cs="Arial"/>
        </w:rPr>
        <w:t>per</w:t>
      </w:r>
      <w:r w:rsidR="003376D3">
        <w:rPr>
          <w:rFonts w:cs="Arial"/>
        </w:rPr>
        <w:t xml:space="preserve"> </w:t>
      </w:r>
      <w:r w:rsidR="00A97B2D">
        <w:rPr>
          <w:rFonts w:cs="Arial"/>
        </w:rPr>
        <w:t xml:space="preserve">cent </w:t>
      </w:r>
      <w:r w:rsidRPr="00FA66BC">
        <w:rPr>
          <w:rFonts w:cs="Arial"/>
        </w:rPr>
        <w:t>of GDP</w:t>
      </w:r>
      <w:r w:rsidR="00A97B2D">
        <w:rPr>
          <w:rFonts w:cs="Arial"/>
        </w:rPr>
        <w:t xml:space="preserve"> (</w:t>
      </w:r>
      <w:r w:rsidRPr="00FA66BC">
        <w:rPr>
          <w:rFonts w:cs="Arial"/>
        </w:rPr>
        <w:t>to 16.4% in</w:t>
      </w:r>
      <w:r w:rsidR="00746555">
        <w:rPr>
          <w:rFonts w:cs="Arial"/>
        </w:rPr>
        <w:t xml:space="preserve"> 2006</w:t>
      </w:r>
      <w:r w:rsidR="00A97B2D">
        <w:rPr>
          <w:rFonts w:cs="Arial"/>
        </w:rPr>
        <w:t>)</w:t>
      </w:r>
      <w:r w:rsidR="00746555">
        <w:rPr>
          <w:rFonts w:cs="Arial"/>
        </w:rPr>
        <w:t xml:space="preserve"> that was seen previously</w:t>
      </w:r>
      <w:r w:rsidRPr="00FA66BC">
        <w:rPr>
          <w:rFonts w:cs="Arial"/>
        </w:rPr>
        <w:t xml:space="preserve"> has </w:t>
      </w:r>
      <w:r w:rsidR="00A97B2D">
        <w:rPr>
          <w:rFonts w:cs="Arial"/>
        </w:rPr>
        <w:t>vanished</w:t>
      </w:r>
      <w:r w:rsidRPr="00FA66BC">
        <w:rPr>
          <w:rFonts w:cs="Arial"/>
        </w:rPr>
        <w:t>,</w:t>
      </w:r>
      <w:r w:rsidR="00302642">
        <w:rPr>
          <w:rFonts w:cs="Arial"/>
        </w:rPr>
        <w:t xml:space="preserve"> and this indicator shows a sharply decreasing trend that is due in part to rapidly rising GDP. T</w:t>
      </w:r>
      <w:r w:rsidRPr="00FA66BC">
        <w:rPr>
          <w:rFonts w:cs="Arial"/>
        </w:rPr>
        <w:t xml:space="preserve">he rising trend in </w:t>
      </w:r>
      <w:r w:rsidR="00302642">
        <w:rPr>
          <w:rFonts w:cs="Arial"/>
        </w:rPr>
        <w:t xml:space="preserve">(absolute) </w:t>
      </w:r>
      <w:r w:rsidRPr="00FA66BC">
        <w:rPr>
          <w:rFonts w:cs="Arial"/>
        </w:rPr>
        <w:t xml:space="preserve">GHE appears to be reversed, both in absolute per capita terms and as a proportion of total health expenditures. The lower per capita GHE, rather than any large increases in private spending, probably accounts for the increased proportion of private expenditures from 2009. New rows have been added </w:t>
      </w:r>
      <w:r w:rsidR="00A97B2D">
        <w:rPr>
          <w:rFonts w:cs="Arial"/>
        </w:rPr>
        <w:t xml:space="preserve">to this table </w:t>
      </w:r>
      <w:r w:rsidRPr="00FA66BC">
        <w:rPr>
          <w:rFonts w:cs="Arial"/>
        </w:rPr>
        <w:t>showing per capita expenditure in constant (2013) prices, and GHE as a percentage of total government expenditure. The sharp decrease in this latter indicator from 2008 to 2011 due to a rapid rise in total government spending has apparently been slowed or reversed recently, especially as seen in the 2014 budget</w:t>
      </w:r>
      <w:r w:rsidR="00A93919">
        <w:rPr>
          <w:rStyle w:val="FootnoteReference"/>
          <w:rFonts w:cs="Arial"/>
        </w:rPr>
        <w:footnoteReference w:id="55"/>
      </w:r>
      <w:r w:rsidRPr="00FA66BC">
        <w:rPr>
          <w:rFonts w:cs="Arial"/>
        </w:rPr>
        <w:t>. However, GHE per capita in both nominal and constant dollars have declined sharply since 2008 until turning up in 2012 (not shown). Purchasing Power Parity (PPP) adjusted health spending i</w:t>
      </w:r>
      <w:r w:rsidR="00670490">
        <w:rPr>
          <w:rFonts w:cs="Arial"/>
        </w:rPr>
        <w:t>s</w:t>
      </w:r>
      <w:r w:rsidRPr="00FA66BC">
        <w:rPr>
          <w:rFonts w:cs="Arial"/>
        </w:rPr>
        <w:t xml:space="preserve"> </w:t>
      </w:r>
      <w:r w:rsidR="00670490">
        <w:rPr>
          <w:rFonts w:cs="Arial"/>
        </w:rPr>
        <w:t xml:space="preserve">available from WHO for </w:t>
      </w:r>
      <w:r w:rsidRPr="00FA66BC">
        <w:rPr>
          <w:rFonts w:cs="Arial"/>
        </w:rPr>
        <w:t>only two years</w:t>
      </w:r>
      <w:r w:rsidR="00670490">
        <w:rPr>
          <w:rFonts w:cs="Arial"/>
        </w:rPr>
        <w:t xml:space="preserve"> and shows a </w:t>
      </w:r>
      <w:r w:rsidRPr="00FA66BC">
        <w:rPr>
          <w:rFonts w:cs="Arial"/>
        </w:rPr>
        <w:t xml:space="preserve">surprising decrease </w:t>
      </w:r>
      <w:r w:rsidR="00670490">
        <w:rPr>
          <w:rFonts w:cs="Arial"/>
        </w:rPr>
        <w:t>from</w:t>
      </w:r>
      <w:r w:rsidRPr="00FA66BC">
        <w:rPr>
          <w:rFonts w:cs="Arial"/>
        </w:rPr>
        <w:t xml:space="preserve"> 2000 </w:t>
      </w:r>
      <w:r w:rsidR="00670490">
        <w:rPr>
          <w:rFonts w:cs="Arial"/>
        </w:rPr>
        <w:t>to</w:t>
      </w:r>
      <w:r w:rsidRPr="00FA66BC">
        <w:rPr>
          <w:rFonts w:cs="Arial"/>
        </w:rPr>
        <w:t xml:space="preserve"> 2010.  </w:t>
      </w:r>
      <w:r w:rsidR="00FB2796" w:rsidRPr="00FB2796">
        <w:rPr>
          <w:rFonts w:cs="Arial"/>
        </w:rPr>
        <w:t xml:space="preserve">Table 8 shows the sharp increase in MoH budget from $46.5 million in 2012 ($42 per capita) to </w:t>
      </w:r>
      <w:r w:rsidR="00FB2796">
        <w:rPr>
          <w:rFonts w:cs="Arial"/>
        </w:rPr>
        <w:t>$61.5 million in 2013</w:t>
      </w:r>
      <w:r w:rsidR="00FB2796" w:rsidRPr="00FB2796">
        <w:rPr>
          <w:rFonts w:cs="Arial"/>
        </w:rPr>
        <w:t xml:space="preserve"> ($55 per capita), and further projected increases through 2016 that are slightly greater than population growth</w:t>
      </w:r>
      <w:r w:rsidRPr="00FA66BC">
        <w:rPr>
          <w:rFonts w:cs="Arial"/>
        </w:rPr>
        <w:t>.</w:t>
      </w:r>
      <w:r w:rsidR="00F94198">
        <w:rPr>
          <w:rFonts w:cs="Arial"/>
        </w:rPr>
        <w:t xml:space="preserve"> </w:t>
      </w:r>
    </w:p>
    <w:p w:rsidR="00F749B8" w:rsidRDefault="00F749B8" w:rsidP="00624D3B">
      <w:pPr>
        <w:pStyle w:val="HRFHeading2Numbered"/>
      </w:pPr>
      <w:bookmarkStart w:id="35" w:name="_Toc373502494"/>
      <w:r>
        <w:t>Functional health budget allocation</w:t>
      </w:r>
      <w:bookmarkEnd w:id="35"/>
    </w:p>
    <w:p w:rsidR="00F749B8" w:rsidRDefault="00F749B8" w:rsidP="00624D3B">
      <w:pPr>
        <w:spacing w:line="276" w:lineRule="auto"/>
      </w:pPr>
      <w:r>
        <w:t>Another health budget analysis</w:t>
      </w:r>
      <w:r w:rsidR="00CD227A">
        <w:rPr>
          <w:rStyle w:val="FootnoteReference"/>
        </w:rPr>
        <w:footnoteReference w:id="56"/>
      </w:r>
      <w:r w:rsidR="00CD227A">
        <w:t xml:space="preserve"> </w:t>
      </w:r>
      <w:r>
        <w:t xml:space="preserve">showed that the 2013 government budget was allocated almost equally among central MoH administration, </w:t>
      </w:r>
      <w:r w:rsidR="00497BA3">
        <w:t>h</w:t>
      </w:r>
      <w:r>
        <w:t xml:space="preserve">ospitals (29.5%) and </w:t>
      </w:r>
      <w:r w:rsidR="00497BA3">
        <w:t>d</w:t>
      </w:r>
      <w:r>
        <w:t xml:space="preserve">istrict </w:t>
      </w:r>
      <w:r w:rsidR="00497BA3">
        <w:t>h</w:t>
      </w:r>
      <w:r>
        <w:t xml:space="preserve">ealth </w:t>
      </w:r>
      <w:r w:rsidR="00497BA3">
        <w:t>s</w:t>
      </w:r>
      <w:r>
        <w:t xml:space="preserve">ervices (32.2%). The share going to the latter increased from 21.1% in 2012 to 32.2% in 2013, as seen in </w:t>
      </w:r>
      <w:r w:rsidR="00223373">
        <w:t>Table 7</w:t>
      </w:r>
      <w:r>
        <w:t xml:space="preserve">, but this almost certainly reflects an artefact from accounting changes. The latest Budget Book indicates a total 2014 MoH budget of </w:t>
      </w:r>
      <w:r w:rsidR="009322F3">
        <w:t>US</w:t>
      </w:r>
      <w:r>
        <w:t>$67.22 million (</w:t>
      </w:r>
      <w:r w:rsidR="009322F3">
        <w:t>US</w:t>
      </w:r>
      <w:r>
        <w:t xml:space="preserve">$61 per capita) and total district health services recurrent budget of </w:t>
      </w:r>
      <w:r w:rsidR="009322F3">
        <w:t>US</w:t>
      </w:r>
      <w:r>
        <w:t>$15.86 million, or 23.5% of the total.  The 2014 referral hospital budget (</w:t>
      </w:r>
      <w:r w:rsidR="00497BA3">
        <w:t>for five</w:t>
      </w:r>
      <w:r>
        <w:t xml:space="preserve"> hospitals) totals </w:t>
      </w:r>
      <w:r w:rsidR="009322F3">
        <w:t>US</w:t>
      </w:r>
      <w:r>
        <w:t>$10.26 million, or 15.2% of GHE.</w:t>
      </w:r>
    </w:p>
    <w:p w:rsidR="006228BE" w:rsidRPr="006228BE" w:rsidRDefault="00F749B8" w:rsidP="006228BE">
      <w:pPr>
        <w:spacing w:line="276" w:lineRule="auto"/>
      </w:pPr>
      <w:r>
        <w:t>Only 38.7% of the Timor-Leste government health budget is spent at sub-national level</w:t>
      </w:r>
      <w:r w:rsidRPr="003C119D">
        <w:t xml:space="preserve"> </w:t>
      </w:r>
      <w:r>
        <w:t>(</w:t>
      </w:r>
      <w:r w:rsidR="00497BA3">
        <w:t>d</w:t>
      </w:r>
      <w:r>
        <w:t xml:space="preserve">istrict </w:t>
      </w:r>
      <w:r w:rsidR="00497BA3">
        <w:t>h</w:t>
      </w:r>
      <w:r>
        <w:t xml:space="preserve">ealth </w:t>
      </w:r>
      <w:r w:rsidR="00497BA3">
        <w:t>s</w:t>
      </w:r>
      <w:r>
        <w:t xml:space="preserve">ervices and </w:t>
      </w:r>
      <w:r w:rsidR="00497BA3">
        <w:t>r</w:t>
      </w:r>
      <w:r>
        <w:t xml:space="preserve">eferral </w:t>
      </w:r>
      <w:r w:rsidR="00497BA3">
        <w:t>h</w:t>
      </w:r>
      <w:r>
        <w:t>ospitals). This reflects diseconomies of scale in a small country making overhead costs relatively high. In comparison</w:t>
      </w:r>
      <w:r w:rsidR="00497BA3">
        <w:t>,</w:t>
      </w:r>
      <w:r>
        <w:t xml:space="preserve"> Lao </w:t>
      </w:r>
      <w:r w:rsidR="004E5949" w:rsidRPr="004E5949">
        <w:t>People's Democratic Republic</w:t>
      </w:r>
      <w:r>
        <w:t xml:space="preserve"> (population 6.6 million) spent around 65% of GHE at sub-national level in recent years</w:t>
      </w:r>
      <w:r w:rsidR="00CD227A">
        <w:rPr>
          <w:rStyle w:val="FootnoteReference"/>
        </w:rPr>
        <w:footnoteReference w:id="57"/>
      </w:r>
      <w:r>
        <w:t xml:space="preserve">. </w:t>
      </w:r>
      <w:r w:rsidR="001129A4">
        <w:t>However d</w:t>
      </w:r>
      <w:r w:rsidR="00F94198">
        <w:t xml:space="preserve">iseconomies of scale are </w:t>
      </w:r>
      <w:r w:rsidR="00BD2D40">
        <w:t>less apparent</w:t>
      </w:r>
      <w:r w:rsidR="00F94198">
        <w:t xml:space="preserve"> in Timor-Leste than elsewhere - a recent study found that 11 </w:t>
      </w:r>
      <w:r w:rsidR="00497BA3">
        <w:t>s</w:t>
      </w:r>
      <w:r w:rsidR="00F94198">
        <w:t xml:space="preserve">mall </w:t>
      </w:r>
      <w:r w:rsidR="00497BA3">
        <w:t>i</w:t>
      </w:r>
      <w:r w:rsidR="00F94198">
        <w:t xml:space="preserve">sland </w:t>
      </w:r>
      <w:r w:rsidR="00497BA3">
        <w:t>s</w:t>
      </w:r>
      <w:r w:rsidR="00F94198">
        <w:t xml:space="preserve">tates in the Asia-Pacific region </w:t>
      </w:r>
      <w:r w:rsidR="00DB6FB9">
        <w:t xml:space="preserve">having the same </w:t>
      </w:r>
      <w:r w:rsidR="00BD2D40">
        <w:t xml:space="preserve">average </w:t>
      </w:r>
      <w:r w:rsidR="00DB6FB9">
        <w:t xml:space="preserve">level of GDP per capita, </w:t>
      </w:r>
      <w:r w:rsidR="00F94198">
        <w:t xml:space="preserve">spend </w:t>
      </w:r>
      <w:r w:rsidR="00BD2D40">
        <w:t xml:space="preserve">an average of </w:t>
      </w:r>
      <w:r w:rsidR="00F94198">
        <w:t xml:space="preserve">ten times as much </w:t>
      </w:r>
      <w:r w:rsidR="00BD2D40">
        <w:t xml:space="preserve">per capita </w:t>
      </w:r>
      <w:r w:rsidR="001129A4">
        <w:t>on health</w:t>
      </w:r>
      <w:r w:rsidR="00F94198">
        <w:t>.</w:t>
      </w:r>
      <w:r w:rsidR="00F94198">
        <w:rPr>
          <w:rStyle w:val="FootnoteReference"/>
        </w:rPr>
        <w:footnoteReference w:id="58"/>
      </w:r>
    </w:p>
    <w:p w:rsidR="00F749B8" w:rsidRDefault="00F749B8" w:rsidP="00624D3B">
      <w:pPr>
        <w:spacing w:line="276" w:lineRule="auto"/>
        <w:rPr>
          <w:bCs/>
        </w:rPr>
      </w:pPr>
      <w:r w:rsidRPr="00A14BC7">
        <w:rPr>
          <w:bCs/>
        </w:rPr>
        <w:t>At district</w:t>
      </w:r>
      <w:r w:rsidR="00670490">
        <w:rPr>
          <w:bCs/>
        </w:rPr>
        <w:t xml:space="preserve"> </w:t>
      </w:r>
      <w:r w:rsidRPr="00A14BC7">
        <w:rPr>
          <w:bCs/>
        </w:rPr>
        <w:t>level</w:t>
      </w:r>
      <w:r w:rsidR="00670490">
        <w:rPr>
          <w:bCs/>
        </w:rPr>
        <w:t>,</w:t>
      </w:r>
      <w:r w:rsidRPr="00A14BC7">
        <w:rPr>
          <w:bCs/>
        </w:rPr>
        <w:t xml:space="preserve"> </w:t>
      </w:r>
      <w:r w:rsidR="00670490">
        <w:rPr>
          <w:bCs/>
        </w:rPr>
        <w:t xml:space="preserve">Table </w:t>
      </w:r>
      <w:r w:rsidR="00223373">
        <w:rPr>
          <w:bCs/>
        </w:rPr>
        <w:t>9</w:t>
      </w:r>
      <w:r w:rsidR="00670490">
        <w:rPr>
          <w:bCs/>
        </w:rPr>
        <w:t xml:space="preserve"> shows that </w:t>
      </w:r>
      <w:r w:rsidR="003D323E">
        <w:rPr>
          <w:bCs/>
        </w:rPr>
        <w:t>since 2012, over half of all MoH wages and salaries</w:t>
      </w:r>
      <w:r w:rsidR="00B17894">
        <w:rPr>
          <w:bCs/>
        </w:rPr>
        <w:t xml:space="preserve"> are for district health services.</w:t>
      </w:r>
      <w:r w:rsidR="003D323E">
        <w:rPr>
          <w:bCs/>
        </w:rPr>
        <w:t xml:space="preserve"> </w:t>
      </w:r>
      <w:r w:rsidR="00B17894">
        <w:rPr>
          <w:bCs/>
        </w:rPr>
        <w:t xml:space="preserve">An MoH expenditure review found that </w:t>
      </w:r>
      <w:r>
        <w:rPr>
          <w:bCs/>
        </w:rPr>
        <w:t>s</w:t>
      </w:r>
      <w:r w:rsidRPr="00A14BC7">
        <w:rPr>
          <w:bCs/>
        </w:rPr>
        <w:t>alaries comprised 37.8% of total district health spending</w:t>
      </w:r>
      <w:r>
        <w:rPr>
          <w:bCs/>
        </w:rPr>
        <w:t xml:space="preserve"> in 2010</w:t>
      </w:r>
      <w:r w:rsidRPr="00A14BC7">
        <w:rPr>
          <w:bCs/>
        </w:rPr>
        <w:t xml:space="preserve">, goods and services including drugs </w:t>
      </w:r>
      <w:r w:rsidR="00497BA3">
        <w:rPr>
          <w:bCs/>
        </w:rPr>
        <w:t xml:space="preserve">comprised </w:t>
      </w:r>
      <w:r w:rsidRPr="00A14BC7">
        <w:rPr>
          <w:bCs/>
        </w:rPr>
        <w:t xml:space="preserve">28.1%, and capital and development </w:t>
      </w:r>
      <w:r w:rsidR="00497BA3">
        <w:rPr>
          <w:bCs/>
        </w:rPr>
        <w:t xml:space="preserve">comprised </w:t>
      </w:r>
      <w:r w:rsidRPr="00A14BC7">
        <w:rPr>
          <w:bCs/>
        </w:rPr>
        <w:t xml:space="preserve">34.1%. The medicines and supplies budget at district level accounted for 9.1% of the total, and at </w:t>
      </w:r>
      <w:r w:rsidR="009322F3">
        <w:rPr>
          <w:bCs/>
        </w:rPr>
        <w:t>US</w:t>
      </w:r>
      <w:r w:rsidRPr="00A14BC7">
        <w:rPr>
          <w:bCs/>
        </w:rPr>
        <w:t xml:space="preserve">$1.2 million or </w:t>
      </w:r>
      <w:r w:rsidR="009322F3">
        <w:rPr>
          <w:bCs/>
        </w:rPr>
        <w:t>US</w:t>
      </w:r>
      <w:r w:rsidRPr="00A14BC7">
        <w:rPr>
          <w:bCs/>
        </w:rPr>
        <w:t xml:space="preserve">$1 per capita is about </w:t>
      </w:r>
      <w:r w:rsidR="00497BA3">
        <w:rPr>
          <w:bCs/>
        </w:rPr>
        <w:t xml:space="preserve">a quarter  </w:t>
      </w:r>
      <w:r w:rsidRPr="00A14BC7">
        <w:rPr>
          <w:bCs/>
        </w:rPr>
        <w:t>of the national budget for drugs</w:t>
      </w:r>
      <w:r w:rsidR="00CD227A">
        <w:rPr>
          <w:rStyle w:val="FootnoteReference"/>
          <w:bCs/>
        </w:rPr>
        <w:footnoteReference w:id="59"/>
      </w:r>
      <w:r w:rsidR="00CD227A">
        <w:rPr>
          <w:bCs/>
        </w:rPr>
        <w:t>.</w:t>
      </w:r>
    </w:p>
    <w:p w:rsidR="006946F8" w:rsidRDefault="006946F8">
      <w:pPr>
        <w:spacing w:after="0"/>
        <w:jc w:val="left"/>
        <w:rPr>
          <w:b/>
          <w:bCs/>
          <w:sz w:val="20"/>
          <w:szCs w:val="16"/>
        </w:rPr>
      </w:pPr>
      <w:bookmarkStart w:id="36" w:name="_Toc373501350"/>
      <w:r>
        <w:br w:type="page"/>
      </w:r>
    </w:p>
    <w:p w:rsidR="00F749B8" w:rsidRPr="00F749B8" w:rsidRDefault="00CC68E7" w:rsidP="00CC68E7">
      <w:pPr>
        <w:pStyle w:val="Caption"/>
        <w:rPr>
          <w:szCs w:val="20"/>
        </w:rPr>
      </w:pPr>
      <w:r>
        <w:t xml:space="preserve">Table </w:t>
      </w:r>
      <w:r w:rsidR="00AD246F">
        <w:t>7</w:t>
      </w:r>
      <w:r>
        <w:t xml:space="preserve">: </w:t>
      </w:r>
      <w:r w:rsidRPr="00642617">
        <w:t>MoH Budget allocations by administrative level</w:t>
      </w:r>
      <w:r w:rsidR="00CD227A">
        <w:rPr>
          <w:rStyle w:val="FootnoteReference"/>
          <w:szCs w:val="20"/>
        </w:rPr>
        <w:footnoteReference w:id="60"/>
      </w:r>
      <w:bookmarkEnd w:id="36"/>
      <w:r w:rsidR="00CD227A">
        <w:rPr>
          <w:szCs w:val="20"/>
        </w:rPr>
        <w:t xml:space="preserve"> </w:t>
      </w:r>
    </w:p>
    <w:tbl>
      <w:tblPr>
        <w:tblStyle w:val="HRF"/>
        <w:tblW w:w="9921" w:type="dxa"/>
        <w:tblInd w:w="-743" w:type="dxa"/>
        <w:tblLook w:val="0480" w:firstRow="0" w:lastRow="0" w:firstColumn="1" w:lastColumn="0" w:noHBand="0" w:noVBand="1"/>
      </w:tblPr>
      <w:tblGrid>
        <w:gridCol w:w="1998"/>
        <w:gridCol w:w="939"/>
        <w:gridCol w:w="630"/>
        <w:gridCol w:w="990"/>
        <w:gridCol w:w="630"/>
        <w:gridCol w:w="939"/>
        <w:gridCol w:w="630"/>
        <w:gridCol w:w="990"/>
        <w:gridCol w:w="630"/>
        <w:gridCol w:w="939"/>
        <w:gridCol w:w="606"/>
      </w:tblGrid>
      <w:tr w:rsidR="00624D3B" w:rsidRPr="00EE0183" w:rsidTr="00342651">
        <w:trPr>
          <w:trHeight w:val="472"/>
        </w:trPr>
        <w:tc>
          <w:tcPr>
            <w:cnfStyle w:val="001000000000" w:firstRow="0" w:lastRow="0" w:firstColumn="1" w:lastColumn="0" w:oddVBand="0" w:evenVBand="0" w:oddHBand="0" w:evenHBand="0" w:firstRowFirstColumn="0" w:firstRowLastColumn="0" w:lastRowFirstColumn="0" w:lastRowLastColumn="0"/>
            <w:tcW w:w="1998" w:type="dxa"/>
            <w:vMerge w:val="restart"/>
            <w:shd w:val="clear" w:color="auto" w:fill="1B3A59"/>
            <w:noWrap/>
            <w:hideMark/>
          </w:tcPr>
          <w:p w:rsidR="00EE0183" w:rsidRPr="00EE0183" w:rsidRDefault="00EE0183" w:rsidP="00624D3B">
            <w:pPr>
              <w:spacing w:line="276" w:lineRule="auto"/>
              <w:jc w:val="center"/>
              <w:rPr>
                <w:rFonts w:cs="Arial"/>
                <w:b/>
                <w:color w:val="FFFFFF" w:themeColor="background1"/>
                <w:sz w:val="20"/>
                <w:szCs w:val="20"/>
                <w:lang w:eastAsia="en-AU"/>
              </w:rPr>
            </w:pPr>
            <w:r w:rsidRPr="00EE0183">
              <w:rPr>
                <w:rFonts w:cs="Arial"/>
                <w:b/>
                <w:color w:val="FFFFFF" w:themeColor="background1"/>
                <w:sz w:val="20"/>
                <w:szCs w:val="20"/>
                <w:lang w:eastAsia="en-AU"/>
              </w:rPr>
              <w:t>Administrative level</w:t>
            </w:r>
          </w:p>
        </w:tc>
        <w:tc>
          <w:tcPr>
            <w:tcW w:w="939" w:type="dxa"/>
            <w:shd w:val="clear" w:color="auto" w:fill="1B3A59"/>
            <w:noWrap/>
            <w:hideMark/>
          </w:tcPr>
          <w:p w:rsidR="00EE0183" w:rsidRPr="00EE0183" w:rsidRDefault="00EE0183"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lang w:eastAsia="en-AU"/>
              </w:rPr>
            </w:pPr>
            <w:r w:rsidRPr="00EE0183">
              <w:rPr>
                <w:rFonts w:cs="Arial"/>
                <w:b/>
                <w:color w:val="FFFFFF" w:themeColor="background1"/>
                <w:sz w:val="20"/>
                <w:szCs w:val="20"/>
                <w:lang w:eastAsia="en-AU"/>
              </w:rPr>
              <w:t>2011</w:t>
            </w:r>
          </w:p>
        </w:tc>
        <w:tc>
          <w:tcPr>
            <w:tcW w:w="630" w:type="dxa"/>
            <w:shd w:val="clear" w:color="auto" w:fill="1B3A59"/>
            <w:noWrap/>
            <w:hideMark/>
          </w:tcPr>
          <w:p w:rsidR="00EE0183" w:rsidRPr="00EE0183" w:rsidRDefault="00EE0183"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lang w:eastAsia="en-AU"/>
              </w:rPr>
            </w:pPr>
            <w:r w:rsidRPr="00EE0183">
              <w:rPr>
                <w:rFonts w:cs="Arial"/>
                <w:b/>
                <w:color w:val="FFFFFF" w:themeColor="background1"/>
                <w:sz w:val="20"/>
                <w:szCs w:val="20"/>
                <w:lang w:eastAsia="en-AU"/>
              </w:rPr>
              <w:t>%</w:t>
            </w:r>
          </w:p>
        </w:tc>
        <w:tc>
          <w:tcPr>
            <w:tcW w:w="990" w:type="dxa"/>
            <w:shd w:val="clear" w:color="auto" w:fill="1B3A59"/>
            <w:noWrap/>
            <w:hideMark/>
          </w:tcPr>
          <w:p w:rsidR="00EE0183" w:rsidRPr="00EE0183" w:rsidRDefault="00EE0183"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lang w:eastAsia="en-AU"/>
              </w:rPr>
            </w:pPr>
            <w:r w:rsidRPr="00EE0183">
              <w:rPr>
                <w:rFonts w:cs="Arial"/>
                <w:b/>
                <w:color w:val="FFFFFF" w:themeColor="background1"/>
                <w:sz w:val="20"/>
                <w:szCs w:val="20"/>
                <w:lang w:eastAsia="en-AU"/>
              </w:rPr>
              <w:t>2012</w:t>
            </w:r>
          </w:p>
        </w:tc>
        <w:tc>
          <w:tcPr>
            <w:tcW w:w="630" w:type="dxa"/>
            <w:shd w:val="clear" w:color="auto" w:fill="1B3A59"/>
            <w:noWrap/>
            <w:hideMark/>
          </w:tcPr>
          <w:p w:rsidR="00EE0183" w:rsidRPr="00EE0183" w:rsidRDefault="00EE0183"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lang w:eastAsia="en-AU"/>
              </w:rPr>
            </w:pPr>
            <w:r w:rsidRPr="00EE0183">
              <w:rPr>
                <w:rFonts w:cs="Arial"/>
                <w:b/>
                <w:color w:val="FFFFFF" w:themeColor="background1"/>
                <w:sz w:val="20"/>
                <w:szCs w:val="20"/>
                <w:lang w:eastAsia="en-AU"/>
              </w:rPr>
              <w:t>%</w:t>
            </w:r>
          </w:p>
        </w:tc>
        <w:tc>
          <w:tcPr>
            <w:tcW w:w="939" w:type="dxa"/>
            <w:shd w:val="clear" w:color="auto" w:fill="1B3A59"/>
            <w:noWrap/>
            <w:hideMark/>
          </w:tcPr>
          <w:p w:rsidR="00EE0183" w:rsidRPr="00EE0183" w:rsidRDefault="00EE0183"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i/>
                <w:color w:val="FFFFFF" w:themeColor="background1"/>
                <w:sz w:val="20"/>
                <w:szCs w:val="20"/>
                <w:lang w:eastAsia="en-AU"/>
              </w:rPr>
            </w:pPr>
            <w:r w:rsidRPr="00EE0183">
              <w:rPr>
                <w:rFonts w:cs="Arial"/>
                <w:b/>
                <w:i/>
                <w:color w:val="FFFFFF" w:themeColor="background1"/>
                <w:sz w:val="20"/>
                <w:szCs w:val="20"/>
                <w:lang w:eastAsia="en-AU"/>
              </w:rPr>
              <w:t>2013</w:t>
            </w:r>
          </w:p>
        </w:tc>
        <w:tc>
          <w:tcPr>
            <w:tcW w:w="630" w:type="dxa"/>
            <w:shd w:val="clear" w:color="auto" w:fill="1B3A59"/>
            <w:noWrap/>
            <w:hideMark/>
          </w:tcPr>
          <w:p w:rsidR="00EE0183" w:rsidRPr="00EE0183" w:rsidRDefault="00EE0183"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i/>
                <w:color w:val="FFFFFF" w:themeColor="background1"/>
                <w:sz w:val="20"/>
                <w:szCs w:val="20"/>
                <w:lang w:eastAsia="en-AU"/>
              </w:rPr>
            </w:pPr>
            <w:r w:rsidRPr="00EE0183">
              <w:rPr>
                <w:rFonts w:cs="Arial"/>
                <w:b/>
                <w:i/>
                <w:color w:val="FFFFFF" w:themeColor="background1"/>
                <w:sz w:val="20"/>
                <w:szCs w:val="20"/>
                <w:lang w:eastAsia="en-AU"/>
              </w:rPr>
              <w:t>%</w:t>
            </w:r>
          </w:p>
        </w:tc>
        <w:tc>
          <w:tcPr>
            <w:tcW w:w="990" w:type="dxa"/>
            <w:shd w:val="clear" w:color="auto" w:fill="1B3A59"/>
            <w:noWrap/>
            <w:hideMark/>
          </w:tcPr>
          <w:p w:rsidR="00EE0183" w:rsidRPr="00EE0183" w:rsidRDefault="00EE0183"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i/>
                <w:color w:val="FFFFFF" w:themeColor="background1"/>
                <w:sz w:val="20"/>
                <w:szCs w:val="20"/>
                <w:lang w:eastAsia="en-AU"/>
              </w:rPr>
            </w:pPr>
            <w:r w:rsidRPr="00EE0183">
              <w:rPr>
                <w:rFonts w:cs="Arial"/>
                <w:b/>
                <w:i/>
                <w:color w:val="FFFFFF" w:themeColor="background1"/>
                <w:sz w:val="20"/>
                <w:szCs w:val="20"/>
                <w:lang w:eastAsia="en-AU"/>
              </w:rPr>
              <w:t>2014</w:t>
            </w:r>
          </w:p>
        </w:tc>
        <w:tc>
          <w:tcPr>
            <w:tcW w:w="630" w:type="dxa"/>
            <w:shd w:val="clear" w:color="auto" w:fill="1B3A59"/>
            <w:noWrap/>
            <w:hideMark/>
          </w:tcPr>
          <w:p w:rsidR="00EE0183" w:rsidRPr="00EE0183" w:rsidRDefault="00EE0183"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i/>
                <w:color w:val="FFFFFF" w:themeColor="background1"/>
                <w:sz w:val="20"/>
                <w:szCs w:val="20"/>
                <w:lang w:eastAsia="en-AU"/>
              </w:rPr>
            </w:pPr>
            <w:r w:rsidRPr="00EE0183">
              <w:rPr>
                <w:rFonts w:cs="Arial"/>
                <w:b/>
                <w:i/>
                <w:color w:val="FFFFFF" w:themeColor="background1"/>
                <w:sz w:val="20"/>
                <w:szCs w:val="20"/>
                <w:lang w:eastAsia="en-AU"/>
              </w:rPr>
              <w:t>%</w:t>
            </w:r>
          </w:p>
        </w:tc>
        <w:tc>
          <w:tcPr>
            <w:tcW w:w="939" w:type="dxa"/>
            <w:shd w:val="clear" w:color="auto" w:fill="1B3A59"/>
            <w:noWrap/>
            <w:hideMark/>
          </w:tcPr>
          <w:p w:rsidR="00EE0183" w:rsidRPr="00EE0183" w:rsidRDefault="00EE0183"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lang w:eastAsia="en-AU"/>
              </w:rPr>
            </w:pPr>
            <w:r w:rsidRPr="00EE0183">
              <w:rPr>
                <w:rFonts w:cs="Arial"/>
                <w:b/>
                <w:color w:val="FFFFFF" w:themeColor="background1"/>
                <w:sz w:val="20"/>
                <w:szCs w:val="20"/>
                <w:lang w:eastAsia="en-AU"/>
              </w:rPr>
              <w:t>2015</w:t>
            </w:r>
          </w:p>
        </w:tc>
        <w:tc>
          <w:tcPr>
            <w:tcW w:w="606" w:type="dxa"/>
            <w:shd w:val="clear" w:color="auto" w:fill="1B3A59"/>
            <w:noWrap/>
            <w:hideMark/>
          </w:tcPr>
          <w:p w:rsidR="00EE0183" w:rsidRPr="00EE0183" w:rsidRDefault="00EE0183"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lang w:eastAsia="en-AU"/>
              </w:rPr>
            </w:pPr>
            <w:r w:rsidRPr="00EE0183">
              <w:rPr>
                <w:rFonts w:cs="Arial"/>
                <w:b/>
                <w:color w:val="FFFFFF" w:themeColor="background1"/>
                <w:sz w:val="20"/>
                <w:szCs w:val="20"/>
                <w:lang w:eastAsia="en-AU"/>
              </w:rPr>
              <w:t>%</w:t>
            </w:r>
          </w:p>
        </w:tc>
      </w:tr>
      <w:tr w:rsidR="00624D3B" w:rsidRPr="00EE0183" w:rsidTr="00342651">
        <w:trPr>
          <w:trHeight w:val="323"/>
        </w:trPr>
        <w:tc>
          <w:tcPr>
            <w:cnfStyle w:val="001000000000" w:firstRow="0" w:lastRow="0" w:firstColumn="1" w:lastColumn="0" w:oddVBand="0" w:evenVBand="0" w:oddHBand="0" w:evenHBand="0" w:firstRowFirstColumn="0" w:firstRowLastColumn="0" w:lastRowFirstColumn="0" w:lastRowLastColumn="0"/>
            <w:tcW w:w="1998" w:type="dxa"/>
            <w:vMerge/>
            <w:shd w:val="clear" w:color="auto" w:fill="1B3A59"/>
            <w:noWrap/>
          </w:tcPr>
          <w:p w:rsidR="00EE0183" w:rsidRPr="00EE0183" w:rsidRDefault="00EE0183" w:rsidP="00624D3B">
            <w:pPr>
              <w:spacing w:line="276" w:lineRule="auto"/>
              <w:jc w:val="center"/>
              <w:rPr>
                <w:rFonts w:cs="Arial"/>
                <w:color w:val="FFFFFF" w:themeColor="background1"/>
                <w:sz w:val="20"/>
                <w:szCs w:val="20"/>
                <w:lang w:eastAsia="en-AU"/>
              </w:rPr>
            </w:pPr>
          </w:p>
        </w:tc>
        <w:tc>
          <w:tcPr>
            <w:tcW w:w="939" w:type="dxa"/>
            <w:shd w:val="clear" w:color="auto" w:fill="1B3A59"/>
            <w:noWrap/>
          </w:tcPr>
          <w:p w:rsidR="00EE0183" w:rsidRPr="00EE0183" w:rsidRDefault="009322F3"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lang w:eastAsia="en-AU"/>
              </w:rPr>
            </w:pPr>
            <w:r>
              <w:rPr>
                <w:rFonts w:cs="Arial"/>
                <w:b/>
                <w:color w:val="FFFFFF" w:themeColor="background1"/>
                <w:sz w:val="20"/>
                <w:szCs w:val="20"/>
                <w:lang w:eastAsia="en-AU"/>
              </w:rPr>
              <w:t>US</w:t>
            </w:r>
            <w:r w:rsidR="00EE0183" w:rsidRPr="00EE0183">
              <w:rPr>
                <w:rFonts w:cs="Arial"/>
                <w:b/>
                <w:color w:val="FFFFFF" w:themeColor="background1"/>
                <w:sz w:val="20"/>
                <w:szCs w:val="20"/>
                <w:lang w:eastAsia="en-AU"/>
              </w:rPr>
              <w:t>$000</w:t>
            </w:r>
          </w:p>
        </w:tc>
        <w:tc>
          <w:tcPr>
            <w:tcW w:w="630" w:type="dxa"/>
            <w:shd w:val="clear" w:color="auto" w:fill="1B3A59"/>
            <w:noWrap/>
          </w:tcPr>
          <w:p w:rsidR="00EE0183" w:rsidRPr="00EE0183" w:rsidRDefault="00EE0183"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lang w:eastAsia="en-AU"/>
              </w:rPr>
            </w:pPr>
          </w:p>
        </w:tc>
        <w:tc>
          <w:tcPr>
            <w:tcW w:w="990" w:type="dxa"/>
            <w:shd w:val="clear" w:color="auto" w:fill="1B3A59"/>
            <w:noWrap/>
          </w:tcPr>
          <w:p w:rsidR="00EE0183" w:rsidRPr="00EE0183" w:rsidRDefault="009322F3"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lang w:eastAsia="en-AU"/>
              </w:rPr>
            </w:pPr>
            <w:r>
              <w:rPr>
                <w:rFonts w:cs="Arial"/>
                <w:b/>
                <w:color w:val="FFFFFF" w:themeColor="background1"/>
                <w:sz w:val="20"/>
                <w:szCs w:val="20"/>
                <w:lang w:eastAsia="en-AU"/>
              </w:rPr>
              <w:t>US</w:t>
            </w:r>
            <w:r w:rsidR="00EE0183" w:rsidRPr="00EE0183">
              <w:rPr>
                <w:rFonts w:cs="Arial"/>
                <w:b/>
                <w:color w:val="FFFFFF" w:themeColor="background1"/>
                <w:sz w:val="20"/>
                <w:szCs w:val="20"/>
                <w:lang w:eastAsia="en-AU"/>
              </w:rPr>
              <w:t>$000</w:t>
            </w:r>
          </w:p>
        </w:tc>
        <w:tc>
          <w:tcPr>
            <w:tcW w:w="630" w:type="dxa"/>
            <w:shd w:val="clear" w:color="auto" w:fill="1B3A59"/>
            <w:noWrap/>
          </w:tcPr>
          <w:p w:rsidR="00EE0183" w:rsidRPr="00EE0183" w:rsidRDefault="00EE0183"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lang w:eastAsia="en-AU"/>
              </w:rPr>
            </w:pPr>
          </w:p>
        </w:tc>
        <w:tc>
          <w:tcPr>
            <w:tcW w:w="939" w:type="dxa"/>
            <w:shd w:val="clear" w:color="auto" w:fill="1B3A59"/>
            <w:noWrap/>
          </w:tcPr>
          <w:p w:rsidR="00EE0183" w:rsidRPr="00EE0183" w:rsidRDefault="009322F3"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i/>
                <w:color w:val="FFFFFF" w:themeColor="background1"/>
                <w:sz w:val="20"/>
                <w:szCs w:val="20"/>
                <w:lang w:eastAsia="en-AU"/>
              </w:rPr>
            </w:pPr>
            <w:r>
              <w:rPr>
                <w:rFonts w:cs="Arial"/>
                <w:b/>
                <w:color w:val="FFFFFF" w:themeColor="background1"/>
                <w:sz w:val="20"/>
                <w:szCs w:val="20"/>
                <w:lang w:eastAsia="en-AU"/>
              </w:rPr>
              <w:t>US</w:t>
            </w:r>
            <w:r w:rsidR="00EE0183" w:rsidRPr="00EE0183">
              <w:rPr>
                <w:rFonts w:cs="Arial"/>
                <w:b/>
                <w:color w:val="FFFFFF" w:themeColor="background1"/>
                <w:sz w:val="20"/>
                <w:szCs w:val="20"/>
                <w:lang w:eastAsia="en-AU"/>
              </w:rPr>
              <w:t>$000</w:t>
            </w:r>
          </w:p>
        </w:tc>
        <w:tc>
          <w:tcPr>
            <w:tcW w:w="630" w:type="dxa"/>
            <w:shd w:val="clear" w:color="auto" w:fill="1B3A59"/>
            <w:noWrap/>
          </w:tcPr>
          <w:p w:rsidR="00EE0183" w:rsidRPr="00EE0183" w:rsidRDefault="00EE0183"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i/>
                <w:color w:val="FFFFFF" w:themeColor="background1"/>
                <w:sz w:val="20"/>
                <w:szCs w:val="20"/>
                <w:lang w:eastAsia="en-AU"/>
              </w:rPr>
            </w:pPr>
          </w:p>
        </w:tc>
        <w:tc>
          <w:tcPr>
            <w:tcW w:w="990" w:type="dxa"/>
            <w:shd w:val="clear" w:color="auto" w:fill="1B3A59"/>
            <w:noWrap/>
          </w:tcPr>
          <w:p w:rsidR="00EE0183" w:rsidRPr="00EE0183" w:rsidRDefault="009322F3"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i/>
                <w:color w:val="FFFFFF" w:themeColor="background1"/>
                <w:sz w:val="20"/>
                <w:szCs w:val="20"/>
                <w:lang w:eastAsia="en-AU"/>
              </w:rPr>
            </w:pPr>
            <w:r>
              <w:rPr>
                <w:rFonts w:cs="Arial"/>
                <w:b/>
                <w:color w:val="FFFFFF" w:themeColor="background1"/>
                <w:sz w:val="20"/>
                <w:szCs w:val="20"/>
                <w:lang w:eastAsia="en-AU"/>
              </w:rPr>
              <w:t>US</w:t>
            </w:r>
            <w:r w:rsidR="00EE0183" w:rsidRPr="00EE0183">
              <w:rPr>
                <w:rFonts w:cs="Arial"/>
                <w:b/>
                <w:color w:val="FFFFFF" w:themeColor="background1"/>
                <w:sz w:val="20"/>
                <w:szCs w:val="20"/>
                <w:lang w:eastAsia="en-AU"/>
              </w:rPr>
              <w:t>$000</w:t>
            </w:r>
          </w:p>
        </w:tc>
        <w:tc>
          <w:tcPr>
            <w:tcW w:w="630" w:type="dxa"/>
            <w:shd w:val="clear" w:color="auto" w:fill="1B3A59"/>
            <w:noWrap/>
          </w:tcPr>
          <w:p w:rsidR="00EE0183" w:rsidRPr="00EE0183" w:rsidRDefault="00EE0183"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i/>
                <w:color w:val="FFFFFF" w:themeColor="background1"/>
                <w:sz w:val="20"/>
                <w:szCs w:val="20"/>
                <w:lang w:eastAsia="en-AU"/>
              </w:rPr>
            </w:pPr>
          </w:p>
        </w:tc>
        <w:tc>
          <w:tcPr>
            <w:tcW w:w="939" w:type="dxa"/>
            <w:shd w:val="clear" w:color="auto" w:fill="1B3A59"/>
            <w:noWrap/>
          </w:tcPr>
          <w:p w:rsidR="00EE0183" w:rsidRPr="00EE0183" w:rsidRDefault="009322F3"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lang w:eastAsia="en-AU"/>
              </w:rPr>
            </w:pPr>
            <w:r>
              <w:rPr>
                <w:rFonts w:cs="Arial"/>
                <w:b/>
                <w:color w:val="FFFFFF" w:themeColor="background1"/>
                <w:sz w:val="20"/>
                <w:szCs w:val="20"/>
                <w:lang w:eastAsia="en-AU"/>
              </w:rPr>
              <w:t>US</w:t>
            </w:r>
            <w:r w:rsidR="00EE0183" w:rsidRPr="00EE0183">
              <w:rPr>
                <w:rFonts w:cs="Arial"/>
                <w:b/>
                <w:color w:val="FFFFFF" w:themeColor="background1"/>
                <w:sz w:val="20"/>
                <w:szCs w:val="20"/>
                <w:lang w:eastAsia="en-AU"/>
              </w:rPr>
              <w:t>$000</w:t>
            </w:r>
          </w:p>
        </w:tc>
        <w:tc>
          <w:tcPr>
            <w:tcW w:w="606" w:type="dxa"/>
            <w:shd w:val="clear" w:color="auto" w:fill="1B3A59"/>
            <w:noWrap/>
          </w:tcPr>
          <w:p w:rsidR="00EE0183" w:rsidRPr="00EE0183" w:rsidRDefault="00EE0183"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color w:val="FFFFFF" w:themeColor="background1"/>
                <w:sz w:val="20"/>
                <w:szCs w:val="20"/>
                <w:lang w:eastAsia="en-AU"/>
              </w:rPr>
            </w:pPr>
          </w:p>
        </w:tc>
      </w:tr>
      <w:tr w:rsidR="00EE0183" w:rsidRPr="00EE0183" w:rsidTr="00342651">
        <w:trPr>
          <w:trHeight w:val="323"/>
        </w:trPr>
        <w:tc>
          <w:tcPr>
            <w:cnfStyle w:val="001000000000" w:firstRow="0" w:lastRow="0" w:firstColumn="1" w:lastColumn="0" w:oddVBand="0" w:evenVBand="0" w:oddHBand="0" w:evenHBand="0" w:firstRowFirstColumn="0" w:firstRowLastColumn="0" w:lastRowFirstColumn="0" w:lastRowLastColumn="0"/>
            <w:tcW w:w="1998" w:type="dxa"/>
            <w:noWrap/>
            <w:hideMark/>
          </w:tcPr>
          <w:p w:rsidR="00F749B8" w:rsidRPr="00EE0183" w:rsidRDefault="00F749B8" w:rsidP="00624D3B">
            <w:pPr>
              <w:spacing w:line="276" w:lineRule="auto"/>
              <w:jc w:val="center"/>
              <w:rPr>
                <w:rFonts w:cs="Arial"/>
                <w:sz w:val="20"/>
                <w:szCs w:val="20"/>
                <w:lang w:eastAsia="en-AU"/>
              </w:rPr>
            </w:pPr>
            <w:r w:rsidRPr="00EE0183">
              <w:rPr>
                <w:rFonts w:cs="Arial"/>
                <w:sz w:val="20"/>
                <w:szCs w:val="20"/>
                <w:lang w:eastAsia="en-AU"/>
              </w:rPr>
              <w:t>Cabinet</w:t>
            </w:r>
          </w:p>
        </w:tc>
        <w:tc>
          <w:tcPr>
            <w:tcW w:w="939"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EE0183">
              <w:rPr>
                <w:rFonts w:cs="Arial"/>
                <w:sz w:val="20"/>
                <w:szCs w:val="20"/>
                <w:lang w:eastAsia="en-AU"/>
              </w:rPr>
              <w:t>331</w:t>
            </w:r>
          </w:p>
        </w:tc>
        <w:tc>
          <w:tcPr>
            <w:tcW w:w="63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EE0183">
              <w:rPr>
                <w:rFonts w:cs="Arial"/>
                <w:sz w:val="20"/>
                <w:szCs w:val="20"/>
                <w:lang w:eastAsia="en-AU"/>
              </w:rPr>
              <w:t>0.9</w:t>
            </w:r>
          </w:p>
        </w:tc>
        <w:tc>
          <w:tcPr>
            <w:tcW w:w="990" w:type="dxa"/>
            <w:noWrap/>
            <w:hideMark/>
          </w:tcPr>
          <w:p w:rsidR="00F749B8" w:rsidRPr="00D0414C"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D0414C">
              <w:rPr>
                <w:rFonts w:cs="Arial"/>
                <w:sz w:val="20"/>
                <w:szCs w:val="20"/>
                <w:lang w:eastAsia="en-AU"/>
              </w:rPr>
              <w:t>651</w:t>
            </w:r>
          </w:p>
        </w:tc>
        <w:tc>
          <w:tcPr>
            <w:tcW w:w="630" w:type="dxa"/>
            <w:noWrap/>
            <w:hideMark/>
          </w:tcPr>
          <w:p w:rsidR="00F749B8" w:rsidRPr="00D0414C"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D0414C">
              <w:rPr>
                <w:rFonts w:cs="Arial"/>
                <w:sz w:val="20"/>
                <w:szCs w:val="20"/>
                <w:lang w:eastAsia="en-AU"/>
              </w:rPr>
              <w:t>1.3</w:t>
            </w:r>
          </w:p>
        </w:tc>
        <w:tc>
          <w:tcPr>
            <w:tcW w:w="939" w:type="dxa"/>
            <w:noWrap/>
            <w:hideMark/>
          </w:tcPr>
          <w:p w:rsidR="00F749B8" w:rsidRPr="00D0414C"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i/>
                <w:sz w:val="20"/>
                <w:szCs w:val="20"/>
                <w:lang w:eastAsia="en-AU"/>
              </w:rPr>
            </w:pPr>
            <w:r w:rsidRPr="00D0414C">
              <w:rPr>
                <w:rFonts w:cs="Arial"/>
                <w:i/>
                <w:sz w:val="20"/>
                <w:szCs w:val="20"/>
                <w:lang w:eastAsia="en-AU"/>
              </w:rPr>
              <w:t>851</w:t>
            </w:r>
          </w:p>
        </w:tc>
        <w:tc>
          <w:tcPr>
            <w:tcW w:w="630" w:type="dxa"/>
            <w:noWrap/>
            <w:hideMark/>
          </w:tcPr>
          <w:p w:rsidR="00F749B8" w:rsidRPr="00D0414C"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i/>
                <w:sz w:val="20"/>
                <w:szCs w:val="20"/>
                <w:lang w:eastAsia="en-AU"/>
              </w:rPr>
            </w:pPr>
            <w:r w:rsidRPr="00D0414C">
              <w:rPr>
                <w:rFonts w:cs="Arial"/>
                <w:i/>
                <w:sz w:val="20"/>
                <w:szCs w:val="20"/>
                <w:lang w:eastAsia="en-AU"/>
              </w:rPr>
              <w:t>1.4</w:t>
            </w:r>
          </w:p>
        </w:tc>
        <w:tc>
          <w:tcPr>
            <w:tcW w:w="990" w:type="dxa"/>
            <w:noWrap/>
            <w:hideMark/>
          </w:tcPr>
          <w:p w:rsidR="00F749B8" w:rsidRPr="00D0414C"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i/>
                <w:sz w:val="20"/>
                <w:szCs w:val="20"/>
                <w:lang w:eastAsia="en-AU"/>
              </w:rPr>
            </w:pPr>
            <w:r w:rsidRPr="00D0414C">
              <w:rPr>
                <w:rFonts w:cs="Arial"/>
                <w:i/>
                <w:sz w:val="20"/>
                <w:szCs w:val="20"/>
                <w:lang w:eastAsia="en-AU"/>
              </w:rPr>
              <w:t>882</w:t>
            </w:r>
          </w:p>
        </w:tc>
        <w:tc>
          <w:tcPr>
            <w:tcW w:w="630" w:type="dxa"/>
            <w:noWrap/>
            <w:hideMark/>
          </w:tcPr>
          <w:p w:rsidR="00F749B8" w:rsidRPr="00D0414C"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i/>
                <w:sz w:val="20"/>
                <w:szCs w:val="20"/>
                <w:lang w:eastAsia="en-AU"/>
              </w:rPr>
            </w:pPr>
            <w:r w:rsidRPr="00D0414C">
              <w:rPr>
                <w:rFonts w:cs="Arial"/>
                <w:i/>
                <w:sz w:val="20"/>
                <w:szCs w:val="20"/>
                <w:lang w:eastAsia="en-AU"/>
              </w:rPr>
              <w:t>1.4</w:t>
            </w:r>
          </w:p>
        </w:tc>
        <w:tc>
          <w:tcPr>
            <w:tcW w:w="939" w:type="dxa"/>
            <w:noWrap/>
            <w:hideMark/>
          </w:tcPr>
          <w:p w:rsidR="00F749B8" w:rsidRPr="00D0414C"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D0414C">
              <w:rPr>
                <w:rFonts w:cs="Arial"/>
                <w:sz w:val="20"/>
                <w:szCs w:val="20"/>
                <w:lang w:eastAsia="en-AU"/>
              </w:rPr>
              <w:t>915</w:t>
            </w:r>
          </w:p>
        </w:tc>
        <w:tc>
          <w:tcPr>
            <w:tcW w:w="606"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EE0183">
              <w:rPr>
                <w:rFonts w:cs="Arial"/>
                <w:sz w:val="20"/>
                <w:szCs w:val="20"/>
                <w:lang w:eastAsia="en-AU"/>
              </w:rPr>
              <w:t>1.4</w:t>
            </w:r>
          </w:p>
        </w:tc>
      </w:tr>
      <w:tr w:rsidR="00EE0183" w:rsidRPr="00EE0183" w:rsidTr="00342651">
        <w:trPr>
          <w:trHeight w:val="341"/>
        </w:trPr>
        <w:tc>
          <w:tcPr>
            <w:cnfStyle w:val="001000000000" w:firstRow="0" w:lastRow="0" w:firstColumn="1" w:lastColumn="0" w:oddVBand="0" w:evenVBand="0" w:oddHBand="0" w:evenHBand="0" w:firstRowFirstColumn="0" w:firstRowLastColumn="0" w:lastRowFirstColumn="0" w:lastRowLastColumn="0"/>
            <w:tcW w:w="1998" w:type="dxa"/>
            <w:noWrap/>
            <w:hideMark/>
          </w:tcPr>
          <w:p w:rsidR="00F749B8" w:rsidRPr="00EE0183" w:rsidRDefault="00F749B8" w:rsidP="00624D3B">
            <w:pPr>
              <w:spacing w:line="276" w:lineRule="auto"/>
              <w:jc w:val="center"/>
              <w:rPr>
                <w:rFonts w:cs="Arial"/>
                <w:sz w:val="20"/>
                <w:szCs w:val="20"/>
                <w:lang w:eastAsia="en-AU"/>
              </w:rPr>
            </w:pPr>
            <w:r w:rsidRPr="00EE0183">
              <w:rPr>
                <w:rFonts w:cs="Arial"/>
                <w:sz w:val="20"/>
                <w:szCs w:val="20"/>
                <w:lang w:eastAsia="en-AU"/>
              </w:rPr>
              <w:t>MoH HQ</w:t>
            </w:r>
          </w:p>
        </w:tc>
        <w:tc>
          <w:tcPr>
            <w:tcW w:w="939"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EE0183">
              <w:rPr>
                <w:rFonts w:cs="Arial"/>
                <w:sz w:val="20"/>
                <w:szCs w:val="20"/>
                <w:lang w:eastAsia="en-AU"/>
              </w:rPr>
              <w:t>13,445</w:t>
            </w:r>
          </w:p>
        </w:tc>
        <w:tc>
          <w:tcPr>
            <w:tcW w:w="63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EE0183">
              <w:rPr>
                <w:rFonts w:cs="Arial"/>
                <w:sz w:val="20"/>
                <w:szCs w:val="20"/>
                <w:lang w:eastAsia="en-AU"/>
              </w:rPr>
              <w:t>37.6</w:t>
            </w:r>
          </w:p>
        </w:tc>
        <w:tc>
          <w:tcPr>
            <w:tcW w:w="990" w:type="dxa"/>
            <w:noWrap/>
            <w:hideMark/>
          </w:tcPr>
          <w:p w:rsidR="00F749B8" w:rsidRPr="00D0414C"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D0414C">
              <w:rPr>
                <w:rFonts w:cs="Arial"/>
                <w:sz w:val="20"/>
                <w:szCs w:val="20"/>
                <w:lang w:eastAsia="en-AU"/>
              </w:rPr>
              <w:t>22,038</w:t>
            </w:r>
          </w:p>
        </w:tc>
        <w:tc>
          <w:tcPr>
            <w:tcW w:w="630" w:type="dxa"/>
            <w:noWrap/>
            <w:hideMark/>
          </w:tcPr>
          <w:p w:rsidR="00F749B8" w:rsidRPr="00D0414C"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D0414C">
              <w:rPr>
                <w:rFonts w:cs="Arial"/>
                <w:sz w:val="20"/>
                <w:szCs w:val="20"/>
                <w:lang w:eastAsia="en-AU"/>
              </w:rPr>
              <w:t>44.1</w:t>
            </w:r>
          </w:p>
        </w:tc>
        <w:tc>
          <w:tcPr>
            <w:tcW w:w="939" w:type="dxa"/>
            <w:noWrap/>
            <w:hideMark/>
          </w:tcPr>
          <w:p w:rsidR="00F749B8" w:rsidRPr="00D0414C"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i/>
                <w:sz w:val="20"/>
                <w:szCs w:val="20"/>
                <w:lang w:eastAsia="en-AU"/>
              </w:rPr>
            </w:pPr>
            <w:r w:rsidRPr="00D0414C">
              <w:rPr>
                <w:rFonts w:cs="Arial"/>
                <w:i/>
                <w:sz w:val="20"/>
                <w:szCs w:val="20"/>
                <w:lang w:eastAsia="en-AU"/>
              </w:rPr>
              <w:t>20,985</w:t>
            </w:r>
          </w:p>
        </w:tc>
        <w:tc>
          <w:tcPr>
            <w:tcW w:w="630" w:type="dxa"/>
            <w:noWrap/>
            <w:hideMark/>
          </w:tcPr>
          <w:p w:rsidR="00F749B8" w:rsidRPr="00D0414C"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i/>
                <w:sz w:val="20"/>
                <w:szCs w:val="20"/>
                <w:lang w:eastAsia="en-AU"/>
              </w:rPr>
            </w:pPr>
            <w:r w:rsidRPr="00D0414C">
              <w:rPr>
                <w:rFonts w:cs="Arial"/>
                <w:i/>
                <w:sz w:val="20"/>
                <w:szCs w:val="20"/>
                <w:lang w:eastAsia="en-AU"/>
              </w:rPr>
              <w:t>34.1</w:t>
            </w:r>
          </w:p>
        </w:tc>
        <w:tc>
          <w:tcPr>
            <w:tcW w:w="990" w:type="dxa"/>
            <w:noWrap/>
            <w:hideMark/>
          </w:tcPr>
          <w:p w:rsidR="00F749B8" w:rsidRPr="00D0414C"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i/>
                <w:sz w:val="20"/>
                <w:szCs w:val="20"/>
                <w:lang w:eastAsia="en-AU"/>
              </w:rPr>
            </w:pPr>
            <w:r w:rsidRPr="00D0414C">
              <w:rPr>
                <w:rFonts w:cs="Arial"/>
                <w:i/>
                <w:sz w:val="20"/>
                <w:szCs w:val="20"/>
                <w:lang w:eastAsia="en-AU"/>
              </w:rPr>
              <w:t>21,821</w:t>
            </w:r>
          </w:p>
        </w:tc>
        <w:tc>
          <w:tcPr>
            <w:tcW w:w="630" w:type="dxa"/>
            <w:noWrap/>
            <w:hideMark/>
          </w:tcPr>
          <w:p w:rsidR="00F749B8" w:rsidRPr="00D0414C"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i/>
                <w:sz w:val="20"/>
                <w:szCs w:val="20"/>
                <w:lang w:eastAsia="en-AU"/>
              </w:rPr>
            </w:pPr>
            <w:r w:rsidRPr="00D0414C">
              <w:rPr>
                <w:rFonts w:cs="Arial"/>
                <w:i/>
                <w:sz w:val="20"/>
                <w:szCs w:val="20"/>
                <w:lang w:eastAsia="en-AU"/>
              </w:rPr>
              <w:t>34.1</w:t>
            </w:r>
          </w:p>
        </w:tc>
        <w:tc>
          <w:tcPr>
            <w:tcW w:w="939" w:type="dxa"/>
            <w:noWrap/>
            <w:hideMark/>
          </w:tcPr>
          <w:p w:rsidR="00F749B8" w:rsidRPr="00D0414C"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D0414C">
              <w:rPr>
                <w:rFonts w:cs="Arial"/>
                <w:sz w:val="20"/>
                <w:szCs w:val="20"/>
                <w:lang w:eastAsia="en-AU"/>
              </w:rPr>
              <w:t>22,694</w:t>
            </w:r>
          </w:p>
        </w:tc>
        <w:tc>
          <w:tcPr>
            <w:tcW w:w="606"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EE0183">
              <w:rPr>
                <w:rFonts w:cs="Arial"/>
                <w:sz w:val="20"/>
                <w:szCs w:val="20"/>
                <w:lang w:eastAsia="en-AU"/>
              </w:rPr>
              <w:t>34.1</w:t>
            </w:r>
          </w:p>
        </w:tc>
      </w:tr>
      <w:tr w:rsidR="00EE0183" w:rsidRPr="00EE0183" w:rsidTr="00342651">
        <w:trPr>
          <w:trHeight w:val="260"/>
        </w:trPr>
        <w:tc>
          <w:tcPr>
            <w:cnfStyle w:val="001000000000" w:firstRow="0" w:lastRow="0" w:firstColumn="1" w:lastColumn="0" w:oddVBand="0" w:evenVBand="0" w:oddHBand="0" w:evenHBand="0" w:firstRowFirstColumn="0" w:firstRowLastColumn="0" w:lastRowFirstColumn="0" w:lastRowLastColumn="0"/>
            <w:tcW w:w="1998" w:type="dxa"/>
            <w:noWrap/>
            <w:hideMark/>
          </w:tcPr>
          <w:p w:rsidR="00F749B8" w:rsidRPr="00EE0183" w:rsidRDefault="00F749B8" w:rsidP="00624D3B">
            <w:pPr>
              <w:spacing w:line="276" w:lineRule="auto"/>
              <w:jc w:val="center"/>
              <w:rPr>
                <w:rFonts w:cs="Arial"/>
                <w:sz w:val="20"/>
                <w:szCs w:val="20"/>
                <w:lang w:eastAsia="en-AU"/>
              </w:rPr>
            </w:pPr>
            <w:r w:rsidRPr="00EE0183">
              <w:rPr>
                <w:rFonts w:cs="Arial"/>
                <w:sz w:val="20"/>
                <w:szCs w:val="20"/>
                <w:lang w:eastAsia="en-AU"/>
              </w:rPr>
              <w:t>Hospitals</w:t>
            </w:r>
          </w:p>
        </w:tc>
        <w:tc>
          <w:tcPr>
            <w:tcW w:w="939"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EE0183">
              <w:rPr>
                <w:rFonts w:cs="Arial"/>
                <w:sz w:val="20"/>
                <w:szCs w:val="20"/>
                <w:lang w:eastAsia="en-AU"/>
              </w:rPr>
              <w:t>12,502</w:t>
            </w:r>
          </w:p>
        </w:tc>
        <w:tc>
          <w:tcPr>
            <w:tcW w:w="63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EE0183">
              <w:rPr>
                <w:rFonts w:cs="Arial"/>
                <w:sz w:val="20"/>
                <w:szCs w:val="20"/>
                <w:lang w:eastAsia="en-AU"/>
              </w:rPr>
              <w:t>34.9</w:t>
            </w:r>
          </w:p>
        </w:tc>
        <w:tc>
          <w:tcPr>
            <w:tcW w:w="990" w:type="dxa"/>
            <w:noWrap/>
            <w:hideMark/>
          </w:tcPr>
          <w:p w:rsidR="00F749B8" w:rsidRPr="00D0414C"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D0414C">
              <w:rPr>
                <w:rFonts w:cs="Arial"/>
                <w:sz w:val="20"/>
                <w:szCs w:val="20"/>
                <w:lang w:eastAsia="en-AU"/>
              </w:rPr>
              <w:t>9,917</w:t>
            </w:r>
          </w:p>
        </w:tc>
        <w:tc>
          <w:tcPr>
            <w:tcW w:w="630" w:type="dxa"/>
            <w:noWrap/>
            <w:hideMark/>
          </w:tcPr>
          <w:p w:rsidR="00F749B8" w:rsidRPr="00D0414C"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D0414C">
              <w:rPr>
                <w:rFonts w:cs="Arial"/>
                <w:sz w:val="20"/>
                <w:szCs w:val="20"/>
                <w:lang w:eastAsia="en-AU"/>
              </w:rPr>
              <w:t>19.9</w:t>
            </w:r>
          </w:p>
        </w:tc>
        <w:tc>
          <w:tcPr>
            <w:tcW w:w="939" w:type="dxa"/>
            <w:noWrap/>
            <w:hideMark/>
          </w:tcPr>
          <w:p w:rsidR="00F749B8" w:rsidRPr="00D0414C"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i/>
                <w:sz w:val="20"/>
                <w:szCs w:val="20"/>
                <w:lang w:eastAsia="en-AU"/>
              </w:rPr>
            </w:pPr>
            <w:r w:rsidRPr="00D0414C">
              <w:rPr>
                <w:rFonts w:cs="Arial"/>
                <w:i/>
                <w:sz w:val="20"/>
                <w:szCs w:val="20"/>
                <w:lang w:eastAsia="en-AU"/>
              </w:rPr>
              <w:t>18,136</w:t>
            </w:r>
          </w:p>
        </w:tc>
        <w:tc>
          <w:tcPr>
            <w:tcW w:w="630" w:type="dxa"/>
            <w:noWrap/>
            <w:hideMark/>
          </w:tcPr>
          <w:p w:rsidR="00F749B8" w:rsidRPr="00D0414C"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i/>
                <w:sz w:val="20"/>
                <w:szCs w:val="20"/>
                <w:lang w:eastAsia="en-AU"/>
              </w:rPr>
            </w:pPr>
            <w:r w:rsidRPr="00D0414C">
              <w:rPr>
                <w:rFonts w:cs="Arial"/>
                <w:i/>
                <w:sz w:val="20"/>
                <w:szCs w:val="20"/>
                <w:lang w:eastAsia="en-AU"/>
              </w:rPr>
              <w:t>29.5</w:t>
            </w:r>
          </w:p>
        </w:tc>
        <w:tc>
          <w:tcPr>
            <w:tcW w:w="990" w:type="dxa"/>
            <w:noWrap/>
            <w:hideMark/>
          </w:tcPr>
          <w:p w:rsidR="00F749B8" w:rsidRPr="00D0414C"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i/>
                <w:sz w:val="20"/>
                <w:szCs w:val="20"/>
                <w:lang w:eastAsia="en-AU"/>
              </w:rPr>
            </w:pPr>
            <w:r w:rsidRPr="00D0414C">
              <w:rPr>
                <w:rFonts w:cs="Arial"/>
                <w:i/>
                <w:sz w:val="20"/>
                <w:szCs w:val="20"/>
                <w:lang w:eastAsia="en-AU"/>
              </w:rPr>
              <w:t>18,854</w:t>
            </w:r>
          </w:p>
        </w:tc>
        <w:tc>
          <w:tcPr>
            <w:tcW w:w="630" w:type="dxa"/>
            <w:noWrap/>
            <w:hideMark/>
          </w:tcPr>
          <w:p w:rsidR="00F749B8" w:rsidRPr="00D0414C"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i/>
                <w:sz w:val="20"/>
                <w:szCs w:val="20"/>
                <w:lang w:eastAsia="en-AU"/>
              </w:rPr>
            </w:pPr>
            <w:r w:rsidRPr="00D0414C">
              <w:rPr>
                <w:rFonts w:cs="Arial"/>
                <w:i/>
                <w:sz w:val="20"/>
                <w:szCs w:val="20"/>
                <w:lang w:eastAsia="en-AU"/>
              </w:rPr>
              <w:t>29.5</w:t>
            </w:r>
          </w:p>
        </w:tc>
        <w:tc>
          <w:tcPr>
            <w:tcW w:w="939" w:type="dxa"/>
            <w:noWrap/>
            <w:hideMark/>
          </w:tcPr>
          <w:p w:rsidR="00F749B8" w:rsidRPr="00D0414C"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D0414C">
              <w:rPr>
                <w:rFonts w:cs="Arial"/>
                <w:sz w:val="20"/>
                <w:szCs w:val="20"/>
                <w:lang w:eastAsia="en-AU"/>
              </w:rPr>
              <w:t>19,615</w:t>
            </w:r>
          </w:p>
        </w:tc>
        <w:tc>
          <w:tcPr>
            <w:tcW w:w="606"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EE0183">
              <w:rPr>
                <w:rFonts w:cs="Arial"/>
                <w:sz w:val="20"/>
                <w:szCs w:val="20"/>
                <w:lang w:eastAsia="en-AU"/>
              </w:rPr>
              <w:t>29.5</w:t>
            </w:r>
          </w:p>
        </w:tc>
      </w:tr>
      <w:tr w:rsidR="00EE0183" w:rsidRPr="00EE0183" w:rsidTr="00342651">
        <w:trPr>
          <w:trHeight w:val="377"/>
        </w:trPr>
        <w:tc>
          <w:tcPr>
            <w:cnfStyle w:val="001000000000" w:firstRow="0" w:lastRow="0" w:firstColumn="1" w:lastColumn="0" w:oddVBand="0" w:evenVBand="0" w:oddHBand="0" w:evenHBand="0" w:firstRowFirstColumn="0" w:firstRowLastColumn="0" w:lastRowFirstColumn="0" w:lastRowLastColumn="0"/>
            <w:tcW w:w="1998" w:type="dxa"/>
            <w:noWrap/>
            <w:hideMark/>
          </w:tcPr>
          <w:p w:rsidR="00F749B8" w:rsidRPr="00EE0183" w:rsidRDefault="00F749B8" w:rsidP="00624D3B">
            <w:pPr>
              <w:spacing w:line="276" w:lineRule="auto"/>
              <w:jc w:val="center"/>
              <w:rPr>
                <w:rFonts w:cs="Arial"/>
                <w:sz w:val="20"/>
                <w:szCs w:val="20"/>
                <w:lang w:eastAsia="en-AU"/>
              </w:rPr>
            </w:pPr>
            <w:r w:rsidRPr="00EE0183">
              <w:rPr>
                <w:rFonts w:cs="Arial"/>
                <w:sz w:val="20"/>
                <w:szCs w:val="20"/>
                <w:lang w:eastAsia="en-AU"/>
              </w:rPr>
              <w:t>District Health Services</w:t>
            </w:r>
          </w:p>
        </w:tc>
        <w:tc>
          <w:tcPr>
            <w:tcW w:w="939"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EE0183">
              <w:rPr>
                <w:rFonts w:cs="Arial"/>
                <w:sz w:val="20"/>
                <w:szCs w:val="20"/>
                <w:lang w:eastAsia="en-AU"/>
              </w:rPr>
              <w:t>7,636</w:t>
            </w:r>
          </w:p>
        </w:tc>
        <w:tc>
          <w:tcPr>
            <w:tcW w:w="63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EE0183">
              <w:rPr>
                <w:rFonts w:cs="Arial"/>
                <w:sz w:val="20"/>
                <w:szCs w:val="20"/>
                <w:lang w:eastAsia="en-AU"/>
              </w:rPr>
              <w:t>21.3</w:t>
            </w:r>
          </w:p>
        </w:tc>
        <w:tc>
          <w:tcPr>
            <w:tcW w:w="990" w:type="dxa"/>
            <w:noWrap/>
            <w:hideMark/>
          </w:tcPr>
          <w:p w:rsidR="00F749B8" w:rsidRPr="00D0414C"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D0414C">
              <w:rPr>
                <w:rFonts w:cs="Arial"/>
                <w:sz w:val="20"/>
                <w:szCs w:val="20"/>
                <w:lang w:eastAsia="en-AU"/>
              </w:rPr>
              <w:t>10,552</w:t>
            </w:r>
          </w:p>
        </w:tc>
        <w:tc>
          <w:tcPr>
            <w:tcW w:w="630" w:type="dxa"/>
            <w:noWrap/>
            <w:hideMark/>
          </w:tcPr>
          <w:p w:rsidR="00F749B8" w:rsidRPr="00D0414C"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D0414C">
              <w:rPr>
                <w:rFonts w:cs="Arial"/>
                <w:sz w:val="20"/>
                <w:szCs w:val="20"/>
                <w:lang w:eastAsia="en-AU"/>
              </w:rPr>
              <w:t>21.1</w:t>
            </w:r>
          </w:p>
        </w:tc>
        <w:tc>
          <w:tcPr>
            <w:tcW w:w="939" w:type="dxa"/>
            <w:noWrap/>
            <w:hideMark/>
          </w:tcPr>
          <w:p w:rsidR="00F749B8" w:rsidRPr="00D0414C"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i/>
                <w:sz w:val="20"/>
                <w:szCs w:val="20"/>
                <w:lang w:eastAsia="en-AU"/>
              </w:rPr>
            </w:pPr>
            <w:r w:rsidRPr="00D0414C">
              <w:rPr>
                <w:rFonts w:cs="Arial"/>
                <w:i/>
                <w:sz w:val="20"/>
                <w:szCs w:val="20"/>
                <w:lang w:eastAsia="en-AU"/>
              </w:rPr>
              <w:t>19,791</w:t>
            </w:r>
          </w:p>
        </w:tc>
        <w:tc>
          <w:tcPr>
            <w:tcW w:w="630" w:type="dxa"/>
            <w:noWrap/>
            <w:hideMark/>
          </w:tcPr>
          <w:p w:rsidR="00F749B8" w:rsidRPr="00D0414C"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i/>
                <w:sz w:val="20"/>
                <w:szCs w:val="20"/>
                <w:lang w:eastAsia="en-AU"/>
              </w:rPr>
            </w:pPr>
            <w:r w:rsidRPr="00D0414C">
              <w:rPr>
                <w:rFonts w:cs="Arial"/>
                <w:i/>
                <w:sz w:val="20"/>
                <w:szCs w:val="20"/>
                <w:lang w:eastAsia="en-AU"/>
              </w:rPr>
              <w:t>32.2</w:t>
            </w:r>
          </w:p>
        </w:tc>
        <w:tc>
          <w:tcPr>
            <w:tcW w:w="990" w:type="dxa"/>
            <w:noWrap/>
            <w:hideMark/>
          </w:tcPr>
          <w:p w:rsidR="00F749B8" w:rsidRPr="00D0414C"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i/>
                <w:sz w:val="20"/>
                <w:szCs w:val="20"/>
                <w:lang w:eastAsia="en-AU"/>
              </w:rPr>
            </w:pPr>
            <w:r w:rsidRPr="00D0414C">
              <w:rPr>
                <w:rFonts w:cs="Arial"/>
                <w:i/>
                <w:sz w:val="20"/>
                <w:szCs w:val="20"/>
                <w:lang w:eastAsia="en-AU"/>
              </w:rPr>
              <w:t>20,565</w:t>
            </w:r>
          </w:p>
        </w:tc>
        <w:tc>
          <w:tcPr>
            <w:tcW w:w="630" w:type="dxa"/>
            <w:noWrap/>
            <w:hideMark/>
          </w:tcPr>
          <w:p w:rsidR="00F749B8" w:rsidRPr="00D0414C"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i/>
                <w:sz w:val="20"/>
                <w:szCs w:val="20"/>
                <w:lang w:eastAsia="en-AU"/>
              </w:rPr>
            </w:pPr>
            <w:r w:rsidRPr="00D0414C">
              <w:rPr>
                <w:rFonts w:cs="Arial"/>
                <w:i/>
                <w:sz w:val="20"/>
                <w:szCs w:val="20"/>
                <w:lang w:eastAsia="en-AU"/>
              </w:rPr>
              <w:t>32.2</w:t>
            </w:r>
          </w:p>
        </w:tc>
        <w:tc>
          <w:tcPr>
            <w:tcW w:w="939" w:type="dxa"/>
            <w:noWrap/>
            <w:hideMark/>
          </w:tcPr>
          <w:p w:rsidR="00F749B8" w:rsidRPr="00D0414C"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D0414C">
              <w:rPr>
                <w:rFonts w:cs="Arial"/>
                <w:sz w:val="20"/>
                <w:szCs w:val="20"/>
                <w:lang w:eastAsia="en-AU"/>
              </w:rPr>
              <w:t>21,401</w:t>
            </w:r>
          </w:p>
        </w:tc>
        <w:tc>
          <w:tcPr>
            <w:tcW w:w="606"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EE0183">
              <w:rPr>
                <w:rFonts w:cs="Arial"/>
                <w:sz w:val="20"/>
                <w:szCs w:val="20"/>
                <w:lang w:eastAsia="en-AU"/>
              </w:rPr>
              <w:t>32.2</w:t>
            </w:r>
          </w:p>
        </w:tc>
      </w:tr>
      <w:tr w:rsidR="00EE0183" w:rsidRPr="00EE0183" w:rsidTr="00342651">
        <w:trPr>
          <w:trHeight w:val="359"/>
        </w:trPr>
        <w:tc>
          <w:tcPr>
            <w:cnfStyle w:val="001000000000" w:firstRow="0" w:lastRow="0" w:firstColumn="1" w:lastColumn="0" w:oddVBand="0" w:evenVBand="0" w:oddHBand="0" w:evenHBand="0" w:firstRowFirstColumn="0" w:firstRowLastColumn="0" w:lastRowFirstColumn="0" w:lastRowLastColumn="0"/>
            <w:tcW w:w="1998" w:type="dxa"/>
            <w:noWrap/>
            <w:hideMark/>
          </w:tcPr>
          <w:p w:rsidR="00F749B8" w:rsidRPr="00EE0183" w:rsidRDefault="00F749B8" w:rsidP="00624D3B">
            <w:pPr>
              <w:spacing w:line="276" w:lineRule="auto"/>
              <w:jc w:val="center"/>
              <w:rPr>
                <w:rFonts w:cs="Arial"/>
                <w:sz w:val="20"/>
                <w:szCs w:val="20"/>
                <w:lang w:eastAsia="en-AU"/>
              </w:rPr>
            </w:pPr>
            <w:r w:rsidRPr="00EE0183">
              <w:rPr>
                <w:rFonts w:cs="Arial"/>
                <w:sz w:val="20"/>
                <w:szCs w:val="20"/>
                <w:lang w:eastAsia="en-AU"/>
              </w:rPr>
              <w:t>National Institutes</w:t>
            </w:r>
          </w:p>
        </w:tc>
        <w:tc>
          <w:tcPr>
            <w:tcW w:w="939"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EE0183">
              <w:rPr>
                <w:rFonts w:cs="Arial"/>
                <w:sz w:val="20"/>
                <w:szCs w:val="20"/>
                <w:lang w:eastAsia="en-AU"/>
              </w:rPr>
              <w:t>967</w:t>
            </w:r>
          </w:p>
        </w:tc>
        <w:tc>
          <w:tcPr>
            <w:tcW w:w="63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EE0183">
              <w:rPr>
                <w:rFonts w:cs="Arial"/>
                <w:sz w:val="20"/>
                <w:szCs w:val="20"/>
                <w:lang w:eastAsia="en-AU"/>
              </w:rPr>
              <w:t>2.7</w:t>
            </w:r>
          </w:p>
        </w:tc>
        <w:tc>
          <w:tcPr>
            <w:tcW w:w="990" w:type="dxa"/>
            <w:noWrap/>
            <w:hideMark/>
          </w:tcPr>
          <w:p w:rsidR="00F749B8" w:rsidRPr="00D0414C"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D0414C">
              <w:rPr>
                <w:rFonts w:cs="Arial"/>
                <w:sz w:val="20"/>
                <w:szCs w:val="20"/>
                <w:lang w:eastAsia="en-AU"/>
              </w:rPr>
              <w:t>866</w:t>
            </w:r>
          </w:p>
        </w:tc>
        <w:tc>
          <w:tcPr>
            <w:tcW w:w="630" w:type="dxa"/>
            <w:noWrap/>
            <w:hideMark/>
          </w:tcPr>
          <w:p w:rsidR="00F749B8" w:rsidRPr="00D0414C"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D0414C">
              <w:rPr>
                <w:rFonts w:cs="Arial"/>
                <w:sz w:val="20"/>
                <w:szCs w:val="20"/>
                <w:lang w:eastAsia="en-AU"/>
              </w:rPr>
              <w:t>1.7</w:t>
            </w:r>
          </w:p>
        </w:tc>
        <w:tc>
          <w:tcPr>
            <w:tcW w:w="939" w:type="dxa"/>
            <w:noWrap/>
            <w:hideMark/>
          </w:tcPr>
          <w:p w:rsidR="00F749B8" w:rsidRPr="00D0414C"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i/>
                <w:sz w:val="20"/>
                <w:szCs w:val="20"/>
                <w:lang w:eastAsia="en-AU"/>
              </w:rPr>
            </w:pPr>
            <w:r w:rsidRPr="00D0414C">
              <w:rPr>
                <w:rFonts w:cs="Arial"/>
                <w:i/>
                <w:sz w:val="20"/>
                <w:szCs w:val="20"/>
                <w:lang w:eastAsia="en-AU"/>
              </w:rPr>
              <w:t>899</w:t>
            </w:r>
          </w:p>
        </w:tc>
        <w:tc>
          <w:tcPr>
            <w:tcW w:w="630" w:type="dxa"/>
            <w:noWrap/>
            <w:hideMark/>
          </w:tcPr>
          <w:p w:rsidR="00F749B8" w:rsidRPr="00D0414C"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i/>
                <w:sz w:val="20"/>
                <w:szCs w:val="20"/>
                <w:lang w:eastAsia="en-AU"/>
              </w:rPr>
            </w:pPr>
            <w:r w:rsidRPr="00D0414C">
              <w:rPr>
                <w:rFonts w:cs="Arial"/>
                <w:i/>
                <w:sz w:val="20"/>
                <w:szCs w:val="20"/>
                <w:lang w:eastAsia="en-AU"/>
              </w:rPr>
              <w:t>1.5</w:t>
            </w:r>
          </w:p>
        </w:tc>
        <w:tc>
          <w:tcPr>
            <w:tcW w:w="990" w:type="dxa"/>
            <w:noWrap/>
            <w:hideMark/>
          </w:tcPr>
          <w:p w:rsidR="00F749B8" w:rsidRPr="00D0414C"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i/>
                <w:sz w:val="20"/>
                <w:szCs w:val="20"/>
                <w:lang w:eastAsia="en-AU"/>
              </w:rPr>
            </w:pPr>
            <w:r w:rsidRPr="00D0414C">
              <w:rPr>
                <w:rFonts w:cs="Arial"/>
                <w:i/>
                <w:sz w:val="20"/>
                <w:szCs w:val="20"/>
                <w:lang w:eastAsia="en-AU"/>
              </w:rPr>
              <w:t>931</w:t>
            </w:r>
          </w:p>
        </w:tc>
        <w:tc>
          <w:tcPr>
            <w:tcW w:w="630" w:type="dxa"/>
            <w:noWrap/>
            <w:hideMark/>
          </w:tcPr>
          <w:p w:rsidR="00F749B8" w:rsidRPr="00D0414C"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i/>
                <w:sz w:val="20"/>
                <w:szCs w:val="20"/>
                <w:lang w:eastAsia="en-AU"/>
              </w:rPr>
            </w:pPr>
            <w:r w:rsidRPr="00D0414C">
              <w:rPr>
                <w:rFonts w:cs="Arial"/>
                <w:i/>
                <w:sz w:val="20"/>
                <w:szCs w:val="20"/>
                <w:lang w:eastAsia="en-AU"/>
              </w:rPr>
              <w:t>1.5</w:t>
            </w:r>
          </w:p>
        </w:tc>
        <w:tc>
          <w:tcPr>
            <w:tcW w:w="939" w:type="dxa"/>
            <w:noWrap/>
            <w:hideMark/>
          </w:tcPr>
          <w:p w:rsidR="00F749B8" w:rsidRPr="00D0414C"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D0414C">
              <w:rPr>
                <w:rFonts w:cs="Arial"/>
                <w:sz w:val="20"/>
                <w:szCs w:val="20"/>
                <w:lang w:eastAsia="en-AU"/>
              </w:rPr>
              <w:t>970</w:t>
            </w:r>
          </w:p>
        </w:tc>
        <w:tc>
          <w:tcPr>
            <w:tcW w:w="606"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EE0183">
              <w:rPr>
                <w:rFonts w:cs="Arial"/>
                <w:sz w:val="20"/>
                <w:szCs w:val="20"/>
                <w:lang w:eastAsia="en-AU"/>
              </w:rPr>
              <w:t>1.5</w:t>
            </w:r>
          </w:p>
        </w:tc>
      </w:tr>
      <w:tr w:rsidR="00EE0183" w:rsidRPr="00EE0183" w:rsidTr="00342651">
        <w:trPr>
          <w:trHeight w:val="332"/>
        </w:trPr>
        <w:tc>
          <w:tcPr>
            <w:cnfStyle w:val="001000000000" w:firstRow="0" w:lastRow="0" w:firstColumn="1" w:lastColumn="0" w:oddVBand="0" w:evenVBand="0" w:oddHBand="0" w:evenHBand="0" w:firstRowFirstColumn="0" w:firstRowLastColumn="0" w:lastRowFirstColumn="0" w:lastRowLastColumn="0"/>
            <w:tcW w:w="1998" w:type="dxa"/>
            <w:noWrap/>
            <w:hideMark/>
          </w:tcPr>
          <w:p w:rsidR="00F749B8" w:rsidRPr="00EE0183" w:rsidRDefault="00F749B8" w:rsidP="00624D3B">
            <w:pPr>
              <w:spacing w:line="276" w:lineRule="auto"/>
              <w:jc w:val="center"/>
              <w:rPr>
                <w:rFonts w:cs="Arial"/>
                <w:sz w:val="20"/>
                <w:szCs w:val="20"/>
                <w:lang w:eastAsia="en-AU"/>
              </w:rPr>
            </w:pPr>
            <w:r w:rsidRPr="00EE0183">
              <w:rPr>
                <w:rFonts w:cs="Arial"/>
                <w:sz w:val="20"/>
                <w:szCs w:val="20"/>
                <w:lang w:eastAsia="en-AU"/>
              </w:rPr>
              <w:t>SAMES</w:t>
            </w:r>
          </w:p>
        </w:tc>
        <w:tc>
          <w:tcPr>
            <w:tcW w:w="939"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EE0183">
              <w:rPr>
                <w:rFonts w:cs="Arial"/>
                <w:sz w:val="20"/>
                <w:szCs w:val="20"/>
                <w:lang w:eastAsia="en-AU"/>
              </w:rPr>
              <w:t>907</w:t>
            </w:r>
          </w:p>
        </w:tc>
        <w:tc>
          <w:tcPr>
            <w:tcW w:w="63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EE0183">
              <w:rPr>
                <w:rFonts w:cs="Arial"/>
                <w:sz w:val="20"/>
                <w:szCs w:val="20"/>
                <w:lang w:eastAsia="en-AU"/>
              </w:rPr>
              <w:t>2.5</w:t>
            </w:r>
          </w:p>
        </w:tc>
        <w:tc>
          <w:tcPr>
            <w:tcW w:w="990" w:type="dxa"/>
            <w:noWrap/>
            <w:hideMark/>
          </w:tcPr>
          <w:p w:rsidR="00F749B8" w:rsidRPr="00D0414C"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D0414C">
              <w:rPr>
                <w:rFonts w:cs="Arial"/>
                <w:sz w:val="20"/>
                <w:szCs w:val="20"/>
                <w:lang w:eastAsia="en-AU"/>
              </w:rPr>
              <w:t>5,901</w:t>
            </w:r>
          </w:p>
        </w:tc>
        <w:tc>
          <w:tcPr>
            <w:tcW w:w="630" w:type="dxa"/>
            <w:noWrap/>
            <w:hideMark/>
          </w:tcPr>
          <w:p w:rsidR="00F749B8" w:rsidRPr="00D0414C"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D0414C">
              <w:rPr>
                <w:rFonts w:cs="Arial"/>
                <w:sz w:val="20"/>
                <w:szCs w:val="20"/>
                <w:lang w:eastAsia="en-AU"/>
              </w:rPr>
              <w:t>11.8</w:t>
            </w:r>
          </w:p>
        </w:tc>
        <w:tc>
          <w:tcPr>
            <w:tcW w:w="939" w:type="dxa"/>
            <w:noWrap/>
            <w:hideMark/>
          </w:tcPr>
          <w:p w:rsidR="00F749B8" w:rsidRPr="00D0414C"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i/>
                <w:sz w:val="20"/>
                <w:szCs w:val="20"/>
                <w:lang w:eastAsia="en-AU"/>
              </w:rPr>
            </w:pPr>
            <w:r w:rsidRPr="00D0414C">
              <w:rPr>
                <w:rFonts w:cs="Arial"/>
                <w:i/>
                <w:sz w:val="20"/>
                <w:szCs w:val="20"/>
                <w:lang w:eastAsia="en-AU"/>
              </w:rPr>
              <w:t>846</w:t>
            </w:r>
          </w:p>
        </w:tc>
        <w:tc>
          <w:tcPr>
            <w:tcW w:w="630" w:type="dxa"/>
            <w:noWrap/>
            <w:hideMark/>
          </w:tcPr>
          <w:p w:rsidR="00F749B8" w:rsidRPr="00D0414C"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i/>
                <w:sz w:val="20"/>
                <w:szCs w:val="20"/>
                <w:lang w:eastAsia="en-AU"/>
              </w:rPr>
            </w:pPr>
            <w:r w:rsidRPr="00D0414C">
              <w:rPr>
                <w:rFonts w:cs="Arial"/>
                <w:i/>
                <w:sz w:val="20"/>
                <w:szCs w:val="20"/>
                <w:lang w:eastAsia="en-AU"/>
              </w:rPr>
              <w:t>1.4</w:t>
            </w:r>
          </w:p>
        </w:tc>
        <w:tc>
          <w:tcPr>
            <w:tcW w:w="990" w:type="dxa"/>
            <w:noWrap/>
            <w:hideMark/>
          </w:tcPr>
          <w:p w:rsidR="00F749B8" w:rsidRPr="00D0414C"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i/>
                <w:sz w:val="20"/>
                <w:szCs w:val="20"/>
                <w:lang w:eastAsia="en-AU"/>
              </w:rPr>
            </w:pPr>
            <w:r w:rsidRPr="00D0414C">
              <w:rPr>
                <w:rFonts w:cs="Arial"/>
                <w:i/>
                <w:sz w:val="20"/>
                <w:szCs w:val="20"/>
                <w:lang w:eastAsia="en-AU"/>
              </w:rPr>
              <w:t>878</w:t>
            </w:r>
          </w:p>
        </w:tc>
        <w:tc>
          <w:tcPr>
            <w:tcW w:w="630" w:type="dxa"/>
            <w:noWrap/>
            <w:hideMark/>
          </w:tcPr>
          <w:p w:rsidR="00F749B8" w:rsidRPr="00D0414C"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i/>
                <w:sz w:val="20"/>
                <w:szCs w:val="20"/>
                <w:lang w:eastAsia="en-AU"/>
              </w:rPr>
            </w:pPr>
            <w:r w:rsidRPr="00D0414C">
              <w:rPr>
                <w:rFonts w:cs="Arial"/>
                <w:i/>
                <w:sz w:val="20"/>
                <w:szCs w:val="20"/>
                <w:lang w:eastAsia="en-AU"/>
              </w:rPr>
              <w:t>1.4</w:t>
            </w:r>
          </w:p>
        </w:tc>
        <w:tc>
          <w:tcPr>
            <w:tcW w:w="939" w:type="dxa"/>
            <w:noWrap/>
            <w:hideMark/>
          </w:tcPr>
          <w:p w:rsidR="00F749B8" w:rsidRPr="00D0414C"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D0414C">
              <w:rPr>
                <w:rFonts w:cs="Arial"/>
                <w:sz w:val="20"/>
                <w:szCs w:val="20"/>
                <w:lang w:eastAsia="en-AU"/>
              </w:rPr>
              <w:t>914</w:t>
            </w:r>
          </w:p>
        </w:tc>
        <w:tc>
          <w:tcPr>
            <w:tcW w:w="606"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EE0183">
              <w:rPr>
                <w:rFonts w:cs="Arial"/>
                <w:sz w:val="20"/>
                <w:szCs w:val="20"/>
                <w:lang w:eastAsia="en-AU"/>
              </w:rPr>
              <w:t>1.4</w:t>
            </w:r>
          </w:p>
        </w:tc>
      </w:tr>
      <w:tr w:rsidR="00EE0183" w:rsidRPr="00EE0183" w:rsidTr="00342651">
        <w:trPr>
          <w:trHeight w:val="417"/>
        </w:trPr>
        <w:tc>
          <w:tcPr>
            <w:cnfStyle w:val="001000000000" w:firstRow="0" w:lastRow="0" w:firstColumn="1" w:lastColumn="0" w:oddVBand="0" w:evenVBand="0" w:oddHBand="0" w:evenHBand="0" w:firstRowFirstColumn="0" w:firstRowLastColumn="0" w:lastRowFirstColumn="0" w:lastRowLastColumn="0"/>
            <w:tcW w:w="1998" w:type="dxa"/>
            <w:noWrap/>
            <w:hideMark/>
          </w:tcPr>
          <w:p w:rsidR="00F749B8" w:rsidRPr="00EE0183" w:rsidRDefault="00F749B8" w:rsidP="00624D3B">
            <w:pPr>
              <w:spacing w:line="276" w:lineRule="auto"/>
              <w:jc w:val="center"/>
              <w:rPr>
                <w:rFonts w:cs="Arial"/>
                <w:b/>
                <w:sz w:val="20"/>
                <w:szCs w:val="20"/>
                <w:lang w:eastAsia="en-AU"/>
              </w:rPr>
            </w:pPr>
            <w:r w:rsidRPr="00EE0183">
              <w:rPr>
                <w:rFonts w:cs="Arial"/>
                <w:b/>
                <w:sz w:val="20"/>
                <w:szCs w:val="20"/>
                <w:lang w:eastAsia="en-AU"/>
              </w:rPr>
              <w:t>MOH Total</w:t>
            </w:r>
          </w:p>
        </w:tc>
        <w:tc>
          <w:tcPr>
            <w:tcW w:w="939"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sz w:val="20"/>
                <w:szCs w:val="20"/>
                <w:lang w:eastAsia="en-AU"/>
              </w:rPr>
            </w:pPr>
            <w:r w:rsidRPr="00EE0183">
              <w:rPr>
                <w:rFonts w:cs="Arial"/>
                <w:b/>
                <w:sz w:val="20"/>
                <w:szCs w:val="20"/>
                <w:lang w:eastAsia="en-AU"/>
              </w:rPr>
              <w:t>35,788</w:t>
            </w:r>
          </w:p>
        </w:tc>
        <w:tc>
          <w:tcPr>
            <w:tcW w:w="63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sz w:val="20"/>
                <w:szCs w:val="20"/>
                <w:lang w:eastAsia="en-AU"/>
              </w:rPr>
            </w:pPr>
            <w:r w:rsidRPr="00EE0183">
              <w:rPr>
                <w:rFonts w:cs="Arial"/>
                <w:b/>
                <w:sz w:val="20"/>
                <w:szCs w:val="20"/>
                <w:lang w:eastAsia="en-AU"/>
              </w:rPr>
              <w:t>100</w:t>
            </w:r>
          </w:p>
        </w:tc>
        <w:tc>
          <w:tcPr>
            <w:tcW w:w="99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sz w:val="20"/>
                <w:szCs w:val="20"/>
                <w:lang w:eastAsia="en-AU"/>
              </w:rPr>
            </w:pPr>
            <w:r w:rsidRPr="00EE0183">
              <w:rPr>
                <w:rFonts w:cs="Arial"/>
                <w:b/>
                <w:sz w:val="20"/>
                <w:szCs w:val="20"/>
                <w:lang w:eastAsia="en-AU"/>
              </w:rPr>
              <w:t>49,925</w:t>
            </w:r>
          </w:p>
        </w:tc>
        <w:tc>
          <w:tcPr>
            <w:tcW w:w="63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sz w:val="20"/>
                <w:szCs w:val="20"/>
                <w:lang w:eastAsia="en-AU"/>
              </w:rPr>
            </w:pPr>
            <w:r w:rsidRPr="00EE0183">
              <w:rPr>
                <w:rFonts w:cs="Arial"/>
                <w:b/>
                <w:sz w:val="20"/>
                <w:szCs w:val="20"/>
                <w:lang w:eastAsia="en-AU"/>
              </w:rPr>
              <w:t>100</w:t>
            </w:r>
          </w:p>
        </w:tc>
        <w:tc>
          <w:tcPr>
            <w:tcW w:w="939"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i/>
                <w:sz w:val="20"/>
                <w:szCs w:val="20"/>
                <w:lang w:eastAsia="en-AU"/>
              </w:rPr>
            </w:pPr>
            <w:r w:rsidRPr="00EE0183">
              <w:rPr>
                <w:rFonts w:cs="Arial"/>
                <w:b/>
                <w:i/>
                <w:sz w:val="20"/>
                <w:szCs w:val="20"/>
                <w:lang w:eastAsia="en-AU"/>
              </w:rPr>
              <w:t>61,508</w:t>
            </w:r>
          </w:p>
        </w:tc>
        <w:tc>
          <w:tcPr>
            <w:tcW w:w="63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i/>
                <w:sz w:val="20"/>
                <w:szCs w:val="20"/>
                <w:lang w:eastAsia="en-AU"/>
              </w:rPr>
            </w:pPr>
            <w:r w:rsidRPr="00EE0183">
              <w:rPr>
                <w:rFonts w:cs="Arial"/>
                <w:b/>
                <w:i/>
                <w:sz w:val="20"/>
                <w:szCs w:val="20"/>
                <w:lang w:eastAsia="en-AU"/>
              </w:rPr>
              <w:t>100</w:t>
            </w:r>
          </w:p>
        </w:tc>
        <w:tc>
          <w:tcPr>
            <w:tcW w:w="99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i/>
                <w:sz w:val="20"/>
                <w:szCs w:val="20"/>
                <w:lang w:eastAsia="en-AU"/>
              </w:rPr>
            </w:pPr>
            <w:r w:rsidRPr="00EE0183">
              <w:rPr>
                <w:rFonts w:cs="Arial"/>
                <w:b/>
                <w:i/>
                <w:sz w:val="20"/>
                <w:szCs w:val="20"/>
                <w:lang w:eastAsia="en-AU"/>
              </w:rPr>
              <w:t>63,931</w:t>
            </w:r>
          </w:p>
        </w:tc>
        <w:tc>
          <w:tcPr>
            <w:tcW w:w="63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i/>
                <w:sz w:val="20"/>
                <w:szCs w:val="20"/>
                <w:lang w:eastAsia="en-AU"/>
              </w:rPr>
            </w:pPr>
            <w:r w:rsidRPr="00EE0183">
              <w:rPr>
                <w:rFonts w:cs="Arial"/>
                <w:b/>
                <w:i/>
                <w:sz w:val="20"/>
                <w:szCs w:val="20"/>
                <w:lang w:eastAsia="en-AU"/>
              </w:rPr>
              <w:t>100</w:t>
            </w:r>
          </w:p>
        </w:tc>
        <w:tc>
          <w:tcPr>
            <w:tcW w:w="939"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sz w:val="20"/>
                <w:szCs w:val="20"/>
                <w:lang w:eastAsia="en-AU"/>
              </w:rPr>
            </w:pPr>
            <w:r w:rsidRPr="00EE0183">
              <w:rPr>
                <w:rFonts w:cs="Arial"/>
                <w:b/>
                <w:sz w:val="20"/>
                <w:szCs w:val="20"/>
                <w:lang w:eastAsia="en-AU"/>
              </w:rPr>
              <w:t>66,509</w:t>
            </w:r>
          </w:p>
        </w:tc>
        <w:tc>
          <w:tcPr>
            <w:tcW w:w="606"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sz w:val="20"/>
                <w:szCs w:val="20"/>
                <w:lang w:eastAsia="en-AU"/>
              </w:rPr>
            </w:pPr>
            <w:r w:rsidRPr="00EE0183">
              <w:rPr>
                <w:rFonts w:cs="Arial"/>
                <w:b/>
                <w:sz w:val="20"/>
                <w:szCs w:val="20"/>
                <w:lang w:eastAsia="en-AU"/>
              </w:rPr>
              <w:t>100</w:t>
            </w:r>
          </w:p>
        </w:tc>
      </w:tr>
    </w:tbl>
    <w:p w:rsidR="003A52A7" w:rsidRDefault="003A52A7" w:rsidP="00624D3B">
      <w:pPr>
        <w:spacing w:after="0" w:line="276" w:lineRule="auto"/>
        <w:jc w:val="left"/>
        <w:rPr>
          <w:b/>
          <w:bCs/>
          <w:sz w:val="20"/>
          <w:szCs w:val="20"/>
        </w:rPr>
      </w:pPr>
    </w:p>
    <w:p w:rsidR="00F749B8" w:rsidRPr="00F749B8" w:rsidRDefault="00CC68E7" w:rsidP="00CC68E7">
      <w:pPr>
        <w:pStyle w:val="Caption"/>
        <w:rPr>
          <w:szCs w:val="20"/>
        </w:rPr>
      </w:pPr>
      <w:bookmarkStart w:id="37" w:name="_Toc373501351"/>
      <w:r>
        <w:t xml:space="preserve">Table </w:t>
      </w:r>
      <w:r w:rsidR="00AD246F">
        <w:t>8</w:t>
      </w:r>
      <w:r>
        <w:t xml:space="preserve">: </w:t>
      </w:r>
      <w:r w:rsidRPr="008D4E7A">
        <w:t xml:space="preserve"> MoH Budget allocations by economic category</w:t>
      </w:r>
      <w:r w:rsidR="00F749B8" w:rsidRPr="00F749B8">
        <w:rPr>
          <w:szCs w:val="20"/>
        </w:rPr>
        <w:t xml:space="preserve"> </w:t>
      </w:r>
      <w:r w:rsidR="00CD227A">
        <w:rPr>
          <w:rStyle w:val="FootnoteReference"/>
          <w:szCs w:val="20"/>
        </w:rPr>
        <w:footnoteReference w:id="61"/>
      </w:r>
      <w:bookmarkEnd w:id="37"/>
    </w:p>
    <w:tbl>
      <w:tblPr>
        <w:tblStyle w:val="HRF"/>
        <w:tblW w:w="10700" w:type="dxa"/>
        <w:tblInd w:w="-1026" w:type="dxa"/>
        <w:tblLook w:val="04A0" w:firstRow="1" w:lastRow="0" w:firstColumn="1" w:lastColumn="0" w:noHBand="0" w:noVBand="1"/>
      </w:tblPr>
      <w:tblGrid>
        <w:gridCol w:w="1863"/>
        <w:gridCol w:w="939"/>
        <w:gridCol w:w="895"/>
        <w:gridCol w:w="939"/>
        <w:gridCol w:w="784"/>
        <w:gridCol w:w="939"/>
        <w:gridCol w:w="895"/>
        <w:gridCol w:w="939"/>
        <w:gridCol w:w="784"/>
        <w:gridCol w:w="939"/>
        <w:gridCol w:w="784"/>
      </w:tblGrid>
      <w:tr w:rsidR="00624D3B" w:rsidRPr="00EE0183" w:rsidTr="0034265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63" w:type="dxa"/>
            <w:vMerge w:val="restart"/>
            <w:noWrap/>
            <w:hideMark/>
          </w:tcPr>
          <w:p w:rsidR="00F749B8" w:rsidRPr="00EE0183" w:rsidRDefault="00F749B8" w:rsidP="00624D3B">
            <w:pPr>
              <w:spacing w:line="276" w:lineRule="auto"/>
              <w:jc w:val="center"/>
              <w:rPr>
                <w:rFonts w:cs="Arial"/>
                <w:color w:val="FFFFFF" w:themeColor="background1"/>
                <w:sz w:val="20"/>
                <w:szCs w:val="20"/>
              </w:rPr>
            </w:pPr>
            <w:r w:rsidRPr="00EE0183">
              <w:rPr>
                <w:rFonts w:cs="Arial"/>
                <w:b/>
                <w:bCs/>
                <w:color w:val="FFFFFF" w:themeColor="background1"/>
                <w:sz w:val="20"/>
                <w:szCs w:val="20"/>
              </w:rPr>
              <w:t>Economic</w:t>
            </w:r>
          </w:p>
          <w:p w:rsidR="00F749B8" w:rsidRPr="00EE0183" w:rsidRDefault="00F749B8" w:rsidP="00624D3B">
            <w:pPr>
              <w:spacing w:line="276" w:lineRule="auto"/>
              <w:jc w:val="center"/>
              <w:rPr>
                <w:rFonts w:cs="Arial"/>
                <w:b/>
                <w:bCs/>
                <w:color w:val="000000"/>
                <w:sz w:val="20"/>
                <w:szCs w:val="20"/>
              </w:rPr>
            </w:pPr>
            <w:r w:rsidRPr="00EE0183">
              <w:rPr>
                <w:rFonts w:cs="Arial"/>
                <w:b/>
                <w:bCs/>
                <w:color w:val="FFFFFF" w:themeColor="background1"/>
                <w:sz w:val="20"/>
                <w:szCs w:val="20"/>
              </w:rPr>
              <w:t>Category</w:t>
            </w:r>
          </w:p>
        </w:tc>
        <w:tc>
          <w:tcPr>
            <w:tcW w:w="939" w:type="dxa"/>
            <w:noWrap/>
            <w:hideMark/>
          </w:tcPr>
          <w:p w:rsidR="00F749B8" w:rsidRPr="00EE0183" w:rsidRDefault="00F749B8" w:rsidP="00624D3B">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b/>
                <w:bCs/>
                <w:color w:val="FFFFFF" w:themeColor="background1"/>
                <w:sz w:val="20"/>
                <w:szCs w:val="20"/>
              </w:rPr>
            </w:pPr>
            <w:r w:rsidRPr="00EE0183">
              <w:rPr>
                <w:rFonts w:cs="Arial"/>
                <w:b/>
                <w:bCs/>
                <w:color w:val="FFFFFF" w:themeColor="background1"/>
                <w:sz w:val="20"/>
                <w:szCs w:val="20"/>
              </w:rPr>
              <w:t>2012</w:t>
            </w:r>
          </w:p>
        </w:tc>
        <w:tc>
          <w:tcPr>
            <w:tcW w:w="895" w:type="dxa"/>
            <w:noWrap/>
            <w:hideMark/>
          </w:tcPr>
          <w:p w:rsidR="00F749B8" w:rsidRPr="00EE0183" w:rsidRDefault="00F749B8" w:rsidP="00624D3B">
            <w:pPr>
              <w:spacing w:line="276" w:lineRule="auto"/>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sidRPr="00EE0183">
              <w:rPr>
                <w:rFonts w:cs="Arial"/>
                <w:color w:val="FFFFFF" w:themeColor="background1"/>
                <w:sz w:val="20"/>
                <w:szCs w:val="20"/>
              </w:rPr>
              <w:t> </w:t>
            </w:r>
          </w:p>
        </w:tc>
        <w:tc>
          <w:tcPr>
            <w:tcW w:w="939" w:type="dxa"/>
            <w:noWrap/>
            <w:hideMark/>
          </w:tcPr>
          <w:p w:rsidR="00F749B8" w:rsidRPr="00EE0183" w:rsidRDefault="00F749B8" w:rsidP="00624D3B">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b/>
                <w:bCs/>
                <w:color w:val="FFFFFF" w:themeColor="background1"/>
                <w:sz w:val="20"/>
                <w:szCs w:val="20"/>
              </w:rPr>
            </w:pPr>
            <w:r w:rsidRPr="00EE0183">
              <w:rPr>
                <w:rFonts w:cs="Arial"/>
                <w:b/>
                <w:bCs/>
                <w:color w:val="FFFFFF" w:themeColor="background1"/>
                <w:sz w:val="20"/>
                <w:szCs w:val="20"/>
              </w:rPr>
              <w:t>2013</w:t>
            </w:r>
          </w:p>
        </w:tc>
        <w:tc>
          <w:tcPr>
            <w:tcW w:w="784" w:type="dxa"/>
            <w:noWrap/>
            <w:hideMark/>
          </w:tcPr>
          <w:p w:rsidR="00F749B8" w:rsidRPr="00EE0183" w:rsidRDefault="00F749B8" w:rsidP="00624D3B">
            <w:pPr>
              <w:spacing w:line="276" w:lineRule="auto"/>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sidRPr="00EE0183">
              <w:rPr>
                <w:rFonts w:cs="Arial"/>
                <w:color w:val="FFFFFF" w:themeColor="background1"/>
                <w:sz w:val="20"/>
                <w:szCs w:val="20"/>
              </w:rPr>
              <w:t> </w:t>
            </w:r>
          </w:p>
        </w:tc>
        <w:tc>
          <w:tcPr>
            <w:tcW w:w="939" w:type="dxa"/>
            <w:noWrap/>
            <w:hideMark/>
          </w:tcPr>
          <w:p w:rsidR="00F749B8" w:rsidRPr="00EE0183" w:rsidRDefault="00F749B8" w:rsidP="00624D3B">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b/>
                <w:bCs/>
                <w:color w:val="FFFFFF" w:themeColor="background1"/>
                <w:sz w:val="20"/>
                <w:szCs w:val="20"/>
              </w:rPr>
            </w:pPr>
            <w:r w:rsidRPr="00EE0183">
              <w:rPr>
                <w:rFonts w:cs="Arial"/>
                <w:b/>
                <w:bCs/>
                <w:color w:val="FFFFFF" w:themeColor="background1"/>
                <w:sz w:val="20"/>
                <w:szCs w:val="20"/>
              </w:rPr>
              <w:t>2014</w:t>
            </w:r>
          </w:p>
        </w:tc>
        <w:tc>
          <w:tcPr>
            <w:tcW w:w="895" w:type="dxa"/>
            <w:noWrap/>
            <w:hideMark/>
          </w:tcPr>
          <w:p w:rsidR="00F749B8" w:rsidRPr="00EE0183" w:rsidRDefault="00F749B8" w:rsidP="00624D3B">
            <w:pPr>
              <w:spacing w:line="276" w:lineRule="auto"/>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sidRPr="00EE0183">
              <w:rPr>
                <w:rFonts w:cs="Arial"/>
                <w:color w:val="FFFFFF" w:themeColor="background1"/>
                <w:sz w:val="20"/>
                <w:szCs w:val="20"/>
              </w:rPr>
              <w:t> </w:t>
            </w:r>
          </w:p>
        </w:tc>
        <w:tc>
          <w:tcPr>
            <w:tcW w:w="939" w:type="dxa"/>
            <w:noWrap/>
            <w:hideMark/>
          </w:tcPr>
          <w:p w:rsidR="00F749B8" w:rsidRPr="00EE0183" w:rsidRDefault="00F749B8" w:rsidP="00624D3B">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b/>
                <w:bCs/>
                <w:color w:val="FFFFFF" w:themeColor="background1"/>
                <w:sz w:val="20"/>
                <w:szCs w:val="20"/>
              </w:rPr>
            </w:pPr>
            <w:r w:rsidRPr="00EE0183">
              <w:rPr>
                <w:rFonts w:cs="Arial"/>
                <w:b/>
                <w:bCs/>
                <w:color w:val="FFFFFF" w:themeColor="background1"/>
                <w:sz w:val="20"/>
                <w:szCs w:val="20"/>
              </w:rPr>
              <w:t>2015</w:t>
            </w:r>
          </w:p>
        </w:tc>
        <w:tc>
          <w:tcPr>
            <w:tcW w:w="784" w:type="dxa"/>
            <w:noWrap/>
            <w:hideMark/>
          </w:tcPr>
          <w:p w:rsidR="00F749B8" w:rsidRPr="00EE0183" w:rsidRDefault="00F749B8" w:rsidP="00624D3B">
            <w:pPr>
              <w:spacing w:line="276" w:lineRule="auto"/>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sidRPr="00EE0183">
              <w:rPr>
                <w:rFonts w:cs="Arial"/>
                <w:color w:val="FFFFFF" w:themeColor="background1"/>
                <w:sz w:val="20"/>
                <w:szCs w:val="20"/>
              </w:rPr>
              <w:t> </w:t>
            </w:r>
          </w:p>
        </w:tc>
        <w:tc>
          <w:tcPr>
            <w:tcW w:w="939" w:type="dxa"/>
            <w:noWrap/>
            <w:hideMark/>
          </w:tcPr>
          <w:p w:rsidR="00F749B8" w:rsidRPr="00EE0183" w:rsidRDefault="00F749B8" w:rsidP="00624D3B">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b/>
                <w:bCs/>
                <w:color w:val="FFFFFF" w:themeColor="background1"/>
                <w:sz w:val="20"/>
                <w:szCs w:val="20"/>
              </w:rPr>
            </w:pPr>
            <w:r w:rsidRPr="00EE0183">
              <w:rPr>
                <w:rFonts w:cs="Arial"/>
                <w:b/>
                <w:bCs/>
                <w:color w:val="FFFFFF" w:themeColor="background1"/>
                <w:sz w:val="20"/>
                <w:szCs w:val="20"/>
              </w:rPr>
              <w:t>2016</w:t>
            </w:r>
          </w:p>
        </w:tc>
        <w:tc>
          <w:tcPr>
            <w:tcW w:w="784" w:type="dxa"/>
            <w:noWrap/>
            <w:hideMark/>
          </w:tcPr>
          <w:p w:rsidR="00F749B8" w:rsidRPr="00EE0183" w:rsidRDefault="00F749B8" w:rsidP="00624D3B">
            <w:pPr>
              <w:spacing w:line="276" w:lineRule="auto"/>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sidRPr="00EE0183">
              <w:rPr>
                <w:rFonts w:cs="Arial"/>
                <w:color w:val="FFFFFF" w:themeColor="background1"/>
                <w:sz w:val="20"/>
                <w:szCs w:val="20"/>
              </w:rPr>
              <w:t> </w:t>
            </w:r>
          </w:p>
        </w:tc>
      </w:tr>
      <w:tr w:rsidR="00624D3B" w:rsidRPr="00EE0183" w:rsidTr="00342651">
        <w:trPr>
          <w:trHeight w:val="300"/>
        </w:trPr>
        <w:tc>
          <w:tcPr>
            <w:cnfStyle w:val="001000000000" w:firstRow="0" w:lastRow="0" w:firstColumn="1" w:lastColumn="0" w:oddVBand="0" w:evenVBand="0" w:oddHBand="0" w:evenHBand="0" w:firstRowFirstColumn="0" w:firstRowLastColumn="0" w:lastRowFirstColumn="0" w:lastRowLastColumn="0"/>
            <w:tcW w:w="1863" w:type="dxa"/>
            <w:vMerge/>
            <w:noWrap/>
            <w:hideMark/>
          </w:tcPr>
          <w:p w:rsidR="00F749B8" w:rsidRPr="00EE0183" w:rsidRDefault="00F749B8" w:rsidP="00624D3B">
            <w:pPr>
              <w:spacing w:line="276" w:lineRule="auto"/>
              <w:jc w:val="center"/>
              <w:rPr>
                <w:rFonts w:cs="Arial"/>
                <w:b/>
                <w:bCs/>
                <w:sz w:val="20"/>
                <w:szCs w:val="20"/>
              </w:rPr>
            </w:pPr>
          </w:p>
        </w:tc>
        <w:tc>
          <w:tcPr>
            <w:tcW w:w="939" w:type="dxa"/>
            <w:shd w:val="clear" w:color="auto" w:fill="1B3A59"/>
            <w:noWrap/>
            <w:hideMark/>
          </w:tcPr>
          <w:p w:rsidR="00F749B8" w:rsidRPr="00EE0183" w:rsidRDefault="009322F3"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color w:val="FFFFFF" w:themeColor="background1"/>
                <w:sz w:val="20"/>
                <w:szCs w:val="20"/>
              </w:rPr>
            </w:pPr>
            <w:r>
              <w:rPr>
                <w:rFonts w:cs="Arial"/>
                <w:b/>
                <w:bCs/>
                <w:color w:val="FFFFFF" w:themeColor="background1"/>
                <w:sz w:val="20"/>
                <w:szCs w:val="20"/>
              </w:rPr>
              <w:t>US</w:t>
            </w:r>
            <w:r w:rsidR="00F749B8" w:rsidRPr="00EE0183">
              <w:rPr>
                <w:rFonts w:cs="Arial"/>
                <w:b/>
                <w:bCs/>
                <w:color w:val="FFFFFF" w:themeColor="background1"/>
                <w:sz w:val="20"/>
                <w:szCs w:val="20"/>
              </w:rPr>
              <w:t xml:space="preserve">$000 </w:t>
            </w:r>
          </w:p>
        </w:tc>
        <w:tc>
          <w:tcPr>
            <w:tcW w:w="895" w:type="dxa"/>
            <w:shd w:val="clear" w:color="auto" w:fill="1B3A59"/>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color w:val="FFFFFF" w:themeColor="background1"/>
                <w:sz w:val="20"/>
                <w:szCs w:val="20"/>
              </w:rPr>
            </w:pPr>
            <w:r w:rsidRPr="00EE0183">
              <w:rPr>
                <w:rFonts w:cs="Arial"/>
                <w:b/>
                <w:bCs/>
                <w:color w:val="FFFFFF" w:themeColor="background1"/>
                <w:sz w:val="20"/>
                <w:szCs w:val="20"/>
              </w:rPr>
              <w:t>%</w:t>
            </w:r>
          </w:p>
        </w:tc>
        <w:tc>
          <w:tcPr>
            <w:tcW w:w="939" w:type="dxa"/>
            <w:shd w:val="clear" w:color="auto" w:fill="1B3A59"/>
            <w:noWrap/>
            <w:hideMark/>
          </w:tcPr>
          <w:p w:rsidR="00F749B8" w:rsidRPr="00EE0183" w:rsidRDefault="009322F3"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color w:val="FFFFFF" w:themeColor="background1"/>
                <w:sz w:val="20"/>
                <w:szCs w:val="20"/>
              </w:rPr>
            </w:pPr>
            <w:r>
              <w:rPr>
                <w:rFonts w:cs="Arial"/>
                <w:b/>
                <w:bCs/>
                <w:color w:val="FFFFFF" w:themeColor="background1"/>
                <w:sz w:val="20"/>
                <w:szCs w:val="20"/>
              </w:rPr>
              <w:t>US</w:t>
            </w:r>
            <w:r w:rsidR="00F749B8" w:rsidRPr="00EE0183">
              <w:rPr>
                <w:rFonts w:cs="Arial"/>
                <w:b/>
                <w:bCs/>
                <w:color w:val="FFFFFF" w:themeColor="background1"/>
                <w:sz w:val="20"/>
                <w:szCs w:val="20"/>
              </w:rPr>
              <w:t xml:space="preserve">$000 </w:t>
            </w:r>
          </w:p>
        </w:tc>
        <w:tc>
          <w:tcPr>
            <w:tcW w:w="784" w:type="dxa"/>
            <w:shd w:val="clear" w:color="auto" w:fill="1B3A59"/>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color w:val="FFFFFF" w:themeColor="background1"/>
                <w:sz w:val="20"/>
                <w:szCs w:val="20"/>
              </w:rPr>
            </w:pPr>
            <w:r w:rsidRPr="00EE0183">
              <w:rPr>
                <w:rFonts w:cs="Arial"/>
                <w:b/>
                <w:bCs/>
                <w:color w:val="FFFFFF" w:themeColor="background1"/>
                <w:sz w:val="20"/>
                <w:szCs w:val="20"/>
              </w:rPr>
              <w:t>%</w:t>
            </w:r>
          </w:p>
        </w:tc>
        <w:tc>
          <w:tcPr>
            <w:tcW w:w="939" w:type="dxa"/>
            <w:shd w:val="clear" w:color="auto" w:fill="1B3A59"/>
            <w:noWrap/>
            <w:hideMark/>
          </w:tcPr>
          <w:p w:rsidR="00F749B8" w:rsidRPr="00EE0183" w:rsidRDefault="009322F3"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color w:val="FFFFFF" w:themeColor="background1"/>
                <w:sz w:val="20"/>
                <w:szCs w:val="20"/>
              </w:rPr>
            </w:pPr>
            <w:r>
              <w:rPr>
                <w:rFonts w:cs="Arial"/>
                <w:b/>
                <w:bCs/>
                <w:color w:val="FFFFFF" w:themeColor="background1"/>
                <w:sz w:val="20"/>
                <w:szCs w:val="20"/>
              </w:rPr>
              <w:t>US</w:t>
            </w:r>
            <w:r w:rsidR="00F749B8" w:rsidRPr="00EE0183">
              <w:rPr>
                <w:rFonts w:cs="Arial"/>
                <w:b/>
                <w:bCs/>
                <w:color w:val="FFFFFF" w:themeColor="background1"/>
                <w:sz w:val="20"/>
                <w:szCs w:val="20"/>
              </w:rPr>
              <w:t xml:space="preserve">$000 </w:t>
            </w:r>
          </w:p>
        </w:tc>
        <w:tc>
          <w:tcPr>
            <w:tcW w:w="895" w:type="dxa"/>
            <w:shd w:val="clear" w:color="auto" w:fill="1B3A59"/>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color w:val="FFFFFF" w:themeColor="background1"/>
                <w:sz w:val="20"/>
                <w:szCs w:val="20"/>
              </w:rPr>
            </w:pPr>
            <w:r w:rsidRPr="00EE0183">
              <w:rPr>
                <w:rFonts w:cs="Arial"/>
                <w:b/>
                <w:bCs/>
                <w:color w:val="FFFFFF" w:themeColor="background1"/>
                <w:sz w:val="20"/>
                <w:szCs w:val="20"/>
              </w:rPr>
              <w:t>%</w:t>
            </w:r>
          </w:p>
        </w:tc>
        <w:tc>
          <w:tcPr>
            <w:tcW w:w="939" w:type="dxa"/>
            <w:shd w:val="clear" w:color="auto" w:fill="1B3A59"/>
            <w:noWrap/>
            <w:hideMark/>
          </w:tcPr>
          <w:p w:rsidR="00F749B8" w:rsidRPr="00EE0183" w:rsidRDefault="009322F3"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color w:val="FFFFFF" w:themeColor="background1"/>
                <w:sz w:val="20"/>
                <w:szCs w:val="20"/>
              </w:rPr>
            </w:pPr>
            <w:r>
              <w:rPr>
                <w:rFonts w:cs="Arial"/>
                <w:b/>
                <w:bCs/>
                <w:color w:val="FFFFFF" w:themeColor="background1"/>
                <w:sz w:val="20"/>
                <w:szCs w:val="20"/>
              </w:rPr>
              <w:t>US</w:t>
            </w:r>
            <w:r w:rsidR="00F749B8" w:rsidRPr="00EE0183">
              <w:rPr>
                <w:rFonts w:cs="Arial"/>
                <w:b/>
                <w:bCs/>
                <w:color w:val="FFFFFF" w:themeColor="background1"/>
                <w:sz w:val="20"/>
                <w:szCs w:val="20"/>
              </w:rPr>
              <w:t xml:space="preserve">$000 </w:t>
            </w:r>
          </w:p>
        </w:tc>
        <w:tc>
          <w:tcPr>
            <w:tcW w:w="784" w:type="dxa"/>
            <w:shd w:val="clear" w:color="auto" w:fill="1B3A59"/>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color w:val="FFFFFF" w:themeColor="background1"/>
                <w:sz w:val="20"/>
                <w:szCs w:val="20"/>
              </w:rPr>
            </w:pPr>
            <w:r w:rsidRPr="00EE0183">
              <w:rPr>
                <w:rFonts w:cs="Arial"/>
                <w:b/>
                <w:bCs/>
                <w:color w:val="FFFFFF" w:themeColor="background1"/>
                <w:sz w:val="20"/>
                <w:szCs w:val="20"/>
              </w:rPr>
              <w:t>%</w:t>
            </w:r>
          </w:p>
        </w:tc>
        <w:tc>
          <w:tcPr>
            <w:tcW w:w="939" w:type="dxa"/>
            <w:shd w:val="clear" w:color="auto" w:fill="1B3A59"/>
            <w:noWrap/>
            <w:hideMark/>
          </w:tcPr>
          <w:p w:rsidR="00F749B8" w:rsidRPr="00EE0183" w:rsidRDefault="009322F3"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color w:val="FFFFFF" w:themeColor="background1"/>
                <w:sz w:val="20"/>
                <w:szCs w:val="20"/>
              </w:rPr>
            </w:pPr>
            <w:r>
              <w:rPr>
                <w:rFonts w:cs="Arial"/>
                <w:b/>
                <w:bCs/>
                <w:color w:val="FFFFFF" w:themeColor="background1"/>
                <w:sz w:val="20"/>
                <w:szCs w:val="20"/>
              </w:rPr>
              <w:t>US</w:t>
            </w:r>
            <w:r w:rsidR="00F749B8" w:rsidRPr="00EE0183">
              <w:rPr>
                <w:rFonts w:cs="Arial"/>
                <w:b/>
                <w:bCs/>
                <w:color w:val="FFFFFF" w:themeColor="background1"/>
                <w:sz w:val="20"/>
                <w:szCs w:val="20"/>
              </w:rPr>
              <w:t xml:space="preserve">$000 </w:t>
            </w:r>
          </w:p>
        </w:tc>
        <w:tc>
          <w:tcPr>
            <w:tcW w:w="784" w:type="dxa"/>
            <w:shd w:val="clear" w:color="auto" w:fill="1B3A59"/>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color w:val="FFFFFF" w:themeColor="background1"/>
                <w:sz w:val="20"/>
                <w:szCs w:val="20"/>
              </w:rPr>
            </w:pPr>
            <w:r w:rsidRPr="00EE0183">
              <w:rPr>
                <w:rFonts w:cs="Arial"/>
                <w:b/>
                <w:bCs/>
                <w:color w:val="FFFFFF" w:themeColor="background1"/>
                <w:sz w:val="20"/>
                <w:szCs w:val="20"/>
              </w:rPr>
              <w:t>%</w:t>
            </w:r>
          </w:p>
        </w:tc>
      </w:tr>
      <w:tr w:rsidR="00624D3B" w:rsidRPr="00EE0183" w:rsidTr="00342651">
        <w:trPr>
          <w:trHeight w:val="300"/>
        </w:trPr>
        <w:tc>
          <w:tcPr>
            <w:cnfStyle w:val="001000000000" w:firstRow="0" w:lastRow="0" w:firstColumn="1" w:lastColumn="0" w:oddVBand="0" w:evenVBand="0" w:oddHBand="0" w:evenHBand="0" w:firstRowFirstColumn="0" w:firstRowLastColumn="0" w:lastRowFirstColumn="0" w:lastRowLastColumn="0"/>
            <w:tcW w:w="1863" w:type="dxa"/>
            <w:noWrap/>
            <w:hideMark/>
          </w:tcPr>
          <w:p w:rsidR="00610965" w:rsidRDefault="00F749B8" w:rsidP="000B55BB">
            <w:pPr>
              <w:spacing w:line="276" w:lineRule="auto"/>
              <w:jc w:val="center"/>
              <w:rPr>
                <w:rFonts w:cs="Arial"/>
                <w:color w:val="auto"/>
                <w:sz w:val="20"/>
                <w:szCs w:val="20"/>
              </w:rPr>
            </w:pPr>
            <w:r w:rsidRPr="00EE0183">
              <w:rPr>
                <w:rFonts w:cs="Arial"/>
                <w:sz w:val="20"/>
                <w:szCs w:val="20"/>
              </w:rPr>
              <w:t>Salaries and Wages</w:t>
            </w:r>
          </w:p>
        </w:tc>
        <w:tc>
          <w:tcPr>
            <w:tcW w:w="939"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15,967</w:t>
            </w:r>
          </w:p>
        </w:tc>
        <w:tc>
          <w:tcPr>
            <w:tcW w:w="895"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34.3%</w:t>
            </w:r>
          </w:p>
        </w:tc>
        <w:tc>
          <w:tcPr>
            <w:tcW w:w="939"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22,468</w:t>
            </w:r>
          </w:p>
        </w:tc>
        <w:tc>
          <w:tcPr>
            <w:tcW w:w="784"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36.5%</w:t>
            </w:r>
          </w:p>
        </w:tc>
        <w:tc>
          <w:tcPr>
            <w:tcW w:w="939"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27,283</w:t>
            </w:r>
          </w:p>
        </w:tc>
        <w:tc>
          <w:tcPr>
            <w:tcW w:w="895"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40.6%</w:t>
            </w:r>
          </w:p>
        </w:tc>
        <w:tc>
          <w:tcPr>
            <w:tcW w:w="939"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28,374</w:t>
            </w:r>
          </w:p>
        </w:tc>
        <w:tc>
          <w:tcPr>
            <w:tcW w:w="784"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40.6%</w:t>
            </w:r>
          </w:p>
        </w:tc>
        <w:tc>
          <w:tcPr>
            <w:tcW w:w="939"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29,509</w:t>
            </w:r>
          </w:p>
        </w:tc>
        <w:tc>
          <w:tcPr>
            <w:tcW w:w="784"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40.6%</w:t>
            </w:r>
          </w:p>
        </w:tc>
      </w:tr>
      <w:tr w:rsidR="00624D3B" w:rsidRPr="00EE0183" w:rsidTr="00342651">
        <w:trPr>
          <w:trHeight w:val="300"/>
        </w:trPr>
        <w:tc>
          <w:tcPr>
            <w:cnfStyle w:val="001000000000" w:firstRow="0" w:lastRow="0" w:firstColumn="1" w:lastColumn="0" w:oddVBand="0" w:evenVBand="0" w:oddHBand="0" w:evenHBand="0" w:firstRowFirstColumn="0" w:firstRowLastColumn="0" w:lastRowFirstColumn="0" w:lastRowLastColumn="0"/>
            <w:tcW w:w="1863" w:type="dxa"/>
            <w:noWrap/>
            <w:hideMark/>
          </w:tcPr>
          <w:p w:rsidR="00610965" w:rsidRDefault="00F749B8" w:rsidP="000B55BB">
            <w:pPr>
              <w:spacing w:line="276" w:lineRule="auto"/>
              <w:jc w:val="center"/>
              <w:rPr>
                <w:rFonts w:cs="Arial"/>
                <w:color w:val="auto"/>
                <w:sz w:val="20"/>
                <w:szCs w:val="20"/>
              </w:rPr>
            </w:pPr>
            <w:r w:rsidRPr="00EE0183">
              <w:rPr>
                <w:rFonts w:cs="Arial"/>
                <w:sz w:val="20"/>
                <w:szCs w:val="20"/>
              </w:rPr>
              <w:t>Goods and Services</w:t>
            </w:r>
          </w:p>
        </w:tc>
        <w:tc>
          <w:tcPr>
            <w:tcW w:w="939"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18,203</w:t>
            </w:r>
          </w:p>
        </w:tc>
        <w:tc>
          <w:tcPr>
            <w:tcW w:w="895"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39.1%</w:t>
            </w:r>
          </w:p>
        </w:tc>
        <w:tc>
          <w:tcPr>
            <w:tcW w:w="939"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21,088</w:t>
            </w:r>
          </w:p>
        </w:tc>
        <w:tc>
          <w:tcPr>
            <w:tcW w:w="784"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34.3%</w:t>
            </w:r>
          </w:p>
        </w:tc>
        <w:tc>
          <w:tcPr>
            <w:tcW w:w="939"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28,857</w:t>
            </w:r>
          </w:p>
        </w:tc>
        <w:tc>
          <w:tcPr>
            <w:tcW w:w="895"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42.9%</w:t>
            </w:r>
          </w:p>
        </w:tc>
        <w:tc>
          <w:tcPr>
            <w:tcW w:w="939"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30,011</w:t>
            </w:r>
          </w:p>
        </w:tc>
        <w:tc>
          <w:tcPr>
            <w:tcW w:w="784"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42.9%</w:t>
            </w:r>
          </w:p>
        </w:tc>
        <w:tc>
          <w:tcPr>
            <w:tcW w:w="939"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31,211</w:t>
            </w:r>
          </w:p>
        </w:tc>
        <w:tc>
          <w:tcPr>
            <w:tcW w:w="784"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42.9%</w:t>
            </w:r>
          </w:p>
        </w:tc>
      </w:tr>
      <w:tr w:rsidR="00624D3B" w:rsidRPr="00EE0183" w:rsidTr="00342651">
        <w:trPr>
          <w:trHeight w:val="300"/>
        </w:trPr>
        <w:tc>
          <w:tcPr>
            <w:cnfStyle w:val="001000000000" w:firstRow="0" w:lastRow="0" w:firstColumn="1" w:lastColumn="0" w:oddVBand="0" w:evenVBand="0" w:oddHBand="0" w:evenHBand="0" w:firstRowFirstColumn="0" w:firstRowLastColumn="0" w:lastRowFirstColumn="0" w:lastRowLastColumn="0"/>
            <w:tcW w:w="1863" w:type="dxa"/>
            <w:noWrap/>
            <w:hideMark/>
          </w:tcPr>
          <w:p w:rsidR="00610965" w:rsidRDefault="00F749B8" w:rsidP="000B55BB">
            <w:pPr>
              <w:spacing w:line="276" w:lineRule="auto"/>
              <w:jc w:val="center"/>
              <w:rPr>
                <w:rFonts w:cs="Arial"/>
                <w:color w:val="auto"/>
                <w:sz w:val="20"/>
                <w:szCs w:val="20"/>
              </w:rPr>
            </w:pPr>
            <w:r w:rsidRPr="00EE0183">
              <w:rPr>
                <w:rFonts w:cs="Arial"/>
                <w:sz w:val="20"/>
                <w:szCs w:val="20"/>
              </w:rPr>
              <w:t>Transfers</w:t>
            </w:r>
          </w:p>
        </w:tc>
        <w:tc>
          <w:tcPr>
            <w:tcW w:w="939"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9,380</w:t>
            </w:r>
          </w:p>
        </w:tc>
        <w:tc>
          <w:tcPr>
            <w:tcW w:w="895"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20.2%</w:t>
            </w:r>
          </w:p>
        </w:tc>
        <w:tc>
          <w:tcPr>
            <w:tcW w:w="939"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10,663</w:t>
            </w:r>
          </w:p>
        </w:tc>
        <w:tc>
          <w:tcPr>
            <w:tcW w:w="784"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17.3%</w:t>
            </w:r>
          </w:p>
        </w:tc>
        <w:tc>
          <w:tcPr>
            <w:tcW w:w="939"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9,000</w:t>
            </w:r>
          </w:p>
        </w:tc>
        <w:tc>
          <w:tcPr>
            <w:tcW w:w="895"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13.4%</w:t>
            </w:r>
          </w:p>
        </w:tc>
        <w:tc>
          <w:tcPr>
            <w:tcW w:w="939"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9,360</w:t>
            </w:r>
          </w:p>
        </w:tc>
        <w:tc>
          <w:tcPr>
            <w:tcW w:w="784"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13.4%</w:t>
            </w:r>
          </w:p>
        </w:tc>
        <w:tc>
          <w:tcPr>
            <w:tcW w:w="939"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9,734</w:t>
            </w:r>
          </w:p>
        </w:tc>
        <w:tc>
          <w:tcPr>
            <w:tcW w:w="784"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13.4%</w:t>
            </w:r>
          </w:p>
        </w:tc>
      </w:tr>
      <w:tr w:rsidR="00624D3B" w:rsidRPr="00EE0183" w:rsidTr="00342651">
        <w:trPr>
          <w:trHeight w:val="300"/>
        </w:trPr>
        <w:tc>
          <w:tcPr>
            <w:cnfStyle w:val="001000000000" w:firstRow="0" w:lastRow="0" w:firstColumn="1" w:lastColumn="0" w:oddVBand="0" w:evenVBand="0" w:oddHBand="0" w:evenHBand="0" w:firstRowFirstColumn="0" w:firstRowLastColumn="0" w:lastRowFirstColumn="0" w:lastRowLastColumn="0"/>
            <w:tcW w:w="1863" w:type="dxa"/>
            <w:noWrap/>
            <w:hideMark/>
          </w:tcPr>
          <w:p w:rsidR="00610965" w:rsidRDefault="00F749B8" w:rsidP="000B55BB">
            <w:pPr>
              <w:spacing w:line="276" w:lineRule="auto"/>
              <w:jc w:val="center"/>
              <w:rPr>
                <w:rFonts w:cs="Arial"/>
                <w:color w:val="auto"/>
                <w:sz w:val="20"/>
                <w:szCs w:val="20"/>
              </w:rPr>
            </w:pPr>
            <w:r w:rsidRPr="00EE0183">
              <w:rPr>
                <w:rFonts w:cs="Arial"/>
                <w:sz w:val="20"/>
                <w:szCs w:val="20"/>
              </w:rPr>
              <w:t>Minor Capital</w:t>
            </w:r>
          </w:p>
        </w:tc>
        <w:tc>
          <w:tcPr>
            <w:tcW w:w="939"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2,326</w:t>
            </w:r>
          </w:p>
        </w:tc>
        <w:tc>
          <w:tcPr>
            <w:tcW w:w="895"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5.0%</w:t>
            </w:r>
          </w:p>
        </w:tc>
        <w:tc>
          <w:tcPr>
            <w:tcW w:w="939"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7,289</w:t>
            </w:r>
          </w:p>
        </w:tc>
        <w:tc>
          <w:tcPr>
            <w:tcW w:w="784"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11.9%</w:t>
            </w:r>
          </w:p>
        </w:tc>
        <w:tc>
          <w:tcPr>
            <w:tcW w:w="939"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2,077</w:t>
            </w:r>
          </w:p>
        </w:tc>
        <w:tc>
          <w:tcPr>
            <w:tcW w:w="895"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3.1%</w:t>
            </w:r>
          </w:p>
        </w:tc>
        <w:tc>
          <w:tcPr>
            <w:tcW w:w="939"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2,160</w:t>
            </w:r>
          </w:p>
        </w:tc>
        <w:tc>
          <w:tcPr>
            <w:tcW w:w="784"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3.1%</w:t>
            </w:r>
          </w:p>
        </w:tc>
        <w:tc>
          <w:tcPr>
            <w:tcW w:w="939"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2,247</w:t>
            </w:r>
          </w:p>
        </w:tc>
        <w:tc>
          <w:tcPr>
            <w:tcW w:w="784"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3.1%</w:t>
            </w:r>
          </w:p>
        </w:tc>
      </w:tr>
      <w:tr w:rsidR="00624D3B" w:rsidRPr="00EE0183" w:rsidTr="00342651">
        <w:trPr>
          <w:trHeight w:val="300"/>
        </w:trPr>
        <w:tc>
          <w:tcPr>
            <w:cnfStyle w:val="001000000000" w:firstRow="0" w:lastRow="0" w:firstColumn="1" w:lastColumn="0" w:oddVBand="0" w:evenVBand="0" w:oddHBand="0" w:evenHBand="0" w:firstRowFirstColumn="0" w:firstRowLastColumn="0" w:lastRowFirstColumn="0" w:lastRowLastColumn="0"/>
            <w:tcW w:w="1863" w:type="dxa"/>
            <w:noWrap/>
            <w:hideMark/>
          </w:tcPr>
          <w:p w:rsidR="00610965" w:rsidRDefault="00F749B8" w:rsidP="000B55BB">
            <w:pPr>
              <w:spacing w:line="276" w:lineRule="auto"/>
              <w:jc w:val="center"/>
              <w:rPr>
                <w:rFonts w:cs="Arial"/>
                <w:color w:val="auto"/>
                <w:sz w:val="20"/>
                <w:szCs w:val="20"/>
              </w:rPr>
            </w:pPr>
            <w:r w:rsidRPr="00EE0183">
              <w:rPr>
                <w:rFonts w:cs="Arial"/>
                <w:sz w:val="20"/>
                <w:szCs w:val="20"/>
              </w:rPr>
              <w:t>Capital Development</w:t>
            </w:r>
          </w:p>
        </w:tc>
        <w:tc>
          <w:tcPr>
            <w:tcW w:w="939"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633</w:t>
            </w:r>
          </w:p>
        </w:tc>
        <w:tc>
          <w:tcPr>
            <w:tcW w:w="895"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1.4%</w:t>
            </w:r>
          </w:p>
        </w:tc>
        <w:tc>
          <w:tcPr>
            <w:tcW w:w="939"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0</w:t>
            </w:r>
          </w:p>
        </w:tc>
        <w:tc>
          <w:tcPr>
            <w:tcW w:w="784"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0.0%</w:t>
            </w:r>
          </w:p>
        </w:tc>
        <w:tc>
          <w:tcPr>
            <w:tcW w:w="939"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0</w:t>
            </w:r>
          </w:p>
        </w:tc>
        <w:tc>
          <w:tcPr>
            <w:tcW w:w="895"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0.0%</w:t>
            </w:r>
          </w:p>
        </w:tc>
        <w:tc>
          <w:tcPr>
            <w:tcW w:w="939"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0</w:t>
            </w:r>
          </w:p>
        </w:tc>
        <w:tc>
          <w:tcPr>
            <w:tcW w:w="784"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0.0%</w:t>
            </w:r>
          </w:p>
        </w:tc>
        <w:tc>
          <w:tcPr>
            <w:tcW w:w="939"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0</w:t>
            </w:r>
          </w:p>
        </w:tc>
        <w:tc>
          <w:tcPr>
            <w:tcW w:w="784"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0.0%</w:t>
            </w:r>
          </w:p>
        </w:tc>
      </w:tr>
      <w:tr w:rsidR="00624D3B" w:rsidRPr="00EE0183" w:rsidTr="00342651">
        <w:trPr>
          <w:trHeight w:val="300"/>
        </w:trPr>
        <w:tc>
          <w:tcPr>
            <w:cnfStyle w:val="001000000000" w:firstRow="0" w:lastRow="0" w:firstColumn="1" w:lastColumn="0" w:oddVBand="0" w:evenVBand="0" w:oddHBand="0" w:evenHBand="0" w:firstRowFirstColumn="0" w:firstRowLastColumn="0" w:lastRowFirstColumn="0" w:lastRowLastColumn="0"/>
            <w:tcW w:w="1863" w:type="dxa"/>
            <w:noWrap/>
            <w:hideMark/>
          </w:tcPr>
          <w:p w:rsidR="00610965" w:rsidRDefault="00F749B8" w:rsidP="000B55BB">
            <w:pPr>
              <w:spacing w:line="276" w:lineRule="auto"/>
              <w:jc w:val="center"/>
              <w:rPr>
                <w:rFonts w:cs="Arial"/>
                <w:b/>
                <w:bCs/>
                <w:color w:val="auto"/>
                <w:sz w:val="20"/>
                <w:szCs w:val="20"/>
              </w:rPr>
            </w:pPr>
            <w:r w:rsidRPr="00EE0183">
              <w:rPr>
                <w:rFonts w:cs="Arial"/>
                <w:b/>
                <w:bCs/>
                <w:sz w:val="20"/>
                <w:szCs w:val="20"/>
              </w:rPr>
              <w:t>Total</w:t>
            </w:r>
          </w:p>
        </w:tc>
        <w:tc>
          <w:tcPr>
            <w:tcW w:w="939"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EE0183">
              <w:rPr>
                <w:rFonts w:cs="Arial"/>
                <w:b/>
                <w:bCs/>
                <w:sz w:val="20"/>
                <w:szCs w:val="20"/>
              </w:rPr>
              <w:t>46,509</w:t>
            </w:r>
          </w:p>
        </w:tc>
        <w:tc>
          <w:tcPr>
            <w:tcW w:w="895"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EE0183">
              <w:rPr>
                <w:rFonts w:cs="Arial"/>
                <w:b/>
                <w:bCs/>
                <w:sz w:val="20"/>
                <w:szCs w:val="20"/>
              </w:rPr>
              <w:t>100.0%</w:t>
            </w:r>
          </w:p>
        </w:tc>
        <w:tc>
          <w:tcPr>
            <w:tcW w:w="939"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EE0183">
              <w:rPr>
                <w:rFonts w:cs="Arial"/>
                <w:b/>
                <w:bCs/>
                <w:sz w:val="20"/>
                <w:szCs w:val="20"/>
              </w:rPr>
              <w:t>61,508</w:t>
            </w:r>
          </w:p>
        </w:tc>
        <w:tc>
          <w:tcPr>
            <w:tcW w:w="784"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EE0183">
              <w:rPr>
                <w:rFonts w:cs="Arial"/>
                <w:b/>
                <w:bCs/>
                <w:sz w:val="20"/>
                <w:szCs w:val="20"/>
              </w:rPr>
              <w:t>100%</w:t>
            </w:r>
          </w:p>
        </w:tc>
        <w:tc>
          <w:tcPr>
            <w:tcW w:w="939"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EE0183">
              <w:rPr>
                <w:rFonts w:cs="Arial"/>
                <w:b/>
                <w:bCs/>
                <w:sz w:val="20"/>
                <w:szCs w:val="20"/>
              </w:rPr>
              <w:t>67,217</w:t>
            </w:r>
          </w:p>
        </w:tc>
        <w:tc>
          <w:tcPr>
            <w:tcW w:w="895"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EE0183">
              <w:rPr>
                <w:rFonts w:cs="Arial"/>
                <w:b/>
                <w:bCs/>
                <w:sz w:val="20"/>
                <w:szCs w:val="20"/>
              </w:rPr>
              <w:t>100.0%</w:t>
            </w:r>
          </w:p>
        </w:tc>
        <w:tc>
          <w:tcPr>
            <w:tcW w:w="939"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EE0183">
              <w:rPr>
                <w:rFonts w:cs="Arial"/>
                <w:b/>
                <w:bCs/>
                <w:sz w:val="20"/>
                <w:szCs w:val="20"/>
              </w:rPr>
              <w:t>69,905</w:t>
            </w:r>
          </w:p>
        </w:tc>
        <w:tc>
          <w:tcPr>
            <w:tcW w:w="784"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EE0183">
              <w:rPr>
                <w:rFonts w:cs="Arial"/>
                <w:b/>
                <w:bCs/>
                <w:sz w:val="20"/>
                <w:szCs w:val="20"/>
              </w:rPr>
              <w:t>100%</w:t>
            </w:r>
          </w:p>
        </w:tc>
        <w:tc>
          <w:tcPr>
            <w:tcW w:w="939"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EE0183">
              <w:rPr>
                <w:rFonts w:cs="Arial"/>
                <w:b/>
                <w:bCs/>
                <w:sz w:val="20"/>
                <w:szCs w:val="20"/>
              </w:rPr>
              <w:t>72,701</w:t>
            </w:r>
          </w:p>
        </w:tc>
        <w:tc>
          <w:tcPr>
            <w:tcW w:w="784" w:type="dxa"/>
            <w:noWrap/>
            <w:hideMark/>
          </w:tcPr>
          <w:p w:rsidR="00F749B8" w:rsidRPr="00EE0183" w:rsidRDefault="00F749B8" w:rsidP="00624D3B">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EE0183">
              <w:rPr>
                <w:rFonts w:cs="Arial"/>
                <w:b/>
                <w:bCs/>
                <w:sz w:val="20"/>
                <w:szCs w:val="20"/>
              </w:rPr>
              <w:t>100%</w:t>
            </w:r>
          </w:p>
        </w:tc>
      </w:tr>
    </w:tbl>
    <w:p w:rsidR="00F749B8" w:rsidRDefault="00F749B8" w:rsidP="00624D3B">
      <w:pPr>
        <w:spacing w:line="276" w:lineRule="auto"/>
      </w:pPr>
    </w:p>
    <w:p w:rsidR="005009B0" w:rsidRDefault="00F749B8" w:rsidP="00624D3B">
      <w:pPr>
        <w:spacing w:line="276" w:lineRule="auto"/>
      </w:pPr>
      <w:r>
        <w:t xml:space="preserve">Table </w:t>
      </w:r>
      <w:r w:rsidR="00223373">
        <w:t>8</w:t>
      </w:r>
      <w:r w:rsidRPr="005009B0">
        <w:t xml:space="preserve"> </w:t>
      </w:r>
      <w:r w:rsidR="005009B0" w:rsidRPr="005009B0">
        <w:rPr>
          <w:rFonts w:cs="Arial"/>
        </w:rPr>
        <w:t xml:space="preserve">shows </w:t>
      </w:r>
      <w:r w:rsidR="005009B0" w:rsidRPr="005009B0">
        <w:rPr>
          <w:rFonts w:eastAsiaTheme="minorHAnsi" w:cs="Arial"/>
          <w:bCs/>
        </w:rPr>
        <w:t>that the line item (</w:t>
      </w:r>
      <w:r w:rsidR="00497BA3">
        <w:rPr>
          <w:rFonts w:eastAsiaTheme="minorHAnsi" w:cs="Arial"/>
          <w:bCs/>
        </w:rPr>
        <w:t>g</w:t>
      </w:r>
      <w:r w:rsidR="005009B0" w:rsidRPr="005009B0">
        <w:rPr>
          <w:rFonts w:eastAsiaTheme="minorHAnsi" w:cs="Arial"/>
          <w:bCs/>
        </w:rPr>
        <w:t xml:space="preserve">oods and </w:t>
      </w:r>
      <w:r w:rsidR="00497BA3">
        <w:rPr>
          <w:rFonts w:eastAsiaTheme="minorHAnsi" w:cs="Arial"/>
          <w:bCs/>
        </w:rPr>
        <w:t>s</w:t>
      </w:r>
      <w:r w:rsidR="005009B0" w:rsidRPr="005009B0">
        <w:rPr>
          <w:rFonts w:eastAsiaTheme="minorHAnsi" w:cs="Arial"/>
          <w:bCs/>
        </w:rPr>
        <w:t>ervices) that includes drugs and supplies has been nearly doubled from 2012 to 2014, with smaller increases projected in future years. It is not believed that any government line item expenditures include donor inputs. Transfers, which are grants to civil sector organi</w:t>
      </w:r>
      <w:r w:rsidR="006827E3">
        <w:rPr>
          <w:rFonts w:eastAsiaTheme="minorHAnsi" w:cs="Arial"/>
          <w:bCs/>
        </w:rPr>
        <w:t>s</w:t>
      </w:r>
      <w:r w:rsidR="005009B0" w:rsidRPr="005009B0">
        <w:rPr>
          <w:rFonts w:eastAsiaTheme="minorHAnsi" w:cs="Arial"/>
          <w:bCs/>
        </w:rPr>
        <w:t>ations (CSOs)</w:t>
      </w:r>
      <w:r w:rsidR="00052C07">
        <w:rPr>
          <w:rStyle w:val="FootnoteReference"/>
          <w:rFonts w:eastAsiaTheme="minorHAnsi" w:cs="Arial"/>
          <w:bCs/>
        </w:rPr>
        <w:footnoteReference w:id="62"/>
      </w:r>
      <w:r w:rsidR="005009B0" w:rsidRPr="005009B0">
        <w:rPr>
          <w:rFonts w:eastAsiaTheme="minorHAnsi" w:cs="Arial"/>
          <w:bCs/>
        </w:rPr>
        <w:t xml:space="preserve">, are significantly lower than in previous budgets. (Tables </w:t>
      </w:r>
      <w:r w:rsidR="00223373">
        <w:rPr>
          <w:rFonts w:eastAsiaTheme="minorHAnsi" w:cs="Arial"/>
          <w:bCs/>
        </w:rPr>
        <w:t>7</w:t>
      </w:r>
      <w:r w:rsidR="005009B0" w:rsidRPr="005009B0">
        <w:rPr>
          <w:rFonts w:eastAsiaTheme="minorHAnsi" w:cs="Arial"/>
          <w:bCs/>
        </w:rPr>
        <w:t xml:space="preserve"> and </w:t>
      </w:r>
      <w:r w:rsidR="00223373">
        <w:rPr>
          <w:rFonts w:eastAsiaTheme="minorHAnsi" w:cs="Arial"/>
          <w:bCs/>
        </w:rPr>
        <w:t>8</w:t>
      </w:r>
      <w:r w:rsidR="005009B0" w:rsidRPr="005009B0">
        <w:rPr>
          <w:rFonts w:eastAsiaTheme="minorHAnsi" w:cs="Arial"/>
          <w:bCs/>
        </w:rPr>
        <w:t xml:space="preserve"> do not agree because only the latter has been updated.)</w:t>
      </w:r>
    </w:p>
    <w:p w:rsidR="00F749B8" w:rsidRDefault="00F749B8" w:rsidP="00624D3B">
      <w:pPr>
        <w:pStyle w:val="Caption"/>
        <w:spacing w:line="276" w:lineRule="auto"/>
      </w:pPr>
    </w:p>
    <w:p w:rsidR="00342651" w:rsidRPr="00342651" w:rsidRDefault="00342651" w:rsidP="00342651"/>
    <w:p w:rsidR="00F749B8" w:rsidRPr="00F749B8" w:rsidRDefault="00F749B8" w:rsidP="00624D3B">
      <w:pPr>
        <w:pStyle w:val="Caption"/>
        <w:spacing w:line="276" w:lineRule="auto"/>
      </w:pPr>
      <w:r w:rsidRPr="00F749B8">
        <w:t>Table</w:t>
      </w:r>
      <w:r w:rsidR="00670490">
        <w:t xml:space="preserve"> </w:t>
      </w:r>
      <w:r w:rsidR="00223373">
        <w:t>9</w:t>
      </w:r>
      <w:r w:rsidRPr="00F749B8">
        <w:t>: Allocation of Salaries and Wages</w:t>
      </w:r>
      <w:r w:rsidR="00670490">
        <w:t xml:space="preserve"> (from Northway HRF 2013)</w:t>
      </w:r>
    </w:p>
    <w:tbl>
      <w:tblPr>
        <w:tblStyle w:val="HRF"/>
        <w:tblW w:w="10176" w:type="dxa"/>
        <w:tblInd w:w="-885" w:type="dxa"/>
        <w:tblLook w:val="04A0" w:firstRow="1" w:lastRow="0" w:firstColumn="1" w:lastColumn="0" w:noHBand="0" w:noVBand="1"/>
      </w:tblPr>
      <w:tblGrid>
        <w:gridCol w:w="2235"/>
        <w:gridCol w:w="1005"/>
        <w:gridCol w:w="640"/>
        <w:gridCol w:w="939"/>
        <w:gridCol w:w="640"/>
        <w:gridCol w:w="939"/>
        <w:gridCol w:w="640"/>
        <w:gridCol w:w="939"/>
        <w:gridCol w:w="620"/>
        <w:gridCol w:w="939"/>
        <w:gridCol w:w="640"/>
      </w:tblGrid>
      <w:tr w:rsidR="00EE0183" w:rsidRPr="00EE0183" w:rsidTr="00342651">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235" w:type="dxa"/>
            <w:vMerge w:val="restart"/>
            <w:noWrap/>
            <w:hideMark/>
          </w:tcPr>
          <w:p w:rsidR="00EE0183" w:rsidRPr="00EE0183" w:rsidRDefault="00EE0183" w:rsidP="00624D3B">
            <w:pPr>
              <w:spacing w:line="276" w:lineRule="auto"/>
              <w:rPr>
                <w:rFonts w:cs="Arial"/>
                <w:b/>
                <w:sz w:val="20"/>
                <w:szCs w:val="20"/>
              </w:rPr>
            </w:pPr>
            <w:r w:rsidRPr="00EE0183">
              <w:rPr>
                <w:rFonts w:cs="Arial"/>
                <w:b/>
                <w:sz w:val="20"/>
                <w:szCs w:val="20"/>
              </w:rPr>
              <w:t>Salaries and Wages</w:t>
            </w:r>
          </w:p>
          <w:p w:rsidR="00EE0183" w:rsidRPr="00EE0183" w:rsidRDefault="00EE0183" w:rsidP="00624D3B">
            <w:pPr>
              <w:spacing w:line="276" w:lineRule="auto"/>
              <w:rPr>
                <w:rFonts w:cs="Arial"/>
                <w:b/>
                <w:sz w:val="20"/>
                <w:szCs w:val="20"/>
              </w:rPr>
            </w:pPr>
            <w:r w:rsidRPr="00EE0183">
              <w:rPr>
                <w:rFonts w:cs="Arial"/>
                <w:b/>
                <w:sz w:val="20"/>
                <w:szCs w:val="20"/>
              </w:rPr>
              <w:t> </w:t>
            </w:r>
          </w:p>
        </w:tc>
        <w:tc>
          <w:tcPr>
            <w:tcW w:w="1005" w:type="dxa"/>
            <w:noWrap/>
            <w:hideMark/>
          </w:tcPr>
          <w:p w:rsidR="00EE0183" w:rsidRPr="00EE0183" w:rsidRDefault="00EE0183" w:rsidP="00624D3B">
            <w:pPr>
              <w:spacing w:line="276" w:lineRule="auto"/>
              <w:cnfStyle w:val="100000000000" w:firstRow="1" w:lastRow="0" w:firstColumn="0" w:lastColumn="0" w:oddVBand="0" w:evenVBand="0" w:oddHBand="0" w:evenHBand="0" w:firstRowFirstColumn="0" w:firstRowLastColumn="0" w:lastRowFirstColumn="0" w:lastRowLastColumn="0"/>
              <w:rPr>
                <w:rFonts w:cs="Arial"/>
                <w:b/>
                <w:sz w:val="20"/>
                <w:szCs w:val="20"/>
              </w:rPr>
            </w:pPr>
            <w:r w:rsidRPr="00EE0183">
              <w:rPr>
                <w:rFonts w:cs="Arial"/>
                <w:b/>
                <w:sz w:val="20"/>
                <w:szCs w:val="20"/>
              </w:rPr>
              <w:t>2011</w:t>
            </w:r>
          </w:p>
        </w:tc>
        <w:tc>
          <w:tcPr>
            <w:tcW w:w="640" w:type="dxa"/>
            <w:noWrap/>
            <w:hideMark/>
          </w:tcPr>
          <w:p w:rsidR="00EE0183" w:rsidRPr="00EE0183" w:rsidRDefault="00EE0183" w:rsidP="00624D3B">
            <w:pPr>
              <w:spacing w:line="276" w:lineRule="auto"/>
              <w:cnfStyle w:val="100000000000" w:firstRow="1" w:lastRow="0" w:firstColumn="0" w:lastColumn="0" w:oddVBand="0" w:evenVBand="0" w:oddHBand="0" w:evenHBand="0" w:firstRowFirstColumn="0" w:firstRowLastColumn="0" w:lastRowFirstColumn="0" w:lastRowLastColumn="0"/>
              <w:rPr>
                <w:rFonts w:cs="Arial"/>
                <w:b/>
                <w:sz w:val="20"/>
                <w:szCs w:val="20"/>
              </w:rPr>
            </w:pPr>
            <w:r w:rsidRPr="00EE0183">
              <w:rPr>
                <w:rFonts w:cs="Arial"/>
                <w:b/>
                <w:sz w:val="20"/>
                <w:szCs w:val="20"/>
              </w:rPr>
              <w:t> </w:t>
            </w:r>
          </w:p>
        </w:tc>
        <w:tc>
          <w:tcPr>
            <w:tcW w:w="939" w:type="dxa"/>
            <w:noWrap/>
            <w:hideMark/>
          </w:tcPr>
          <w:p w:rsidR="00EE0183" w:rsidRPr="00EE0183" w:rsidRDefault="00EE0183" w:rsidP="00624D3B">
            <w:pPr>
              <w:spacing w:line="276" w:lineRule="auto"/>
              <w:cnfStyle w:val="100000000000" w:firstRow="1" w:lastRow="0" w:firstColumn="0" w:lastColumn="0" w:oddVBand="0" w:evenVBand="0" w:oddHBand="0" w:evenHBand="0" w:firstRowFirstColumn="0" w:firstRowLastColumn="0" w:lastRowFirstColumn="0" w:lastRowLastColumn="0"/>
              <w:rPr>
                <w:rFonts w:cs="Arial"/>
                <w:b/>
                <w:sz w:val="20"/>
                <w:szCs w:val="20"/>
              </w:rPr>
            </w:pPr>
            <w:r w:rsidRPr="00EE0183">
              <w:rPr>
                <w:rFonts w:cs="Arial"/>
                <w:b/>
                <w:sz w:val="20"/>
                <w:szCs w:val="20"/>
              </w:rPr>
              <w:t>2012</w:t>
            </w:r>
          </w:p>
        </w:tc>
        <w:tc>
          <w:tcPr>
            <w:tcW w:w="640" w:type="dxa"/>
            <w:noWrap/>
            <w:hideMark/>
          </w:tcPr>
          <w:p w:rsidR="00EE0183" w:rsidRPr="00EE0183" w:rsidRDefault="00EE0183" w:rsidP="00624D3B">
            <w:pPr>
              <w:spacing w:line="276" w:lineRule="auto"/>
              <w:cnfStyle w:val="100000000000" w:firstRow="1" w:lastRow="0" w:firstColumn="0" w:lastColumn="0" w:oddVBand="0" w:evenVBand="0" w:oddHBand="0" w:evenHBand="0" w:firstRowFirstColumn="0" w:firstRowLastColumn="0" w:lastRowFirstColumn="0" w:lastRowLastColumn="0"/>
              <w:rPr>
                <w:rFonts w:cs="Arial"/>
                <w:b/>
                <w:sz w:val="20"/>
                <w:szCs w:val="20"/>
              </w:rPr>
            </w:pPr>
            <w:r w:rsidRPr="00EE0183">
              <w:rPr>
                <w:rFonts w:cs="Arial"/>
                <w:b/>
                <w:sz w:val="20"/>
                <w:szCs w:val="20"/>
              </w:rPr>
              <w:t> </w:t>
            </w:r>
          </w:p>
        </w:tc>
        <w:tc>
          <w:tcPr>
            <w:tcW w:w="939" w:type="dxa"/>
            <w:noWrap/>
            <w:hideMark/>
          </w:tcPr>
          <w:p w:rsidR="00EE0183" w:rsidRPr="00EE0183" w:rsidRDefault="00EE0183" w:rsidP="00624D3B">
            <w:pPr>
              <w:spacing w:line="276" w:lineRule="auto"/>
              <w:cnfStyle w:val="100000000000" w:firstRow="1" w:lastRow="0" w:firstColumn="0" w:lastColumn="0" w:oddVBand="0" w:evenVBand="0" w:oddHBand="0" w:evenHBand="0" w:firstRowFirstColumn="0" w:firstRowLastColumn="0" w:lastRowFirstColumn="0" w:lastRowLastColumn="0"/>
              <w:rPr>
                <w:rFonts w:cs="Arial"/>
                <w:b/>
                <w:sz w:val="20"/>
                <w:szCs w:val="20"/>
              </w:rPr>
            </w:pPr>
            <w:r w:rsidRPr="00EE0183">
              <w:rPr>
                <w:rFonts w:cs="Arial"/>
                <w:b/>
                <w:sz w:val="20"/>
                <w:szCs w:val="20"/>
              </w:rPr>
              <w:t>2013</w:t>
            </w:r>
          </w:p>
        </w:tc>
        <w:tc>
          <w:tcPr>
            <w:tcW w:w="640" w:type="dxa"/>
            <w:noWrap/>
            <w:hideMark/>
          </w:tcPr>
          <w:p w:rsidR="00EE0183" w:rsidRPr="00EE0183" w:rsidRDefault="00EE0183" w:rsidP="00624D3B">
            <w:pPr>
              <w:spacing w:line="276" w:lineRule="auto"/>
              <w:cnfStyle w:val="100000000000" w:firstRow="1" w:lastRow="0" w:firstColumn="0" w:lastColumn="0" w:oddVBand="0" w:evenVBand="0" w:oddHBand="0" w:evenHBand="0" w:firstRowFirstColumn="0" w:firstRowLastColumn="0" w:lastRowFirstColumn="0" w:lastRowLastColumn="0"/>
              <w:rPr>
                <w:rFonts w:cs="Arial"/>
                <w:b/>
                <w:sz w:val="20"/>
                <w:szCs w:val="20"/>
              </w:rPr>
            </w:pPr>
            <w:r w:rsidRPr="00EE0183">
              <w:rPr>
                <w:rFonts w:cs="Arial"/>
                <w:b/>
                <w:sz w:val="20"/>
                <w:szCs w:val="20"/>
              </w:rPr>
              <w:t> </w:t>
            </w:r>
          </w:p>
        </w:tc>
        <w:tc>
          <w:tcPr>
            <w:tcW w:w="939" w:type="dxa"/>
            <w:noWrap/>
            <w:hideMark/>
          </w:tcPr>
          <w:p w:rsidR="00EE0183" w:rsidRPr="00EE0183" w:rsidRDefault="00EE0183" w:rsidP="00624D3B">
            <w:pPr>
              <w:spacing w:line="276" w:lineRule="auto"/>
              <w:cnfStyle w:val="100000000000" w:firstRow="1" w:lastRow="0" w:firstColumn="0" w:lastColumn="0" w:oddVBand="0" w:evenVBand="0" w:oddHBand="0" w:evenHBand="0" w:firstRowFirstColumn="0" w:firstRowLastColumn="0" w:lastRowFirstColumn="0" w:lastRowLastColumn="0"/>
              <w:rPr>
                <w:rFonts w:cs="Arial"/>
                <w:b/>
                <w:sz w:val="20"/>
                <w:szCs w:val="20"/>
              </w:rPr>
            </w:pPr>
            <w:r w:rsidRPr="00EE0183">
              <w:rPr>
                <w:rFonts w:cs="Arial"/>
                <w:b/>
                <w:sz w:val="20"/>
                <w:szCs w:val="20"/>
              </w:rPr>
              <w:t>2014</w:t>
            </w:r>
          </w:p>
        </w:tc>
        <w:tc>
          <w:tcPr>
            <w:tcW w:w="620" w:type="dxa"/>
            <w:noWrap/>
            <w:hideMark/>
          </w:tcPr>
          <w:p w:rsidR="00EE0183" w:rsidRPr="00EE0183" w:rsidRDefault="00EE0183" w:rsidP="00624D3B">
            <w:pPr>
              <w:spacing w:line="276" w:lineRule="auto"/>
              <w:cnfStyle w:val="100000000000" w:firstRow="1" w:lastRow="0" w:firstColumn="0" w:lastColumn="0" w:oddVBand="0" w:evenVBand="0" w:oddHBand="0" w:evenHBand="0" w:firstRowFirstColumn="0" w:firstRowLastColumn="0" w:lastRowFirstColumn="0" w:lastRowLastColumn="0"/>
              <w:rPr>
                <w:rFonts w:cs="Arial"/>
                <w:b/>
                <w:sz w:val="20"/>
                <w:szCs w:val="20"/>
              </w:rPr>
            </w:pPr>
            <w:r w:rsidRPr="00EE0183">
              <w:rPr>
                <w:rFonts w:cs="Arial"/>
                <w:b/>
                <w:sz w:val="20"/>
                <w:szCs w:val="20"/>
              </w:rPr>
              <w:t> </w:t>
            </w:r>
          </w:p>
        </w:tc>
        <w:tc>
          <w:tcPr>
            <w:tcW w:w="939" w:type="dxa"/>
            <w:noWrap/>
            <w:hideMark/>
          </w:tcPr>
          <w:p w:rsidR="00EE0183" w:rsidRPr="00EE0183" w:rsidRDefault="00EE0183" w:rsidP="00624D3B">
            <w:pPr>
              <w:spacing w:line="276" w:lineRule="auto"/>
              <w:cnfStyle w:val="100000000000" w:firstRow="1" w:lastRow="0" w:firstColumn="0" w:lastColumn="0" w:oddVBand="0" w:evenVBand="0" w:oddHBand="0" w:evenHBand="0" w:firstRowFirstColumn="0" w:firstRowLastColumn="0" w:lastRowFirstColumn="0" w:lastRowLastColumn="0"/>
              <w:rPr>
                <w:rFonts w:cs="Arial"/>
                <w:b/>
                <w:sz w:val="20"/>
                <w:szCs w:val="20"/>
              </w:rPr>
            </w:pPr>
            <w:r w:rsidRPr="00EE0183">
              <w:rPr>
                <w:rFonts w:cs="Arial"/>
                <w:b/>
                <w:sz w:val="20"/>
                <w:szCs w:val="20"/>
              </w:rPr>
              <w:t>2015</w:t>
            </w:r>
          </w:p>
        </w:tc>
        <w:tc>
          <w:tcPr>
            <w:tcW w:w="640" w:type="dxa"/>
            <w:noWrap/>
            <w:hideMark/>
          </w:tcPr>
          <w:p w:rsidR="00EE0183" w:rsidRPr="00EE0183" w:rsidRDefault="00EE0183" w:rsidP="00624D3B">
            <w:pPr>
              <w:spacing w:line="276" w:lineRule="auto"/>
              <w:cnfStyle w:val="100000000000" w:firstRow="1" w:lastRow="0" w:firstColumn="0" w:lastColumn="0" w:oddVBand="0" w:evenVBand="0" w:oddHBand="0" w:evenHBand="0" w:firstRowFirstColumn="0" w:firstRowLastColumn="0" w:lastRowFirstColumn="0" w:lastRowLastColumn="0"/>
              <w:rPr>
                <w:rFonts w:cs="Arial"/>
                <w:b/>
                <w:sz w:val="20"/>
                <w:szCs w:val="20"/>
              </w:rPr>
            </w:pPr>
            <w:r w:rsidRPr="00EE0183">
              <w:rPr>
                <w:rFonts w:cs="Arial"/>
                <w:b/>
                <w:sz w:val="20"/>
                <w:szCs w:val="20"/>
              </w:rPr>
              <w:t> </w:t>
            </w:r>
          </w:p>
        </w:tc>
      </w:tr>
      <w:tr w:rsidR="00624D3B" w:rsidRPr="00EE0183" w:rsidTr="00342651">
        <w:trPr>
          <w:trHeight w:val="264"/>
        </w:trPr>
        <w:tc>
          <w:tcPr>
            <w:cnfStyle w:val="001000000000" w:firstRow="0" w:lastRow="0" w:firstColumn="1" w:lastColumn="0" w:oddVBand="0" w:evenVBand="0" w:oddHBand="0" w:evenHBand="0" w:firstRowFirstColumn="0" w:firstRowLastColumn="0" w:lastRowFirstColumn="0" w:lastRowLastColumn="0"/>
            <w:tcW w:w="2235" w:type="dxa"/>
            <w:vMerge/>
            <w:shd w:val="clear" w:color="auto" w:fill="1B3A59"/>
            <w:noWrap/>
            <w:hideMark/>
          </w:tcPr>
          <w:p w:rsidR="00EE0183" w:rsidRPr="00EE0183" w:rsidRDefault="00EE0183" w:rsidP="00624D3B">
            <w:pPr>
              <w:spacing w:line="276" w:lineRule="auto"/>
              <w:rPr>
                <w:rFonts w:cs="Arial"/>
                <w:b/>
                <w:sz w:val="20"/>
                <w:szCs w:val="20"/>
              </w:rPr>
            </w:pPr>
          </w:p>
        </w:tc>
        <w:tc>
          <w:tcPr>
            <w:tcW w:w="1005" w:type="dxa"/>
            <w:shd w:val="clear" w:color="auto" w:fill="1B3A59"/>
            <w:noWrap/>
            <w:hideMark/>
          </w:tcPr>
          <w:p w:rsidR="00EE0183" w:rsidRPr="00EE0183" w:rsidRDefault="009322F3"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rPr>
            </w:pPr>
            <w:r>
              <w:rPr>
                <w:rFonts w:cs="Arial"/>
                <w:b/>
                <w:color w:val="FFFFFF" w:themeColor="background1"/>
                <w:sz w:val="20"/>
                <w:szCs w:val="20"/>
              </w:rPr>
              <w:t>US</w:t>
            </w:r>
            <w:r w:rsidR="00EE0183" w:rsidRPr="00EE0183">
              <w:rPr>
                <w:rFonts w:cs="Arial"/>
                <w:b/>
                <w:color w:val="FFFFFF" w:themeColor="background1"/>
                <w:sz w:val="20"/>
                <w:szCs w:val="20"/>
              </w:rPr>
              <w:t>$000</w:t>
            </w:r>
          </w:p>
        </w:tc>
        <w:tc>
          <w:tcPr>
            <w:tcW w:w="640" w:type="dxa"/>
            <w:shd w:val="clear" w:color="auto" w:fill="1B3A59"/>
            <w:noWrap/>
            <w:hideMark/>
          </w:tcPr>
          <w:p w:rsidR="00EE0183" w:rsidRPr="00EE0183" w:rsidRDefault="00EE0183"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rPr>
            </w:pPr>
            <w:r w:rsidRPr="00EE0183">
              <w:rPr>
                <w:rFonts w:cs="Arial"/>
                <w:b/>
                <w:color w:val="FFFFFF" w:themeColor="background1"/>
                <w:sz w:val="20"/>
                <w:szCs w:val="20"/>
              </w:rPr>
              <w:t>%</w:t>
            </w:r>
          </w:p>
        </w:tc>
        <w:tc>
          <w:tcPr>
            <w:tcW w:w="939" w:type="dxa"/>
            <w:shd w:val="clear" w:color="auto" w:fill="1B3A59"/>
            <w:noWrap/>
            <w:hideMark/>
          </w:tcPr>
          <w:p w:rsidR="00EE0183" w:rsidRPr="00EE0183" w:rsidRDefault="009322F3"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rPr>
            </w:pPr>
            <w:r>
              <w:rPr>
                <w:rFonts w:cs="Arial"/>
                <w:b/>
                <w:color w:val="FFFFFF" w:themeColor="background1"/>
                <w:sz w:val="20"/>
                <w:szCs w:val="20"/>
              </w:rPr>
              <w:t>US</w:t>
            </w:r>
            <w:r w:rsidR="00EE0183" w:rsidRPr="00EE0183">
              <w:rPr>
                <w:rFonts w:cs="Arial"/>
                <w:b/>
                <w:color w:val="FFFFFF" w:themeColor="background1"/>
                <w:sz w:val="20"/>
                <w:szCs w:val="20"/>
              </w:rPr>
              <w:t>$000</w:t>
            </w:r>
          </w:p>
        </w:tc>
        <w:tc>
          <w:tcPr>
            <w:tcW w:w="640" w:type="dxa"/>
            <w:shd w:val="clear" w:color="auto" w:fill="1B3A59"/>
            <w:noWrap/>
            <w:hideMark/>
          </w:tcPr>
          <w:p w:rsidR="00EE0183" w:rsidRPr="00EE0183" w:rsidRDefault="00EE0183"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rPr>
            </w:pPr>
            <w:r w:rsidRPr="00EE0183">
              <w:rPr>
                <w:rFonts w:cs="Arial"/>
                <w:b/>
                <w:color w:val="FFFFFF" w:themeColor="background1"/>
                <w:sz w:val="20"/>
                <w:szCs w:val="20"/>
              </w:rPr>
              <w:t>%</w:t>
            </w:r>
          </w:p>
        </w:tc>
        <w:tc>
          <w:tcPr>
            <w:tcW w:w="939" w:type="dxa"/>
            <w:shd w:val="clear" w:color="auto" w:fill="1B3A59"/>
            <w:noWrap/>
            <w:hideMark/>
          </w:tcPr>
          <w:p w:rsidR="00EE0183" w:rsidRPr="00EE0183" w:rsidRDefault="009322F3"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rPr>
            </w:pPr>
            <w:r>
              <w:rPr>
                <w:rFonts w:cs="Arial"/>
                <w:b/>
                <w:color w:val="FFFFFF" w:themeColor="background1"/>
                <w:sz w:val="20"/>
                <w:szCs w:val="20"/>
              </w:rPr>
              <w:t>US</w:t>
            </w:r>
            <w:r w:rsidR="00EE0183" w:rsidRPr="00EE0183">
              <w:rPr>
                <w:rFonts w:cs="Arial"/>
                <w:b/>
                <w:color w:val="FFFFFF" w:themeColor="background1"/>
                <w:sz w:val="20"/>
                <w:szCs w:val="20"/>
              </w:rPr>
              <w:t>$000</w:t>
            </w:r>
          </w:p>
        </w:tc>
        <w:tc>
          <w:tcPr>
            <w:tcW w:w="640" w:type="dxa"/>
            <w:shd w:val="clear" w:color="auto" w:fill="1B3A59"/>
            <w:noWrap/>
            <w:hideMark/>
          </w:tcPr>
          <w:p w:rsidR="00EE0183" w:rsidRPr="00EE0183" w:rsidRDefault="00EE0183"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rPr>
            </w:pPr>
            <w:r w:rsidRPr="00EE0183">
              <w:rPr>
                <w:rFonts w:cs="Arial"/>
                <w:b/>
                <w:color w:val="FFFFFF" w:themeColor="background1"/>
                <w:sz w:val="20"/>
                <w:szCs w:val="20"/>
              </w:rPr>
              <w:t>%</w:t>
            </w:r>
          </w:p>
        </w:tc>
        <w:tc>
          <w:tcPr>
            <w:tcW w:w="939" w:type="dxa"/>
            <w:shd w:val="clear" w:color="auto" w:fill="1B3A59"/>
            <w:noWrap/>
            <w:hideMark/>
          </w:tcPr>
          <w:p w:rsidR="00EE0183" w:rsidRPr="00EE0183" w:rsidRDefault="009322F3"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rPr>
            </w:pPr>
            <w:r>
              <w:rPr>
                <w:rFonts w:cs="Arial"/>
                <w:b/>
                <w:color w:val="FFFFFF" w:themeColor="background1"/>
                <w:sz w:val="20"/>
                <w:szCs w:val="20"/>
              </w:rPr>
              <w:t>US</w:t>
            </w:r>
            <w:r w:rsidR="00EE0183" w:rsidRPr="00EE0183">
              <w:rPr>
                <w:rFonts w:cs="Arial"/>
                <w:b/>
                <w:color w:val="FFFFFF" w:themeColor="background1"/>
                <w:sz w:val="20"/>
                <w:szCs w:val="20"/>
              </w:rPr>
              <w:t>$000</w:t>
            </w:r>
          </w:p>
        </w:tc>
        <w:tc>
          <w:tcPr>
            <w:tcW w:w="620" w:type="dxa"/>
            <w:shd w:val="clear" w:color="auto" w:fill="1B3A59"/>
            <w:noWrap/>
            <w:hideMark/>
          </w:tcPr>
          <w:p w:rsidR="00EE0183" w:rsidRPr="00EE0183" w:rsidRDefault="00EE0183"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rPr>
            </w:pPr>
            <w:r w:rsidRPr="00EE0183">
              <w:rPr>
                <w:rFonts w:cs="Arial"/>
                <w:b/>
                <w:color w:val="FFFFFF" w:themeColor="background1"/>
                <w:sz w:val="20"/>
                <w:szCs w:val="20"/>
              </w:rPr>
              <w:t>%</w:t>
            </w:r>
          </w:p>
        </w:tc>
        <w:tc>
          <w:tcPr>
            <w:tcW w:w="939" w:type="dxa"/>
            <w:shd w:val="clear" w:color="auto" w:fill="1B3A59"/>
            <w:noWrap/>
            <w:hideMark/>
          </w:tcPr>
          <w:p w:rsidR="00EE0183" w:rsidRPr="00EE0183" w:rsidRDefault="009322F3"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rPr>
            </w:pPr>
            <w:r>
              <w:rPr>
                <w:rFonts w:cs="Arial"/>
                <w:b/>
                <w:color w:val="FFFFFF" w:themeColor="background1"/>
                <w:sz w:val="20"/>
                <w:szCs w:val="20"/>
              </w:rPr>
              <w:t>US</w:t>
            </w:r>
            <w:r w:rsidR="00EE0183" w:rsidRPr="00EE0183">
              <w:rPr>
                <w:rFonts w:cs="Arial"/>
                <w:b/>
                <w:color w:val="FFFFFF" w:themeColor="background1"/>
                <w:sz w:val="20"/>
                <w:szCs w:val="20"/>
              </w:rPr>
              <w:t>$000</w:t>
            </w:r>
          </w:p>
        </w:tc>
        <w:tc>
          <w:tcPr>
            <w:tcW w:w="640" w:type="dxa"/>
            <w:shd w:val="clear" w:color="auto" w:fill="1B3A59"/>
            <w:noWrap/>
            <w:hideMark/>
          </w:tcPr>
          <w:p w:rsidR="00EE0183" w:rsidRPr="00EE0183" w:rsidRDefault="00EE0183" w:rsidP="00624D3B">
            <w:pPr>
              <w:spacing w:line="276" w:lineRule="auto"/>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rPr>
            </w:pPr>
            <w:r w:rsidRPr="00EE0183">
              <w:rPr>
                <w:rFonts w:cs="Arial"/>
                <w:b/>
                <w:color w:val="FFFFFF" w:themeColor="background1"/>
                <w:sz w:val="20"/>
                <w:szCs w:val="20"/>
              </w:rPr>
              <w:t>%</w:t>
            </w:r>
          </w:p>
        </w:tc>
      </w:tr>
      <w:tr w:rsidR="00F749B8" w:rsidRPr="00EE0183" w:rsidTr="00342651">
        <w:trPr>
          <w:trHeight w:val="152"/>
        </w:trPr>
        <w:tc>
          <w:tcPr>
            <w:cnfStyle w:val="001000000000" w:firstRow="0" w:lastRow="0" w:firstColumn="1" w:lastColumn="0" w:oddVBand="0" w:evenVBand="0" w:oddHBand="0" w:evenHBand="0" w:firstRowFirstColumn="0" w:firstRowLastColumn="0" w:lastRowFirstColumn="0" w:lastRowLastColumn="0"/>
            <w:tcW w:w="2235" w:type="dxa"/>
            <w:noWrap/>
            <w:hideMark/>
          </w:tcPr>
          <w:p w:rsidR="00F749B8" w:rsidRPr="00EE0183" w:rsidRDefault="00F749B8" w:rsidP="00624D3B">
            <w:pPr>
              <w:spacing w:line="276" w:lineRule="auto"/>
              <w:jc w:val="center"/>
              <w:rPr>
                <w:rFonts w:cs="Arial"/>
                <w:sz w:val="20"/>
                <w:szCs w:val="20"/>
              </w:rPr>
            </w:pPr>
            <w:r w:rsidRPr="00EE0183">
              <w:rPr>
                <w:rFonts w:cs="Arial"/>
                <w:sz w:val="20"/>
                <w:szCs w:val="20"/>
              </w:rPr>
              <w:t>Cabinet</w:t>
            </w:r>
          </w:p>
        </w:tc>
        <w:tc>
          <w:tcPr>
            <w:tcW w:w="1005"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148</w:t>
            </w:r>
          </w:p>
        </w:tc>
        <w:tc>
          <w:tcPr>
            <w:tcW w:w="64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1.4</w:t>
            </w:r>
          </w:p>
        </w:tc>
        <w:tc>
          <w:tcPr>
            <w:tcW w:w="939"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189</w:t>
            </w:r>
          </w:p>
        </w:tc>
        <w:tc>
          <w:tcPr>
            <w:tcW w:w="64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1.2</w:t>
            </w:r>
          </w:p>
        </w:tc>
        <w:tc>
          <w:tcPr>
            <w:tcW w:w="939"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218</w:t>
            </w:r>
          </w:p>
        </w:tc>
        <w:tc>
          <w:tcPr>
            <w:tcW w:w="64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1.0</w:t>
            </w:r>
          </w:p>
        </w:tc>
        <w:tc>
          <w:tcPr>
            <w:tcW w:w="939"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227</w:t>
            </w:r>
          </w:p>
        </w:tc>
        <w:tc>
          <w:tcPr>
            <w:tcW w:w="62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1.0</w:t>
            </w:r>
          </w:p>
        </w:tc>
        <w:tc>
          <w:tcPr>
            <w:tcW w:w="939"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234</w:t>
            </w:r>
          </w:p>
        </w:tc>
        <w:tc>
          <w:tcPr>
            <w:tcW w:w="64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1.0</w:t>
            </w:r>
          </w:p>
        </w:tc>
      </w:tr>
      <w:tr w:rsidR="00F749B8" w:rsidRPr="00EE0183" w:rsidTr="00342651">
        <w:trPr>
          <w:trHeight w:val="264"/>
        </w:trPr>
        <w:tc>
          <w:tcPr>
            <w:cnfStyle w:val="001000000000" w:firstRow="0" w:lastRow="0" w:firstColumn="1" w:lastColumn="0" w:oddVBand="0" w:evenVBand="0" w:oddHBand="0" w:evenHBand="0" w:firstRowFirstColumn="0" w:firstRowLastColumn="0" w:lastRowFirstColumn="0" w:lastRowLastColumn="0"/>
            <w:tcW w:w="2235" w:type="dxa"/>
            <w:noWrap/>
            <w:hideMark/>
          </w:tcPr>
          <w:p w:rsidR="00F749B8" w:rsidRPr="00EE0183" w:rsidRDefault="00F749B8" w:rsidP="00624D3B">
            <w:pPr>
              <w:spacing w:line="276" w:lineRule="auto"/>
              <w:jc w:val="center"/>
              <w:rPr>
                <w:rFonts w:cs="Arial"/>
                <w:sz w:val="20"/>
                <w:szCs w:val="20"/>
              </w:rPr>
            </w:pPr>
            <w:r w:rsidRPr="00EE0183">
              <w:rPr>
                <w:rFonts w:cs="Arial"/>
                <w:sz w:val="20"/>
                <w:szCs w:val="20"/>
              </w:rPr>
              <w:t>MoH HQ</w:t>
            </w:r>
          </w:p>
        </w:tc>
        <w:tc>
          <w:tcPr>
            <w:tcW w:w="1005"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1,310</w:t>
            </w:r>
          </w:p>
        </w:tc>
        <w:tc>
          <w:tcPr>
            <w:tcW w:w="64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12.0</w:t>
            </w:r>
          </w:p>
        </w:tc>
        <w:tc>
          <w:tcPr>
            <w:tcW w:w="939"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1,352</w:t>
            </w:r>
          </w:p>
        </w:tc>
        <w:tc>
          <w:tcPr>
            <w:tcW w:w="64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8.3</w:t>
            </w:r>
          </w:p>
        </w:tc>
        <w:tc>
          <w:tcPr>
            <w:tcW w:w="939"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1,669</w:t>
            </w:r>
          </w:p>
        </w:tc>
        <w:tc>
          <w:tcPr>
            <w:tcW w:w="64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7.4</w:t>
            </w:r>
          </w:p>
        </w:tc>
        <w:tc>
          <w:tcPr>
            <w:tcW w:w="939"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1,735</w:t>
            </w:r>
          </w:p>
        </w:tc>
        <w:tc>
          <w:tcPr>
            <w:tcW w:w="62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7.4</w:t>
            </w:r>
          </w:p>
        </w:tc>
        <w:tc>
          <w:tcPr>
            <w:tcW w:w="939"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1,803</w:t>
            </w:r>
          </w:p>
        </w:tc>
        <w:tc>
          <w:tcPr>
            <w:tcW w:w="64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7.4</w:t>
            </w:r>
          </w:p>
        </w:tc>
      </w:tr>
      <w:tr w:rsidR="00F749B8" w:rsidRPr="00EE0183" w:rsidTr="00342651">
        <w:trPr>
          <w:trHeight w:val="264"/>
        </w:trPr>
        <w:tc>
          <w:tcPr>
            <w:cnfStyle w:val="001000000000" w:firstRow="0" w:lastRow="0" w:firstColumn="1" w:lastColumn="0" w:oddVBand="0" w:evenVBand="0" w:oddHBand="0" w:evenHBand="0" w:firstRowFirstColumn="0" w:firstRowLastColumn="0" w:lastRowFirstColumn="0" w:lastRowLastColumn="0"/>
            <w:tcW w:w="2235" w:type="dxa"/>
            <w:noWrap/>
            <w:hideMark/>
          </w:tcPr>
          <w:p w:rsidR="00F749B8" w:rsidRPr="00EE0183" w:rsidRDefault="00F749B8" w:rsidP="00624D3B">
            <w:pPr>
              <w:spacing w:line="276" w:lineRule="auto"/>
              <w:jc w:val="center"/>
              <w:rPr>
                <w:rFonts w:cs="Arial"/>
                <w:sz w:val="20"/>
                <w:szCs w:val="20"/>
              </w:rPr>
            </w:pPr>
            <w:r w:rsidRPr="00EE0183">
              <w:rPr>
                <w:rFonts w:cs="Arial"/>
                <w:sz w:val="20"/>
                <w:szCs w:val="20"/>
              </w:rPr>
              <w:t>Hospitals</w:t>
            </w:r>
          </w:p>
        </w:tc>
        <w:tc>
          <w:tcPr>
            <w:tcW w:w="1005"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4,160</w:t>
            </w:r>
          </w:p>
        </w:tc>
        <w:tc>
          <w:tcPr>
            <w:tcW w:w="64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38.0</w:t>
            </w:r>
          </w:p>
        </w:tc>
        <w:tc>
          <w:tcPr>
            <w:tcW w:w="939"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5,105</w:t>
            </w:r>
          </w:p>
        </w:tc>
        <w:tc>
          <w:tcPr>
            <w:tcW w:w="64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31.5</w:t>
            </w:r>
          </w:p>
        </w:tc>
        <w:tc>
          <w:tcPr>
            <w:tcW w:w="939"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5,804</w:t>
            </w:r>
          </w:p>
        </w:tc>
        <w:tc>
          <w:tcPr>
            <w:tcW w:w="64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25.8</w:t>
            </w:r>
          </w:p>
        </w:tc>
        <w:tc>
          <w:tcPr>
            <w:tcW w:w="939"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6,037</w:t>
            </w:r>
          </w:p>
        </w:tc>
        <w:tc>
          <w:tcPr>
            <w:tcW w:w="62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25.8</w:t>
            </w:r>
          </w:p>
        </w:tc>
        <w:tc>
          <w:tcPr>
            <w:tcW w:w="939"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6,277</w:t>
            </w:r>
          </w:p>
        </w:tc>
        <w:tc>
          <w:tcPr>
            <w:tcW w:w="64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25.8</w:t>
            </w:r>
          </w:p>
        </w:tc>
      </w:tr>
      <w:tr w:rsidR="00F749B8" w:rsidRPr="00EE0183" w:rsidTr="00342651">
        <w:trPr>
          <w:trHeight w:val="264"/>
        </w:trPr>
        <w:tc>
          <w:tcPr>
            <w:cnfStyle w:val="001000000000" w:firstRow="0" w:lastRow="0" w:firstColumn="1" w:lastColumn="0" w:oddVBand="0" w:evenVBand="0" w:oddHBand="0" w:evenHBand="0" w:firstRowFirstColumn="0" w:firstRowLastColumn="0" w:lastRowFirstColumn="0" w:lastRowLastColumn="0"/>
            <w:tcW w:w="2235" w:type="dxa"/>
            <w:noWrap/>
            <w:hideMark/>
          </w:tcPr>
          <w:p w:rsidR="00F749B8" w:rsidRPr="00EE0183" w:rsidRDefault="00F749B8" w:rsidP="00624D3B">
            <w:pPr>
              <w:spacing w:line="276" w:lineRule="auto"/>
              <w:jc w:val="center"/>
              <w:rPr>
                <w:rFonts w:cs="Arial"/>
                <w:sz w:val="20"/>
                <w:szCs w:val="20"/>
              </w:rPr>
            </w:pPr>
            <w:r w:rsidRPr="00EE0183">
              <w:rPr>
                <w:rFonts w:cs="Arial"/>
                <w:sz w:val="20"/>
                <w:szCs w:val="20"/>
              </w:rPr>
              <w:t>District Health Services</w:t>
            </w:r>
          </w:p>
        </w:tc>
        <w:tc>
          <w:tcPr>
            <w:tcW w:w="1005"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4,638</w:t>
            </w:r>
          </w:p>
        </w:tc>
        <w:tc>
          <w:tcPr>
            <w:tcW w:w="64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42.4</w:t>
            </w:r>
          </w:p>
        </w:tc>
        <w:tc>
          <w:tcPr>
            <w:tcW w:w="939"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8,716</w:t>
            </w:r>
          </w:p>
        </w:tc>
        <w:tc>
          <w:tcPr>
            <w:tcW w:w="64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53.8</w:t>
            </w:r>
          </w:p>
        </w:tc>
        <w:tc>
          <w:tcPr>
            <w:tcW w:w="939"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13,962</w:t>
            </w:r>
          </w:p>
        </w:tc>
        <w:tc>
          <w:tcPr>
            <w:tcW w:w="64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62.1</w:t>
            </w:r>
          </w:p>
        </w:tc>
        <w:tc>
          <w:tcPr>
            <w:tcW w:w="939"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14,522</w:t>
            </w:r>
          </w:p>
        </w:tc>
        <w:tc>
          <w:tcPr>
            <w:tcW w:w="62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62.1</w:t>
            </w:r>
          </w:p>
        </w:tc>
        <w:tc>
          <w:tcPr>
            <w:tcW w:w="939"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15,093</w:t>
            </w:r>
          </w:p>
        </w:tc>
        <w:tc>
          <w:tcPr>
            <w:tcW w:w="64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62.1</w:t>
            </w:r>
          </w:p>
        </w:tc>
      </w:tr>
      <w:tr w:rsidR="00F749B8" w:rsidRPr="00EE0183" w:rsidTr="00342651">
        <w:trPr>
          <w:trHeight w:val="264"/>
        </w:trPr>
        <w:tc>
          <w:tcPr>
            <w:cnfStyle w:val="001000000000" w:firstRow="0" w:lastRow="0" w:firstColumn="1" w:lastColumn="0" w:oddVBand="0" w:evenVBand="0" w:oddHBand="0" w:evenHBand="0" w:firstRowFirstColumn="0" w:firstRowLastColumn="0" w:lastRowFirstColumn="0" w:lastRowLastColumn="0"/>
            <w:tcW w:w="2235" w:type="dxa"/>
            <w:noWrap/>
            <w:hideMark/>
          </w:tcPr>
          <w:p w:rsidR="00F749B8" w:rsidRPr="00EE0183" w:rsidRDefault="00F749B8" w:rsidP="00624D3B">
            <w:pPr>
              <w:spacing w:line="276" w:lineRule="auto"/>
              <w:jc w:val="center"/>
              <w:rPr>
                <w:rFonts w:cs="Arial"/>
                <w:sz w:val="20"/>
                <w:szCs w:val="20"/>
              </w:rPr>
            </w:pPr>
            <w:r w:rsidRPr="00EE0183">
              <w:rPr>
                <w:rFonts w:cs="Arial"/>
                <w:sz w:val="20"/>
                <w:szCs w:val="20"/>
              </w:rPr>
              <w:t>National Institutes</w:t>
            </w:r>
          </w:p>
        </w:tc>
        <w:tc>
          <w:tcPr>
            <w:tcW w:w="1005"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403</w:t>
            </w:r>
          </w:p>
        </w:tc>
        <w:tc>
          <w:tcPr>
            <w:tcW w:w="64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3.7</w:t>
            </w:r>
          </w:p>
        </w:tc>
        <w:tc>
          <w:tcPr>
            <w:tcW w:w="939"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553</w:t>
            </w:r>
          </w:p>
        </w:tc>
        <w:tc>
          <w:tcPr>
            <w:tcW w:w="64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3.4</w:t>
            </w:r>
          </w:p>
        </w:tc>
        <w:tc>
          <w:tcPr>
            <w:tcW w:w="939"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407</w:t>
            </w:r>
          </w:p>
        </w:tc>
        <w:tc>
          <w:tcPr>
            <w:tcW w:w="64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1.8</w:t>
            </w:r>
          </w:p>
        </w:tc>
        <w:tc>
          <w:tcPr>
            <w:tcW w:w="939"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423</w:t>
            </w:r>
          </w:p>
        </w:tc>
        <w:tc>
          <w:tcPr>
            <w:tcW w:w="62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1.8</w:t>
            </w:r>
          </w:p>
        </w:tc>
        <w:tc>
          <w:tcPr>
            <w:tcW w:w="939"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439</w:t>
            </w:r>
          </w:p>
        </w:tc>
        <w:tc>
          <w:tcPr>
            <w:tcW w:w="64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1.8</w:t>
            </w:r>
          </w:p>
        </w:tc>
      </w:tr>
      <w:tr w:rsidR="00F749B8" w:rsidRPr="00EE0183" w:rsidTr="00342651">
        <w:trPr>
          <w:trHeight w:val="264"/>
        </w:trPr>
        <w:tc>
          <w:tcPr>
            <w:cnfStyle w:val="001000000000" w:firstRow="0" w:lastRow="0" w:firstColumn="1" w:lastColumn="0" w:oddVBand="0" w:evenVBand="0" w:oddHBand="0" w:evenHBand="0" w:firstRowFirstColumn="0" w:firstRowLastColumn="0" w:lastRowFirstColumn="0" w:lastRowLastColumn="0"/>
            <w:tcW w:w="2235" w:type="dxa"/>
            <w:noWrap/>
            <w:hideMark/>
          </w:tcPr>
          <w:p w:rsidR="00F749B8" w:rsidRPr="00EE0183" w:rsidRDefault="00F749B8" w:rsidP="00624D3B">
            <w:pPr>
              <w:spacing w:line="276" w:lineRule="auto"/>
              <w:jc w:val="center"/>
              <w:rPr>
                <w:rFonts w:cs="Arial"/>
                <w:sz w:val="20"/>
                <w:szCs w:val="20"/>
              </w:rPr>
            </w:pPr>
            <w:r w:rsidRPr="00EE0183">
              <w:rPr>
                <w:rFonts w:cs="Arial"/>
                <w:sz w:val="20"/>
                <w:szCs w:val="20"/>
              </w:rPr>
              <w:t>SAMES</w:t>
            </w:r>
          </w:p>
        </w:tc>
        <w:tc>
          <w:tcPr>
            <w:tcW w:w="1005"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284</w:t>
            </w:r>
          </w:p>
        </w:tc>
        <w:tc>
          <w:tcPr>
            <w:tcW w:w="64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2.6</w:t>
            </w:r>
          </w:p>
        </w:tc>
        <w:tc>
          <w:tcPr>
            <w:tcW w:w="939"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277</w:t>
            </w:r>
          </w:p>
        </w:tc>
        <w:tc>
          <w:tcPr>
            <w:tcW w:w="64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1.7</w:t>
            </w:r>
          </w:p>
        </w:tc>
        <w:tc>
          <w:tcPr>
            <w:tcW w:w="939"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408</w:t>
            </w:r>
          </w:p>
        </w:tc>
        <w:tc>
          <w:tcPr>
            <w:tcW w:w="64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1.8</w:t>
            </w:r>
          </w:p>
        </w:tc>
        <w:tc>
          <w:tcPr>
            <w:tcW w:w="939"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424</w:t>
            </w:r>
          </w:p>
        </w:tc>
        <w:tc>
          <w:tcPr>
            <w:tcW w:w="62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1.8</w:t>
            </w:r>
          </w:p>
        </w:tc>
        <w:tc>
          <w:tcPr>
            <w:tcW w:w="939"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441</w:t>
            </w:r>
          </w:p>
        </w:tc>
        <w:tc>
          <w:tcPr>
            <w:tcW w:w="64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EE0183">
              <w:rPr>
                <w:rFonts w:cs="Arial"/>
                <w:sz w:val="20"/>
                <w:szCs w:val="20"/>
              </w:rPr>
              <w:t>1.8</w:t>
            </w:r>
          </w:p>
        </w:tc>
      </w:tr>
      <w:tr w:rsidR="00F749B8" w:rsidRPr="00EE0183" w:rsidTr="00342651">
        <w:trPr>
          <w:trHeight w:val="264"/>
        </w:trPr>
        <w:tc>
          <w:tcPr>
            <w:cnfStyle w:val="001000000000" w:firstRow="0" w:lastRow="0" w:firstColumn="1" w:lastColumn="0" w:oddVBand="0" w:evenVBand="0" w:oddHBand="0" w:evenHBand="0" w:firstRowFirstColumn="0" w:firstRowLastColumn="0" w:lastRowFirstColumn="0" w:lastRowLastColumn="0"/>
            <w:tcW w:w="2235" w:type="dxa"/>
            <w:noWrap/>
            <w:hideMark/>
          </w:tcPr>
          <w:p w:rsidR="00F749B8" w:rsidRPr="00EE0183" w:rsidRDefault="00F749B8" w:rsidP="00624D3B">
            <w:pPr>
              <w:spacing w:line="276" w:lineRule="auto"/>
              <w:jc w:val="center"/>
              <w:rPr>
                <w:rFonts w:cs="Arial"/>
                <w:b/>
                <w:bCs/>
                <w:sz w:val="20"/>
                <w:szCs w:val="20"/>
              </w:rPr>
            </w:pPr>
            <w:r w:rsidRPr="00EE0183">
              <w:rPr>
                <w:rFonts w:cs="Arial"/>
                <w:b/>
                <w:bCs/>
                <w:sz w:val="20"/>
                <w:szCs w:val="20"/>
              </w:rPr>
              <w:t>MOH Total</w:t>
            </w:r>
          </w:p>
        </w:tc>
        <w:tc>
          <w:tcPr>
            <w:tcW w:w="1005"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EE0183">
              <w:rPr>
                <w:rFonts w:cs="Arial"/>
                <w:b/>
                <w:bCs/>
                <w:sz w:val="20"/>
                <w:szCs w:val="20"/>
              </w:rPr>
              <w:t>10,943</w:t>
            </w:r>
          </w:p>
        </w:tc>
        <w:tc>
          <w:tcPr>
            <w:tcW w:w="64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EE0183">
              <w:rPr>
                <w:rFonts w:cs="Arial"/>
                <w:b/>
                <w:bCs/>
                <w:sz w:val="20"/>
                <w:szCs w:val="20"/>
              </w:rPr>
              <w:t>100</w:t>
            </w:r>
          </w:p>
        </w:tc>
        <w:tc>
          <w:tcPr>
            <w:tcW w:w="939"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EE0183">
              <w:rPr>
                <w:rFonts w:cs="Arial"/>
                <w:b/>
                <w:bCs/>
                <w:sz w:val="20"/>
                <w:szCs w:val="20"/>
              </w:rPr>
              <w:t>16,192</w:t>
            </w:r>
          </w:p>
        </w:tc>
        <w:tc>
          <w:tcPr>
            <w:tcW w:w="64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EE0183">
              <w:rPr>
                <w:rFonts w:cs="Arial"/>
                <w:b/>
                <w:bCs/>
                <w:sz w:val="20"/>
                <w:szCs w:val="20"/>
              </w:rPr>
              <w:t>100</w:t>
            </w:r>
          </w:p>
        </w:tc>
        <w:tc>
          <w:tcPr>
            <w:tcW w:w="939"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EE0183">
              <w:rPr>
                <w:rFonts w:cs="Arial"/>
                <w:b/>
                <w:bCs/>
                <w:sz w:val="20"/>
                <w:szCs w:val="20"/>
              </w:rPr>
              <w:t>22,468</w:t>
            </w:r>
          </w:p>
        </w:tc>
        <w:tc>
          <w:tcPr>
            <w:tcW w:w="64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EE0183">
              <w:rPr>
                <w:rFonts w:cs="Arial"/>
                <w:b/>
                <w:bCs/>
                <w:sz w:val="20"/>
                <w:szCs w:val="20"/>
              </w:rPr>
              <w:t>100</w:t>
            </w:r>
          </w:p>
        </w:tc>
        <w:tc>
          <w:tcPr>
            <w:tcW w:w="939"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EE0183">
              <w:rPr>
                <w:rFonts w:cs="Arial"/>
                <w:b/>
                <w:bCs/>
                <w:sz w:val="20"/>
                <w:szCs w:val="20"/>
              </w:rPr>
              <w:t>23,368</w:t>
            </w:r>
          </w:p>
        </w:tc>
        <w:tc>
          <w:tcPr>
            <w:tcW w:w="62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EE0183">
              <w:rPr>
                <w:rFonts w:cs="Arial"/>
                <w:b/>
                <w:bCs/>
                <w:sz w:val="20"/>
                <w:szCs w:val="20"/>
              </w:rPr>
              <w:t>100</w:t>
            </w:r>
          </w:p>
        </w:tc>
        <w:tc>
          <w:tcPr>
            <w:tcW w:w="939"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EE0183">
              <w:rPr>
                <w:rFonts w:cs="Arial"/>
                <w:b/>
                <w:bCs/>
                <w:sz w:val="20"/>
                <w:szCs w:val="20"/>
              </w:rPr>
              <w:t>24,287</w:t>
            </w:r>
          </w:p>
        </w:tc>
        <w:tc>
          <w:tcPr>
            <w:tcW w:w="640" w:type="dxa"/>
            <w:noWrap/>
            <w:hideMark/>
          </w:tcPr>
          <w:p w:rsidR="00F749B8" w:rsidRPr="00EE0183" w:rsidRDefault="00F749B8" w:rsidP="00624D3B">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EE0183">
              <w:rPr>
                <w:rFonts w:cs="Arial"/>
                <w:b/>
                <w:bCs/>
                <w:sz w:val="20"/>
                <w:szCs w:val="20"/>
              </w:rPr>
              <w:t>100</w:t>
            </w:r>
          </w:p>
        </w:tc>
      </w:tr>
    </w:tbl>
    <w:p w:rsidR="00F749B8" w:rsidRPr="00FF31F5" w:rsidRDefault="00F749B8" w:rsidP="00624D3B">
      <w:pPr>
        <w:spacing w:line="276" w:lineRule="auto"/>
      </w:pPr>
    </w:p>
    <w:p w:rsidR="00F749B8" w:rsidRDefault="00F749B8" w:rsidP="00624D3B">
      <w:pPr>
        <w:spacing w:line="276" w:lineRule="auto"/>
        <w:rPr>
          <w:bCs/>
        </w:rPr>
      </w:pPr>
      <w:r>
        <w:rPr>
          <w:bCs/>
        </w:rPr>
        <w:t>A</w:t>
      </w:r>
      <w:r w:rsidRPr="00FE0C0F">
        <w:rPr>
          <w:bCs/>
        </w:rPr>
        <w:t xml:space="preserve"> higher percentage of the health budget will be used for salaries and wages than </w:t>
      </w:r>
      <w:r>
        <w:rPr>
          <w:bCs/>
        </w:rPr>
        <w:t xml:space="preserve">planned </w:t>
      </w:r>
      <w:r w:rsidRPr="00FE0C0F">
        <w:rPr>
          <w:bCs/>
        </w:rPr>
        <w:t>under the previous</w:t>
      </w:r>
      <w:r>
        <w:rPr>
          <w:bCs/>
        </w:rPr>
        <w:t xml:space="preserve"> 2014</w:t>
      </w:r>
      <w:r w:rsidRPr="00FE0C0F">
        <w:rPr>
          <w:bCs/>
        </w:rPr>
        <w:t xml:space="preserve"> budget</w:t>
      </w:r>
      <w:r>
        <w:rPr>
          <w:bCs/>
        </w:rPr>
        <w:t xml:space="preserve">, </w:t>
      </w:r>
      <w:r w:rsidRPr="00FE0C0F">
        <w:rPr>
          <w:bCs/>
        </w:rPr>
        <w:t>increas</w:t>
      </w:r>
      <w:r>
        <w:rPr>
          <w:bCs/>
        </w:rPr>
        <w:t>ing</w:t>
      </w:r>
      <w:r w:rsidRPr="00FE0C0F">
        <w:rPr>
          <w:bCs/>
        </w:rPr>
        <w:t xml:space="preserve"> from 36.5% to 40.6%</w:t>
      </w:r>
      <w:r w:rsidRPr="00CB788B">
        <w:rPr>
          <w:bCs/>
          <w:vertAlign w:val="superscript"/>
        </w:rPr>
        <w:footnoteReference w:id="63"/>
      </w:r>
      <w:r w:rsidRPr="00FE0C0F">
        <w:rPr>
          <w:bCs/>
        </w:rPr>
        <w:t xml:space="preserve">. </w:t>
      </w:r>
      <w:r w:rsidRPr="00CB788B">
        <w:rPr>
          <w:bCs/>
        </w:rPr>
        <w:t>In Timor-Leste as in all countries, production of health services is very labour-intensive, a</w:t>
      </w:r>
      <w:r>
        <w:rPr>
          <w:bCs/>
        </w:rPr>
        <w:t>nd</w:t>
      </w:r>
      <w:r w:rsidRPr="00CB788B">
        <w:rPr>
          <w:bCs/>
        </w:rPr>
        <w:t xml:space="preserve"> the proportion of personnel costs </w:t>
      </w:r>
      <w:r>
        <w:rPr>
          <w:bCs/>
        </w:rPr>
        <w:t>in</w:t>
      </w:r>
      <w:r w:rsidRPr="00CB788B">
        <w:rPr>
          <w:bCs/>
        </w:rPr>
        <w:t xml:space="preserve"> the MoH is much higher than </w:t>
      </w:r>
      <w:r>
        <w:rPr>
          <w:bCs/>
        </w:rPr>
        <w:t xml:space="preserve">the 8-10% </w:t>
      </w:r>
      <w:r w:rsidRPr="00CB788B">
        <w:rPr>
          <w:bCs/>
        </w:rPr>
        <w:t>for Government as a whole</w:t>
      </w:r>
      <w:r w:rsidR="003D7117">
        <w:rPr>
          <w:rStyle w:val="FootnoteReference"/>
          <w:bCs/>
        </w:rPr>
        <w:footnoteReference w:id="64"/>
      </w:r>
      <w:r w:rsidRPr="00CB788B">
        <w:rPr>
          <w:bCs/>
        </w:rPr>
        <w:t xml:space="preserve">. </w:t>
      </w:r>
      <w:r w:rsidR="007848E4">
        <w:rPr>
          <w:bCs/>
        </w:rPr>
        <w:t xml:space="preserve">Table </w:t>
      </w:r>
      <w:r w:rsidR="00223373">
        <w:rPr>
          <w:bCs/>
        </w:rPr>
        <w:t>9</w:t>
      </w:r>
      <w:r>
        <w:rPr>
          <w:bCs/>
        </w:rPr>
        <w:t xml:space="preserve"> shows that o</w:t>
      </w:r>
      <w:r w:rsidRPr="00E0619F">
        <w:rPr>
          <w:bCs/>
        </w:rPr>
        <w:t xml:space="preserve">f the total of </w:t>
      </w:r>
      <w:r w:rsidR="009322F3">
        <w:rPr>
          <w:bCs/>
        </w:rPr>
        <w:t>US</w:t>
      </w:r>
      <w:r w:rsidRPr="00E0619F">
        <w:rPr>
          <w:bCs/>
        </w:rPr>
        <w:t xml:space="preserve">$22.47 million in salary and wages in 2013, 62.1% was spent for district health services and 25.8% on hospitals, of which half was for the </w:t>
      </w:r>
      <w:r w:rsidR="00670490">
        <w:rPr>
          <w:bCs/>
        </w:rPr>
        <w:t>N</w:t>
      </w:r>
      <w:r w:rsidRPr="00E0619F">
        <w:rPr>
          <w:bCs/>
        </w:rPr>
        <w:t xml:space="preserve">ational </w:t>
      </w:r>
      <w:r w:rsidR="00670490">
        <w:rPr>
          <w:bCs/>
        </w:rPr>
        <w:t>H</w:t>
      </w:r>
      <w:r w:rsidRPr="00E0619F">
        <w:rPr>
          <w:bCs/>
        </w:rPr>
        <w:t>ospital.</w:t>
      </w:r>
      <w:r w:rsidRPr="007C02B3">
        <w:rPr>
          <w:bCs/>
        </w:rPr>
        <w:t xml:space="preserve"> </w:t>
      </w:r>
      <w:r>
        <w:rPr>
          <w:bCs/>
        </w:rPr>
        <w:t>Total b</w:t>
      </w:r>
      <w:r w:rsidRPr="00FE0C0F">
        <w:rPr>
          <w:bCs/>
        </w:rPr>
        <w:t>udget</w:t>
      </w:r>
      <w:r>
        <w:rPr>
          <w:bCs/>
        </w:rPr>
        <w:t>s</w:t>
      </w:r>
      <w:r w:rsidRPr="00FE0C0F">
        <w:rPr>
          <w:bCs/>
        </w:rPr>
        <w:t xml:space="preserve"> for 2014 and 2015 are about 5% higher than previously </w:t>
      </w:r>
      <w:r>
        <w:rPr>
          <w:bCs/>
        </w:rPr>
        <w:t>proposed</w:t>
      </w:r>
      <w:r w:rsidRPr="00FE0C0F">
        <w:rPr>
          <w:bCs/>
        </w:rPr>
        <w:t xml:space="preserve">, making the salary increase possible and also </w:t>
      </w:r>
      <w:r>
        <w:rPr>
          <w:bCs/>
        </w:rPr>
        <w:t xml:space="preserve">allowing </w:t>
      </w:r>
      <w:r w:rsidRPr="00FE0C0F">
        <w:rPr>
          <w:bCs/>
        </w:rPr>
        <w:t xml:space="preserve">increases </w:t>
      </w:r>
      <w:r>
        <w:rPr>
          <w:bCs/>
        </w:rPr>
        <w:t>for</w:t>
      </w:r>
      <w:r w:rsidRPr="00FE0C0F">
        <w:rPr>
          <w:bCs/>
        </w:rPr>
        <w:t xml:space="preserve"> </w:t>
      </w:r>
      <w:r w:rsidR="00497BA3">
        <w:rPr>
          <w:bCs/>
        </w:rPr>
        <w:t>g</w:t>
      </w:r>
      <w:r w:rsidRPr="00FE0C0F">
        <w:rPr>
          <w:bCs/>
        </w:rPr>
        <w:t xml:space="preserve">oods and </w:t>
      </w:r>
      <w:r w:rsidR="00497BA3">
        <w:rPr>
          <w:bCs/>
        </w:rPr>
        <w:t>s</w:t>
      </w:r>
      <w:r w:rsidRPr="00FE0C0F">
        <w:rPr>
          <w:bCs/>
        </w:rPr>
        <w:t>ervices.</w:t>
      </w:r>
    </w:p>
    <w:p w:rsidR="00F749B8" w:rsidRPr="0049637A" w:rsidRDefault="00F749B8" w:rsidP="00624D3B">
      <w:pPr>
        <w:spacing w:line="276" w:lineRule="auto"/>
        <w:rPr>
          <w:bCs/>
        </w:rPr>
      </w:pPr>
      <w:r w:rsidRPr="00951EBE">
        <w:t xml:space="preserve">Currently, the </w:t>
      </w:r>
      <w:r>
        <w:t xml:space="preserve">drugs </w:t>
      </w:r>
      <w:r w:rsidRPr="00951EBE">
        <w:t>budget is</w:t>
      </w:r>
      <w:r>
        <w:t xml:space="preserve"> </w:t>
      </w:r>
      <w:r w:rsidRPr="00951EBE">
        <w:t>supplied directly from Ministry of Finance (M</w:t>
      </w:r>
      <w:r w:rsidR="00497BA3">
        <w:t>o</w:t>
      </w:r>
      <w:r w:rsidRPr="00951EBE">
        <w:t>F) to SAMES for purchase of</w:t>
      </w:r>
      <w:r>
        <w:t xml:space="preserve"> </w:t>
      </w:r>
      <w:r w:rsidRPr="00951EBE">
        <w:t xml:space="preserve">medicines for distribution to health facilities. The budget </w:t>
      </w:r>
      <w:r>
        <w:t>in 2011</w:t>
      </w:r>
      <w:r w:rsidRPr="00951EBE">
        <w:t xml:space="preserve"> was about </w:t>
      </w:r>
      <w:r w:rsidR="009322F3">
        <w:t>US</w:t>
      </w:r>
      <w:r>
        <w:t>$</w:t>
      </w:r>
      <w:r w:rsidRPr="00951EBE">
        <w:t>3.8</w:t>
      </w:r>
      <w:r>
        <w:t xml:space="preserve"> </w:t>
      </w:r>
      <w:r w:rsidRPr="00951EBE">
        <w:t xml:space="preserve">million, and nearly </w:t>
      </w:r>
      <w:r w:rsidR="009322F3">
        <w:t>US</w:t>
      </w:r>
      <w:r>
        <w:t>$</w:t>
      </w:r>
      <w:r w:rsidRPr="00951EBE">
        <w:t>1 million worth of pharmaceuticals for vertical</w:t>
      </w:r>
      <w:r>
        <w:t xml:space="preserve"> </w:t>
      </w:r>
      <w:r w:rsidR="0033505D">
        <w:t>program</w:t>
      </w:r>
      <w:r w:rsidRPr="00951EBE">
        <w:t xml:space="preserve">s were received from UNICEF, UNFPA and Global Fund. </w:t>
      </w:r>
      <w:r>
        <w:t xml:space="preserve">In 2012 </w:t>
      </w:r>
      <w:r w:rsidRPr="00951EBE">
        <w:t>the</w:t>
      </w:r>
      <w:r>
        <w:t xml:space="preserve"> </w:t>
      </w:r>
      <w:r w:rsidRPr="00951EBE">
        <w:t xml:space="preserve">budget increased to </w:t>
      </w:r>
      <w:r w:rsidR="009322F3">
        <w:t>US</w:t>
      </w:r>
      <w:r>
        <w:t>$</w:t>
      </w:r>
      <w:r w:rsidRPr="00951EBE">
        <w:t>5 million</w:t>
      </w:r>
      <w:r w:rsidR="00CD227A">
        <w:rPr>
          <w:rStyle w:val="FootnoteReference"/>
        </w:rPr>
        <w:footnoteReference w:id="65"/>
      </w:r>
      <w:r>
        <w:t xml:space="preserve">. This per capita allocation of approximately </w:t>
      </w:r>
      <w:r w:rsidR="009322F3">
        <w:t>US</w:t>
      </w:r>
      <w:r>
        <w:t>$4-5 per capita is in line with several other low and middle income countries (when program-supplied HIV/AIDS drugs are excluded</w:t>
      </w:r>
      <w:r w:rsidR="00AF57B3">
        <w:rPr>
          <w:rStyle w:val="FootnoteReference"/>
        </w:rPr>
        <w:footnoteReference w:id="66"/>
      </w:r>
      <w:r>
        <w:t>.</w:t>
      </w:r>
      <w:r w:rsidRPr="007C02B3">
        <w:rPr>
          <w:bCs/>
        </w:rPr>
        <w:t xml:space="preserve"> </w:t>
      </w:r>
    </w:p>
    <w:p w:rsidR="00F749B8" w:rsidRPr="00BD5788" w:rsidRDefault="00F749B8" w:rsidP="00624D3B">
      <w:pPr>
        <w:pStyle w:val="HRFHeading2Numbered"/>
      </w:pPr>
      <w:bookmarkStart w:id="38" w:name="_Toc373502495"/>
      <w:r w:rsidRPr="00BD5788">
        <w:t>Is the MoH budget equitable?</w:t>
      </w:r>
      <w:bookmarkEnd w:id="38"/>
    </w:p>
    <w:p w:rsidR="00B01006" w:rsidRPr="00FA66BC" w:rsidRDefault="00B01006" w:rsidP="00624D3B">
      <w:pPr>
        <w:spacing w:line="276" w:lineRule="auto"/>
        <w:rPr>
          <w:rFonts w:cs="Arial"/>
        </w:rPr>
      </w:pPr>
      <w:r w:rsidRPr="00FA66BC">
        <w:rPr>
          <w:rFonts w:cs="Arial"/>
        </w:rPr>
        <w:t>Large disparities exist in utili</w:t>
      </w:r>
      <w:r w:rsidR="006827E3">
        <w:rPr>
          <w:rFonts w:cs="Arial"/>
        </w:rPr>
        <w:t>s</w:t>
      </w:r>
      <w:r w:rsidRPr="00FA66BC">
        <w:rPr>
          <w:rFonts w:cs="Arial"/>
        </w:rPr>
        <w:t>ation of critical maternal and child health services between rich and poor, and across districts which correlates with unequal maternal and child health outcomes. Compared to children from the wealthiest households, children from the poorest households are 1.7 times more likely to die before their fifth birthday and 1.4 times more likely to be underweight. Overall utili</w:t>
      </w:r>
      <w:r w:rsidR="006827E3">
        <w:rPr>
          <w:rFonts w:cs="Arial"/>
        </w:rPr>
        <w:t>s</w:t>
      </w:r>
      <w:r w:rsidRPr="00FA66BC">
        <w:rPr>
          <w:rFonts w:cs="Arial"/>
        </w:rPr>
        <w:t>ation of outpatient medical care is higher in richer families than in poor families, and utili</w:t>
      </w:r>
      <w:r w:rsidR="006827E3">
        <w:rPr>
          <w:rFonts w:cs="Arial"/>
        </w:rPr>
        <w:t>s</w:t>
      </w:r>
      <w:r w:rsidRPr="00FA66BC">
        <w:rPr>
          <w:rFonts w:cs="Arial"/>
        </w:rPr>
        <w:t xml:space="preserve">ation of skilled </w:t>
      </w:r>
      <w:r w:rsidR="00497BA3">
        <w:rPr>
          <w:rFonts w:cs="Arial"/>
        </w:rPr>
        <w:t>ANC</w:t>
      </w:r>
      <w:r w:rsidRPr="00FA66BC">
        <w:rPr>
          <w:rFonts w:cs="Arial"/>
        </w:rPr>
        <w:t xml:space="preserve"> and delivery, and contraceptive prevalence are also higher. Immuni</w:t>
      </w:r>
      <w:r w:rsidR="006827E3">
        <w:rPr>
          <w:rFonts w:cs="Arial"/>
        </w:rPr>
        <w:t>s</w:t>
      </w:r>
      <w:r w:rsidRPr="00FA66BC">
        <w:rPr>
          <w:rFonts w:cs="Arial"/>
        </w:rPr>
        <w:t>ations, treatment of acute respiratory infections, and use of bed nets are higher among children from wealthier households</w:t>
      </w:r>
      <w:r w:rsidR="003C025F">
        <w:rPr>
          <w:rStyle w:val="FootnoteReference"/>
          <w:rFonts w:cs="Arial"/>
        </w:rPr>
        <w:footnoteReference w:id="67"/>
      </w:r>
      <w:r w:rsidR="003C025F">
        <w:rPr>
          <w:rFonts w:cs="Arial"/>
        </w:rPr>
        <w:t>.</w:t>
      </w:r>
      <w:r w:rsidRPr="00FA66BC">
        <w:rPr>
          <w:rFonts w:cs="Arial"/>
        </w:rPr>
        <w:t xml:space="preserve">  </w:t>
      </w:r>
    </w:p>
    <w:p w:rsidR="00B01006" w:rsidRPr="00FA66BC" w:rsidRDefault="00B01006" w:rsidP="00624D3B">
      <w:pPr>
        <w:autoSpaceDE w:val="0"/>
        <w:autoSpaceDN w:val="0"/>
        <w:adjustRightInd w:val="0"/>
        <w:spacing w:line="276" w:lineRule="auto"/>
        <w:rPr>
          <w:rFonts w:cs="Arial"/>
        </w:rPr>
      </w:pPr>
      <w:r w:rsidRPr="00FA66BC">
        <w:rPr>
          <w:rFonts w:cs="Arial"/>
        </w:rPr>
        <w:t xml:space="preserve">When individuals seek outpatient care it is mostly from public providers. Public hospitals and community health </w:t>
      </w:r>
      <w:r w:rsidR="00494623">
        <w:rPr>
          <w:rFonts w:cs="Arial"/>
        </w:rPr>
        <w:t>ce</w:t>
      </w:r>
      <w:r w:rsidR="00494623" w:rsidRPr="00FA66BC">
        <w:rPr>
          <w:rFonts w:cs="Arial"/>
        </w:rPr>
        <w:t>ntres</w:t>
      </w:r>
      <w:r w:rsidRPr="00FA66BC">
        <w:rPr>
          <w:rFonts w:cs="Arial"/>
        </w:rPr>
        <w:t xml:space="preserve"> account for over half of outpatient provision, including 96% of child visits. However, the poor rely more on health posts while the richest quintile obtain much of their care from public hospitals</w:t>
      </w:r>
      <w:r w:rsidRPr="00FA66BC">
        <w:rPr>
          <w:rStyle w:val="FootnoteReference"/>
          <w:rFonts w:cs="Arial"/>
        </w:rPr>
        <w:footnoteReference w:id="68"/>
      </w:r>
      <w:r w:rsidRPr="00FA66BC">
        <w:rPr>
          <w:rFonts w:cs="Arial"/>
        </w:rPr>
        <w:t xml:space="preserve">. In contrast the use of inpatient care is unequal, with the richest quintile three times as likely to use public hospitals as the poorest quintile, and urban individuals 1.3 times more likely than those in rural areas. Spending on referral hospitals, which are located in towns, is about half of that on rural services, but it cannot be inferred that spending is not equitable. However, because wealthier people use the costlier hospital care disproportionally they benefit unequally from public spending on a per capita basis. Public sector facilities are in practice free to most patients, and informal payments are rare unlike in other countries such as Indonesia. Out-of-pocket spending on healthcare is low. Catastrophic and impoverishing expenditures for health are much lower than in most countries in the region. </w:t>
      </w:r>
    </w:p>
    <w:p w:rsidR="00F749B8" w:rsidRDefault="00F749B8" w:rsidP="00624D3B">
      <w:pPr>
        <w:pStyle w:val="HRFHeading2Numbered"/>
      </w:pPr>
      <w:bookmarkStart w:id="39" w:name="_Toc373502496"/>
      <w:r>
        <w:t>Is the MoH budget targeted geographically at needs?</w:t>
      </w:r>
      <w:bookmarkEnd w:id="39"/>
    </w:p>
    <w:p w:rsidR="00F749B8" w:rsidRDefault="00F749B8" w:rsidP="00624D3B">
      <w:pPr>
        <w:autoSpaceDE w:val="0"/>
        <w:autoSpaceDN w:val="0"/>
        <w:adjustRightInd w:val="0"/>
        <w:spacing w:line="276" w:lineRule="auto"/>
      </w:pPr>
      <w:r w:rsidRPr="00A71587">
        <w:t xml:space="preserve">Most </w:t>
      </w:r>
      <w:r>
        <w:t>industriali</w:t>
      </w:r>
      <w:r w:rsidR="006827E3">
        <w:t>s</w:t>
      </w:r>
      <w:r>
        <w:t>ed</w:t>
      </w:r>
      <w:r w:rsidRPr="00A71587">
        <w:t xml:space="preserve"> countries have adopted resource allocation formula</w:t>
      </w:r>
      <w:r>
        <w:t>e</w:t>
      </w:r>
      <w:r w:rsidRPr="00A71587">
        <w:t xml:space="preserve"> for health that take into account the relative need of geographic areas</w:t>
      </w:r>
      <w:r>
        <w:rPr>
          <w:rStyle w:val="FootnoteReference"/>
        </w:rPr>
        <w:footnoteReference w:id="69"/>
      </w:r>
      <w:r w:rsidRPr="00A71587">
        <w:t xml:space="preserve">. </w:t>
      </w:r>
      <w:r>
        <w:t>A</w:t>
      </w:r>
      <w:r w:rsidRPr="00A71587">
        <w:t xml:space="preserve"> </w:t>
      </w:r>
      <w:r w:rsidR="00DF33AB">
        <w:t>MoF</w:t>
      </w:r>
      <w:r>
        <w:t xml:space="preserve"> </w:t>
      </w:r>
      <w:r w:rsidRPr="00A71587">
        <w:t xml:space="preserve">budget circular specifies </w:t>
      </w:r>
      <w:r w:rsidRPr="00BA1A57">
        <w:t xml:space="preserve">that a share of 34% is retained from the total </w:t>
      </w:r>
      <w:r>
        <w:t xml:space="preserve">MoH </w:t>
      </w:r>
      <w:r w:rsidRPr="00BA1A57">
        <w:t xml:space="preserve">budget for the districts to finance </w:t>
      </w:r>
      <w:r>
        <w:t>c</w:t>
      </w:r>
      <w:r w:rsidRPr="00BA1A57">
        <w:t xml:space="preserve">entral </w:t>
      </w:r>
      <w:r>
        <w:t>s</w:t>
      </w:r>
      <w:r w:rsidRPr="00BA1A57">
        <w:t xml:space="preserve">ervices. The remainder of the budget for the districts is distributed using two criteria: (i) 70% is based on the population in a district (ii) </w:t>
      </w:r>
      <w:r w:rsidR="009322F3">
        <w:t xml:space="preserve">of the final </w:t>
      </w:r>
      <w:r w:rsidRPr="00BA1A57">
        <w:t>30%</w:t>
      </w:r>
      <w:r w:rsidR="009322F3">
        <w:t>, 60%</w:t>
      </w:r>
      <w:r w:rsidRPr="00BA1A57">
        <w:t xml:space="preserve"> is allocated on basis of their performance index and</w:t>
      </w:r>
      <w:r w:rsidR="009322F3">
        <w:t xml:space="preserve"> 40% on</w:t>
      </w:r>
      <w:r w:rsidRPr="00BA1A57">
        <w:t xml:space="preserve"> the </w:t>
      </w:r>
      <w:r w:rsidR="00B17894">
        <w:t>difficulties of travel</w:t>
      </w:r>
      <w:r w:rsidRPr="00BA1A57">
        <w:t xml:space="preserve"> </w:t>
      </w:r>
      <w:r w:rsidR="00B17894">
        <w:t>for outreach services</w:t>
      </w:r>
      <w:r w:rsidRPr="00BA1A57">
        <w:t>. This guidance makes no mention of actual health needs</w:t>
      </w:r>
      <w:r w:rsidR="002730A5">
        <w:rPr>
          <w:rStyle w:val="FootnoteReference"/>
        </w:rPr>
        <w:footnoteReference w:id="70"/>
      </w:r>
      <w:r w:rsidRPr="00BA1A57">
        <w:t xml:space="preserve">. </w:t>
      </w:r>
      <w:r>
        <w:t>A</w:t>
      </w:r>
      <w:r w:rsidRPr="00BA1A57">
        <w:t xml:space="preserve"> key </w:t>
      </w:r>
      <w:r w:rsidR="00363B7B">
        <w:t>challenge</w:t>
      </w:r>
      <w:r w:rsidR="00363B7B" w:rsidRPr="00BA1A57">
        <w:t xml:space="preserve"> </w:t>
      </w:r>
      <w:r w:rsidRPr="00BA1A57">
        <w:t>in the existing planning and budgeting system is the separation of district planning and budgeting processes (districts prepare their action plans but the budget is determined at the central level). The MoH has no effective mechanism to link district health plans with the MoH budget, sometimes leaving several planned district activities with no budget to implement them</w:t>
      </w:r>
      <w:r w:rsidR="005319B4">
        <w:rPr>
          <w:rStyle w:val="FootnoteReference"/>
        </w:rPr>
        <w:footnoteReference w:id="71"/>
      </w:r>
      <w:r w:rsidRPr="00AE1C7D">
        <w:t xml:space="preserve"> </w:t>
      </w:r>
      <w:r w:rsidRPr="00BA1A57">
        <w:t xml:space="preserve">. </w:t>
      </w:r>
    </w:p>
    <w:p w:rsidR="00B01006" w:rsidRPr="00FA66BC" w:rsidRDefault="00B01006" w:rsidP="00624D3B">
      <w:pPr>
        <w:autoSpaceDE w:val="0"/>
        <w:autoSpaceDN w:val="0"/>
        <w:adjustRightInd w:val="0"/>
        <w:spacing w:line="276" w:lineRule="auto"/>
        <w:rPr>
          <w:rFonts w:cs="Arial"/>
        </w:rPr>
      </w:pPr>
      <w:r w:rsidRPr="00FA66BC">
        <w:rPr>
          <w:rFonts w:cs="Arial"/>
        </w:rPr>
        <w:t>To test the degree that health needs are also met through the criteria mentioned in the budget circular, a crude calculation of per capita spend against need was carried out for this assignment.  Districts were classified by giving equal weights to seven health indicators from the TLDHS</w:t>
      </w:r>
      <w:r w:rsidRPr="00FA66BC">
        <w:rPr>
          <w:rStyle w:val="FootnoteReference"/>
          <w:rFonts w:cs="Arial"/>
        </w:rPr>
        <w:footnoteReference w:id="72"/>
      </w:r>
      <w:r w:rsidRPr="00FA66BC">
        <w:rPr>
          <w:rFonts w:cs="Arial"/>
        </w:rPr>
        <w:t xml:space="preserve">, giving a score of +1 if the indicator was above the average for the 12 districts (excluding Dili) and -1 if it was below. The district sum of the factor scores (which would be between a maximum of 7 and a minimum of -7) was used to classify the districts as very deprived, average, and less deprived. Recurrent budget allocations consist of salaries and wages, goods and services (including medicines) and minor capital expenses. As seen in Table </w:t>
      </w:r>
      <w:r w:rsidR="00223373">
        <w:rPr>
          <w:rFonts w:cs="Arial"/>
        </w:rPr>
        <w:t>10</w:t>
      </w:r>
      <w:r w:rsidRPr="00FA66BC">
        <w:rPr>
          <w:rFonts w:cs="Arial"/>
        </w:rPr>
        <w:t xml:space="preserve"> below, planned 2014 allocations range from </w:t>
      </w:r>
      <w:r w:rsidR="009322F3">
        <w:rPr>
          <w:rFonts w:cs="Arial"/>
        </w:rPr>
        <w:t>US</w:t>
      </w:r>
      <w:r w:rsidRPr="00FA66BC">
        <w:rPr>
          <w:rFonts w:cs="Arial"/>
        </w:rPr>
        <w:t xml:space="preserve">$11.59 to </w:t>
      </w:r>
      <w:r w:rsidR="009322F3">
        <w:rPr>
          <w:rFonts w:cs="Arial"/>
        </w:rPr>
        <w:t>US</w:t>
      </w:r>
      <w:r w:rsidR="00223373">
        <w:rPr>
          <w:rFonts w:cs="Arial"/>
        </w:rPr>
        <w:t>$</w:t>
      </w:r>
      <w:r w:rsidRPr="00FA66BC">
        <w:rPr>
          <w:rFonts w:cs="Arial"/>
        </w:rPr>
        <w:t xml:space="preserve">29.13 per capita. Recurrent expenditures are highest in the "least deprived" group of districts, followed by the "most deprived", with the middle group receiving the smallest recurrent budget. If this classification was accurate, it appears that budget allocation is related to current operating costs of existing district health facilities rather than the needs of the population. This is not surprising, since the health system infrastructure is still being rebuilt and becoming functional. </w:t>
      </w:r>
    </w:p>
    <w:p w:rsidR="006946F8" w:rsidRDefault="006946F8">
      <w:pPr>
        <w:spacing w:after="0"/>
        <w:jc w:val="left"/>
        <w:rPr>
          <w:b/>
          <w:sz w:val="20"/>
        </w:rPr>
      </w:pPr>
      <w:r>
        <w:rPr>
          <w:b/>
          <w:sz w:val="20"/>
        </w:rPr>
        <w:br w:type="page"/>
      </w:r>
    </w:p>
    <w:p w:rsidR="00610965" w:rsidRDefault="00C94A76" w:rsidP="000B55BB">
      <w:pPr>
        <w:spacing w:after="0"/>
        <w:jc w:val="left"/>
        <w:rPr>
          <w:sz w:val="20"/>
        </w:rPr>
      </w:pPr>
      <w:r w:rsidRPr="000B55BB">
        <w:rPr>
          <w:b/>
          <w:sz w:val="20"/>
        </w:rPr>
        <w:t xml:space="preserve">Table 10: Recurrent and capital budgets for district health services, $US per capita (2014 State Budget books) </w:t>
      </w:r>
    </w:p>
    <w:tbl>
      <w:tblPr>
        <w:tblStyle w:val="HRF"/>
        <w:tblW w:w="7196" w:type="dxa"/>
        <w:tblLook w:val="04A0" w:firstRow="1" w:lastRow="0" w:firstColumn="1" w:lastColumn="0" w:noHBand="0" w:noVBand="1"/>
      </w:tblPr>
      <w:tblGrid>
        <w:gridCol w:w="1151"/>
        <w:gridCol w:w="1304"/>
        <w:gridCol w:w="1037"/>
        <w:gridCol w:w="1077"/>
        <w:gridCol w:w="1209"/>
        <w:gridCol w:w="1418"/>
      </w:tblGrid>
      <w:tr w:rsidR="005C1D4B" w:rsidRPr="009630A3" w:rsidTr="00BA1793">
        <w:trPr>
          <w:cnfStyle w:val="100000000000" w:firstRow="1" w:lastRow="0" w:firstColumn="0" w:lastColumn="0" w:oddVBand="0" w:evenVBand="0" w:oddHBand="0"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1151" w:type="dxa"/>
            <w:noWrap/>
            <w:hideMark/>
          </w:tcPr>
          <w:p w:rsidR="005C1D4B" w:rsidRPr="009630A3" w:rsidRDefault="005C1D4B" w:rsidP="00BA1793">
            <w:pPr>
              <w:spacing w:line="276" w:lineRule="auto"/>
              <w:rPr>
                <w:rFonts w:cs="Arial"/>
                <w:b/>
                <w:bCs/>
                <w:color w:val="FFFFFF" w:themeColor="background1"/>
                <w:sz w:val="20"/>
                <w:szCs w:val="20"/>
              </w:rPr>
            </w:pPr>
          </w:p>
        </w:tc>
        <w:tc>
          <w:tcPr>
            <w:tcW w:w="1304" w:type="dxa"/>
            <w:noWrap/>
            <w:hideMark/>
          </w:tcPr>
          <w:p w:rsidR="005C1D4B" w:rsidRPr="009630A3" w:rsidRDefault="005C1D4B" w:rsidP="00BA1793">
            <w:pPr>
              <w:spacing w:line="276" w:lineRule="auto"/>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sidRPr="009630A3">
              <w:rPr>
                <w:rFonts w:cs="Arial"/>
                <w:color w:val="FFFFFF" w:themeColor="background1"/>
                <w:sz w:val="20"/>
                <w:szCs w:val="20"/>
              </w:rPr>
              <w:t xml:space="preserve">'Deprivation' Index </w:t>
            </w:r>
          </w:p>
        </w:tc>
        <w:tc>
          <w:tcPr>
            <w:tcW w:w="1037" w:type="dxa"/>
            <w:hideMark/>
          </w:tcPr>
          <w:p w:rsidR="005C1D4B" w:rsidRPr="009630A3" w:rsidRDefault="005C1D4B" w:rsidP="00BA1793">
            <w:pPr>
              <w:spacing w:line="276" w:lineRule="auto"/>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Pr>
                <w:rFonts w:cs="Arial"/>
                <w:color w:val="FFFFFF" w:themeColor="background1"/>
                <w:sz w:val="20"/>
                <w:szCs w:val="20"/>
              </w:rPr>
              <w:t>r</w:t>
            </w:r>
            <w:r w:rsidRPr="009630A3">
              <w:rPr>
                <w:rFonts w:cs="Arial"/>
                <w:color w:val="FFFFFF" w:themeColor="background1"/>
                <w:sz w:val="20"/>
                <w:szCs w:val="20"/>
              </w:rPr>
              <w:t xml:space="preserve">ecurrent budget 2014 </w:t>
            </w:r>
          </w:p>
        </w:tc>
        <w:tc>
          <w:tcPr>
            <w:tcW w:w="1077" w:type="dxa"/>
            <w:hideMark/>
          </w:tcPr>
          <w:p w:rsidR="005C1D4B" w:rsidRPr="009630A3" w:rsidRDefault="005C1D4B" w:rsidP="00BA1793">
            <w:pPr>
              <w:spacing w:line="276" w:lineRule="auto"/>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sidRPr="009630A3">
              <w:rPr>
                <w:rFonts w:cs="Arial"/>
                <w:color w:val="FFFFFF" w:themeColor="background1"/>
                <w:sz w:val="20"/>
                <w:szCs w:val="20"/>
              </w:rPr>
              <w:t xml:space="preserve"> capital budget 2014</w:t>
            </w:r>
          </w:p>
        </w:tc>
        <w:tc>
          <w:tcPr>
            <w:tcW w:w="1209" w:type="dxa"/>
            <w:hideMark/>
          </w:tcPr>
          <w:p w:rsidR="005C1D4B" w:rsidRPr="009630A3" w:rsidRDefault="005C1D4B" w:rsidP="00BA1793">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sidRPr="009630A3">
              <w:rPr>
                <w:rFonts w:cs="Arial"/>
                <w:color w:val="FFFFFF" w:themeColor="background1"/>
                <w:sz w:val="20"/>
                <w:szCs w:val="20"/>
              </w:rPr>
              <w:t>total district level budget 2014</w:t>
            </w:r>
          </w:p>
        </w:tc>
        <w:tc>
          <w:tcPr>
            <w:tcW w:w="1418" w:type="dxa"/>
            <w:hideMark/>
          </w:tcPr>
          <w:p w:rsidR="005C1D4B" w:rsidRPr="009630A3" w:rsidRDefault="005C1D4B" w:rsidP="00BA1793">
            <w:pPr>
              <w:spacing w:line="276" w:lineRule="auto"/>
              <w:jc w:val="left"/>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sidRPr="009630A3">
              <w:rPr>
                <w:rFonts w:cs="Arial"/>
                <w:color w:val="FFFFFF" w:themeColor="background1"/>
                <w:sz w:val="20"/>
                <w:szCs w:val="20"/>
              </w:rPr>
              <w:t>2014-2013 change in recurrent budget per capita</w:t>
            </w:r>
          </w:p>
        </w:tc>
      </w:tr>
      <w:tr w:rsidR="005C1D4B" w:rsidRPr="009630A3" w:rsidTr="00BA1793">
        <w:trPr>
          <w:trHeight w:val="300"/>
        </w:trPr>
        <w:tc>
          <w:tcPr>
            <w:cnfStyle w:val="001000000000" w:firstRow="0" w:lastRow="0" w:firstColumn="1" w:lastColumn="0" w:oddVBand="0" w:evenVBand="0" w:oddHBand="0" w:evenHBand="0" w:firstRowFirstColumn="0" w:firstRowLastColumn="0" w:lastRowFirstColumn="0" w:lastRowLastColumn="0"/>
            <w:tcW w:w="7196" w:type="dxa"/>
            <w:gridSpan w:val="6"/>
            <w:noWrap/>
            <w:vAlign w:val="center"/>
          </w:tcPr>
          <w:p w:rsidR="005C1D4B" w:rsidRPr="009630A3" w:rsidRDefault="005C1D4B" w:rsidP="00BA1793">
            <w:pPr>
              <w:spacing w:line="276" w:lineRule="auto"/>
              <w:rPr>
                <w:rFonts w:cs="Arial"/>
                <w:sz w:val="20"/>
                <w:szCs w:val="20"/>
              </w:rPr>
            </w:pPr>
            <w:r w:rsidRPr="00EE0183">
              <w:rPr>
                <w:rFonts w:cs="Arial"/>
                <w:b/>
                <w:bCs/>
                <w:sz w:val="20"/>
                <w:szCs w:val="20"/>
              </w:rPr>
              <w:t>Least</w:t>
            </w:r>
          </w:p>
        </w:tc>
      </w:tr>
      <w:tr w:rsidR="005C1D4B" w:rsidRPr="009630A3" w:rsidTr="00BA1793">
        <w:trPr>
          <w:trHeight w:val="300"/>
        </w:trPr>
        <w:tc>
          <w:tcPr>
            <w:cnfStyle w:val="001000000000" w:firstRow="0" w:lastRow="0" w:firstColumn="1" w:lastColumn="0" w:oddVBand="0" w:evenVBand="0" w:oddHBand="0" w:evenHBand="0" w:firstRowFirstColumn="0" w:firstRowLastColumn="0" w:lastRowFirstColumn="0" w:lastRowLastColumn="0"/>
            <w:tcW w:w="1151" w:type="dxa"/>
            <w:noWrap/>
            <w:hideMark/>
          </w:tcPr>
          <w:p w:rsidR="005C1D4B" w:rsidRPr="009630A3" w:rsidRDefault="005C1D4B" w:rsidP="00BA1793">
            <w:pPr>
              <w:spacing w:line="276" w:lineRule="auto"/>
              <w:rPr>
                <w:rFonts w:cs="Arial"/>
                <w:sz w:val="20"/>
                <w:szCs w:val="20"/>
              </w:rPr>
            </w:pPr>
            <w:r w:rsidRPr="009630A3">
              <w:rPr>
                <w:rFonts w:cs="Arial"/>
                <w:sz w:val="20"/>
                <w:szCs w:val="20"/>
              </w:rPr>
              <w:t>Aileu</w:t>
            </w:r>
          </w:p>
        </w:tc>
        <w:tc>
          <w:tcPr>
            <w:tcW w:w="1304"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7</w:t>
            </w:r>
          </w:p>
        </w:tc>
        <w:tc>
          <w:tcPr>
            <w:tcW w:w="1037"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18.88</w:t>
            </w:r>
          </w:p>
        </w:tc>
        <w:tc>
          <w:tcPr>
            <w:tcW w:w="1077"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4.46</w:t>
            </w:r>
          </w:p>
        </w:tc>
        <w:tc>
          <w:tcPr>
            <w:tcW w:w="1209"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23.34</w:t>
            </w:r>
          </w:p>
        </w:tc>
        <w:tc>
          <w:tcPr>
            <w:tcW w:w="1418"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-$5.92</w:t>
            </w:r>
          </w:p>
        </w:tc>
      </w:tr>
      <w:tr w:rsidR="005C1D4B" w:rsidRPr="009630A3" w:rsidTr="00BA1793">
        <w:trPr>
          <w:trHeight w:val="324"/>
        </w:trPr>
        <w:tc>
          <w:tcPr>
            <w:cnfStyle w:val="001000000000" w:firstRow="0" w:lastRow="0" w:firstColumn="1" w:lastColumn="0" w:oddVBand="0" w:evenVBand="0" w:oddHBand="0" w:evenHBand="0" w:firstRowFirstColumn="0" w:firstRowLastColumn="0" w:lastRowFirstColumn="0" w:lastRowLastColumn="0"/>
            <w:tcW w:w="1151" w:type="dxa"/>
            <w:noWrap/>
            <w:hideMark/>
          </w:tcPr>
          <w:p w:rsidR="005C1D4B" w:rsidRPr="009630A3" w:rsidRDefault="005C1D4B" w:rsidP="00BA1793">
            <w:pPr>
              <w:spacing w:line="276" w:lineRule="auto"/>
              <w:rPr>
                <w:rFonts w:cs="Arial"/>
                <w:sz w:val="20"/>
                <w:szCs w:val="20"/>
              </w:rPr>
            </w:pPr>
            <w:r w:rsidRPr="009630A3">
              <w:rPr>
                <w:rFonts w:cs="Arial"/>
                <w:sz w:val="20"/>
                <w:szCs w:val="20"/>
              </w:rPr>
              <w:t>Viqueque</w:t>
            </w:r>
          </w:p>
        </w:tc>
        <w:tc>
          <w:tcPr>
            <w:tcW w:w="1304"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3</w:t>
            </w:r>
          </w:p>
        </w:tc>
        <w:tc>
          <w:tcPr>
            <w:tcW w:w="1037"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22.10</w:t>
            </w:r>
          </w:p>
        </w:tc>
        <w:tc>
          <w:tcPr>
            <w:tcW w:w="1077"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12.09</w:t>
            </w:r>
          </w:p>
        </w:tc>
        <w:tc>
          <w:tcPr>
            <w:tcW w:w="1209"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34.19</w:t>
            </w:r>
          </w:p>
        </w:tc>
        <w:tc>
          <w:tcPr>
            <w:tcW w:w="1418"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-$6.05</w:t>
            </w:r>
          </w:p>
        </w:tc>
      </w:tr>
      <w:tr w:rsidR="005C1D4B" w:rsidRPr="009630A3" w:rsidTr="00BA1793">
        <w:trPr>
          <w:trHeight w:val="300"/>
        </w:trPr>
        <w:tc>
          <w:tcPr>
            <w:cnfStyle w:val="001000000000" w:firstRow="0" w:lastRow="0" w:firstColumn="1" w:lastColumn="0" w:oddVBand="0" w:evenVBand="0" w:oddHBand="0" w:evenHBand="0" w:firstRowFirstColumn="0" w:firstRowLastColumn="0" w:lastRowFirstColumn="0" w:lastRowLastColumn="0"/>
            <w:tcW w:w="1151" w:type="dxa"/>
            <w:noWrap/>
            <w:hideMark/>
          </w:tcPr>
          <w:p w:rsidR="005C1D4B" w:rsidRPr="009630A3" w:rsidRDefault="005C1D4B" w:rsidP="00BA1793">
            <w:pPr>
              <w:spacing w:line="276" w:lineRule="auto"/>
              <w:rPr>
                <w:rFonts w:cs="Arial"/>
                <w:sz w:val="20"/>
                <w:szCs w:val="20"/>
              </w:rPr>
            </w:pPr>
            <w:r w:rsidRPr="009630A3">
              <w:rPr>
                <w:rFonts w:cs="Arial"/>
                <w:sz w:val="20"/>
                <w:szCs w:val="20"/>
              </w:rPr>
              <w:t>Manatuto</w:t>
            </w:r>
          </w:p>
        </w:tc>
        <w:tc>
          <w:tcPr>
            <w:tcW w:w="1304"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3</w:t>
            </w:r>
          </w:p>
        </w:tc>
        <w:tc>
          <w:tcPr>
            <w:tcW w:w="1037"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29.13</w:t>
            </w:r>
          </w:p>
        </w:tc>
        <w:tc>
          <w:tcPr>
            <w:tcW w:w="1077"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10.29</w:t>
            </w:r>
          </w:p>
        </w:tc>
        <w:tc>
          <w:tcPr>
            <w:tcW w:w="1209"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39.42</w:t>
            </w:r>
          </w:p>
        </w:tc>
        <w:tc>
          <w:tcPr>
            <w:tcW w:w="1418"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-$2.48</w:t>
            </w:r>
          </w:p>
        </w:tc>
      </w:tr>
      <w:tr w:rsidR="005C1D4B" w:rsidRPr="009630A3" w:rsidTr="00BA1793">
        <w:trPr>
          <w:trHeight w:val="300"/>
        </w:trPr>
        <w:tc>
          <w:tcPr>
            <w:cnfStyle w:val="001000000000" w:firstRow="0" w:lastRow="0" w:firstColumn="1" w:lastColumn="0" w:oddVBand="0" w:evenVBand="0" w:oddHBand="0" w:evenHBand="0" w:firstRowFirstColumn="0" w:firstRowLastColumn="0" w:lastRowFirstColumn="0" w:lastRowLastColumn="0"/>
            <w:tcW w:w="1151" w:type="dxa"/>
            <w:noWrap/>
            <w:hideMark/>
          </w:tcPr>
          <w:p w:rsidR="005C1D4B" w:rsidRPr="009630A3" w:rsidRDefault="005C1D4B" w:rsidP="00BA1793">
            <w:pPr>
              <w:spacing w:line="276" w:lineRule="auto"/>
              <w:rPr>
                <w:rFonts w:cs="Arial"/>
                <w:sz w:val="20"/>
                <w:szCs w:val="20"/>
              </w:rPr>
            </w:pPr>
            <w:r w:rsidRPr="009630A3">
              <w:rPr>
                <w:rFonts w:cs="Arial"/>
                <w:sz w:val="20"/>
                <w:szCs w:val="20"/>
              </w:rPr>
              <w:t>Liquica</w:t>
            </w:r>
          </w:p>
        </w:tc>
        <w:tc>
          <w:tcPr>
            <w:tcW w:w="1304"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3</w:t>
            </w:r>
          </w:p>
        </w:tc>
        <w:tc>
          <w:tcPr>
            <w:tcW w:w="1037"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14.17</w:t>
            </w:r>
          </w:p>
        </w:tc>
        <w:tc>
          <w:tcPr>
            <w:tcW w:w="1077" w:type="dxa"/>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8.01</w:t>
            </w:r>
          </w:p>
        </w:tc>
        <w:tc>
          <w:tcPr>
            <w:tcW w:w="1209"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22.18</w:t>
            </w:r>
          </w:p>
        </w:tc>
        <w:tc>
          <w:tcPr>
            <w:tcW w:w="1418"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-$2.43</w:t>
            </w:r>
          </w:p>
        </w:tc>
      </w:tr>
      <w:tr w:rsidR="005C1D4B" w:rsidRPr="009630A3" w:rsidTr="00BA1793">
        <w:trPr>
          <w:trHeight w:val="300"/>
        </w:trPr>
        <w:tc>
          <w:tcPr>
            <w:cnfStyle w:val="001000000000" w:firstRow="0" w:lastRow="0" w:firstColumn="1" w:lastColumn="0" w:oddVBand="0" w:evenVBand="0" w:oddHBand="0" w:evenHBand="0" w:firstRowFirstColumn="0" w:firstRowLastColumn="0" w:lastRowFirstColumn="0" w:lastRowLastColumn="0"/>
            <w:tcW w:w="1151" w:type="dxa"/>
            <w:noWrap/>
            <w:hideMark/>
          </w:tcPr>
          <w:p w:rsidR="005C1D4B" w:rsidRPr="009630A3" w:rsidRDefault="005C1D4B" w:rsidP="00BA1793">
            <w:pPr>
              <w:spacing w:line="276" w:lineRule="auto"/>
              <w:rPr>
                <w:rFonts w:cs="Arial"/>
                <w:sz w:val="20"/>
                <w:szCs w:val="20"/>
              </w:rPr>
            </w:pPr>
          </w:p>
        </w:tc>
        <w:tc>
          <w:tcPr>
            <w:tcW w:w="1304" w:type="dxa"/>
            <w:noWrap/>
            <w:hideMark/>
          </w:tcPr>
          <w:p w:rsidR="005C1D4B" w:rsidRPr="009630A3" w:rsidRDefault="005C1D4B" w:rsidP="00BA1793">
            <w:pPr>
              <w:spacing w:line="276" w:lineRule="auto"/>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9630A3">
              <w:rPr>
                <w:rFonts w:cs="Arial"/>
                <w:b/>
                <w:bCs/>
                <w:sz w:val="20"/>
                <w:szCs w:val="20"/>
              </w:rPr>
              <w:t>mean</w:t>
            </w:r>
          </w:p>
        </w:tc>
        <w:tc>
          <w:tcPr>
            <w:tcW w:w="1037"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9630A3">
              <w:rPr>
                <w:rFonts w:cs="Arial"/>
                <w:b/>
                <w:bCs/>
                <w:sz w:val="20"/>
                <w:szCs w:val="20"/>
              </w:rPr>
              <w:t>$21.07</w:t>
            </w:r>
          </w:p>
        </w:tc>
        <w:tc>
          <w:tcPr>
            <w:tcW w:w="1077"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9630A3">
              <w:rPr>
                <w:rFonts w:cs="Arial"/>
                <w:b/>
                <w:bCs/>
                <w:sz w:val="20"/>
                <w:szCs w:val="20"/>
              </w:rPr>
              <w:t>8.71</w:t>
            </w:r>
          </w:p>
        </w:tc>
        <w:tc>
          <w:tcPr>
            <w:tcW w:w="1209"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9630A3">
              <w:rPr>
                <w:rFonts w:cs="Arial"/>
                <w:b/>
                <w:bCs/>
                <w:sz w:val="20"/>
                <w:szCs w:val="20"/>
              </w:rPr>
              <w:t>29.78</w:t>
            </w:r>
          </w:p>
        </w:tc>
        <w:tc>
          <w:tcPr>
            <w:tcW w:w="1418"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9630A3">
              <w:rPr>
                <w:rFonts w:cs="Arial"/>
                <w:b/>
                <w:bCs/>
                <w:sz w:val="20"/>
                <w:szCs w:val="20"/>
              </w:rPr>
              <w:t>-16.7%</w:t>
            </w:r>
          </w:p>
        </w:tc>
      </w:tr>
      <w:tr w:rsidR="005C1D4B" w:rsidRPr="009630A3" w:rsidTr="00BA1793">
        <w:trPr>
          <w:trHeight w:val="300"/>
        </w:trPr>
        <w:tc>
          <w:tcPr>
            <w:cnfStyle w:val="001000000000" w:firstRow="0" w:lastRow="0" w:firstColumn="1" w:lastColumn="0" w:oddVBand="0" w:evenVBand="0" w:oddHBand="0" w:evenHBand="0" w:firstRowFirstColumn="0" w:firstRowLastColumn="0" w:lastRowFirstColumn="0" w:lastRowLastColumn="0"/>
            <w:tcW w:w="7196" w:type="dxa"/>
            <w:gridSpan w:val="6"/>
            <w:noWrap/>
            <w:hideMark/>
          </w:tcPr>
          <w:p w:rsidR="005C1D4B" w:rsidRPr="009630A3" w:rsidRDefault="005C1D4B" w:rsidP="00BA1793">
            <w:pPr>
              <w:spacing w:line="276" w:lineRule="auto"/>
              <w:rPr>
                <w:rFonts w:cs="Arial"/>
                <w:sz w:val="20"/>
                <w:szCs w:val="20"/>
              </w:rPr>
            </w:pPr>
            <w:r w:rsidRPr="009630A3">
              <w:rPr>
                <w:rFonts w:cs="Arial"/>
                <w:b/>
                <w:bCs/>
                <w:sz w:val="20"/>
                <w:szCs w:val="20"/>
              </w:rPr>
              <w:t>Mid</w:t>
            </w:r>
          </w:p>
        </w:tc>
      </w:tr>
      <w:tr w:rsidR="005C1D4B" w:rsidRPr="009630A3" w:rsidTr="00BA1793">
        <w:trPr>
          <w:trHeight w:val="300"/>
        </w:trPr>
        <w:tc>
          <w:tcPr>
            <w:cnfStyle w:val="001000000000" w:firstRow="0" w:lastRow="0" w:firstColumn="1" w:lastColumn="0" w:oddVBand="0" w:evenVBand="0" w:oddHBand="0" w:evenHBand="0" w:firstRowFirstColumn="0" w:firstRowLastColumn="0" w:lastRowFirstColumn="0" w:lastRowLastColumn="0"/>
            <w:tcW w:w="1151" w:type="dxa"/>
            <w:noWrap/>
            <w:hideMark/>
          </w:tcPr>
          <w:p w:rsidR="005C1D4B" w:rsidRPr="009630A3" w:rsidRDefault="005C1D4B" w:rsidP="00BA1793">
            <w:pPr>
              <w:spacing w:line="276" w:lineRule="auto"/>
              <w:rPr>
                <w:rFonts w:cs="Arial"/>
                <w:sz w:val="20"/>
                <w:szCs w:val="20"/>
              </w:rPr>
            </w:pPr>
            <w:r w:rsidRPr="009630A3">
              <w:rPr>
                <w:rFonts w:cs="Arial"/>
                <w:sz w:val="20"/>
                <w:szCs w:val="20"/>
              </w:rPr>
              <w:t>Bobonaro</w:t>
            </w:r>
          </w:p>
        </w:tc>
        <w:tc>
          <w:tcPr>
            <w:tcW w:w="1304"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2</w:t>
            </w:r>
          </w:p>
        </w:tc>
        <w:tc>
          <w:tcPr>
            <w:tcW w:w="1037"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11.69</w:t>
            </w:r>
          </w:p>
        </w:tc>
        <w:tc>
          <w:tcPr>
            <w:tcW w:w="1077"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8.63</w:t>
            </w:r>
          </w:p>
        </w:tc>
        <w:tc>
          <w:tcPr>
            <w:tcW w:w="1209"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20.32</w:t>
            </w:r>
          </w:p>
        </w:tc>
        <w:tc>
          <w:tcPr>
            <w:tcW w:w="1418"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-$4.83</w:t>
            </w:r>
          </w:p>
        </w:tc>
      </w:tr>
      <w:tr w:rsidR="005C1D4B" w:rsidRPr="009630A3" w:rsidTr="00BA1793">
        <w:trPr>
          <w:trHeight w:val="300"/>
        </w:trPr>
        <w:tc>
          <w:tcPr>
            <w:cnfStyle w:val="001000000000" w:firstRow="0" w:lastRow="0" w:firstColumn="1" w:lastColumn="0" w:oddVBand="0" w:evenVBand="0" w:oddHBand="0" w:evenHBand="0" w:firstRowFirstColumn="0" w:firstRowLastColumn="0" w:lastRowFirstColumn="0" w:lastRowLastColumn="0"/>
            <w:tcW w:w="1151" w:type="dxa"/>
            <w:noWrap/>
            <w:hideMark/>
          </w:tcPr>
          <w:p w:rsidR="005C1D4B" w:rsidRPr="009630A3" w:rsidRDefault="005C1D4B" w:rsidP="00BA1793">
            <w:pPr>
              <w:spacing w:line="276" w:lineRule="auto"/>
              <w:rPr>
                <w:rFonts w:cs="Arial"/>
                <w:sz w:val="20"/>
                <w:szCs w:val="20"/>
              </w:rPr>
            </w:pPr>
            <w:r w:rsidRPr="009630A3">
              <w:rPr>
                <w:rFonts w:cs="Arial"/>
                <w:sz w:val="20"/>
                <w:szCs w:val="20"/>
              </w:rPr>
              <w:t>Covalima</w:t>
            </w:r>
          </w:p>
        </w:tc>
        <w:tc>
          <w:tcPr>
            <w:tcW w:w="1304"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1</w:t>
            </w:r>
          </w:p>
        </w:tc>
        <w:tc>
          <w:tcPr>
            <w:tcW w:w="1037"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19.08</w:t>
            </w:r>
          </w:p>
        </w:tc>
        <w:tc>
          <w:tcPr>
            <w:tcW w:w="1077"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11.37</w:t>
            </w:r>
          </w:p>
        </w:tc>
        <w:tc>
          <w:tcPr>
            <w:tcW w:w="1209"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30.45</w:t>
            </w:r>
          </w:p>
        </w:tc>
        <w:tc>
          <w:tcPr>
            <w:tcW w:w="1418"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-$3.22</w:t>
            </w:r>
          </w:p>
        </w:tc>
      </w:tr>
      <w:tr w:rsidR="005C1D4B" w:rsidRPr="009630A3" w:rsidTr="00BA1793">
        <w:trPr>
          <w:trHeight w:val="300"/>
        </w:trPr>
        <w:tc>
          <w:tcPr>
            <w:cnfStyle w:val="001000000000" w:firstRow="0" w:lastRow="0" w:firstColumn="1" w:lastColumn="0" w:oddVBand="0" w:evenVBand="0" w:oddHBand="0" w:evenHBand="0" w:firstRowFirstColumn="0" w:firstRowLastColumn="0" w:lastRowFirstColumn="0" w:lastRowLastColumn="0"/>
            <w:tcW w:w="1151" w:type="dxa"/>
            <w:noWrap/>
            <w:hideMark/>
          </w:tcPr>
          <w:p w:rsidR="005C1D4B" w:rsidRPr="009630A3" w:rsidRDefault="005C1D4B" w:rsidP="00BA1793">
            <w:pPr>
              <w:spacing w:line="276" w:lineRule="auto"/>
              <w:rPr>
                <w:rFonts w:cs="Arial"/>
                <w:sz w:val="20"/>
                <w:szCs w:val="20"/>
              </w:rPr>
            </w:pPr>
            <w:r w:rsidRPr="009630A3">
              <w:rPr>
                <w:rFonts w:cs="Arial"/>
                <w:sz w:val="20"/>
                <w:szCs w:val="20"/>
              </w:rPr>
              <w:t>Baucau</w:t>
            </w:r>
          </w:p>
        </w:tc>
        <w:tc>
          <w:tcPr>
            <w:tcW w:w="1304"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1</w:t>
            </w:r>
          </w:p>
        </w:tc>
        <w:tc>
          <w:tcPr>
            <w:tcW w:w="1037"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11.74</w:t>
            </w:r>
          </w:p>
        </w:tc>
        <w:tc>
          <w:tcPr>
            <w:tcW w:w="1077"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15.75</w:t>
            </w:r>
          </w:p>
        </w:tc>
        <w:tc>
          <w:tcPr>
            <w:tcW w:w="1209"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27.49</w:t>
            </w:r>
          </w:p>
        </w:tc>
        <w:tc>
          <w:tcPr>
            <w:tcW w:w="1418"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-$4.78</w:t>
            </w:r>
          </w:p>
        </w:tc>
      </w:tr>
      <w:tr w:rsidR="005C1D4B" w:rsidRPr="009630A3" w:rsidTr="00BA1793">
        <w:trPr>
          <w:trHeight w:val="300"/>
        </w:trPr>
        <w:tc>
          <w:tcPr>
            <w:cnfStyle w:val="001000000000" w:firstRow="0" w:lastRow="0" w:firstColumn="1" w:lastColumn="0" w:oddVBand="0" w:evenVBand="0" w:oddHBand="0" w:evenHBand="0" w:firstRowFirstColumn="0" w:firstRowLastColumn="0" w:lastRowFirstColumn="0" w:lastRowLastColumn="0"/>
            <w:tcW w:w="1151" w:type="dxa"/>
            <w:noWrap/>
            <w:hideMark/>
          </w:tcPr>
          <w:p w:rsidR="005C1D4B" w:rsidRPr="009630A3" w:rsidRDefault="005C1D4B" w:rsidP="00BA1793">
            <w:pPr>
              <w:spacing w:line="276" w:lineRule="auto"/>
              <w:rPr>
                <w:rFonts w:cs="Arial"/>
                <w:sz w:val="20"/>
                <w:szCs w:val="20"/>
              </w:rPr>
            </w:pPr>
          </w:p>
        </w:tc>
        <w:tc>
          <w:tcPr>
            <w:tcW w:w="1304" w:type="dxa"/>
            <w:noWrap/>
            <w:hideMark/>
          </w:tcPr>
          <w:p w:rsidR="005C1D4B" w:rsidRPr="009630A3" w:rsidRDefault="005C1D4B" w:rsidP="00BA1793">
            <w:pPr>
              <w:spacing w:line="276" w:lineRule="auto"/>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9630A3">
              <w:rPr>
                <w:rFonts w:cs="Arial"/>
                <w:b/>
                <w:bCs/>
                <w:sz w:val="20"/>
                <w:szCs w:val="20"/>
              </w:rPr>
              <w:t>mean</w:t>
            </w:r>
          </w:p>
        </w:tc>
        <w:tc>
          <w:tcPr>
            <w:tcW w:w="1037"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9630A3">
              <w:rPr>
                <w:rFonts w:cs="Arial"/>
                <w:b/>
                <w:bCs/>
                <w:sz w:val="20"/>
                <w:szCs w:val="20"/>
              </w:rPr>
              <w:t>14.17</w:t>
            </w:r>
          </w:p>
        </w:tc>
        <w:tc>
          <w:tcPr>
            <w:tcW w:w="1077"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9630A3">
              <w:rPr>
                <w:rFonts w:cs="Arial"/>
                <w:b/>
                <w:bCs/>
                <w:sz w:val="20"/>
                <w:szCs w:val="20"/>
              </w:rPr>
              <w:t>11.92</w:t>
            </w:r>
          </w:p>
        </w:tc>
        <w:tc>
          <w:tcPr>
            <w:tcW w:w="1209"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9630A3">
              <w:rPr>
                <w:rFonts w:cs="Arial"/>
                <w:b/>
                <w:bCs/>
                <w:sz w:val="20"/>
                <w:szCs w:val="20"/>
              </w:rPr>
              <w:t>26.09</w:t>
            </w:r>
          </w:p>
        </w:tc>
        <w:tc>
          <w:tcPr>
            <w:tcW w:w="1418"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9630A3">
              <w:rPr>
                <w:rFonts w:cs="Arial"/>
                <w:b/>
                <w:bCs/>
                <w:sz w:val="20"/>
                <w:szCs w:val="20"/>
              </w:rPr>
              <w:t>-23.2%</w:t>
            </w:r>
          </w:p>
        </w:tc>
      </w:tr>
      <w:tr w:rsidR="005C1D4B" w:rsidRPr="009630A3" w:rsidTr="00BA1793">
        <w:trPr>
          <w:trHeight w:val="300"/>
        </w:trPr>
        <w:tc>
          <w:tcPr>
            <w:cnfStyle w:val="001000000000" w:firstRow="0" w:lastRow="0" w:firstColumn="1" w:lastColumn="0" w:oddVBand="0" w:evenVBand="0" w:oddHBand="0" w:evenHBand="0" w:firstRowFirstColumn="0" w:firstRowLastColumn="0" w:lastRowFirstColumn="0" w:lastRowLastColumn="0"/>
            <w:tcW w:w="7196" w:type="dxa"/>
            <w:gridSpan w:val="6"/>
            <w:noWrap/>
            <w:hideMark/>
          </w:tcPr>
          <w:p w:rsidR="005C1D4B" w:rsidRPr="009630A3" w:rsidRDefault="005C1D4B" w:rsidP="00BA1793">
            <w:pPr>
              <w:spacing w:line="276" w:lineRule="auto"/>
              <w:rPr>
                <w:rFonts w:cs="Arial"/>
                <w:sz w:val="20"/>
                <w:szCs w:val="20"/>
              </w:rPr>
            </w:pPr>
            <w:r w:rsidRPr="009630A3">
              <w:rPr>
                <w:rFonts w:cs="Arial"/>
                <w:b/>
                <w:bCs/>
                <w:sz w:val="20"/>
                <w:szCs w:val="20"/>
              </w:rPr>
              <w:t>Worst</w:t>
            </w:r>
          </w:p>
        </w:tc>
      </w:tr>
      <w:tr w:rsidR="005C1D4B" w:rsidRPr="009630A3" w:rsidTr="00BA1793">
        <w:trPr>
          <w:trHeight w:val="324"/>
        </w:trPr>
        <w:tc>
          <w:tcPr>
            <w:cnfStyle w:val="001000000000" w:firstRow="0" w:lastRow="0" w:firstColumn="1" w:lastColumn="0" w:oddVBand="0" w:evenVBand="0" w:oddHBand="0" w:evenHBand="0" w:firstRowFirstColumn="0" w:firstRowLastColumn="0" w:lastRowFirstColumn="0" w:lastRowLastColumn="0"/>
            <w:tcW w:w="1151" w:type="dxa"/>
            <w:noWrap/>
            <w:hideMark/>
          </w:tcPr>
          <w:p w:rsidR="005C1D4B" w:rsidRPr="009630A3" w:rsidRDefault="005C1D4B" w:rsidP="00BA1793">
            <w:pPr>
              <w:spacing w:line="276" w:lineRule="auto"/>
              <w:rPr>
                <w:rFonts w:cs="Arial"/>
                <w:sz w:val="20"/>
                <w:szCs w:val="20"/>
              </w:rPr>
            </w:pPr>
            <w:r w:rsidRPr="009630A3">
              <w:rPr>
                <w:rFonts w:cs="Arial"/>
                <w:sz w:val="20"/>
                <w:szCs w:val="20"/>
              </w:rPr>
              <w:t>Oecusse</w:t>
            </w:r>
          </w:p>
        </w:tc>
        <w:tc>
          <w:tcPr>
            <w:tcW w:w="1304"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-3</w:t>
            </w:r>
          </w:p>
        </w:tc>
        <w:tc>
          <w:tcPr>
            <w:tcW w:w="1037"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14.76</w:t>
            </w:r>
          </w:p>
        </w:tc>
        <w:tc>
          <w:tcPr>
            <w:tcW w:w="1077"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1.80</w:t>
            </w:r>
          </w:p>
        </w:tc>
        <w:tc>
          <w:tcPr>
            <w:tcW w:w="1209"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16.56</w:t>
            </w:r>
          </w:p>
        </w:tc>
        <w:tc>
          <w:tcPr>
            <w:tcW w:w="1418"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-$5.26</w:t>
            </w:r>
          </w:p>
        </w:tc>
      </w:tr>
      <w:tr w:rsidR="005C1D4B" w:rsidRPr="009630A3" w:rsidTr="00BA1793">
        <w:trPr>
          <w:trHeight w:val="300"/>
        </w:trPr>
        <w:tc>
          <w:tcPr>
            <w:cnfStyle w:val="001000000000" w:firstRow="0" w:lastRow="0" w:firstColumn="1" w:lastColumn="0" w:oddVBand="0" w:evenVBand="0" w:oddHBand="0" w:evenHBand="0" w:firstRowFirstColumn="0" w:firstRowLastColumn="0" w:lastRowFirstColumn="0" w:lastRowLastColumn="0"/>
            <w:tcW w:w="1151" w:type="dxa"/>
            <w:noWrap/>
            <w:hideMark/>
          </w:tcPr>
          <w:p w:rsidR="005C1D4B" w:rsidRPr="009630A3" w:rsidRDefault="005C1D4B" w:rsidP="00BA1793">
            <w:pPr>
              <w:spacing w:line="276" w:lineRule="auto"/>
              <w:rPr>
                <w:rFonts w:cs="Arial"/>
                <w:sz w:val="20"/>
                <w:szCs w:val="20"/>
              </w:rPr>
            </w:pPr>
            <w:r w:rsidRPr="009630A3">
              <w:rPr>
                <w:rFonts w:cs="Arial"/>
                <w:sz w:val="20"/>
                <w:szCs w:val="20"/>
              </w:rPr>
              <w:t>Ainaro</w:t>
            </w:r>
          </w:p>
        </w:tc>
        <w:tc>
          <w:tcPr>
            <w:tcW w:w="1304"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-7</w:t>
            </w:r>
          </w:p>
        </w:tc>
        <w:tc>
          <w:tcPr>
            <w:tcW w:w="1037"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15.70</w:t>
            </w:r>
          </w:p>
        </w:tc>
        <w:tc>
          <w:tcPr>
            <w:tcW w:w="1077"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3.68</w:t>
            </w:r>
          </w:p>
        </w:tc>
        <w:tc>
          <w:tcPr>
            <w:tcW w:w="1209"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19.38</w:t>
            </w:r>
          </w:p>
        </w:tc>
        <w:tc>
          <w:tcPr>
            <w:tcW w:w="1418"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$0.31</w:t>
            </w:r>
          </w:p>
        </w:tc>
      </w:tr>
      <w:tr w:rsidR="005C1D4B" w:rsidRPr="009630A3" w:rsidTr="00BA1793">
        <w:trPr>
          <w:trHeight w:val="300"/>
        </w:trPr>
        <w:tc>
          <w:tcPr>
            <w:cnfStyle w:val="001000000000" w:firstRow="0" w:lastRow="0" w:firstColumn="1" w:lastColumn="0" w:oddVBand="0" w:evenVBand="0" w:oddHBand="0" w:evenHBand="0" w:firstRowFirstColumn="0" w:firstRowLastColumn="0" w:lastRowFirstColumn="0" w:lastRowLastColumn="0"/>
            <w:tcW w:w="1151" w:type="dxa"/>
            <w:noWrap/>
            <w:hideMark/>
          </w:tcPr>
          <w:p w:rsidR="005C1D4B" w:rsidRPr="009630A3" w:rsidRDefault="005C1D4B" w:rsidP="00BA1793">
            <w:pPr>
              <w:spacing w:line="276" w:lineRule="auto"/>
              <w:rPr>
                <w:rFonts w:cs="Arial"/>
                <w:sz w:val="20"/>
                <w:szCs w:val="20"/>
              </w:rPr>
            </w:pPr>
            <w:r w:rsidRPr="009630A3">
              <w:rPr>
                <w:rFonts w:cs="Arial"/>
                <w:sz w:val="20"/>
                <w:szCs w:val="20"/>
              </w:rPr>
              <w:t>Ermera</w:t>
            </w:r>
          </w:p>
        </w:tc>
        <w:tc>
          <w:tcPr>
            <w:tcW w:w="1304"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-3</w:t>
            </w:r>
          </w:p>
        </w:tc>
        <w:tc>
          <w:tcPr>
            <w:tcW w:w="1037"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11.59</w:t>
            </w:r>
          </w:p>
        </w:tc>
        <w:tc>
          <w:tcPr>
            <w:tcW w:w="1077"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3.83</w:t>
            </w:r>
          </w:p>
        </w:tc>
        <w:tc>
          <w:tcPr>
            <w:tcW w:w="1209"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15.42</w:t>
            </w:r>
          </w:p>
        </w:tc>
        <w:tc>
          <w:tcPr>
            <w:tcW w:w="1418"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-$3.44</w:t>
            </w:r>
          </w:p>
        </w:tc>
      </w:tr>
      <w:tr w:rsidR="005C1D4B" w:rsidRPr="009630A3" w:rsidTr="00BA1793">
        <w:trPr>
          <w:trHeight w:val="300"/>
        </w:trPr>
        <w:tc>
          <w:tcPr>
            <w:cnfStyle w:val="001000000000" w:firstRow="0" w:lastRow="0" w:firstColumn="1" w:lastColumn="0" w:oddVBand="0" w:evenVBand="0" w:oddHBand="0" w:evenHBand="0" w:firstRowFirstColumn="0" w:firstRowLastColumn="0" w:lastRowFirstColumn="0" w:lastRowLastColumn="0"/>
            <w:tcW w:w="1151" w:type="dxa"/>
            <w:noWrap/>
            <w:hideMark/>
          </w:tcPr>
          <w:p w:rsidR="005C1D4B" w:rsidRPr="009630A3" w:rsidRDefault="005C1D4B" w:rsidP="00BA1793">
            <w:pPr>
              <w:spacing w:line="276" w:lineRule="auto"/>
              <w:rPr>
                <w:rFonts w:cs="Arial"/>
                <w:sz w:val="20"/>
                <w:szCs w:val="20"/>
              </w:rPr>
            </w:pPr>
            <w:r w:rsidRPr="009630A3">
              <w:rPr>
                <w:rFonts w:cs="Arial"/>
                <w:sz w:val="20"/>
                <w:szCs w:val="20"/>
              </w:rPr>
              <w:t>Lautem</w:t>
            </w:r>
          </w:p>
        </w:tc>
        <w:tc>
          <w:tcPr>
            <w:tcW w:w="1304"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-2</w:t>
            </w:r>
          </w:p>
        </w:tc>
        <w:tc>
          <w:tcPr>
            <w:tcW w:w="1037"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19.94</w:t>
            </w:r>
          </w:p>
        </w:tc>
        <w:tc>
          <w:tcPr>
            <w:tcW w:w="1077"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8.97</w:t>
            </w:r>
          </w:p>
        </w:tc>
        <w:tc>
          <w:tcPr>
            <w:tcW w:w="1209"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28.91</w:t>
            </w:r>
          </w:p>
        </w:tc>
        <w:tc>
          <w:tcPr>
            <w:tcW w:w="1418"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-$3.84</w:t>
            </w:r>
          </w:p>
        </w:tc>
      </w:tr>
      <w:tr w:rsidR="005C1D4B" w:rsidRPr="009630A3" w:rsidTr="00BA1793">
        <w:trPr>
          <w:trHeight w:val="300"/>
        </w:trPr>
        <w:tc>
          <w:tcPr>
            <w:cnfStyle w:val="001000000000" w:firstRow="0" w:lastRow="0" w:firstColumn="1" w:lastColumn="0" w:oddVBand="0" w:evenVBand="0" w:oddHBand="0" w:evenHBand="0" w:firstRowFirstColumn="0" w:firstRowLastColumn="0" w:lastRowFirstColumn="0" w:lastRowLastColumn="0"/>
            <w:tcW w:w="1151" w:type="dxa"/>
            <w:noWrap/>
            <w:hideMark/>
          </w:tcPr>
          <w:p w:rsidR="005C1D4B" w:rsidRPr="009630A3" w:rsidRDefault="005C1D4B" w:rsidP="00BA1793">
            <w:pPr>
              <w:spacing w:line="276" w:lineRule="auto"/>
              <w:rPr>
                <w:rFonts w:cs="Arial"/>
                <w:sz w:val="20"/>
                <w:szCs w:val="20"/>
              </w:rPr>
            </w:pPr>
            <w:r w:rsidRPr="009630A3">
              <w:rPr>
                <w:rFonts w:cs="Arial"/>
                <w:sz w:val="20"/>
                <w:szCs w:val="20"/>
              </w:rPr>
              <w:t>Manufahi</w:t>
            </w:r>
          </w:p>
        </w:tc>
        <w:tc>
          <w:tcPr>
            <w:tcW w:w="1304"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-5</w:t>
            </w:r>
          </w:p>
        </w:tc>
        <w:tc>
          <w:tcPr>
            <w:tcW w:w="1037"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25.39</w:t>
            </w:r>
          </w:p>
        </w:tc>
        <w:tc>
          <w:tcPr>
            <w:tcW w:w="1077"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17.14</w:t>
            </w:r>
          </w:p>
        </w:tc>
        <w:tc>
          <w:tcPr>
            <w:tcW w:w="1209"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42.53</w:t>
            </w:r>
          </w:p>
        </w:tc>
        <w:tc>
          <w:tcPr>
            <w:tcW w:w="1418"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9630A3">
              <w:rPr>
                <w:rFonts w:cs="Arial"/>
                <w:sz w:val="20"/>
                <w:szCs w:val="20"/>
              </w:rPr>
              <w:t>-$3.45</w:t>
            </w:r>
          </w:p>
        </w:tc>
      </w:tr>
      <w:tr w:rsidR="005C1D4B" w:rsidRPr="009630A3" w:rsidTr="00BA1793">
        <w:trPr>
          <w:trHeight w:val="300"/>
        </w:trPr>
        <w:tc>
          <w:tcPr>
            <w:cnfStyle w:val="001000000000" w:firstRow="0" w:lastRow="0" w:firstColumn="1" w:lastColumn="0" w:oddVBand="0" w:evenVBand="0" w:oddHBand="0" w:evenHBand="0" w:firstRowFirstColumn="0" w:firstRowLastColumn="0" w:lastRowFirstColumn="0" w:lastRowLastColumn="0"/>
            <w:tcW w:w="1151" w:type="dxa"/>
            <w:noWrap/>
            <w:hideMark/>
          </w:tcPr>
          <w:p w:rsidR="005C1D4B" w:rsidRPr="009630A3" w:rsidRDefault="005C1D4B" w:rsidP="00BA1793">
            <w:pPr>
              <w:spacing w:line="276" w:lineRule="auto"/>
              <w:rPr>
                <w:rFonts w:cs="Arial"/>
                <w:sz w:val="20"/>
                <w:szCs w:val="20"/>
              </w:rPr>
            </w:pPr>
          </w:p>
        </w:tc>
        <w:tc>
          <w:tcPr>
            <w:tcW w:w="1304" w:type="dxa"/>
            <w:noWrap/>
            <w:hideMark/>
          </w:tcPr>
          <w:p w:rsidR="005C1D4B" w:rsidRPr="009630A3" w:rsidRDefault="005C1D4B" w:rsidP="00BA1793">
            <w:pPr>
              <w:spacing w:line="276" w:lineRule="auto"/>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9630A3">
              <w:rPr>
                <w:rFonts w:cs="Arial"/>
                <w:b/>
                <w:bCs/>
                <w:sz w:val="20"/>
                <w:szCs w:val="20"/>
              </w:rPr>
              <w:t>mean</w:t>
            </w:r>
          </w:p>
        </w:tc>
        <w:tc>
          <w:tcPr>
            <w:tcW w:w="1037"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9630A3">
              <w:rPr>
                <w:rFonts w:cs="Arial"/>
                <w:b/>
                <w:bCs/>
                <w:sz w:val="20"/>
                <w:szCs w:val="20"/>
              </w:rPr>
              <w:t>$17.47</w:t>
            </w:r>
          </w:p>
        </w:tc>
        <w:tc>
          <w:tcPr>
            <w:tcW w:w="1077"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9630A3">
              <w:rPr>
                <w:rFonts w:cs="Arial"/>
                <w:b/>
                <w:bCs/>
                <w:sz w:val="20"/>
                <w:szCs w:val="20"/>
              </w:rPr>
              <w:t>7.08</w:t>
            </w:r>
          </w:p>
        </w:tc>
        <w:tc>
          <w:tcPr>
            <w:tcW w:w="1209"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9630A3">
              <w:rPr>
                <w:rFonts w:cs="Arial"/>
                <w:b/>
                <w:bCs/>
                <w:sz w:val="20"/>
                <w:szCs w:val="20"/>
              </w:rPr>
              <w:t>24.56</w:t>
            </w:r>
          </w:p>
        </w:tc>
        <w:tc>
          <w:tcPr>
            <w:tcW w:w="1418" w:type="dxa"/>
            <w:noWrap/>
            <w:hideMark/>
          </w:tcPr>
          <w:p w:rsidR="005C1D4B" w:rsidRPr="009630A3" w:rsidRDefault="005C1D4B" w:rsidP="00BA1793">
            <w:pPr>
              <w:spacing w:line="276" w:lineRule="auto"/>
              <w:jc w:val="right"/>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9630A3">
              <w:rPr>
                <w:rFonts w:cs="Arial"/>
                <w:b/>
                <w:bCs/>
                <w:sz w:val="20"/>
                <w:szCs w:val="20"/>
              </w:rPr>
              <w:t>-15.2%</w:t>
            </w:r>
          </w:p>
        </w:tc>
      </w:tr>
    </w:tbl>
    <w:p w:rsidR="005C1D4B" w:rsidRDefault="005C1D4B" w:rsidP="005C1D4B">
      <w:pPr>
        <w:spacing w:line="276" w:lineRule="auto"/>
        <w:rPr>
          <w:sz w:val="16"/>
        </w:rPr>
      </w:pPr>
    </w:p>
    <w:p w:rsidR="00B01006" w:rsidRPr="00FA66BC" w:rsidRDefault="00B01006" w:rsidP="00624D3B">
      <w:pPr>
        <w:spacing w:line="276" w:lineRule="auto"/>
        <w:rPr>
          <w:rFonts w:cs="Arial"/>
        </w:rPr>
      </w:pPr>
      <w:r w:rsidRPr="00FA66BC">
        <w:rPr>
          <w:rFonts w:cs="Arial"/>
        </w:rPr>
        <w:t>In most districts</w:t>
      </w:r>
      <w:r w:rsidR="00363B7B">
        <w:rPr>
          <w:rFonts w:cs="Arial"/>
        </w:rPr>
        <w:t>,</w:t>
      </w:r>
      <w:r w:rsidRPr="00FA66BC">
        <w:rPr>
          <w:rFonts w:cs="Arial"/>
        </w:rPr>
        <w:t xml:space="preserve"> the 2014 recurrent budgets are lower than for 2013, with cuts coming from staff costs while retaining expenditure on goods and </w:t>
      </w:r>
      <w:r w:rsidR="002730A5">
        <w:t>services</w:t>
      </w:r>
      <w:r w:rsidR="002730A5">
        <w:rPr>
          <w:rStyle w:val="FootnoteReference"/>
        </w:rPr>
        <w:footnoteReference w:id="73"/>
      </w:r>
      <w:r w:rsidRPr="00FA66BC">
        <w:rPr>
          <w:rFonts w:cs="Arial"/>
        </w:rPr>
        <w:t xml:space="preserve">. The average reduction in total budget was roughly 15% for the most deprived districts, and 18-23% for the others.  Recurrent budgets for four of the five referral hospitals are significantly increased for 2014 (Baucau is the exception), but this is not entirely clear since as of 2014 the goods and services line for hospitals apparently was transferred to the Directorate for Hospital Services. </w:t>
      </w:r>
    </w:p>
    <w:p w:rsidR="00B01006" w:rsidRDefault="00B01006" w:rsidP="00624D3B">
      <w:pPr>
        <w:spacing w:line="276" w:lineRule="auto"/>
      </w:pPr>
      <w:r w:rsidRPr="00FA66BC">
        <w:rPr>
          <w:rFonts w:cs="Arial"/>
        </w:rPr>
        <w:t xml:space="preserve">MoH </w:t>
      </w:r>
      <w:r w:rsidR="0027652E" w:rsidRPr="0027652E">
        <w:rPr>
          <w:rFonts w:cs="Arial"/>
        </w:rPr>
        <w:t>capital spending for district health services is approximately</w:t>
      </w:r>
      <w:r w:rsidRPr="00FA66BC">
        <w:rPr>
          <w:rFonts w:cs="Arial"/>
        </w:rPr>
        <w:t xml:space="preserve"> half that of the recurrent budget, and as seen in Table </w:t>
      </w:r>
      <w:r w:rsidR="009322F3">
        <w:rPr>
          <w:rFonts w:cs="Arial"/>
        </w:rPr>
        <w:t>10</w:t>
      </w:r>
      <w:r w:rsidRPr="00FA66BC">
        <w:rPr>
          <w:rFonts w:cs="Arial"/>
        </w:rPr>
        <w:t xml:space="preserve"> there is a wide range of capital financing among districts, and the three middle-deprivation districts received the most on average.</w:t>
      </w:r>
    </w:p>
    <w:p w:rsidR="00B01006" w:rsidRDefault="00B01006" w:rsidP="00624D3B">
      <w:pPr>
        <w:spacing w:line="276" w:lineRule="auto"/>
        <w:rPr>
          <w:rFonts w:cs="Arial"/>
        </w:rPr>
      </w:pPr>
      <w:r w:rsidRPr="00FA66BC">
        <w:rPr>
          <w:rFonts w:cs="Arial"/>
        </w:rPr>
        <w:t>Donor health budget allocations</w:t>
      </w:r>
      <w:r w:rsidR="0039480B">
        <w:rPr>
          <w:rFonts w:cs="Arial"/>
        </w:rPr>
        <w:t xml:space="preserve"> by district are </w:t>
      </w:r>
      <w:r w:rsidRPr="00FA66BC">
        <w:rPr>
          <w:rFonts w:cs="Arial"/>
        </w:rPr>
        <w:t xml:space="preserve">still not transparent. The State 2014 Budget Book 6 lists MoH-administered activities financed by development partners that total </w:t>
      </w:r>
      <w:r w:rsidR="009322F3">
        <w:rPr>
          <w:rFonts w:cs="Arial"/>
        </w:rPr>
        <w:t>US</w:t>
      </w:r>
      <w:r w:rsidRPr="00FA66BC">
        <w:rPr>
          <w:rFonts w:cs="Arial"/>
        </w:rPr>
        <w:t xml:space="preserve">$32.83 million in 2014, down from </w:t>
      </w:r>
      <w:r w:rsidR="009322F3">
        <w:rPr>
          <w:rFonts w:cs="Arial"/>
        </w:rPr>
        <w:t>US</w:t>
      </w:r>
      <w:r w:rsidRPr="00FA66BC">
        <w:rPr>
          <w:rFonts w:cs="Arial"/>
        </w:rPr>
        <w:t xml:space="preserve">$40.17 million in 2013. The online Aid Transparency Portal is slow and incomplete, so it was not possible to find any relevant allocation data, and 2014 State Budget Book 6 includes no tables or details on how aid in the health sector has been allocated geographically. The only useful information is shown in Figure 5 </w:t>
      </w:r>
      <w:r w:rsidR="00363B7B">
        <w:rPr>
          <w:rFonts w:cs="Arial"/>
        </w:rPr>
        <w:t xml:space="preserve">and Table 11 </w:t>
      </w:r>
      <w:r w:rsidRPr="00FA66BC">
        <w:rPr>
          <w:rFonts w:cs="Arial"/>
        </w:rPr>
        <w:t xml:space="preserve">below. It appears that about </w:t>
      </w:r>
      <w:r w:rsidR="009322F3">
        <w:rPr>
          <w:rFonts w:cs="Arial"/>
        </w:rPr>
        <w:t>US</w:t>
      </w:r>
      <w:r w:rsidRPr="00FA66BC">
        <w:rPr>
          <w:rFonts w:cs="Arial"/>
        </w:rPr>
        <w:t xml:space="preserve">$10.8 million, or one-third of aid to the health sector, is used for direct spending at district level. It is probably coincidence that this echoes the proportion of the government health budget allocated for district health services.  Donor inputs of around </w:t>
      </w:r>
      <w:r w:rsidR="009322F3">
        <w:rPr>
          <w:rFonts w:cs="Arial"/>
        </w:rPr>
        <w:t>US</w:t>
      </w:r>
      <w:r w:rsidRPr="00FA66BC">
        <w:rPr>
          <w:rFonts w:cs="Arial"/>
        </w:rPr>
        <w:t xml:space="preserve">$32 million when added to GHE of </w:t>
      </w:r>
      <w:r w:rsidR="009322F3">
        <w:rPr>
          <w:rFonts w:cs="Arial"/>
        </w:rPr>
        <w:t>US</w:t>
      </w:r>
      <w:r w:rsidRPr="00FA66BC">
        <w:rPr>
          <w:rFonts w:cs="Arial"/>
        </w:rPr>
        <w:t xml:space="preserve">$60-70 million result in total public health sector expenditures of around </w:t>
      </w:r>
      <w:r w:rsidR="009322F3">
        <w:rPr>
          <w:rFonts w:cs="Arial"/>
        </w:rPr>
        <w:t>US</w:t>
      </w:r>
      <w:r w:rsidRPr="00FA66BC">
        <w:rPr>
          <w:rFonts w:cs="Arial"/>
        </w:rPr>
        <w:t>$82 per capita</w:t>
      </w:r>
      <w:r w:rsidR="00246F19">
        <w:rPr>
          <w:rStyle w:val="FootnoteReference"/>
          <w:rFonts w:cs="Arial"/>
        </w:rPr>
        <w:footnoteReference w:id="74"/>
      </w:r>
      <w:r w:rsidR="005C1D4B">
        <w:rPr>
          <w:rFonts w:cs="Arial"/>
        </w:rPr>
        <w:t>.</w:t>
      </w:r>
    </w:p>
    <w:p w:rsidR="005C1D4B" w:rsidRPr="00290CC1" w:rsidRDefault="005C1D4B" w:rsidP="005C1D4B">
      <w:pPr>
        <w:pStyle w:val="Caption"/>
        <w:spacing w:line="276" w:lineRule="auto"/>
      </w:pPr>
      <w:r w:rsidRPr="00290CC1">
        <w:t xml:space="preserve">Figure </w:t>
      </w:r>
      <w:r w:rsidR="00C94A76" w:rsidRPr="00290CC1">
        <w:fldChar w:fldCharType="begin"/>
      </w:r>
      <w:r w:rsidRPr="00290CC1">
        <w:instrText xml:space="preserve"> SEQ Figure \* ARABIC </w:instrText>
      </w:r>
      <w:r w:rsidR="00C94A76" w:rsidRPr="00290CC1">
        <w:fldChar w:fldCharType="separate"/>
      </w:r>
      <w:r w:rsidR="00B363D8">
        <w:rPr>
          <w:noProof/>
        </w:rPr>
        <w:t>5</w:t>
      </w:r>
      <w:r w:rsidR="00C94A76" w:rsidRPr="00290CC1">
        <w:fldChar w:fldCharType="end"/>
      </w:r>
      <w:r w:rsidRPr="00290CC1">
        <w:t xml:space="preserve">: Donor project allocations </w:t>
      </w:r>
      <w:r w:rsidR="003D7117">
        <w:rPr>
          <w:rStyle w:val="FootnoteReference"/>
        </w:rPr>
        <w:footnoteReference w:id="75"/>
      </w:r>
    </w:p>
    <w:p w:rsidR="00610965" w:rsidRDefault="005C1D4B" w:rsidP="00D0414C">
      <w:pPr>
        <w:spacing w:line="276" w:lineRule="auto"/>
        <w:jc w:val="left"/>
        <w:rPr>
          <w:b/>
          <w:bCs/>
          <w:sz w:val="20"/>
          <w:szCs w:val="16"/>
        </w:rPr>
      </w:pPr>
      <w:r w:rsidRPr="00C30159">
        <w:rPr>
          <w:noProof/>
          <w:lang w:val="en-AU" w:eastAsia="en-AU" w:bidi="ar-SA"/>
        </w:rPr>
        <w:drawing>
          <wp:inline distT="0" distB="0" distL="0" distR="0" wp14:anchorId="51277C5F" wp14:editId="72DB23B2">
            <wp:extent cx="5162549" cy="3324225"/>
            <wp:effectExtent l="0" t="0" r="635"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0" cstate="print"/>
                    <a:srcRect l="1084" t="2479" r="1058" b="1377"/>
                    <a:stretch/>
                  </pic:blipFill>
                  <pic:spPr bwMode="auto">
                    <a:xfrm>
                      <a:off x="0" y="0"/>
                      <a:ext cx="5161324" cy="3323436"/>
                    </a:xfrm>
                    <a:prstGeom prst="rect">
                      <a:avLst/>
                    </a:prstGeom>
                    <a:noFill/>
                    <a:ln>
                      <a:noFill/>
                    </a:ln>
                    <a:extLst>
                      <a:ext uri="{53640926-AAD7-44D8-BBD7-CCE9431645EC}">
                        <a14:shadowObscured xmlns:a14="http://schemas.microsoft.com/office/drawing/2010/main"/>
                      </a:ext>
                    </a:extLst>
                  </pic:spPr>
                </pic:pic>
              </a:graphicData>
            </a:graphic>
          </wp:inline>
        </w:drawing>
      </w:r>
      <w:r>
        <w:rPr>
          <w:sz w:val="20"/>
        </w:rPr>
        <w:br w:type="page"/>
      </w:r>
    </w:p>
    <w:p w:rsidR="005C1D4B" w:rsidRPr="00860793" w:rsidRDefault="005C1D4B" w:rsidP="005C1D4B">
      <w:pPr>
        <w:pStyle w:val="Caption"/>
        <w:spacing w:line="276" w:lineRule="auto"/>
        <w:rPr>
          <w:b w:val="0"/>
        </w:rPr>
      </w:pPr>
      <w:r w:rsidRPr="00860793">
        <w:t xml:space="preserve">Table </w:t>
      </w:r>
      <w:r w:rsidR="00670490">
        <w:t>1</w:t>
      </w:r>
      <w:r w:rsidR="00223373">
        <w:t>1</w:t>
      </w:r>
      <w:r>
        <w:t xml:space="preserve">: </w:t>
      </w:r>
      <w:r w:rsidR="00670490">
        <w:t>District donor health spending (d</w:t>
      </w:r>
      <w:r>
        <w:t>erived from Figure 5</w:t>
      </w:r>
      <w:r w:rsidR="00670490">
        <w:t>)</w:t>
      </w:r>
    </w:p>
    <w:tbl>
      <w:tblPr>
        <w:tblStyle w:val="HRF"/>
        <w:tblW w:w="0" w:type="auto"/>
        <w:tblLook w:val="06A0" w:firstRow="1" w:lastRow="0" w:firstColumn="1" w:lastColumn="0" w:noHBand="1" w:noVBand="1"/>
      </w:tblPr>
      <w:tblGrid>
        <w:gridCol w:w="1728"/>
        <w:gridCol w:w="2250"/>
        <w:gridCol w:w="2430"/>
      </w:tblGrid>
      <w:tr w:rsidR="005C1D4B" w:rsidRPr="009630A3" w:rsidTr="00BA1793">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28" w:type="dxa"/>
            <w:hideMark/>
          </w:tcPr>
          <w:p w:rsidR="005C1D4B" w:rsidRPr="009630A3" w:rsidRDefault="005C1D4B" w:rsidP="00BA1793">
            <w:pPr>
              <w:spacing w:line="276" w:lineRule="auto"/>
              <w:jc w:val="left"/>
              <w:rPr>
                <w:rFonts w:cs="Arial"/>
                <w:b/>
                <w:sz w:val="20"/>
                <w:szCs w:val="20"/>
              </w:rPr>
            </w:pPr>
            <w:r w:rsidRPr="009630A3">
              <w:rPr>
                <w:rFonts w:cs="Arial"/>
                <w:b/>
                <w:sz w:val="20"/>
                <w:szCs w:val="20"/>
              </w:rPr>
              <w:t> District</w:t>
            </w:r>
          </w:p>
        </w:tc>
        <w:tc>
          <w:tcPr>
            <w:tcW w:w="2250" w:type="dxa"/>
            <w:hideMark/>
          </w:tcPr>
          <w:p w:rsidR="005C1D4B" w:rsidRPr="009630A3" w:rsidRDefault="005C1D4B" w:rsidP="00BA1793">
            <w:pPr>
              <w:spacing w:line="276" w:lineRule="auto"/>
              <w:jc w:val="left"/>
              <w:cnfStyle w:val="100000000000" w:firstRow="1" w:lastRow="0" w:firstColumn="0" w:lastColumn="0" w:oddVBand="0" w:evenVBand="0" w:oddHBand="0" w:evenHBand="0" w:firstRowFirstColumn="0" w:firstRowLastColumn="0" w:lastRowFirstColumn="0" w:lastRowLastColumn="0"/>
              <w:rPr>
                <w:rFonts w:cs="Arial"/>
                <w:b/>
                <w:sz w:val="20"/>
                <w:szCs w:val="20"/>
              </w:rPr>
            </w:pPr>
            <w:r w:rsidRPr="009630A3">
              <w:rPr>
                <w:rFonts w:cs="Arial"/>
                <w:b/>
                <w:sz w:val="20"/>
                <w:szCs w:val="20"/>
              </w:rPr>
              <w:t xml:space="preserve">estimated donor assistance </w:t>
            </w:r>
            <w:r w:rsidR="009322F3">
              <w:rPr>
                <w:rFonts w:cs="Arial"/>
                <w:b/>
                <w:sz w:val="20"/>
                <w:szCs w:val="20"/>
              </w:rPr>
              <w:t>US</w:t>
            </w:r>
            <w:r w:rsidRPr="009630A3">
              <w:rPr>
                <w:rFonts w:cs="Arial"/>
                <w:b/>
                <w:sz w:val="20"/>
                <w:szCs w:val="20"/>
              </w:rPr>
              <w:t>$ millions to districts</w:t>
            </w:r>
          </w:p>
        </w:tc>
        <w:tc>
          <w:tcPr>
            <w:tcW w:w="2430" w:type="dxa"/>
            <w:hideMark/>
          </w:tcPr>
          <w:p w:rsidR="005C1D4B" w:rsidRPr="009630A3" w:rsidRDefault="005C1D4B" w:rsidP="00BA1793">
            <w:pPr>
              <w:spacing w:line="276" w:lineRule="auto"/>
              <w:jc w:val="left"/>
              <w:cnfStyle w:val="100000000000" w:firstRow="1" w:lastRow="0" w:firstColumn="0" w:lastColumn="0" w:oddVBand="0" w:evenVBand="0" w:oddHBand="0" w:evenHBand="0" w:firstRowFirstColumn="0" w:firstRowLastColumn="0" w:lastRowFirstColumn="0" w:lastRowLastColumn="0"/>
              <w:rPr>
                <w:rFonts w:cs="Arial"/>
                <w:b/>
                <w:sz w:val="20"/>
                <w:szCs w:val="20"/>
              </w:rPr>
            </w:pPr>
            <w:r w:rsidRPr="009630A3">
              <w:rPr>
                <w:rFonts w:cs="Arial"/>
                <w:b/>
                <w:sz w:val="20"/>
                <w:szCs w:val="20"/>
              </w:rPr>
              <w:t>donor assistance per capita</w:t>
            </w:r>
            <w:r w:rsidR="009322F3">
              <w:rPr>
                <w:rFonts w:cs="Arial"/>
                <w:b/>
                <w:sz w:val="20"/>
                <w:szCs w:val="20"/>
              </w:rPr>
              <w:t xml:space="preserve"> US$</w:t>
            </w:r>
          </w:p>
        </w:tc>
      </w:tr>
      <w:tr w:rsidR="005C1D4B" w:rsidRPr="009630A3" w:rsidTr="00BA1793">
        <w:trPr>
          <w:trHeight w:val="144"/>
        </w:trPr>
        <w:tc>
          <w:tcPr>
            <w:cnfStyle w:val="001000000000" w:firstRow="0" w:lastRow="0" w:firstColumn="1" w:lastColumn="0" w:oddVBand="0" w:evenVBand="0" w:oddHBand="0" w:evenHBand="0" w:firstRowFirstColumn="0" w:firstRowLastColumn="0" w:lastRowFirstColumn="0" w:lastRowLastColumn="0"/>
            <w:tcW w:w="1728" w:type="dxa"/>
            <w:noWrap/>
            <w:hideMark/>
          </w:tcPr>
          <w:p w:rsidR="005C1D4B" w:rsidRPr="009630A3" w:rsidRDefault="005C1D4B" w:rsidP="00BA1793">
            <w:pPr>
              <w:spacing w:line="276" w:lineRule="auto"/>
              <w:rPr>
                <w:rFonts w:cs="Arial"/>
                <w:sz w:val="20"/>
                <w:szCs w:val="20"/>
              </w:rPr>
            </w:pPr>
            <w:r w:rsidRPr="009630A3">
              <w:rPr>
                <w:rFonts w:cs="Arial"/>
                <w:sz w:val="20"/>
                <w:szCs w:val="20"/>
              </w:rPr>
              <w:t>Aileu</w:t>
            </w:r>
          </w:p>
        </w:tc>
        <w:tc>
          <w:tcPr>
            <w:tcW w:w="2250" w:type="dxa"/>
            <w:noWrap/>
            <w:hideMark/>
          </w:tcPr>
          <w:p w:rsidR="005C1D4B" w:rsidRPr="009630A3" w:rsidRDefault="005C1D4B" w:rsidP="00BA1793">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630A3">
              <w:rPr>
                <w:rFonts w:cs="Arial"/>
                <w:b/>
                <w:sz w:val="20"/>
                <w:szCs w:val="20"/>
              </w:rPr>
              <w:t>1.4</w:t>
            </w:r>
          </w:p>
        </w:tc>
        <w:tc>
          <w:tcPr>
            <w:tcW w:w="2430" w:type="dxa"/>
            <w:noWrap/>
            <w:hideMark/>
          </w:tcPr>
          <w:p w:rsidR="005C1D4B" w:rsidRPr="009630A3" w:rsidRDefault="005C1D4B" w:rsidP="00BA1793">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630A3">
              <w:rPr>
                <w:rFonts w:cs="Arial"/>
                <w:b/>
                <w:sz w:val="20"/>
                <w:szCs w:val="20"/>
              </w:rPr>
              <w:t>$30.06</w:t>
            </w:r>
          </w:p>
        </w:tc>
      </w:tr>
      <w:tr w:rsidR="005C1D4B" w:rsidRPr="009630A3" w:rsidTr="00BA1793">
        <w:trPr>
          <w:trHeight w:val="144"/>
        </w:trPr>
        <w:tc>
          <w:tcPr>
            <w:cnfStyle w:val="001000000000" w:firstRow="0" w:lastRow="0" w:firstColumn="1" w:lastColumn="0" w:oddVBand="0" w:evenVBand="0" w:oddHBand="0" w:evenHBand="0" w:firstRowFirstColumn="0" w:firstRowLastColumn="0" w:lastRowFirstColumn="0" w:lastRowLastColumn="0"/>
            <w:tcW w:w="1728" w:type="dxa"/>
            <w:noWrap/>
            <w:hideMark/>
          </w:tcPr>
          <w:p w:rsidR="005C1D4B" w:rsidRPr="009630A3" w:rsidRDefault="005C1D4B" w:rsidP="00BA1793">
            <w:pPr>
              <w:spacing w:line="276" w:lineRule="auto"/>
              <w:rPr>
                <w:rFonts w:cs="Arial"/>
                <w:sz w:val="20"/>
                <w:szCs w:val="20"/>
              </w:rPr>
            </w:pPr>
            <w:r w:rsidRPr="009630A3">
              <w:rPr>
                <w:rFonts w:cs="Arial"/>
                <w:sz w:val="20"/>
                <w:szCs w:val="20"/>
              </w:rPr>
              <w:t>Ainaro</w:t>
            </w:r>
          </w:p>
        </w:tc>
        <w:tc>
          <w:tcPr>
            <w:tcW w:w="2250" w:type="dxa"/>
            <w:noWrap/>
            <w:hideMark/>
          </w:tcPr>
          <w:p w:rsidR="005C1D4B" w:rsidRPr="009630A3" w:rsidRDefault="005C1D4B" w:rsidP="00BA1793">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630A3">
              <w:rPr>
                <w:rFonts w:cs="Arial"/>
                <w:b/>
                <w:sz w:val="20"/>
                <w:szCs w:val="20"/>
              </w:rPr>
              <w:t>0.7</w:t>
            </w:r>
          </w:p>
        </w:tc>
        <w:tc>
          <w:tcPr>
            <w:tcW w:w="2430" w:type="dxa"/>
            <w:noWrap/>
            <w:hideMark/>
          </w:tcPr>
          <w:p w:rsidR="005C1D4B" w:rsidRPr="009630A3" w:rsidRDefault="005C1D4B" w:rsidP="00BA1793">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630A3">
              <w:rPr>
                <w:rFonts w:cs="Arial"/>
                <w:b/>
                <w:sz w:val="20"/>
                <w:szCs w:val="20"/>
              </w:rPr>
              <w:t>$11.26</w:t>
            </w:r>
          </w:p>
        </w:tc>
      </w:tr>
      <w:tr w:rsidR="005C1D4B" w:rsidRPr="009630A3" w:rsidTr="00BA1793">
        <w:trPr>
          <w:trHeight w:val="144"/>
        </w:trPr>
        <w:tc>
          <w:tcPr>
            <w:cnfStyle w:val="001000000000" w:firstRow="0" w:lastRow="0" w:firstColumn="1" w:lastColumn="0" w:oddVBand="0" w:evenVBand="0" w:oddHBand="0" w:evenHBand="0" w:firstRowFirstColumn="0" w:firstRowLastColumn="0" w:lastRowFirstColumn="0" w:lastRowLastColumn="0"/>
            <w:tcW w:w="1728" w:type="dxa"/>
            <w:noWrap/>
            <w:hideMark/>
          </w:tcPr>
          <w:p w:rsidR="005C1D4B" w:rsidRPr="009630A3" w:rsidRDefault="005C1D4B" w:rsidP="00BA1793">
            <w:pPr>
              <w:spacing w:line="276" w:lineRule="auto"/>
              <w:rPr>
                <w:rFonts w:cs="Arial"/>
                <w:sz w:val="20"/>
                <w:szCs w:val="20"/>
              </w:rPr>
            </w:pPr>
            <w:r w:rsidRPr="009630A3">
              <w:rPr>
                <w:rFonts w:cs="Arial"/>
                <w:sz w:val="20"/>
                <w:szCs w:val="20"/>
              </w:rPr>
              <w:t>Baucau</w:t>
            </w:r>
          </w:p>
        </w:tc>
        <w:tc>
          <w:tcPr>
            <w:tcW w:w="2250" w:type="dxa"/>
            <w:noWrap/>
            <w:hideMark/>
          </w:tcPr>
          <w:p w:rsidR="005C1D4B" w:rsidRPr="009630A3" w:rsidRDefault="005C1D4B" w:rsidP="00BA1793">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630A3">
              <w:rPr>
                <w:rFonts w:cs="Arial"/>
                <w:b/>
                <w:sz w:val="20"/>
                <w:szCs w:val="20"/>
              </w:rPr>
              <w:t>1.4</w:t>
            </w:r>
          </w:p>
        </w:tc>
        <w:tc>
          <w:tcPr>
            <w:tcW w:w="2430" w:type="dxa"/>
            <w:noWrap/>
            <w:hideMark/>
          </w:tcPr>
          <w:p w:rsidR="005C1D4B" w:rsidRPr="009630A3" w:rsidRDefault="005C1D4B" w:rsidP="00BA1793">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630A3">
              <w:rPr>
                <w:rFonts w:cs="Arial"/>
                <w:b/>
                <w:sz w:val="20"/>
                <w:szCs w:val="20"/>
              </w:rPr>
              <w:t>$11.93</w:t>
            </w:r>
          </w:p>
        </w:tc>
      </w:tr>
      <w:tr w:rsidR="005C1D4B" w:rsidRPr="009630A3" w:rsidTr="00BA1793">
        <w:trPr>
          <w:trHeight w:val="144"/>
        </w:trPr>
        <w:tc>
          <w:tcPr>
            <w:cnfStyle w:val="001000000000" w:firstRow="0" w:lastRow="0" w:firstColumn="1" w:lastColumn="0" w:oddVBand="0" w:evenVBand="0" w:oddHBand="0" w:evenHBand="0" w:firstRowFirstColumn="0" w:firstRowLastColumn="0" w:lastRowFirstColumn="0" w:lastRowLastColumn="0"/>
            <w:tcW w:w="1728" w:type="dxa"/>
            <w:noWrap/>
            <w:hideMark/>
          </w:tcPr>
          <w:p w:rsidR="005C1D4B" w:rsidRPr="009630A3" w:rsidRDefault="005C1D4B" w:rsidP="00BA1793">
            <w:pPr>
              <w:spacing w:line="276" w:lineRule="auto"/>
              <w:rPr>
                <w:rFonts w:cs="Arial"/>
                <w:sz w:val="20"/>
                <w:szCs w:val="20"/>
              </w:rPr>
            </w:pPr>
            <w:r w:rsidRPr="009630A3">
              <w:rPr>
                <w:rFonts w:cs="Arial"/>
                <w:sz w:val="20"/>
                <w:szCs w:val="20"/>
              </w:rPr>
              <w:t>Bobonaro</w:t>
            </w:r>
          </w:p>
        </w:tc>
        <w:tc>
          <w:tcPr>
            <w:tcW w:w="2250" w:type="dxa"/>
            <w:noWrap/>
            <w:hideMark/>
          </w:tcPr>
          <w:p w:rsidR="005C1D4B" w:rsidRPr="009630A3" w:rsidRDefault="005C1D4B" w:rsidP="00BA1793">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630A3">
              <w:rPr>
                <w:rFonts w:cs="Arial"/>
                <w:b/>
                <w:sz w:val="20"/>
                <w:szCs w:val="20"/>
              </w:rPr>
              <w:t>1.4</w:t>
            </w:r>
          </w:p>
        </w:tc>
        <w:tc>
          <w:tcPr>
            <w:tcW w:w="2430" w:type="dxa"/>
            <w:noWrap/>
            <w:hideMark/>
          </w:tcPr>
          <w:p w:rsidR="005C1D4B" w:rsidRPr="009630A3" w:rsidRDefault="005C1D4B" w:rsidP="00BA1793">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630A3">
              <w:rPr>
                <w:rFonts w:cs="Arial"/>
                <w:b/>
                <w:sz w:val="20"/>
                <w:szCs w:val="20"/>
              </w:rPr>
              <w:t>$14.48</w:t>
            </w:r>
          </w:p>
        </w:tc>
      </w:tr>
      <w:tr w:rsidR="005C1D4B" w:rsidRPr="009630A3" w:rsidTr="00BA1793">
        <w:trPr>
          <w:trHeight w:val="144"/>
        </w:trPr>
        <w:tc>
          <w:tcPr>
            <w:cnfStyle w:val="001000000000" w:firstRow="0" w:lastRow="0" w:firstColumn="1" w:lastColumn="0" w:oddVBand="0" w:evenVBand="0" w:oddHBand="0" w:evenHBand="0" w:firstRowFirstColumn="0" w:firstRowLastColumn="0" w:lastRowFirstColumn="0" w:lastRowLastColumn="0"/>
            <w:tcW w:w="1728" w:type="dxa"/>
            <w:noWrap/>
            <w:hideMark/>
          </w:tcPr>
          <w:p w:rsidR="005C1D4B" w:rsidRPr="009630A3" w:rsidRDefault="005C1D4B" w:rsidP="00BA1793">
            <w:pPr>
              <w:spacing w:line="276" w:lineRule="auto"/>
              <w:rPr>
                <w:rFonts w:cs="Arial"/>
                <w:sz w:val="20"/>
                <w:szCs w:val="20"/>
              </w:rPr>
            </w:pPr>
            <w:r w:rsidRPr="009630A3">
              <w:rPr>
                <w:rFonts w:cs="Arial"/>
                <w:sz w:val="20"/>
                <w:szCs w:val="20"/>
              </w:rPr>
              <w:t>Covalima</w:t>
            </w:r>
          </w:p>
        </w:tc>
        <w:tc>
          <w:tcPr>
            <w:tcW w:w="2250" w:type="dxa"/>
            <w:noWrap/>
            <w:hideMark/>
          </w:tcPr>
          <w:p w:rsidR="005C1D4B" w:rsidRPr="009630A3" w:rsidRDefault="005C1D4B" w:rsidP="00BA1793">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630A3">
              <w:rPr>
                <w:rFonts w:cs="Arial"/>
                <w:b/>
                <w:sz w:val="20"/>
                <w:szCs w:val="20"/>
              </w:rPr>
              <w:t>0.73</w:t>
            </w:r>
          </w:p>
        </w:tc>
        <w:tc>
          <w:tcPr>
            <w:tcW w:w="2430" w:type="dxa"/>
            <w:noWrap/>
            <w:hideMark/>
          </w:tcPr>
          <w:p w:rsidR="005C1D4B" w:rsidRPr="009630A3" w:rsidRDefault="005C1D4B" w:rsidP="00BA1793">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630A3">
              <w:rPr>
                <w:rFonts w:cs="Arial"/>
                <w:b/>
                <w:sz w:val="20"/>
                <w:szCs w:val="20"/>
              </w:rPr>
              <w:t>$11.69</w:t>
            </w:r>
          </w:p>
        </w:tc>
      </w:tr>
      <w:tr w:rsidR="005C1D4B" w:rsidRPr="009630A3" w:rsidTr="00BA1793">
        <w:trPr>
          <w:trHeight w:val="144"/>
        </w:trPr>
        <w:tc>
          <w:tcPr>
            <w:cnfStyle w:val="001000000000" w:firstRow="0" w:lastRow="0" w:firstColumn="1" w:lastColumn="0" w:oddVBand="0" w:evenVBand="0" w:oddHBand="0" w:evenHBand="0" w:firstRowFirstColumn="0" w:firstRowLastColumn="0" w:lastRowFirstColumn="0" w:lastRowLastColumn="0"/>
            <w:tcW w:w="1728" w:type="dxa"/>
            <w:noWrap/>
            <w:hideMark/>
          </w:tcPr>
          <w:p w:rsidR="005C1D4B" w:rsidRPr="009630A3" w:rsidRDefault="005C1D4B" w:rsidP="00BA1793">
            <w:pPr>
              <w:spacing w:line="276" w:lineRule="auto"/>
              <w:rPr>
                <w:rFonts w:cs="Arial"/>
                <w:sz w:val="20"/>
                <w:szCs w:val="20"/>
              </w:rPr>
            </w:pPr>
            <w:r w:rsidRPr="009630A3">
              <w:rPr>
                <w:rFonts w:cs="Arial"/>
                <w:sz w:val="20"/>
                <w:szCs w:val="20"/>
              </w:rPr>
              <w:t>Dili</w:t>
            </w:r>
          </w:p>
        </w:tc>
        <w:tc>
          <w:tcPr>
            <w:tcW w:w="2250" w:type="dxa"/>
            <w:noWrap/>
            <w:hideMark/>
          </w:tcPr>
          <w:p w:rsidR="005C1D4B" w:rsidRPr="009630A3" w:rsidRDefault="005C1D4B" w:rsidP="00BA1793">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630A3">
              <w:rPr>
                <w:rFonts w:cs="Arial"/>
                <w:b/>
                <w:sz w:val="20"/>
                <w:szCs w:val="20"/>
              </w:rPr>
              <w:t>0.7</w:t>
            </w:r>
          </w:p>
        </w:tc>
        <w:tc>
          <w:tcPr>
            <w:tcW w:w="2430" w:type="dxa"/>
            <w:noWrap/>
            <w:hideMark/>
          </w:tcPr>
          <w:p w:rsidR="005C1D4B" w:rsidRPr="009630A3" w:rsidRDefault="005C1D4B" w:rsidP="00BA1793">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630A3">
              <w:rPr>
                <w:rFonts w:cs="Arial"/>
                <w:b/>
                <w:sz w:val="20"/>
                <w:szCs w:val="20"/>
              </w:rPr>
              <w:t>$2.85</w:t>
            </w:r>
          </w:p>
        </w:tc>
      </w:tr>
      <w:tr w:rsidR="005C1D4B" w:rsidRPr="009630A3" w:rsidTr="00BA1793">
        <w:trPr>
          <w:trHeight w:val="144"/>
        </w:trPr>
        <w:tc>
          <w:tcPr>
            <w:cnfStyle w:val="001000000000" w:firstRow="0" w:lastRow="0" w:firstColumn="1" w:lastColumn="0" w:oddVBand="0" w:evenVBand="0" w:oddHBand="0" w:evenHBand="0" w:firstRowFirstColumn="0" w:firstRowLastColumn="0" w:lastRowFirstColumn="0" w:lastRowLastColumn="0"/>
            <w:tcW w:w="1728" w:type="dxa"/>
            <w:noWrap/>
            <w:hideMark/>
          </w:tcPr>
          <w:p w:rsidR="005C1D4B" w:rsidRPr="009630A3" w:rsidRDefault="005C1D4B" w:rsidP="00BA1793">
            <w:pPr>
              <w:spacing w:line="276" w:lineRule="auto"/>
              <w:rPr>
                <w:rFonts w:cs="Arial"/>
                <w:sz w:val="20"/>
                <w:szCs w:val="20"/>
              </w:rPr>
            </w:pPr>
            <w:r w:rsidRPr="009630A3">
              <w:rPr>
                <w:rFonts w:cs="Arial"/>
                <w:sz w:val="20"/>
                <w:szCs w:val="20"/>
              </w:rPr>
              <w:t>Ermera</w:t>
            </w:r>
          </w:p>
        </w:tc>
        <w:tc>
          <w:tcPr>
            <w:tcW w:w="2250" w:type="dxa"/>
            <w:noWrap/>
            <w:hideMark/>
          </w:tcPr>
          <w:p w:rsidR="005C1D4B" w:rsidRPr="009630A3" w:rsidRDefault="005C1D4B" w:rsidP="00BA1793">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630A3">
              <w:rPr>
                <w:rFonts w:cs="Arial"/>
                <w:b/>
                <w:sz w:val="20"/>
                <w:szCs w:val="20"/>
              </w:rPr>
              <w:t>0.72</w:t>
            </w:r>
          </w:p>
        </w:tc>
        <w:tc>
          <w:tcPr>
            <w:tcW w:w="2430" w:type="dxa"/>
            <w:noWrap/>
            <w:hideMark/>
          </w:tcPr>
          <w:p w:rsidR="005C1D4B" w:rsidRPr="009630A3" w:rsidRDefault="005C1D4B" w:rsidP="00BA1793">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630A3">
              <w:rPr>
                <w:rFonts w:cs="Arial"/>
                <w:b/>
                <w:sz w:val="20"/>
                <w:szCs w:val="20"/>
              </w:rPr>
              <w:t>$5.85</w:t>
            </w:r>
          </w:p>
        </w:tc>
      </w:tr>
      <w:tr w:rsidR="005C1D4B" w:rsidRPr="009630A3" w:rsidTr="00BA1793">
        <w:trPr>
          <w:trHeight w:val="144"/>
        </w:trPr>
        <w:tc>
          <w:tcPr>
            <w:cnfStyle w:val="001000000000" w:firstRow="0" w:lastRow="0" w:firstColumn="1" w:lastColumn="0" w:oddVBand="0" w:evenVBand="0" w:oddHBand="0" w:evenHBand="0" w:firstRowFirstColumn="0" w:firstRowLastColumn="0" w:lastRowFirstColumn="0" w:lastRowLastColumn="0"/>
            <w:tcW w:w="1728" w:type="dxa"/>
            <w:noWrap/>
            <w:hideMark/>
          </w:tcPr>
          <w:p w:rsidR="005C1D4B" w:rsidRPr="009630A3" w:rsidRDefault="005C1D4B" w:rsidP="00BA1793">
            <w:pPr>
              <w:spacing w:line="276" w:lineRule="auto"/>
              <w:rPr>
                <w:rFonts w:cs="Arial"/>
                <w:sz w:val="20"/>
                <w:szCs w:val="20"/>
              </w:rPr>
            </w:pPr>
            <w:r w:rsidRPr="009630A3">
              <w:rPr>
                <w:rFonts w:cs="Arial"/>
                <w:sz w:val="20"/>
                <w:szCs w:val="20"/>
              </w:rPr>
              <w:t>Liquica</w:t>
            </w:r>
          </w:p>
        </w:tc>
        <w:tc>
          <w:tcPr>
            <w:tcW w:w="2250" w:type="dxa"/>
            <w:noWrap/>
            <w:hideMark/>
          </w:tcPr>
          <w:p w:rsidR="005C1D4B" w:rsidRPr="009630A3" w:rsidRDefault="005C1D4B" w:rsidP="00BA1793">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630A3">
              <w:rPr>
                <w:rFonts w:cs="Arial"/>
                <w:b/>
                <w:sz w:val="20"/>
                <w:szCs w:val="20"/>
              </w:rPr>
              <w:t>0.7</w:t>
            </w:r>
          </w:p>
        </w:tc>
        <w:tc>
          <w:tcPr>
            <w:tcW w:w="2430" w:type="dxa"/>
            <w:noWrap/>
            <w:hideMark/>
          </w:tcPr>
          <w:p w:rsidR="005C1D4B" w:rsidRPr="009630A3" w:rsidRDefault="005C1D4B" w:rsidP="00BA1793">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630A3">
              <w:rPr>
                <w:rFonts w:cs="Arial"/>
                <w:b/>
                <w:sz w:val="20"/>
                <w:szCs w:val="20"/>
              </w:rPr>
              <w:t>$11.14</w:t>
            </w:r>
          </w:p>
        </w:tc>
      </w:tr>
      <w:tr w:rsidR="005C1D4B" w:rsidRPr="009630A3" w:rsidTr="00BA1793">
        <w:trPr>
          <w:trHeight w:val="144"/>
        </w:trPr>
        <w:tc>
          <w:tcPr>
            <w:cnfStyle w:val="001000000000" w:firstRow="0" w:lastRow="0" w:firstColumn="1" w:lastColumn="0" w:oddVBand="0" w:evenVBand="0" w:oddHBand="0" w:evenHBand="0" w:firstRowFirstColumn="0" w:firstRowLastColumn="0" w:lastRowFirstColumn="0" w:lastRowLastColumn="0"/>
            <w:tcW w:w="1728" w:type="dxa"/>
            <w:noWrap/>
            <w:hideMark/>
          </w:tcPr>
          <w:p w:rsidR="005C1D4B" w:rsidRPr="009630A3" w:rsidRDefault="005C1D4B" w:rsidP="00BA1793">
            <w:pPr>
              <w:spacing w:line="276" w:lineRule="auto"/>
              <w:rPr>
                <w:rFonts w:cs="Arial"/>
                <w:sz w:val="20"/>
                <w:szCs w:val="20"/>
              </w:rPr>
            </w:pPr>
            <w:r w:rsidRPr="009630A3">
              <w:rPr>
                <w:rFonts w:cs="Arial"/>
                <w:sz w:val="20"/>
                <w:szCs w:val="20"/>
              </w:rPr>
              <w:t>Lautem</w:t>
            </w:r>
          </w:p>
        </w:tc>
        <w:tc>
          <w:tcPr>
            <w:tcW w:w="2250" w:type="dxa"/>
            <w:noWrap/>
            <w:hideMark/>
          </w:tcPr>
          <w:p w:rsidR="005C1D4B" w:rsidRPr="009630A3" w:rsidRDefault="005C1D4B" w:rsidP="00BA1793">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630A3">
              <w:rPr>
                <w:rFonts w:cs="Arial"/>
                <w:b/>
                <w:sz w:val="20"/>
                <w:szCs w:val="20"/>
              </w:rPr>
              <w:t>0.72</w:t>
            </w:r>
          </w:p>
        </w:tc>
        <w:tc>
          <w:tcPr>
            <w:tcW w:w="2430" w:type="dxa"/>
            <w:noWrap/>
            <w:hideMark/>
          </w:tcPr>
          <w:p w:rsidR="005C1D4B" w:rsidRPr="009630A3" w:rsidRDefault="005C1D4B" w:rsidP="00BA1793">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630A3">
              <w:rPr>
                <w:rFonts w:cs="Arial"/>
                <w:b/>
                <w:sz w:val="20"/>
                <w:szCs w:val="20"/>
              </w:rPr>
              <w:t>$10.81</w:t>
            </w:r>
          </w:p>
        </w:tc>
      </w:tr>
      <w:tr w:rsidR="005C1D4B" w:rsidRPr="009630A3" w:rsidTr="00BA1793">
        <w:trPr>
          <w:trHeight w:val="144"/>
        </w:trPr>
        <w:tc>
          <w:tcPr>
            <w:cnfStyle w:val="001000000000" w:firstRow="0" w:lastRow="0" w:firstColumn="1" w:lastColumn="0" w:oddVBand="0" w:evenVBand="0" w:oddHBand="0" w:evenHBand="0" w:firstRowFirstColumn="0" w:firstRowLastColumn="0" w:lastRowFirstColumn="0" w:lastRowLastColumn="0"/>
            <w:tcW w:w="1728" w:type="dxa"/>
            <w:noWrap/>
            <w:hideMark/>
          </w:tcPr>
          <w:p w:rsidR="005C1D4B" w:rsidRPr="009630A3" w:rsidRDefault="005C1D4B" w:rsidP="00BA1793">
            <w:pPr>
              <w:spacing w:line="276" w:lineRule="auto"/>
              <w:rPr>
                <w:rFonts w:cs="Arial"/>
                <w:sz w:val="20"/>
                <w:szCs w:val="20"/>
              </w:rPr>
            </w:pPr>
            <w:r w:rsidRPr="009630A3">
              <w:rPr>
                <w:rFonts w:cs="Arial"/>
                <w:sz w:val="20"/>
                <w:szCs w:val="20"/>
              </w:rPr>
              <w:t>Manatuto</w:t>
            </w:r>
          </w:p>
        </w:tc>
        <w:tc>
          <w:tcPr>
            <w:tcW w:w="2250" w:type="dxa"/>
            <w:noWrap/>
            <w:hideMark/>
          </w:tcPr>
          <w:p w:rsidR="005C1D4B" w:rsidRPr="009630A3" w:rsidRDefault="005C1D4B" w:rsidP="00BA1793">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630A3">
              <w:rPr>
                <w:rFonts w:cs="Arial"/>
                <w:b/>
                <w:sz w:val="20"/>
                <w:szCs w:val="20"/>
              </w:rPr>
              <w:t>0.6</w:t>
            </w:r>
          </w:p>
        </w:tc>
        <w:tc>
          <w:tcPr>
            <w:tcW w:w="2430" w:type="dxa"/>
            <w:noWrap/>
            <w:hideMark/>
          </w:tcPr>
          <w:p w:rsidR="005C1D4B" w:rsidRPr="009630A3" w:rsidRDefault="005C1D4B" w:rsidP="00BA1793">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630A3">
              <w:rPr>
                <w:rFonts w:cs="Arial"/>
                <w:b/>
                <w:sz w:val="20"/>
                <w:szCs w:val="20"/>
              </w:rPr>
              <w:t>$11.74</w:t>
            </w:r>
          </w:p>
        </w:tc>
      </w:tr>
      <w:tr w:rsidR="005C1D4B" w:rsidRPr="009630A3" w:rsidTr="00BA1793">
        <w:trPr>
          <w:trHeight w:val="144"/>
        </w:trPr>
        <w:tc>
          <w:tcPr>
            <w:cnfStyle w:val="001000000000" w:firstRow="0" w:lastRow="0" w:firstColumn="1" w:lastColumn="0" w:oddVBand="0" w:evenVBand="0" w:oddHBand="0" w:evenHBand="0" w:firstRowFirstColumn="0" w:firstRowLastColumn="0" w:lastRowFirstColumn="0" w:lastRowLastColumn="0"/>
            <w:tcW w:w="1728" w:type="dxa"/>
            <w:noWrap/>
            <w:hideMark/>
          </w:tcPr>
          <w:p w:rsidR="005C1D4B" w:rsidRPr="009630A3" w:rsidRDefault="005C1D4B" w:rsidP="00BA1793">
            <w:pPr>
              <w:spacing w:line="276" w:lineRule="auto"/>
              <w:rPr>
                <w:rFonts w:cs="Arial"/>
                <w:sz w:val="20"/>
                <w:szCs w:val="20"/>
              </w:rPr>
            </w:pPr>
            <w:r w:rsidRPr="009630A3">
              <w:rPr>
                <w:rFonts w:cs="Arial"/>
                <w:sz w:val="20"/>
                <w:szCs w:val="20"/>
              </w:rPr>
              <w:t>Manufahi</w:t>
            </w:r>
          </w:p>
        </w:tc>
        <w:tc>
          <w:tcPr>
            <w:tcW w:w="2250" w:type="dxa"/>
            <w:noWrap/>
            <w:hideMark/>
          </w:tcPr>
          <w:p w:rsidR="005C1D4B" w:rsidRPr="009630A3" w:rsidRDefault="005C1D4B" w:rsidP="00BA1793">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630A3">
              <w:rPr>
                <w:rFonts w:cs="Arial"/>
                <w:b/>
                <w:sz w:val="20"/>
                <w:szCs w:val="20"/>
              </w:rPr>
              <w:t>0.7</w:t>
            </w:r>
          </w:p>
        </w:tc>
        <w:tc>
          <w:tcPr>
            <w:tcW w:w="2430" w:type="dxa"/>
            <w:noWrap/>
            <w:hideMark/>
          </w:tcPr>
          <w:p w:rsidR="005C1D4B" w:rsidRPr="009630A3" w:rsidRDefault="005C1D4B" w:rsidP="00BA1793">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630A3">
              <w:rPr>
                <w:rFonts w:cs="Arial"/>
                <w:b/>
                <w:sz w:val="20"/>
                <w:szCs w:val="20"/>
              </w:rPr>
              <w:t>$15.59</w:t>
            </w:r>
          </w:p>
        </w:tc>
      </w:tr>
      <w:tr w:rsidR="005C1D4B" w:rsidRPr="009630A3" w:rsidTr="00BA1793">
        <w:trPr>
          <w:trHeight w:val="144"/>
        </w:trPr>
        <w:tc>
          <w:tcPr>
            <w:cnfStyle w:val="001000000000" w:firstRow="0" w:lastRow="0" w:firstColumn="1" w:lastColumn="0" w:oddVBand="0" w:evenVBand="0" w:oddHBand="0" w:evenHBand="0" w:firstRowFirstColumn="0" w:firstRowLastColumn="0" w:lastRowFirstColumn="0" w:lastRowLastColumn="0"/>
            <w:tcW w:w="1728" w:type="dxa"/>
            <w:noWrap/>
            <w:hideMark/>
          </w:tcPr>
          <w:p w:rsidR="005C1D4B" w:rsidRPr="009630A3" w:rsidRDefault="005C1D4B" w:rsidP="00BA1793">
            <w:pPr>
              <w:spacing w:line="276" w:lineRule="auto"/>
              <w:rPr>
                <w:rFonts w:cs="Arial"/>
                <w:sz w:val="20"/>
                <w:szCs w:val="20"/>
              </w:rPr>
            </w:pPr>
            <w:r w:rsidRPr="009630A3">
              <w:rPr>
                <w:rFonts w:cs="Arial"/>
                <w:sz w:val="20"/>
                <w:szCs w:val="20"/>
              </w:rPr>
              <w:t>Oecusse</w:t>
            </w:r>
          </w:p>
        </w:tc>
        <w:tc>
          <w:tcPr>
            <w:tcW w:w="2250" w:type="dxa"/>
            <w:noWrap/>
            <w:hideMark/>
          </w:tcPr>
          <w:p w:rsidR="005C1D4B" w:rsidRPr="009630A3" w:rsidRDefault="005C1D4B" w:rsidP="00BA1793">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630A3">
              <w:rPr>
                <w:rFonts w:cs="Arial"/>
                <w:b/>
                <w:sz w:val="20"/>
                <w:szCs w:val="20"/>
              </w:rPr>
              <w:t>0.6</w:t>
            </w:r>
          </w:p>
        </w:tc>
        <w:tc>
          <w:tcPr>
            <w:tcW w:w="2430" w:type="dxa"/>
            <w:noWrap/>
            <w:hideMark/>
          </w:tcPr>
          <w:p w:rsidR="005C1D4B" w:rsidRPr="009630A3" w:rsidRDefault="005C1D4B" w:rsidP="00BA1793">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630A3">
              <w:rPr>
                <w:rFonts w:cs="Arial"/>
                <w:b/>
                <w:sz w:val="20"/>
                <w:szCs w:val="20"/>
              </w:rPr>
              <w:t>$8.92</w:t>
            </w:r>
          </w:p>
        </w:tc>
      </w:tr>
      <w:tr w:rsidR="005C1D4B" w:rsidRPr="009630A3" w:rsidTr="00BA1793">
        <w:trPr>
          <w:trHeight w:val="144"/>
        </w:trPr>
        <w:tc>
          <w:tcPr>
            <w:cnfStyle w:val="001000000000" w:firstRow="0" w:lastRow="0" w:firstColumn="1" w:lastColumn="0" w:oddVBand="0" w:evenVBand="0" w:oddHBand="0" w:evenHBand="0" w:firstRowFirstColumn="0" w:firstRowLastColumn="0" w:lastRowFirstColumn="0" w:lastRowLastColumn="0"/>
            <w:tcW w:w="1728" w:type="dxa"/>
            <w:noWrap/>
            <w:hideMark/>
          </w:tcPr>
          <w:p w:rsidR="005C1D4B" w:rsidRPr="009630A3" w:rsidRDefault="005C1D4B" w:rsidP="00BA1793">
            <w:pPr>
              <w:spacing w:line="276" w:lineRule="auto"/>
              <w:rPr>
                <w:rFonts w:cs="Arial"/>
                <w:sz w:val="20"/>
                <w:szCs w:val="20"/>
              </w:rPr>
            </w:pPr>
            <w:r w:rsidRPr="009630A3">
              <w:rPr>
                <w:rFonts w:cs="Arial"/>
                <w:sz w:val="20"/>
                <w:szCs w:val="20"/>
              </w:rPr>
              <w:t>Viqueque</w:t>
            </w:r>
          </w:p>
        </w:tc>
        <w:tc>
          <w:tcPr>
            <w:tcW w:w="2250" w:type="dxa"/>
            <w:noWrap/>
            <w:hideMark/>
          </w:tcPr>
          <w:p w:rsidR="005C1D4B" w:rsidRPr="009630A3" w:rsidRDefault="005C1D4B" w:rsidP="00BA1793">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630A3">
              <w:rPr>
                <w:rFonts w:cs="Arial"/>
                <w:b/>
                <w:sz w:val="20"/>
                <w:szCs w:val="20"/>
              </w:rPr>
              <w:t>0.4</w:t>
            </w:r>
          </w:p>
        </w:tc>
        <w:tc>
          <w:tcPr>
            <w:tcW w:w="2430" w:type="dxa"/>
            <w:noWrap/>
            <w:hideMark/>
          </w:tcPr>
          <w:p w:rsidR="005C1D4B" w:rsidRPr="009630A3" w:rsidRDefault="005C1D4B" w:rsidP="00BA1793">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630A3">
              <w:rPr>
                <w:rFonts w:cs="Arial"/>
                <w:b/>
                <w:sz w:val="20"/>
                <w:szCs w:val="20"/>
              </w:rPr>
              <w:t>$5.44</w:t>
            </w:r>
          </w:p>
        </w:tc>
      </w:tr>
      <w:tr w:rsidR="005C1D4B" w:rsidRPr="009630A3" w:rsidTr="00BA1793">
        <w:trPr>
          <w:trHeight w:val="144"/>
        </w:trPr>
        <w:tc>
          <w:tcPr>
            <w:cnfStyle w:val="001000000000" w:firstRow="0" w:lastRow="0" w:firstColumn="1" w:lastColumn="0" w:oddVBand="0" w:evenVBand="0" w:oddHBand="0" w:evenHBand="0" w:firstRowFirstColumn="0" w:firstRowLastColumn="0" w:lastRowFirstColumn="0" w:lastRowLastColumn="0"/>
            <w:tcW w:w="1728" w:type="dxa"/>
            <w:noWrap/>
            <w:hideMark/>
          </w:tcPr>
          <w:p w:rsidR="005C1D4B" w:rsidRPr="009630A3" w:rsidRDefault="005C1D4B" w:rsidP="00BA1793">
            <w:pPr>
              <w:spacing w:line="276" w:lineRule="auto"/>
              <w:rPr>
                <w:rFonts w:cs="Arial"/>
                <w:sz w:val="20"/>
                <w:szCs w:val="20"/>
              </w:rPr>
            </w:pPr>
            <w:r w:rsidRPr="009630A3">
              <w:rPr>
                <w:rFonts w:cs="Arial"/>
                <w:sz w:val="20"/>
                <w:szCs w:val="20"/>
              </w:rPr>
              <w:t>Total</w:t>
            </w:r>
          </w:p>
        </w:tc>
        <w:tc>
          <w:tcPr>
            <w:tcW w:w="2250" w:type="dxa"/>
            <w:noWrap/>
            <w:hideMark/>
          </w:tcPr>
          <w:p w:rsidR="005C1D4B" w:rsidRPr="009630A3" w:rsidRDefault="005C1D4B" w:rsidP="00BA1793">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9630A3">
              <w:rPr>
                <w:rFonts w:cs="Arial"/>
                <w:b/>
                <w:sz w:val="20"/>
                <w:szCs w:val="20"/>
              </w:rPr>
              <w:t>10.77</w:t>
            </w:r>
          </w:p>
        </w:tc>
        <w:tc>
          <w:tcPr>
            <w:tcW w:w="2430" w:type="dxa"/>
            <w:noWrap/>
            <w:hideMark/>
          </w:tcPr>
          <w:p w:rsidR="005C1D4B" w:rsidRPr="009630A3" w:rsidRDefault="005C1D4B" w:rsidP="00BA1793">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p>
        </w:tc>
      </w:tr>
    </w:tbl>
    <w:p w:rsidR="00B01006" w:rsidRPr="00FA66BC" w:rsidRDefault="00B01006" w:rsidP="00624D3B">
      <w:pPr>
        <w:pStyle w:val="HRFHeading2Numbered"/>
      </w:pPr>
      <w:bookmarkStart w:id="40" w:name="_Toc373502497"/>
      <w:r w:rsidRPr="00FA66BC">
        <w:t>Is public spending on health adequate</w:t>
      </w:r>
      <w:r w:rsidR="00327108">
        <w:t xml:space="preserve"> for </w:t>
      </w:r>
      <w:r w:rsidR="0039675C">
        <w:t xml:space="preserve">faster </w:t>
      </w:r>
      <w:r w:rsidR="00327108">
        <w:t>progress in RMNCH</w:t>
      </w:r>
      <w:r w:rsidRPr="00FA66BC">
        <w:t>?</w:t>
      </w:r>
      <w:bookmarkEnd w:id="40"/>
    </w:p>
    <w:p w:rsidR="00B01006" w:rsidRPr="00FA66BC" w:rsidRDefault="00B01006" w:rsidP="00624D3B">
      <w:pPr>
        <w:spacing w:line="276" w:lineRule="auto"/>
        <w:rPr>
          <w:rFonts w:cs="Arial"/>
        </w:rPr>
      </w:pPr>
      <w:r w:rsidRPr="00FA66BC">
        <w:rPr>
          <w:rFonts w:cs="Arial"/>
        </w:rPr>
        <w:t xml:space="preserve">The cost of a minimum package of health services is now estimated by WHO as </w:t>
      </w:r>
      <w:r w:rsidR="009322F3">
        <w:rPr>
          <w:rFonts w:cs="Arial"/>
        </w:rPr>
        <w:t>US</w:t>
      </w:r>
      <w:r w:rsidRPr="00FA66BC">
        <w:rPr>
          <w:rFonts w:cs="Arial"/>
        </w:rPr>
        <w:t>$44 per capita for low and middle-income countries</w:t>
      </w:r>
      <w:r w:rsidR="005F0826">
        <w:rPr>
          <w:rStyle w:val="FootnoteReference"/>
          <w:rFonts w:cs="Arial"/>
        </w:rPr>
        <w:footnoteReference w:id="76"/>
      </w:r>
      <w:r w:rsidRPr="00FA66BC">
        <w:rPr>
          <w:rFonts w:cs="Arial"/>
        </w:rPr>
        <w:t xml:space="preserve">. A needs-based costing for Timor-Leste health facilities </w:t>
      </w:r>
      <w:r w:rsidR="00363B7B">
        <w:rPr>
          <w:rFonts w:cs="Arial"/>
        </w:rPr>
        <w:t xml:space="preserve">has been carried out </w:t>
      </w:r>
      <w:r w:rsidRPr="00FA66BC">
        <w:rPr>
          <w:rFonts w:cs="Arial"/>
        </w:rPr>
        <w:t xml:space="preserve">and determined that by 2014 a </w:t>
      </w:r>
      <w:r w:rsidR="00363B7B" w:rsidRPr="00FA66BC">
        <w:rPr>
          <w:rFonts w:cs="Arial"/>
        </w:rPr>
        <w:t>basic service package</w:t>
      </w:r>
      <w:r w:rsidRPr="00FA66BC">
        <w:rPr>
          <w:rFonts w:cs="Arial"/>
        </w:rPr>
        <w:t xml:space="preserve"> should cost an average of </w:t>
      </w:r>
      <w:r w:rsidR="009322F3">
        <w:rPr>
          <w:rFonts w:cs="Arial"/>
        </w:rPr>
        <w:t>US</w:t>
      </w:r>
      <w:r w:rsidRPr="00FA66BC">
        <w:rPr>
          <w:rFonts w:cs="Arial"/>
        </w:rPr>
        <w:t>$28</w:t>
      </w:r>
      <w:r w:rsidR="006F1AC1">
        <w:rPr>
          <w:rFonts w:cs="Arial"/>
        </w:rPr>
        <w:t xml:space="preserve"> per capita</w:t>
      </w:r>
      <w:r w:rsidR="002730A5">
        <w:rPr>
          <w:rStyle w:val="FootnoteReference"/>
          <w:rFonts w:cs="Arial"/>
        </w:rPr>
        <w:footnoteReference w:id="77"/>
      </w:r>
      <w:r w:rsidRPr="00FA66BC">
        <w:rPr>
          <w:rFonts w:cs="Arial"/>
        </w:rPr>
        <w:t>, including services at referral hospitals</w:t>
      </w:r>
      <w:r w:rsidRPr="00FA66BC">
        <w:rPr>
          <w:rFonts w:cs="Arial"/>
          <w:vertAlign w:val="superscript"/>
        </w:rPr>
        <w:footnoteReference w:id="78"/>
      </w:r>
      <w:r w:rsidRPr="00FA66BC">
        <w:rPr>
          <w:rFonts w:cs="Arial"/>
        </w:rPr>
        <w:t xml:space="preserve">. </w:t>
      </w:r>
      <w:r w:rsidR="005F0826">
        <w:rPr>
          <w:rFonts w:cs="Arial"/>
        </w:rPr>
        <w:t xml:space="preserve">This figure is based on the expected coverage in 2014 </w:t>
      </w:r>
      <w:r w:rsidR="006F1AC1">
        <w:rPr>
          <w:rFonts w:cs="Arial"/>
        </w:rPr>
        <w:t xml:space="preserve">of </w:t>
      </w:r>
      <w:r w:rsidR="005F0826">
        <w:rPr>
          <w:rFonts w:cs="Arial"/>
        </w:rPr>
        <w:t>75%, but would rise to around $3</w:t>
      </w:r>
      <w:r w:rsidR="006F1AC1">
        <w:rPr>
          <w:rFonts w:cs="Arial"/>
        </w:rPr>
        <w:t>5</w:t>
      </w:r>
      <w:r w:rsidR="005F0826">
        <w:rPr>
          <w:rFonts w:cs="Arial"/>
        </w:rPr>
        <w:t xml:space="preserve"> </w:t>
      </w:r>
      <w:r w:rsidR="006F1AC1">
        <w:rPr>
          <w:rFonts w:cs="Arial"/>
        </w:rPr>
        <w:t xml:space="preserve">in 2018 </w:t>
      </w:r>
      <w:r w:rsidR="005F0826">
        <w:rPr>
          <w:rFonts w:cs="Arial"/>
        </w:rPr>
        <w:t xml:space="preserve">as coverage and population </w:t>
      </w:r>
      <w:r w:rsidR="006F1AC1">
        <w:rPr>
          <w:rFonts w:cs="Arial"/>
        </w:rPr>
        <w:t xml:space="preserve">continue to </w:t>
      </w:r>
      <w:r w:rsidR="005F0826">
        <w:rPr>
          <w:rFonts w:cs="Arial"/>
        </w:rPr>
        <w:t>increase</w:t>
      </w:r>
      <w:r w:rsidR="006F1AC1">
        <w:rPr>
          <w:rFonts w:cs="Arial"/>
        </w:rPr>
        <w:t>.</w:t>
      </w:r>
      <w:r w:rsidR="005F0826">
        <w:rPr>
          <w:rFonts w:cs="Arial"/>
        </w:rPr>
        <w:t xml:space="preserve"> </w:t>
      </w:r>
      <w:r w:rsidR="00C04295" w:rsidRPr="00C04295">
        <w:rPr>
          <w:rFonts w:cs="Arial"/>
        </w:rPr>
        <w:t>Based on this information, it seems that the projected US$60-70 million GHE per year (Table 8) or $55-58 per capita would be sufficient to provide the basic service package at present</w:t>
      </w:r>
      <w:r w:rsidRPr="00C04295">
        <w:rPr>
          <w:rFonts w:cs="Arial"/>
        </w:rPr>
        <w:t xml:space="preserve">: </w:t>
      </w:r>
      <w:r w:rsidRPr="00FA66BC">
        <w:rPr>
          <w:rFonts w:cs="Arial"/>
        </w:rPr>
        <w:t xml:space="preserve">though only 32.2% of the total budget is for </w:t>
      </w:r>
      <w:r w:rsidR="00363B7B">
        <w:rPr>
          <w:rFonts w:cs="Arial"/>
        </w:rPr>
        <w:t>d</w:t>
      </w:r>
      <w:r w:rsidRPr="00FA66BC">
        <w:rPr>
          <w:rFonts w:cs="Arial"/>
        </w:rPr>
        <w:t xml:space="preserve">istrict </w:t>
      </w:r>
      <w:r w:rsidR="00363B7B">
        <w:rPr>
          <w:rFonts w:cs="Arial"/>
        </w:rPr>
        <w:t>h</w:t>
      </w:r>
      <w:r w:rsidRPr="00FA66BC">
        <w:rPr>
          <w:rFonts w:cs="Arial"/>
        </w:rPr>
        <w:t xml:space="preserve">ealth </w:t>
      </w:r>
      <w:r w:rsidR="00363B7B">
        <w:rPr>
          <w:rFonts w:cs="Arial"/>
        </w:rPr>
        <w:t>s</w:t>
      </w:r>
      <w:r w:rsidRPr="00FA66BC">
        <w:rPr>
          <w:rFonts w:cs="Arial"/>
        </w:rPr>
        <w:t xml:space="preserve">ervices, around half the 29.5% hospital expenditure is for the referral hospitals that provide a large part of health care to rural areas (the other half is for the National Hospital). This totals </w:t>
      </w:r>
      <w:r w:rsidR="009322F3">
        <w:rPr>
          <w:rFonts w:cs="Arial"/>
        </w:rPr>
        <w:t>US</w:t>
      </w:r>
      <w:r w:rsidRPr="00FA66BC">
        <w:rPr>
          <w:rFonts w:cs="Arial"/>
        </w:rPr>
        <w:t xml:space="preserve">$27.2 per capita for 2013. </w:t>
      </w:r>
    </w:p>
    <w:p w:rsidR="00B01006" w:rsidRPr="00FA66BC" w:rsidRDefault="00B01006" w:rsidP="00624D3B">
      <w:pPr>
        <w:spacing w:line="276" w:lineRule="auto"/>
        <w:rPr>
          <w:rFonts w:cs="Arial"/>
        </w:rPr>
      </w:pPr>
      <w:r w:rsidRPr="00FA66BC">
        <w:rPr>
          <w:rFonts w:cs="Arial"/>
        </w:rPr>
        <w:t xml:space="preserve">Not all Government spending on health occurs through the </w:t>
      </w:r>
      <w:r w:rsidR="00363B7B">
        <w:rPr>
          <w:rFonts w:cs="Arial"/>
        </w:rPr>
        <w:t>MoH</w:t>
      </w:r>
      <w:r w:rsidRPr="00FA66BC">
        <w:rPr>
          <w:rFonts w:cs="Arial"/>
        </w:rPr>
        <w:t xml:space="preserve"> budget. Budget adequacy can be judged by progress toward achieving MDGs and show that the AARD for safe water and, especially improved sanitation, are far bel</w:t>
      </w:r>
      <w:r w:rsidR="002730A5">
        <w:rPr>
          <w:rFonts w:cs="Arial"/>
        </w:rPr>
        <w:t>ow that needed to meet the MDG</w:t>
      </w:r>
      <w:r w:rsidR="00363B7B">
        <w:rPr>
          <w:rFonts w:cs="Arial"/>
        </w:rPr>
        <w:t>s</w:t>
      </w:r>
      <w:r w:rsidR="002730A5">
        <w:rPr>
          <w:rStyle w:val="FootnoteReference"/>
          <w:rFonts w:cs="Arial"/>
        </w:rPr>
        <w:footnoteReference w:id="79"/>
      </w:r>
      <w:r w:rsidRPr="00FA66BC">
        <w:rPr>
          <w:rFonts w:cs="Arial"/>
        </w:rPr>
        <w:t>. These are activities that are carried out mostly by NGOs (some supported by</w:t>
      </w:r>
      <w:r w:rsidR="00052C07">
        <w:rPr>
          <w:rFonts w:cs="Arial"/>
        </w:rPr>
        <w:t xml:space="preserve"> </w:t>
      </w:r>
      <w:r w:rsidR="00D0414C">
        <w:rPr>
          <w:rFonts w:cs="Arial"/>
        </w:rPr>
        <w:t>Australian aid</w:t>
      </w:r>
      <w:r w:rsidRPr="00FA66BC">
        <w:rPr>
          <w:rFonts w:cs="Arial"/>
        </w:rPr>
        <w:t>) in Timor-Leste rather than through GoTL infrastructure spending.</w:t>
      </w:r>
    </w:p>
    <w:p w:rsidR="00610965" w:rsidRDefault="00B01006" w:rsidP="00D0414C">
      <w:pPr>
        <w:spacing w:line="276" w:lineRule="auto"/>
      </w:pPr>
      <w:r w:rsidRPr="00FA66BC">
        <w:rPr>
          <w:rFonts w:cs="Arial"/>
        </w:rPr>
        <w:t xml:space="preserve">Adequacy of the recurrent budget must also be considered not only in respect to the on-budget capital investments, but also to off-budget donor investments in infrastructure, vehicles, and even human capital. The problems of sector-wide coordination and transparency make this difficult to plan for, with the likelihood that projects are completed before government can staff and supply them. </w:t>
      </w:r>
    </w:p>
    <w:p w:rsidR="00B01006" w:rsidRPr="00FA66BC" w:rsidRDefault="00B01006" w:rsidP="00624D3B">
      <w:pPr>
        <w:spacing w:line="276" w:lineRule="auto"/>
        <w:rPr>
          <w:rFonts w:cs="Arial"/>
        </w:rPr>
      </w:pPr>
      <w:r w:rsidRPr="00FA66BC">
        <w:rPr>
          <w:rFonts w:cs="Arial"/>
        </w:rPr>
        <w:t xml:space="preserve">The WHO calculations of </w:t>
      </w:r>
      <w:r w:rsidR="00327108">
        <w:rPr>
          <w:rFonts w:cs="Arial"/>
        </w:rPr>
        <w:t>b</w:t>
      </w:r>
      <w:r w:rsidRPr="00FA66BC">
        <w:rPr>
          <w:rFonts w:cs="Arial"/>
        </w:rPr>
        <w:t xml:space="preserve">udget gaps for accelerated progress toward the health MDGs (Figure 1 and Annex 3) are global in scope and are not intended to be a guide to resource allocation within any </w:t>
      </w:r>
      <w:r w:rsidR="00327108">
        <w:rPr>
          <w:rFonts w:cs="Arial"/>
        </w:rPr>
        <w:t>individual</w:t>
      </w:r>
      <w:r w:rsidRPr="00FA66BC">
        <w:rPr>
          <w:rFonts w:cs="Arial"/>
        </w:rPr>
        <w:t xml:space="preserve"> country. The total per capita health sector spending (including external aid) of </w:t>
      </w:r>
      <w:r w:rsidR="009322F3">
        <w:rPr>
          <w:rFonts w:cs="Arial"/>
        </w:rPr>
        <w:t>US</w:t>
      </w:r>
      <w:r w:rsidRPr="00FA66BC">
        <w:rPr>
          <w:rFonts w:cs="Arial"/>
        </w:rPr>
        <w:t xml:space="preserve">$82 per capita is in excess of the </w:t>
      </w:r>
      <w:r w:rsidR="00FF1372">
        <w:rPr>
          <w:rFonts w:cs="Arial"/>
        </w:rPr>
        <w:t xml:space="preserve">(global) </w:t>
      </w:r>
      <w:r w:rsidRPr="00FA66BC">
        <w:rPr>
          <w:rFonts w:cs="Arial"/>
        </w:rPr>
        <w:t>estimated amount needed for accelerated progress to the health MDGs (Annex 3)</w:t>
      </w:r>
      <w:r w:rsidR="00FF1372">
        <w:rPr>
          <w:rFonts w:cs="Arial"/>
        </w:rPr>
        <w:t>, but a relatively large portion of this is used at central MoH level</w:t>
      </w:r>
      <w:r w:rsidRPr="00FA66BC">
        <w:rPr>
          <w:rFonts w:cs="Arial"/>
        </w:rPr>
        <w:t xml:space="preserve">. </w:t>
      </w:r>
      <w:r w:rsidR="006F1D5F">
        <w:rPr>
          <w:rFonts w:cs="Arial"/>
        </w:rPr>
        <w:t>B</w:t>
      </w:r>
      <w:r w:rsidRPr="00FA66BC">
        <w:rPr>
          <w:rFonts w:cs="Arial"/>
        </w:rPr>
        <w:t xml:space="preserve">oth human resources and infrastructure appear to be </w:t>
      </w:r>
      <w:r w:rsidRPr="00363B7B">
        <w:rPr>
          <w:rFonts w:cs="Arial"/>
        </w:rPr>
        <w:t xml:space="preserve">priority </w:t>
      </w:r>
      <w:r w:rsidR="006F1D5F" w:rsidRPr="00363B7B">
        <w:rPr>
          <w:rFonts w:cs="Arial"/>
        </w:rPr>
        <w:t>budget</w:t>
      </w:r>
      <w:r w:rsidR="003D147D" w:rsidRPr="00363B7B">
        <w:rPr>
          <w:rFonts w:cs="Arial"/>
        </w:rPr>
        <w:t xml:space="preserve"> items</w:t>
      </w:r>
      <w:r w:rsidR="006F1D5F" w:rsidRPr="003D147D">
        <w:rPr>
          <w:rFonts w:cs="Arial"/>
        </w:rPr>
        <w:t>,</w:t>
      </w:r>
      <w:r w:rsidR="006F1D5F">
        <w:rPr>
          <w:rFonts w:cs="Arial"/>
        </w:rPr>
        <w:t xml:space="preserve"> but </w:t>
      </w:r>
      <w:r w:rsidRPr="00FA66BC">
        <w:rPr>
          <w:rFonts w:cs="Arial"/>
        </w:rPr>
        <w:t xml:space="preserve">the data show clearly the need to increase spending </w:t>
      </w:r>
      <w:r w:rsidR="006F1D5F">
        <w:rPr>
          <w:rFonts w:cs="Arial"/>
        </w:rPr>
        <w:t>in these areas</w:t>
      </w:r>
      <w:r w:rsidRPr="00FA66BC">
        <w:rPr>
          <w:rFonts w:cs="Arial"/>
        </w:rPr>
        <w:t>. The health human resources development budget</w:t>
      </w:r>
      <w:r w:rsidR="00624D3B">
        <w:rPr>
          <w:rStyle w:val="FootnoteReference"/>
          <w:rFonts w:cs="Arial"/>
        </w:rPr>
        <w:footnoteReference w:id="80"/>
      </w:r>
      <w:r w:rsidRPr="00FA66BC">
        <w:rPr>
          <w:rFonts w:cs="Arial"/>
        </w:rPr>
        <w:t xml:space="preserve"> is only </w:t>
      </w:r>
      <w:r w:rsidR="009322F3">
        <w:rPr>
          <w:rFonts w:cs="Arial"/>
        </w:rPr>
        <w:t>US</w:t>
      </w:r>
      <w:r w:rsidRPr="00FA66BC">
        <w:rPr>
          <w:rFonts w:cs="Arial"/>
        </w:rPr>
        <w:t>$250</w:t>
      </w:r>
      <w:r w:rsidR="00363B7B">
        <w:rPr>
          <w:rFonts w:cs="Arial"/>
        </w:rPr>
        <w:t xml:space="preserve"> </w:t>
      </w:r>
      <w:r w:rsidRPr="00FA66BC">
        <w:rPr>
          <w:rFonts w:cs="Arial"/>
        </w:rPr>
        <w:t xml:space="preserve">000 for 2014 but rises to </w:t>
      </w:r>
      <w:r w:rsidR="009322F3">
        <w:rPr>
          <w:rFonts w:cs="Arial"/>
        </w:rPr>
        <w:t>US</w:t>
      </w:r>
      <w:r w:rsidRPr="00FA66BC">
        <w:rPr>
          <w:rFonts w:cs="Arial"/>
        </w:rPr>
        <w:t xml:space="preserve">$1.25 million from 2015 onward. Infrastructure investment totals </w:t>
      </w:r>
      <w:r w:rsidR="009322F3">
        <w:rPr>
          <w:rFonts w:cs="Arial"/>
        </w:rPr>
        <w:t>US</w:t>
      </w:r>
      <w:r w:rsidRPr="00FA66BC">
        <w:rPr>
          <w:rFonts w:cs="Arial"/>
        </w:rPr>
        <w:t xml:space="preserve">$4.77 million in the 2014 budget, with </w:t>
      </w:r>
      <w:r w:rsidR="009322F3">
        <w:rPr>
          <w:rFonts w:cs="Arial"/>
        </w:rPr>
        <w:t>US</w:t>
      </w:r>
      <w:r w:rsidRPr="00FA66BC">
        <w:rPr>
          <w:rFonts w:cs="Arial"/>
        </w:rPr>
        <w:t xml:space="preserve">$3.72 million of that for Baucau Hospital and the rest for a science building and a </w:t>
      </w:r>
      <w:r w:rsidR="00624D3B" w:rsidRPr="00FA66BC">
        <w:rPr>
          <w:rFonts w:cs="Arial"/>
        </w:rPr>
        <w:t>paediatric</w:t>
      </w:r>
      <w:r w:rsidRPr="00FA66BC">
        <w:rPr>
          <w:rFonts w:cs="Arial"/>
        </w:rPr>
        <w:t xml:space="preserve"> centre</w:t>
      </w:r>
      <w:r w:rsidR="00363B7B">
        <w:rPr>
          <w:rStyle w:val="FootnoteReference"/>
          <w:rFonts w:cs="Arial"/>
        </w:rPr>
        <w:footnoteReference w:id="81"/>
      </w:r>
      <w:r w:rsidRPr="00FA66BC">
        <w:rPr>
          <w:rFonts w:cs="Arial"/>
        </w:rPr>
        <w:t>. The MoH average budget execution rate for capital budget is less than 50% in recent years, compared to about 75% for the GoTL as a whole, and much lower than for the recurrent budget. This is possibly</w:t>
      </w:r>
      <w:r w:rsidR="002730A5">
        <w:rPr>
          <w:rFonts w:cs="Arial"/>
        </w:rPr>
        <w:t xml:space="preserve"> due to difficulties in moving </w:t>
      </w:r>
      <w:r w:rsidRPr="00FA66BC">
        <w:rPr>
          <w:rFonts w:cs="Arial"/>
        </w:rPr>
        <w:t>construction projects forward, especially in rural areas</w:t>
      </w:r>
      <w:r w:rsidR="006F1D5F">
        <w:rPr>
          <w:rFonts w:cs="Arial"/>
        </w:rPr>
        <w:t>.</w:t>
      </w:r>
    </w:p>
    <w:p w:rsidR="00B01006" w:rsidRPr="00624D3B" w:rsidRDefault="006F1D5F" w:rsidP="004A2569">
      <w:pPr>
        <w:spacing w:line="276" w:lineRule="auto"/>
        <w:rPr>
          <w:rFonts w:cs="Arial"/>
          <w:lang w:val="en-AU"/>
        </w:rPr>
      </w:pPr>
      <w:r>
        <w:rPr>
          <w:rFonts w:cs="Arial"/>
        </w:rPr>
        <w:t>To summari</w:t>
      </w:r>
      <w:r w:rsidR="006827E3">
        <w:rPr>
          <w:rFonts w:cs="Arial"/>
        </w:rPr>
        <w:t>s</w:t>
      </w:r>
      <w:r>
        <w:rPr>
          <w:rFonts w:cs="Arial"/>
        </w:rPr>
        <w:t xml:space="preserve">e the preceding issues, </w:t>
      </w:r>
      <w:r w:rsidR="00624D3B">
        <w:rPr>
          <w:rFonts w:cs="Arial"/>
        </w:rPr>
        <w:t>g</w:t>
      </w:r>
      <w:r w:rsidR="00B01006" w:rsidRPr="00FA66BC">
        <w:rPr>
          <w:rFonts w:cs="Arial"/>
        </w:rPr>
        <w:t xml:space="preserve">overnment spending on health has increased in the last few years, </w:t>
      </w:r>
      <w:r w:rsidR="00041490">
        <w:rPr>
          <w:rFonts w:cs="Arial"/>
        </w:rPr>
        <w:t xml:space="preserve">but the </w:t>
      </w:r>
      <w:r w:rsidR="00246F19">
        <w:rPr>
          <w:rFonts w:cs="Arial"/>
        </w:rPr>
        <w:t>capital investments on infrastructure and human resources</w:t>
      </w:r>
      <w:r w:rsidR="00041490">
        <w:rPr>
          <w:rFonts w:cs="Arial"/>
        </w:rPr>
        <w:t xml:space="preserve"> </w:t>
      </w:r>
      <w:r w:rsidR="00246F19">
        <w:rPr>
          <w:rFonts w:cs="Arial"/>
        </w:rPr>
        <w:t xml:space="preserve">(primarily) </w:t>
      </w:r>
      <w:r w:rsidR="00041490">
        <w:rPr>
          <w:rFonts w:cs="Arial"/>
        </w:rPr>
        <w:t xml:space="preserve">that would </w:t>
      </w:r>
      <w:r w:rsidR="00FF1372">
        <w:rPr>
          <w:rFonts w:cs="Arial"/>
        </w:rPr>
        <w:t xml:space="preserve">allow </w:t>
      </w:r>
      <w:r w:rsidR="00246F19">
        <w:rPr>
          <w:rFonts w:cs="Arial"/>
        </w:rPr>
        <w:t xml:space="preserve">higher </w:t>
      </w:r>
      <w:r w:rsidR="00FF1372">
        <w:rPr>
          <w:rFonts w:cs="Arial"/>
        </w:rPr>
        <w:t xml:space="preserve">efficiency </w:t>
      </w:r>
      <w:r w:rsidR="00246F19">
        <w:rPr>
          <w:rFonts w:cs="Arial"/>
        </w:rPr>
        <w:t>of</w:t>
      </w:r>
      <w:r w:rsidR="00FF1372">
        <w:rPr>
          <w:rFonts w:cs="Arial"/>
        </w:rPr>
        <w:t xml:space="preserve"> spending are not yet fully in place.</w:t>
      </w:r>
      <w:r w:rsidR="00B01006" w:rsidRPr="00FA66BC">
        <w:rPr>
          <w:rFonts w:cs="Arial"/>
        </w:rPr>
        <w:t xml:space="preserve"> Personnel policies on staffing and remuneration have been changed, resulting in more and presumably better motivated trained health human resources</w:t>
      </w:r>
      <w:r>
        <w:rPr>
          <w:rFonts w:cs="Arial"/>
        </w:rPr>
        <w:t xml:space="preserve"> to relieve the</w:t>
      </w:r>
      <w:r w:rsidR="00B01006" w:rsidRPr="00FA66BC">
        <w:rPr>
          <w:rFonts w:cs="Arial"/>
        </w:rPr>
        <w:t xml:space="preserve"> constraint</w:t>
      </w:r>
      <w:r w:rsidR="003D7117">
        <w:rPr>
          <w:rFonts w:cs="Arial"/>
        </w:rPr>
        <w:t>s</w:t>
      </w:r>
      <w:r w:rsidR="00B01006" w:rsidRPr="00FA66BC">
        <w:rPr>
          <w:rFonts w:cs="Arial"/>
        </w:rPr>
        <w:t xml:space="preserve"> on health system performance. </w:t>
      </w:r>
      <w:r w:rsidR="00C45F5C" w:rsidRPr="00FA66BC">
        <w:rPr>
          <w:rFonts w:cs="Arial"/>
        </w:rPr>
        <w:t>Spending on drugs and supplies has increased slightly and is probably suff</w:t>
      </w:r>
      <w:r w:rsidR="00C45F5C">
        <w:rPr>
          <w:rFonts w:cs="Arial"/>
        </w:rPr>
        <w:t>icient</w:t>
      </w:r>
      <w:r>
        <w:rPr>
          <w:rFonts w:cs="Arial"/>
        </w:rPr>
        <w:t xml:space="preserve"> now</w:t>
      </w:r>
      <w:r w:rsidR="00C45F5C">
        <w:rPr>
          <w:rFonts w:cs="Arial"/>
        </w:rPr>
        <w:t>.</w:t>
      </w:r>
      <w:r>
        <w:rPr>
          <w:rFonts w:cs="Arial"/>
        </w:rPr>
        <w:t xml:space="preserve"> </w:t>
      </w:r>
      <w:r w:rsidR="00B01006" w:rsidRPr="00FA66BC">
        <w:rPr>
          <w:rFonts w:cs="Arial"/>
        </w:rPr>
        <w:t>The total spending on district services and referral hospitals is close to the full amount calculated needed for the BSP. Recurrent budgets are allocated according to the current number of facilities rather than actual health needs, but geographic differentials appear to be compensated somewhat by capital spending. External donors spend about half again the MoH budget but the effectiveness of the spending is difficult to estimate.</w:t>
      </w:r>
    </w:p>
    <w:p w:rsidR="00860793" w:rsidRPr="00D0414C" w:rsidRDefault="00332FC7" w:rsidP="004A2569">
      <w:pPr>
        <w:spacing w:line="276" w:lineRule="auto"/>
        <w:jc w:val="left"/>
        <w:rPr>
          <w:lang w:val="en-AU"/>
        </w:rPr>
      </w:pPr>
      <w:r w:rsidRPr="00546D98">
        <w:t xml:space="preserve">Adequacy of the recurrent budget must also be considered not only in respect to the on-budget capital investments, but also to off-budget </w:t>
      </w:r>
      <w:r w:rsidR="00BD2D40">
        <w:t xml:space="preserve">and </w:t>
      </w:r>
      <w:r w:rsidRPr="00546D98">
        <w:t>donor investments in infrastructure, vehicles, and even human capital. The problems of sector-wide coordination and transparency make this difficult</w:t>
      </w:r>
      <w:r>
        <w:t xml:space="preserve"> to plan for, </w:t>
      </w:r>
      <w:r w:rsidR="006F1D5F">
        <w:t>and it is possible</w:t>
      </w:r>
      <w:r>
        <w:t xml:space="preserve"> that projects are completed before government can staff and supply them.</w:t>
      </w:r>
    </w:p>
    <w:p w:rsidR="00332FC7" w:rsidRDefault="00332FC7" w:rsidP="004A2569">
      <w:pPr>
        <w:pStyle w:val="HRFNoNumberHeading1"/>
        <w:spacing w:line="276" w:lineRule="auto"/>
      </w:pPr>
      <w:bookmarkStart w:id="41" w:name="_Toc373502498"/>
      <w:r>
        <w:t>Conclusions</w:t>
      </w:r>
      <w:bookmarkEnd w:id="41"/>
    </w:p>
    <w:p w:rsidR="009322F3" w:rsidRDefault="009322F3" w:rsidP="004A2569">
      <w:pPr>
        <w:spacing w:line="276" w:lineRule="auto"/>
        <w:contextualSpacing/>
        <w:rPr>
          <w:szCs w:val="22"/>
        </w:rPr>
      </w:pPr>
      <w:r w:rsidRPr="009322F3">
        <w:rPr>
          <w:szCs w:val="22"/>
        </w:rPr>
        <w:t xml:space="preserve">1. The health system support activities proposed under the </w:t>
      </w:r>
      <w:r w:rsidR="0033505D">
        <w:rPr>
          <w:szCs w:val="22"/>
        </w:rPr>
        <w:t>Program</w:t>
      </w:r>
      <w:r w:rsidRPr="009322F3">
        <w:rPr>
          <w:szCs w:val="22"/>
        </w:rPr>
        <w:t xml:space="preserve"> are likely to be worthwhile in the short term if they are targeted carefully to priority needs. Repairing ambulances can be a very efficient use of resources when the health facilities are otherwise capable of delivering services. Filling gaps in critical human resources should be very useful but there are unans</w:t>
      </w:r>
      <w:r w:rsidRPr="00F868F1">
        <w:rPr>
          <w:szCs w:val="22"/>
        </w:rPr>
        <w:t xml:space="preserve">wered questions concerning the feasibility of the recruitment and support of Indonesian staff. Other health system building blocks that are not now addressed by other </w:t>
      </w:r>
      <w:r w:rsidR="0033505D">
        <w:rPr>
          <w:szCs w:val="22"/>
        </w:rPr>
        <w:t>program</w:t>
      </w:r>
      <w:r w:rsidRPr="00F868F1">
        <w:rPr>
          <w:szCs w:val="22"/>
        </w:rPr>
        <w:t>s could also be supported by building capacity, but piecemeal interventions to strengt</w:t>
      </w:r>
      <w:r w:rsidRPr="009563E1">
        <w:rPr>
          <w:szCs w:val="22"/>
        </w:rPr>
        <w:t xml:space="preserve">hen weak links in the health system will not improve health outcomes unless they result in capacity to plan, </w:t>
      </w:r>
      <w:r w:rsidRPr="000B55BB">
        <w:rPr>
          <w:szCs w:val="22"/>
        </w:rPr>
        <w:t>implement, and sustain activities and adapt to changing conditions. There is a tradeoff between applying immediate solutions such as providing badly needed infrastructure, and making investments that take longer and are more costly but are more likely to h</w:t>
      </w:r>
      <w:r w:rsidRPr="00130409">
        <w:rPr>
          <w:szCs w:val="22"/>
        </w:rPr>
        <w:t>ave a lasting impact.</w:t>
      </w:r>
    </w:p>
    <w:p w:rsidR="009322F3" w:rsidRDefault="009322F3" w:rsidP="004A2569">
      <w:pPr>
        <w:spacing w:line="276" w:lineRule="auto"/>
        <w:contextualSpacing/>
        <w:rPr>
          <w:szCs w:val="22"/>
        </w:rPr>
      </w:pPr>
    </w:p>
    <w:p w:rsidR="009322F3" w:rsidRDefault="009322F3" w:rsidP="004A2569">
      <w:pPr>
        <w:spacing w:line="276" w:lineRule="auto"/>
        <w:contextualSpacing/>
        <w:rPr>
          <w:szCs w:val="22"/>
        </w:rPr>
      </w:pPr>
      <w:r>
        <w:rPr>
          <w:szCs w:val="22"/>
        </w:rPr>
        <w:t xml:space="preserve">2. </w:t>
      </w:r>
      <w:r w:rsidRPr="009322F3">
        <w:rPr>
          <w:szCs w:val="22"/>
        </w:rPr>
        <w:t xml:space="preserve">Current government health expenditure is rather low but is not the only factor holding back rapid progress toward health goals. The gap between the potential of technical interventions to improve health and actual RMNCH outcomes is due mostly to weak links in the health system. The critical need for health system improvements to meet the </w:t>
      </w:r>
      <w:r w:rsidR="00F868F1">
        <w:rPr>
          <w:szCs w:val="22"/>
        </w:rPr>
        <w:t>MDG</w:t>
      </w:r>
      <w:r w:rsidRPr="009322F3">
        <w:rPr>
          <w:szCs w:val="22"/>
        </w:rPr>
        <w:t xml:space="preserve"> targets including those for RMNCH is documented globally and is estimated to cost much more than the technical interventions. </w:t>
      </w:r>
    </w:p>
    <w:p w:rsidR="009322F3" w:rsidRDefault="009322F3" w:rsidP="004A2569">
      <w:pPr>
        <w:spacing w:line="276" w:lineRule="auto"/>
        <w:contextualSpacing/>
        <w:rPr>
          <w:szCs w:val="22"/>
        </w:rPr>
      </w:pPr>
    </w:p>
    <w:p w:rsidR="009322F3" w:rsidRDefault="009322F3" w:rsidP="004A2569">
      <w:pPr>
        <w:spacing w:line="276" w:lineRule="auto"/>
        <w:contextualSpacing/>
      </w:pPr>
      <w:r>
        <w:rPr>
          <w:szCs w:val="22"/>
        </w:rPr>
        <w:t xml:space="preserve">3. </w:t>
      </w:r>
      <w:r w:rsidRPr="009322F3">
        <w:t>Timor-Leste gets reasonably good results from government health expenditures, although it is difficult to assess this when the health system is in a state of rapid development and needing high capital investment. The efficiency of budget spending also may be limited to an extent by the unavoidably high proportion going to central administrative and technical directorates. Some important health interventions such as water and sanitation may be underfunded but are outside the scope of MoH functions.</w:t>
      </w:r>
    </w:p>
    <w:p w:rsidR="009322F3" w:rsidRPr="009322F3" w:rsidRDefault="009322F3" w:rsidP="004A2569">
      <w:pPr>
        <w:spacing w:line="276" w:lineRule="auto"/>
        <w:contextualSpacing/>
        <w:rPr>
          <w:szCs w:val="22"/>
        </w:rPr>
      </w:pPr>
    </w:p>
    <w:p w:rsidR="00610965" w:rsidRPr="009322F3" w:rsidRDefault="009322F3" w:rsidP="00D0414C">
      <w:pPr>
        <w:spacing w:line="276" w:lineRule="auto"/>
        <w:contextualSpacing/>
        <w:rPr>
          <w:szCs w:val="22"/>
        </w:rPr>
      </w:pPr>
      <w:r w:rsidRPr="009322F3">
        <w:rPr>
          <w:szCs w:val="22"/>
        </w:rPr>
        <w:t xml:space="preserve">4. Development partners will provide less health financing in coming years than in the past, about </w:t>
      </w:r>
      <w:r w:rsidR="00F868F1">
        <w:rPr>
          <w:szCs w:val="22"/>
        </w:rPr>
        <w:t>US</w:t>
      </w:r>
      <w:r w:rsidRPr="009322F3">
        <w:rPr>
          <w:szCs w:val="22"/>
        </w:rPr>
        <w:t>$32 million in 2014. When added to</w:t>
      </w:r>
      <w:r w:rsidRPr="00F868F1">
        <w:rPr>
          <w:szCs w:val="22"/>
        </w:rPr>
        <w:t xml:space="preserve"> the government health budget of </w:t>
      </w:r>
      <w:r w:rsidR="00F868F1">
        <w:rPr>
          <w:szCs w:val="22"/>
        </w:rPr>
        <w:t>US</w:t>
      </w:r>
      <w:r w:rsidRPr="00F868F1">
        <w:rPr>
          <w:szCs w:val="22"/>
        </w:rPr>
        <w:t xml:space="preserve">$60 million, this raises total public health expenditure to about </w:t>
      </w:r>
      <w:r w:rsidR="00F868F1">
        <w:rPr>
          <w:szCs w:val="22"/>
        </w:rPr>
        <w:t>US</w:t>
      </w:r>
      <w:r w:rsidRPr="00F868F1">
        <w:rPr>
          <w:szCs w:val="22"/>
        </w:rPr>
        <w:t xml:space="preserve">$82 per capita in the coming years. A needs-based costing of Timor-Leste health facilities determined that by 2014 a </w:t>
      </w:r>
      <w:r>
        <w:rPr>
          <w:szCs w:val="22"/>
        </w:rPr>
        <w:t>BSP</w:t>
      </w:r>
      <w:r w:rsidRPr="009322F3">
        <w:rPr>
          <w:szCs w:val="22"/>
        </w:rPr>
        <w:t xml:space="preserve"> would cost $28 per capita (including referral hospitals), rising to </w:t>
      </w:r>
      <w:r>
        <w:rPr>
          <w:szCs w:val="22"/>
        </w:rPr>
        <w:t>US</w:t>
      </w:r>
      <w:r w:rsidRPr="009322F3">
        <w:rPr>
          <w:szCs w:val="22"/>
        </w:rPr>
        <w:t xml:space="preserve">$35 as coverage and population increase. While a WHO global estimate for all LMICs should not be taken to represent Timor-Leste's investment needs, costs of accelerated progress to meet the health MDGs could cost an additional </w:t>
      </w:r>
      <w:r>
        <w:rPr>
          <w:szCs w:val="22"/>
        </w:rPr>
        <w:t>US</w:t>
      </w:r>
      <w:r w:rsidRPr="009322F3">
        <w:rPr>
          <w:szCs w:val="22"/>
        </w:rPr>
        <w:t>$30-</w:t>
      </w:r>
      <w:r>
        <w:rPr>
          <w:szCs w:val="22"/>
        </w:rPr>
        <w:t>US</w:t>
      </w:r>
      <w:r w:rsidRPr="009322F3">
        <w:rPr>
          <w:szCs w:val="22"/>
        </w:rPr>
        <w:t xml:space="preserve">$40 per capita for infrastructure, human resources and other system strengthening. Even with relatively high MoH overhead costs, current spending levels of </w:t>
      </w:r>
      <w:r>
        <w:rPr>
          <w:szCs w:val="22"/>
        </w:rPr>
        <w:t>US</w:t>
      </w:r>
      <w:r w:rsidR="00F868F1">
        <w:rPr>
          <w:szCs w:val="22"/>
        </w:rPr>
        <w:t xml:space="preserve">$82 per capita </w:t>
      </w:r>
      <w:r w:rsidRPr="009322F3">
        <w:rPr>
          <w:szCs w:val="22"/>
        </w:rPr>
        <w:t xml:space="preserve">should cover required funding for the BSP, but spending on the investments needed for accelerated progress is likely to fall short of needs. The GoTL has demonstrated the political will to finance both cost-effective technical interventions and HSS interventions while also investing in human and physical capital, but its limited contributions may prevent more rapid progress. The chosen strategy for the </w:t>
      </w:r>
      <w:r w:rsidRPr="00D0414C">
        <w:rPr>
          <w:szCs w:val="22"/>
        </w:rPr>
        <w:t>new</w:t>
      </w:r>
      <w:r w:rsidR="0033505D" w:rsidRPr="00D0414C">
        <w:rPr>
          <w:szCs w:val="22"/>
        </w:rPr>
        <w:t xml:space="preserve"> up to</w:t>
      </w:r>
      <w:r w:rsidRPr="00D0414C">
        <w:rPr>
          <w:szCs w:val="22"/>
        </w:rPr>
        <w:t xml:space="preserve"> A$50</w:t>
      </w:r>
      <w:r w:rsidRPr="009322F3">
        <w:rPr>
          <w:szCs w:val="22"/>
        </w:rPr>
        <w:t xml:space="preserve"> million </w:t>
      </w:r>
      <w:r w:rsidR="00D0414C">
        <w:rPr>
          <w:szCs w:val="22"/>
        </w:rPr>
        <w:t>Australian aid</w:t>
      </w:r>
      <w:r w:rsidRPr="009322F3">
        <w:rPr>
          <w:szCs w:val="22"/>
        </w:rPr>
        <w:t xml:space="preserve"> </w:t>
      </w:r>
      <w:r w:rsidR="00D0414C">
        <w:rPr>
          <w:szCs w:val="22"/>
        </w:rPr>
        <w:t>p</w:t>
      </w:r>
      <w:r w:rsidR="0033505D">
        <w:rPr>
          <w:szCs w:val="22"/>
        </w:rPr>
        <w:t>rogram</w:t>
      </w:r>
      <w:r w:rsidRPr="009322F3">
        <w:rPr>
          <w:szCs w:val="22"/>
        </w:rPr>
        <w:t xml:space="preserve"> appropriately focuses on investment gaps, and will increase total health financing by almost </w:t>
      </w:r>
      <w:r>
        <w:rPr>
          <w:szCs w:val="22"/>
        </w:rPr>
        <w:t>US</w:t>
      </w:r>
      <w:r w:rsidRPr="009322F3">
        <w:rPr>
          <w:szCs w:val="22"/>
        </w:rPr>
        <w:t xml:space="preserve">$10 per capita.  </w:t>
      </w:r>
    </w:p>
    <w:p w:rsidR="00332FC7" w:rsidRDefault="00332FC7" w:rsidP="00624D3B">
      <w:pPr>
        <w:spacing w:line="276" w:lineRule="auto"/>
        <w:jc w:val="center"/>
        <w:sectPr w:rsidR="00332FC7" w:rsidSect="00FD73D1">
          <w:headerReference w:type="default" r:id="rId21"/>
          <w:footerReference w:type="default" r:id="rId22"/>
          <w:pgSz w:w="11906" w:h="16838"/>
          <w:pgMar w:top="1325" w:right="1800" w:bottom="1440" w:left="1800" w:header="708" w:footer="708" w:gutter="0"/>
          <w:pgNumType w:start="1"/>
          <w:cols w:space="708"/>
          <w:docGrid w:linePitch="360"/>
        </w:sectPr>
      </w:pPr>
    </w:p>
    <w:p w:rsidR="00332FC7" w:rsidRPr="00332FC7" w:rsidRDefault="00332FC7" w:rsidP="00624D3B">
      <w:pPr>
        <w:pStyle w:val="HRFNoNumberHeading1"/>
        <w:spacing w:line="276" w:lineRule="auto"/>
        <w:rPr>
          <w:u w:val="single"/>
        </w:rPr>
      </w:pPr>
      <w:bookmarkStart w:id="42" w:name="_Toc373502499"/>
      <w:r w:rsidRPr="00332FC7">
        <w:t>Annex 1:</w:t>
      </w:r>
      <w:r w:rsidR="00677F65" w:rsidRPr="00677F65">
        <w:t xml:space="preserve"> </w:t>
      </w:r>
      <w:r w:rsidRPr="00332FC7">
        <w:t xml:space="preserve">Scoping Note: Economic Analysis for the Design of the Timor-Leste Health </w:t>
      </w:r>
      <w:bookmarkEnd w:id="42"/>
      <w:r w:rsidR="0033505D">
        <w:t>Program</w:t>
      </w:r>
    </w:p>
    <w:p w:rsidR="00332FC7" w:rsidRPr="00332FC7" w:rsidRDefault="00332FC7" w:rsidP="00624D3B">
      <w:pPr>
        <w:spacing w:line="276" w:lineRule="auto"/>
        <w:rPr>
          <w:rFonts w:cs="Arial"/>
          <w:b/>
          <w:szCs w:val="22"/>
        </w:rPr>
      </w:pPr>
      <w:r w:rsidRPr="00332FC7">
        <w:rPr>
          <w:rFonts w:cs="Arial"/>
          <w:b/>
          <w:szCs w:val="22"/>
        </w:rPr>
        <w:t>1. Purpose</w:t>
      </w:r>
    </w:p>
    <w:p w:rsidR="00332FC7" w:rsidRPr="00332FC7" w:rsidRDefault="00332FC7" w:rsidP="00624D3B">
      <w:pPr>
        <w:spacing w:line="276" w:lineRule="auto"/>
        <w:rPr>
          <w:rFonts w:cs="Arial"/>
          <w:szCs w:val="22"/>
        </w:rPr>
      </w:pPr>
      <w:r w:rsidRPr="00332FC7">
        <w:rPr>
          <w:rFonts w:cs="Arial"/>
          <w:b/>
          <w:szCs w:val="22"/>
        </w:rPr>
        <w:t>The purpose of</w:t>
      </w:r>
      <w:r w:rsidRPr="00332FC7">
        <w:rPr>
          <w:rFonts w:cs="Arial"/>
          <w:szCs w:val="22"/>
        </w:rPr>
        <w:t xml:space="preserve"> this study is to prepare background economic analysis to inform the design of the Timor-Leste Health </w:t>
      </w:r>
      <w:r w:rsidR="0033505D">
        <w:rPr>
          <w:rFonts w:cs="Arial"/>
          <w:szCs w:val="22"/>
        </w:rPr>
        <w:t>Program</w:t>
      </w:r>
      <w:r w:rsidRPr="00332FC7">
        <w:rPr>
          <w:rFonts w:cs="Arial"/>
          <w:szCs w:val="22"/>
        </w:rPr>
        <w:t xml:space="preserve">, 2013—2021. </w:t>
      </w:r>
    </w:p>
    <w:p w:rsidR="00332FC7" w:rsidRPr="00332FC7" w:rsidRDefault="00332FC7" w:rsidP="00624D3B">
      <w:pPr>
        <w:spacing w:line="276" w:lineRule="auto"/>
        <w:rPr>
          <w:rFonts w:cs="Arial"/>
          <w:szCs w:val="22"/>
        </w:rPr>
      </w:pPr>
    </w:p>
    <w:p w:rsidR="00332FC7" w:rsidRPr="00332FC7" w:rsidRDefault="00332FC7" w:rsidP="00624D3B">
      <w:pPr>
        <w:spacing w:line="276" w:lineRule="auto"/>
        <w:rPr>
          <w:rFonts w:cs="Arial"/>
          <w:b/>
          <w:szCs w:val="22"/>
        </w:rPr>
      </w:pPr>
      <w:r w:rsidRPr="00332FC7">
        <w:rPr>
          <w:rFonts w:cs="Arial"/>
          <w:b/>
          <w:szCs w:val="22"/>
        </w:rPr>
        <w:t>2. Background</w:t>
      </w:r>
    </w:p>
    <w:p w:rsidR="00332FC7" w:rsidRPr="00332FC7" w:rsidRDefault="0040461D" w:rsidP="00624D3B">
      <w:pPr>
        <w:spacing w:line="276" w:lineRule="auto"/>
        <w:rPr>
          <w:rFonts w:cs="Arial"/>
          <w:szCs w:val="22"/>
        </w:rPr>
      </w:pPr>
      <w:r>
        <w:rPr>
          <w:rFonts w:cs="Arial"/>
          <w:szCs w:val="22"/>
        </w:rPr>
        <w:t xml:space="preserve">The </w:t>
      </w:r>
      <w:r w:rsidR="00D0414C">
        <w:rPr>
          <w:rFonts w:cs="Arial"/>
          <w:szCs w:val="22"/>
        </w:rPr>
        <w:t>Australian aid p</w:t>
      </w:r>
      <w:r>
        <w:rPr>
          <w:rFonts w:cs="Arial"/>
          <w:szCs w:val="22"/>
        </w:rPr>
        <w:t>rogram</w:t>
      </w:r>
      <w:r w:rsidR="00332FC7" w:rsidRPr="00332FC7">
        <w:rPr>
          <w:rFonts w:cs="Arial"/>
          <w:szCs w:val="22"/>
        </w:rPr>
        <w:t xml:space="preserve"> has approved a new, nationwide, eight-year investment in maternal and child health in Timor-Leste. The strategic goal of the investment is to enable mothers and their children to live longer, healthier and happier lives. As outlined in the Concept Note (January 2013), the end-of-</w:t>
      </w:r>
      <w:r w:rsidR="0033505D">
        <w:rPr>
          <w:rFonts w:cs="Arial"/>
          <w:szCs w:val="22"/>
        </w:rPr>
        <w:t>program</w:t>
      </w:r>
      <w:r w:rsidR="00332FC7" w:rsidRPr="00332FC7">
        <w:rPr>
          <w:rFonts w:cs="Arial"/>
          <w:szCs w:val="22"/>
        </w:rPr>
        <w:t xml:space="preserve"> outcome is that ‘households, especially the most vulnerable, increasingly practice behaviours that are conducive to better maternal and child health and nutrition and use reproductive, maternal, newborn and child health services.’ </w:t>
      </w:r>
    </w:p>
    <w:p w:rsidR="00332FC7" w:rsidRPr="00332FC7" w:rsidRDefault="00332FC7" w:rsidP="00624D3B">
      <w:pPr>
        <w:spacing w:line="276" w:lineRule="auto"/>
        <w:rPr>
          <w:rFonts w:cs="Arial"/>
          <w:szCs w:val="22"/>
        </w:rPr>
      </w:pPr>
    </w:p>
    <w:p w:rsidR="00332FC7" w:rsidRPr="00332FC7" w:rsidRDefault="00332FC7" w:rsidP="00624D3B">
      <w:pPr>
        <w:spacing w:line="276" w:lineRule="auto"/>
        <w:rPr>
          <w:rFonts w:cs="Arial"/>
          <w:szCs w:val="22"/>
        </w:rPr>
      </w:pPr>
      <w:r w:rsidRPr="00332FC7">
        <w:rPr>
          <w:rFonts w:cs="Arial"/>
          <w:szCs w:val="22"/>
        </w:rPr>
        <w:t xml:space="preserve">The Concept Note identifies several modalities and interventions through which the </w:t>
      </w:r>
      <w:r w:rsidR="0033505D">
        <w:rPr>
          <w:rFonts w:cs="Arial"/>
          <w:szCs w:val="22"/>
        </w:rPr>
        <w:t>Program</w:t>
      </w:r>
      <w:r w:rsidRPr="00332FC7">
        <w:rPr>
          <w:rFonts w:cs="Arial"/>
          <w:szCs w:val="22"/>
        </w:rPr>
        <w:t xml:space="preserve"> could achieve its strategic goal and desired end-of-</w:t>
      </w:r>
      <w:r w:rsidR="0033505D">
        <w:rPr>
          <w:rFonts w:cs="Arial"/>
          <w:szCs w:val="22"/>
        </w:rPr>
        <w:t>program</w:t>
      </w:r>
      <w:r w:rsidRPr="00332FC7">
        <w:rPr>
          <w:rFonts w:cs="Arial"/>
          <w:szCs w:val="22"/>
        </w:rPr>
        <w:t xml:space="preserve"> outcome. The options include both demand-side and supply-side measures. It is understood that the design of the </w:t>
      </w:r>
      <w:r w:rsidR="0033505D">
        <w:rPr>
          <w:rFonts w:cs="Arial"/>
          <w:szCs w:val="22"/>
        </w:rPr>
        <w:t>Program</w:t>
      </w:r>
      <w:r w:rsidRPr="00332FC7">
        <w:rPr>
          <w:rFonts w:cs="Arial"/>
          <w:szCs w:val="22"/>
        </w:rPr>
        <w:t xml:space="preserve"> needs to maintain flexibility in order to deploy the most appropriate instrument for local circumstances, given the national scope of the </w:t>
      </w:r>
      <w:r w:rsidR="0033505D">
        <w:rPr>
          <w:rFonts w:cs="Arial"/>
          <w:szCs w:val="22"/>
        </w:rPr>
        <w:t>Program</w:t>
      </w:r>
      <w:r w:rsidRPr="00332FC7">
        <w:rPr>
          <w:rFonts w:cs="Arial"/>
          <w:szCs w:val="22"/>
        </w:rPr>
        <w:t>.  A key principal of the initiative will be to work through and strengthen country owned Ministry of Health systems and services, and to move away from contracting parallel projects and services, even if these may offer a quicker/cheaper returns in the short-term.  The challenge will be to move from an emergency aid response to a nationally- aligned, sustainable, system strengthening one, in line with the principles of effective development cooperation.</w:t>
      </w:r>
    </w:p>
    <w:p w:rsidR="00332FC7" w:rsidRPr="00332FC7" w:rsidRDefault="00332FC7" w:rsidP="00624D3B">
      <w:pPr>
        <w:spacing w:line="276" w:lineRule="auto"/>
        <w:rPr>
          <w:rFonts w:cs="Arial"/>
          <w:szCs w:val="22"/>
        </w:rPr>
      </w:pPr>
      <w:r w:rsidRPr="00332FC7">
        <w:rPr>
          <w:rFonts w:cs="Arial"/>
          <w:szCs w:val="22"/>
        </w:rPr>
        <w:t xml:space="preserve">Design documentation is to be completed by December 2013, with implementation beginning in 2014. </w:t>
      </w:r>
    </w:p>
    <w:p w:rsidR="00332FC7" w:rsidRPr="00332FC7" w:rsidRDefault="00332FC7" w:rsidP="00624D3B">
      <w:pPr>
        <w:spacing w:line="276" w:lineRule="auto"/>
        <w:rPr>
          <w:rFonts w:cs="Arial"/>
          <w:szCs w:val="22"/>
        </w:rPr>
      </w:pPr>
    </w:p>
    <w:p w:rsidR="00332FC7" w:rsidRPr="00332FC7" w:rsidRDefault="00332FC7" w:rsidP="00624D3B">
      <w:pPr>
        <w:spacing w:line="276" w:lineRule="auto"/>
        <w:rPr>
          <w:rFonts w:cs="Arial"/>
          <w:szCs w:val="22"/>
        </w:rPr>
      </w:pPr>
      <w:r w:rsidRPr="00332FC7">
        <w:rPr>
          <w:rFonts w:cs="Arial"/>
          <w:b/>
          <w:szCs w:val="22"/>
        </w:rPr>
        <w:t>3. Scope</w:t>
      </w:r>
    </w:p>
    <w:p w:rsidR="00332FC7" w:rsidRPr="00332FC7" w:rsidRDefault="00332FC7" w:rsidP="00624D3B">
      <w:pPr>
        <w:spacing w:line="276" w:lineRule="auto"/>
        <w:rPr>
          <w:rFonts w:cs="Arial"/>
          <w:szCs w:val="22"/>
        </w:rPr>
      </w:pPr>
      <w:r w:rsidRPr="00332FC7">
        <w:rPr>
          <w:rFonts w:cs="Arial"/>
          <w:szCs w:val="22"/>
        </w:rPr>
        <w:t xml:space="preserve">A desk-based study will seek to address the following set of high-order economic questions as far as possible with existing data. It is expected that this list of questions will be refined (and possibly added to) during the course of the work. </w:t>
      </w:r>
    </w:p>
    <w:p w:rsidR="00332FC7" w:rsidRPr="00332FC7" w:rsidRDefault="00332FC7" w:rsidP="00624D3B">
      <w:pPr>
        <w:pStyle w:val="ListParagraph"/>
        <w:numPr>
          <w:ilvl w:val="0"/>
          <w:numId w:val="14"/>
        </w:numPr>
        <w:spacing w:line="276" w:lineRule="auto"/>
        <w:contextualSpacing w:val="0"/>
        <w:jc w:val="left"/>
        <w:rPr>
          <w:rFonts w:cs="Arial"/>
          <w:szCs w:val="22"/>
        </w:rPr>
      </w:pPr>
      <w:r w:rsidRPr="00332FC7">
        <w:rPr>
          <w:rFonts w:cs="Arial"/>
          <w:szCs w:val="22"/>
        </w:rPr>
        <w:t>What is the existing situation of the ‘market’ for health services in TL? In what ways is it succeeding, in what ways is it failing, and why?</w:t>
      </w:r>
    </w:p>
    <w:p w:rsidR="00332FC7" w:rsidRPr="00332FC7" w:rsidRDefault="00332FC7" w:rsidP="00624D3B">
      <w:pPr>
        <w:pStyle w:val="ListParagraph"/>
        <w:numPr>
          <w:ilvl w:val="0"/>
          <w:numId w:val="14"/>
        </w:numPr>
        <w:spacing w:line="276" w:lineRule="auto"/>
        <w:contextualSpacing w:val="0"/>
        <w:jc w:val="left"/>
        <w:rPr>
          <w:rFonts w:cs="Arial"/>
          <w:szCs w:val="22"/>
        </w:rPr>
      </w:pPr>
      <w:r w:rsidRPr="00332FC7">
        <w:rPr>
          <w:rFonts w:cs="Arial"/>
          <w:szCs w:val="22"/>
        </w:rPr>
        <w:t>What sorts of interventions are likely to be most effective in the short and long term at improving maternal, child and neo-natal health in TL? How would they improve health care access and/or quality in the long-term, or will they only work in the short-term?</w:t>
      </w:r>
    </w:p>
    <w:p w:rsidR="00332FC7" w:rsidRPr="00332FC7" w:rsidRDefault="00332FC7" w:rsidP="00624D3B">
      <w:pPr>
        <w:pStyle w:val="ListParagraph"/>
        <w:numPr>
          <w:ilvl w:val="0"/>
          <w:numId w:val="14"/>
        </w:numPr>
        <w:spacing w:line="276" w:lineRule="auto"/>
        <w:contextualSpacing w:val="0"/>
        <w:jc w:val="left"/>
        <w:rPr>
          <w:rFonts w:cs="Arial"/>
          <w:szCs w:val="22"/>
        </w:rPr>
      </w:pPr>
      <w:r w:rsidRPr="00332FC7">
        <w:rPr>
          <w:rFonts w:cs="Arial"/>
          <w:szCs w:val="22"/>
        </w:rPr>
        <w:t>How could the most effective portfolio of demand-side and supply-side interventions be determined?</w:t>
      </w:r>
    </w:p>
    <w:p w:rsidR="00332FC7" w:rsidRPr="00332FC7" w:rsidRDefault="00332FC7" w:rsidP="00624D3B">
      <w:pPr>
        <w:pStyle w:val="ListParagraph"/>
        <w:numPr>
          <w:ilvl w:val="0"/>
          <w:numId w:val="14"/>
        </w:numPr>
        <w:spacing w:line="276" w:lineRule="auto"/>
        <w:contextualSpacing w:val="0"/>
        <w:jc w:val="left"/>
        <w:rPr>
          <w:rFonts w:cs="Arial"/>
          <w:szCs w:val="22"/>
        </w:rPr>
      </w:pPr>
      <w:r w:rsidRPr="00332FC7">
        <w:rPr>
          <w:rFonts w:cs="Arial"/>
          <w:szCs w:val="22"/>
        </w:rPr>
        <w:t>How efficient is current government allocation and expenditure for health?  How could government better use the $60 per capita spend to improve maternal and child health outcomes, and how is it currently spent?</w:t>
      </w:r>
    </w:p>
    <w:p w:rsidR="00332FC7" w:rsidRPr="00332FC7" w:rsidRDefault="00332FC7" w:rsidP="00624D3B">
      <w:pPr>
        <w:pStyle w:val="ListParagraph"/>
        <w:numPr>
          <w:ilvl w:val="0"/>
          <w:numId w:val="14"/>
        </w:numPr>
        <w:spacing w:line="276" w:lineRule="auto"/>
        <w:contextualSpacing w:val="0"/>
        <w:jc w:val="left"/>
        <w:rPr>
          <w:rFonts w:cs="Arial"/>
          <w:szCs w:val="22"/>
        </w:rPr>
      </w:pPr>
      <w:r w:rsidRPr="00332FC7">
        <w:rPr>
          <w:rFonts w:cs="Arial"/>
          <w:szCs w:val="22"/>
        </w:rPr>
        <w:t xml:space="preserve">Is current and forecasted government and donor health allocation and expenditure sufficient to meet Ministry of Health 2017 targets?  </w:t>
      </w:r>
    </w:p>
    <w:p w:rsidR="00332FC7" w:rsidRPr="00332FC7" w:rsidRDefault="00332FC7" w:rsidP="00624D3B">
      <w:pPr>
        <w:spacing w:line="276" w:lineRule="auto"/>
        <w:rPr>
          <w:rFonts w:cs="Arial"/>
          <w:szCs w:val="22"/>
        </w:rPr>
      </w:pPr>
      <w:r w:rsidRPr="00332FC7">
        <w:rPr>
          <w:rFonts w:cs="Arial"/>
          <w:szCs w:val="22"/>
        </w:rPr>
        <w:t xml:space="preserve">Questions should be addressed from the perspective of cost-effectiveness and value-for-money; the aims of the </w:t>
      </w:r>
      <w:r w:rsidR="0033505D">
        <w:rPr>
          <w:rFonts w:cs="Arial"/>
          <w:szCs w:val="22"/>
        </w:rPr>
        <w:t>Program</w:t>
      </w:r>
      <w:r w:rsidRPr="00332FC7">
        <w:rPr>
          <w:rFonts w:cs="Arial"/>
          <w:szCs w:val="22"/>
        </w:rPr>
        <w:t xml:space="preserve">; efficiency of implementation; and the overall effectiveness of the </w:t>
      </w:r>
      <w:r w:rsidR="0033505D">
        <w:rPr>
          <w:rFonts w:cs="Arial"/>
          <w:szCs w:val="22"/>
        </w:rPr>
        <w:t>Program</w:t>
      </w:r>
      <w:r w:rsidRPr="00332FC7">
        <w:rPr>
          <w:rFonts w:cs="Arial"/>
          <w:szCs w:val="22"/>
        </w:rPr>
        <w:t xml:space="preserve"> in terms of poverty alleviation and supporting the state in delivering effective and responsive health services. This is in-keeping with </w:t>
      </w:r>
      <w:r w:rsidR="00D0414C">
        <w:rPr>
          <w:rFonts w:cs="Arial"/>
          <w:szCs w:val="22"/>
        </w:rPr>
        <w:t>Australian aid</w:t>
      </w:r>
      <w:r w:rsidRPr="00332FC7">
        <w:rPr>
          <w:rFonts w:cs="Arial"/>
          <w:szCs w:val="22"/>
        </w:rPr>
        <w:t xml:space="preserve">’s commitments to engaging in fragile states, as embodied in the GPEDC and </w:t>
      </w:r>
      <w:r w:rsidRPr="00332FC7">
        <w:rPr>
          <w:rFonts w:cs="Arial"/>
          <w:i/>
          <w:szCs w:val="22"/>
        </w:rPr>
        <w:t>New Deal</w:t>
      </w:r>
      <w:r w:rsidRPr="00332FC7">
        <w:rPr>
          <w:rFonts w:cs="Arial"/>
          <w:szCs w:val="22"/>
        </w:rPr>
        <w:t xml:space="preserve"> principles.</w:t>
      </w:r>
    </w:p>
    <w:p w:rsidR="00332FC7" w:rsidRPr="00332FC7" w:rsidRDefault="00332FC7" w:rsidP="00624D3B">
      <w:pPr>
        <w:spacing w:line="276" w:lineRule="auto"/>
        <w:rPr>
          <w:rFonts w:cs="Arial"/>
          <w:szCs w:val="22"/>
        </w:rPr>
      </w:pPr>
      <w:r w:rsidRPr="00332FC7">
        <w:rPr>
          <w:rFonts w:cs="Arial"/>
          <w:szCs w:val="22"/>
        </w:rPr>
        <w:t xml:space="preserve">The findings of the study will form an input to the design process, and provide evidence-based analysis upon which the authors of the design documentation can draw, building on international experience and best practice. It may also point to areas where further analysis is required to be able to guide the design team. </w:t>
      </w:r>
    </w:p>
    <w:p w:rsidR="00332FC7" w:rsidRPr="00332FC7" w:rsidRDefault="00D0414C" w:rsidP="00624D3B">
      <w:pPr>
        <w:spacing w:line="276" w:lineRule="auto"/>
        <w:rPr>
          <w:rFonts w:cs="Arial"/>
          <w:i/>
          <w:szCs w:val="22"/>
        </w:rPr>
      </w:pPr>
      <w:r>
        <w:rPr>
          <w:rFonts w:cs="Arial"/>
          <w:i/>
          <w:szCs w:val="22"/>
        </w:rPr>
        <w:t>Australian aid</w:t>
      </w:r>
      <w:r w:rsidR="00332FC7" w:rsidRPr="00332FC7">
        <w:rPr>
          <w:rFonts w:cs="Arial"/>
          <w:i/>
          <w:szCs w:val="22"/>
        </w:rPr>
        <w:t xml:space="preserve"> is aware that reliable data for Timor-Leste is not always available, and that when it is available, it is not always comprehensive. Accordingly, </w:t>
      </w:r>
      <w:r w:rsidR="00B316CA">
        <w:rPr>
          <w:rFonts w:cs="Arial"/>
          <w:i/>
          <w:szCs w:val="22"/>
        </w:rPr>
        <w:t>the analysis should be adjusted</w:t>
      </w:r>
      <w:r w:rsidR="00332FC7" w:rsidRPr="00332FC7">
        <w:rPr>
          <w:rFonts w:cs="Arial"/>
          <w:i/>
          <w:szCs w:val="22"/>
        </w:rPr>
        <w:t xml:space="preserve"> to note and reflect such constraints, and ensure that the strength of any conclusions reflects the strength of the evidence available.</w:t>
      </w:r>
    </w:p>
    <w:p w:rsidR="00332FC7" w:rsidRPr="00332FC7" w:rsidRDefault="00332FC7" w:rsidP="00624D3B">
      <w:pPr>
        <w:spacing w:line="276" w:lineRule="auto"/>
        <w:rPr>
          <w:rFonts w:cs="Arial"/>
          <w:b/>
          <w:szCs w:val="22"/>
        </w:rPr>
      </w:pPr>
    </w:p>
    <w:p w:rsidR="00332FC7" w:rsidRPr="00332FC7" w:rsidRDefault="00332FC7" w:rsidP="00624D3B">
      <w:pPr>
        <w:spacing w:line="276" w:lineRule="auto"/>
        <w:rPr>
          <w:rFonts w:cs="Arial"/>
          <w:b/>
          <w:szCs w:val="22"/>
        </w:rPr>
      </w:pPr>
      <w:r w:rsidRPr="00332FC7">
        <w:rPr>
          <w:rFonts w:cs="Arial"/>
          <w:b/>
          <w:szCs w:val="22"/>
        </w:rPr>
        <w:t>4. Tasks</w:t>
      </w:r>
    </w:p>
    <w:p w:rsidR="00332FC7" w:rsidRPr="00332FC7" w:rsidRDefault="00332FC7" w:rsidP="00624D3B">
      <w:pPr>
        <w:spacing w:line="276" w:lineRule="auto"/>
        <w:rPr>
          <w:rFonts w:cs="Arial"/>
          <w:szCs w:val="22"/>
        </w:rPr>
      </w:pPr>
      <w:r w:rsidRPr="00332FC7">
        <w:rPr>
          <w:rFonts w:cs="Arial"/>
          <w:szCs w:val="22"/>
        </w:rPr>
        <w:t>The Health Economist will undertake the following main tasks:</w:t>
      </w:r>
    </w:p>
    <w:p w:rsidR="00332FC7" w:rsidRPr="00332FC7" w:rsidRDefault="00332FC7" w:rsidP="00624D3B">
      <w:pPr>
        <w:pStyle w:val="ListParagraph"/>
        <w:numPr>
          <w:ilvl w:val="0"/>
          <w:numId w:val="16"/>
        </w:numPr>
        <w:spacing w:line="276" w:lineRule="auto"/>
        <w:contextualSpacing w:val="0"/>
        <w:jc w:val="left"/>
        <w:rPr>
          <w:rFonts w:cs="Arial"/>
          <w:szCs w:val="22"/>
        </w:rPr>
      </w:pPr>
      <w:r w:rsidRPr="00332FC7">
        <w:rPr>
          <w:rFonts w:cs="Arial"/>
          <w:szCs w:val="22"/>
        </w:rPr>
        <w:t xml:space="preserve">Prepare an analytical plan outline a methodology for collecting and analysing data in consultation with the Timor-Leste health team.  To be submitted via email by </w:t>
      </w:r>
    </w:p>
    <w:p w:rsidR="00332FC7" w:rsidRPr="00332FC7" w:rsidRDefault="00332FC7" w:rsidP="00624D3B">
      <w:pPr>
        <w:pStyle w:val="ListParagraph"/>
        <w:spacing w:line="276" w:lineRule="auto"/>
        <w:contextualSpacing w:val="0"/>
        <w:rPr>
          <w:rFonts w:cs="Arial"/>
          <w:szCs w:val="22"/>
        </w:rPr>
      </w:pPr>
    </w:p>
    <w:p w:rsidR="00332FC7" w:rsidRPr="00332FC7" w:rsidRDefault="00332FC7" w:rsidP="00624D3B">
      <w:pPr>
        <w:pStyle w:val="ListParagraph"/>
        <w:numPr>
          <w:ilvl w:val="0"/>
          <w:numId w:val="16"/>
        </w:numPr>
        <w:spacing w:line="276" w:lineRule="auto"/>
        <w:contextualSpacing w:val="0"/>
        <w:jc w:val="left"/>
        <w:rPr>
          <w:rFonts w:cs="Arial"/>
          <w:szCs w:val="22"/>
        </w:rPr>
      </w:pPr>
      <w:r w:rsidRPr="00332FC7">
        <w:rPr>
          <w:rFonts w:cs="Arial"/>
          <w:szCs w:val="22"/>
        </w:rPr>
        <w:t>Source additional information and review the following sources of information to understand best-practice and build an evidence base:</w:t>
      </w:r>
    </w:p>
    <w:p w:rsidR="00332FC7" w:rsidRPr="00332FC7" w:rsidRDefault="00332FC7" w:rsidP="00624D3B">
      <w:pPr>
        <w:numPr>
          <w:ilvl w:val="0"/>
          <w:numId w:val="15"/>
        </w:numPr>
        <w:spacing w:line="276" w:lineRule="auto"/>
        <w:jc w:val="left"/>
        <w:rPr>
          <w:rFonts w:eastAsia="Calibri" w:cs="Arial"/>
          <w:szCs w:val="22"/>
        </w:rPr>
      </w:pPr>
      <w:r w:rsidRPr="00332FC7">
        <w:rPr>
          <w:rFonts w:eastAsia="Calibri" w:cs="Arial"/>
          <w:szCs w:val="22"/>
        </w:rPr>
        <w:t>World Bank Project Paper for NHSSP-SP (2011)</w:t>
      </w:r>
    </w:p>
    <w:p w:rsidR="00332FC7" w:rsidRPr="00332FC7" w:rsidRDefault="00332FC7" w:rsidP="00624D3B">
      <w:pPr>
        <w:numPr>
          <w:ilvl w:val="0"/>
          <w:numId w:val="15"/>
        </w:numPr>
        <w:spacing w:line="276" w:lineRule="auto"/>
        <w:jc w:val="left"/>
        <w:rPr>
          <w:rFonts w:eastAsia="Calibri" w:cs="Arial"/>
          <w:szCs w:val="22"/>
        </w:rPr>
      </w:pPr>
      <w:r w:rsidRPr="00332FC7">
        <w:rPr>
          <w:rFonts w:eastAsia="Calibri" w:cs="Arial"/>
          <w:szCs w:val="22"/>
        </w:rPr>
        <w:t>Expenditure Review Health Sector, Timor Leste, Ministry of Finance (2010)</w:t>
      </w:r>
    </w:p>
    <w:p w:rsidR="00332FC7" w:rsidRPr="00332FC7" w:rsidRDefault="00332FC7" w:rsidP="00624D3B">
      <w:pPr>
        <w:numPr>
          <w:ilvl w:val="0"/>
          <w:numId w:val="15"/>
        </w:numPr>
        <w:spacing w:line="276" w:lineRule="auto"/>
        <w:jc w:val="left"/>
        <w:rPr>
          <w:rFonts w:eastAsia="Calibri" w:cs="Arial"/>
          <w:szCs w:val="22"/>
        </w:rPr>
      </w:pPr>
      <w:r w:rsidRPr="00332FC7">
        <w:rPr>
          <w:rFonts w:eastAsia="Calibri" w:cs="Arial"/>
          <w:szCs w:val="22"/>
        </w:rPr>
        <w:t>Preliminary Observations on Service Delivery Bottlenecks, Kathy Whimp (2010)</w:t>
      </w:r>
    </w:p>
    <w:p w:rsidR="00332FC7" w:rsidRPr="00332FC7" w:rsidRDefault="00332FC7" w:rsidP="00624D3B">
      <w:pPr>
        <w:numPr>
          <w:ilvl w:val="0"/>
          <w:numId w:val="15"/>
        </w:numPr>
        <w:spacing w:line="276" w:lineRule="auto"/>
        <w:jc w:val="left"/>
        <w:rPr>
          <w:rFonts w:eastAsia="Calibri" w:cs="Arial"/>
          <w:szCs w:val="22"/>
        </w:rPr>
      </w:pPr>
      <w:r w:rsidRPr="00332FC7">
        <w:rPr>
          <w:rFonts w:eastAsia="Calibri" w:cs="Arial"/>
          <w:szCs w:val="22"/>
        </w:rPr>
        <w:t>Health Financing Note, World Bank, 2011</w:t>
      </w:r>
    </w:p>
    <w:p w:rsidR="00332FC7" w:rsidRPr="00332FC7" w:rsidRDefault="00332FC7" w:rsidP="00624D3B">
      <w:pPr>
        <w:numPr>
          <w:ilvl w:val="0"/>
          <w:numId w:val="15"/>
        </w:numPr>
        <w:spacing w:line="276" w:lineRule="auto"/>
        <w:jc w:val="left"/>
        <w:rPr>
          <w:rFonts w:eastAsia="Calibri" w:cs="Arial"/>
          <w:szCs w:val="22"/>
        </w:rPr>
      </w:pPr>
      <w:r w:rsidRPr="00332FC7">
        <w:rPr>
          <w:rFonts w:eastAsia="Calibri" w:cs="Arial"/>
          <w:szCs w:val="22"/>
        </w:rPr>
        <w:t>GoTL Transparency Portal and Budget Books</w:t>
      </w:r>
    </w:p>
    <w:p w:rsidR="00332FC7" w:rsidRPr="00332FC7" w:rsidRDefault="00332FC7" w:rsidP="00624D3B">
      <w:pPr>
        <w:numPr>
          <w:ilvl w:val="0"/>
          <w:numId w:val="15"/>
        </w:numPr>
        <w:spacing w:line="276" w:lineRule="auto"/>
        <w:jc w:val="left"/>
        <w:rPr>
          <w:rFonts w:eastAsia="Calibri" w:cs="Arial"/>
          <w:szCs w:val="22"/>
        </w:rPr>
      </w:pPr>
      <w:r w:rsidRPr="00332FC7">
        <w:rPr>
          <w:rFonts w:eastAsia="Calibri" w:cs="Arial"/>
          <w:szCs w:val="22"/>
        </w:rPr>
        <w:t>Demographic and Health Survey, 2009-10</w:t>
      </w:r>
    </w:p>
    <w:p w:rsidR="00332FC7" w:rsidRPr="00332FC7" w:rsidRDefault="00332FC7" w:rsidP="00624D3B">
      <w:pPr>
        <w:numPr>
          <w:ilvl w:val="0"/>
          <w:numId w:val="15"/>
        </w:numPr>
        <w:spacing w:line="276" w:lineRule="auto"/>
        <w:jc w:val="left"/>
        <w:rPr>
          <w:rFonts w:eastAsia="Calibri" w:cs="Arial"/>
          <w:szCs w:val="22"/>
        </w:rPr>
      </w:pPr>
      <w:r w:rsidRPr="00332FC7">
        <w:rPr>
          <w:rFonts w:eastAsia="Calibri" w:cs="Arial"/>
          <w:szCs w:val="22"/>
        </w:rPr>
        <w:t>Impact of out-of-pocket expenditures on families and barriers to use of maternal and child health services in Timor-Leste, Ravi (2012)</w:t>
      </w:r>
    </w:p>
    <w:p w:rsidR="00332FC7" w:rsidRPr="00332FC7" w:rsidRDefault="00332FC7" w:rsidP="00624D3B">
      <w:pPr>
        <w:numPr>
          <w:ilvl w:val="0"/>
          <w:numId w:val="15"/>
        </w:numPr>
        <w:spacing w:line="276" w:lineRule="auto"/>
        <w:jc w:val="left"/>
        <w:rPr>
          <w:rFonts w:eastAsia="Calibri" w:cs="Arial"/>
          <w:szCs w:val="22"/>
        </w:rPr>
      </w:pPr>
      <w:r w:rsidRPr="00332FC7">
        <w:rPr>
          <w:rFonts w:eastAsia="Calibri" w:cs="Arial"/>
          <w:szCs w:val="22"/>
        </w:rPr>
        <w:t>Review of 2013 Health Budget, Health Resource Facility (2013)</w:t>
      </w:r>
    </w:p>
    <w:p w:rsidR="00332FC7" w:rsidRPr="00332FC7" w:rsidRDefault="00332FC7" w:rsidP="00624D3B">
      <w:pPr>
        <w:numPr>
          <w:ilvl w:val="0"/>
          <w:numId w:val="15"/>
        </w:numPr>
        <w:spacing w:line="276" w:lineRule="auto"/>
        <w:jc w:val="left"/>
        <w:rPr>
          <w:rFonts w:eastAsia="Calibri" w:cs="Arial"/>
          <w:szCs w:val="22"/>
        </w:rPr>
      </w:pPr>
      <w:r w:rsidRPr="00332FC7">
        <w:rPr>
          <w:rFonts w:eastAsia="Calibri" w:cs="Arial"/>
          <w:szCs w:val="22"/>
        </w:rPr>
        <w:t>Summary of MoH Sub-national projects in the 2013 budget</w:t>
      </w:r>
    </w:p>
    <w:p w:rsidR="00332FC7" w:rsidRPr="00332FC7" w:rsidRDefault="00332FC7" w:rsidP="00624D3B">
      <w:pPr>
        <w:numPr>
          <w:ilvl w:val="0"/>
          <w:numId w:val="15"/>
        </w:numPr>
        <w:spacing w:line="276" w:lineRule="auto"/>
        <w:jc w:val="left"/>
        <w:rPr>
          <w:rFonts w:eastAsia="Calibri" w:cs="Arial"/>
          <w:szCs w:val="22"/>
        </w:rPr>
      </w:pPr>
      <w:r w:rsidRPr="00332FC7">
        <w:rPr>
          <w:rFonts w:eastAsia="Calibri" w:cs="Arial"/>
          <w:szCs w:val="22"/>
        </w:rPr>
        <w:t xml:space="preserve">Selected district health budgets </w:t>
      </w:r>
    </w:p>
    <w:p w:rsidR="00332FC7" w:rsidRPr="00332FC7" w:rsidRDefault="00332FC7" w:rsidP="00624D3B">
      <w:pPr>
        <w:numPr>
          <w:ilvl w:val="0"/>
          <w:numId w:val="15"/>
        </w:numPr>
        <w:spacing w:line="276" w:lineRule="auto"/>
        <w:ind w:left="1434" w:hanging="357"/>
        <w:jc w:val="left"/>
        <w:rPr>
          <w:rFonts w:eastAsia="Calibri" w:cs="Arial"/>
          <w:szCs w:val="22"/>
        </w:rPr>
      </w:pPr>
      <w:r w:rsidRPr="00332FC7">
        <w:rPr>
          <w:rFonts w:eastAsia="Calibri" w:cs="Arial"/>
          <w:szCs w:val="22"/>
        </w:rPr>
        <w:t>PFM Action and Detailed Plan (for NHSSP-SP)</w:t>
      </w:r>
    </w:p>
    <w:p w:rsidR="00332FC7" w:rsidRPr="00332FC7" w:rsidRDefault="00332FC7" w:rsidP="00624D3B">
      <w:pPr>
        <w:pStyle w:val="ListParagraph"/>
        <w:spacing w:line="276" w:lineRule="auto"/>
        <w:ind w:left="1440"/>
        <w:contextualSpacing w:val="0"/>
        <w:rPr>
          <w:rFonts w:cs="Arial"/>
          <w:szCs w:val="22"/>
        </w:rPr>
      </w:pPr>
    </w:p>
    <w:p w:rsidR="00332FC7" w:rsidRPr="00332FC7" w:rsidRDefault="00332FC7" w:rsidP="00624D3B">
      <w:pPr>
        <w:pStyle w:val="ListParagraph"/>
        <w:numPr>
          <w:ilvl w:val="0"/>
          <w:numId w:val="16"/>
        </w:numPr>
        <w:spacing w:line="276" w:lineRule="auto"/>
        <w:contextualSpacing w:val="0"/>
        <w:jc w:val="left"/>
        <w:rPr>
          <w:rFonts w:cs="Arial"/>
          <w:szCs w:val="22"/>
        </w:rPr>
      </w:pPr>
      <w:r w:rsidRPr="00332FC7">
        <w:rPr>
          <w:rFonts w:cs="Arial"/>
          <w:szCs w:val="22"/>
        </w:rPr>
        <w:t>Prepare a draft economic analysis to support the new health design addressing the questions listed below:</w:t>
      </w:r>
    </w:p>
    <w:p w:rsidR="00332FC7" w:rsidRPr="00332FC7" w:rsidRDefault="00332FC7" w:rsidP="00624D3B">
      <w:pPr>
        <w:pStyle w:val="ListParagraph"/>
        <w:numPr>
          <w:ilvl w:val="1"/>
          <w:numId w:val="16"/>
        </w:numPr>
        <w:spacing w:line="276" w:lineRule="auto"/>
        <w:contextualSpacing w:val="0"/>
        <w:jc w:val="left"/>
        <w:rPr>
          <w:rFonts w:cs="Arial"/>
          <w:szCs w:val="22"/>
        </w:rPr>
      </w:pPr>
      <w:r w:rsidRPr="00332FC7">
        <w:rPr>
          <w:rFonts w:cs="Arial"/>
          <w:szCs w:val="22"/>
        </w:rPr>
        <w:t>What is the existing situation of the ‘market’ for health services in TL? In what ways is it succeeding, in what ways is it failing, and why?</w:t>
      </w:r>
    </w:p>
    <w:p w:rsidR="00332FC7" w:rsidRPr="00332FC7" w:rsidRDefault="00332FC7" w:rsidP="00624D3B">
      <w:pPr>
        <w:pStyle w:val="ListParagraph"/>
        <w:numPr>
          <w:ilvl w:val="1"/>
          <w:numId w:val="16"/>
        </w:numPr>
        <w:spacing w:line="276" w:lineRule="auto"/>
        <w:contextualSpacing w:val="0"/>
        <w:jc w:val="left"/>
        <w:rPr>
          <w:rFonts w:cs="Arial"/>
          <w:szCs w:val="22"/>
        </w:rPr>
      </w:pPr>
      <w:r w:rsidRPr="00332FC7">
        <w:rPr>
          <w:rFonts w:cs="Arial"/>
          <w:szCs w:val="22"/>
        </w:rPr>
        <w:t>What sorts of interventions are likely to be most effective in the short and long term at improving maternal, child and neo-natal health in TL? How would they improve health care access and/or quality in the long-term, or will they only work in the short-term? (Note: Summarising what is known internationally and in Timor about cost-effectiveness of RMNCH interventions.  Use this information to propose possible prioritisation of RMNCH interventions to meet Timorese health needs.</w:t>
      </w:r>
    </w:p>
    <w:p w:rsidR="00332FC7" w:rsidRPr="00332FC7" w:rsidRDefault="00332FC7" w:rsidP="00624D3B">
      <w:pPr>
        <w:pStyle w:val="ListParagraph"/>
        <w:numPr>
          <w:ilvl w:val="1"/>
          <w:numId w:val="16"/>
        </w:numPr>
        <w:spacing w:line="276" w:lineRule="auto"/>
        <w:contextualSpacing w:val="0"/>
        <w:jc w:val="left"/>
        <w:rPr>
          <w:rFonts w:cs="Arial"/>
          <w:szCs w:val="22"/>
        </w:rPr>
      </w:pPr>
      <w:r w:rsidRPr="00332FC7">
        <w:rPr>
          <w:rFonts w:cs="Arial"/>
          <w:szCs w:val="22"/>
        </w:rPr>
        <w:t>How could the most effective portfolio of demand-side and supply-side interventions be determined?</w:t>
      </w:r>
    </w:p>
    <w:p w:rsidR="00332FC7" w:rsidRPr="00332FC7" w:rsidRDefault="00332FC7" w:rsidP="00624D3B">
      <w:pPr>
        <w:pStyle w:val="ListParagraph"/>
        <w:numPr>
          <w:ilvl w:val="1"/>
          <w:numId w:val="16"/>
        </w:numPr>
        <w:spacing w:line="276" w:lineRule="auto"/>
        <w:contextualSpacing w:val="0"/>
        <w:jc w:val="left"/>
        <w:rPr>
          <w:rFonts w:cs="Arial"/>
          <w:szCs w:val="22"/>
        </w:rPr>
      </w:pPr>
      <w:r w:rsidRPr="00332FC7">
        <w:rPr>
          <w:rFonts w:cs="Arial"/>
          <w:szCs w:val="22"/>
        </w:rPr>
        <w:t>How efficient is current government allocation and expenditure for health?  How could government better use the $60 per capita spend to improve maternal and child health outcomes, and how is it currently spent?</w:t>
      </w:r>
    </w:p>
    <w:p w:rsidR="00332FC7" w:rsidRPr="00332FC7" w:rsidRDefault="00332FC7" w:rsidP="00624D3B">
      <w:pPr>
        <w:pStyle w:val="ListParagraph"/>
        <w:numPr>
          <w:ilvl w:val="1"/>
          <w:numId w:val="16"/>
        </w:numPr>
        <w:spacing w:line="276" w:lineRule="auto"/>
        <w:contextualSpacing w:val="0"/>
        <w:jc w:val="left"/>
        <w:rPr>
          <w:rFonts w:cs="Arial"/>
          <w:szCs w:val="22"/>
        </w:rPr>
      </w:pPr>
      <w:r w:rsidRPr="00332FC7">
        <w:rPr>
          <w:rFonts w:cs="Arial"/>
          <w:szCs w:val="22"/>
        </w:rPr>
        <w:t xml:space="preserve">Is current and forecasted government and donor health allocation and expenditure sufficient to meet Ministry of Health 2017 targets?  </w:t>
      </w:r>
    </w:p>
    <w:p w:rsidR="00332FC7" w:rsidRPr="00332FC7" w:rsidRDefault="00332FC7" w:rsidP="00624D3B">
      <w:pPr>
        <w:spacing w:line="276" w:lineRule="auto"/>
        <w:rPr>
          <w:rFonts w:cs="Arial"/>
          <w:szCs w:val="22"/>
        </w:rPr>
      </w:pPr>
      <w:r w:rsidRPr="00332FC7">
        <w:rPr>
          <w:rFonts w:cs="Arial"/>
          <w:szCs w:val="22"/>
        </w:rPr>
        <w:t xml:space="preserve">The availability and quality of the data will to some extent determine the way that the questions are answered in the analysis. The answers will present a discussion of the issues based on available materials. It is unlikely that modelling of data for a cost effectiveness analysis or to determine outputs will be possible. </w:t>
      </w:r>
    </w:p>
    <w:p w:rsidR="00332FC7" w:rsidRPr="00332FC7" w:rsidRDefault="00332FC7" w:rsidP="00624D3B">
      <w:pPr>
        <w:pStyle w:val="ListParagraph"/>
        <w:spacing w:line="276" w:lineRule="auto"/>
        <w:ind w:left="1440"/>
        <w:contextualSpacing w:val="0"/>
        <w:rPr>
          <w:rFonts w:cs="Arial"/>
          <w:szCs w:val="22"/>
        </w:rPr>
      </w:pPr>
    </w:p>
    <w:p w:rsidR="00332FC7" w:rsidRPr="00332FC7" w:rsidRDefault="00332FC7" w:rsidP="00624D3B">
      <w:pPr>
        <w:pStyle w:val="ListParagraph"/>
        <w:numPr>
          <w:ilvl w:val="0"/>
          <w:numId w:val="16"/>
        </w:numPr>
        <w:spacing w:line="276" w:lineRule="auto"/>
        <w:contextualSpacing w:val="0"/>
        <w:jc w:val="left"/>
        <w:rPr>
          <w:rFonts w:cs="Arial"/>
          <w:szCs w:val="22"/>
        </w:rPr>
      </w:pPr>
      <w:r w:rsidRPr="00332FC7">
        <w:rPr>
          <w:rFonts w:cs="Arial"/>
          <w:szCs w:val="22"/>
        </w:rPr>
        <w:t xml:space="preserve">Liaise regularly with the TL health team, the Economics Advisory Group (EAG) and other key stakeholders.  The adviser may well need to conduct in telephone interviews with key informants which may include the following (but is not limited to): </w:t>
      </w:r>
    </w:p>
    <w:p w:rsidR="00332FC7" w:rsidRPr="00332FC7" w:rsidRDefault="00332FC7" w:rsidP="00624D3B">
      <w:pPr>
        <w:pStyle w:val="ListParagraph"/>
        <w:numPr>
          <w:ilvl w:val="0"/>
          <w:numId w:val="19"/>
        </w:numPr>
        <w:spacing w:line="276" w:lineRule="auto"/>
        <w:contextualSpacing w:val="0"/>
        <w:jc w:val="left"/>
        <w:rPr>
          <w:rFonts w:cs="Arial"/>
          <w:b/>
          <w:szCs w:val="22"/>
        </w:rPr>
      </w:pPr>
      <w:r w:rsidRPr="00332FC7">
        <w:rPr>
          <w:rFonts w:cs="Arial"/>
          <w:szCs w:val="22"/>
        </w:rPr>
        <w:t>WHO Timor-Leste</w:t>
      </w:r>
    </w:p>
    <w:p w:rsidR="00332FC7" w:rsidRPr="00332FC7" w:rsidRDefault="00332FC7" w:rsidP="00624D3B">
      <w:pPr>
        <w:pStyle w:val="ListParagraph"/>
        <w:numPr>
          <w:ilvl w:val="0"/>
          <w:numId w:val="19"/>
        </w:numPr>
        <w:spacing w:line="276" w:lineRule="auto"/>
        <w:contextualSpacing w:val="0"/>
        <w:jc w:val="left"/>
        <w:rPr>
          <w:rFonts w:cs="Arial"/>
          <w:b/>
          <w:szCs w:val="22"/>
        </w:rPr>
      </w:pPr>
      <w:r w:rsidRPr="00332FC7">
        <w:rPr>
          <w:rFonts w:cs="Arial"/>
          <w:szCs w:val="22"/>
        </w:rPr>
        <w:t xml:space="preserve">World Bank Timor-Leste </w:t>
      </w:r>
    </w:p>
    <w:p w:rsidR="00332FC7" w:rsidRPr="00332FC7" w:rsidRDefault="00332FC7" w:rsidP="00624D3B">
      <w:pPr>
        <w:pStyle w:val="ListParagraph"/>
        <w:numPr>
          <w:ilvl w:val="0"/>
          <w:numId w:val="19"/>
        </w:numPr>
        <w:spacing w:line="276" w:lineRule="auto"/>
        <w:contextualSpacing w:val="0"/>
        <w:jc w:val="left"/>
        <w:rPr>
          <w:rFonts w:cs="Arial"/>
          <w:b/>
          <w:szCs w:val="22"/>
        </w:rPr>
      </w:pPr>
      <w:r w:rsidRPr="00332FC7">
        <w:rPr>
          <w:rFonts w:cs="Arial"/>
          <w:szCs w:val="22"/>
        </w:rPr>
        <w:t>AusAID EAG Staff, Canberra</w:t>
      </w:r>
    </w:p>
    <w:p w:rsidR="00332FC7" w:rsidRPr="00332FC7" w:rsidRDefault="00332FC7" w:rsidP="00624D3B">
      <w:pPr>
        <w:pStyle w:val="ListParagraph"/>
        <w:numPr>
          <w:ilvl w:val="0"/>
          <w:numId w:val="19"/>
        </w:numPr>
        <w:spacing w:line="276" w:lineRule="auto"/>
        <w:contextualSpacing w:val="0"/>
        <w:jc w:val="left"/>
        <w:rPr>
          <w:rFonts w:cs="Arial"/>
          <w:b/>
          <w:szCs w:val="22"/>
        </w:rPr>
      </w:pPr>
      <w:r w:rsidRPr="00332FC7">
        <w:rPr>
          <w:rFonts w:cs="Arial"/>
          <w:szCs w:val="22"/>
        </w:rPr>
        <w:t>AusAID staff – particularly, in-country staff</w:t>
      </w:r>
    </w:p>
    <w:p w:rsidR="00332FC7" w:rsidRPr="00332FC7" w:rsidRDefault="00332FC7" w:rsidP="00624D3B">
      <w:pPr>
        <w:spacing w:line="276" w:lineRule="auto"/>
        <w:ind w:left="720"/>
        <w:rPr>
          <w:rFonts w:cs="Arial"/>
          <w:szCs w:val="22"/>
        </w:rPr>
      </w:pPr>
    </w:p>
    <w:p w:rsidR="00332FC7" w:rsidRPr="00332FC7" w:rsidRDefault="00332FC7" w:rsidP="00624D3B">
      <w:pPr>
        <w:spacing w:line="276" w:lineRule="auto"/>
        <w:ind w:left="720"/>
        <w:rPr>
          <w:rFonts w:cs="Arial"/>
          <w:szCs w:val="22"/>
        </w:rPr>
      </w:pPr>
      <w:r w:rsidRPr="00332FC7">
        <w:rPr>
          <w:rFonts w:cs="Arial"/>
          <w:szCs w:val="22"/>
        </w:rPr>
        <w:t xml:space="preserve">Senior Officer (Health), Dili and Senior Officer (Health), Canberra will work with the adviser  to schedule any telephone interviews.  </w:t>
      </w:r>
    </w:p>
    <w:p w:rsidR="00332FC7" w:rsidRPr="00332FC7" w:rsidRDefault="00332FC7" w:rsidP="00624D3B">
      <w:pPr>
        <w:spacing w:line="276" w:lineRule="auto"/>
        <w:rPr>
          <w:rFonts w:cs="Arial"/>
          <w:b/>
          <w:szCs w:val="22"/>
        </w:rPr>
      </w:pPr>
    </w:p>
    <w:p w:rsidR="00332FC7" w:rsidRPr="00332FC7" w:rsidRDefault="00332FC7" w:rsidP="00624D3B">
      <w:pPr>
        <w:spacing w:line="276" w:lineRule="auto"/>
        <w:rPr>
          <w:rFonts w:cs="Arial"/>
          <w:b/>
          <w:szCs w:val="22"/>
        </w:rPr>
      </w:pPr>
      <w:r w:rsidRPr="00332FC7">
        <w:rPr>
          <w:rFonts w:cs="Arial"/>
          <w:b/>
          <w:szCs w:val="22"/>
        </w:rPr>
        <w:t>5. Inputs</w:t>
      </w:r>
    </w:p>
    <w:p w:rsidR="00332FC7" w:rsidRPr="00332FC7" w:rsidRDefault="00332FC7" w:rsidP="00624D3B">
      <w:pPr>
        <w:spacing w:line="276" w:lineRule="auto"/>
        <w:rPr>
          <w:rFonts w:cs="Arial"/>
          <w:szCs w:val="22"/>
        </w:rPr>
      </w:pPr>
      <w:r w:rsidRPr="00332FC7">
        <w:rPr>
          <w:rFonts w:cs="Arial"/>
          <w:szCs w:val="22"/>
        </w:rPr>
        <w:t xml:space="preserve">Indicatively, the Health Economist will provide up to </w:t>
      </w:r>
      <w:r w:rsidRPr="00332FC7">
        <w:rPr>
          <w:rFonts w:cs="Arial"/>
          <w:b/>
          <w:szCs w:val="22"/>
        </w:rPr>
        <w:t>14 days</w:t>
      </w:r>
      <w:r w:rsidRPr="00332FC7">
        <w:rPr>
          <w:rFonts w:cs="Arial"/>
          <w:szCs w:val="22"/>
        </w:rPr>
        <w:t xml:space="preserve"> of inputs through desk based work. The number of days can be reviewed after the health economist has completed the background reading and prepared the analytical plan.  There is some flexibility to negotiate availability and timing.  An indication of the approximate split of days and inputs are detailed in the table below:</w:t>
      </w:r>
    </w:p>
    <w:tbl>
      <w:tblPr>
        <w:tblW w:w="8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2"/>
        <w:gridCol w:w="3106"/>
        <w:gridCol w:w="2126"/>
        <w:gridCol w:w="1751"/>
      </w:tblGrid>
      <w:tr w:rsidR="00332FC7" w:rsidRPr="00332FC7" w:rsidTr="009F0CAF">
        <w:tc>
          <w:tcPr>
            <w:tcW w:w="1822" w:type="dxa"/>
          </w:tcPr>
          <w:p w:rsidR="00610965" w:rsidRDefault="00332FC7" w:rsidP="00D0414C">
            <w:pPr>
              <w:spacing w:line="276" w:lineRule="auto"/>
              <w:jc w:val="left"/>
              <w:rPr>
                <w:rFonts w:cs="Arial"/>
                <w:b/>
                <w:szCs w:val="22"/>
              </w:rPr>
            </w:pPr>
            <w:r w:rsidRPr="00332FC7">
              <w:rPr>
                <w:rFonts w:cs="Arial"/>
                <w:b/>
                <w:szCs w:val="22"/>
              </w:rPr>
              <w:t>Activity</w:t>
            </w:r>
          </w:p>
        </w:tc>
        <w:tc>
          <w:tcPr>
            <w:tcW w:w="3106" w:type="dxa"/>
          </w:tcPr>
          <w:p w:rsidR="00610965" w:rsidRDefault="00332FC7" w:rsidP="00D0414C">
            <w:pPr>
              <w:spacing w:line="276" w:lineRule="auto"/>
              <w:jc w:val="left"/>
              <w:rPr>
                <w:rFonts w:cs="Arial"/>
                <w:b/>
                <w:szCs w:val="22"/>
              </w:rPr>
            </w:pPr>
            <w:r w:rsidRPr="00332FC7">
              <w:rPr>
                <w:rFonts w:cs="Arial"/>
                <w:b/>
                <w:szCs w:val="22"/>
              </w:rPr>
              <w:t>Input</w:t>
            </w:r>
          </w:p>
        </w:tc>
        <w:tc>
          <w:tcPr>
            <w:tcW w:w="2126" w:type="dxa"/>
          </w:tcPr>
          <w:p w:rsidR="00610965" w:rsidRDefault="00332FC7" w:rsidP="00D0414C">
            <w:pPr>
              <w:spacing w:line="276" w:lineRule="auto"/>
              <w:jc w:val="left"/>
              <w:rPr>
                <w:rFonts w:cs="Arial"/>
                <w:b/>
                <w:szCs w:val="22"/>
              </w:rPr>
            </w:pPr>
            <w:r w:rsidRPr="00332FC7">
              <w:rPr>
                <w:rFonts w:cs="Arial"/>
                <w:b/>
                <w:szCs w:val="22"/>
              </w:rPr>
              <w:t>Indicative Timing / Location</w:t>
            </w:r>
          </w:p>
        </w:tc>
        <w:tc>
          <w:tcPr>
            <w:tcW w:w="1751" w:type="dxa"/>
          </w:tcPr>
          <w:p w:rsidR="00610965" w:rsidRDefault="00332FC7" w:rsidP="00D0414C">
            <w:pPr>
              <w:spacing w:line="276" w:lineRule="auto"/>
              <w:jc w:val="left"/>
              <w:rPr>
                <w:rFonts w:cs="Arial"/>
                <w:b/>
                <w:szCs w:val="22"/>
              </w:rPr>
            </w:pPr>
            <w:r w:rsidRPr="00332FC7">
              <w:rPr>
                <w:rFonts w:cs="Arial"/>
                <w:b/>
                <w:szCs w:val="22"/>
              </w:rPr>
              <w:t>Number of days allowed (upper limit)</w:t>
            </w:r>
          </w:p>
        </w:tc>
      </w:tr>
      <w:tr w:rsidR="00332FC7" w:rsidRPr="00332FC7" w:rsidTr="009F0CAF">
        <w:tc>
          <w:tcPr>
            <w:tcW w:w="1822" w:type="dxa"/>
          </w:tcPr>
          <w:p w:rsidR="00610965" w:rsidRDefault="00332FC7" w:rsidP="00D0414C">
            <w:pPr>
              <w:spacing w:line="276" w:lineRule="auto"/>
              <w:jc w:val="left"/>
              <w:rPr>
                <w:rFonts w:cs="Arial"/>
                <w:b/>
                <w:szCs w:val="22"/>
              </w:rPr>
            </w:pPr>
            <w:r w:rsidRPr="00332FC7">
              <w:rPr>
                <w:rFonts w:cs="Arial"/>
                <w:szCs w:val="22"/>
              </w:rPr>
              <w:t xml:space="preserve">Initial briefing with AusAID health team </w:t>
            </w:r>
          </w:p>
        </w:tc>
        <w:tc>
          <w:tcPr>
            <w:tcW w:w="3106" w:type="dxa"/>
          </w:tcPr>
          <w:p w:rsidR="00610965" w:rsidRDefault="00332FC7" w:rsidP="00D0414C">
            <w:pPr>
              <w:spacing w:line="276" w:lineRule="auto"/>
              <w:jc w:val="left"/>
              <w:rPr>
                <w:rFonts w:cs="Arial"/>
                <w:szCs w:val="22"/>
              </w:rPr>
            </w:pPr>
            <w:r w:rsidRPr="00332FC7">
              <w:rPr>
                <w:rFonts w:cs="Arial"/>
                <w:szCs w:val="22"/>
              </w:rPr>
              <w:t xml:space="preserve"> Teleconference to discuss background to design and ToR </w:t>
            </w:r>
          </w:p>
        </w:tc>
        <w:tc>
          <w:tcPr>
            <w:tcW w:w="2126" w:type="dxa"/>
          </w:tcPr>
          <w:p w:rsidR="00610965" w:rsidRDefault="00332FC7" w:rsidP="00D0414C">
            <w:pPr>
              <w:spacing w:line="276" w:lineRule="auto"/>
              <w:jc w:val="left"/>
              <w:rPr>
                <w:rFonts w:cs="Arial"/>
                <w:szCs w:val="22"/>
              </w:rPr>
            </w:pPr>
            <w:r w:rsidRPr="00332FC7">
              <w:rPr>
                <w:rFonts w:cs="Arial"/>
                <w:szCs w:val="22"/>
              </w:rPr>
              <w:t>Week of 23 September 2013, via teleconference</w:t>
            </w:r>
          </w:p>
        </w:tc>
        <w:tc>
          <w:tcPr>
            <w:tcW w:w="1751" w:type="dxa"/>
          </w:tcPr>
          <w:p w:rsidR="00610965" w:rsidRDefault="00332FC7" w:rsidP="00D0414C">
            <w:pPr>
              <w:spacing w:line="276" w:lineRule="auto"/>
              <w:jc w:val="left"/>
              <w:rPr>
                <w:rFonts w:cs="Arial"/>
                <w:szCs w:val="22"/>
              </w:rPr>
            </w:pPr>
            <w:r w:rsidRPr="00332FC7">
              <w:rPr>
                <w:rFonts w:cs="Arial"/>
                <w:szCs w:val="22"/>
              </w:rPr>
              <w:t>0.5 days</w:t>
            </w:r>
          </w:p>
        </w:tc>
      </w:tr>
      <w:tr w:rsidR="00332FC7" w:rsidRPr="00332FC7" w:rsidTr="009F0CAF">
        <w:tc>
          <w:tcPr>
            <w:tcW w:w="1822" w:type="dxa"/>
          </w:tcPr>
          <w:p w:rsidR="00610965" w:rsidRDefault="00332FC7" w:rsidP="00D0414C">
            <w:pPr>
              <w:spacing w:line="276" w:lineRule="auto"/>
              <w:jc w:val="left"/>
              <w:rPr>
                <w:rFonts w:cs="Arial"/>
                <w:szCs w:val="22"/>
              </w:rPr>
            </w:pPr>
            <w:r w:rsidRPr="00332FC7">
              <w:rPr>
                <w:rFonts w:cs="Arial"/>
                <w:szCs w:val="22"/>
              </w:rPr>
              <w:t xml:space="preserve">Background reading </w:t>
            </w:r>
          </w:p>
        </w:tc>
        <w:tc>
          <w:tcPr>
            <w:tcW w:w="3106" w:type="dxa"/>
          </w:tcPr>
          <w:p w:rsidR="00610965" w:rsidRDefault="00332FC7" w:rsidP="00D0414C">
            <w:pPr>
              <w:spacing w:line="276" w:lineRule="auto"/>
              <w:jc w:val="left"/>
              <w:rPr>
                <w:rFonts w:cs="Arial"/>
                <w:szCs w:val="22"/>
              </w:rPr>
            </w:pPr>
            <w:r w:rsidRPr="00332FC7">
              <w:rPr>
                <w:rFonts w:cs="Arial"/>
                <w:szCs w:val="22"/>
              </w:rPr>
              <w:t>Source and review  background documents relevant to the health design in Timor-Leste</w:t>
            </w:r>
          </w:p>
        </w:tc>
        <w:tc>
          <w:tcPr>
            <w:tcW w:w="2126" w:type="dxa"/>
          </w:tcPr>
          <w:p w:rsidR="00610965" w:rsidRDefault="00332FC7" w:rsidP="00D0414C">
            <w:pPr>
              <w:spacing w:line="276" w:lineRule="auto"/>
              <w:jc w:val="left"/>
              <w:rPr>
                <w:rFonts w:cs="Arial"/>
                <w:szCs w:val="22"/>
              </w:rPr>
            </w:pPr>
            <w:r w:rsidRPr="00332FC7">
              <w:rPr>
                <w:rFonts w:cs="Arial"/>
                <w:szCs w:val="22"/>
              </w:rPr>
              <w:t>Begin week of 23 September 2013</w:t>
            </w:r>
          </w:p>
        </w:tc>
        <w:tc>
          <w:tcPr>
            <w:tcW w:w="1751" w:type="dxa"/>
          </w:tcPr>
          <w:p w:rsidR="00610965" w:rsidRDefault="00332FC7" w:rsidP="00D0414C">
            <w:pPr>
              <w:spacing w:line="276" w:lineRule="auto"/>
              <w:jc w:val="left"/>
              <w:rPr>
                <w:rFonts w:cs="Arial"/>
                <w:szCs w:val="22"/>
              </w:rPr>
            </w:pPr>
            <w:r w:rsidRPr="00332FC7">
              <w:rPr>
                <w:rFonts w:cs="Arial"/>
                <w:szCs w:val="22"/>
              </w:rPr>
              <w:t>5 days</w:t>
            </w:r>
          </w:p>
        </w:tc>
      </w:tr>
      <w:tr w:rsidR="00332FC7" w:rsidRPr="00332FC7" w:rsidTr="009F0CAF">
        <w:tc>
          <w:tcPr>
            <w:tcW w:w="1822" w:type="dxa"/>
          </w:tcPr>
          <w:p w:rsidR="00610965" w:rsidRDefault="00332FC7" w:rsidP="00D0414C">
            <w:pPr>
              <w:spacing w:line="276" w:lineRule="auto"/>
              <w:jc w:val="left"/>
              <w:rPr>
                <w:rFonts w:cs="Arial"/>
                <w:szCs w:val="22"/>
              </w:rPr>
            </w:pPr>
            <w:r w:rsidRPr="00332FC7">
              <w:rPr>
                <w:rFonts w:cs="Arial"/>
                <w:szCs w:val="22"/>
              </w:rPr>
              <w:t>Prepare analytical Plan</w:t>
            </w:r>
          </w:p>
        </w:tc>
        <w:tc>
          <w:tcPr>
            <w:tcW w:w="3106" w:type="dxa"/>
          </w:tcPr>
          <w:p w:rsidR="00610965" w:rsidRDefault="00332FC7" w:rsidP="00D0414C">
            <w:pPr>
              <w:spacing w:line="276" w:lineRule="auto"/>
              <w:jc w:val="left"/>
              <w:rPr>
                <w:rFonts w:cs="Arial"/>
                <w:szCs w:val="22"/>
              </w:rPr>
            </w:pPr>
            <w:r w:rsidRPr="00332FC7">
              <w:rPr>
                <w:rFonts w:cs="Arial"/>
                <w:szCs w:val="22"/>
              </w:rPr>
              <w:t>Analytical Plan</w:t>
            </w:r>
          </w:p>
        </w:tc>
        <w:tc>
          <w:tcPr>
            <w:tcW w:w="2126" w:type="dxa"/>
          </w:tcPr>
          <w:p w:rsidR="00610965" w:rsidRDefault="00332FC7" w:rsidP="00D0414C">
            <w:pPr>
              <w:spacing w:line="276" w:lineRule="auto"/>
              <w:jc w:val="left"/>
              <w:rPr>
                <w:rFonts w:cs="Arial"/>
                <w:szCs w:val="22"/>
              </w:rPr>
            </w:pPr>
            <w:r w:rsidRPr="00332FC7">
              <w:rPr>
                <w:rFonts w:cs="Arial"/>
                <w:szCs w:val="22"/>
              </w:rPr>
              <w:t>Submit by 27 September 2013</w:t>
            </w:r>
          </w:p>
        </w:tc>
        <w:tc>
          <w:tcPr>
            <w:tcW w:w="1751" w:type="dxa"/>
          </w:tcPr>
          <w:p w:rsidR="00610965" w:rsidRDefault="00332FC7" w:rsidP="00D0414C">
            <w:pPr>
              <w:spacing w:line="276" w:lineRule="auto"/>
              <w:jc w:val="left"/>
              <w:rPr>
                <w:rFonts w:cs="Arial"/>
                <w:szCs w:val="22"/>
              </w:rPr>
            </w:pPr>
            <w:r w:rsidRPr="00332FC7">
              <w:rPr>
                <w:rFonts w:cs="Arial"/>
                <w:szCs w:val="22"/>
              </w:rPr>
              <w:t>0.5 day</w:t>
            </w:r>
          </w:p>
        </w:tc>
      </w:tr>
      <w:tr w:rsidR="00332FC7" w:rsidRPr="00332FC7" w:rsidTr="009F0CAF">
        <w:tc>
          <w:tcPr>
            <w:tcW w:w="1822" w:type="dxa"/>
          </w:tcPr>
          <w:p w:rsidR="00610965" w:rsidRDefault="00332FC7" w:rsidP="00D0414C">
            <w:pPr>
              <w:spacing w:line="276" w:lineRule="auto"/>
              <w:jc w:val="left"/>
              <w:rPr>
                <w:rFonts w:cs="Arial"/>
                <w:szCs w:val="22"/>
              </w:rPr>
            </w:pPr>
            <w:r w:rsidRPr="00332FC7">
              <w:rPr>
                <w:rFonts w:cs="Arial"/>
                <w:szCs w:val="22"/>
              </w:rPr>
              <w:t>Feedback from AusAID on analytical plan</w:t>
            </w:r>
          </w:p>
        </w:tc>
        <w:tc>
          <w:tcPr>
            <w:tcW w:w="3106" w:type="dxa"/>
          </w:tcPr>
          <w:p w:rsidR="00610965" w:rsidRDefault="00332FC7" w:rsidP="00D0414C">
            <w:pPr>
              <w:spacing w:line="276" w:lineRule="auto"/>
              <w:jc w:val="left"/>
              <w:rPr>
                <w:rFonts w:cs="Arial"/>
                <w:szCs w:val="22"/>
              </w:rPr>
            </w:pPr>
            <w:r w:rsidRPr="00332FC7">
              <w:rPr>
                <w:rFonts w:cs="Arial"/>
                <w:szCs w:val="22"/>
              </w:rPr>
              <w:t>Teleconference to discuss analytical plan and review scope of work</w:t>
            </w:r>
          </w:p>
        </w:tc>
        <w:tc>
          <w:tcPr>
            <w:tcW w:w="2126" w:type="dxa"/>
          </w:tcPr>
          <w:p w:rsidR="00610965" w:rsidRDefault="00332FC7" w:rsidP="00D0414C">
            <w:pPr>
              <w:spacing w:line="276" w:lineRule="auto"/>
              <w:jc w:val="left"/>
              <w:rPr>
                <w:rFonts w:cs="Arial"/>
                <w:szCs w:val="22"/>
              </w:rPr>
            </w:pPr>
            <w:r w:rsidRPr="00332FC7">
              <w:rPr>
                <w:rFonts w:cs="Arial"/>
                <w:szCs w:val="22"/>
              </w:rPr>
              <w:t xml:space="preserve">Week 30 September </w:t>
            </w:r>
          </w:p>
        </w:tc>
        <w:tc>
          <w:tcPr>
            <w:tcW w:w="1751" w:type="dxa"/>
          </w:tcPr>
          <w:p w:rsidR="00610965" w:rsidRDefault="00332FC7" w:rsidP="00D0414C">
            <w:pPr>
              <w:spacing w:line="276" w:lineRule="auto"/>
              <w:jc w:val="left"/>
              <w:rPr>
                <w:rFonts w:cs="Arial"/>
                <w:szCs w:val="22"/>
              </w:rPr>
            </w:pPr>
            <w:r w:rsidRPr="00332FC7">
              <w:rPr>
                <w:rFonts w:cs="Arial"/>
                <w:szCs w:val="22"/>
              </w:rPr>
              <w:t>0.5</w:t>
            </w:r>
          </w:p>
        </w:tc>
      </w:tr>
      <w:tr w:rsidR="00332FC7" w:rsidRPr="00332FC7" w:rsidTr="009F0CAF">
        <w:trPr>
          <w:trHeight w:val="1391"/>
        </w:trPr>
        <w:tc>
          <w:tcPr>
            <w:tcW w:w="1822" w:type="dxa"/>
          </w:tcPr>
          <w:p w:rsidR="00610965" w:rsidRDefault="00332FC7" w:rsidP="00D0414C">
            <w:pPr>
              <w:spacing w:line="276" w:lineRule="auto"/>
              <w:jc w:val="left"/>
              <w:rPr>
                <w:rFonts w:cs="Arial"/>
                <w:szCs w:val="22"/>
              </w:rPr>
            </w:pPr>
            <w:r w:rsidRPr="00332FC7">
              <w:rPr>
                <w:rFonts w:cs="Arial"/>
                <w:szCs w:val="22"/>
              </w:rPr>
              <w:t>Draft Report</w:t>
            </w:r>
          </w:p>
        </w:tc>
        <w:tc>
          <w:tcPr>
            <w:tcW w:w="3106" w:type="dxa"/>
          </w:tcPr>
          <w:p w:rsidR="00610965" w:rsidRDefault="00332FC7" w:rsidP="00D0414C">
            <w:pPr>
              <w:spacing w:line="276" w:lineRule="auto"/>
              <w:jc w:val="left"/>
              <w:rPr>
                <w:rFonts w:cs="Arial"/>
                <w:szCs w:val="22"/>
              </w:rPr>
            </w:pPr>
            <w:r w:rsidRPr="00332FC7">
              <w:rPr>
                <w:rFonts w:cs="Arial"/>
                <w:szCs w:val="22"/>
              </w:rPr>
              <w:t>Prepare draft report addressing higher order economic questions using available data and information</w:t>
            </w:r>
          </w:p>
        </w:tc>
        <w:tc>
          <w:tcPr>
            <w:tcW w:w="2126" w:type="dxa"/>
          </w:tcPr>
          <w:p w:rsidR="00610965" w:rsidRDefault="00332FC7" w:rsidP="00D0414C">
            <w:pPr>
              <w:spacing w:line="276" w:lineRule="auto"/>
              <w:jc w:val="left"/>
              <w:rPr>
                <w:rFonts w:cs="Arial"/>
                <w:szCs w:val="22"/>
              </w:rPr>
            </w:pPr>
            <w:r w:rsidRPr="00332FC7">
              <w:rPr>
                <w:rFonts w:cs="Arial"/>
                <w:szCs w:val="22"/>
              </w:rPr>
              <w:t>Submit by 25 October 2013</w:t>
            </w:r>
          </w:p>
        </w:tc>
        <w:tc>
          <w:tcPr>
            <w:tcW w:w="1751" w:type="dxa"/>
          </w:tcPr>
          <w:p w:rsidR="00610965" w:rsidRDefault="00332FC7" w:rsidP="00D0414C">
            <w:pPr>
              <w:spacing w:line="276" w:lineRule="auto"/>
              <w:jc w:val="left"/>
              <w:rPr>
                <w:rFonts w:cs="Arial"/>
                <w:szCs w:val="22"/>
              </w:rPr>
            </w:pPr>
            <w:r w:rsidRPr="00332FC7">
              <w:rPr>
                <w:rFonts w:cs="Arial"/>
                <w:szCs w:val="22"/>
              </w:rPr>
              <w:t>5 days</w:t>
            </w:r>
          </w:p>
        </w:tc>
      </w:tr>
      <w:tr w:rsidR="00332FC7" w:rsidRPr="00332FC7" w:rsidTr="009F0CAF">
        <w:tc>
          <w:tcPr>
            <w:tcW w:w="1822" w:type="dxa"/>
          </w:tcPr>
          <w:p w:rsidR="00610965" w:rsidRDefault="00332FC7" w:rsidP="00D0414C">
            <w:pPr>
              <w:spacing w:line="276" w:lineRule="auto"/>
              <w:jc w:val="left"/>
              <w:rPr>
                <w:rFonts w:cs="Arial"/>
                <w:szCs w:val="22"/>
              </w:rPr>
            </w:pPr>
            <w:r w:rsidRPr="00332FC7">
              <w:rPr>
                <w:rFonts w:cs="Arial"/>
                <w:szCs w:val="22"/>
              </w:rPr>
              <w:t xml:space="preserve">Review &amp; discuss feedback </w:t>
            </w:r>
          </w:p>
        </w:tc>
        <w:tc>
          <w:tcPr>
            <w:tcW w:w="3106" w:type="dxa"/>
          </w:tcPr>
          <w:p w:rsidR="00610965" w:rsidRDefault="00332FC7" w:rsidP="00D0414C">
            <w:pPr>
              <w:spacing w:line="276" w:lineRule="auto"/>
              <w:jc w:val="left"/>
              <w:rPr>
                <w:rFonts w:cs="Arial"/>
                <w:szCs w:val="22"/>
              </w:rPr>
            </w:pPr>
            <w:r w:rsidRPr="00332FC7">
              <w:rPr>
                <w:rFonts w:cs="Arial"/>
                <w:szCs w:val="22"/>
              </w:rPr>
              <w:t xml:space="preserve">Teleconference to discuss draft report </w:t>
            </w:r>
          </w:p>
        </w:tc>
        <w:tc>
          <w:tcPr>
            <w:tcW w:w="2126" w:type="dxa"/>
          </w:tcPr>
          <w:p w:rsidR="00610965" w:rsidRDefault="00332FC7" w:rsidP="00D0414C">
            <w:pPr>
              <w:spacing w:line="276" w:lineRule="auto"/>
              <w:jc w:val="left"/>
              <w:rPr>
                <w:rFonts w:cs="Arial"/>
                <w:szCs w:val="22"/>
              </w:rPr>
            </w:pPr>
            <w:r w:rsidRPr="00332FC7">
              <w:rPr>
                <w:rFonts w:cs="Arial"/>
                <w:szCs w:val="22"/>
              </w:rPr>
              <w:t>Week 28 October 2013</w:t>
            </w:r>
          </w:p>
        </w:tc>
        <w:tc>
          <w:tcPr>
            <w:tcW w:w="1751" w:type="dxa"/>
          </w:tcPr>
          <w:p w:rsidR="00610965" w:rsidRDefault="00332FC7" w:rsidP="00D0414C">
            <w:pPr>
              <w:spacing w:line="276" w:lineRule="auto"/>
              <w:jc w:val="left"/>
              <w:rPr>
                <w:rFonts w:cs="Arial"/>
                <w:szCs w:val="22"/>
              </w:rPr>
            </w:pPr>
            <w:r w:rsidRPr="00332FC7">
              <w:rPr>
                <w:rFonts w:cs="Arial"/>
                <w:szCs w:val="22"/>
              </w:rPr>
              <w:t>0.5 days</w:t>
            </w:r>
          </w:p>
        </w:tc>
      </w:tr>
      <w:tr w:rsidR="00332FC7" w:rsidRPr="00332FC7" w:rsidTr="009F0CAF">
        <w:trPr>
          <w:trHeight w:val="686"/>
        </w:trPr>
        <w:tc>
          <w:tcPr>
            <w:tcW w:w="1822" w:type="dxa"/>
          </w:tcPr>
          <w:p w:rsidR="00610965" w:rsidRDefault="00332FC7" w:rsidP="00D0414C">
            <w:pPr>
              <w:spacing w:line="276" w:lineRule="auto"/>
              <w:jc w:val="left"/>
              <w:rPr>
                <w:rFonts w:cs="Arial"/>
                <w:szCs w:val="22"/>
              </w:rPr>
            </w:pPr>
            <w:r w:rsidRPr="00332FC7">
              <w:rPr>
                <w:rFonts w:cs="Arial"/>
                <w:szCs w:val="22"/>
              </w:rPr>
              <w:t>Finalise report</w:t>
            </w:r>
          </w:p>
        </w:tc>
        <w:tc>
          <w:tcPr>
            <w:tcW w:w="3106" w:type="dxa"/>
          </w:tcPr>
          <w:p w:rsidR="00610965" w:rsidRDefault="00332FC7" w:rsidP="00D0414C">
            <w:pPr>
              <w:spacing w:line="276" w:lineRule="auto"/>
              <w:jc w:val="left"/>
              <w:rPr>
                <w:rFonts w:cs="Arial"/>
                <w:szCs w:val="22"/>
              </w:rPr>
            </w:pPr>
            <w:r w:rsidRPr="00332FC7">
              <w:rPr>
                <w:rFonts w:cs="Arial"/>
                <w:szCs w:val="22"/>
              </w:rPr>
              <w:t>Final Report</w:t>
            </w:r>
          </w:p>
        </w:tc>
        <w:tc>
          <w:tcPr>
            <w:tcW w:w="2126" w:type="dxa"/>
          </w:tcPr>
          <w:p w:rsidR="00610965" w:rsidRDefault="00332FC7" w:rsidP="00D0414C">
            <w:pPr>
              <w:spacing w:line="276" w:lineRule="auto"/>
              <w:jc w:val="left"/>
              <w:rPr>
                <w:rFonts w:cs="Arial"/>
                <w:szCs w:val="22"/>
              </w:rPr>
            </w:pPr>
            <w:r w:rsidRPr="00332FC7">
              <w:rPr>
                <w:rFonts w:cs="Arial"/>
                <w:szCs w:val="22"/>
              </w:rPr>
              <w:t>Submit by 8 November 2013</w:t>
            </w:r>
          </w:p>
        </w:tc>
        <w:tc>
          <w:tcPr>
            <w:tcW w:w="1751" w:type="dxa"/>
          </w:tcPr>
          <w:p w:rsidR="00610965" w:rsidRDefault="00332FC7" w:rsidP="00D0414C">
            <w:pPr>
              <w:spacing w:line="276" w:lineRule="auto"/>
              <w:jc w:val="left"/>
              <w:rPr>
                <w:rFonts w:cs="Arial"/>
                <w:szCs w:val="22"/>
              </w:rPr>
            </w:pPr>
            <w:r w:rsidRPr="00332FC7">
              <w:rPr>
                <w:rFonts w:cs="Arial"/>
                <w:szCs w:val="22"/>
              </w:rPr>
              <w:t>2 days</w:t>
            </w:r>
          </w:p>
        </w:tc>
      </w:tr>
    </w:tbl>
    <w:p w:rsidR="00332FC7" w:rsidRPr="00332FC7" w:rsidRDefault="00332FC7" w:rsidP="00624D3B">
      <w:pPr>
        <w:spacing w:line="276" w:lineRule="auto"/>
        <w:rPr>
          <w:rFonts w:cs="Arial"/>
          <w:szCs w:val="22"/>
        </w:rPr>
      </w:pPr>
    </w:p>
    <w:p w:rsidR="00332FC7" w:rsidRPr="00332FC7" w:rsidRDefault="00332FC7" w:rsidP="00624D3B">
      <w:pPr>
        <w:spacing w:line="276" w:lineRule="auto"/>
        <w:rPr>
          <w:rFonts w:cs="Arial"/>
          <w:b/>
          <w:szCs w:val="22"/>
        </w:rPr>
      </w:pPr>
      <w:r w:rsidRPr="00332FC7">
        <w:rPr>
          <w:rFonts w:cs="Arial"/>
          <w:szCs w:val="22"/>
        </w:rPr>
        <w:t xml:space="preserve">6. </w:t>
      </w:r>
      <w:r w:rsidRPr="00332FC7">
        <w:rPr>
          <w:rFonts w:cs="Arial"/>
          <w:b/>
          <w:szCs w:val="22"/>
        </w:rPr>
        <w:t>Outputs and Reporting</w:t>
      </w:r>
    </w:p>
    <w:p w:rsidR="00332FC7" w:rsidRPr="00332FC7" w:rsidRDefault="00332FC7" w:rsidP="00624D3B">
      <w:pPr>
        <w:spacing w:line="276" w:lineRule="auto"/>
        <w:rPr>
          <w:rFonts w:cs="Arial"/>
          <w:szCs w:val="22"/>
        </w:rPr>
      </w:pPr>
      <w:r w:rsidRPr="00332FC7">
        <w:rPr>
          <w:rFonts w:cs="Arial"/>
          <w:szCs w:val="22"/>
        </w:rPr>
        <w:t>The Health Economist must provide the following reports by the date, in the format and the number of copies indicated:</w:t>
      </w:r>
    </w:p>
    <w:p w:rsidR="00332FC7" w:rsidRPr="00332FC7" w:rsidRDefault="00332FC7" w:rsidP="00624D3B">
      <w:pPr>
        <w:pStyle w:val="ListParagraph"/>
        <w:numPr>
          <w:ilvl w:val="0"/>
          <w:numId w:val="18"/>
        </w:numPr>
        <w:spacing w:line="276" w:lineRule="auto"/>
        <w:contextualSpacing w:val="0"/>
        <w:jc w:val="left"/>
        <w:rPr>
          <w:rFonts w:cs="Arial"/>
          <w:szCs w:val="22"/>
        </w:rPr>
      </w:pPr>
      <w:r w:rsidRPr="00332FC7">
        <w:rPr>
          <w:rFonts w:cs="Arial"/>
          <w:szCs w:val="22"/>
        </w:rPr>
        <w:t>Analytical plan detailing method for analysing existing information and identifying further information that will be required to address key questions.</w:t>
      </w:r>
    </w:p>
    <w:p w:rsidR="00332FC7" w:rsidRPr="00332FC7" w:rsidRDefault="00332FC7" w:rsidP="00624D3B">
      <w:pPr>
        <w:pStyle w:val="ListParagraph"/>
        <w:numPr>
          <w:ilvl w:val="0"/>
          <w:numId w:val="18"/>
        </w:numPr>
        <w:spacing w:line="276" w:lineRule="auto"/>
        <w:contextualSpacing w:val="0"/>
        <w:jc w:val="left"/>
        <w:rPr>
          <w:rFonts w:cs="Arial"/>
          <w:szCs w:val="22"/>
        </w:rPr>
      </w:pPr>
      <w:r w:rsidRPr="00332FC7">
        <w:rPr>
          <w:rFonts w:cs="Arial"/>
          <w:szCs w:val="22"/>
        </w:rPr>
        <w:t>Written report which present the analysis and summarises the findings of the research.  No more than 20 pages.  Final report to be submitted by email 8</w:t>
      </w:r>
      <w:r w:rsidRPr="00332FC7">
        <w:rPr>
          <w:rFonts w:cs="Arial"/>
          <w:szCs w:val="22"/>
          <w:vertAlign w:val="superscript"/>
        </w:rPr>
        <w:t>th</w:t>
      </w:r>
      <w:r w:rsidRPr="00332FC7">
        <w:rPr>
          <w:rFonts w:cs="Arial"/>
          <w:szCs w:val="22"/>
        </w:rPr>
        <w:t xml:space="preserve"> November.</w:t>
      </w:r>
    </w:p>
    <w:p w:rsidR="00332FC7" w:rsidRPr="00332FC7" w:rsidRDefault="00332FC7" w:rsidP="00624D3B">
      <w:pPr>
        <w:spacing w:line="276" w:lineRule="auto"/>
        <w:rPr>
          <w:rFonts w:cs="Arial"/>
          <w:b/>
          <w:szCs w:val="22"/>
        </w:rPr>
      </w:pPr>
    </w:p>
    <w:p w:rsidR="00332FC7" w:rsidRPr="00332FC7" w:rsidRDefault="00332FC7" w:rsidP="00624D3B">
      <w:pPr>
        <w:spacing w:line="276" w:lineRule="auto"/>
        <w:rPr>
          <w:rFonts w:cs="Arial"/>
          <w:b/>
          <w:szCs w:val="22"/>
        </w:rPr>
      </w:pPr>
      <w:r w:rsidRPr="00332FC7">
        <w:rPr>
          <w:rFonts w:cs="Arial"/>
          <w:b/>
          <w:szCs w:val="22"/>
        </w:rPr>
        <w:t>7. Stakeholders</w:t>
      </w:r>
    </w:p>
    <w:p w:rsidR="00332FC7" w:rsidRPr="00332FC7" w:rsidRDefault="00332FC7" w:rsidP="00624D3B">
      <w:pPr>
        <w:pStyle w:val="ListParagraph"/>
        <w:numPr>
          <w:ilvl w:val="0"/>
          <w:numId w:val="17"/>
        </w:numPr>
        <w:spacing w:line="276" w:lineRule="auto"/>
        <w:contextualSpacing w:val="0"/>
        <w:jc w:val="left"/>
        <w:rPr>
          <w:rFonts w:cs="Arial"/>
          <w:szCs w:val="22"/>
        </w:rPr>
      </w:pPr>
      <w:r w:rsidRPr="00332FC7">
        <w:rPr>
          <w:rFonts w:cs="Arial"/>
          <w:szCs w:val="22"/>
        </w:rPr>
        <w:t>TL Health Team—Sarah Lendon, Desmond Whyms, Mia Thornton, Renee Paxton</w:t>
      </w:r>
    </w:p>
    <w:p w:rsidR="00332FC7" w:rsidRPr="00332FC7" w:rsidRDefault="00332FC7" w:rsidP="00624D3B">
      <w:pPr>
        <w:pStyle w:val="ListParagraph"/>
        <w:numPr>
          <w:ilvl w:val="0"/>
          <w:numId w:val="17"/>
        </w:numPr>
        <w:spacing w:line="276" w:lineRule="auto"/>
        <w:contextualSpacing w:val="0"/>
        <w:jc w:val="left"/>
        <w:rPr>
          <w:rFonts w:cs="Arial"/>
          <w:szCs w:val="22"/>
        </w:rPr>
      </w:pPr>
      <w:r w:rsidRPr="00332FC7">
        <w:rPr>
          <w:rFonts w:cs="Arial"/>
          <w:szCs w:val="22"/>
        </w:rPr>
        <w:t>Economic Analyst, TL Section—Darrell Hawkins</w:t>
      </w:r>
    </w:p>
    <w:p w:rsidR="00332FC7" w:rsidRPr="00332FC7" w:rsidRDefault="00332FC7" w:rsidP="00624D3B">
      <w:pPr>
        <w:pStyle w:val="ListParagraph"/>
        <w:numPr>
          <w:ilvl w:val="0"/>
          <w:numId w:val="17"/>
        </w:numPr>
        <w:spacing w:line="276" w:lineRule="auto"/>
        <w:contextualSpacing w:val="0"/>
        <w:jc w:val="left"/>
        <w:rPr>
          <w:rFonts w:cs="Arial"/>
          <w:szCs w:val="22"/>
        </w:rPr>
      </w:pPr>
      <w:r w:rsidRPr="00332FC7">
        <w:rPr>
          <w:rFonts w:cs="Arial"/>
          <w:szCs w:val="22"/>
        </w:rPr>
        <w:t>Senior Economist, East Asia Division—Nick Cumpston</w:t>
      </w:r>
    </w:p>
    <w:p w:rsidR="00332FC7" w:rsidRPr="00332FC7" w:rsidRDefault="00332FC7" w:rsidP="00624D3B">
      <w:pPr>
        <w:pStyle w:val="ListParagraph"/>
        <w:numPr>
          <w:ilvl w:val="0"/>
          <w:numId w:val="17"/>
        </w:numPr>
        <w:spacing w:line="276" w:lineRule="auto"/>
        <w:contextualSpacing w:val="0"/>
        <w:jc w:val="left"/>
        <w:rPr>
          <w:rFonts w:cs="Arial"/>
          <w:szCs w:val="22"/>
        </w:rPr>
      </w:pPr>
      <w:r w:rsidRPr="00332FC7">
        <w:rPr>
          <w:rFonts w:cs="Arial"/>
          <w:szCs w:val="22"/>
        </w:rPr>
        <w:t>Economics Advisory Group – Jay Sagani, Chris Hoy.</w:t>
      </w:r>
    </w:p>
    <w:p w:rsidR="00332FC7" w:rsidRPr="00332FC7" w:rsidRDefault="00332FC7" w:rsidP="00624D3B">
      <w:pPr>
        <w:spacing w:line="276" w:lineRule="auto"/>
        <w:rPr>
          <w:rFonts w:cs="Arial"/>
          <w:szCs w:val="22"/>
        </w:rPr>
      </w:pPr>
      <w:r w:rsidRPr="00332FC7">
        <w:rPr>
          <w:rFonts w:cs="Arial"/>
          <w:szCs w:val="22"/>
        </w:rPr>
        <w:t xml:space="preserve">The final report will be reviewed and quality-assured by the Senior Economist, EAD (if available) or another Senior Economist from the AusAID Economics Network. The main audience for the analysis will be the internal AusAID team that is working on the design of the Timor-Leste Health </w:t>
      </w:r>
      <w:r w:rsidR="0033505D">
        <w:rPr>
          <w:rFonts w:cs="Arial"/>
          <w:szCs w:val="22"/>
        </w:rPr>
        <w:t>Program</w:t>
      </w:r>
      <w:r w:rsidRPr="00332FC7">
        <w:rPr>
          <w:rFonts w:cs="Arial"/>
          <w:szCs w:val="22"/>
        </w:rPr>
        <w:t>, including the design team itself and other stakeholders in AusAID.</w:t>
      </w:r>
    </w:p>
    <w:p w:rsidR="00332FC7" w:rsidRPr="00332FC7" w:rsidRDefault="00332FC7" w:rsidP="00624D3B">
      <w:pPr>
        <w:spacing w:line="276" w:lineRule="auto"/>
        <w:rPr>
          <w:rFonts w:cs="Arial"/>
          <w:b/>
          <w:szCs w:val="22"/>
        </w:rPr>
      </w:pPr>
    </w:p>
    <w:p w:rsidR="00332FC7" w:rsidRPr="00332FC7" w:rsidRDefault="00332FC7" w:rsidP="00624D3B">
      <w:pPr>
        <w:spacing w:line="276" w:lineRule="auto"/>
        <w:rPr>
          <w:rFonts w:cs="Arial"/>
          <w:b/>
          <w:szCs w:val="22"/>
        </w:rPr>
      </w:pPr>
      <w:r w:rsidRPr="00332FC7">
        <w:rPr>
          <w:rFonts w:cs="Arial"/>
          <w:b/>
          <w:szCs w:val="22"/>
        </w:rPr>
        <w:t>8. Management.</w:t>
      </w:r>
    </w:p>
    <w:p w:rsidR="00332FC7" w:rsidRPr="00332FC7" w:rsidRDefault="00332FC7" w:rsidP="00624D3B">
      <w:pPr>
        <w:spacing w:line="276" w:lineRule="auto"/>
        <w:rPr>
          <w:rFonts w:cs="Arial"/>
          <w:szCs w:val="22"/>
        </w:rPr>
      </w:pPr>
      <w:r w:rsidRPr="00332FC7">
        <w:rPr>
          <w:rFonts w:cs="Arial"/>
          <w:szCs w:val="22"/>
        </w:rPr>
        <w:t>The consultant will report directly to Desmond Whyms, Senior Health Specialist, Dili, Timor-Leste.</w:t>
      </w:r>
    </w:p>
    <w:p w:rsidR="00332FC7" w:rsidRPr="00332FC7" w:rsidRDefault="00332FC7" w:rsidP="00624D3B">
      <w:pPr>
        <w:spacing w:line="276" w:lineRule="auto"/>
        <w:rPr>
          <w:rFonts w:cs="Arial"/>
          <w:b/>
          <w:szCs w:val="22"/>
        </w:rPr>
      </w:pPr>
    </w:p>
    <w:p w:rsidR="00332FC7" w:rsidRPr="00332FC7" w:rsidRDefault="00332FC7" w:rsidP="00624D3B">
      <w:pPr>
        <w:spacing w:line="276" w:lineRule="auto"/>
        <w:rPr>
          <w:rFonts w:cs="Arial"/>
          <w:b/>
          <w:szCs w:val="22"/>
        </w:rPr>
      </w:pPr>
      <w:r w:rsidRPr="00332FC7">
        <w:rPr>
          <w:rFonts w:cs="Arial"/>
          <w:b/>
          <w:szCs w:val="22"/>
        </w:rPr>
        <w:t>9. Qualifications and Experience</w:t>
      </w:r>
    </w:p>
    <w:p w:rsidR="00332FC7" w:rsidRPr="00332FC7" w:rsidRDefault="00332FC7" w:rsidP="00624D3B">
      <w:pPr>
        <w:spacing w:line="276" w:lineRule="auto"/>
        <w:rPr>
          <w:rFonts w:cs="Arial"/>
          <w:szCs w:val="22"/>
        </w:rPr>
      </w:pPr>
      <w:r w:rsidRPr="00332FC7">
        <w:rPr>
          <w:rFonts w:cs="Arial"/>
          <w:szCs w:val="22"/>
        </w:rPr>
        <w:t>This assignment requires a health economist with appropriate academic credentials and at least 10 years of experience in conducting value for money assessments and in health sectors in developing countries. Knowledge of Timor-Leste and/or one of its languages is an advantage.</w:t>
      </w:r>
    </w:p>
    <w:p w:rsidR="00332FC7" w:rsidRPr="00332FC7" w:rsidRDefault="00332FC7" w:rsidP="00624D3B">
      <w:pPr>
        <w:spacing w:line="276" w:lineRule="auto"/>
        <w:rPr>
          <w:rFonts w:cs="Arial"/>
          <w:b/>
          <w:szCs w:val="22"/>
        </w:rPr>
      </w:pPr>
    </w:p>
    <w:p w:rsidR="00332FC7" w:rsidRPr="00332FC7" w:rsidRDefault="00332FC7" w:rsidP="00624D3B">
      <w:pPr>
        <w:spacing w:line="276" w:lineRule="auto"/>
        <w:rPr>
          <w:rFonts w:cs="Arial"/>
          <w:b/>
          <w:szCs w:val="22"/>
        </w:rPr>
      </w:pPr>
      <w:r w:rsidRPr="00332FC7">
        <w:rPr>
          <w:rFonts w:cs="Arial"/>
          <w:b/>
          <w:szCs w:val="22"/>
        </w:rPr>
        <w:t>10. Adviser Remuneration Framework</w:t>
      </w:r>
    </w:p>
    <w:p w:rsidR="00332FC7" w:rsidRPr="00332FC7" w:rsidRDefault="00332FC7" w:rsidP="00624D3B">
      <w:pPr>
        <w:spacing w:line="276" w:lineRule="auto"/>
        <w:ind w:left="567"/>
        <w:rPr>
          <w:rFonts w:cs="Arial"/>
          <w:szCs w:val="22"/>
        </w:rPr>
      </w:pPr>
      <w:r w:rsidRPr="00332FC7">
        <w:rPr>
          <w:rFonts w:cs="Arial"/>
          <w:szCs w:val="22"/>
        </w:rPr>
        <w:t>Discipline Group C, Economics/Financial Analysis, Job Level 3 – with 10 or more years relevant professional experience</w:t>
      </w:r>
    </w:p>
    <w:p w:rsidR="00332FC7" w:rsidRPr="00332FC7" w:rsidRDefault="00332FC7" w:rsidP="00624D3B">
      <w:pPr>
        <w:spacing w:line="276" w:lineRule="auto"/>
        <w:rPr>
          <w:rFonts w:cs="Arial"/>
          <w:szCs w:val="22"/>
        </w:rPr>
      </w:pPr>
    </w:p>
    <w:p w:rsidR="00332FC7" w:rsidRPr="00332FC7" w:rsidRDefault="00332FC7" w:rsidP="00624D3B">
      <w:pPr>
        <w:spacing w:line="276" w:lineRule="auto"/>
        <w:rPr>
          <w:rFonts w:cs="Arial"/>
          <w:szCs w:val="22"/>
        </w:rPr>
      </w:pPr>
    </w:p>
    <w:p w:rsidR="00332FC7" w:rsidRPr="00332FC7" w:rsidRDefault="00332FC7" w:rsidP="00624D3B">
      <w:pPr>
        <w:spacing w:line="276" w:lineRule="auto"/>
        <w:rPr>
          <w:rFonts w:cs="Arial"/>
          <w:szCs w:val="22"/>
        </w:rPr>
      </w:pPr>
      <w:r w:rsidRPr="00332FC7">
        <w:rPr>
          <w:rFonts w:cs="Arial"/>
          <w:szCs w:val="22"/>
        </w:rPr>
        <w:br w:type="page"/>
      </w:r>
    </w:p>
    <w:p w:rsidR="00332FC7" w:rsidRPr="00332FC7" w:rsidRDefault="00332FC7" w:rsidP="00624D3B">
      <w:pPr>
        <w:pStyle w:val="HRFNoNumberHeading1"/>
        <w:spacing w:line="276" w:lineRule="auto"/>
      </w:pPr>
      <w:bookmarkStart w:id="43" w:name="_Toc373502500"/>
      <w:r w:rsidRPr="00332FC7">
        <w:t>Annex 2: Project Note November 2013</w:t>
      </w:r>
      <w:bookmarkEnd w:id="43"/>
    </w:p>
    <w:p w:rsidR="00332FC7" w:rsidRPr="00332FC7" w:rsidRDefault="00332FC7" w:rsidP="00624D3B">
      <w:pPr>
        <w:spacing w:line="276" w:lineRule="auto"/>
        <w:jc w:val="left"/>
        <w:rPr>
          <w:rFonts w:eastAsiaTheme="majorEastAsia" w:cs="Arial"/>
          <w:color w:val="365F91" w:themeColor="accent1" w:themeShade="BF"/>
          <w:szCs w:val="22"/>
        </w:rPr>
      </w:pPr>
      <w:r w:rsidRPr="00332FC7">
        <w:rPr>
          <w:rFonts w:cs="Arial"/>
          <w:szCs w:val="22"/>
        </w:rPr>
        <w:t>AUSAID TIMOR LESTE</w:t>
      </w:r>
      <w:r w:rsidRPr="00332FC7">
        <w:rPr>
          <w:rFonts w:cs="Arial"/>
          <w:szCs w:val="22"/>
          <w:lang w:val="en-AU"/>
        </w:rPr>
        <w:t xml:space="preserve"> - </w:t>
      </w:r>
      <w:r w:rsidRPr="00332FC7">
        <w:rPr>
          <w:rFonts w:cs="Arial"/>
          <w:b/>
          <w:szCs w:val="22"/>
        </w:rPr>
        <w:t xml:space="preserve">PROPOSED SUPPORT FOR HEALTH SECTOR DEVELOPMENT </w:t>
      </w:r>
    </w:p>
    <w:p w:rsidR="00332FC7" w:rsidRPr="00332FC7" w:rsidRDefault="00332FC7" w:rsidP="00624D3B">
      <w:pPr>
        <w:spacing w:line="276" w:lineRule="auto"/>
        <w:rPr>
          <w:rFonts w:cs="Arial"/>
          <w:b/>
          <w:szCs w:val="22"/>
        </w:rPr>
      </w:pPr>
      <w:r w:rsidRPr="00332FC7">
        <w:rPr>
          <w:rFonts w:cs="Arial"/>
          <w:b/>
          <w:szCs w:val="22"/>
        </w:rPr>
        <w:t>The purpose of this note</w:t>
      </w:r>
    </w:p>
    <w:p w:rsidR="00332FC7" w:rsidRPr="00332FC7" w:rsidRDefault="00332FC7" w:rsidP="00624D3B">
      <w:pPr>
        <w:spacing w:line="276" w:lineRule="auto"/>
        <w:rPr>
          <w:rFonts w:cs="Arial"/>
          <w:szCs w:val="22"/>
        </w:rPr>
      </w:pPr>
      <w:r w:rsidRPr="00332FC7">
        <w:rPr>
          <w:rFonts w:cs="Arial"/>
          <w:szCs w:val="22"/>
        </w:rPr>
        <w:t xml:space="preserve">The Government of Timor-Leste has ambitious plans for improving health. AusAID has been discussing with the Minister of Health and his colleagues how Australian support could best be used to help them implement those plans. This note captures the discussions to date. </w:t>
      </w:r>
    </w:p>
    <w:p w:rsidR="00332FC7" w:rsidRPr="00332FC7" w:rsidRDefault="00332FC7" w:rsidP="00624D3B">
      <w:pPr>
        <w:spacing w:line="276" w:lineRule="auto"/>
        <w:rPr>
          <w:rFonts w:cs="Arial"/>
          <w:szCs w:val="22"/>
        </w:rPr>
      </w:pPr>
    </w:p>
    <w:p w:rsidR="00332FC7" w:rsidRPr="00332FC7" w:rsidRDefault="00332FC7" w:rsidP="00624D3B">
      <w:pPr>
        <w:pBdr>
          <w:top w:val="single" w:sz="4" w:space="1" w:color="auto"/>
        </w:pBdr>
        <w:spacing w:line="276" w:lineRule="auto"/>
        <w:rPr>
          <w:rFonts w:cs="Arial"/>
          <w:szCs w:val="22"/>
        </w:rPr>
      </w:pPr>
      <w:r w:rsidRPr="00332FC7">
        <w:rPr>
          <w:rFonts w:cs="Arial"/>
          <w:szCs w:val="22"/>
        </w:rPr>
        <w:t xml:space="preserve">AusAID is committed to improving the way it works in partnership with the Ministry of Health. The way of work and our support is based on </w:t>
      </w:r>
      <w:r w:rsidRPr="00332FC7">
        <w:rPr>
          <w:rFonts w:cs="Arial"/>
          <w:szCs w:val="22"/>
          <w:u w:val="single"/>
        </w:rPr>
        <w:t>four core principles</w:t>
      </w:r>
      <w:r w:rsidRPr="00332FC7">
        <w:rPr>
          <w:rFonts w:cs="Arial"/>
          <w:szCs w:val="22"/>
        </w:rPr>
        <w:t xml:space="preserve"> that: </w:t>
      </w:r>
    </w:p>
    <w:p w:rsidR="00332FC7" w:rsidRPr="00332FC7" w:rsidRDefault="00332FC7" w:rsidP="00624D3B">
      <w:pPr>
        <w:numPr>
          <w:ilvl w:val="0"/>
          <w:numId w:val="7"/>
        </w:numPr>
        <w:spacing w:line="276" w:lineRule="auto"/>
        <w:rPr>
          <w:rFonts w:cs="Arial"/>
          <w:szCs w:val="22"/>
        </w:rPr>
      </w:pPr>
      <w:r w:rsidRPr="00332FC7">
        <w:rPr>
          <w:rFonts w:cs="Arial"/>
          <w:szCs w:val="22"/>
        </w:rPr>
        <w:t xml:space="preserve">give priority to the people who </w:t>
      </w:r>
      <w:r w:rsidRPr="00332FC7">
        <w:rPr>
          <w:rFonts w:cs="Arial"/>
          <w:b/>
          <w:szCs w:val="22"/>
        </w:rPr>
        <w:t>most need</w:t>
      </w:r>
      <w:r w:rsidRPr="00332FC7">
        <w:rPr>
          <w:rFonts w:cs="Arial"/>
          <w:szCs w:val="22"/>
        </w:rPr>
        <w:t xml:space="preserve"> primary health services – vulnerable women and children in rural and remote areas</w:t>
      </w:r>
    </w:p>
    <w:p w:rsidR="00332FC7" w:rsidRPr="00332FC7" w:rsidRDefault="00332FC7" w:rsidP="00624D3B">
      <w:pPr>
        <w:numPr>
          <w:ilvl w:val="0"/>
          <w:numId w:val="7"/>
        </w:numPr>
        <w:spacing w:line="276" w:lineRule="auto"/>
        <w:rPr>
          <w:rFonts w:cs="Arial"/>
          <w:szCs w:val="22"/>
        </w:rPr>
      </w:pPr>
      <w:r w:rsidRPr="00332FC7">
        <w:rPr>
          <w:rFonts w:cs="Arial"/>
          <w:szCs w:val="22"/>
        </w:rPr>
        <w:t xml:space="preserve">involves transparent joint partnership based on mutual trust and reflecting New Deal principles, and  supporting </w:t>
      </w:r>
      <w:r w:rsidRPr="00332FC7">
        <w:rPr>
          <w:rFonts w:cs="Arial"/>
          <w:b/>
          <w:szCs w:val="22"/>
        </w:rPr>
        <w:t>country</w:t>
      </w:r>
      <w:r w:rsidRPr="00332FC7">
        <w:rPr>
          <w:rFonts w:cs="Arial"/>
          <w:szCs w:val="22"/>
        </w:rPr>
        <w:t xml:space="preserve"> </w:t>
      </w:r>
      <w:r w:rsidRPr="00332FC7">
        <w:rPr>
          <w:rFonts w:cs="Arial"/>
          <w:b/>
          <w:szCs w:val="22"/>
        </w:rPr>
        <w:t>ownership</w:t>
      </w:r>
      <w:r w:rsidRPr="00332FC7">
        <w:rPr>
          <w:rFonts w:cs="Arial"/>
          <w:szCs w:val="22"/>
        </w:rPr>
        <w:t xml:space="preserve"> and capacity through: alignment with </w:t>
      </w:r>
      <w:r w:rsidRPr="00332FC7">
        <w:rPr>
          <w:rFonts w:cs="Arial"/>
          <w:b/>
          <w:szCs w:val="22"/>
        </w:rPr>
        <w:t>national plans</w:t>
      </w:r>
      <w:r w:rsidRPr="00332FC7">
        <w:rPr>
          <w:rFonts w:cs="Arial"/>
          <w:szCs w:val="22"/>
        </w:rPr>
        <w:t xml:space="preserve"> and priorities, , working through and helping strengthen </w:t>
      </w:r>
      <w:r w:rsidRPr="00332FC7">
        <w:rPr>
          <w:rFonts w:cs="Arial"/>
          <w:b/>
          <w:szCs w:val="22"/>
        </w:rPr>
        <w:t>national systems</w:t>
      </w:r>
      <w:r w:rsidRPr="00332FC7">
        <w:rPr>
          <w:rFonts w:cs="Arial"/>
          <w:szCs w:val="22"/>
        </w:rPr>
        <w:t xml:space="preserve"> for planning, budgeting, financing, delivering and reporting; </w:t>
      </w:r>
      <w:r w:rsidRPr="00332FC7">
        <w:rPr>
          <w:rFonts w:cs="Arial"/>
          <w:b/>
          <w:szCs w:val="22"/>
        </w:rPr>
        <w:t>harmonisation</w:t>
      </w:r>
      <w:r w:rsidRPr="00332FC7">
        <w:rPr>
          <w:rFonts w:cs="Arial"/>
          <w:szCs w:val="22"/>
        </w:rPr>
        <w:t xml:space="preserve"> with other partners, and </w:t>
      </w:r>
      <w:r w:rsidRPr="00332FC7">
        <w:rPr>
          <w:rFonts w:cs="Arial"/>
          <w:b/>
          <w:szCs w:val="22"/>
        </w:rPr>
        <w:t>mutual accountability</w:t>
      </w:r>
      <w:r w:rsidRPr="00332FC7">
        <w:rPr>
          <w:rFonts w:cs="Arial"/>
          <w:szCs w:val="22"/>
        </w:rPr>
        <w:t xml:space="preserve"> for behaviour change and results. </w:t>
      </w:r>
    </w:p>
    <w:p w:rsidR="00332FC7" w:rsidRPr="00332FC7" w:rsidRDefault="00332FC7" w:rsidP="00624D3B">
      <w:pPr>
        <w:numPr>
          <w:ilvl w:val="0"/>
          <w:numId w:val="7"/>
        </w:numPr>
        <w:pBdr>
          <w:bottom w:val="single" w:sz="4" w:space="1" w:color="auto"/>
        </w:pBdr>
        <w:spacing w:line="276" w:lineRule="auto"/>
        <w:rPr>
          <w:rFonts w:cs="Arial"/>
          <w:szCs w:val="22"/>
        </w:rPr>
      </w:pPr>
      <w:r w:rsidRPr="00332FC7">
        <w:rPr>
          <w:rFonts w:cs="Arial"/>
          <w:szCs w:val="22"/>
        </w:rPr>
        <w:t xml:space="preserve">is based on an understanding of the entire </w:t>
      </w:r>
      <w:r w:rsidRPr="00332FC7">
        <w:rPr>
          <w:rFonts w:cs="Arial"/>
          <w:b/>
          <w:szCs w:val="22"/>
        </w:rPr>
        <w:t>health sector</w:t>
      </w:r>
      <w:r w:rsidRPr="00332FC7">
        <w:rPr>
          <w:rFonts w:cs="Arial"/>
          <w:szCs w:val="22"/>
        </w:rPr>
        <w:t xml:space="preserve"> as a complex and dynamic system within which various elements – across  the demand side as well as the supply side – interact.</w:t>
      </w:r>
    </w:p>
    <w:p w:rsidR="00332FC7" w:rsidRPr="00332FC7" w:rsidRDefault="00332FC7" w:rsidP="00624D3B">
      <w:pPr>
        <w:numPr>
          <w:ilvl w:val="0"/>
          <w:numId w:val="7"/>
        </w:numPr>
        <w:pBdr>
          <w:bottom w:val="single" w:sz="4" w:space="1" w:color="auto"/>
        </w:pBdr>
        <w:spacing w:line="276" w:lineRule="auto"/>
        <w:rPr>
          <w:rFonts w:cs="Arial"/>
          <w:szCs w:val="22"/>
        </w:rPr>
      </w:pPr>
      <w:r w:rsidRPr="00332FC7">
        <w:rPr>
          <w:rFonts w:cs="Arial"/>
          <w:szCs w:val="22"/>
        </w:rPr>
        <w:t xml:space="preserve">is focused on a two track process (1) </w:t>
      </w:r>
      <w:r w:rsidRPr="00332FC7">
        <w:rPr>
          <w:rFonts w:cs="Arial"/>
          <w:b/>
          <w:szCs w:val="22"/>
        </w:rPr>
        <w:t xml:space="preserve">accelerated access to basic health care services. </w:t>
      </w:r>
      <w:r w:rsidRPr="00332FC7">
        <w:rPr>
          <w:rFonts w:cs="Arial"/>
          <w:szCs w:val="22"/>
        </w:rPr>
        <w:t xml:space="preserve">Support for GOTL plans to establish functioning Health Posts in each suco by 2017 with one doctor, two nurses, two midwives and one lab technician and (2) </w:t>
      </w:r>
      <w:r w:rsidRPr="00332FC7">
        <w:rPr>
          <w:rFonts w:cs="Arial"/>
          <w:b/>
          <w:szCs w:val="22"/>
        </w:rPr>
        <w:t>sustainable</w:t>
      </w:r>
      <w:r w:rsidRPr="00332FC7">
        <w:rPr>
          <w:rFonts w:cs="Arial"/>
          <w:szCs w:val="22"/>
        </w:rPr>
        <w:t xml:space="preserve"> </w:t>
      </w:r>
      <w:r w:rsidRPr="00332FC7">
        <w:rPr>
          <w:rFonts w:cs="Arial"/>
          <w:b/>
          <w:szCs w:val="22"/>
        </w:rPr>
        <w:t xml:space="preserve">support for institutional development. </w:t>
      </w:r>
    </w:p>
    <w:p w:rsidR="00332FC7" w:rsidRPr="00332FC7" w:rsidRDefault="00332FC7" w:rsidP="00624D3B">
      <w:pPr>
        <w:spacing w:line="276" w:lineRule="auto"/>
        <w:rPr>
          <w:rFonts w:cs="Arial"/>
          <w:szCs w:val="22"/>
        </w:rPr>
      </w:pPr>
    </w:p>
    <w:p w:rsidR="00332FC7" w:rsidRPr="00332FC7" w:rsidRDefault="00332FC7" w:rsidP="00624D3B">
      <w:pPr>
        <w:spacing w:line="276" w:lineRule="auto"/>
        <w:rPr>
          <w:rFonts w:cs="Arial"/>
          <w:b/>
          <w:szCs w:val="22"/>
        </w:rPr>
      </w:pPr>
      <w:r w:rsidRPr="00332FC7">
        <w:rPr>
          <w:rFonts w:cs="Arial"/>
          <w:b/>
          <w:szCs w:val="22"/>
        </w:rPr>
        <w:t>Key documents describe the challenges and the plans</w:t>
      </w:r>
    </w:p>
    <w:p w:rsidR="00332FC7" w:rsidRPr="00332FC7" w:rsidRDefault="00332FC7" w:rsidP="00624D3B">
      <w:pPr>
        <w:spacing w:line="276" w:lineRule="auto"/>
        <w:rPr>
          <w:rFonts w:cs="Arial"/>
          <w:szCs w:val="22"/>
        </w:rPr>
      </w:pPr>
      <w:r w:rsidRPr="00332FC7">
        <w:rPr>
          <w:rFonts w:cs="Arial"/>
          <w:szCs w:val="22"/>
        </w:rPr>
        <w:t xml:space="preserve">The Government’s ambitions for improving health outcomes and services are set out in the </w:t>
      </w:r>
      <w:r w:rsidRPr="00332FC7">
        <w:rPr>
          <w:rFonts w:cs="Arial"/>
          <w:szCs w:val="22"/>
          <w:u w:val="single"/>
        </w:rPr>
        <w:t xml:space="preserve">Strategic Development Plan, the </w:t>
      </w:r>
      <w:r w:rsidR="0033505D">
        <w:rPr>
          <w:rFonts w:cs="Arial"/>
          <w:szCs w:val="22"/>
          <w:u w:val="single"/>
        </w:rPr>
        <w:t>Program</w:t>
      </w:r>
      <w:r w:rsidRPr="00332FC7">
        <w:rPr>
          <w:rFonts w:cs="Arial"/>
          <w:szCs w:val="22"/>
          <w:u w:val="single"/>
        </w:rPr>
        <w:t xml:space="preserve"> of the Fifth Constitutional Government, Budget papers and the National Health Sector Strategic Plan (NHSSP).</w:t>
      </w:r>
      <w:r w:rsidRPr="00332FC7">
        <w:rPr>
          <w:rFonts w:cs="Arial"/>
          <w:szCs w:val="22"/>
        </w:rPr>
        <w:t xml:space="preserve">  NHSSP policy objectives are grouped under five headings. These headings are reflected in the </w:t>
      </w:r>
      <w:r w:rsidR="0033505D">
        <w:rPr>
          <w:rFonts w:cs="Arial"/>
          <w:szCs w:val="22"/>
          <w:u w:val="single"/>
        </w:rPr>
        <w:t>Program</w:t>
      </w:r>
      <w:r w:rsidRPr="00332FC7">
        <w:rPr>
          <w:rFonts w:cs="Arial"/>
          <w:szCs w:val="22"/>
          <w:u w:val="single"/>
        </w:rPr>
        <w:t xml:space="preserve"> of the Fifth Constitutional Government and 2013 Budget</w:t>
      </w:r>
      <w:r w:rsidRPr="00332FC7">
        <w:rPr>
          <w:rFonts w:cs="Arial"/>
          <w:szCs w:val="22"/>
        </w:rPr>
        <w:t>. The five objectives are:</w:t>
      </w:r>
    </w:p>
    <w:p w:rsidR="00332FC7" w:rsidRPr="00332FC7" w:rsidRDefault="00332FC7" w:rsidP="00624D3B">
      <w:pPr>
        <w:numPr>
          <w:ilvl w:val="0"/>
          <w:numId w:val="8"/>
        </w:numPr>
        <w:spacing w:line="276" w:lineRule="auto"/>
        <w:rPr>
          <w:rFonts w:cs="Arial"/>
          <w:szCs w:val="22"/>
        </w:rPr>
      </w:pPr>
      <w:r w:rsidRPr="00332FC7">
        <w:rPr>
          <w:rFonts w:cs="Arial"/>
          <w:b/>
          <w:szCs w:val="22"/>
        </w:rPr>
        <w:t>Managing the national health system</w:t>
      </w:r>
      <w:r w:rsidRPr="00332FC7">
        <w:rPr>
          <w:rFonts w:cs="Arial"/>
          <w:szCs w:val="22"/>
        </w:rPr>
        <w:t>, including: stewardship, organisation and management of health services provision to ensure effectiveness and impact;</w:t>
      </w:r>
    </w:p>
    <w:p w:rsidR="00332FC7" w:rsidRPr="00332FC7" w:rsidRDefault="00332FC7" w:rsidP="00624D3B">
      <w:pPr>
        <w:numPr>
          <w:ilvl w:val="0"/>
          <w:numId w:val="8"/>
        </w:numPr>
        <w:spacing w:line="276" w:lineRule="auto"/>
        <w:rPr>
          <w:rFonts w:cs="Arial"/>
          <w:szCs w:val="22"/>
        </w:rPr>
      </w:pPr>
      <w:r w:rsidRPr="00332FC7">
        <w:rPr>
          <w:rFonts w:cs="Arial"/>
          <w:b/>
          <w:szCs w:val="22"/>
        </w:rPr>
        <w:t>Delivery of health services</w:t>
      </w:r>
      <w:r w:rsidRPr="00332FC7">
        <w:rPr>
          <w:rFonts w:cs="Arial"/>
          <w:szCs w:val="22"/>
        </w:rPr>
        <w:t xml:space="preserve">, including: strategic directions for every level of health care; basic packages of health services; and national priority health </w:t>
      </w:r>
      <w:r w:rsidR="0033505D">
        <w:rPr>
          <w:rFonts w:cs="Arial"/>
          <w:szCs w:val="22"/>
        </w:rPr>
        <w:t>program</w:t>
      </w:r>
      <w:r w:rsidRPr="00332FC7">
        <w:rPr>
          <w:rFonts w:cs="Arial"/>
          <w:szCs w:val="22"/>
        </w:rPr>
        <w:t>s (including health promotion);</w:t>
      </w:r>
    </w:p>
    <w:p w:rsidR="00332FC7" w:rsidRPr="00332FC7" w:rsidRDefault="00332FC7" w:rsidP="00624D3B">
      <w:pPr>
        <w:numPr>
          <w:ilvl w:val="0"/>
          <w:numId w:val="8"/>
        </w:numPr>
        <w:spacing w:line="276" w:lineRule="auto"/>
        <w:rPr>
          <w:rFonts w:cs="Arial"/>
          <w:szCs w:val="22"/>
        </w:rPr>
      </w:pPr>
      <w:r w:rsidRPr="00332FC7">
        <w:rPr>
          <w:rFonts w:cs="Arial"/>
          <w:b/>
          <w:szCs w:val="22"/>
        </w:rPr>
        <w:t>Human resources for health (HRH)</w:t>
      </w:r>
      <w:r w:rsidRPr="00332FC7">
        <w:rPr>
          <w:rFonts w:cs="Arial"/>
          <w:szCs w:val="22"/>
        </w:rPr>
        <w:t>, including: development and management of HRH, with a focus on priority weaknesses, such as midwifery to increase skilled birth attendance;</w:t>
      </w:r>
    </w:p>
    <w:p w:rsidR="00332FC7" w:rsidRPr="00332FC7" w:rsidRDefault="00332FC7" w:rsidP="00624D3B">
      <w:pPr>
        <w:numPr>
          <w:ilvl w:val="0"/>
          <w:numId w:val="8"/>
        </w:numPr>
        <w:spacing w:line="276" w:lineRule="auto"/>
        <w:rPr>
          <w:rFonts w:cs="Arial"/>
          <w:szCs w:val="22"/>
        </w:rPr>
      </w:pPr>
      <w:r w:rsidRPr="00332FC7">
        <w:rPr>
          <w:rFonts w:cs="Arial"/>
          <w:b/>
          <w:szCs w:val="22"/>
        </w:rPr>
        <w:t>Health infrastructure</w:t>
      </w:r>
      <w:r w:rsidRPr="00332FC7">
        <w:rPr>
          <w:rFonts w:cs="Arial"/>
          <w:szCs w:val="22"/>
        </w:rPr>
        <w:t>, including: physical infrastructure; medical equipment and essential non-medical supplies;  transport and ambulance services, communications and Information and Technology (ICT);</w:t>
      </w:r>
    </w:p>
    <w:p w:rsidR="00332FC7" w:rsidRPr="00332FC7" w:rsidRDefault="00332FC7" w:rsidP="00624D3B">
      <w:pPr>
        <w:numPr>
          <w:ilvl w:val="0"/>
          <w:numId w:val="8"/>
        </w:numPr>
        <w:spacing w:line="276" w:lineRule="auto"/>
        <w:rPr>
          <w:rFonts w:cs="Arial"/>
          <w:szCs w:val="22"/>
        </w:rPr>
      </w:pPr>
      <w:r w:rsidRPr="00332FC7">
        <w:rPr>
          <w:rFonts w:cs="Arial"/>
          <w:b/>
          <w:szCs w:val="22"/>
        </w:rPr>
        <w:t>Support services</w:t>
      </w:r>
      <w:r w:rsidRPr="00332FC7">
        <w:rPr>
          <w:rFonts w:cs="Arial"/>
          <w:szCs w:val="22"/>
        </w:rPr>
        <w:t>, including: drugs and consumables; laboratory and blood bank services; health research; HMIS; planning and financial management systems; and health partnership and collaboration.</w:t>
      </w:r>
    </w:p>
    <w:p w:rsidR="00332FC7" w:rsidRPr="00332FC7" w:rsidRDefault="00332FC7" w:rsidP="00624D3B">
      <w:pPr>
        <w:spacing w:line="276" w:lineRule="auto"/>
        <w:rPr>
          <w:rFonts w:cs="Arial"/>
          <w:b/>
          <w:szCs w:val="22"/>
        </w:rPr>
      </w:pPr>
      <w:r w:rsidRPr="00332FC7">
        <w:rPr>
          <w:rFonts w:cs="Arial"/>
          <w:b/>
          <w:szCs w:val="22"/>
        </w:rPr>
        <w:t>What is AusAID proposing to support in health?</w:t>
      </w:r>
    </w:p>
    <w:p w:rsidR="00332FC7" w:rsidRPr="00332FC7" w:rsidRDefault="00332FC7" w:rsidP="00624D3B">
      <w:pPr>
        <w:spacing w:line="276" w:lineRule="auto"/>
        <w:rPr>
          <w:rFonts w:cs="Arial"/>
          <w:szCs w:val="22"/>
        </w:rPr>
      </w:pPr>
      <w:r w:rsidRPr="00332FC7">
        <w:rPr>
          <w:rFonts w:cs="Arial"/>
          <w:szCs w:val="22"/>
        </w:rPr>
        <w:t xml:space="preserve">This is a long-term </w:t>
      </w:r>
      <w:r w:rsidR="0033505D">
        <w:rPr>
          <w:rFonts w:cs="Arial"/>
          <w:szCs w:val="22"/>
        </w:rPr>
        <w:t>program</w:t>
      </w:r>
      <w:r w:rsidRPr="00332FC7">
        <w:rPr>
          <w:rFonts w:cs="Arial"/>
          <w:szCs w:val="22"/>
        </w:rPr>
        <w:t xml:space="preserve"> of support over 8 years. We will start by focusing on the priority problems raised by the Ministry and confirmed through AusAID’s analysis. Suggested timing could be: </w:t>
      </w:r>
    </w:p>
    <w:p w:rsidR="00332FC7" w:rsidRPr="00332FC7" w:rsidRDefault="00332FC7" w:rsidP="00624D3B">
      <w:pPr>
        <w:spacing w:line="276" w:lineRule="auto"/>
        <w:rPr>
          <w:rFonts w:cs="Arial"/>
          <w:szCs w:val="22"/>
        </w:rPr>
      </w:pPr>
      <w:r w:rsidRPr="00332FC7">
        <w:rPr>
          <w:rFonts w:cs="Arial"/>
          <w:b/>
          <w:szCs w:val="22"/>
        </w:rPr>
        <w:t>Phase 1 - September 2013</w:t>
      </w:r>
      <w:r w:rsidRPr="00332FC7">
        <w:rPr>
          <w:rFonts w:cs="Arial"/>
          <w:szCs w:val="22"/>
        </w:rPr>
        <w:t xml:space="preserve">: </w:t>
      </w:r>
      <w:r w:rsidRPr="00332FC7">
        <w:rPr>
          <w:rFonts w:cs="Arial"/>
          <w:b/>
          <w:szCs w:val="22"/>
        </w:rPr>
        <w:t>Health transport</w:t>
      </w:r>
      <w:r w:rsidRPr="00332FC7">
        <w:rPr>
          <w:rFonts w:cs="Arial"/>
          <w:szCs w:val="22"/>
        </w:rPr>
        <w:t>: Start support to maintain health vehicles and ambulances, including broader assessment of the problem and supporting long-term solutions. This would involve a mobile mechanic team that travels around the districts assessing the problems, fixing small problems and identifying solutions action for more serious problems. The vehicles would include Ministry of Health ambulances, multifunction vehicles, cars and motorbikes.</w:t>
      </w:r>
    </w:p>
    <w:p w:rsidR="00332FC7" w:rsidRPr="00332FC7" w:rsidRDefault="00332FC7" w:rsidP="00624D3B">
      <w:pPr>
        <w:spacing w:line="276" w:lineRule="auto"/>
        <w:rPr>
          <w:rFonts w:cs="Arial"/>
          <w:szCs w:val="22"/>
        </w:rPr>
      </w:pPr>
      <w:r w:rsidRPr="00332FC7">
        <w:rPr>
          <w:rFonts w:cs="Arial"/>
          <w:b/>
          <w:szCs w:val="22"/>
        </w:rPr>
        <w:t>Phase 2 - Early 2014</w:t>
      </w:r>
      <w:r w:rsidRPr="00332FC7">
        <w:rPr>
          <w:rFonts w:cs="Arial"/>
          <w:szCs w:val="22"/>
        </w:rPr>
        <w:t xml:space="preserve">: </w:t>
      </w:r>
      <w:r w:rsidRPr="00332FC7">
        <w:rPr>
          <w:rFonts w:cs="Arial"/>
          <w:b/>
          <w:szCs w:val="22"/>
        </w:rPr>
        <w:t>Health equipment</w:t>
      </w:r>
      <w:r w:rsidRPr="00332FC7">
        <w:rPr>
          <w:rFonts w:cs="Arial"/>
          <w:szCs w:val="22"/>
        </w:rPr>
        <w:t>: Start support to maintain and repair critical health equipment for maternal child health in national hospital, referral hospitals and CHCs. Take a coaching and mentoring approach to assess the problem, and work through long-term solutions with the Ministry of Health team.</w:t>
      </w:r>
    </w:p>
    <w:p w:rsidR="00332FC7" w:rsidRPr="00332FC7" w:rsidRDefault="00332FC7" w:rsidP="00624D3B">
      <w:pPr>
        <w:spacing w:line="276" w:lineRule="auto"/>
        <w:rPr>
          <w:rFonts w:cs="Arial"/>
          <w:szCs w:val="22"/>
          <w:lang w:val="en-AU"/>
        </w:rPr>
      </w:pPr>
      <w:r w:rsidRPr="00332FC7">
        <w:rPr>
          <w:rFonts w:cs="Arial"/>
          <w:b/>
          <w:szCs w:val="22"/>
        </w:rPr>
        <w:t>Phase 3 - Mid 2014</w:t>
      </w:r>
      <w:r w:rsidRPr="00332FC7">
        <w:rPr>
          <w:rFonts w:cs="Arial"/>
          <w:szCs w:val="22"/>
        </w:rPr>
        <w:t>:</w:t>
      </w:r>
      <w:r w:rsidRPr="00332FC7">
        <w:rPr>
          <w:rFonts w:cs="Arial"/>
          <w:szCs w:val="22"/>
          <w:u w:val="single"/>
          <w:lang w:val="en-AU"/>
        </w:rPr>
        <w:t xml:space="preserve"> </w:t>
      </w:r>
      <w:r w:rsidRPr="00332FC7">
        <w:rPr>
          <w:rFonts w:cs="Arial"/>
          <w:b/>
          <w:szCs w:val="22"/>
          <w:u w:val="single"/>
          <w:lang w:val="en-AU"/>
        </w:rPr>
        <w:t>Human resources for health</w:t>
      </w:r>
      <w:r w:rsidRPr="00332FC7">
        <w:rPr>
          <w:rFonts w:cs="Arial"/>
          <w:szCs w:val="22"/>
          <w:lang w:val="en-AU"/>
        </w:rPr>
        <w:t xml:space="preserve">: recruit and pay midwives and nurses from Indonesia to work in HPs and CHCs as an interim measure (pending the increased supply of these cadres from Government training institutions); explore options for developing sustainable solutions for human resources constraints </w:t>
      </w:r>
    </w:p>
    <w:p w:rsidR="00332FC7" w:rsidRPr="00332FC7" w:rsidRDefault="00332FC7" w:rsidP="00624D3B">
      <w:pPr>
        <w:spacing w:line="276" w:lineRule="auto"/>
        <w:rPr>
          <w:rFonts w:cs="Arial"/>
          <w:szCs w:val="22"/>
          <w:u w:val="single"/>
          <w:lang w:val="en-AU"/>
        </w:rPr>
      </w:pPr>
      <w:r w:rsidRPr="00332FC7">
        <w:rPr>
          <w:rFonts w:cs="Arial"/>
          <w:szCs w:val="22"/>
          <w:lang w:val="en-AU"/>
        </w:rPr>
        <w:t>Future support will be identified through regular planning processes and discussions with the Ministry of Health.</w:t>
      </w:r>
      <w:r w:rsidRPr="00332FC7">
        <w:rPr>
          <w:rFonts w:cs="Arial"/>
          <w:szCs w:val="22"/>
          <w:u w:val="single"/>
          <w:lang w:val="en-AU"/>
        </w:rPr>
        <w:t xml:space="preserve"> Discussions to-date suggest it may include:</w:t>
      </w:r>
    </w:p>
    <w:p w:rsidR="00332FC7" w:rsidRPr="00332FC7" w:rsidRDefault="00332FC7" w:rsidP="00624D3B">
      <w:pPr>
        <w:numPr>
          <w:ilvl w:val="0"/>
          <w:numId w:val="11"/>
        </w:numPr>
        <w:spacing w:line="276" w:lineRule="auto"/>
        <w:rPr>
          <w:rFonts w:cs="Arial"/>
          <w:szCs w:val="22"/>
        </w:rPr>
      </w:pPr>
      <w:r w:rsidRPr="00332FC7">
        <w:rPr>
          <w:rFonts w:cs="Arial"/>
          <w:szCs w:val="22"/>
          <w:u w:val="single"/>
          <w:lang w:val="en-AU"/>
        </w:rPr>
        <w:t>Health infrastructure</w:t>
      </w:r>
      <w:r w:rsidRPr="00332FC7">
        <w:rPr>
          <w:rFonts w:cs="Arial"/>
          <w:szCs w:val="22"/>
          <w:lang w:val="en-AU"/>
        </w:rPr>
        <w:t xml:space="preserve">: contract a firm to </w:t>
      </w:r>
      <w:r w:rsidRPr="00332FC7">
        <w:rPr>
          <w:rFonts w:cs="Arial"/>
          <w:b/>
          <w:szCs w:val="22"/>
          <w:lang w:val="en-AU"/>
        </w:rPr>
        <w:t>rehabilitate health posts</w:t>
      </w:r>
      <w:r w:rsidRPr="00332FC7">
        <w:rPr>
          <w:rFonts w:cs="Arial"/>
          <w:szCs w:val="22"/>
          <w:lang w:val="en-AU"/>
        </w:rPr>
        <w:t xml:space="preserve">, construct basic accommodation for health workers; </w:t>
      </w:r>
      <w:r w:rsidRPr="00332FC7">
        <w:rPr>
          <w:rFonts w:cs="Arial"/>
          <w:szCs w:val="22"/>
        </w:rPr>
        <w:t xml:space="preserve">Support for ICT equipment (NB associated in-service training can be provided under the Human Resources objective) especially at Health Posts, CHCs and Districts; Support to develop, integrate, implement and monitor a </w:t>
      </w:r>
      <w:r w:rsidRPr="00332FC7">
        <w:rPr>
          <w:rFonts w:cs="Arial"/>
          <w:b/>
          <w:szCs w:val="22"/>
        </w:rPr>
        <w:t>systematic plan for transport management</w:t>
      </w:r>
      <w:r w:rsidRPr="00332FC7">
        <w:rPr>
          <w:rFonts w:cs="Arial"/>
          <w:szCs w:val="22"/>
        </w:rPr>
        <w:t xml:space="preserve"> (vehicles, fuel and drivers); Support to developing/implementing a </w:t>
      </w:r>
      <w:r w:rsidRPr="00332FC7">
        <w:rPr>
          <w:rFonts w:cs="Arial"/>
          <w:b/>
          <w:szCs w:val="22"/>
        </w:rPr>
        <w:t>maintenance plan for health facilities</w:t>
      </w:r>
    </w:p>
    <w:p w:rsidR="00332FC7" w:rsidRPr="00332FC7" w:rsidRDefault="00332FC7" w:rsidP="00624D3B">
      <w:pPr>
        <w:numPr>
          <w:ilvl w:val="0"/>
          <w:numId w:val="9"/>
        </w:numPr>
        <w:spacing w:line="276" w:lineRule="auto"/>
        <w:rPr>
          <w:rFonts w:cs="Arial"/>
          <w:szCs w:val="22"/>
        </w:rPr>
      </w:pPr>
      <w:r w:rsidRPr="00332FC7">
        <w:rPr>
          <w:rFonts w:cs="Arial"/>
          <w:szCs w:val="22"/>
          <w:u w:val="single"/>
          <w:lang w:val="en-AU"/>
        </w:rPr>
        <w:t xml:space="preserve">Delivery of health services: </w:t>
      </w:r>
      <w:r w:rsidRPr="00332FC7">
        <w:rPr>
          <w:rFonts w:cs="Arial"/>
          <w:szCs w:val="22"/>
          <w:lang w:val="en-AU"/>
        </w:rPr>
        <w:t xml:space="preserve">support NGOs to work with local health staff and PSFs to help them improve </w:t>
      </w:r>
      <w:r w:rsidRPr="00332FC7">
        <w:rPr>
          <w:rFonts w:cs="Arial"/>
          <w:b/>
          <w:szCs w:val="22"/>
          <w:lang w:val="en-AU"/>
        </w:rPr>
        <w:t>health promotion interventions and BCC</w:t>
      </w:r>
      <w:r w:rsidRPr="00332FC7">
        <w:rPr>
          <w:rFonts w:cs="Arial"/>
          <w:szCs w:val="22"/>
          <w:lang w:val="en-AU"/>
        </w:rPr>
        <w:t>, including mobilising community groups and local leaders for increased action on maternal and child health;</w:t>
      </w:r>
      <w:r w:rsidRPr="00332FC7">
        <w:rPr>
          <w:rFonts w:cs="Arial"/>
          <w:szCs w:val="22"/>
        </w:rPr>
        <w:t xml:space="preserve"> Support for partnerships (e.g. with civil society organisations) to test, refine and roll out locally appropriate approaches to empowering and </w:t>
      </w:r>
      <w:r w:rsidRPr="00332FC7">
        <w:rPr>
          <w:rFonts w:cs="Arial"/>
          <w:b/>
          <w:szCs w:val="22"/>
        </w:rPr>
        <w:t>mobilising communities</w:t>
      </w:r>
      <w:r w:rsidRPr="00332FC7">
        <w:rPr>
          <w:rFonts w:cs="Arial"/>
          <w:szCs w:val="22"/>
        </w:rPr>
        <w:t xml:space="preserve">, especially for RMNCH and nutrition </w:t>
      </w:r>
    </w:p>
    <w:p w:rsidR="00332FC7" w:rsidRPr="00332FC7" w:rsidRDefault="00332FC7" w:rsidP="00624D3B">
      <w:pPr>
        <w:numPr>
          <w:ilvl w:val="0"/>
          <w:numId w:val="9"/>
        </w:numPr>
        <w:spacing w:line="276" w:lineRule="auto"/>
        <w:rPr>
          <w:rFonts w:cs="Arial"/>
          <w:szCs w:val="22"/>
        </w:rPr>
      </w:pPr>
      <w:r w:rsidRPr="00332FC7">
        <w:rPr>
          <w:rFonts w:cs="Arial"/>
          <w:szCs w:val="22"/>
          <w:u w:val="single"/>
          <w:lang w:val="en-AU"/>
        </w:rPr>
        <w:t>Support services</w:t>
      </w:r>
      <w:r w:rsidRPr="00332FC7">
        <w:rPr>
          <w:rFonts w:cs="Arial"/>
          <w:szCs w:val="22"/>
          <w:lang w:val="en-AU"/>
        </w:rPr>
        <w:t xml:space="preserve">: Explore with Red Cross if they could provide </w:t>
      </w:r>
      <w:r w:rsidRPr="00332FC7">
        <w:rPr>
          <w:rFonts w:cs="Arial"/>
          <w:b/>
          <w:szCs w:val="22"/>
          <w:lang w:val="en-AU"/>
        </w:rPr>
        <w:t>blood bank</w:t>
      </w:r>
      <w:r w:rsidRPr="00332FC7">
        <w:rPr>
          <w:rFonts w:cs="Arial"/>
          <w:szCs w:val="22"/>
          <w:lang w:val="en-AU"/>
        </w:rPr>
        <w:t xml:space="preserve"> services and, if so, contract and fund these services whilst working with MOH to strengthen their capacity to contract</w:t>
      </w:r>
      <w:r w:rsidRPr="00332FC7">
        <w:rPr>
          <w:rFonts w:cs="Arial"/>
          <w:szCs w:val="22"/>
          <w:u w:val="single"/>
          <w:lang w:val="en-AU"/>
        </w:rPr>
        <w:t xml:space="preserve"> this service directly; </w:t>
      </w:r>
      <w:r w:rsidRPr="00332FC7">
        <w:rPr>
          <w:rFonts w:cs="Arial"/>
          <w:b/>
          <w:szCs w:val="22"/>
          <w:u w:val="single"/>
        </w:rPr>
        <w:t>Drugs and consumables</w:t>
      </w:r>
      <w:r w:rsidRPr="00332FC7">
        <w:rPr>
          <w:rFonts w:cs="Arial"/>
          <w:szCs w:val="22"/>
        </w:rPr>
        <w:t xml:space="preserve">: support to help reform management of SAMES or its successor; </w:t>
      </w:r>
      <w:r w:rsidRPr="00332FC7">
        <w:rPr>
          <w:rFonts w:cs="Arial"/>
          <w:b/>
          <w:szCs w:val="22"/>
          <w:u w:val="single"/>
        </w:rPr>
        <w:t>Laboratory and blood bank services</w:t>
      </w:r>
      <w:r w:rsidRPr="00332FC7">
        <w:rPr>
          <w:rFonts w:cs="Arial"/>
          <w:szCs w:val="22"/>
        </w:rPr>
        <w:t xml:space="preserve">:  support to MOH in taking over contracting blood bank services from Red Cross; </w:t>
      </w:r>
      <w:r w:rsidRPr="00332FC7">
        <w:rPr>
          <w:rFonts w:cs="Arial"/>
          <w:szCs w:val="22"/>
          <w:u w:val="single"/>
        </w:rPr>
        <w:t>HMIS</w:t>
      </w:r>
      <w:r w:rsidRPr="00332FC7">
        <w:rPr>
          <w:rFonts w:cs="Arial"/>
          <w:szCs w:val="22"/>
        </w:rPr>
        <w:t xml:space="preserve">: Support for </w:t>
      </w:r>
      <w:r w:rsidRPr="00332FC7">
        <w:rPr>
          <w:rFonts w:cs="Arial"/>
          <w:b/>
          <w:szCs w:val="22"/>
        </w:rPr>
        <w:t>HMIS database management</w:t>
      </w:r>
      <w:r w:rsidRPr="00332FC7">
        <w:rPr>
          <w:rFonts w:cs="Arial"/>
          <w:szCs w:val="22"/>
        </w:rPr>
        <w:t xml:space="preserve">, and use of HMIS info for decision-making </w:t>
      </w:r>
    </w:p>
    <w:p w:rsidR="00332FC7" w:rsidRPr="00332FC7" w:rsidRDefault="00332FC7" w:rsidP="00624D3B">
      <w:pPr>
        <w:numPr>
          <w:ilvl w:val="0"/>
          <w:numId w:val="10"/>
        </w:numPr>
        <w:spacing w:line="276" w:lineRule="auto"/>
        <w:rPr>
          <w:rFonts w:cs="Arial"/>
          <w:szCs w:val="22"/>
        </w:rPr>
      </w:pPr>
      <w:r w:rsidRPr="00332FC7">
        <w:rPr>
          <w:rFonts w:cs="Arial"/>
          <w:szCs w:val="22"/>
        </w:rPr>
        <w:t xml:space="preserve">Human resources for health: Support to implement key components of comprehensive plan for </w:t>
      </w:r>
      <w:r w:rsidRPr="00332FC7">
        <w:rPr>
          <w:rFonts w:cs="Arial"/>
          <w:b/>
          <w:szCs w:val="22"/>
        </w:rPr>
        <w:t>HR development</w:t>
      </w:r>
      <w:r w:rsidRPr="00332FC7">
        <w:rPr>
          <w:rFonts w:cs="Arial"/>
          <w:szCs w:val="22"/>
        </w:rPr>
        <w:t xml:space="preserve"> (drafted under NHSSP-SP) e.g. for strengthening </w:t>
      </w:r>
      <w:r w:rsidRPr="00332FC7">
        <w:rPr>
          <w:rFonts w:cs="Arial"/>
          <w:b/>
          <w:szCs w:val="22"/>
        </w:rPr>
        <w:t>UNTL capacity</w:t>
      </w:r>
      <w:r w:rsidRPr="00332FC7">
        <w:rPr>
          <w:rFonts w:cs="Arial"/>
          <w:szCs w:val="22"/>
        </w:rPr>
        <w:t xml:space="preserve"> to train key cadres; Support to develop a system for HR management to roll out new mechanisms as needed (especially for cadres that deliver RMNCH care); </w:t>
      </w:r>
      <w:r w:rsidRPr="00332FC7">
        <w:rPr>
          <w:rFonts w:cs="Arial"/>
          <w:szCs w:val="22"/>
          <w:lang w:val="en-AU"/>
        </w:rPr>
        <w:t xml:space="preserve">engage NGOs to help </w:t>
      </w:r>
      <w:r w:rsidRPr="00332FC7">
        <w:rPr>
          <w:rFonts w:cs="Arial"/>
          <w:b/>
          <w:szCs w:val="22"/>
          <w:lang w:val="en-AU"/>
        </w:rPr>
        <w:t>strengthen MoH supervision</w:t>
      </w:r>
      <w:r w:rsidRPr="00332FC7">
        <w:rPr>
          <w:rFonts w:cs="Arial"/>
          <w:szCs w:val="22"/>
          <w:lang w:val="en-AU"/>
        </w:rPr>
        <w:t xml:space="preserve"> of providers of reproductive, maternal, neonatal and child health care services.</w:t>
      </w:r>
    </w:p>
    <w:p w:rsidR="00332FC7" w:rsidRPr="00332FC7" w:rsidRDefault="00332FC7" w:rsidP="00624D3B">
      <w:pPr>
        <w:spacing w:line="276" w:lineRule="auto"/>
        <w:rPr>
          <w:rFonts w:cs="Arial"/>
          <w:b/>
          <w:szCs w:val="22"/>
        </w:rPr>
      </w:pPr>
      <w:r w:rsidRPr="00332FC7">
        <w:rPr>
          <w:rFonts w:cs="Arial"/>
          <w:b/>
          <w:szCs w:val="22"/>
        </w:rPr>
        <w:t>How will AusAID support the Ministry?</w:t>
      </w:r>
    </w:p>
    <w:p w:rsidR="00332FC7" w:rsidRPr="00332FC7" w:rsidRDefault="00332FC7" w:rsidP="00624D3B">
      <w:pPr>
        <w:spacing w:line="276" w:lineRule="auto"/>
        <w:rPr>
          <w:rFonts w:cs="Arial"/>
          <w:szCs w:val="22"/>
        </w:rPr>
      </w:pPr>
      <w:r w:rsidRPr="00332FC7">
        <w:rPr>
          <w:rFonts w:cs="Arial"/>
          <w:szCs w:val="22"/>
        </w:rPr>
        <w:t>We propose to use three main modalities to support the Ministry of Health:</w:t>
      </w:r>
    </w:p>
    <w:p w:rsidR="00332FC7" w:rsidRPr="00332FC7" w:rsidRDefault="00332FC7" w:rsidP="00624D3B">
      <w:pPr>
        <w:numPr>
          <w:ilvl w:val="0"/>
          <w:numId w:val="12"/>
        </w:numPr>
        <w:spacing w:line="276" w:lineRule="auto"/>
        <w:rPr>
          <w:rFonts w:cs="Arial"/>
          <w:szCs w:val="22"/>
        </w:rPr>
      </w:pPr>
      <w:r w:rsidRPr="00332FC7">
        <w:rPr>
          <w:rFonts w:cs="Arial"/>
          <w:szCs w:val="22"/>
        </w:rPr>
        <w:t>Procurement and Logistics Facility focusing on health transport and infrastructure (starting in September 2013)</w:t>
      </w:r>
    </w:p>
    <w:p w:rsidR="00332FC7" w:rsidRPr="00332FC7" w:rsidRDefault="00332FC7" w:rsidP="00624D3B">
      <w:pPr>
        <w:numPr>
          <w:ilvl w:val="0"/>
          <w:numId w:val="12"/>
        </w:numPr>
        <w:spacing w:line="276" w:lineRule="auto"/>
        <w:rPr>
          <w:rFonts w:cs="Arial"/>
          <w:szCs w:val="22"/>
        </w:rPr>
      </w:pPr>
      <w:r w:rsidRPr="00332FC7">
        <w:rPr>
          <w:rFonts w:cs="Arial"/>
          <w:szCs w:val="22"/>
        </w:rPr>
        <w:t>Health Contractor who can provide health specific support and sub-contract other partners like NGOs like Health Alliance International (starting in mid-2014 following AusAID procurement)</w:t>
      </w:r>
    </w:p>
    <w:p w:rsidR="00332FC7" w:rsidRPr="00332FC7" w:rsidRDefault="00332FC7" w:rsidP="00624D3B">
      <w:pPr>
        <w:numPr>
          <w:ilvl w:val="0"/>
          <w:numId w:val="12"/>
        </w:numPr>
        <w:spacing w:line="276" w:lineRule="auto"/>
        <w:rPr>
          <w:rFonts w:cs="Arial"/>
          <w:szCs w:val="22"/>
        </w:rPr>
      </w:pPr>
      <w:r w:rsidRPr="00332FC7">
        <w:rPr>
          <w:rFonts w:cs="Arial"/>
          <w:szCs w:val="22"/>
        </w:rPr>
        <w:t>Possible partnership with WHO and World Bank on analysis and technical support (existing partnership with World Bank, possible future partnership with WHO could start in 2014)</w:t>
      </w:r>
    </w:p>
    <w:p w:rsidR="00332FC7" w:rsidRPr="00332FC7" w:rsidRDefault="00332FC7" w:rsidP="00624D3B">
      <w:pPr>
        <w:spacing w:line="276" w:lineRule="auto"/>
        <w:rPr>
          <w:rFonts w:cs="Arial"/>
          <w:b/>
          <w:szCs w:val="22"/>
        </w:rPr>
      </w:pPr>
      <w:r w:rsidRPr="00332FC7">
        <w:rPr>
          <w:rFonts w:cs="Arial"/>
          <w:b/>
          <w:szCs w:val="22"/>
        </w:rPr>
        <w:t>What are the next steps?</w:t>
      </w:r>
    </w:p>
    <w:p w:rsidR="00332FC7" w:rsidRPr="00332FC7" w:rsidRDefault="00332FC7" w:rsidP="00624D3B">
      <w:pPr>
        <w:numPr>
          <w:ilvl w:val="0"/>
          <w:numId w:val="13"/>
        </w:numPr>
        <w:spacing w:line="276" w:lineRule="auto"/>
        <w:rPr>
          <w:rFonts w:cs="Arial"/>
          <w:szCs w:val="22"/>
        </w:rPr>
      </w:pPr>
      <w:r w:rsidRPr="00332FC7">
        <w:rPr>
          <w:rFonts w:cs="Arial"/>
          <w:szCs w:val="22"/>
        </w:rPr>
        <w:t xml:space="preserve">We start the </w:t>
      </w:r>
      <w:r w:rsidRPr="00332FC7">
        <w:rPr>
          <w:rFonts w:cs="Arial"/>
          <w:b/>
          <w:szCs w:val="22"/>
        </w:rPr>
        <w:t>health transport support in September 2013</w:t>
      </w:r>
      <w:r w:rsidRPr="00332FC7">
        <w:rPr>
          <w:rFonts w:cs="Arial"/>
          <w:szCs w:val="22"/>
        </w:rPr>
        <w:t xml:space="preserve"> with a team from the National Directorate of Administration and Human Resources and National Directorate of Support and Hospital Services.</w:t>
      </w:r>
    </w:p>
    <w:p w:rsidR="00332FC7" w:rsidRPr="00332FC7" w:rsidRDefault="00332FC7" w:rsidP="00624D3B">
      <w:pPr>
        <w:numPr>
          <w:ilvl w:val="0"/>
          <w:numId w:val="13"/>
        </w:numPr>
        <w:spacing w:line="276" w:lineRule="auto"/>
        <w:rPr>
          <w:rFonts w:cs="Arial"/>
          <w:szCs w:val="22"/>
        </w:rPr>
      </w:pPr>
      <w:r w:rsidRPr="00332FC7">
        <w:rPr>
          <w:rFonts w:cs="Arial"/>
          <w:szCs w:val="22"/>
        </w:rPr>
        <w:t xml:space="preserve">Minister signs off on the approach and provides a </w:t>
      </w:r>
      <w:r w:rsidRPr="00332FC7">
        <w:rPr>
          <w:rFonts w:cs="Arial"/>
          <w:b/>
          <w:szCs w:val="22"/>
        </w:rPr>
        <w:t>letter of support by November 2013</w:t>
      </w:r>
      <w:r w:rsidRPr="00332FC7">
        <w:rPr>
          <w:rFonts w:cs="Arial"/>
          <w:szCs w:val="22"/>
        </w:rPr>
        <w:t xml:space="preserve">. AusAID would be happy to present at the Council of Directors or to have some workshops or meetings to explain the new </w:t>
      </w:r>
      <w:r w:rsidR="0033505D">
        <w:rPr>
          <w:rFonts w:cs="Arial"/>
          <w:szCs w:val="22"/>
        </w:rPr>
        <w:t>program</w:t>
      </w:r>
      <w:r w:rsidRPr="00332FC7">
        <w:rPr>
          <w:rFonts w:cs="Arial"/>
          <w:szCs w:val="22"/>
        </w:rPr>
        <w:t>.</w:t>
      </w:r>
    </w:p>
    <w:p w:rsidR="00332FC7" w:rsidRPr="00332FC7" w:rsidRDefault="00332FC7" w:rsidP="00624D3B">
      <w:pPr>
        <w:numPr>
          <w:ilvl w:val="0"/>
          <w:numId w:val="13"/>
        </w:numPr>
        <w:spacing w:line="276" w:lineRule="auto"/>
        <w:rPr>
          <w:rFonts w:cs="Arial"/>
          <w:szCs w:val="22"/>
        </w:rPr>
      </w:pPr>
      <w:r w:rsidRPr="00332FC7">
        <w:rPr>
          <w:rFonts w:cs="Arial"/>
          <w:szCs w:val="22"/>
        </w:rPr>
        <w:t xml:space="preserve">AusAID puts a tender out for the </w:t>
      </w:r>
      <w:r w:rsidRPr="00332FC7">
        <w:rPr>
          <w:rFonts w:cs="Arial"/>
          <w:b/>
          <w:szCs w:val="22"/>
        </w:rPr>
        <w:t>health contractors</w:t>
      </w:r>
      <w:r w:rsidRPr="00332FC7">
        <w:rPr>
          <w:rFonts w:cs="Arial"/>
          <w:szCs w:val="22"/>
        </w:rPr>
        <w:t>. Ministry of Health joins AusAID on the Technical Advisory Panel that recruits the contractor.</w:t>
      </w:r>
    </w:p>
    <w:p w:rsidR="00332FC7" w:rsidRPr="00332FC7" w:rsidRDefault="00332FC7" w:rsidP="00624D3B">
      <w:pPr>
        <w:numPr>
          <w:ilvl w:val="0"/>
          <w:numId w:val="13"/>
        </w:numPr>
        <w:spacing w:line="276" w:lineRule="auto"/>
        <w:rPr>
          <w:rFonts w:cs="Arial"/>
          <w:szCs w:val="22"/>
        </w:rPr>
      </w:pPr>
      <w:r w:rsidRPr="00332FC7">
        <w:rPr>
          <w:rFonts w:cs="Arial"/>
          <w:szCs w:val="22"/>
        </w:rPr>
        <w:t xml:space="preserve">The full </w:t>
      </w:r>
      <w:r w:rsidR="0033505D">
        <w:rPr>
          <w:rFonts w:cs="Arial"/>
          <w:szCs w:val="22"/>
        </w:rPr>
        <w:t>program</w:t>
      </w:r>
      <w:r w:rsidRPr="00332FC7">
        <w:rPr>
          <w:rFonts w:cs="Arial"/>
          <w:szCs w:val="22"/>
        </w:rPr>
        <w:t xml:space="preserve"> with support by the health contractors would commence </w:t>
      </w:r>
      <w:r w:rsidRPr="00332FC7">
        <w:rPr>
          <w:rFonts w:cs="Arial"/>
          <w:b/>
          <w:szCs w:val="22"/>
        </w:rPr>
        <w:t>August 2014</w:t>
      </w:r>
      <w:r w:rsidRPr="00332FC7">
        <w:rPr>
          <w:rFonts w:cs="Arial"/>
          <w:szCs w:val="22"/>
        </w:rPr>
        <w:t>.</w:t>
      </w:r>
    </w:p>
    <w:p w:rsidR="00332FC7" w:rsidRPr="00332FC7" w:rsidRDefault="00332FC7" w:rsidP="00624D3B">
      <w:pPr>
        <w:numPr>
          <w:ilvl w:val="0"/>
          <w:numId w:val="13"/>
        </w:numPr>
        <w:spacing w:line="276" w:lineRule="auto"/>
        <w:rPr>
          <w:rFonts w:cs="Arial"/>
          <w:b/>
          <w:szCs w:val="22"/>
        </w:rPr>
      </w:pPr>
      <w:r w:rsidRPr="00332FC7">
        <w:rPr>
          <w:rFonts w:cs="Arial"/>
          <w:b/>
          <w:szCs w:val="22"/>
        </w:rPr>
        <w:t xml:space="preserve">Review progress and identify </w:t>
      </w:r>
      <w:r w:rsidR="0033505D">
        <w:rPr>
          <w:rFonts w:cs="Arial"/>
          <w:b/>
          <w:szCs w:val="22"/>
        </w:rPr>
        <w:t>program</w:t>
      </w:r>
      <w:r w:rsidRPr="00332FC7">
        <w:rPr>
          <w:rFonts w:cs="Arial"/>
          <w:b/>
          <w:szCs w:val="22"/>
        </w:rPr>
        <w:t xml:space="preserve"> priorities </w:t>
      </w:r>
      <w:r w:rsidRPr="00332FC7">
        <w:rPr>
          <w:rFonts w:cs="Arial"/>
          <w:szCs w:val="22"/>
        </w:rPr>
        <w:t>within</w:t>
      </w:r>
      <w:r w:rsidRPr="00332FC7">
        <w:rPr>
          <w:rFonts w:cs="Arial"/>
          <w:b/>
          <w:szCs w:val="22"/>
        </w:rPr>
        <w:t xml:space="preserve"> </w:t>
      </w:r>
      <w:r w:rsidRPr="00332FC7">
        <w:rPr>
          <w:rFonts w:cs="Arial"/>
          <w:szCs w:val="22"/>
        </w:rPr>
        <w:t>MoH planning process in May and June 2014, when MoH is putting together their budget submission or MoF.</w:t>
      </w:r>
    </w:p>
    <w:p w:rsidR="00332FC7" w:rsidRDefault="00332FC7" w:rsidP="00624D3B">
      <w:pPr>
        <w:spacing w:line="276" w:lineRule="auto"/>
        <w:jc w:val="left"/>
        <w:rPr>
          <w:b/>
        </w:rPr>
      </w:pPr>
    </w:p>
    <w:p w:rsidR="00C04602" w:rsidRDefault="00C04602">
      <w:pPr>
        <w:spacing w:after="0"/>
        <w:jc w:val="left"/>
        <w:rPr>
          <w:bCs/>
        </w:rPr>
        <w:sectPr w:rsidR="00C04602" w:rsidSect="00B569F1">
          <w:headerReference w:type="even" r:id="rId23"/>
          <w:footerReference w:type="default" r:id="rId24"/>
          <w:pgSz w:w="11906" w:h="16838" w:code="9"/>
          <w:pgMar w:top="1440" w:right="1797" w:bottom="1440" w:left="1797" w:header="709" w:footer="709" w:gutter="0"/>
          <w:cols w:space="708"/>
          <w:docGrid w:linePitch="360"/>
        </w:sectPr>
      </w:pPr>
    </w:p>
    <w:p w:rsidR="00E97966" w:rsidRDefault="002A7C11" w:rsidP="000D1C92">
      <w:pPr>
        <w:pStyle w:val="HRFNoNumberHeading1"/>
        <w:spacing w:before="0" w:line="276" w:lineRule="auto"/>
      </w:pPr>
      <w:bookmarkStart w:id="44" w:name="_Toc373502501"/>
      <w:r>
        <w:t>Annex 3</w:t>
      </w:r>
      <w:r w:rsidRPr="00332FC7">
        <w:t xml:space="preserve">: </w:t>
      </w:r>
      <w:r w:rsidRPr="002A7C11">
        <w:t>Global Incremental costs (2005 constant dollars) of meeting health MDGs 4, 5, and 6 b</w:t>
      </w:r>
      <w:r>
        <w:t>y year</w:t>
      </w:r>
      <w:bookmarkEnd w:id="44"/>
    </w:p>
    <w:p w:rsidR="00C04602" w:rsidRDefault="002A7C11" w:rsidP="00182332">
      <w:pPr>
        <w:sectPr w:rsidR="00C04602" w:rsidSect="00E97966">
          <w:headerReference w:type="default" r:id="rId25"/>
          <w:footerReference w:type="default" r:id="rId26"/>
          <w:pgSz w:w="16838" w:h="11906" w:orient="landscape" w:code="9"/>
          <w:pgMar w:top="1276" w:right="1440" w:bottom="993" w:left="1440" w:header="709" w:footer="709" w:gutter="0"/>
          <w:cols w:space="708"/>
          <w:docGrid w:linePitch="360"/>
        </w:sectPr>
      </w:pPr>
      <w:r w:rsidRPr="002A7C11">
        <w:rPr>
          <w:rFonts w:ascii="Calibri" w:hAnsi="Calibri"/>
          <w:noProof/>
          <w:sz w:val="20"/>
          <w:szCs w:val="18"/>
          <w:lang w:val="en-AU" w:eastAsia="en-AU" w:bidi="ar-SA"/>
        </w:rPr>
        <w:drawing>
          <wp:inline distT="0" distB="0" distL="0" distR="0" wp14:anchorId="5924C6B9" wp14:editId="72E89174">
            <wp:extent cx="5753100" cy="4880806"/>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7" cstate="print">
                      <a:lum contrast="35000"/>
                      <a:extLst>
                        <a:ext uri="{28A0092B-C50C-407E-A947-70E740481C1C}">
                          <a14:useLocalDpi xmlns:a14="http://schemas.microsoft.com/office/drawing/2010/main" val="0"/>
                        </a:ext>
                      </a:extLst>
                    </a:blip>
                    <a:srcRect/>
                    <a:stretch>
                      <a:fillRect/>
                    </a:stretch>
                  </pic:blipFill>
                  <pic:spPr bwMode="auto">
                    <a:xfrm>
                      <a:off x="0" y="0"/>
                      <a:ext cx="5755825" cy="4883118"/>
                    </a:xfrm>
                    <a:prstGeom prst="rect">
                      <a:avLst/>
                    </a:prstGeom>
                    <a:noFill/>
                    <a:ln w="9525">
                      <a:noFill/>
                      <a:miter lim="800000"/>
                      <a:headEnd/>
                      <a:tailEnd/>
                    </a:ln>
                  </pic:spPr>
                </pic:pic>
              </a:graphicData>
            </a:graphic>
          </wp:inline>
        </w:drawing>
      </w:r>
      <w:r w:rsidR="000D1C92">
        <w:rPr>
          <w:rStyle w:val="FootnoteReference"/>
        </w:rPr>
        <w:footnoteReference w:id="82"/>
      </w:r>
    </w:p>
    <w:p w:rsidR="00ED77C0" w:rsidRPr="000D1C92" w:rsidRDefault="00ED77C0" w:rsidP="000D1C92">
      <w:pPr>
        <w:pStyle w:val="HRFNoNumberHeading1"/>
      </w:pPr>
      <w:bookmarkStart w:id="45" w:name="_Toc373502502"/>
      <w:bookmarkStart w:id="46" w:name="_Toc227910816"/>
      <w:bookmarkStart w:id="47" w:name="_Toc227997096"/>
      <w:bookmarkStart w:id="48" w:name="_Toc230063954"/>
      <w:bookmarkStart w:id="49" w:name="_Toc230064060"/>
      <w:r w:rsidRPr="000D1C92">
        <w:t>Reference List</w:t>
      </w:r>
      <w:bookmarkEnd w:id="45"/>
    </w:p>
    <w:p w:rsidR="00ED77C0" w:rsidRDefault="00ED77C0" w:rsidP="00ED77C0">
      <w:r>
        <w:t xml:space="preserve">ADB EASHD </w:t>
      </w:r>
      <w:r w:rsidR="00D0414C">
        <w:t>(</w:t>
      </w:r>
      <w:r>
        <w:t>2011</w:t>
      </w:r>
      <w:r w:rsidR="00D0414C">
        <w:t>)</w:t>
      </w:r>
      <w:r>
        <w:t xml:space="preserve"> Timor-Leste: Health Financing Note Final Version </w:t>
      </w:r>
    </w:p>
    <w:p w:rsidR="00D0414C" w:rsidRDefault="00ED77C0" w:rsidP="00ED77C0">
      <w:r>
        <w:t>A</w:t>
      </w:r>
      <w:r w:rsidR="00745F75">
        <w:t>.</w:t>
      </w:r>
      <w:r w:rsidR="00D0414C">
        <w:t xml:space="preserve"> Seiter</w:t>
      </w:r>
      <w:r>
        <w:t xml:space="preserve"> </w:t>
      </w:r>
      <w:r w:rsidR="00D0414C">
        <w:t>(</w:t>
      </w:r>
      <w:r>
        <w:t>2011</w:t>
      </w:r>
      <w:r w:rsidR="00D0414C">
        <w:t>)</w:t>
      </w:r>
      <w:r>
        <w:t xml:space="preserve"> Timor Leste: Options for Improving Governance and Management in the Pharma</w:t>
      </w:r>
      <w:r w:rsidR="00D0414C">
        <w:t>ceutical Sector The World Bank</w:t>
      </w:r>
    </w:p>
    <w:p w:rsidR="00ED77C0" w:rsidRDefault="00ED77C0" w:rsidP="00ED77C0">
      <w:r>
        <w:t>A</w:t>
      </w:r>
      <w:r w:rsidR="00745F75">
        <w:t>.</w:t>
      </w:r>
      <w:r>
        <w:t xml:space="preserve"> Mills et al </w:t>
      </w:r>
      <w:r w:rsidR="00D0414C">
        <w:t>(</w:t>
      </w:r>
      <w:r>
        <w:t>2006</w:t>
      </w:r>
      <w:r w:rsidR="00D0414C">
        <w:t>)</w:t>
      </w:r>
      <w:r>
        <w:t xml:space="preserve"> Chapter 3 Strengthening Health Systems., Fawzia Rasheed, and Stephen Tollman. in Disease Control Priorities in Developing Countries. 2nd edition.Jamison DT, Breman JG, Measham AR, et al., editor</w:t>
      </w:r>
      <w:r w:rsidR="00D0414C">
        <w:t>s. Washington (DC): World Bank.</w:t>
      </w:r>
    </w:p>
    <w:p w:rsidR="00ED77C0" w:rsidRDefault="00ED77C0" w:rsidP="00ED77C0">
      <w:r>
        <w:t xml:space="preserve">Asante, A et al. </w:t>
      </w:r>
      <w:r w:rsidR="00D0414C">
        <w:t>(</w:t>
      </w:r>
      <w:r>
        <w:t>2011</w:t>
      </w:r>
      <w:r w:rsidR="00D0414C">
        <w:t>)</w:t>
      </w:r>
      <w:r>
        <w:t xml:space="preserve"> A review of health leadership and management capacity in Timor-Leste, Human Resources for Health Knowledge Hub, University of New South Wales, Sydney.</w:t>
      </w:r>
    </w:p>
    <w:p w:rsidR="00D0414C" w:rsidRDefault="00ED77C0" w:rsidP="00ED77C0">
      <w:r>
        <w:t xml:space="preserve">AusAID </w:t>
      </w:r>
      <w:r w:rsidR="00D0414C">
        <w:t xml:space="preserve">(2013) </w:t>
      </w:r>
      <w:r>
        <w:t xml:space="preserve">Australia – Timor-Leste Health Delivery Strategy: 2013 – 2020 </w:t>
      </w:r>
    </w:p>
    <w:p w:rsidR="00D0414C" w:rsidRDefault="00ED77C0" w:rsidP="00ED77C0">
      <w:r>
        <w:t xml:space="preserve">AusAID </w:t>
      </w:r>
      <w:r w:rsidR="00D0414C">
        <w:t xml:space="preserve">(2013) AusAID </w:t>
      </w:r>
      <w:r>
        <w:t xml:space="preserve">Timor-Leste Health </w:t>
      </w:r>
      <w:r w:rsidR="0033505D">
        <w:t>Program</w:t>
      </w:r>
      <w:r>
        <w:t xml:space="preserve"> 2013-2021 Concept Note </w:t>
      </w:r>
    </w:p>
    <w:p w:rsidR="00ED77C0" w:rsidRDefault="00ED77C0" w:rsidP="00ED77C0">
      <w:r>
        <w:t xml:space="preserve">Australia Timor-Leste </w:t>
      </w:r>
      <w:r w:rsidR="0033505D">
        <w:t>Program</w:t>
      </w:r>
      <w:r>
        <w:t xml:space="preserve"> of Assistance for Secondary Services (ATLASS) Phase II Final </w:t>
      </w:r>
      <w:r w:rsidR="0033505D">
        <w:t>Program</w:t>
      </w:r>
      <w:r>
        <w:t xml:space="preserve"> Design Document</w:t>
      </w:r>
      <w:r w:rsidR="00D0414C">
        <w:t>,</w:t>
      </w:r>
      <w:r>
        <w:t xml:space="preserve"> May 2012</w:t>
      </w:r>
    </w:p>
    <w:p w:rsidR="00ED77C0" w:rsidRDefault="00DC18B0" w:rsidP="00ED77C0">
      <w:r w:rsidRPr="00DC18B0">
        <w:t xml:space="preserve">WHO </w:t>
      </w:r>
      <w:r w:rsidR="00D0414C">
        <w:t>(</w:t>
      </w:r>
      <w:r w:rsidRPr="00DC18B0">
        <w:t>2010</w:t>
      </w:r>
      <w:r w:rsidR="00D0414C">
        <w:t>)</w:t>
      </w:r>
      <w:r>
        <w:t xml:space="preserve"> </w:t>
      </w:r>
      <w:r w:rsidR="00ED77C0">
        <w:t>Constraints to Scaling Up the Health Millennium Development Goals: Costing and Financial Gap Analysis Background Document for the Taskforce on Innovative International Financing for Health Systems Working Group 1: Cons</w:t>
      </w:r>
      <w:r>
        <w:t>traints to Scaling Up and Costs.</w:t>
      </w:r>
      <w:r w:rsidR="00ED77C0">
        <w:t xml:space="preserve"> </w:t>
      </w:r>
    </w:p>
    <w:p w:rsidR="00ED77C0" w:rsidRDefault="00ED77C0" w:rsidP="00ED77C0">
      <w:r>
        <w:t xml:space="preserve">D. Northway </w:t>
      </w:r>
      <w:r w:rsidR="00D0414C">
        <w:t>(2013) East Timor Budget Analysis, Health Resource Facility</w:t>
      </w:r>
    </w:p>
    <w:p w:rsidR="00ED77C0" w:rsidRDefault="00ED77C0" w:rsidP="00ED77C0">
      <w:r>
        <w:t>Deon F</w:t>
      </w:r>
      <w:r w:rsidR="00745F75">
        <w:t>.</w:t>
      </w:r>
      <w:r>
        <w:t xml:space="preserve">, Jeffrey S. Hammer, Lant H. Pritchett  </w:t>
      </w:r>
      <w:r w:rsidR="00D0414C">
        <w:t>(</w:t>
      </w:r>
      <w:r>
        <w:t>2000</w:t>
      </w:r>
      <w:r w:rsidR="00D0414C">
        <w:t>)</w:t>
      </w:r>
      <w:r>
        <w:t xml:space="preserve"> Weak Links in the Chain: A Diagnosis of Health Policy in Poor Countries The World Bank Research Observer, vol. 15, no. 2 </w:t>
      </w:r>
    </w:p>
    <w:p w:rsidR="00ED77C0" w:rsidRDefault="00ED77C0" w:rsidP="00ED77C0">
      <w:r>
        <w:t>Direçao Nacional Apoio Serviço Hospitalares 2013(?) Dadus Ambulancia Ba Reparasaun</w:t>
      </w:r>
    </w:p>
    <w:p w:rsidR="00982D02" w:rsidRPr="00982D02" w:rsidRDefault="00982D02" w:rsidP="00982D02">
      <w:pPr>
        <w:rPr>
          <w:lang w:val="en-US"/>
        </w:rPr>
      </w:pPr>
      <w:r w:rsidRPr="00982D02">
        <w:rPr>
          <w:lang w:val="en-US"/>
        </w:rPr>
        <w:t xml:space="preserve">Disease Control Priorities Project </w:t>
      </w:r>
      <w:r w:rsidR="00D0414C">
        <w:rPr>
          <w:lang w:val="en-US"/>
        </w:rPr>
        <w:t>(</w:t>
      </w:r>
      <w:r w:rsidRPr="00982D02">
        <w:rPr>
          <w:lang w:val="en-US"/>
        </w:rPr>
        <w:t>2008</w:t>
      </w:r>
      <w:r w:rsidR="00D0414C">
        <w:rPr>
          <w:lang w:val="en-US"/>
        </w:rPr>
        <w:t>)</w:t>
      </w:r>
      <w:r w:rsidRPr="00982D02">
        <w:rPr>
          <w:lang w:val="en-US"/>
        </w:rPr>
        <w:t xml:space="preserve"> Using Evidence About “Best Buys” to Advance Global Health</w:t>
      </w:r>
    </w:p>
    <w:p w:rsidR="00B37AB1" w:rsidRDefault="00B37AB1" w:rsidP="00ED77C0">
      <w:pPr>
        <w:rPr>
          <w:lang w:val="en-US"/>
        </w:rPr>
      </w:pPr>
      <w:r w:rsidRPr="0003792C">
        <w:rPr>
          <w:lang w:val="en-US"/>
        </w:rPr>
        <w:t>D</w:t>
      </w:r>
      <w:r>
        <w:rPr>
          <w:lang w:val="en-US"/>
        </w:rPr>
        <w:t>.</w:t>
      </w:r>
      <w:r w:rsidRPr="0003792C">
        <w:rPr>
          <w:lang w:val="en-US"/>
        </w:rPr>
        <w:t xml:space="preserve"> Whitaker, V</w:t>
      </w:r>
      <w:r>
        <w:rPr>
          <w:lang w:val="en-US"/>
        </w:rPr>
        <w:t>.</w:t>
      </w:r>
      <w:r w:rsidRPr="0003792C">
        <w:rPr>
          <w:lang w:val="en-US"/>
        </w:rPr>
        <w:t xml:space="preserve"> Walford and B</w:t>
      </w:r>
      <w:r>
        <w:rPr>
          <w:lang w:val="en-US"/>
        </w:rPr>
        <w:t>.</w:t>
      </w:r>
      <w:r w:rsidRPr="0003792C">
        <w:rPr>
          <w:lang w:val="en-US"/>
        </w:rPr>
        <w:t xml:space="preserve"> </w:t>
      </w:r>
      <w:r>
        <w:rPr>
          <w:lang w:val="en-US"/>
        </w:rPr>
        <w:t>D</w:t>
      </w:r>
      <w:r w:rsidRPr="0003792C">
        <w:rPr>
          <w:lang w:val="en-US"/>
        </w:rPr>
        <w:t>avid</w:t>
      </w:r>
      <w:r>
        <w:rPr>
          <w:lang w:val="en-US"/>
        </w:rPr>
        <w:t xml:space="preserve"> (2013) </w:t>
      </w:r>
      <w:r w:rsidRPr="0003792C">
        <w:rPr>
          <w:lang w:val="en-US"/>
        </w:rPr>
        <w:t>Health care financing in the Asia</w:t>
      </w:r>
      <w:r>
        <w:rPr>
          <w:lang w:val="en-US"/>
        </w:rPr>
        <w:t xml:space="preserve"> </w:t>
      </w:r>
      <w:r w:rsidRPr="0003792C">
        <w:rPr>
          <w:lang w:val="en-US"/>
        </w:rPr>
        <w:t>Pacific region</w:t>
      </w:r>
      <w:r>
        <w:rPr>
          <w:lang w:val="en-US"/>
        </w:rPr>
        <w:t xml:space="preserve"> , </w:t>
      </w:r>
      <w:r>
        <w:t>HLSP Institute</w:t>
      </w:r>
    </w:p>
    <w:p w:rsidR="00ED77C0" w:rsidRDefault="00DC18B0" w:rsidP="00ED77C0">
      <w:r>
        <w:t xml:space="preserve">Ensor et al </w:t>
      </w:r>
      <w:r w:rsidR="00D0414C">
        <w:t>(</w:t>
      </w:r>
      <w:r>
        <w:t>2012</w:t>
      </w:r>
      <w:r w:rsidR="00D0414C">
        <w:t>)</w:t>
      </w:r>
      <w:r w:rsidR="00ED77C0">
        <w:t xml:space="preserve"> Budgeting Based on Need: a model to determine sub-national allocation of resources for health services in Indonesia. BioMed Central Open Access</w:t>
      </w:r>
    </w:p>
    <w:p w:rsidR="00ED77C0" w:rsidRDefault="00ED77C0" w:rsidP="00ED77C0">
      <w:r>
        <w:t>Eomba, Motomoke, Gre</w:t>
      </w:r>
      <w:r w:rsidR="00D0414C">
        <w:t>gory Roche, and Erin Hasselberg</w:t>
      </w:r>
      <w:r>
        <w:t xml:space="preserve"> </w:t>
      </w:r>
      <w:r w:rsidR="00D0414C">
        <w:t>(2010)</w:t>
      </w:r>
      <w:r>
        <w:t xml:space="preserve"> Initiating In-Country Pre-Service Training in Supply Chain Management for Health Commodities: Process Guide and Sample Curriculum Outline. Arlington, Va.: USAID | DELIVER PROJECT, Task Order 1.</w:t>
      </w:r>
    </w:p>
    <w:p w:rsidR="00ED77C0" w:rsidRDefault="00DC18B0" w:rsidP="00ED77C0">
      <w:r>
        <w:t xml:space="preserve">European Union </w:t>
      </w:r>
      <w:r w:rsidR="00D0414C">
        <w:t>(</w:t>
      </w:r>
      <w:r>
        <w:t>2012</w:t>
      </w:r>
      <w:r w:rsidR="00D0414C">
        <w:t>)</w:t>
      </w:r>
      <w:r w:rsidR="00ED77C0">
        <w:t xml:space="preserve"> Study of the Pharmaceutical sub-Sector in Zambia. Specific Contract ref n°: 2012/284573</w:t>
      </w:r>
      <w:r>
        <w:t>.</w:t>
      </w:r>
    </w:p>
    <w:p w:rsidR="00ED77C0" w:rsidRDefault="00D0414C" w:rsidP="00ED77C0">
      <w:r>
        <w:t>Fikree, F.F. (</w:t>
      </w:r>
      <w:r w:rsidR="00ED77C0">
        <w:t>2007</w:t>
      </w:r>
      <w:r>
        <w:t>)</w:t>
      </w:r>
      <w:r w:rsidR="00ED77C0">
        <w:t xml:space="preserve"> Prioritizing Cost-Effective Interventions While Strengthening Health Systems: Balancing Vertical and Horizontal </w:t>
      </w:r>
      <w:r w:rsidR="0033505D">
        <w:t>Program</w:t>
      </w:r>
      <w:r w:rsidR="00ED77C0">
        <w:t>s Disease Control Priorities Project</w:t>
      </w:r>
    </w:p>
    <w:p w:rsidR="00ED77C0" w:rsidRDefault="00ED77C0" w:rsidP="00ED77C0">
      <w:r>
        <w:t>G</w:t>
      </w:r>
      <w:r w:rsidR="00745F75">
        <w:t>.</w:t>
      </w:r>
      <w:r>
        <w:t xml:space="preserve"> Jones et al (2003) How many child deaths can we prevent this year?, Richard W Steketee, Robert E Black, Zulfiqar A Bhutta, Saul S Morris, and the Bellagio Child Survival Study Group. The Lancet Child Survival Series </w:t>
      </w:r>
    </w:p>
    <w:p w:rsidR="00ED77C0" w:rsidRDefault="00ED77C0" w:rsidP="00ED77C0">
      <w:r>
        <w:t>G</w:t>
      </w:r>
      <w:r w:rsidR="00745F75">
        <w:t>.</w:t>
      </w:r>
      <w:r>
        <w:t xml:space="preserve"> Chee, N</w:t>
      </w:r>
      <w:r w:rsidR="00745F75">
        <w:t>.</w:t>
      </w:r>
      <w:r>
        <w:t xml:space="preserve"> Pielemeier, A</w:t>
      </w:r>
      <w:r w:rsidR="00745F75">
        <w:t>.</w:t>
      </w:r>
      <w:r>
        <w:t xml:space="preserve"> Lion and C</w:t>
      </w:r>
      <w:r w:rsidR="00745F75">
        <w:t>.</w:t>
      </w:r>
      <w:r>
        <w:t xml:space="preserve"> Connor </w:t>
      </w:r>
      <w:r w:rsidR="00D87298">
        <w:t>(</w:t>
      </w:r>
      <w:r>
        <w:t>2013</w:t>
      </w:r>
      <w:r w:rsidR="00D87298">
        <w:t>)</w:t>
      </w:r>
      <w:r>
        <w:t xml:space="preserve"> Why differentiating between health system support and health system strengthening is needed } Int J Health Plann Mgmt; 28: 85–94.</w:t>
      </w:r>
    </w:p>
    <w:p w:rsidR="00ED77C0" w:rsidRDefault="00ED77C0" w:rsidP="00ED77C0">
      <w:r>
        <w:t>Hanson K et al. (2003). Expanding access to priority health interventions: A framework for understanding the constraints to scaling up. Journal of International Development, 15:1-14</w:t>
      </w:r>
    </w:p>
    <w:p w:rsidR="00ED77C0" w:rsidRDefault="00ED77C0" w:rsidP="00ED77C0">
      <w:r>
        <w:t xml:space="preserve">Health Alliance International </w:t>
      </w:r>
      <w:r w:rsidR="00D87298">
        <w:t>(</w:t>
      </w:r>
      <w:r>
        <w:t>2008</w:t>
      </w:r>
      <w:r w:rsidR="00D87298">
        <w:t>)</w:t>
      </w:r>
      <w:r>
        <w:t xml:space="preserve"> Improving Maternal and Newborn Health in Timor Leste Final Evaluation Report: Seven Districts in the Democratic Republic of Timor-Leste December </w:t>
      </w:r>
    </w:p>
    <w:p w:rsidR="007120B2" w:rsidRDefault="007120B2" w:rsidP="00ED77C0">
      <w:r w:rsidRPr="007120B2">
        <w:rPr>
          <w:lang w:bidi="ar-SA"/>
        </w:rPr>
        <w:t xml:space="preserve">HLSP Institute </w:t>
      </w:r>
      <w:r w:rsidR="00D87298">
        <w:rPr>
          <w:lang w:bidi="ar-SA"/>
        </w:rPr>
        <w:t>(</w:t>
      </w:r>
      <w:r w:rsidRPr="007120B2">
        <w:rPr>
          <w:lang w:bidi="ar-SA"/>
        </w:rPr>
        <w:t>2013</w:t>
      </w:r>
      <w:r w:rsidR="00D87298">
        <w:rPr>
          <w:lang w:bidi="ar-SA"/>
        </w:rPr>
        <w:t>)</w:t>
      </w:r>
      <w:r w:rsidRPr="007120B2">
        <w:rPr>
          <w:lang w:bidi="ar-SA"/>
        </w:rPr>
        <w:t xml:space="preserve"> </w:t>
      </w:r>
      <w:r w:rsidRPr="007120B2">
        <w:rPr>
          <w:lang w:val="en-US"/>
        </w:rPr>
        <w:t>Health care financing in the Asia Pacific region Dan Whitaker, Ver</w:t>
      </w:r>
      <w:r w:rsidR="00D87298">
        <w:rPr>
          <w:lang w:val="en-US"/>
        </w:rPr>
        <w:t>onica Walford and Ben David</w:t>
      </w:r>
      <w:r w:rsidRPr="007120B2">
        <w:rPr>
          <w:lang w:val="en-US"/>
        </w:rPr>
        <w:t xml:space="preserve">. </w:t>
      </w:r>
    </w:p>
    <w:p w:rsidR="00ED77C0" w:rsidRPr="007B6A88" w:rsidRDefault="00ED77C0" w:rsidP="00ED77C0">
      <w:pPr>
        <w:rPr>
          <w:lang w:val="fr-FR"/>
        </w:rPr>
      </w:pPr>
      <w:r w:rsidRPr="007B6A88">
        <w:rPr>
          <w:lang w:val="fr-FR"/>
        </w:rPr>
        <w:t xml:space="preserve">Infrastructure projects </w:t>
      </w:r>
      <w:r w:rsidR="00D87298">
        <w:rPr>
          <w:lang w:val="fr-FR"/>
        </w:rPr>
        <w:t>(</w:t>
      </w:r>
      <w:r w:rsidRPr="007B6A88">
        <w:rPr>
          <w:lang w:val="fr-FR"/>
        </w:rPr>
        <w:t>2013</w:t>
      </w:r>
      <w:r w:rsidR="00D87298">
        <w:rPr>
          <w:lang w:val="fr-FR"/>
        </w:rPr>
        <w:t>)</w:t>
      </w:r>
      <w:r w:rsidRPr="007B6A88">
        <w:rPr>
          <w:lang w:val="fr-FR"/>
        </w:rPr>
        <w:t xml:space="preserve"> Rehabilitasaun Postu Saude + Maternidade (Excel)</w:t>
      </w:r>
    </w:p>
    <w:p w:rsidR="00ED77C0" w:rsidRDefault="00ED77C0" w:rsidP="00ED77C0">
      <w:r>
        <w:t>IV Constitutional Government Ministério Da Saúde Ministry of Health Republic of Timor Leste National Drugs and Medicines Policy</w:t>
      </w:r>
    </w:p>
    <w:p w:rsidR="00ED77C0" w:rsidRDefault="00ED77C0" w:rsidP="00ED77C0">
      <w:r>
        <w:t xml:space="preserve">Johns B, Baltussen R, Hutubessy R  </w:t>
      </w:r>
      <w:r w:rsidR="00D87298">
        <w:t>(</w:t>
      </w:r>
      <w:r>
        <w:t>2003</w:t>
      </w:r>
      <w:r w:rsidR="00D87298">
        <w:t>)</w:t>
      </w:r>
      <w:r>
        <w:t xml:space="preserve"> Programmme costs in the economic evaluation of health interventions.. Cost effectivene</w:t>
      </w:r>
      <w:r w:rsidR="00D87298">
        <w:t>ss and Resource Allocation</w:t>
      </w:r>
      <w:r>
        <w:t>, 1:1.</w:t>
      </w:r>
    </w:p>
    <w:p w:rsidR="00ED77C0" w:rsidRDefault="00ED77C0" w:rsidP="00ED77C0">
      <w:r>
        <w:t>K</w:t>
      </w:r>
      <w:r w:rsidR="00745F75">
        <w:t xml:space="preserve">. </w:t>
      </w:r>
      <w:r>
        <w:t xml:space="preserve">Holloway </w:t>
      </w:r>
      <w:r w:rsidR="00D87298">
        <w:t>(</w:t>
      </w:r>
      <w:r w:rsidR="00DC18B0">
        <w:t>2012</w:t>
      </w:r>
      <w:r w:rsidR="00D87298">
        <w:t>)</w:t>
      </w:r>
      <w:r w:rsidR="00DC18B0">
        <w:t xml:space="preserve"> </w:t>
      </w:r>
      <w:r>
        <w:t xml:space="preserve">Regional Advisor in Essential Drugs and Other Medicines. Timor-Leste Pharmaceuticals in Health Care Delivery Mission Report </w:t>
      </w:r>
    </w:p>
    <w:p w:rsidR="00ED77C0" w:rsidRDefault="00ED77C0" w:rsidP="00ED77C0">
      <w:r>
        <w:t>K</w:t>
      </w:r>
      <w:r w:rsidR="00745F75">
        <w:t>.</w:t>
      </w:r>
      <w:r>
        <w:t xml:space="preserve"> Whimp</w:t>
      </w:r>
      <w:r w:rsidR="004972C0">
        <w:t>,</w:t>
      </w:r>
      <w:r>
        <w:t xml:space="preserve"> </w:t>
      </w:r>
      <w:r w:rsidR="00D87298">
        <w:t>(</w:t>
      </w:r>
      <w:r>
        <w:t>2010</w:t>
      </w:r>
      <w:r w:rsidR="00D87298">
        <w:t>)</w:t>
      </w:r>
      <w:r>
        <w:t xml:space="preserve"> Report on Bottlenecks in Service Delivery </w:t>
      </w:r>
    </w:p>
    <w:p w:rsidR="00ED77C0" w:rsidRDefault="00ED77C0" w:rsidP="00ED77C0">
      <w:r>
        <w:t xml:space="preserve">Katz, Itamar, Grace Chee, Alexandra Hulme and Sayaka Koseki. </w:t>
      </w:r>
      <w:r w:rsidR="00D87298">
        <w:t>(2012)</w:t>
      </w:r>
      <w:r>
        <w:t xml:space="preserve"> Framework and Guideline for the Assessment and Evaluation of Health Systems Strengthening </w:t>
      </w:r>
      <w:r w:rsidR="0033505D">
        <w:t>Program</w:t>
      </w:r>
      <w:r>
        <w:t>. Bethesda, MD: Health Systems 20/20 project, Abt Associates Inc.</w:t>
      </w:r>
    </w:p>
    <w:p w:rsidR="00ED77C0" w:rsidRDefault="00D87298" w:rsidP="00ED77C0">
      <w:r>
        <w:t>Lassi ZS et al (</w:t>
      </w:r>
      <w:r w:rsidR="00ED77C0">
        <w:t>2010</w:t>
      </w:r>
      <w:r>
        <w:t>)</w:t>
      </w:r>
      <w:r w:rsidR="00ED77C0">
        <w:t xml:space="preserve"> Community-based intervention packages for reducing maternal and neonatal morbidity and mortality and improving neonatal outcomes. Cochrane Database of Systematic Reviews 2010, Issue 11.</w:t>
      </w:r>
    </w:p>
    <w:p w:rsidR="00ED77C0" w:rsidRDefault="00ED77C0" w:rsidP="00DC18B0">
      <w:pPr>
        <w:jc w:val="left"/>
      </w:pPr>
      <w:r>
        <w:t>Marg</w:t>
      </w:r>
      <w:r w:rsidR="00DC18B0">
        <w:t xml:space="preserve">inal Budgeting for Bottlenecks </w:t>
      </w:r>
      <w:hyperlink r:id="rId28" w:history="1">
        <w:r w:rsidR="00D87298" w:rsidRPr="00065230">
          <w:rPr>
            <w:rStyle w:val="Hyperlink"/>
          </w:rPr>
          <w:t>http://www.healthsystems2020.org/section/topics/mch</w:t>
        </w:r>
      </w:hyperlink>
      <w:r w:rsidR="00D87298">
        <w:t xml:space="preserve"> </w:t>
      </w:r>
    </w:p>
    <w:p w:rsidR="00ED77C0" w:rsidRDefault="00ED77C0" w:rsidP="00ED77C0">
      <w:r>
        <w:t xml:space="preserve">Ministry of Finance </w:t>
      </w:r>
      <w:r w:rsidR="00D87298">
        <w:t>(</w:t>
      </w:r>
      <w:r>
        <w:t>2010</w:t>
      </w:r>
      <w:r w:rsidR="00D87298">
        <w:t>)</w:t>
      </w:r>
      <w:r>
        <w:t xml:space="preserve"> Expenditure Review Health sector Timor Leste </w:t>
      </w:r>
    </w:p>
    <w:p w:rsidR="00ED77C0" w:rsidRDefault="00D87298" w:rsidP="00ED77C0">
      <w:r>
        <w:t>Ministry of Health, Dili (</w:t>
      </w:r>
      <w:r w:rsidR="00ED77C0">
        <w:t>2011</w:t>
      </w:r>
      <w:r>
        <w:t>)</w:t>
      </w:r>
      <w:r w:rsidR="00ED77C0">
        <w:t xml:space="preserve"> NATIONAL HEALTH SECTOR STRATEGIC PLAN 2011 - 2030 Towards A Healthy East Timorese People In A Healthy Timor-Leste.  </w:t>
      </w:r>
    </w:p>
    <w:p w:rsidR="00ED77C0" w:rsidRDefault="00DC18B0" w:rsidP="00ED77C0">
      <w:r>
        <w:t xml:space="preserve">NHSSP Component 1. </w:t>
      </w:r>
      <w:r w:rsidR="00ED77C0">
        <w:t>Improving Public Financing and Fund Flows for Service Delivery (Excel)</w:t>
      </w:r>
    </w:p>
    <w:p w:rsidR="00ED77C0" w:rsidRDefault="00ED77C0" w:rsidP="00ED77C0">
      <w:r>
        <w:t>Oecusse_Annual Planning and budgeting_ 2013 (2) (Excel)</w:t>
      </w:r>
    </w:p>
    <w:p w:rsidR="00ED77C0" w:rsidRDefault="00ED77C0" w:rsidP="00ED77C0">
      <w:r>
        <w:t xml:space="preserve">Oona M R Campbell, Wendy J Graham </w:t>
      </w:r>
      <w:r w:rsidR="00D87298">
        <w:t>(</w:t>
      </w:r>
      <w:r>
        <w:t>2006</w:t>
      </w:r>
      <w:r w:rsidR="00D87298">
        <w:t>)</w:t>
      </w:r>
      <w:r>
        <w:t xml:space="preserve"> Strategies for reducing maternal mortality: getting on with what works on behalf of The Lancet Maternal Survival Series steering group* Lancet 2006; 368: 1284–99 </w:t>
      </w:r>
    </w:p>
    <w:p w:rsidR="00ED77C0" w:rsidRDefault="00ED77C0" w:rsidP="00ED77C0">
      <w:r>
        <w:t xml:space="preserve">Planning Rural Roads  </w:t>
      </w:r>
      <w:hyperlink r:id="rId29" w:history="1">
        <w:r w:rsidR="00D87298" w:rsidRPr="00065230">
          <w:rPr>
            <w:rStyle w:val="Hyperlink"/>
          </w:rPr>
          <w:t>www.ruralroads.org</w:t>
        </w:r>
      </w:hyperlink>
      <w:r w:rsidR="00D87298">
        <w:t xml:space="preserve"> </w:t>
      </w:r>
    </w:p>
    <w:p w:rsidR="00ED77C0" w:rsidRDefault="00ED77C0" w:rsidP="00ED77C0">
      <w:r>
        <w:t>Rannan-Eliya, R. P., R. Hafez, C.</w:t>
      </w:r>
      <w:r w:rsidR="00D87298">
        <w:t xml:space="preserve"> Anuranga and R. Wickramasinghe</w:t>
      </w:r>
      <w:r>
        <w:t xml:space="preserve"> </w:t>
      </w:r>
      <w:r w:rsidR="00D87298">
        <w:t>(</w:t>
      </w:r>
      <w:r>
        <w:t>2012</w:t>
      </w:r>
      <w:r w:rsidR="00D87298">
        <w:t>)</w:t>
      </w:r>
      <w:r>
        <w:t xml:space="preserve"> The Impact of Out-of-Pocket Expenditures on Families and Barriers to Use of Maternal and Child Health Services in Timor-Leste: Evidence from the Timor-Leste Surveys of Living Standards 2001 and 2007 Manila: ADB. </w:t>
      </w:r>
    </w:p>
    <w:p w:rsidR="00ED77C0" w:rsidRDefault="00ED77C0" w:rsidP="00ED77C0">
      <w:r>
        <w:t>S</w:t>
      </w:r>
      <w:r w:rsidR="00745F75">
        <w:t>.</w:t>
      </w:r>
      <w:r>
        <w:t xml:space="preserve"> Foster and M</w:t>
      </w:r>
      <w:r w:rsidR="00745F75">
        <w:t>.</w:t>
      </w:r>
      <w:r>
        <w:t xml:space="preserve"> Bryant (2013) A Framework for Estimating Be</w:t>
      </w:r>
      <w:r w:rsidR="004972C0">
        <w:t>nefits of Investing in Maternal</w:t>
      </w:r>
      <w:r>
        <w:t>, Newborn, and Child Health. Partnership for Maternal, Newborn and Child Health, Geneva</w:t>
      </w:r>
    </w:p>
    <w:p w:rsidR="00ED77C0" w:rsidRDefault="00DC18B0" w:rsidP="00ED77C0">
      <w:r>
        <w:t>S</w:t>
      </w:r>
      <w:r w:rsidR="00745F75">
        <w:t>.</w:t>
      </w:r>
      <w:r>
        <w:t xml:space="preserve"> </w:t>
      </w:r>
      <w:r w:rsidR="00ED77C0">
        <w:t>Belton, A</w:t>
      </w:r>
      <w:r w:rsidR="00745F75">
        <w:t>.</w:t>
      </w:r>
      <w:r w:rsidR="00ED77C0">
        <w:t xml:space="preserve"> Whittaker and L</w:t>
      </w:r>
      <w:r w:rsidR="00745F75">
        <w:t xml:space="preserve">. </w:t>
      </w:r>
      <w:r w:rsidR="00ED77C0">
        <w:t xml:space="preserve">Barclay </w:t>
      </w:r>
      <w:r w:rsidR="00D87298">
        <w:t>(</w:t>
      </w:r>
      <w:r w:rsidR="00ED77C0">
        <w:t>2009</w:t>
      </w:r>
      <w:r w:rsidR="00D87298">
        <w:t>)</w:t>
      </w:r>
      <w:r w:rsidR="00ED77C0">
        <w:t xml:space="preserve"> Maternal Mortality, Unplanned Pregnancy and Unsafe Abortion in Timor-Leste: A Situational Analysis </w:t>
      </w:r>
    </w:p>
    <w:p w:rsidR="00ED77C0" w:rsidRDefault="00ED77C0" w:rsidP="00ED77C0">
      <w:r>
        <w:t>T</w:t>
      </w:r>
      <w:r w:rsidR="00745F75">
        <w:t>.</w:t>
      </w:r>
      <w:r>
        <w:t xml:space="preserve"> Ensor, H</w:t>
      </w:r>
      <w:r w:rsidR="00745F75">
        <w:t>. Firdaus &amp; T.</w:t>
      </w:r>
      <w:r>
        <w:t xml:space="preserve"> Lieven</w:t>
      </w:r>
      <w:r w:rsidR="00D87298">
        <w:t>s (</w:t>
      </w:r>
      <w:r>
        <w:t>2010</w:t>
      </w:r>
      <w:r w:rsidR="00D87298">
        <w:t>)</w:t>
      </w:r>
      <w:r>
        <w:t xml:space="preserve"> Health facilities costing in Timor-Leste Final Report  November 2010 Oxford Policy Management</w:t>
      </w:r>
    </w:p>
    <w:p w:rsidR="00ED77C0" w:rsidRDefault="00ED77C0" w:rsidP="00ED77C0">
      <w:r>
        <w:t xml:space="preserve">Timor-Leste </w:t>
      </w:r>
      <w:r w:rsidR="00D87298">
        <w:t>(</w:t>
      </w:r>
      <w:r>
        <w:t>2010</w:t>
      </w:r>
      <w:r w:rsidR="00D87298">
        <w:t>)</w:t>
      </w:r>
      <w:r>
        <w:t xml:space="preserve"> Strategic Development Plan 2011-2030.</w:t>
      </w:r>
    </w:p>
    <w:p w:rsidR="00ED77C0" w:rsidRDefault="00ED77C0" w:rsidP="00ED77C0">
      <w:r>
        <w:t>Timor-Leste Demographic and Health Survey 2009-10</w:t>
      </w:r>
    </w:p>
    <w:p w:rsidR="00ED77C0" w:rsidRDefault="00ED77C0" w:rsidP="00ED77C0">
      <w:r>
        <w:t xml:space="preserve">WHO </w:t>
      </w:r>
      <w:r w:rsidR="00D87298">
        <w:t>(</w:t>
      </w:r>
      <w:r>
        <w:t>2012?) Human Resources for Health Country Profile Timor-Leste</w:t>
      </w:r>
    </w:p>
    <w:p w:rsidR="00ED77C0" w:rsidRDefault="00ED77C0" w:rsidP="00ED77C0">
      <w:r>
        <w:t>WHO Country Cooperation Strategy 2009-2013 Timor-Leste</w:t>
      </w:r>
    </w:p>
    <w:p w:rsidR="00ED77C0" w:rsidRDefault="00DC18B0" w:rsidP="00ED77C0">
      <w:r>
        <w:t xml:space="preserve">WHO/UNICEF Cambodia </w:t>
      </w:r>
      <w:r w:rsidR="00D87298">
        <w:t>(</w:t>
      </w:r>
      <w:r>
        <w:t>2011</w:t>
      </w:r>
      <w:r w:rsidR="00D87298">
        <w:t>)</w:t>
      </w:r>
      <w:r w:rsidR="00ED77C0">
        <w:t xml:space="preserve"> Costing the Fast Track Initiative Road Map for reducing maternal and neonatal mortality (S. Fabricant, Consultant)</w:t>
      </w:r>
    </w:p>
    <w:p w:rsidR="00ED77C0" w:rsidRDefault="00ED77C0" w:rsidP="00ED77C0">
      <w:r>
        <w:t xml:space="preserve">World Bank </w:t>
      </w:r>
      <w:r w:rsidR="00D87298">
        <w:t>(</w:t>
      </w:r>
      <w:r>
        <w:t>2012</w:t>
      </w:r>
      <w:r w:rsidR="00D87298">
        <w:t>)</w:t>
      </w:r>
      <w:r>
        <w:t xml:space="preserve"> Government Spending On Health In Lao PDR: Evidence And Issues</w:t>
      </w:r>
    </w:p>
    <w:p w:rsidR="00ED77C0" w:rsidRDefault="00DC18B0" w:rsidP="00ED77C0">
      <w:r>
        <w:t xml:space="preserve">World Bank </w:t>
      </w:r>
      <w:r w:rsidR="00D87298">
        <w:t>(</w:t>
      </w:r>
      <w:r>
        <w:t>2013</w:t>
      </w:r>
      <w:r w:rsidR="00D87298">
        <w:t>)</w:t>
      </w:r>
      <w:r w:rsidR="00ED77C0">
        <w:t xml:space="preserve"> Equity and Health Financial Protection Report (draft) slide presentation</w:t>
      </w:r>
    </w:p>
    <w:p w:rsidR="00ED77C0" w:rsidRDefault="00ED77C0" w:rsidP="00ED77C0">
      <w:r>
        <w:t xml:space="preserve">World Bank </w:t>
      </w:r>
      <w:r w:rsidR="00D87298">
        <w:t>(</w:t>
      </w:r>
      <w:r>
        <w:t>2013</w:t>
      </w:r>
      <w:r w:rsidR="00D87298">
        <w:t>)</w:t>
      </w:r>
      <w:r>
        <w:t xml:space="preserve"> Project Paper On A Proposed Additional Financing And Project Restructuring in the amount  of US$ 17.7 million to the Democratic Republic of Timor-Leste for the HSSPSP January 24, 2013 Human Development Sector East Asia and Pacific Region</w:t>
      </w:r>
    </w:p>
    <w:p w:rsidR="00ED77C0" w:rsidRDefault="00ED77C0" w:rsidP="00ED77C0">
      <w:r>
        <w:t xml:space="preserve">Zulfiqar A Bhutta, Tahmeed Ahmed, </w:t>
      </w:r>
      <w:r w:rsidR="00DC18B0">
        <w:t xml:space="preserve">Robert E Black </w:t>
      </w:r>
      <w:r w:rsidR="00D87298">
        <w:t>(</w:t>
      </w:r>
      <w:r w:rsidR="00DC18B0">
        <w:t>2008</w:t>
      </w:r>
      <w:r w:rsidR="00D87298">
        <w:t>)</w:t>
      </w:r>
      <w:r w:rsidR="00DC18B0">
        <w:t xml:space="preserve"> The Lancet </w:t>
      </w:r>
      <w:r>
        <w:t xml:space="preserve">What works? Interventions for maternal and child undernutrition and survival </w:t>
      </w:r>
    </w:p>
    <w:p w:rsidR="00ED77C0" w:rsidRPr="00ED77C0" w:rsidRDefault="00ED77C0" w:rsidP="00ED77C0">
      <w:r>
        <w:t>Zwi, A.B., Blignault, I., Glazebrook, D., Correia, V., Bateman Steel, C.</w:t>
      </w:r>
      <w:r w:rsidR="00DC18B0">
        <w:t xml:space="preserve">R., Ferreira, E. &amp; Pinto, B.M. </w:t>
      </w:r>
      <w:r w:rsidR="00D87298">
        <w:t>(</w:t>
      </w:r>
      <w:r>
        <w:t>2009</w:t>
      </w:r>
      <w:r w:rsidR="00D87298">
        <w:t>)</w:t>
      </w:r>
      <w:r>
        <w:t xml:space="preserve"> Timor-Leste Health Care Seeking Behaviour Study, The University of New South Wales</w:t>
      </w:r>
    </w:p>
    <w:p w:rsidR="00ED77C0" w:rsidRDefault="00ED77C0">
      <w:pPr>
        <w:spacing w:after="0"/>
        <w:jc w:val="left"/>
        <w:rPr>
          <w:b/>
          <w:color w:val="1B3A59"/>
          <w:sz w:val="36"/>
          <w:szCs w:val="36"/>
        </w:rPr>
      </w:pPr>
      <w:r>
        <w:rPr>
          <w:b/>
          <w:color w:val="1B3A59"/>
          <w:sz w:val="36"/>
          <w:szCs w:val="36"/>
        </w:rPr>
        <w:br w:type="page"/>
      </w:r>
    </w:p>
    <w:p w:rsidR="000A057C" w:rsidRPr="00506B1C" w:rsidRDefault="000A057C" w:rsidP="00624D3B">
      <w:pPr>
        <w:spacing w:line="276" w:lineRule="auto"/>
        <w:rPr>
          <w:b/>
          <w:color w:val="1B3A59"/>
          <w:sz w:val="36"/>
          <w:szCs w:val="36"/>
        </w:rPr>
      </w:pPr>
      <w:r w:rsidRPr="00506B1C">
        <w:rPr>
          <w:b/>
          <w:color w:val="1B3A59"/>
          <w:sz w:val="36"/>
          <w:szCs w:val="36"/>
        </w:rPr>
        <w:t>HLSP Disclaimer</w:t>
      </w:r>
      <w:bookmarkEnd w:id="46"/>
      <w:bookmarkEnd w:id="47"/>
      <w:bookmarkEnd w:id="48"/>
      <w:bookmarkEnd w:id="49"/>
    </w:p>
    <w:p w:rsidR="000A057C" w:rsidRPr="00236B0B" w:rsidRDefault="000A057C" w:rsidP="00624D3B">
      <w:pPr>
        <w:spacing w:line="276" w:lineRule="auto"/>
        <w:rPr>
          <w:rFonts w:cs="Arial"/>
        </w:rPr>
      </w:pPr>
    </w:p>
    <w:p w:rsidR="000A057C" w:rsidRPr="001A5A06" w:rsidRDefault="000A057C" w:rsidP="00624D3B">
      <w:pPr>
        <w:pStyle w:val="BodyText"/>
        <w:rPr>
          <w:sz w:val="20"/>
          <w:szCs w:val="20"/>
        </w:rPr>
      </w:pPr>
      <w:r w:rsidRPr="001A5A06">
        <w:rPr>
          <w:sz w:val="20"/>
          <w:szCs w:val="20"/>
        </w:rPr>
        <w:t>The Health Resource Facility (HRF) provides technical assistance and informatio</w:t>
      </w:r>
      <w:r w:rsidR="0049412D">
        <w:rPr>
          <w:sz w:val="20"/>
          <w:szCs w:val="20"/>
        </w:rPr>
        <w:t>n to the Australian Government’s</w:t>
      </w:r>
      <w:r w:rsidRPr="001A5A06">
        <w:rPr>
          <w:sz w:val="20"/>
          <w:szCs w:val="20"/>
        </w:rPr>
        <w:t xml:space="preserve"> </w:t>
      </w:r>
      <w:r w:rsidR="0049412D">
        <w:rPr>
          <w:sz w:val="20"/>
          <w:szCs w:val="20"/>
        </w:rPr>
        <w:t>Aid Program</w:t>
      </w:r>
      <w:r w:rsidRPr="001A5A06">
        <w:rPr>
          <w:sz w:val="20"/>
          <w:szCs w:val="20"/>
        </w:rPr>
        <w:t xml:space="preserve">.  The Health Resource Facility is an Australian Government, </w:t>
      </w:r>
      <w:r w:rsidR="0049412D">
        <w:rPr>
          <w:sz w:val="20"/>
          <w:szCs w:val="20"/>
        </w:rPr>
        <w:t>DFAT</w:t>
      </w:r>
      <w:r w:rsidRPr="001A5A06">
        <w:rPr>
          <w:sz w:val="20"/>
          <w:szCs w:val="20"/>
        </w:rPr>
        <w:t xml:space="preserve"> funded initiative managed by Mott MacDonald Limited trading as HLSP in association with International Development Support Services Pty Ltd (IDSS), an Aurecon Company.</w:t>
      </w:r>
    </w:p>
    <w:p w:rsidR="000A057C" w:rsidRPr="001A5A06" w:rsidRDefault="000A057C" w:rsidP="00624D3B">
      <w:pPr>
        <w:pStyle w:val="BodyText"/>
        <w:rPr>
          <w:sz w:val="20"/>
          <w:szCs w:val="20"/>
        </w:rPr>
      </w:pPr>
      <w:r w:rsidRPr="001A5A06">
        <w:rPr>
          <w:sz w:val="20"/>
          <w:szCs w:val="20"/>
        </w:rPr>
        <w:t xml:space="preserve">This report was produced by the Health Resource Facility, and does not necessarily represent the views or the policy of </w:t>
      </w:r>
      <w:r w:rsidR="0049412D">
        <w:rPr>
          <w:sz w:val="20"/>
          <w:szCs w:val="20"/>
        </w:rPr>
        <w:t>DFAT</w:t>
      </w:r>
      <w:r w:rsidRPr="001A5A06">
        <w:rPr>
          <w:sz w:val="20"/>
          <w:szCs w:val="20"/>
        </w:rPr>
        <w:t xml:space="preserve"> or the Commonwealth of Australia.</w:t>
      </w:r>
    </w:p>
    <w:p w:rsidR="000A057C" w:rsidRPr="001A5A06" w:rsidRDefault="000A057C" w:rsidP="00624D3B">
      <w:pPr>
        <w:pStyle w:val="BodyText"/>
        <w:rPr>
          <w:color w:val="0076FF"/>
          <w:sz w:val="20"/>
          <w:szCs w:val="20"/>
        </w:rPr>
      </w:pPr>
      <w:r w:rsidRPr="001A5A06">
        <w:rPr>
          <w:sz w:val="20"/>
          <w:szCs w:val="20"/>
        </w:rPr>
        <w:t>This document has been prepared for the titled project or named part thereof and should not be relied upon or used for any other project without an independent check being carried out as to its suitability and prior written authority of HLSP being obtained. HLSP accepts no responsibility or liability for the consequences of this document being used for a purpose other than the purposes for which it was commissioned. Any person other than the Commonwealth of Australia, its employees, agents and contractors using or relying on the document for such other purpose agrees, and will by such use or reliance be taken to confirm his agreement, to indemnify HLSP for all loss or damage resulting therefrom. HLSP accepts no responsibility or liability for this document to any party other than to the agency and agency representatives or person by whom it was commissioned.</w:t>
      </w:r>
    </w:p>
    <w:p w:rsidR="0058539C" w:rsidRPr="00052149" w:rsidRDefault="0058539C" w:rsidP="00624D3B">
      <w:pPr>
        <w:spacing w:line="276" w:lineRule="auto"/>
        <w:ind w:left="2160" w:firstLine="720"/>
      </w:pPr>
    </w:p>
    <w:sectPr w:rsidR="0058539C" w:rsidRPr="00052149" w:rsidSect="00B569F1">
      <w:headerReference w:type="default" r:id="rId30"/>
      <w:footerReference w:type="default" r:id="rId31"/>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14C" w:rsidRDefault="00D0414C">
      <w:r>
        <w:separator/>
      </w:r>
    </w:p>
  </w:endnote>
  <w:endnote w:type="continuationSeparator" w:id="0">
    <w:p w:rsidR="00D0414C" w:rsidRDefault="00D0414C">
      <w:r>
        <w:continuationSeparator/>
      </w:r>
    </w:p>
  </w:endnote>
  <w:endnote w:id="1">
    <w:p w:rsidR="00D0414C" w:rsidRPr="00E76E4E" w:rsidRDefault="00D0414C" w:rsidP="00130409">
      <w:pPr>
        <w:pStyle w:val="EndnoteText"/>
      </w:pPr>
      <w:r w:rsidRPr="0077212D">
        <w:rPr>
          <w:rStyle w:val="EndnoteReference"/>
          <w:rFonts w:eastAsiaTheme="minorHAnsi"/>
          <w:sz w:val="18"/>
        </w:rPr>
        <w:endnoteRef/>
      </w:r>
      <w:r w:rsidRPr="0077212D">
        <w:rPr>
          <w:sz w:val="18"/>
        </w:rPr>
        <w:t xml:space="preserve">Note: many different definitions of ‘fragile’ exist.  Sumner examined six leading lists, and found that the proportion of poor in fragile states could vary between 6 and 40%, with his analysis concluding 38%, of which 18% were in LICs.  </w:t>
      </w:r>
      <w:proofErr w:type="gramStart"/>
      <w:r w:rsidRPr="0077212D">
        <w:rPr>
          <w:sz w:val="18"/>
        </w:rPr>
        <w:t>Sumner(</w:t>
      </w:r>
      <w:proofErr w:type="gramEnd"/>
      <w:r w:rsidRPr="0077212D">
        <w:rPr>
          <w:sz w:val="18"/>
        </w:rPr>
        <w:t>2012), p9.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65C" w:rsidRDefault="00B146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14C" w:rsidRDefault="00D0414C">
    <w:pPr>
      <w:pStyle w:val="Foote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65C" w:rsidRDefault="00B1465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14C" w:rsidRPr="00506B1C" w:rsidRDefault="00D0414C" w:rsidP="003946F6">
    <w:pPr>
      <w:pStyle w:val="Footer"/>
      <w:pBdr>
        <w:top w:val="single" w:sz="2" w:space="1" w:color="1B3A59"/>
      </w:pBdr>
      <w:tabs>
        <w:tab w:val="left" w:pos="7866"/>
      </w:tabs>
      <w:rPr>
        <w:rFonts w:cs="Arial"/>
        <w:color w:val="1B3A59"/>
        <w:sz w:val="18"/>
        <w:szCs w:val="18"/>
      </w:rPr>
    </w:pPr>
    <w:r w:rsidRPr="00506B1C">
      <w:rPr>
        <w:rFonts w:cs="Arial"/>
        <w:color w:val="1B3A59"/>
        <w:sz w:val="18"/>
        <w:szCs w:val="18"/>
      </w:rPr>
      <w:t>Health Resource Facility</w:t>
    </w:r>
    <w:r>
      <w:rPr>
        <w:rFonts w:cs="Arial"/>
        <w:color w:val="1B3A59"/>
        <w:sz w:val="18"/>
        <w:szCs w:val="18"/>
      </w:rPr>
      <w:t xml:space="preserve"> for Australia’s Aid Program</w:t>
    </w:r>
    <w:r>
      <w:rPr>
        <w:rFonts w:cs="Arial"/>
        <w:color w:val="1B3A59"/>
        <w:sz w:val="18"/>
        <w:szCs w:val="18"/>
      </w:rPr>
      <w:tab/>
    </w:r>
    <w:r>
      <w:rPr>
        <w:rFonts w:cs="Arial"/>
        <w:color w:val="1B3A59"/>
        <w:sz w:val="18"/>
        <w:szCs w:val="18"/>
      </w:rPr>
      <w:tab/>
    </w:r>
    <w:r>
      <w:rPr>
        <w:rFonts w:cs="Arial"/>
        <w:color w:val="1B3A59"/>
        <w:sz w:val="18"/>
        <w:szCs w:val="18"/>
      </w:rPr>
      <w:tab/>
    </w:r>
    <w:r w:rsidRPr="00506B1C">
      <w:rPr>
        <w:rStyle w:val="PageNumber"/>
        <w:color w:val="1B3A59"/>
        <w:sz w:val="18"/>
        <w:szCs w:val="18"/>
      </w:rPr>
      <w:fldChar w:fldCharType="begin"/>
    </w:r>
    <w:r w:rsidRPr="00506B1C">
      <w:rPr>
        <w:rStyle w:val="PageNumber"/>
        <w:color w:val="1B3A59"/>
        <w:sz w:val="18"/>
        <w:szCs w:val="18"/>
      </w:rPr>
      <w:instrText xml:space="preserve"> PAGE </w:instrText>
    </w:r>
    <w:r w:rsidRPr="00506B1C">
      <w:rPr>
        <w:rStyle w:val="PageNumber"/>
        <w:color w:val="1B3A59"/>
        <w:sz w:val="18"/>
        <w:szCs w:val="18"/>
      </w:rPr>
      <w:fldChar w:fldCharType="separate"/>
    </w:r>
    <w:r w:rsidR="00B1465C">
      <w:rPr>
        <w:rStyle w:val="PageNumber"/>
        <w:noProof/>
        <w:color w:val="1B3A59"/>
        <w:sz w:val="18"/>
        <w:szCs w:val="18"/>
      </w:rPr>
      <w:t>1</w:t>
    </w:r>
    <w:r w:rsidRPr="00506B1C">
      <w:rPr>
        <w:rStyle w:val="PageNumber"/>
        <w:color w:val="1B3A59"/>
        <w:sz w:val="18"/>
        <w:szCs w:val="18"/>
      </w:rPr>
      <w:fldChar w:fldCharType="end"/>
    </w:r>
  </w:p>
  <w:p w:rsidR="00D0414C" w:rsidRPr="00506B1C" w:rsidRDefault="00D0414C" w:rsidP="00BB3C3E">
    <w:pPr>
      <w:pStyle w:val="Footer"/>
      <w:rPr>
        <w:rStyle w:val="PageNumber"/>
        <w:color w:val="1B3A59"/>
        <w:sz w:val="18"/>
        <w:szCs w:val="18"/>
      </w:rPr>
    </w:pPr>
    <w:r w:rsidRPr="00506B1C">
      <w:rPr>
        <w:rFonts w:cs="Arial"/>
        <w:color w:val="1B3A59"/>
        <w:sz w:val="18"/>
        <w:szCs w:val="18"/>
      </w:rPr>
      <w:t>Managed by HLSP in association with IDSS</w:t>
    </w:r>
    <w:r w:rsidRPr="00506B1C">
      <w:rPr>
        <w:rStyle w:val="PageNumber"/>
        <w:color w:val="1B3A59"/>
        <w:sz w:val="18"/>
        <w:szCs w:val="18"/>
      </w:rPr>
      <w:tab/>
    </w:r>
    <w:r w:rsidRPr="00506B1C">
      <w:rPr>
        <w:rStyle w:val="PageNumber"/>
        <w:color w:val="1B3A59"/>
        <w:sz w:val="18"/>
        <w:szCs w:val="18"/>
      </w:rPr>
      <w:tab/>
    </w:r>
  </w:p>
  <w:p w:rsidR="00D0414C" w:rsidRPr="00506B1C" w:rsidRDefault="00D0414C" w:rsidP="00BB3C3E">
    <w:pPr>
      <w:pStyle w:val="Footer"/>
      <w:rPr>
        <w:color w:val="1B3A59"/>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14C" w:rsidRPr="009E69C2" w:rsidRDefault="00D0414C" w:rsidP="009E69C2">
    <w:pPr>
      <w:pStyle w:val="Footer"/>
      <w:pBdr>
        <w:top w:val="single" w:sz="2" w:space="1" w:color="1B3A59"/>
      </w:pBdr>
      <w:rPr>
        <w:color w:val="1B3A59"/>
        <w:sz w:val="18"/>
        <w:szCs w:val="18"/>
      </w:rPr>
    </w:pPr>
    <w:r w:rsidRPr="00506B1C">
      <w:rPr>
        <w:rFonts w:cs="Arial"/>
        <w:color w:val="1B3A59"/>
        <w:sz w:val="18"/>
        <w:szCs w:val="18"/>
      </w:rPr>
      <w:t>Health Resource Facility</w:t>
    </w:r>
    <w:r>
      <w:rPr>
        <w:rFonts w:cs="Arial"/>
        <w:color w:val="1B3A59"/>
        <w:sz w:val="18"/>
        <w:szCs w:val="18"/>
      </w:rPr>
      <w:t xml:space="preserve"> for Australia’s Aid Program</w:t>
    </w:r>
    <w:r>
      <w:rPr>
        <w:rFonts w:cs="Arial"/>
        <w:color w:val="1B3A59"/>
        <w:sz w:val="18"/>
        <w:szCs w:val="18"/>
      </w:rPr>
      <w:tab/>
    </w:r>
    <w:r>
      <w:rPr>
        <w:rFonts w:cs="Arial"/>
        <w:color w:val="1B3A59"/>
        <w:sz w:val="18"/>
        <w:szCs w:val="18"/>
      </w:rPr>
      <w:tab/>
    </w:r>
    <w:r w:rsidRPr="00506B1C">
      <w:rPr>
        <w:rStyle w:val="PageNumber"/>
        <w:color w:val="1B3A59"/>
        <w:sz w:val="18"/>
        <w:szCs w:val="18"/>
      </w:rPr>
      <w:fldChar w:fldCharType="begin"/>
    </w:r>
    <w:r w:rsidRPr="00506B1C">
      <w:rPr>
        <w:rStyle w:val="PageNumber"/>
        <w:color w:val="1B3A59"/>
        <w:sz w:val="18"/>
        <w:szCs w:val="18"/>
      </w:rPr>
      <w:instrText xml:space="preserve"> PAGE </w:instrText>
    </w:r>
    <w:r w:rsidRPr="00506B1C">
      <w:rPr>
        <w:rStyle w:val="PageNumber"/>
        <w:color w:val="1B3A59"/>
        <w:sz w:val="18"/>
        <w:szCs w:val="18"/>
      </w:rPr>
      <w:fldChar w:fldCharType="separate"/>
    </w:r>
    <w:r w:rsidR="00B1465C">
      <w:rPr>
        <w:rStyle w:val="PageNumber"/>
        <w:noProof/>
        <w:color w:val="1B3A59"/>
        <w:sz w:val="18"/>
        <w:szCs w:val="18"/>
      </w:rPr>
      <w:t>45</w:t>
    </w:r>
    <w:r w:rsidRPr="00506B1C">
      <w:rPr>
        <w:rStyle w:val="PageNumber"/>
        <w:color w:val="1B3A59"/>
        <w:sz w:val="18"/>
        <w:szCs w:val="18"/>
      </w:rPr>
      <w:fldChar w:fldCharType="end"/>
    </w:r>
  </w:p>
  <w:p w:rsidR="00D0414C" w:rsidRPr="00506B1C" w:rsidRDefault="00D0414C" w:rsidP="00BB3C3E">
    <w:pPr>
      <w:pStyle w:val="Footer"/>
      <w:rPr>
        <w:rStyle w:val="PageNumber"/>
        <w:color w:val="1B3A59"/>
        <w:sz w:val="18"/>
        <w:szCs w:val="18"/>
      </w:rPr>
    </w:pPr>
    <w:r w:rsidRPr="00506B1C">
      <w:rPr>
        <w:rFonts w:cs="Arial"/>
        <w:color w:val="1B3A59"/>
        <w:sz w:val="18"/>
        <w:szCs w:val="18"/>
      </w:rPr>
      <w:t>Managed by HLSP in association with IDSS</w:t>
    </w:r>
    <w:r w:rsidRPr="000A057C">
      <w:rPr>
        <w:rStyle w:val="PageNumber"/>
        <w:color w:val="003366"/>
        <w:sz w:val="18"/>
        <w:szCs w:val="18"/>
      </w:rPr>
      <w:tab/>
    </w:r>
    <w:r w:rsidRPr="000A057C">
      <w:rPr>
        <w:rStyle w:val="PageNumber"/>
        <w:color w:val="003366"/>
        <w:sz w:val="18"/>
        <w:szCs w:val="1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14C" w:rsidRPr="009E69C2" w:rsidRDefault="00D0414C" w:rsidP="009E69C2">
    <w:pPr>
      <w:pStyle w:val="Footer"/>
      <w:pBdr>
        <w:top w:val="single" w:sz="2" w:space="1" w:color="1B3A59"/>
      </w:pBdr>
      <w:rPr>
        <w:color w:val="1B3A59"/>
        <w:sz w:val="18"/>
        <w:szCs w:val="18"/>
      </w:rPr>
    </w:pPr>
    <w:r w:rsidRPr="00506B1C">
      <w:rPr>
        <w:rFonts w:cs="Arial"/>
        <w:color w:val="1B3A59"/>
        <w:sz w:val="18"/>
        <w:szCs w:val="18"/>
      </w:rPr>
      <w:t>Health Resource Facility</w:t>
    </w:r>
    <w:r>
      <w:rPr>
        <w:rFonts w:cs="Arial"/>
        <w:color w:val="1B3A59"/>
        <w:sz w:val="18"/>
        <w:szCs w:val="18"/>
      </w:rPr>
      <w:t xml:space="preserve"> for Australia’s Aid Program</w:t>
    </w:r>
    <w:r>
      <w:rPr>
        <w:rFonts w:cs="Arial"/>
        <w:color w:val="1B3A59"/>
        <w:sz w:val="18"/>
        <w:szCs w:val="18"/>
      </w:rPr>
      <w:tab/>
    </w:r>
    <w:r>
      <w:rPr>
        <w:rFonts w:cs="Arial"/>
        <w:color w:val="1B3A59"/>
        <w:sz w:val="18"/>
        <w:szCs w:val="18"/>
      </w:rPr>
      <w:tab/>
    </w:r>
    <w:r>
      <w:rPr>
        <w:rFonts w:cs="Arial"/>
        <w:color w:val="1B3A59"/>
        <w:sz w:val="18"/>
        <w:szCs w:val="18"/>
      </w:rPr>
      <w:tab/>
    </w:r>
    <w:r>
      <w:rPr>
        <w:rFonts w:cs="Arial"/>
        <w:color w:val="1B3A59"/>
        <w:sz w:val="18"/>
        <w:szCs w:val="18"/>
      </w:rPr>
      <w:tab/>
    </w:r>
    <w:r>
      <w:rPr>
        <w:rFonts w:cs="Arial"/>
        <w:color w:val="1B3A59"/>
        <w:sz w:val="18"/>
        <w:szCs w:val="18"/>
      </w:rPr>
      <w:tab/>
    </w:r>
    <w:r>
      <w:rPr>
        <w:rFonts w:cs="Arial"/>
        <w:color w:val="1B3A59"/>
        <w:sz w:val="18"/>
        <w:szCs w:val="18"/>
      </w:rPr>
      <w:tab/>
    </w:r>
    <w:r>
      <w:rPr>
        <w:rFonts w:cs="Arial"/>
        <w:color w:val="1B3A59"/>
        <w:sz w:val="18"/>
        <w:szCs w:val="18"/>
      </w:rPr>
      <w:tab/>
    </w:r>
    <w:r>
      <w:rPr>
        <w:rFonts w:cs="Arial"/>
        <w:color w:val="1B3A59"/>
        <w:sz w:val="18"/>
        <w:szCs w:val="18"/>
      </w:rPr>
      <w:tab/>
    </w:r>
    <w:r>
      <w:rPr>
        <w:rFonts w:cs="Arial"/>
        <w:color w:val="1B3A59"/>
        <w:sz w:val="18"/>
        <w:szCs w:val="18"/>
      </w:rPr>
      <w:tab/>
    </w:r>
    <w:r>
      <w:rPr>
        <w:rFonts w:cs="Arial"/>
        <w:color w:val="1B3A59"/>
        <w:sz w:val="18"/>
        <w:szCs w:val="18"/>
      </w:rPr>
      <w:tab/>
    </w:r>
    <w:r w:rsidRPr="00506B1C">
      <w:rPr>
        <w:rStyle w:val="PageNumber"/>
        <w:color w:val="1B3A59"/>
        <w:sz w:val="18"/>
        <w:szCs w:val="18"/>
      </w:rPr>
      <w:fldChar w:fldCharType="begin"/>
    </w:r>
    <w:r w:rsidRPr="00506B1C">
      <w:rPr>
        <w:rStyle w:val="PageNumber"/>
        <w:color w:val="1B3A59"/>
        <w:sz w:val="18"/>
        <w:szCs w:val="18"/>
      </w:rPr>
      <w:instrText xml:space="preserve"> PAGE </w:instrText>
    </w:r>
    <w:r w:rsidRPr="00506B1C">
      <w:rPr>
        <w:rStyle w:val="PageNumber"/>
        <w:color w:val="1B3A59"/>
        <w:sz w:val="18"/>
        <w:szCs w:val="18"/>
      </w:rPr>
      <w:fldChar w:fldCharType="separate"/>
    </w:r>
    <w:r w:rsidR="00B1465C">
      <w:rPr>
        <w:rStyle w:val="PageNumber"/>
        <w:noProof/>
        <w:color w:val="1B3A59"/>
        <w:sz w:val="18"/>
        <w:szCs w:val="18"/>
      </w:rPr>
      <w:t>46</w:t>
    </w:r>
    <w:r w:rsidRPr="00506B1C">
      <w:rPr>
        <w:rStyle w:val="PageNumber"/>
        <w:color w:val="1B3A59"/>
        <w:sz w:val="18"/>
        <w:szCs w:val="18"/>
      </w:rPr>
      <w:fldChar w:fldCharType="end"/>
    </w:r>
  </w:p>
  <w:p w:rsidR="00D0414C" w:rsidRPr="00506B1C" w:rsidRDefault="00D0414C" w:rsidP="00BB3C3E">
    <w:pPr>
      <w:pStyle w:val="Footer"/>
      <w:rPr>
        <w:rStyle w:val="PageNumber"/>
        <w:color w:val="1B3A59"/>
        <w:sz w:val="18"/>
        <w:szCs w:val="18"/>
      </w:rPr>
    </w:pPr>
    <w:r w:rsidRPr="00506B1C">
      <w:rPr>
        <w:rFonts w:cs="Arial"/>
        <w:color w:val="1B3A59"/>
        <w:sz w:val="18"/>
        <w:szCs w:val="18"/>
      </w:rPr>
      <w:t>Managed by HLSP in association with IDSS</w:t>
    </w:r>
    <w:r w:rsidRPr="000A057C">
      <w:rPr>
        <w:rStyle w:val="PageNumber"/>
        <w:color w:val="003366"/>
        <w:sz w:val="18"/>
        <w:szCs w:val="18"/>
      </w:rPr>
      <w:tab/>
    </w:r>
    <w:r w:rsidRPr="000A057C">
      <w:rPr>
        <w:rStyle w:val="PageNumber"/>
        <w:color w:val="003366"/>
        <w:sz w:val="18"/>
        <w:szCs w:val="18"/>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14C" w:rsidRPr="009E69C2" w:rsidRDefault="00D0414C" w:rsidP="00803D5C">
    <w:pPr>
      <w:pStyle w:val="Footer"/>
      <w:pBdr>
        <w:top w:val="single" w:sz="2" w:space="1" w:color="1B3A59"/>
      </w:pBdr>
      <w:rPr>
        <w:color w:val="1B3A59"/>
        <w:sz w:val="18"/>
        <w:szCs w:val="18"/>
      </w:rPr>
    </w:pPr>
    <w:r w:rsidRPr="00506B1C">
      <w:rPr>
        <w:rFonts w:cs="Arial"/>
        <w:color w:val="1B3A59"/>
        <w:sz w:val="18"/>
        <w:szCs w:val="18"/>
      </w:rPr>
      <w:t>Health Resource Facility</w:t>
    </w:r>
    <w:r>
      <w:rPr>
        <w:rFonts w:cs="Arial"/>
        <w:color w:val="1B3A59"/>
        <w:sz w:val="18"/>
        <w:szCs w:val="18"/>
      </w:rPr>
      <w:t xml:space="preserve"> for Australia’s Aid Program</w:t>
    </w:r>
    <w:r>
      <w:rPr>
        <w:rFonts w:cs="Arial"/>
        <w:color w:val="1B3A59"/>
        <w:sz w:val="18"/>
        <w:szCs w:val="18"/>
      </w:rPr>
      <w:tab/>
    </w:r>
    <w:r>
      <w:rPr>
        <w:rFonts w:cs="Arial"/>
        <w:color w:val="1B3A59"/>
        <w:sz w:val="18"/>
        <w:szCs w:val="18"/>
      </w:rPr>
      <w:tab/>
    </w:r>
    <w:r w:rsidRPr="00506B1C">
      <w:rPr>
        <w:rStyle w:val="PageNumber"/>
        <w:color w:val="1B3A59"/>
        <w:sz w:val="18"/>
        <w:szCs w:val="18"/>
      </w:rPr>
      <w:fldChar w:fldCharType="begin"/>
    </w:r>
    <w:r w:rsidRPr="00506B1C">
      <w:rPr>
        <w:rStyle w:val="PageNumber"/>
        <w:color w:val="1B3A59"/>
        <w:sz w:val="18"/>
        <w:szCs w:val="18"/>
      </w:rPr>
      <w:instrText xml:space="preserve"> PAGE </w:instrText>
    </w:r>
    <w:r w:rsidRPr="00506B1C">
      <w:rPr>
        <w:rStyle w:val="PageNumber"/>
        <w:color w:val="1B3A59"/>
        <w:sz w:val="18"/>
        <w:szCs w:val="18"/>
      </w:rPr>
      <w:fldChar w:fldCharType="separate"/>
    </w:r>
    <w:r w:rsidR="00B1465C">
      <w:rPr>
        <w:rStyle w:val="PageNumber"/>
        <w:noProof/>
        <w:color w:val="1B3A59"/>
        <w:sz w:val="18"/>
        <w:szCs w:val="18"/>
      </w:rPr>
      <w:t>50</w:t>
    </w:r>
    <w:r w:rsidRPr="00506B1C">
      <w:rPr>
        <w:rStyle w:val="PageNumber"/>
        <w:color w:val="1B3A59"/>
        <w:sz w:val="18"/>
        <w:szCs w:val="18"/>
      </w:rPr>
      <w:fldChar w:fldCharType="end"/>
    </w:r>
  </w:p>
  <w:p w:rsidR="00D0414C" w:rsidRPr="00506B1C" w:rsidRDefault="00D0414C" w:rsidP="00803D5C">
    <w:pPr>
      <w:pStyle w:val="Footer"/>
      <w:rPr>
        <w:rStyle w:val="PageNumber"/>
        <w:color w:val="1B3A59"/>
        <w:sz w:val="18"/>
        <w:szCs w:val="18"/>
      </w:rPr>
    </w:pPr>
    <w:r w:rsidRPr="00506B1C">
      <w:rPr>
        <w:rFonts w:cs="Arial"/>
        <w:color w:val="1B3A59"/>
        <w:sz w:val="18"/>
        <w:szCs w:val="18"/>
      </w:rPr>
      <w:t>Managed by HLSP in association with IDSS</w:t>
    </w:r>
    <w:r w:rsidRPr="000A057C">
      <w:rPr>
        <w:rStyle w:val="PageNumber"/>
        <w:color w:val="003366"/>
        <w:sz w:val="18"/>
        <w:szCs w:val="18"/>
      </w:rPr>
      <w:tab/>
    </w:r>
    <w:r w:rsidRPr="000A057C">
      <w:rPr>
        <w:rStyle w:val="PageNumber"/>
        <w:color w:val="003366"/>
        <w:sz w:val="18"/>
        <w:szCs w:val="18"/>
      </w:rPr>
      <w:tab/>
    </w:r>
  </w:p>
  <w:p w:rsidR="00D0414C" w:rsidRPr="00506B1C" w:rsidRDefault="00D0414C" w:rsidP="00BB3C3E">
    <w:pPr>
      <w:pStyle w:val="Footer"/>
      <w:rPr>
        <w:rStyle w:val="PageNumber"/>
        <w:color w:val="1B3A59"/>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14C" w:rsidRDefault="00D0414C">
      <w:r>
        <w:separator/>
      </w:r>
    </w:p>
  </w:footnote>
  <w:footnote w:type="continuationSeparator" w:id="0">
    <w:p w:rsidR="00D0414C" w:rsidRDefault="00D0414C">
      <w:r>
        <w:continuationSeparator/>
      </w:r>
    </w:p>
  </w:footnote>
  <w:footnote w:id="1">
    <w:p w:rsidR="00D0414C" w:rsidRPr="005319B4" w:rsidRDefault="00D0414C" w:rsidP="00710F04">
      <w:pPr>
        <w:pStyle w:val="FootnoteText"/>
      </w:pPr>
      <w:r w:rsidRPr="004934DF">
        <w:rPr>
          <w:rStyle w:val="FootnoteReference"/>
        </w:rPr>
        <w:footnoteRef/>
      </w:r>
      <w:r w:rsidRPr="004934DF">
        <w:rPr>
          <w:rStyle w:val="FootnoteReference"/>
        </w:rPr>
        <w:t xml:space="preserve"> </w:t>
      </w:r>
      <w:r w:rsidRPr="005319B4">
        <w:t xml:space="preserve">AusAID </w:t>
      </w:r>
      <w:r>
        <w:t xml:space="preserve">(2013) </w:t>
      </w:r>
      <w:r w:rsidRPr="005319B4">
        <w:t xml:space="preserve">Timor-Leste Health Delivery Strategy: 2013 – 2020 </w:t>
      </w:r>
    </w:p>
  </w:footnote>
  <w:footnote w:id="2">
    <w:p w:rsidR="00D0414C" w:rsidRDefault="00D0414C" w:rsidP="008B22DF">
      <w:pPr>
        <w:pStyle w:val="FootnoteText"/>
      </w:pPr>
      <w:r>
        <w:rPr>
          <w:rStyle w:val="FootnoteReference"/>
        </w:rPr>
        <w:footnoteRef/>
      </w:r>
      <w:r>
        <w:t xml:space="preserve"> The WHO health system model was used in the Project concept, with the addition of Community Mobilisation as a seventh 'building block'.</w:t>
      </w:r>
    </w:p>
  </w:footnote>
  <w:footnote w:id="3">
    <w:p w:rsidR="00D0414C" w:rsidRPr="0003792C" w:rsidRDefault="00D0414C" w:rsidP="00EB28B4">
      <w:pPr>
        <w:pStyle w:val="FootnoteText"/>
      </w:pPr>
      <w:r>
        <w:rPr>
          <w:rStyle w:val="FootnoteReference"/>
        </w:rPr>
        <w:footnoteRef/>
      </w:r>
      <w:r>
        <w:t xml:space="preserve"> </w:t>
      </w:r>
      <w:r w:rsidRPr="0003792C">
        <w:rPr>
          <w:lang w:val="en-US"/>
        </w:rPr>
        <w:t>D</w:t>
      </w:r>
      <w:r>
        <w:rPr>
          <w:lang w:val="en-US"/>
        </w:rPr>
        <w:t>.</w:t>
      </w:r>
      <w:r w:rsidRPr="0003792C">
        <w:rPr>
          <w:lang w:val="en-US"/>
        </w:rPr>
        <w:t xml:space="preserve"> Whitaker, V</w:t>
      </w:r>
      <w:r>
        <w:rPr>
          <w:lang w:val="en-US"/>
        </w:rPr>
        <w:t>.</w:t>
      </w:r>
      <w:r w:rsidRPr="0003792C">
        <w:rPr>
          <w:lang w:val="en-US"/>
        </w:rPr>
        <w:t xml:space="preserve"> Walford and B</w:t>
      </w:r>
      <w:r>
        <w:rPr>
          <w:lang w:val="en-US"/>
        </w:rPr>
        <w:t>.</w:t>
      </w:r>
      <w:r w:rsidRPr="0003792C">
        <w:rPr>
          <w:lang w:val="en-US"/>
        </w:rPr>
        <w:t xml:space="preserve"> </w:t>
      </w:r>
      <w:r>
        <w:rPr>
          <w:lang w:val="en-US"/>
        </w:rPr>
        <w:t>D</w:t>
      </w:r>
      <w:r w:rsidRPr="0003792C">
        <w:rPr>
          <w:lang w:val="en-US"/>
        </w:rPr>
        <w:t>avid</w:t>
      </w:r>
      <w:r>
        <w:rPr>
          <w:lang w:val="en-US"/>
        </w:rPr>
        <w:t xml:space="preserve"> (2013) </w:t>
      </w:r>
      <w:r w:rsidRPr="0003792C">
        <w:rPr>
          <w:lang w:val="en-US"/>
        </w:rPr>
        <w:t>Health care financing in the Asia</w:t>
      </w:r>
      <w:r>
        <w:rPr>
          <w:lang w:val="en-US"/>
        </w:rPr>
        <w:t xml:space="preserve"> </w:t>
      </w:r>
      <w:r w:rsidRPr="0003792C">
        <w:rPr>
          <w:lang w:val="en-US"/>
        </w:rPr>
        <w:t>Pacific region</w:t>
      </w:r>
      <w:r>
        <w:rPr>
          <w:lang w:val="en-US"/>
        </w:rPr>
        <w:t xml:space="preserve"> , </w:t>
      </w:r>
      <w:r>
        <w:t xml:space="preserve">HLSP Institute </w:t>
      </w:r>
    </w:p>
  </w:footnote>
  <w:footnote w:id="4">
    <w:p w:rsidR="00D0414C" w:rsidRDefault="00D0414C" w:rsidP="008B22DF">
      <w:pPr>
        <w:pStyle w:val="FootnoteText"/>
      </w:pPr>
      <w:r>
        <w:rPr>
          <w:rStyle w:val="FootnoteReference"/>
        </w:rPr>
        <w:footnoteRef/>
      </w:r>
      <w:r>
        <w:t xml:space="preserve"> Replies are referenced in the report by (</w:t>
      </w:r>
      <w:r>
        <w:rPr>
          <w:rFonts w:cs="Arial"/>
        </w:rPr>
        <w:t>Australian aid</w:t>
      </w:r>
      <w:r w:rsidRPr="00FA66BC">
        <w:rPr>
          <w:rFonts w:cs="Arial"/>
        </w:rPr>
        <w:t xml:space="preserve"> Dili health staff</w:t>
      </w:r>
      <w:r>
        <w:rPr>
          <w:rFonts w:cs="Arial"/>
        </w:rPr>
        <w:t>)</w:t>
      </w:r>
      <w:r>
        <w:t xml:space="preserve">. </w:t>
      </w:r>
    </w:p>
  </w:footnote>
  <w:footnote w:id="5">
    <w:p w:rsidR="00D0414C" w:rsidRPr="00710F04" w:rsidRDefault="00D0414C">
      <w:pPr>
        <w:pStyle w:val="FootnoteText"/>
        <w:rPr>
          <w:lang w:val="en-AU"/>
        </w:rPr>
      </w:pPr>
      <w:r>
        <w:rPr>
          <w:rStyle w:val="FootnoteReference"/>
        </w:rPr>
        <w:footnoteRef/>
      </w:r>
      <w:r>
        <w:t xml:space="preserve"> </w:t>
      </w:r>
      <w:r w:rsidRPr="005319B4">
        <w:t>D</w:t>
      </w:r>
      <w:r>
        <w:t>.</w:t>
      </w:r>
      <w:r w:rsidRPr="005319B4">
        <w:t xml:space="preserve"> Filmer, J</w:t>
      </w:r>
      <w:r>
        <w:t>.</w:t>
      </w:r>
      <w:r w:rsidRPr="005319B4">
        <w:t xml:space="preserve"> S. Hammer, L</w:t>
      </w:r>
      <w:r>
        <w:t>.</w:t>
      </w:r>
      <w:r w:rsidRPr="005319B4">
        <w:t xml:space="preserve"> H. Pritchett  </w:t>
      </w:r>
      <w:r>
        <w:t>(</w:t>
      </w:r>
      <w:r w:rsidRPr="005319B4">
        <w:t>2000</w:t>
      </w:r>
      <w:r>
        <w:t>)</w:t>
      </w:r>
      <w:r w:rsidRPr="005319B4">
        <w:t xml:space="preserve"> Weak Links in the Chain: A Diagnosis of Health Policy in Poor Countries The World Bank Research Observer, vol. 15, no. 2 </w:t>
      </w:r>
    </w:p>
  </w:footnote>
  <w:footnote w:id="6">
    <w:p w:rsidR="00D0414C" w:rsidRDefault="00D0414C" w:rsidP="008B22DF">
      <w:pPr>
        <w:pStyle w:val="FootnoteText"/>
      </w:pPr>
      <w:r>
        <w:rPr>
          <w:rStyle w:val="FootnoteReference"/>
        </w:rPr>
        <w:footnoteRef/>
      </w:r>
      <w:r>
        <w:t xml:space="preserve"> These were a</w:t>
      </w:r>
      <w:r w:rsidRPr="00A32C96">
        <w:rPr>
          <w:bCs/>
        </w:rPr>
        <w:t>verage income level, distribution of income, the extent of female education, the extent of ethno-linguistic differences, and whether a country is predominantly Muslim</w:t>
      </w:r>
      <w:r w:rsidRPr="005A5BDC">
        <w:rPr>
          <w:bCs/>
        </w:rPr>
        <w:t xml:space="preserve"> (Filmer and Pritchett 1999</w:t>
      </w:r>
      <w:r>
        <w:rPr>
          <w:bCs/>
        </w:rPr>
        <w:t>)</w:t>
      </w:r>
    </w:p>
  </w:footnote>
  <w:footnote w:id="7">
    <w:p w:rsidR="00D0414C" w:rsidRPr="00982D02" w:rsidRDefault="00D0414C" w:rsidP="00146FEB">
      <w:pPr>
        <w:pStyle w:val="FootnoteText"/>
        <w:rPr>
          <w:lang w:val="en-US"/>
        </w:rPr>
      </w:pPr>
      <w:r>
        <w:rPr>
          <w:rStyle w:val="FootnoteReference"/>
        </w:rPr>
        <w:footnoteRef/>
      </w:r>
      <w:r>
        <w:t xml:space="preserve"> </w:t>
      </w:r>
      <w:r>
        <w:rPr>
          <w:lang w:val="en-US"/>
        </w:rPr>
        <w:t xml:space="preserve">Disease Control Priorities Project (2008) </w:t>
      </w:r>
      <w:r w:rsidRPr="00982D02">
        <w:rPr>
          <w:lang w:val="en-US"/>
        </w:rPr>
        <w:t>Using Evidence About “Best Buys” to Advance Global Health</w:t>
      </w:r>
      <w:r>
        <w:rPr>
          <w:lang w:val="en-US"/>
        </w:rPr>
        <w:t xml:space="preserve">. Priorities were identified for groups of countries in sub-Saharan Africa and South Asia. </w:t>
      </w:r>
    </w:p>
  </w:footnote>
  <w:footnote w:id="8">
    <w:p w:rsidR="00D0414C" w:rsidRPr="00710F04" w:rsidRDefault="00D0414C">
      <w:pPr>
        <w:pStyle w:val="FootnoteText"/>
        <w:rPr>
          <w:lang w:val="en-AU"/>
        </w:rPr>
      </w:pPr>
      <w:r>
        <w:rPr>
          <w:rStyle w:val="FootnoteReference"/>
        </w:rPr>
        <w:footnoteRef/>
      </w:r>
      <w:r>
        <w:t xml:space="preserve"> </w:t>
      </w:r>
      <w:proofErr w:type="gramStart"/>
      <w:r w:rsidRPr="005319B4">
        <w:t>Hanson K et al. (2003).</w:t>
      </w:r>
      <w:proofErr w:type="gramEnd"/>
      <w:r w:rsidRPr="005319B4">
        <w:t xml:space="preserve"> Expanding access to priority health interventions: A framework for understanding the constraints to scaling up. Journal of International Development, 15:1-14</w:t>
      </w:r>
    </w:p>
  </w:footnote>
  <w:footnote w:id="9">
    <w:p w:rsidR="00D0414C" w:rsidRPr="005319B4" w:rsidRDefault="00D0414C" w:rsidP="00710F04">
      <w:pPr>
        <w:pStyle w:val="FootnoteText"/>
      </w:pPr>
      <w:r w:rsidRPr="004934DF">
        <w:rPr>
          <w:rStyle w:val="FootnoteReference"/>
        </w:rPr>
        <w:footnoteRef/>
      </w:r>
      <w:r w:rsidRPr="004934DF">
        <w:rPr>
          <w:rStyle w:val="FootnoteReference"/>
        </w:rPr>
        <w:t xml:space="preserve"> </w:t>
      </w:r>
      <w:r w:rsidRPr="005319B4">
        <w:t>G</w:t>
      </w:r>
      <w:r>
        <w:t>.</w:t>
      </w:r>
      <w:r w:rsidRPr="005319B4">
        <w:t xml:space="preserve"> Chee, N</w:t>
      </w:r>
      <w:r>
        <w:t>.</w:t>
      </w:r>
      <w:r w:rsidRPr="005319B4">
        <w:t xml:space="preserve"> Pielemeier, A</w:t>
      </w:r>
      <w:r>
        <w:t>.</w:t>
      </w:r>
      <w:r w:rsidRPr="005319B4">
        <w:t xml:space="preserve"> Lion and C</w:t>
      </w:r>
      <w:r>
        <w:t>.</w:t>
      </w:r>
      <w:r w:rsidRPr="005319B4">
        <w:t xml:space="preserve"> Connor </w:t>
      </w:r>
      <w:r>
        <w:t>(</w:t>
      </w:r>
      <w:r w:rsidRPr="005319B4">
        <w:t>2013</w:t>
      </w:r>
      <w:r>
        <w:t>)</w:t>
      </w:r>
      <w:r w:rsidRPr="005319B4">
        <w:t xml:space="preserve"> Why differentiating between health system support and health system strengthening is needed</w:t>
      </w:r>
      <w:r>
        <w:t>,</w:t>
      </w:r>
      <w:r w:rsidRPr="005319B4">
        <w:t xml:space="preserve">  Int J Health Plann Mgmt 2013; 28: 85–94</w:t>
      </w:r>
    </w:p>
  </w:footnote>
  <w:footnote w:id="10">
    <w:p w:rsidR="00D0414C" w:rsidRPr="005319B4" w:rsidRDefault="00D0414C" w:rsidP="005319B4">
      <w:pPr>
        <w:pStyle w:val="FootnoteText"/>
      </w:pPr>
      <w:r w:rsidRPr="004934DF">
        <w:rPr>
          <w:rStyle w:val="FootnoteReference"/>
        </w:rPr>
        <w:footnoteRef/>
      </w:r>
      <w:r w:rsidRPr="004934DF">
        <w:rPr>
          <w:rStyle w:val="FootnoteReference"/>
        </w:rPr>
        <w:t xml:space="preserve"> </w:t>
      </w:r>
      <w:r w:rsidRPr="005319B4">
        <w:t>Constraints to Scaling Up the Health Millennium Development Goals: Costing and Financial Gap Analysis Background Document for the Taskforce on Innovative International Financing for Health Systems Working Group 1: Constraints to Scaling Up and Costs, WHO 2010</w:t>
      </w:r>
    </w:p>
  </w:footnote>
  <w:footnote w:id="11">
    <w:p w:rsidR="00D0414C" w:rsidRPr="005319B4" w:rsidRDefault="00D0414C" w:rsidP="0064696D">
      <w:pPr>
        <w:pStyle w:val="FootnoteText"/>
      </w:pPr>
      <w:r w:rsidRPr="004934DF">
        <w:rPr>
          <w:rStyle w:val="FootnoteReference"/>
        </w:rPr>
        <w:footnoteRef/>
      </w:r>
      <w:r w:rsidRPr="004934DF">
        <w:rPr>
          <w:rStyle w:val="FootnoteReference"/>
        </w:rPr>
        <w:t xml:space="preserve"> </w:t>
      </w:r>
      <w:r w:rsidRPr="005319B4">
        <w:t>Johns</w:t>
      </w:r>
      <w:r>
        <w:t>,</w:t>
      </w:r>
      <w:r w:rsidRPr="005319B4">
        <w:t xml:space="preserve"> B</w:t>
      </w:r>
      <w:r>
        <w:t>.</w:t>
      </w:r>
      <w:r w:rsidRPr="005319B4">
        <w:t>, Baltussen</w:t>
      </w:r>
      <w:proofErr w:type="gramStart"/>
      <w:r>
        <w:t xml:space="preserve">, </w:t>
      </w:r>
      <w:r w:rsidRPr="005319B4">
        <w:t xml:space="preserve"> R</w:t>
      </w:r>
      <w:proofErr w:type="gramEnd"/>
      <w:r>
        <w:t>. and</w:t>
      </w:r>
      <w:r w:rsidRPr="005319B4">
        <w:t xml:space="preserve"> Hutubessy</w:t>
      </w:r>
      <w:r>
        <w:t>,</w:t>
      </w:r>
      <w:r w:rsidRPr="005319B4">
        <w:t xml:space="preserve"> R</w:t>
      </w:r>
      <w:r>
        <w:t>.</w:t>
      </w:r>
      <w:r w:rsidRPr="005319B4">
        <w:t xml:space="preserve"> </w:t>
      </w:r>
      <w:r>
        <w:t>(</w:t>
      </w:r>
      <w:r w:rsidRPr="005319B4">
        <w:t>2003</w:t>
      </w:r>
      <w:r>
        <w:t>)</w:t>
      </w:r>
      <w:r w:rsidRPr="005319B4">
        <w:t xml:space="preserve"> Programmme costs in the economic evaluation of health interventions.</w:t>
      </w:r>
      <w:r>
        <w:t xml:space="preserve"> </w:t>
      </w:r>
      <w:r w:rsidRPr="005319B4">
        <w:t>Cost effectiveness and Resource Allocation, 1:1</w:t>
      </w:r>
    </w:p>
  </w:footnote>
  <w:footnote w:id="12">
    <w:p w:rsidR="00D0414C" w:rsidRDefault="00D0414C" w:rsidP="0064696D">
      <w:pPr>
        <w:pStyle w:val="FootnoteText"/>
      </w:pPr>
      <w:r>
        <w:rPr>
          <w:rStyle w:val="FootnoteReference"/>
        </w:rPr>
        <w:footnoteRef/>
      </w:r>
      <w:r>
        <w:t xml:space="preserve"> USAID's DELIVER and Health Systems 20/20 projects cover many countries, and USAID funds several country initiatives. GAVI and GFATM fund country HSS activities within other programs.</w:t>
      </w:r>
    </w:p>
  </w:footnote>
  <w:footnote w:id="13">
    <w:p w:rsidR="00D0414C" w:rsidRPr="005319B4" w:rsidRDefault="00D0414C" w:rsidP="00710F04">
      <w:pPr>
        <w:pStyle w:val="FootnoteText"/>
      </w:pPr>
      <w:r w:rsidRPr="004934DF">
        <w:rPr>
          <w:rStyle w:val="FootnoteReference"/>
        </w:rPr>
        <w:footnoteRef/>
      </w:r>
      <w:r w:rsidRPr="005319B4">
        <w:t xml:space="preserve"> K</w:t>
      </w:r>
      <w:r>
        <w:t>.</w:t>
      </w:r>
      <w:r w:rsidRPr="005319B4">
        <w:t xml:space="preserve"> Itamar, G</w:t>
      </w:r>
      <w:r>
        <w:t>.</w:t>
      </w:r>
      <w:r w:rsidRPr="005319B4">
        <w:t xml:space="preserve"> Chee, A</w:t>
      </w:r>
      <w:r>
        <w:t>.</w:t>
      </w:r>
      <w:r w:rsidRPr="005319B4">
        <w:t xml:space="preserve"> Hulme and S</w:t>
      </w:r>
      <w:r>
        <w:t>.</w:t>
      </w:r>
      <w:r w:rsidRPr="005319B4">
        <w:t xml:space="preserve"> Koseki. </w:t>
      </w:r>
      <w:proofErr w:type="gramStart"/>
      <w:r>
        <w:t>(</w:t>
      </w:r>
      <w:r w:rsidRPr="005319B4">
        <w:t>2012</w:t>
      </w:r>
      <w:r>
        <w:t>)</w:t>
      </w:r>
      <w:r w:rsidRPr="005319B4">
        <w:t xml:space="preserve">. Framework and Guideline for the Assessment and Evaluation of Health Systems Strengthening </w:t>
      </w:r>
      <w:r>
        <w:t>Program</w:t>
      </w:r>
      <w:r w:rsidRPr="005319B4">
        <w:t>.</w:t>
      </w:r>
      <w:proofErr w:type="gramEnd"/>
      <w:r w:rsidRPr="005319B4">
        <w:t xml:space="preserve"> Bethesda, MD: Health Systems 20/20 project, Abt Associates Inc</w:t>
      </w:r>
    </w:p>
  </w:footnote>
  <w:footnote w:id="14">
    <w:p w:rsidR="00D0414C" w:rsidRDefault="00D0414C" w:rsidP="001B01D0">
      <w:pPr>
        <w:pStyle w:val="FootnoteText"/>
      </w:pPr>
      <w:r>
        <w:rPr>
          <w:rStyle w:val="FootnoteReference"/>
        </w:rPr>
        <w:footnoteRef/>
      </w:r>
      <w:r>
        <w:t xml:space="preserve"> B</w:t>
      </w:r>
      <w:r w:rsidRPr="00267527">
        <w:t>enefit-cost analys</w:t>
      </w:r>
      <w:r>
        <w:t>i</w:t>
      </w:r>
      <w:r w:rsidRPr="00267527">
        <w:t>s ha</w:t>
      </w:r>
      <w:r>
        <w:t>s</w:t>
      </w:r>
      <w:r w:rsidRPr="00267527">
        <w:t xml:space="preserve"> been </w:t>
      </w:r>
      <w:r>
        <w:t>used</w:t>
      </w:r>
      <w:r w:rsidRPr="00267527">
        <w:t xml:space="preserve"> in the past, </w:t>
      </w:r>
      <w:r>
        <w:t xml:space="preserve">but </w:t>
      </w:r>
      <w:r w:rsidRPr="00267527">
        <w:t xml:space="preserve">the </w:t>
      </w:r>
      <w:r>
        <w:t>'</w:t>
      </w:r>
      <w:r w:rsidRPr="00267527">
        <w:t>human capital</w:t>
      </w:r>
      <w:r>
        <w:t>'</w:t>
      </w:r>
      <w:r w:rsidRPr="00267527">
        <w:t xml:space="preserve"> approach that places a monetary value on loss of functional life is no longer considered useful, valid or ethical. </w:t>
      </w:r>
    </w:p>
  </w:footnote>
  <w:footnote w:id="15">
    <w:p w:rsidR="00D0414C" w:rsidRPr="00D0414C" w:rsidRDefault="00D0414C">
      <w:pPr>
        <w:pStyle w:val="FootnoteText"/>
        <w:rPr>
          <w:lang w:val="en-AU"/>
        </w:rPr>
      </w:pPr>
      <w:r>
        <w:rPr>
          <w:rStyle w:val="FootnoteReference"/>
        </w:rPr>
        <w:footnoteRef/>
      </w:r>
      <w:r>
        <w:t xml:space="preserve"> </w:t>
      </w:r>
      <w:r w:rsidRPr="003D7117">
        <w:t>MOH 2007 Basic Services Package</w:t>
      </w:r>
    </w:p>
  </w:footnote>
  <w:footnote w:id="16">
    <w:p w:rsidR="00D0414C" w:rsidRDefault="00D0414C" w:rsidP="000D1C92">
      <w:pPr>
        <w:pStyle w:val="FootnoteText"/>
      </w:pPr>
      <w:r>
        <w:rPr>
          <w:rStyle w:val="FootnoteReference"/>
        </w:rPr>
        <w:footnoteRef/>
      </w:r>
      <w:r>
        <w:t xml:space="preserve"> A </w:t>
      </w:r>
      <w:r w:rsidRPr="00AA2072">
        <w:t xml:space="preserve">model of </w:t>
      </w:r>
      <w:r>
        <w:t>emergency obstetric and newborn</w:t>
      </w:r>
      <w:r w:rsidRPr="00AA2072">
        <w:t xml:space="preserve"> care </w:t>
      </w:r>
      <w:r>
        <w:t xml:space="preserve">identifies </w:t>
      </w:r>
      <w:r w:rsidRPr="00AA2072">
        <w:t>the 'three delays' The delay</w:t>
      </w:r>
      <w:r>
        <w:t>s</w:t>
      </w:r>
      <w:r w:rsidRPr="00AA2072">
        <w:t xml:space="preserve"> in deciding to seek care and in reaching appropriate care relate to the issue of access to care, encompassing factors in the family and the community, including transportation. The third delay, in receiving care, relates to factors in the health facility including quality of care. In practice, it is crucial to address the third delay first, for it would be useless to facilitate access to a health facility if it was not available, well-staffed, well-equipped and providing good quality care (UNFPA website on EmOC).</w:t>
      </w:r>
    </w:p>
  </w:footnote>
  <w:footnote w:id="17">
    <w:p w:rsidR="00D0414C" w:rsidRPr="00B04878" w:rsidRDefault="00D0414C" w:rsidP="00622D9F">
      <w:pPr>
        <w:pStyle w:val="FootnoteText"/>
      </w:pPr>
      <w:r w:rsidRPr="004934DF">
        <w:rPr>
          <w:rStyle w:val="FootnoteReference"/>
        </w:rPr>
        <w:footnoteRef/>
      </w:r>
      <w:r w:rsidRPr="00B04878">
        <w:t xml:space="preserve"> S</w:t>
      </w:r>
      <w:r>
        <w:t>.</w:t>
      </w:r>
      <w:r w:rsidRPr="00B04878">
        <w:t xml:space="preserve"> Foster and M</w:t>
      </w:r>
      <w:r>
        <w:t>.</w:t>
      </w:r>
      <w:r w:rsidRPr="00B04878">
        <w:t xml:space="preserve"> Bryant (2013) A Framework for Estimating Benefits of Investing in Maternal, Newborn, and Child Health. Partnership for Maternal, Newborn and Child Health, Geneva</w:t>
      </w:r>
    </w:p>
  </w:footnote>
  <w:footnote w:id="18">
    <w:p w:rsidR="00D0414C" w:rsidRPr="00B04878" w:rsidRDefault="00D0414C" w:rsidP="00BB2CC1">
      <w:pPr>
        <w:pStyle w:val="FootnoteText"/>
      </w:pPr>
      <w:r w:rsidRPr="00B04878">
        <w:rPr>
          <w:rStyle w:val="FootnoteReference"/>
        </w:rPr>
        <w:footnoteRef/>
      </w:r>
      <w:r w:rsidRPr="00B04878">
        <w:t xml:space="preserve"> This may not be the case at present. The NHSSP observes: "…although the mission is to provide comprehensive family care, the relationship between primary, secondary, and tertiary care does not always support this mission. There are very few guidelines and agreed protocols for referral between primary, secondary and tertiary care."</w:t>
      </w:r>
    </w:p>
  </w:footnote>
  <w:footnote w:id="19">
    <w:p w:rsidR="00D0414C" w:rsidRPr="00710F04" w:rsidRDefault="00D0414C" w:rsidP="007C221C">
      <w:pPr>
        <w:pStyle w:val="FootnoteText"/>
        <w:rPr>
          <w:lang w:val="en-AU"/>
        </w:rPr>
      </w:pPr>
      <w:r w:rsidRPr="00B04878">
        <w:rPr>
          <w:rStyle w:val="FootnoteReference"/>
        </w:rPr>
        <w:footnoteRef/>
      </w:r>
      <w:r w:rsidRPr="00B04878">
        <w:t xml:space="preserve"> S</w:t>
      </w:r>
      <w:r>
        <w:t>.</w:t>
      </w:r>
      <w:r w:rsidRPr="00B04878">
        <w:t xml:space="preserve"> Foster and M</w:t>
      </w:r>
      <w:r>
        <w:t>.</w:t>
      </w:r>
      <w:r w:rsidRPr="00B04878">
        <w:t xml:space="preserve"> Bryant (2013)</w:t>
      </w:r>
      <w:r w:rsidRPr="005319B4">
        <w:t xml:space="preserve"> </w:t>
      </w:r>
      <w:proofErr w:type="gramStart"/>
      <w:r>
        <w:t>These</w:t>
      </w:r>
      <w:proofErr w:type="gramEnd"/>
      <w:r>
        <w:t xml:space="preserve"> are not specific to any one country.</w:t>
      </w:r>
    </w:p>
  </w:footnote>
  <w:footnote w:id="20">
    <w:p w:rsidR="00D0414C" w:rsidRPr="00DE34C7" w:rsidRDefault="00D0414C" w:rsidP="000D1C92">
      <w:pPr>
        <w:pStyle w:val="FootnoteText"/>
        <w:rPr>
          <w:lang w:val="en-AU"/>
        </w:rPr>
      </w:pPr>
      <w:r>
        <w:rPr>
          <w:rStyle w:val="FootnoteReference"/>
        </w:rPr>
        <w:footnoteRef/>
      </w:r>
      <w:r>
        <w:t xml:space="preserve"> </w:t>
      </w:r>
      <w:r w:rsidRPr="005319B4">
        <w:t>S</w:t>
      </w:r>
      <w:r>
        <w:t>.</w:t>
      </w:r>
      <w:r w:rsidRPr="005319B4">
        <w:t xml:space="preserve"> Foster and M</w:t>
      </w:r>
      <w:r>
        <w:t>.</w:t>
      </w:r>
      <w:r w:rsidRPr="005319B4">
        <w:t xml:space="preserve"> Bryant (2013) </w:t>
      </w:r>
    </w:p>
  </w:footnote>
  <w:footnote w:id="21">
    <w:p w:rsidR="00D0414C" w:rsidRPr="000D1C92" w:rsidRDefault="00D0414C" w:rsidP="000D1C92">
      <w:pPr>
        <w:pStyle w:val="FootnoteText"/>
        <w:rPr>
          <w:rFonts w:cs="Arial"/>
          <w:lang w:val="en-AU"/>
        </w:rPr>
      </w:pPr>
      <w:r w:rsidRPr="000D1C92">
        <w:rPr>
          <w:rStyle w:val="FootnoteReference"/>
          <w:rFonts w:cs="Arial"/>
        </w:rPr>
        <w:footnoteRef/>
      </w:r>
      <w:r w:rsidRPr="000D1C92">
        <w:rPr>
          <w:rFonts w:cs="Arial"/>
        </w:rPr>
        <w:t xml:space="preserve"> Adapted </w:t>
      </w:r>
      <w:r>
        <w:rPr>
          <w:rFonts w:cs="Arial"/>
        </w:rPr>
        <w:t>f</w:t>
      </w:r>
      <w:r w:rsidRPr="000D1C92">
        <w:rPr>
          <w:rFonts w:cs="Arial"/>
        </w:rPr>
        <w:t>rom</w:t>
      </w:r>
      <w:r>
        <w:rPr>
          <w:rFonts w:cs="Arial"/>
        </w:rPr>
        <w:t>:</w:t>
      </w:r>
      <w:r w:rsidRPr="000D1C92">
        <w:rPr>
          <w:rFonts w:cs="Arial"/>
        </w:rPr>
        <w:t xml:space="preserve"> S</w:t>
      </w:r>
      <w:r>
        <w:rPr>
          <w:rFonts w:cs="Arial"/>
        </w:rPr>
        <w:t>.</w:t>
      </w:r>
      <w:r w:rsidRPr="000D1C92">
        <w:rPr>
          <w:rFonts w:cs="Arial"/>
        </w:rPr>
        <w:t xml:space="preserve"> Foster and M</w:t>
      </w:r>
      <w:r>
        <w:rPr>
          <w:rFonts w:cs="Arial"/>
        </w:rPr>
        <w:t>.</w:t>
      </w:r>
      <w:r w:rsidRPr="000D1C92">
        <w:rPr>
          <w:rFonts w:cs="Arial"/>
        </w:rPr>
        <w:t xml:space="preserve"> Bryant (2013) </w:t>
      </w:r>
    </w:p>
  </w:footnote>
  <w:footnote w:id="22">
    <w:p w:rsidR="00FB2796" w:rsidRPr="00BC6810" w:rsidRDefault="00FB2796" w:rsidP="00FB2796">
      <w:pPr>
        <w:pStyle w:val="FootnoteText"/>
      </w:pPr>
      <w:r>
        <w:rPr>
          <w:rStyle w:val="FootnoteReference"/>
        </w:rPr>
        <w:footnoteRef/>
      </w:r>
      <w:r>
        <w:t xml:space="preserve"> Based on 2011 UNICEF data:(Pop.1.154 million</w:t>
      </w:r>
      <w:r w:rsidRPr="003D147D">
        <w:t>, C</w:t>
      </w:r>
      <w:r w:rsidRPr="00D0414C">
        <w:t xml:space="preserve">rude </w:t>
      </w:r>
      <w:r w:rsidRPr="003D147D">
        <w:t>B</w:t>
      </w:r>
      <w:r w:rsidRPr="00D0414C">
        <w:t xml:space="preserve">irth </w:t>
      </w:r>
      <w:r w:rsidRPr="003D147D">
        <w:t>Rate</w:t>
      </w:r>
      <w:r>
        <w:t xml:space="preserve"> = 38, Adjusted maternal mortality rate = 300, chjld mortality rate = 54, neonatal mortality rate = 24), Disabilities are calculated using the global multipliers from Foster et al (2013)</w:t>
      </w:r>
    </w:p>
  </w:footnote>
  <w:footnote w:id="23">
    <w:p w:rsidR="00D0414C" w:rsidRPr="000D1C92" w:rsidRDefault="00D0414C" w:rsidP="000D1C92">
      <w:pPr>
        <w:pStyle w:val="FootnoteText"/>
        <w:rPr>
          <w:rFonts w:cs="Arial"/>
        </w:rPr>
      </w:pPr>
      <w:r w:rsidRPr="000D1C92">
        <w:rPr>
          <w:rStyle w:val="FootnoteReference"/>
          <w:rFonts w:cs="Arial"/>
        </w:rPr>
        <w:footnoteRef/>
      </w:r>
      <w:r w:rsidRPr="000D1C92">
        <w:rPr>
          <w:rFonts w:cs="Arial"/>
        </w:rPr>
        <w:t xml:space="preserve"> Foster et al carry the analysis further by estimating the cost of lost productivity based on years of life lost between life expectancy and average age at death due to each health condition, and loss of income caused by disability. If this human capital approach were used in the example shown for Timor-Leste and a year of premature loss of life valued at $3,670 (GDP/capita) and a year of disability over a 5-year time horizon valued at half that, the total of $137 million per year would represent a loss of aggregate household income equal to 10.5% of GDP ($1,293 million in 2012).</w:t>
      </w:r>
    </w:p>
  </w:footnote>
  <w:footnote w:id="24">
    <w:p w:rsidR="00D0414C" w:rsidRPr="00D0414C" w:rsidRDefault="00D0414C">
      <w:pPr>
        <w:pStyle w:val="FootnoteText"/>
        <w:rPr>
          <w:lang w:val="en-AU"/>
        </w:rPr>
      </w:pPr>
      <w:r w:rsidRPr="009322F3">
        <w:rPr>
          <w:rStyle w:val="FootnoteReference"/>
        </w:rPr>
        <w:footnoteRef/>
      </w:r>
      <w:r w:rsidRPr="009322F3">
        <w:t xml:space="preserve"> WHO </w:t>
      </w:r>
      <w:r>
        <w:t>(2013) World Health Statistics 2013</w:t>
      </w:r>
    </w:p>
  </w:footnote>
  <w:footnote w:id="25">
    <w:p w:rsidR="00D0414C" w:rsidRPr="00AF57B3" w:rsidRDefault="00D0414C" w:rsidP="000D1C92">
      <w:pPr>
        <w:pStyle w:val="FootnoteText"/>
        <w:rPr>
          <w:lang w:val="en-AU"/>
        </w:rPr>
      </w:pPr>
      <w:r w:rsidRPr="000D1C92">
        <w:rPr>
          <w:rStyle w:val="FootnoteReference"/>
          <w:rFonts w:cs="Arial"/>
        </w:rPr>
        <w:footnoteRef/>
      </w:r>
      <w:r w:rsidRPr="000D1C92">
        <w:rPr>
          <w:rFonts w:cs="Arial"/>
        </w:rPr>
        <w:t xml:space="preserve"> </w:t>
      </w:r>
      <w:r w:rsidRPr="000D1C92">
        <w:rPr>
          <w:rFonts w:cs="Arial"/>
          <w:lang w:val="en-US"/>
        </w:rPr>
        <w:t>T</w:t>
      </w:r>
      <w:r>
        <w:rPr>
          <w:rFonts w:cs="Arial"/>
          <w:lang w:val="en-US"/>
        </w:rPr>
        <w:t>.</w:t>
      </w:r>
      <w:r w:rsidRPr="000D1C92">
        <w:rPr>
          <w:rFonts w:cs="Arial"/>
          <w:lang w:val="en-US"/>
        </w:rPr>
        <w:t xml:space="preserve"> Ensor, H</w:t>
      </w:r>
      <w:r>
        <w:rPr>
          <w:rFonts w:cs="Arial"/>
          <w:lang w:val="en-US"/>
        </w:rPr>
        <w:t>.</w:t>
      </w:r>
      <w:r w:rsidRPr="000D1C92">
        <w:rPr>
          <w:rFonts w:cs="Arial"/>
          <w:lang w:val="en-US"/>
        </w:rPr>
        <w:t xml:space="preserve"> Firdaus &amp; T</w:t>
      </w:r>
      <w:r>
        <w:rPr>
          <w:rFonts w:cs="Arial"/>
          <w:lang w:val="en-US"/>
        </w:rPr>
        <w:t>.</w:t>
      </w:r>
      <w:r w:rsidRPr="000D1C92">
        <w:rPr>
          <w:rFonts w:cs="Arial"/>
          <w:lang w:val="en-US"/>
        </w:rPr>
        <w:t xml:space="preserve"> Lievens  </w:t>
      </w:r>
      <w:r>
        <w:rPr>
          <w:rFonts w:cs="Arial"/>
          <w:lang w:val="en-US"/>
        </w:rPr>
        <w:t>(</w:t>
      </w:r>
      <w:r w:rsidRPr="000D1C92">
        <w:rPr>
          <w:rFonts w:cs="Arial"/>
          <w:lang w:val="en-US"/>
        </w:rPr>
        <w:t>2010</w:t>
      </w:r>
      <w:r>
        <w:rPr>
          <w:rFonts w:cs="Arial"/>
          <w:lang w:val="en-US"/>
        </w:rPr>
        <w:t>)</w:t>
      </w:r>
      <w:r w:rsidRPr="000D1C92">
        <w:rPr>
          <w:rFonts w:cs="Arial"/>
          <w:lang w:val="en-US"/>
        </w:rPr>
        <w:t xml:space="preserve"> Health facilities costing in Timor-Leste Final Report</w:t>
      </w:r>
      <w:r>
        <w:rPr>
          <w:rFonts w:cs="Arial"/>
          <w:lang w:val="en-US"/>
        </w:rPr>
        <w:t xml:space="preserve">, </w:t>
      </w:r>
      <w:r w:rsidRPr="000D1C92">
        <w:rPr>
          <w:rFonts w:cs="Arial"/>
          <w:lang w:val="en-US"/>
        </w:rPr>
        <w:t>Oxford Policy Management</w:t>
      </w:r>
    </w:p>
  </w:footnote>
  <w:footnote w:id="26">
    <w:p w:rsidR="00D0414C" w:rsidRPr="005319B4" w:rsidRDefault="00D0414C" w:rsidP="00AF57B3">
      <w:pPr>
        <w:pStyle w:val="FootnoteText"/>
      </w:pPr>
      <w:r w:rsidRPr="004934DF">
        <w:rPr>
          <w:rStyle w:val="FootnoteReference"/>
        </w:rPr>
        <w:footnoteRef/>
      </w:r>
      <w:r w:rsidRPr="005319B4">
        <w:t xml:space="preserve"> Rannan-Eliya, R. P., R. Hafez, C. Anuranga and R. Wickramasinghe </w:t>
      </w:r>
      <w:r>
        <w:t>(</w:t>
      </w:r>
      <w:r w:rsidRPr="005319B4">
        <w:t>2012</w:t>
      </w:r>
      <w:r>
        <w:t>)</w:t>
      </w:r>
      <w:r w:rsidRPr="005319B4">
        <w:t xml:space="preserve"> The Impact of Out-of-Pocket Expenditures on Families and Barriers to Use of Maternal and Child Health Services in Timor-Leste: Evidence from the Timor-Leste Surveys of Living Standards 2001 and 2007 Manila: ADB</w:t>
      </w:r>
    </w:p>
  </w:footnote>
  <w:footnote w:id="27">
    <w:p w:rsidR="00D0414C" w:rsidRPr="00D0414C" w:rsidRDefault="00D0414C">
      <w:pPr>
        <w:pStyle w:val="FootnoteText"/>
        <w:rPr>
          <w:lang w:val="en-AU"/>
        </w:rPr>
      </w:pPr>
      <w:r>
        <w:rPr>
          <w:rStyle w:val="FootnoteReference"/>
        </w:rPr>
        <w:footnoteRef/>
      </w:r>
      <w:r>
        <w:t xml:space="preserve"> </w:t>
      </w:r>
      <w:r>
        <w:rPr>
          <w:rFonts w:cs="Arial"/>
        </w:rPr>
        <w:t>www.</w:t>
      </w:r>
      <w:r w:rsidRPr="00FA66BC">
        <w:rPr>
          <w:rFonts w:cs="Arial"/>
        </w:rPr>
        <w:t>ruralroads.org</w:t>
      </w:r>
    </w:p>
  </w:footnote>
  <w:footnote w:id="28">
    <w:p w:rsidR="00D0414C" w:rsidRPr="00D0414C" w:rsidRDefault="00D0414C">
      <w:pPr>
        <w:pStyle w:val="FootnoteText"/>
        <w:rPr>
          <w:lang w:val="en-US"/>
        </w:rPr>
      </w:pPr>
      <w:r>
        <w:rPr>
          <w:rStyle w:val="FootnoteReference"/>
        </w:rPr>
        <w:footnoteRef/>
      </w:r>
      <w:r>
        <w:t xml:space="preserve"> </w:t>
      </w:r>
      <w:r>
        <w:rPr>
          <w:lang w:bidi="ar-SA"/>
        </w:rPr>
        <w:t>Australian aid</w:t>
      </w:r>
      <w:r w:rsidRPr="007C221C">
        <w:rPr>
          <w:lang w:bidi="ar-SA"/>
        </w:rPr>
        <w:t xml:space="preserve"> has provided inputs for rural road improvements to improve access to health and other services.</w:t>
      </w:r>
    </w:p>
  </w:footnote>
  <w:footnote w:id="29">
    <w:p w:rsidR="00D0414C" w:rsidRPr="005319B4" w:rsidRDefault="00D0414C" w:rsidP="00AF57B3">
      <w:pPr>
        <w:pStyle w:val="FootnoteText"/>
      </w:pPr>
      <w:r w:rsidRPr="004934DF">
        <w:rPr>
          <w:rStyle w:val="FootnoteReference"/>
        </w:rPr>
        <w:footnoteRef/>
      </w:r>
      <w:r w:rsidRPr="004934DF">
        <w:rPr>
          <w:rStyle w:val="FootnoteReference"/>
        </w:rPr>
        <w:t xml:space="preserve"> </w:t>
      </w:r>
      <w:proofErr w:type="gramStart"/>
      <w:r w:rsidRPr="005319B4">
        <w:t>Direçao Nacional Apoio Serviço Hospitalares 2013(?)</w:t>
      </w:r>
      <w:proofErr w:type="gramEnd"/>
      <w:r w:rsidRPr="005319B4">
        <w:t xml:space="preserve"> Dadus Ambulancia Ba Reparasaun</w:t>
      </w:r>
    </w:p>
  </w:footnote>
  <w:footnote w:id="30">
    <w:p w:rsidR="00D0414C" w:rsidRPr="00052C07" w:rsidRDefault="00D0414C">
      <w:pPr>
        <w:pStyle w:val="FootnoteText"/>
        <w:rPr>
          <w:lang w:val="en-AU"/>
        </w:rPr>
      </w:pPr>
      <w:r>
        <w:rPr>
          <w:rStyle w:val="FootnoteReference"/>
        </w:rPr>
        <w:footnoteRef/>
      </w:r>
      <w:r>
        <w:t xml:space="preserve"> </w:t>
      </w:r>
      <w:r>
        <w:rPr>
          <w:rFonts w:cs="Arial"/>
        </w:rPr>
        <w:t>Australian aid</w:t>
      </w:r>
      <w:r w:rsidRPr="00FA66BC">
        <w:rPr>
          <w:rFonts w:cs="Arial"/>
        </w:rPr>
        <w:t xml:space="preserve"> Dili health staff</w:t>
      </w:r>
    </w:p>
  </w:footnote>
  <w:footnote w:id="31">
    <w:p w:rsidR="00D0414C" w:rsidRPr="00E5770D" w:rsidRDefault="00D0414C" w:rsidP="00AF57B3">
      <w:pPr>
        <w:pStyle w:val="FootnoteText"/>
        <w:rPr>
          <w:lang w:val="en-AU"/>
        </w:rPr>
      </w:pPr>
      <w:r w:rsidRPr="004934DF">
        <w:rPr>
          <w:rStyle w:val="FootnoteReference"/>
        </w:rPr>
        <w:footnoteRef/>
      </w:r>
      <w:r w:rsidRPr="005319B4">
        <w:t xml:space="preserve"> K</w:t>
      </w:r>
      <w:r>
        <w:t>.</w:t>
      </w:r>
      <w:r w:rsidRPr="005319B4">
        <w:t xml:space="preserve"> Whimp </w:t>
      </w:r>
      <w:r>
        <w:t>(</w:t>
      </w:r>
      <w:r w:rsidRPr="005319B4">
        <w:t>2010</w:t>
      </w:r>
      <w:r>
        <w:t>)</w:t>
      </w:r>
      <w:r w:rsidRPr="005319B4">
        <w:t xml:space="preserve"> Report on Bottlenecks in Service Delivery</w:t>
      </w:r>
    </w:p>
  </w:footnote>
  <w:footnote w:id="32">
    <w:p w:rsidR="00D0414C" w:rsidRPr="00052C07" w:rsidRDefault="00D0414C">
      <w:pPr>
        <w:pStyle w:val="FootnoteText"/>
        <w:rPr>
          <w:lang w:val="en-AU"/>
        </w:rPr>
      </w:pPr>
      <w:r>
        <w:rPr>
          <w:rStyle w:val="FootnoteReference"/>
        </w:rPr>
        <w:footnoteRef/>
      </w:r>
      <w:r>
        <w:t xml:space="preserve"> </w:t>
      </w:r>
      <w:r>
        <w:rPr>
          <w:rFonts w:cs="Arial"/>
        </w:rPr>
        <w:t>Australian aid</w:t>
      </w:r>
      <w:r w:rsidRPr="00FA66BC">
        <w:rPr>
          <w:rFonts w:cs="Arial"/>
        </w:rPr>
        <w:t xml:space="preserve"> Dili health staff</w:t>
      </w:r>
    </w:p>
  </w:footnote>
  <w:footnote w:id="33">
    <w:p w:rsidR="00D0414C" w:rsidRPr="00052C07" w:rsidRDefault="00D0414C">
      <w:pPr>
        <w:pStyle w:val="FootnoteText"/>
        <w:rPr>
          <w:lang w:val="en-AU"/>
        </w:rPr>
      </w:pPr>
      <w:r>
        <w:rPr>
          <w:rStyle w:val="FootnoteReference"/>
        </w:rPr>
        <w:footnoteRef/>
      </w:r>
      <w:r>
        <w:t xml:space="preserve"> </w:t>
      </w:r>
      <w:r>
        <w:rPr>
          <w:rFonts w:cs="Arial"/>
        </w:rPr>
        <w:t>Australian aid</w:t>
      </w:r>
      <w:r w:rsidRPr="00FA66BC">
        <w:rPr>
          <w:rFonts w:cs="Arial"/>
        </w:rPr>
        <w:t xml:space="preserve"> Dili health staff</w:t>
      </w:r>
    </w:p>
  </w:footnote>
  <w:footnote w:id="34">
    <w:p w:rsidR="00D0414C" w:rsidRPr="005319B4" w:rsidRDefault="00D0414C" w:rsidP="00AF57B3">
      <w:pPr>
        <w:pStyle w:val="FootnoteText"/>
      </w:pPr>
      <w:r w:rsidRPr="004934DF">
        <w:rPr>
          <w:rStyle w:val="FootnoteReference"/>
        </w:rPr>
        <w:footnoteRef/>
      </w:r>
      <w:r w:rsidRPr="005319B4">
        <w:t xml:space="preserve"> S</w:t>
      </w:r>
      <w:r>
        <w:t>.</w:t>
      </w:r>
      <w:r w:rsidRPr="005319B4">
        <w:t xml:space="preserve"> Foster and M</w:t>
      </w:r>
      <w:r>
        <w:t>.</w:t>
      </w:r>
      <w:r w:rsidRPr="005319B4">
        <w:t xml:space="preserve"> Bryant (2013) A Framework for Estimating Benefits of Investing in </w:t>
      </w:r>
      <w:proofErr w:type="gramStart"/>
      <w:r w:rsidRPr="005319B4">
        <w:t>Maternal ,</w:t>
      </w:r>
      <w:proofErr w:type="gramEnd"/>
      <w:r w:rsidRPr="005319B4">
        <w:t xml:space="preserve"> Newborn, and Child Health. Partnership for Maternal, Newborn and Child Health, Geneva</w:t>
      </w:r>
    </w:p>
  </w:footnote>
  <w:footnote w:id="35">
    <w:p w:rsidR="00D0414C" w:rsidRPr="005319B4" w:rsidRDefault="00D0414C" w:rsidP="00AF57B3">
      <w:pPr>
        <w:pStyle w:val="FootnoteText"/>
      </w:pPr>
      <w:r w:rsidRPr="004934DF">
        <w:rPr>
          <w:rStyle w:val="FootnoteReference"/>
        </w:rPr>
        <w:footnoteRef/>
      </w:r>
      <w:r w:rsidRPr="004934DF">
        <w:rPr>
          <w:rStyle w:val="FootnoteReference"/>
        </w:rPr>
        <w:t xml:space="preserve"> </w:t>
      </w:r>
      <w:r w:rsidRPr="00A52BE2">
        <w:t>D. Northway HRF March 2013 East Timor Budget Analysis</w:t>
      </w:r>
    </w:p>
  </w:footnote>
  <w:footnote w:id="36">
    <w:p w:rsidR="00D0414C" w:rsidRPr="005319B4" w:rsidRDefault="00D0414C" w:rsidP="00AF57B3">
      <w:pPr>
        <w:pStyle w:val="FootnoteText"/>
      </w:pPr>
      <w:r w:rsidRPr="004934DF">
        <w:rPr>
          <w:rStyle w:val="FootnoteReference"/>
        </w:rPr>
        <w:footnoteRef/>
      </w:r>
      <w:r w:rsidRPr="004934DF">
        <w:rPr>
          <w:rStyle w:val="FootnoteReference"/>
        </w:rPr>
        <w:t xml:space="preserve"> </w:t>
      </w:r>
      <w:r w:rsidRPr="00A52BE2">
        <w:t xml:space="preserve">Asante, A et al. </w:t>
      </w:r>
      <w:r>
        <w:t>(</w:t>
      </w:r>
      <w:r w:rsidRPr="00A52BE2">
        <w:t>2011</w:t>
      </w:r>
      <w:r>
        <w:t xml:space="preserve">) </w:t>
      </w:r>
      <w:r w:rsidRPr="00A52BE2">
        <w:t xml:space="preserve"> </w:t>
      </w:r>
      <w:r w:rsidRPr="005319B4">
        <w:t xml:space="preserve">A review of health leadership and management capacity in Timor-Leste, </w:t>
      </w:r>
      <w:r w:rsidRPr="00A52BE2">
        <w:t>Human Resources for Health Knowledge Hub, University of New South Wales, Sydney</w:t>
      </w:r>
    </w:p>
  </w:footnote>
  <w:footnote w:id="37">
    <w:p w:rsidR="00D0414C" w:rsidRPr="00E5770D" w:rsidRDefault="00D0414C" w:rsidP="005319B4">
      <w:pPr>
        <w:pStyle w:val="FootnoteText"/>
        <w:rPr>
          <w:bCs/>
        </w:rPr>
      </w:pPr>
      <w:r w:rsidRPr="004934DF">
        <w:rPr>
          <w:rStyle w:val="FootnoteReference"/>
        </w:rPr>
        <w:footnoteRef/>
      </w:r>
      <w:r>
        <w:t xml:space="preserve"> </w:t>
      </w:r>
      <w:r w:rsidRPr="005319B4">
        <w:t>WHO Country Cooperation Strategy  2013 Timor-Leste</w:t>
      </w:r>
    </w:p>
  </w:footnote>
  <w:footnote w:id="38">
    <w:p w:rsidR="00D0414C" w:rsidRPr="00D0414C" w:rsidRDefault="00D0414C">
      <w:pPr>
        <w:pStyle w:val="FootnoteText"/>
        <w:rPr>
          <w:lang w:val="en-AU"/>
        </w:rPr>
      </w:pPr>
      <w:r>
        <w:rPr>
          <w:rStyle w:val="FootnoteReference"/>
        </w:rPr>
        <w:footnoteRef/>
      </w:r>
      <w:r>
        <w:t xml:space="preserve"> </w:t>
      </w:r>
      <w:r>
        <w:rPr>
          <w:lang w:val="en-AU"/>
        </w:rPr>
        <w:t>Australian aid Dili Health Staff</w:t>
      </w:r>
    </w:p>
  </w:footnote>
  <w:footnote w:id="39">
    <w:p w:rsidR="00D0414C" w:rsidRPr="00AB13C2" w:rsidRDefault="00D0414C">
      <w:pPr>
        <w:pStyle w:val="FootnoteText"/>
      </w:pPr>
      <w:r>
        <w:rPr>
          <w:rStyle w:val="FootnoteReference"/>
        </w:rPr>
        <w:footnoteRef/>
      </w:r>
      <w:r>
        <w:t xml:space="preserve"> Exactly the same cost-effectiveness analysis could be made for missing skilled staff as was done for broken ambulances. However in order to compare different interventions, the assumption of </w:t>
      </w:r>
      <w:r w:rsidRPr="00D0414C">
        <w:rPr>
          <w:i/>
        </w:rPr>
        <w:t>ceteris paribus</w:t>
      </w:r>
      <w:r>
        <w:t xml:space="preserve"> would have to be replaced by assumptions about relative importance, e.g., not having ambulance transport is X times as important as not having a nurse at a health centre. .</w:t>
      </w:r>
    </w:p>
  </w:footnote>
  <w:footnote w:id="40">
    <w:p w:rsidR="00D0414C" w:rsidRPr="00D0414C" w:rsidRDefault="00D0414C">
      <w:pPr>
        <w:pStyle w:val="FootnoteText"/>
        <w:rPr>
          <w:lang w:val="en-AU"/>
        </w:rPr>
      </w:pPr>
      <w:r>
        <w:rPr>
          <w:rStyle w:val="FootnoteReference"/>
        </w:rPr>
        <w:footnoteRef/>
      </w:r>
      <w:r>
        <w:t xml:space="preserve"> </w:t>
      </w:r>
      <w:r>
        <w:rPr>
          <w:lang w:val="en-AU"/>
        </w:rPr>
        <w:t>Australian aid Dili Health Staff</w:t>
      </w:r>
    </w:p>
  </w:footnote>
  <w:footnote w:id="41">
    <w:p w:rsidR="00D0414C" w:rsidRPr="009322F3" w:rsidRDefault="00D0414C">
      <w:pPr>
        <w:pStyle w:val="FootnoteText"/>
      </w:pPr>
      <w:r>
        <w:rPr>
          <w:rStyle w:val="FootnoteReference"/>
        </w:rPr>
        <w:footnoteRef/>
      </w:r>
      <w:r>
        <w:t xml:space="preserve"> </w:t>
      </w:r>
      <w:r w:rsidRPr="005319B4">
        <w:t xml:space="preserve">Asante, A et al. </w:t>
      </w:r>
      <w:r>
        <w:t>(</w:t>
      </w:r>
      <w:r w:rsidRPr="005319B4">
        <w:t>2011</w:t>
      </w:r>
      <w:r>
        <w:t>)</w:t>
      </w:r>
      <w:r w:rsidRPr="005319B4">
        <w:t xml:space="preserve"> A review of health leadership and management capacity in Timor-Leste, Human Resources for Health Knowledge Hub, University of New South Wales, Sydney</w:t>
      </w:r>
    </w:p>
  </w:footnote>
  <w:footnote w:id="42">
    <w:p w:rsidR="00D0414C" w:rsidRPr="000B55BB" w:rsidRDefault="00D0414C">
      <w:pPr>
        <w:pStyle w:val="FootnoteText"/>
        <w:rPr>
          <w:lang w:val="en-AU"/>
        </w:rPr>
      </w:pPr>
      <w:r>
        <w:rPr>
          <w:rStyle w:val="FootnoteReference"/>
        </w:rPr>
        <w:footnoteRef/>
      </w:r>
      <w:r>
        <w:t xml:space="preserve"> </w:t>
      </w:r>
      <w:r>
        <w:rPr>
          <w:lang w:val="en-AU"/>
        </w:rPr>
        <w:t>Australian aid Dili Health Staff</w:t>
      </w:r>
    </w:p>
  </w:footnote>
  <w:footnote w:id="43">
    <w:p w:rsidR="00D0414C" w:rsidRPr="000B55BB" w:rsidRDefault="00D0414C">
      <w:pPr>
        <w:pStyle w:val="FootnoteText"/>
        <w:rPr>
          <w:lang w:val="en-AU"/>
        </w:rPr>
      </w:pPr>
      <w:r>
        <w:rPr>
          <w:rStyle w:val="FootnoteReference"/>
        </w:rPr>
        <w:footnoteRef/>
      </w:r>
      <w:r>
        <w:t xml:space="preserve"> </w:t>
      </w:r>
      <w:r>
        <w:rPr>
          <w:lang w:val="en-AU"/>
        </w:rPr>
        <w:t>Australian aid Dili Health Staff</w:t>
      </w:r>
    </w:p>
  </w:footnote>
  <w:footnote w:id="44">
    <w:p w:rsidR="00D0414C" w:rsidRPr="000D1C92" w:rsidRDefault="00D0414C">
      <w:pPr>
        <w:pStyle w:val="FootnoteText"/>
        <w:rPr>
          <w:rFonts w:cs="Arial"/>
          <w:lang w:val="en-AU"/>
        </w:rPr>
      </w:pPr>
      <w:r w:rsidRPr="000D1C92">
        <w:rPr>
          <w:rStyle w:val="FootnoteReference"/>
          <w:rFonts w:cs="Arial"/>
        </w:rPr>
        <w:footnoteRef/>
      </w:r>
      <w:r w:rsidRPr="000D1C92">
        <w:rPr>
          <w:rFonts w:cs="Arial"/>
        </w:rPr>
        <w:t xml:space="preserve"> </w:t>
      </w:r>
      <w:r w:rsidRPr="00325193">
        <w:rPr>
          <w:rFonts w:cs="Arial"/>
          <w:bCs/>
          <w:lang w:val="en-US"/>
        </w:rPr>
        <w:t xml:space="preserve">Health Alliance International </w:t>
      </w:r>
      <w:r>
        <w:rPr>
          <w:rFonts w:cs="Arial"/>
          <w:bCs/>
          <w:lang w:val="en-US"/>
        </w:rPr>
        <w:t>(</w:t>
      </w:r>
      <w:r w:rsidRPr="00325193">
        <w:rPr>
          <w:rFonts w:cs="Arial"/>
          <w:bCs/>
          <w:lang w:val="en-US"/>
        </w:rPr>
        <w:t>2008</w:t>
      </w:r>
      <w:r>
        <w:rPr>
          <w:rFonts w:cs="Arial"/>
          <w:bCs/>
          <w:lang w:val="en-US"/>
        </w:rPr>
        <w:t>)</w:t>
      </w:r>
      <w:r w:rsidRPr="00325193">
        <w:rPr>
          <w:rFonts w:cs="Arial"/>
          <w:bCs/>
          <w:lang w:val="en-US"/>
        </w:rPr>
        <w:t xml:space="preserve"> Improving Maternal and Newborn Health in Timor Leste </w:t>
      </w:r>
      <w:r w:rsidRPr="00325193">
        <w:rPr>
          <w:rFonts w:cs="Arial"/>
          <w:lang w:val="en-US"/>
        </w:rPr>
        <w:t>Final Evaluation Report: Seven Districts in the Democratic Republic of Timor-Leste December</w:t>
      </w:r>
    </w:p>
  </w:footnote>
  <w:footnote w:id="45">
    <w:p w:rsidR="00D0414C" w:rsidRPr="000D1C92" w:rsidRDefault="00D0414C" w:rsidP="005319B4">
      <w:pPr>
        <w:pStyle w:val="FootnoteText"/>
        <w:rPr>
          <w:szCs w:val="16"/>
        </w:rPr>
      </w:pPr>
      <w:r w:rsidRPr="000D1C92">
        <w:rPr>
          <w:rStyle w:val="FootnoteReference"/>
          <w:szCs w:val="16"/>
        </w:rPr>
        <w:footnoteRef/>
      </w:r>
      <w:r w:rsidRPr="000D1C92">
        <w:rPr>
          <w:szCs w:val="16"/>
        </w:rPr>
        <w:t xml:space="preserve"> Ken Swann, BCC consultant, personal communication.</w:t>
      </w:r>
    </w:p>
  </w:footnote>
  <w:footnote w:id="46">
    <w:p w:rsidR="00D0414C" w:rsidRPr="00E5770D" w:rsidRDefault="00D0414C" w:rsidP="005319B4">
      <w:pPr>
        <w:pStyle w:val="FootnoteText"/>
        <w:rPr>
          <w:lang w:val="en-AU"/>
        </w:rPr>
      </w:pPr>
      <w:r w:rsidRPr="000D1C92">
        <w:rPr>
          <w:rStyle w:val="FootnoteReference"/>
          <w:szCs w:val="16"/>
        </w:rPr>
        <w:footnoteRef/>
      </w:r>
      <w:r w:rsidRPr="000D1C92">
        <w:rPr>
          <w:szCs w:val="16"/>
        </w:rPr>
        <w:t xml:space="preserve"> A</w:t>
      </w:r>
      <w:r>
        <w:rPr>
          <w:szCs w:val="16"/>
        </w:rPr>
        <w:t>.</w:t>
      </w:r>
      <w:r w:rsidRPr="000D1C92">
        <w:rPr>
          <w:szCs w:val="16"/>
        </w:rPr>
        <w:t xml:space="preserve"> Seiter</w:t>
      </w:r>
      <w:r>
        <w:rPr>
          <w:bCs/>
          <w:szCs w:val="16"/>
        </w:rPr>
        <w:t xml:space="preserve"> (</w:t>
      </w:r>
      <w:r w:rsidRPr="000D1C92">
        <w:rPr>
          <w:bCs/>
          <w:szCs w:val="16"/>
        </w:rPr>
        <w:t>2011</w:t>
      </w:r>
      <w:r>
        <w:rPr>
          <w:bCs/>
          <w:szCs w:val="16"/>
        </w:rPr>
        <w:t>)</w:t>
      </w:r>
      <w:r w:rsidRPr="000D1C92">
        <w:rPr>
          <w:bCs/>
          <w:szCs w:val="16"/>
        </w:rPr>
        <w:t xml:space="preserve"> Options for Improving Governance and Management in the Pharmaceutical Sector </w:t>
      </w:r>
      <w:r w:rsidRPr="000D1C92">
        <w:rPr>
          <w:szCs w:val="16"/>
        </w:rPr>
        <w:t>The World Bank</w:t>
      </w:r>
    </w:p>
  </w:footnote>
  <w:footnote w:id="47">
    <w:p w:rsidR="00D0414C" w:rsidRPr="00E5770D" w:rsidRDefault="00D0414C" w:rsidP="005319B4">
      <w:pPr>
        <w:pStyle w:val="FootnoteText"/>
        <w:rPr>
          <w:lang w:val="en-AU"/>
        </w:rPr>
      </w:pPr>
      <w:r>
        <w:rPr>
          <w:rStyle w:val="FootnoteReference"/>
        </w:rPr>
        <w:footnoteRef/>
      </w:r>
      <w:r>
        <w:t xml:space="preserve"> </w:t>
      </w:r>
      <w:r w:rsidRPr="00E5770D">
        <w:rPr>
          <w:lang w:val="en-US"/>
        </w:rPr>
        <w:t>K</w:t>
      </w:r>
      <w:r>
        <w:rPr>
          <w:lang w:val="en-US"/>
        </w:rPr>
        <w:t xml:space="preserve">. </w:t>
      </w:r>
      <w:r w:rsidRPr="00E5770D">
        <w:rPr>
          <w:lang w:val="en-US"/>
        </w:rPr>
        <w:t xml:space="preserve">Holloway </w:t>
      </w:r>
      <w:r>
        <w:rPr>
          <w:bCs/>
          <w:lang w:val="en-US"/>
        </w:rPr>
        <w:t>(</w:t>
      </w:r>
      <w:r w:rsidRPr="00E5770D">
        <w:rPr>
          <w:bCs/>
          <w:lang w:val="en-US"/>
        </w:rPr>
        <w:t>2012</w:t>
      </w:r>
      <w:r>
        <w:rPr>
          <w:bCs/>
          <w:lang w:val="en-US"/>
        </w:rPr>
        <w:t>)</w:t>
      </w:r>
      <w:r w:rsidRPr="00E5770D">
        <w:rPr>
          <w:bCs/>
          <w:lang w:val="en-US"/>
        </w:rPr>
        <w:t xml:space="preserve"> Timor-Leste Pharmaceuticals in Health Care Delivery </w:t>
      </w:r>
      <w:r w:rsidRPr="00E5770D">
        <w:rPr>
          <w:lang w:val="en-US"/>
        </w:rPr>
        <w:t>Mission Report</w:t>
      </w:r>
    </w:p>
  </w:footnote>
  <w:footnote w:id="48">
    <w:p w:rsidR="00D87298" w:rsidRDefault="00D0414C" w:rsidP="00E85A47">
      <w:pPr>
        <w:pStyle w:val="FootnoteText"/>
        <w:rPr>
          <w:lang w:val="en-US"/>
        </w:rPr>
      </w:pPr>
      <w:r>
        <w:rPr>
          <w:rStyle w:val="FootnoteReference"/>
        </w:rPr>
        <w:footnoteRef/>
      </w:r>
      <w:r>
        <w:t xml:space="preserve"> </w:t>
      </w:r>
      <w:proofErr w:type="gramStart"/>
      <w:r w:rsidRPr="00CC01D0">
        <w:rPr>
          <w:lang w:val="en-US"/>
        </w:rPr>
        <w:t>Whitaker,</w:t>
      </w:r>
      <w:r>
        <w:rPr>
          <w:lang w:val="en-US"/>
        </w:rPr>
        <w:t xml:space="preserve"> D.,</w:t>
      </w:r>
      <w:r w:rsidRPr="00CC01D0">
        <w:rPr>
          <w:lang w:val="en-US"/>
        </w:rPr>
        <w:t xml:space="preserve"> Walford</w:t>
      </w:r>
      <w:r>
        <w:rPr>
          <w:lang w:val="en-US"/>
        </w:rPr>
        <w:t>, V.</w:t>
      </w:r>
      <w:r w:rsidRPr="00CC01D0">
        <w:rPr>
          <w:lang w:val="en-US"/>
        </w:rPr>
        <w:t xml:space="preserve"> and David</w:t>
      </w:r>
      <w:r>
        <w:rPr>
          <w:lang w:val="en-US"/>
        </w:rPr>
        <w:t>, B.</w:t>
      </w:r>
      <w:proofErr w:type="gramEnd"/>
      <w:r w:rsidRPr="00CC01D0">
        <w:rPr>
          <w:lang w:val="en-US"/>
        </w:rPr>
        <w:t xml:space="preserve"> </w:t>
      </w:r>
      <w:r>
        <w:rPr>
          <w:lang w:val="en-US"/>
        </w:rPr>
        <w:t xml:space="preserve"> (</w:t>
      </w:r>
      <w:r w:rsidRPr="00CC01D0">
        <w:t>2013</w:t>
      </w:r>
      <w:r>
        <w:t>).</w:t>
      </w:r>
      <w:r w:rsidRPr="00CC01D0">
        <w:t xml:space="preserve"> </w:t>
      </w:r>
      <w:r w:rsidRPr="00CC01D0">
        <w:rPr>
          <w:lang w:val="en-US"/>
        </w:rPr>
        <w:t xml:space="preserve">Health care financing in the Asia Pacific </w:t>
      </w:r>
      <w:r>
        <w:rPr>
          <w:lang w:val="en-US"/>
        </w:rPr>
        <w:t xml:space="preserve">region, HLSP Institute; </w:t>
      </w:r>
    </w:p>
    <w:p w:rsidR="00D0414C" w:rsidRPr="00D43ECA" w:rsidRDefault="00D0414C" w:rsidP="00E85A47">
      <w:pPr>
        <w:pStyle w:val="FootnoteText"/>
        <w:rPr>
          <w:lang w:val="en-US"/>
        </w:rPr>
      </w:pPr>
      <w:r>
        <w:rPr>
          <w:lang w:val="en-US"/>
        </w:rPr>
        <w:t xml:space="preserve">* </w:t>
      </w:r>
      <w:proofErr w:type="gramStart"/>
      <w:r w:rsidR="00D87298">
        <w:rPr>
          <w:lang w:val="en-US"/>
        </w:rPr>
        <w:t>data</w:t>
      </w:r>
      <w:proofErr w:type="gramEnd"/>
      <w:r w:rsidR="00D87298">
        <w:rPr>
          <w:lang w:val="en-US"/>
        </w:rPr>
        <w:t xml:space="preserve"> </w:t>
      </w:r>
      <w:r w:rsidR="00F410B6">
        <w:rPr>
          <w:lang w:val="en-US"/>
        </w:rPr>
        <w:t>from authors of Whitaker et al (2012)</w:t>
      </w:r>
      <w:r w:rsidR="00D87298">
        <w:rPr>
          <w:lang w:val="en-US"/>
        </w:rPr>
        <w:t xml:space="preserve"> not shown in the paper Health care financing in the Asia Pacific region</w:t>
      </w:r>
      <w:r>
        <w:t>.</w:t>
      </w:r>
      <w:r w:rsidR="00D87298">
        <w:t xml:space="preserve"> Original data on GDP/capita from World Bank website, data on health spend/capita from WHO’s National Health Accounts database and data on life expectancy from UNFPA (2012) State of the world’s children 2012 </w:t>
      </w:r>
    </w:p>
  </w:footnote>
  <w:footnote w:id="49">
    <w:p w:rsidR="00D0414C" w:rsidRPr="004934DF" w:rsidRDefault="00D0414C">
      <w:pPr>
        <w:pStyle w:val="FootnoteText"/>
        <w:rPr>
          <w:lang w:val="en-AU"/>
        </w:rPr>
      </w:pPr>
      <w:r>
        <w:rPr>
          <w:rStyle w:val="FootnoteReference"/>
        </w:rPr>
        <w:footnoteRef/>
      </w:r>
      <w:r>
        <w:t xml:space="preserve"> </w:t>
      </w:r>
      <w:r w:rsidRPr="004934DF">
        <w:t>Middle income countries (MICs): China, Mongolia, Philippines, Vietnam, Bhutan, India, Indonesia, Maldives, Sri Lanka, Thailand; Low income countries (LICs): Cambodia, Laos, Bangladesh, DPR Korea, Myanmar, Nepal ; Fragile states: Papua New Guinea, Timor Leste; Small island states: Cook Islands, Fiji, Kiribati, Marshall Islands, Micronesia, Nauru, Niue, Samoa, Solomon Islands, Tonga, Tuvalu, Vanuatu</w:t>
      </w:r>
    </w:p>
  </w:footnote>
  <w:footnote w:id="50">
    <w:p w:rsidR="00D0414C" w:rsidRDefault="00D0414C" w:rsidP="001B01D0">
      <w:pPr>
        <w:pStyle w:val="FootnoteText"/>
      </w:pPr>
      <w:r>
        <w:rPr>
          <w:rStyle w:val="FootnoteReference"/>
        </w:rPr>
        <w:footnoteRef/>
      </w:r>
      <w:r w:rsidRPr="002369E6">
        <w:t xml:space="preserve">The data points </w:t>
      </w:r>
      <w:r>
        <w:t>indicating</w:t>
      </w:r>
      <w:r w:rsidRPr="002369E6">
        <w:t xml:space="preserve"> better performance for the same level of GHE </w:t>
      </w:r>
      <w:r>
        <w:t>represent</w:t>
      </w:r>
      <w:r w:rsidRPr="002369E6">
        <w:t xml:space="preserve"> Indonesia and </w:t>
      </w:r>
      <w:r>
        <w:t xml:space="preserve">the </w:t>
      </w:r>
      <w:r w:rsidRPr="002369E6">
        <w:t>Phili</w:t>
      </w:r>
      <w:r>
        <w:t>p</w:t>
      </w:r>
      <w:r w:rsidRPr="002369E6">
        <w:t xml:space="preserve">pines, and the ones with much better performance are </w:t>
      </w:r>
      <w:r>
        <w:t>Vietnam</w:t>
      </w:r>
      <w:r w:rsidRPr="002369E6">
        <w:t xml:space="preserve"> and Sri Lanka</w:t>
      </w:r>
      <w:r>
        <w:t>, all countries with mature health systems and/or high emphasis on PHC.</w:t>
      </w:r>
    </w:p>
  </w:footnote>
  <w:footnote w:id="51">
    <w:p w:rsidR="00D0414C" w:rsidRDefault="00D0414C" w:rsidP="001B01D0">
      <w:pPr>
        <w:pStyle w:val="FootnoteText"/>
      </w:pPr>
      <w:r>
        <w:rPr>
          <w:rStyle w:val="FootnoteReference"/>
        </w:rPr>
        <w:footnoteRef/>
      </w:r>
      <w:r>
        <w:t xml:space="preserve"> No corresponding analysis was made for maternal mortality, which might have a lower response to government expenditures because female literacy may be as important a factor as availability of skilled birth attendants. </w:t>
      </w:r>
    </w:p>
  </w:footnote>
  <w:footnote w:id="52">
    <w:p w:rsidR="00D0414C" w:rsidRDefault="00D0414C">
      <w:pPr>
        <w:pStyle w:val="FootnoteText"/>
      </w:pPr>
      <w:r>
        <w:rPr>
          <w:rStyle w:val="FootnoteReference"/>
        </w:rPr>
        <w:footnoteRef/>
      </w:r>
      <w:r>
        <w:t xml:space="preserve"> This relationship is well-founded in cross-national data.</w:t>
      </w:r>
      <w:r w:rsidRPr="00AA78F8">
        <w:rPr>
          <w:sz w:val="22"/>
          <w:szCs w:val="22"/>
        </w:rPr>
        <w:t xml:space="preserve"> </w:t>
      </w:r>
      <w:r w:rsidRPr="00AA78F8">
        <w:t xml:space="preserve">Literacy (a significant factor identified by Filmer 1999) is also higher among the higher-spending countries in this particular group. There is no </w:t>
      </w:r>
      <w:r w:rsidRPr="00AA78F8">
        <w:rPr>
          <w:i/>
        </w:rPr>
        <w:t>a priori</w:t>
      </w:r>
      <w:r w:rsidRPr="00AA78F8">
        <w:t xml:space="preserve"> reason that a country that spends more also does it more efficiently, so health system efficiency should have a random effect.</w:t>
      </w:r>
    </w:p>
  </w:footnote>
  <w:footnote w:id="53">
    <w:p w:rsidR="00D0414C" w:rsidRPr="003D323E" w:rsidRDefault="00D0414C">
      <w:pPr>
        <w:pStyle w:val="FootnoteText"/>
      </w:pPr>
      <w:r>
        <w:rPr>
          <w:rStyle w:val="FootnoteReference"/>
        </w:rPr>
        <w:footnoteRef/>
      </w:r>
      <w:r>
        <w:t xml:space="preserve"> WHO (2013) Health Statistics 2013</w:t>
      </w:r>
    </w:p>
  </w:footnote>
  <w:footnote w:id="54">
    <w:p w:rsidR="00D0414C" w:rsidRPr="00351D3C" w:rsidRDefault="00D0414C">
      <w:pPr>
        <w:pStyle w:val="FootnoteText"/>
      </w:pPr>
      <w:r>
        <w:rPr>
          <w:rStyle w:val="FootnoteReference"/>
        </w:rPr>
        <w:footnoteRef/>
      </w:r>
      <w:r>
        <w:t xml:space="preserve"> World Bank (2011) Timor-Leste: Health Financing Note, updated based on WHO (2013) World Health Statistics 2013</w:t>
      </w:r>
    </w:p>
  </w:footnote>
  <w:footnote w:id="55">
    <w:p w:rsidR="00D0414C" w:rsidRPr="00A93919" w:rsidRDefault="00D0414C">
      <w:pPr>
        <w:pStyle w:val="FootnoteText"/>
        <w:rPr>
          <w:lang w:val="en-AU"/>
        </w:rPr>
      </w:pPr>
      <w:r>
        <w:rPr>
          <w:rStyle w:val="FootnoteReference"/>
        </w:rPr>
        <w:footnoteRef/>
      </w:r>
      <w:r>
        <w:t xml:space="preserve"> </w:t>
      </w:r>
      <w:r w:rsidRPr="00FA66BC">
        <w:rPr>
          <w:rFonts w:cs="Arial"/>
        </w:rPr>
        <w:t xml:space="preserve">L'ao Hamatuk </w:t>
      </w:r>
      <w:r>
        <w:rPr>
          <w:rFonts w:cs="Arial"/>
        </w:rPr>
        <w:t>(</w:t>
      </w:r>
      <w:r w:rsidRPr="00FA66BC">
        <w:rPr>
          <w:rFonts w:cs="Arial"/>
        </w:rPr>
        <w:t>2013</w:t>
      </w:r>
      <w:r>
        <w:rPr>
          <w:rFonts w:cs="Arial"/>
        </w:rPr>
        <w:t xml:space="preserve">) </w:t>
      </w:r>
      <w:r w:rsidRPr="00AA757F">
        <w:rPr>
          <w:i/>
        </w:rPr>
        <w:t>2014 State Budget Book 4B</w:t>
      </w:r>
    </w:p>
  </w:footnote>
  <w:footnote w:id="56">
    <w:p w:rsidR="00D0414C" w:rsidRPr="005319B4" w:rsidRDefault="00D0414C" w:rsidP="005319B4">
      <w:pPr>
        <w:pStyle w:val="FootnoteText"/>
      </w:pPr>
      <w:r w:rsidRPr="00342651">
        <w:rPr>
          <w:rStyle w:val="FootnoteReference"/>
        </w:rPr>
        <w:footnoteRef/>
      </w:r>
      <w:r w:rsidRPr="005319B4">
        <w:t xml:space="preserve"> D. Northway </w:t>
      </w:r>
      <w:r>
        <w:t>(</w:t>
      </w:r>
      <w:r w:rsidRPr="005319B4">
        <w:t>2013</w:t>
      </w:r>
      <w:r>
        <w:t>)</w:t>
      </w:r>
      <w:r w:rsidRPr="005319B4">
        <w:t xml:space="preserve"> East Timor Budget Analysis</w:t>
      </w:r>
      <w:r>
        <w:t>, Health Resource Facility</w:t>
      </w:r>
    </w:p>
  </w:footnote>
  <w:footnote w:id="57">
    <w:p w:rsidR="00D0414C" w:rsidRPr="005319B4" w:rsidRDefault="00D0414C" w:rsidP="005319B4">
      <w:pPr>
        <w:pStyle w:val="FootnoteText"/>
      </w:pPr>
      <w:r w:rsidRPr="00342651">
        <w:rPr>
          <w:rStyle w:val="FootnoteReference"/>
        </w:rPr>
        <w:footnoteRef/>
      </w:r>
      <w:r w:rsidRPr="005319B4">
        <w:t xml:space="preserve"> World Bank </w:t>
      </w:r>
      <w:r>
        <w:t>(</w:t>
      </w:r>
      <w:r w:rsidRPr="005319B4">
        <w:t>2013</w:t>
      </w:r>
      <w:r>
        <w:t>)</w:t>
      </w:r>
      <w:r w:rsidRPr="005319B4">
        <w:t xml:space="preserve"> Project Paper On A Proposed Additional Financing And Project Restructuring in the amount  of US$ 17.7 million to the Democratic Republic of Timor-Leste for the HSSPSP January 24, 2013 Human Development Sector East Asia and Pacific Region</w:t>
      </w:r>
    </w:p>
  </w:footnote>
  <w:footnote w:id="58">
    <w:p w:rsidR="00D0414C" w:rsidRPr="00F94198" w:rsidRDefault="00D0414C">
      <w:pPr>
        <w:pStyle w:val="FootnoteText"/>
      </w:pPr>
      <w:r>
        <w:rPr>
          <w:rStyle w:val="FootnoteReference"/>
        </w:rPr>
        <w:footnoteRef/>
      </w:r>
      <w:r>
        <w:t xml:space="preserve"> </w:t>
      </w:r>
      <w:r w:rsidRPr="00F94198">
        <w:rPr>
          <w:lang w:val="en-US"/>
        </w:rPr>
        <w:t>D</w:t>
      </w:r>
      <w:r>
        <w:rPr>
          <w:lang w:val="en-US"/>
        </w:rPr>
        <w:t>.</w:t>
      </w:r>
      <w:r w:rsidRPr="00F94198">
        <w:rPr>
          <w:lang w:val="en-US"/>
        </w:rPr>
        <w:t xml:space="preserve"> Whitaker, V</w:t>
      </w:r>
      <w:r>
        <w:rPr>
          <w:lang w:val="en-US"/>
        </w:rPr>
        <w:t>.</w:t>
      </w:r>
      <w:r w:rsidRPr="00F94198">
        <w:rPr>
          <w:lang w:val="en-US"/>
        </w:rPr>
        <w:t xml:space="preserve"> Walford and B</w:t>
      </w:r>
      <w:r>
        <w:rPr>
          <w:lang w:val="en-US"/>
        </w:rPr>
        <w:t>.</w:t>
      </w:r>
      <w:r w:rsidRPr="00F94198">
        <w:rPr>
          <w:lang w:val="en-US"/>
        </w:rPr>
        <w:t xml:space="preserve"> David</w:t>
      </w:r>
      <w:r w:rsidRPr="00F94198" w:rsidDel="00A460F4">
        <w:rPr>
          <w:lang w:bidi="ar-SA"/>
        </w:rPr>
        <w:t xml:space="preserve"> </w:t>
      </w:r>
      <w:r>
        <w:rPr>
          <w:lang w:bidi="ar-SA"/>
        </w:rPr>
        <w:t>(</w:t>
      </w:r>
      <w:r w:rsidRPr="00F94198">
        <w:rPr>
          <w:lang w:bidi="ar-SA"/>
        </w:rPr>
        <w:t>2013</w:t>
      </w:r>
      <w:r>
        <w:rPr>
          <w:lang w:bidi="ar-SA"/>
        </w:rPr>
        <w:t>)</w:t>
      </w:r>
      <w:r w:rsidRPr="00F94198">
        <w:rPr>
          <w:lang w:bidi="ar-SA"/>
        </w:rPr>
        <w:t xml:space="preserve"> </w:t>
      </w:r>
      <w:r w:rsidRPr="00F94198">
        <w:rPr>
          <w:lang w:val="en-US"/>
        </w:rPr>
        <w:t xml:space="preserve">Health care financing in the Asia Pacific region </w:t>
      </w:r>
      <w:r>
        <w:rPr>
          <w:lang w:val="en-US"/>
        </w:rPr>
        <w:t>, HLSP Institute</w:t>
      </w:r>
    </w:p>
  </w:footnote>
  <w:footnote w:id="59">
    <w:p w:rsidR="00D0414C" w:rsidRPr="005319B4" w:rsidRDefault="00D0414C" w:rsidP="005319B4">
      <w:pPr>
        <w:pStyle w:val="FootnoteText"/>
      </w:pPr>
      <w:r w:rsidRPr="00342651">
        <w:rPr>
          <w:rStyle w:val="FootnoteReference"/>
        </w:rPr>
        <w:footnoteRef/>
      </w:r>
      <w:r w:rsidRPr="005319B4">
        <w:t xml:space="preserve"> Ministry of Finance </w:t>
      </w:r>
      <w:r>
        <w:t>(</w:t>
      </w:r>
      <w:r w:rsidRPr="005319B4">
        <w:t>2010</w:t>
      </w:r>
      <w:r>
        <w:t>)</w:t>
      </w:r>
      <w:r w:rsidRPr="005319B4">
        <w:t xml:space="preserve"> Expenditure Review Health sector Timor Leste</w:t>
      </w:r>
    </w:p>
  </w:footnote>
  <w:footnote w:id="60">
    <w:p w:rsidR="00D0414C" w:rsidRPr="00CD227A" w:rsidRDefault="00D0414C" w:rsidP="005319B4">
      <w:pPr>
        <w:pStyle w:val="FootnoteText"/>
        <w:rPr>
          <w:lang w:val="en-AU"/>
        </w:rPr>
      </w:pPr>
      <w:r w:rsidRPr="00342651">
        <w:rPr>
          <w:rStyle w:val="FootnoteReference"/>
        </w:rPr>
        <w:footnoteRef/>
      </w:r>
      <w:r w:rsidRPr="005319B4">
        <w:t xml:space="preserve"> D. Northway </w:t>
      </w:r>
      <w:r>
        <w:t>(</w:t>
      </w:r>
      <w:r w:rsidRPr="005319B4">
        <w:t>2013</w:t>
      </w:r>
      <w:r>
        <w:t>)</w:t>
      </w:r>
      <w:r w:rsidRPr="005319B4">
        <w:t xml:space="preserve"> East Timor Budget Analysis</w:t>
      </w:r>
      <w:r>
        <w:t>, Health Resource Facility</w:t>
      </w:r>
    </w:p>
  </w:footnote>
  <w:footnote w:id="61">
    <w:p w:rsidR="00D0414C" w:rsidRPr="005319B4" w:rsidRDefault="00D0414C" w:rsidP="005319B4">
      <w:pPr>
        <w:pStyle w:val="FootnoteText"/>
      </w:pPr>
      <w:r w:rsidRPr="00342651">
        <w:rPr>
          <w:rStyle w:val="FootnoteReference"/>
        </w:rPr>
        <w:footnoteRef/>
      </w:r>
      <w:r w:rsidRPr="005319B4">
        <w:t xml:space="preserve"> Updated From D. Northway </w:t>
      </w:r>
      <w:r>
        <w:t>(</w:t>
      </w:r>
      <w:r w:rsidRPr="005319B4">
        <w:t>2013</w:t>
      </w:r>
      <w:r>
        <w:t>)</w:t>
      </w:r>
      <w:r w:rsidRPr="005319B4">
        <w:t xml:space="preserve"> East Timor Budget Analysis</w:t>
      </w:r>
      <w:r>
        <w:t>, Health Resource Facility</w:t>
      </w:r>
    </w:p>
  </w:footnote>
  <w:footnote w:id="62">
    <w:p w:rsidR="00D0414C" w:rsidRPr="00052C07" w:rsidRDefault="00D0414C">
      <w:pPr>
        <w:pStyle w:val="FootnoteText"/>
        <w:rPr>
          <w:lang w:val="en-AU"/>
        </w:rPr>
      </w:pPr>
      <w:r>
        <w:rPr>
          <w:rStyle w:val="FootnoteReference"/>
        </w:rPr>
        <w:footnoteRef/>
      </w:r>
      <w:r>
        <w:t xml:space="preserve"> </w:t>
      </w:r>
      <w:r>
        <w:rPr>
          <w:rFonts w:cs="Arial"/>
        </w:rPr>
        <w:t>Australian aid</w:t>
      </w:r>
      <w:r w:rsidRPr="00FA66BC">
        <w:rPr>
          <w:rFonts w:cs="Arial"/>
        </w:rPr>
        <w:t xml:space="preserve"> Dili health staff</w:t>
      </w:r>
    </w:p>
  </w:footnote>
  <w:footnote w:id="63">
    <w:p w:rsidR="00D0414C" w:rsidRPr="005319B4" w:rsidRDefault="00D0414C" w:rsidP="005319B4">
      <w:pPr>
        <w:pStyle w:val="FootnoteText"/>
      </w:pPr>
      <w:r w:rsidRPr="00342651">
        <w:rPr>
          <w:rStyle w:val="FootnoteReference"/>
        </w:rPr>
        <w:footnoteRef/>
      </w:r>
      <w:r w:rsidRPr="005319B4">
        <w:t xml:space="preserve"> Increased Salaries and Wages expenditure, to $160.5 million, is in line with the Government’s policy of creating an effective civil service and improving the qualifications, professionalism and services provided by staff in key sectors such as security, higher education and health. The main policies which have increased expenditure on Salaries and Wages in 2013, compared to 2012, include:  Increasing the Salaries and Wages budget for the Ministry of Health to $22.1 million, mainly due to the new career regime for health professionals. (source: State Budget 2013)</w:t>
      </w:r>
    </w:p>
  </w:footnote>
  <w:footnote w:id="64">
    <w:p w:rsidR="00D0414C" w:rsidRPr="000B55BB" w:rsidRDefault="00D0414C">
      <w:pPr>
        <w:pStyle w:val="FootnoteText"/>
        <w:rPr>
          <w:lang w:val="en-AU"/>
        </w:rPr>
      </w:pPr>
      <w:r>
        <w:rPr>
          <w:rStyle w:val="FootnoteReference"/>
        </w:rPr>
        <w:footnoteRef/>
      </w:r>
      <w:r>
        <w:t xml:space="preserve"> </w:t>
      </w:r>
      <w:r w:rsidRPr="003D7117">
        <w:t>State Budget books</w:t>
      </w:r>
    </w:p>
  </w:footnote>
  <w:footnote w:id="65">
    <w:p w:rsidR="00D0414C" w:rsidRPr="005319B4" w:rsidRDefault="00D0414C" w:rsidP="005319B4">
      <w:pPr>
        <w:pStyle w:val="FootnoteText"/>
      </w:pPr>
      <w:r w:rsidRPr="00342651">
        <w:rPr>
          <w:rStyle w:val="FootnoteReference"/>
        </w:rPr>
        <w:footnoteRef/>
      </w:r>
      <w:r w:rsidRPr="005319B4">
        <w:t xml:space="preserve"> K</w:t>
      </w:r>
      <w:r>
        <w:t>.</w:t>
      </w:r>
      <w:r w:rsidRPr="005319B4">
        <w:t xml:space="preserve"> Holloway Regional Advisor in Essential Drugs and Other Medicines </w:t>
      </w:r>
      <w:r>
        <w:t>(</w:t>
      </w:r>
      <w:r w:rsidRPr="005319B4">
        <w:t>2012</w:t>
      </w:r>
      <w:r>
        <w:t>)</w:t>
      </w:r>
      <w:r w:rsidRPr="005319B4">
        <w:t xml:space="preserve"> Timor-Leste Pharmaceuticals in Health Care Delivery Mission Report</w:t>
      </w:r>
    </w:p>
  </w:footnote>
  <w:footnote w:id="66">
    <w:p w:rsidR="00D0414C" w:rsidRPr="00AF57B3" w:rsidRDefault="00D0414C">
      <w:pPr>
        <w:pStyle w:val="FootnoteText"/>
        <w:rPr>
          <w:lang w:val="en-AU"/>
        </w:rPr>
      </w:pPr>
      <w:r>
        <w:rPr>
          <w:rStyle w:val="FootnoteReference"/>
        </w:rPr>
        <w:footnoteRef/>
      </w:r>
      <w:r>
        <w:t xml:space="preserve"> </w:t>
      </w:r>
      <w:proofErr w:type="gramStart"/>
      <w:r w:rsidRPr="00AF57B3">
        <w:t>European Union (2012) Study of the Pharmaceutical sub-Sector in Zambia.</w:t>
      </w:r>
      <w:proofErr w:type="gramEnd"/>
      <w:r w:rsidRPr="00AF57B3">
        <w:t xml:space="preserve"> Specific Contract ref n°: 2012/284573, 2012</w:t>
      </w:r>
    </w:p>
  </w:footnote>
  <w:footnote w:id="67">
    <w:p w:rsidR="00D0414C" w:rsidRPr="003C025F" w:rsidRDefault="00D0414C">
      <w:pPr>
        <w:pStyle w:val="FootnoteText"/>
        <w:rPr>
          <w:lang w:val="en-AU"/>
        </w:rPr>
      </w:pPr>
      <w:r>
        <w:rPr>
          <w:rStyle w:val="FootnoteReference"/>
        </w:rPr>
        <w:footnoteRef/>
      </w:r>
      <w:r>
        <w:t xml:space="preserve"> </w:t>
      </w:r>
      <w:r w:rsidRPr="003C025F">
        <w:t xml:space="preserve">Ministry of Health Dili </w:t>
      </w:r>
      <w:r>
        <w:t>(</w:t>
      </w:r>
      <w:r w:rsidRPr="003C025F">
        <w:t>2011</w:t>
      </w:r>
      <w:r>
        <w:t>)</w:t>
      </w:r>
      <w:r w:rsidRPr="003C025F">
        <w:t xml:space="preserve"> National Health Sector Strategic Plan 2011 - 2030 Towards A Healthy East Timorese People In A Healthy Timor-Leste.</w:t>
      </w:r>
    </w:p>
  </w:footnote>
  <w:footnote w:id="68">
    <w:p w:rsidR="00D0414C" w:rsidRDefault="00D0414C">
      <w:pPr>
        <w:pStyle w:val="FootnoteText"/>
      </w:pPr>
      <w:r>
        <w:rPr>
          <w:rStyle w:val="FootnoteReference"/>
        </w:rPr>
        <w:footnoteRef/>
      </w:r>
      <w:r>
        <w:t xml:space="preserve"> Private, church, and traditional providers also account for a small share of overall provision.</w:t>
      </w:r>
    </w:p>
  </w:footnote>
  <w:footnote w:id="69">
    <w:p w:rsidR="00D0414C" w:rsidRPr="00764995" w:rsidRDefault="00D0414C" w:rsidP="005319B4">
      <w:pPr>
        <w:pStyle w:val="FootnoteText"/>
      </w:pPr>
      <w:r w:rsidRPr="00D3561E">
        <w:rPr>
          <w:rStyle w:val="FootnoteReference"/>
        </w:rPr>
        <w:footnoteRef/>
      </w:r>
      <w:r w:rsidRPr="005319B4">
        <w:t xml:space="preserve"> To introduce needs-based budgeting in Indonesia, a recent study (Ensor et al 2012) refined the approach to account for different local costs of delivering a package of services mandated to be provided by the public health system.</w:t>
      </w:r>
    </w:p>
  </w:footnote>
  <w:footnote w:id="70">
    <w:p w:rsidR="00D0414C" w:rsidRPr="002730A5" w:rsidRDefault="00D0414C">
      <w:pPr>
        <w:pStyle w:val="FootnoteText"/>
        <w:rPr>
          <w:lang w:val="en-AU"/>
        </w:rPr>
      </w:pPr>
      <w:r>
        <w:rPr>
          <w:rStyle w:val="FootnoteReference"/>
        </w:rPr>
        <w:footnoteRef/>
      </w:r>
      <w:r>
        <w:t xml:space="preserve"> </w:t>
      </w:r>
      <w:r w:rsidRPr="002730A5">
        <w:t xml:space="preserve">Ministry of Finance </w:t>
      </w:r>
      <w:r>
        <w:t>(</w:t>
      </w:r>
      <w:r w:rsidRPr="002730A5">
        <w:t>2010</w:t>
      </w:r>
      <w:r>
        <w:t>)</w:t>
      </w:r>
      <w:r w:rsidRPr="002730A5">
        <w:t xml:space="preserve"> Expenditure Review Health sector Timor Leste</w:t>
      </w:r>
    </w:p>
  </w:footnote>
  <w:footnote w:id="71">
    <w:p w:rsidR="00D0414C" w:rsidRPr="005319B4" w:rsidRDefault="00D0414C" w:rsidP="005319B4">
      <w:pPr>
        <w:pStyle w:val="FootnoteText"/>
      </w:pPr>
      <w:r w:rsidRPr="00D3561E">
        <w:rPr>
          <w:rStyle w:val="FootnoteReference"/>
        </w:rPr>
        <w:footnoteRef/>
      </w:r>
      <w:r w:rsidRPr="005319B4">
        <w:t xml:space="preserve"> Asante, A et al. </w:t>
      </w:r>
      <w:r>
        <w:t>(</w:t>
      </w:r>
      <w:r w:rsidRPr="005319B4">
        <w:t>2011</w:t>
      </w:r>
      <w:r>
        <w:t>)</w:t>
      </w:r>
      <w:r w:rsidRPr="005319B4">
        <w:t xml:space="preserve"> A review of health leadership and management capacity in Timor-Leste, Human Resources for Health Knowledge Hub, University of New South Wales, Sydney</w:t>
      </w:r>
    </w:p>
  </w:footnote>
  <w:footnote w:id="72">
    <w:p w:rsidR="00D0414C" w:rsidRDefault="00D0414C">
      <w:pPr>
        <w:pStyle w:val="FootnoteText"/>
      </w:pPr>
      <w:r>
        <w:rPr>
          <w:rStyle w:val="FootnoteReference"/>
        </w:rPr>
        <w:footnoteRef/>
      </w:r>
      <w:r>
        <w:t xml:space="preserve"> The seven indicators used are: per cent of births with skilled attendance, vaccination coverage (none), children 3SD height-for-age, </w:t>
      </w:r>
      <w:proofErr w:type="gramStart"/>
      <w:r>
        <w:t>female</w:t>
      </w:r>
      <w:proofErr w:type="gramEnd"/>
      <w:r>
        <w:t xml:space="preserve"> education, % in lowest income quintile, under-5 mortality, and neonatal mortality.</w:t>
      </w:r>
    </w:p>
  </w:footnote>
  <w:footnote w:id="73">
    <w:p w:rsidR="00D0414C" w:rsidRPr="005319B4" w:rsidRDefault="00D0414C" w:rsidP="002730A5">
      <w:pPr>
        <w:pStyle w:val="FootnoteText"/>
        <w:rPr>
          <w:lang w:val="en-AU"/>
        </w:rPr>
      </w:pPr>
      <w:r w:rsidRPr="00D3561E">
        <w:rPr>
          <w:rStyle w:val="FootnoteReference"/>
        </w:rPr>
        <w:footnoteRef/>
      </w:r>
      <w:r w:rsidRPr="005319B4">
        <w:t xml:space="preserve"> D. Northway </w:t>
      </w:r>
      <w:r>
        <w:t>(</w:t>
      </w:r>
      <w:r w:rsidRPr="005319B4">
        <w:t>2013</w:t>
      </w:r>
      <w:r>
        <w:t>)</w:t>
      </w:r>
      <w:r w:rsidRPr="005319B4">
        <w:t xml:space="preserve"> East Timor Budget Analysis</w:t>
      </w:r>
      <w:r>
        <w:t>, Health Resource Facility</w:t>
      </w:r>
    </w:p>
  </w:footnote>
  <w:footnote w:id="74">
    <w:p w:rsidR="00D0414C" w:rsidRPr="00D3561E" w:rsidRDefault="00D0414C">
      <w:pPr>
        <w:pStyle w:val="FootnoteText"/>
        <w:rPr>
          <w:lang w:val="en-AU"/>
        </w:rPr>
      </w:pPr>
      <w:r>
        <w:rPr>
          <w:rStyle w:val="FootnoteReference"/>
        </w:rPr>
        <w:footnoteRef/>
      </w:r>
      <w:r>
        <w:t xml:space="preserve"> </w:t>
      </w:r>
      <w:r w:rsidRPr="00246F19">
        <w:rPr>
          <w:lang w:val="en-AU"/>
        </w:rPr>
        <w:t xml:space="preserve">Capital spending is likely even higher than estimated </w:t>
      </w:r>
      <w:r>
        <w:rPr>
          <w:lang w:val="en-AU"/>
        </w:rPr>
        <w:t>here</w:t>
      </w:r>
      <w:r w:rsidRPr="00246F19">
        <w:rPr>
          <w:lang w:val="en-AU"/>
        </w:rPr>
        <w:t xml:space="preserve"> because district programs are also spending up on clinics and health posts and this data is</w:t>
      </w:r>
      <w:r>
        <w:rPr>
          <w:lang w:val="en-AU"/>
        </w:rPr>
        <w:t xml:space="preserve"> not</w:t>
      </w:r>
      <w:r w:rsidRPr="00246F19">
        <w:rPr>
          <w:lang w:val="en-AU"/>
        </w:rPr>
        <w:t xml:space="preserve"> included in </w:t>
      </w:r>
      <w:r>
        <w:rPr>
          <w:lang w:val="en-AU"/>
        </w:rPr>
        <w:t xml:space="preserve">MoH </w:t>
      </w:r>
      <w:r w:rsidRPr="00246F19">
        <w:rPr>
          <w:lang w:val="en-AU"/>
        </w:rPr>
        <w:t xml:space="preserve">budget data. All of these new/restored facilities will </w:t>
      </w:r>
      <w:r>
        <w:rPr>
          <w:lang w:val="en-AU"/>
        </w:rPr>
        <w:t xml:space="preserve">also </w:t>
      </w:r>
      <w:r w:rsidRPr="00246F19">
        <w:rPr>
          <w:lang w:val="en-AU"/>
        </w:rPr>
        <w:t>need maintaining in the future.</w:t>
      </w:r>
      <w:r>
        <w:rPr>
          <w:lang w:val="en-AU"/>
        </w:rPr>
        <w:t xml:space="preserve"> (Comment by Alan Foulkes 25 Nov. 2013)</w:t>
      </w:r>
    </w:p>
  </w:footnote>
  <w:footnote w:id="75">
    <w:p w:rsidR="00D0414C" w:rsidRPr="00D0414C" w:rsidRDefault="00D0414C">
      <w:pPr>
        <w:pStyle w:val="FootnoteText"/>
        <w:rPr>
          <w:lang w:val="en-AU"/>
        </w:rPr>
      </w:pPr>
      <w:r>
        <w:rPr>
          <w:rStyle w:val="FootnoteReference"/>
        </w:rPr>
        <w:footnoteRef/>
      </w:r>
      <w:r>
        <w:t xml:space="preserve"> State Budget Book 5</w:t>
      </w:r>
    </w:p>
  </w:footnote>
  <w:footnote w:id="76">
    <w:p w:rsidR="00D0414C" w:rsidRPr="005F0826" w:rsidRDefault="00D0414C">
      <w:pPr>
        <w:pStyle w:val="FootnoteText"/>
      </w:pPr>
      <w:r>
        <w:rPr>
          <w:rStyle w:val="FootnoteReference"/>
        </w:rPr>
        <w:footnoteRef/>
      </w:r>
      <w:r>
        <w:t xml:space="preserve"> WHO (2012) Global Health Expenditure Atlas – Factsheet, page 4.</w:t>
      </w:r>
    </w:p>
  </w:footnote>
  <w:footnote w:id="77">
    <w:p w:rsidR="00D0414C" w:rsidRPr="002730A5" w:rsidRDefault="00D0414C">
      <w:pPr>
        <w:pStyle w:val="FootnoteText"/>
        <w:rPr>
          <w:lang w:val="en-AU"/>
        </w:rPr>
      </w:pPr>
      <w:r>
        <w:rPr>
          <w:rStyle w:val="FootnoteReference"/>
        </w:rPr>
        <w:footnoteRef/>
      </w:r>
      <w:r>
        <w:t xml:space="preserve"> </w:t>
      </w:r>
      <w:r w:rsidRPr="002730A5">
        <w:rPr>
          <w:lang w:val="en-US"/>
        </w:rPr>
        <w:t>T</w:t>
      </w:r>
      <w:r>
        <w:rPr>
          <w:lang w:val="en-US"/>
        </w:rPr>
        <w:t>.</w:t>
      </w:r>
      <w:r w:rsidRPr="002730A5">
        <w:rPr>
          <w:lang w:val="en-US"/>
        </w:rPr>
        <w:t xml:space="preserve"> Ensor, H</w:t>
      </w:r>
      <w:r>
        <w:rPr>
          <w:lang w:val="en-US"/>
        </w:rPr>
        <w:t>.</w:t>
      </w:r>
      <w:r w:rsidRPr="002730A5">
        <w:rPr>
          <w:lang w:val="en-US"/>
        </w:rPr>
        <w:t xml:space="preserve"> Firdaus &amp; T</w:t>
      </w:r>
      <w:r>
        <w:rPr>
          <w:lang w:val="en-US"/>
        </w:rPr>
        <w:t>.</w:t>
      </w:r>
      <w:r w:rsidRPr="002730A5">
        <w:rPr>
          <w:lang w:val="en-US"/>
        </w:rPr>
        <w:t xml:space="preserve"> Lievens  </w:t>
      </w:r>
      <w:r>
        <w:rPr>
          <w:lang w:val="en-US"/>
        </w:rPr>
        <w:t>(</w:t>
      </w:r>
      <w:r w:rsidRPr="002730A5">
        <w:rPr>
          <w:lang w:val="en-US"/>
        </w:rPr>
        <w:t>2010</w:t>
      </w:r>
      <w:r>
        <w:rPr>
          <w:lang w:val="en-US"/>
        </w:rPr>
        <w:t>)</w:t>
      </w:r>
      <w:r w:rsidRPr="002730A5">
        <w:rPr>
          <w:lang w:val="en-US"/>
        </w:rPr>
        <w:t xml:space="preserve"> Health facilities costing in Timor-Leste Final Report  November 2010 Oxford Policy Management</w:t>
      </w:r>
    </w:p>
  </w:footnote>
  <w:footnote w:id="78">
    <w:p w:rsidR="00D0414C" w:rsidRDefault="00D0414C" w:rsidP="001B01D0">
      <w:pPr>
        <w:pStyle w:val="FootnoteText"/>
      </w:pPr>
      <w:r>
        <w:rPr>
          <w:rStyle w:val="FootnoteReference"/>
        </w:rPr>
        <w:footnoteRef/>
      </w:r>
      <w:r>
        <w:t xml:space="preserve"> A similar methodology used in Indonesia in 2012 found somewhat lower per capita costs for a similar package (Ensor et al 2012).</w:t>
      </w:r>
    </w:p>
  </w:footnote>
  <w:footnote w:id="79">
    <w:p w:rsidR="00D0414C" w:rsidRPr="002730A5" w:rsidRDefault="00D0414C">
      <w:pPr>
        <w:pStyle w:val="FootnoteText"/>
        <w:rPr>
          <w:lang w:val="en-AU"/>
        </w:rPr>
      </w:pPr>
      <w:r>
        <w:rPr>
          <w:rStyle w:val="FootnoteReference"/>
        </w:rPr>
        <w:footnoteRef/>
      </w:r>
      <w:r>
        <w:t xml:space="preserve"> </w:t>
      </w:r>
      <w:r>
        <w:rPr>
          <w:rFonts w:cs="Arial"/>
        </w:rPr>
        <w:t>WHO (2013) Health Statistics 2013</w:t>
      </w:r>
    </w:p>
  </w:footnote>
  <w:footnote w:id="80">
    <w:p w:rsidR="00D0414C" w:rsidRPr="00624D3B" w:rsidRDefault="00D0414C">
      <w:pPr>
        <w:pStyle w:val="FootnoteText"/>
        <w:rPr>
          <w:lang w:val="en-AU"/>
        </w:rPr>
      </w:pPr>
      <w:r>
        <w:rPr>
          <w:rStyle w:val="FootnoteReference"/>
        </w:rPr>
        <w:footnoteRef/>
      </w:r>
      <w:r>
        <w:t xml:space="preserve"> </w:t>
      </w:r>
      <w:r w:rsidRPr="00624D3B">
        <w:t>It is not stated what this comprises</w:t>
      </w:r>
    </w:p>
  </w:footnote>
  <w:footnote w:id="81">
    <w:p w:rsidR="00D0414C" w:rsidRPr="00D0414C" w:rsidRDefault="00D0414C">
      <w:pPr>
        <w:pStyle w:val="FootnoteText"/>
        <w:rPr>
          <w:lang w:val="en-AU"/>
        </w:rPr>
      </w:pPr>
      <w:r>
        <w:rPr>
          <w:rStyle w:val="FootnoteReference"/>
        </w:rPr>
        <w:footnoteRef/>
      </w:r>
      <w:r>
        <w:t xml:space="preserve"> </w:t>
      </w:r>
      <w:r w:rsidRPr="00363B7B">
        <w:t>From 2014 Budget Book 6 Table 1</w:t>
      </w:r>
    </w:p>
  </w:footnote>
  <w:footnote w:id="82">
    <w:p w:rsidR="00D0414C" w:rsidRPr="002A7C11" w:rsidRDefault="00D0414C" w:rsidP="000D1C92">
      <w:pPr>
        <w:pStyle w:val="FootnoteText"/>
        <w:rPr>
          <w:lang w:val="en-AU"/>
        </w:rPr>
      </w:pPr>
      <w:r>
        <w:rPr>
          <w:rStyle w:val="FootnoteReference"/>
        </w:rPr>
        <w:footnoteRef/>
      </w:r>
      <w:r>
        <w:t xml:space="preserve"> </w:t>
      </w:r>
      <w:r w:rsidRPr="002A7C11">
        <w:t>Constraints to Scaling Up the Health Millennium Development Goals: Costing and Financial Gap Analysis Background Document for the Taskforce on Innovative International Financing for Health Systems Working Group 1: Constraints to Scaling Up and Costs, WHO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65C" w:rsidRDefault="00B146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65C" w:rsidRDefault="00B146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65C" w:rsidRDefault="00B1465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14C" w:rsidRPr="00506B1C" w:rsidRDefault="00D0414C" w:rsidP="0008765B">
    <w:pPr>
      <w:pStyle w:val="Header"/>
      <w:tabs>
        <w:tab w:val="right" w:pos="9000"/>
      </w:tabs>
      <w:spacing w:after="0"/>
      <w:rPr>
        <w:rStyle w:val="PageNumber"/>
        <w:color w:val="1B3A59"/>
        <w:sz w:val="18"/>
        <w:szCs w:val="18"/>
      </w:rPr>
    </w:pPr>
    <w:r>
      <w:rPr>
        <w:rStyle w:val="PageNumber"/>
        <w:color w:val="1B3A59"/>
        <w:sz w:val="18"/>
        <w:szCs w:val="18"/>
      </w:rPr>
      <w:t>Ec</w:t>
    </w:r>
    <w:r w:rsidRPr="00E01EC7">
      <w:rPr>
        <w:rStyle w:val="PageNumber"/>
        <w:color w:val="1B3A59"/>
        <w:sz w:val="18"/>
        <w:szCs w:val="18"/>
      </w:rPr>
      <w:t>onomic Inputs to the East Timor Health Design</w:t>
    </w:r>
    <w:r w:rsidRPr="00506B1C">
      <w:rPr>
        <w:rStyle w:val="PageNumber"/>
        <w:color w:val="1B3A59"/>
        <w:sz w:val="18"/>
        <w:szCs w:val="18"/>
      </w:rPr>
      <w:tab/>
    </w:r>
    <w:r w:rsidRPr="00506B1C">
      <w:rPr>
        <w:rStyle w:val="PageNumber"/>
        <w:color w:val="1B3A59"/>
        <w:sz w:val="18"/>
        <w:szCs w:val="18"/>
      </w:rPr>
      <w:tab/>
    </w:r>
    <w:r w:rsidRPr="00506B1C">
      <w:rPr>
        <w:rStyle w:val="PageNumber"/>
        <w:color w:val="1B3A59"/>
        <w:sz w:val="18"/>
        <w:szCs w:val="18"/>
      </w:rPr>
      <w:fldChar w:fldCharType="begin"/>
    </w:r>
    <w:r w:rsidRPr="00506B1C">
      <w:rPr>
        <w:rStyle w:val="PageNumber"/>
        <w:color w:val="1B3A59"/>
        <w:sz w:val="18"/>
        <w:szCs w:val="18"/>
      </w:rPr>
      <w:instrText xml:space="preserve"> DATE \@ "dd/MM/yyyy" </w:instrText>
    </w:r>
    <w:r w:rsidRPr="00506B1C">
      <w:rPr>
        <w:rStyle w:val="PageNumber"/>
        <w:color w:val="1B3A59"/>
        <w:sz w:val="18"/>
        <w:szCs w:val="18"/>
      </w:rPr>
      <w:fldChar w:fldCharType="separate"/>
    </w:r>
    <w:r w:rsidR="00B1465C">
      <w:rPr>
        <w:rStyle w:val="PageNumber"/>
        <w:noProof/>
        <w:color w:val="1B3A59"/>
        <w:sz w:val="18"/>
        <w:szCs w:val="18"/>
      </w:rPr>
      <w:t>03/02/2014</w:t>
    </w:r>
    <w:r w:rsidRPr="00506B1C">
      <w:rPr>
        <w:rStyle w:val="PageNumber"/>
        <w:color w:val="1B3A59"/>
        <w:sz w:val="18"/>
        <w:szCs w:val="18"/>
      </w:rPr>
      <w:fldChar w:fldCharType="end"/>
    </w:r>
  </w:p>
  <w:p w:rsidR="00D0414C" w:rsidRPr="00506B1C" w:rsidRDefault="00D0414C" w:rsidP="0008765B">
    <w:pPr>
      <w:pStyle w:val="Header"/>
      <w:pBdr>
        <w:bottom w:val="single" w:sz="2" w:space="1" w:color="1B3A59"/>
      </w:pBdr>
      <w:tabs>
        <w:tab w:val="right" w:pos="9000"/>
      </w:tabs>
      <w:spacing w:after="0"/>
      <w:rPr>
        <w:color w:val="1B3A59"/>
        <w:sz w:val="18"/>
        <w:szCs w:val="18"/>
      </w:rPr>
    </w:pPr>
    <w:r w:rsidRPr="00506B1C">
      <w:rPr>
        <w:rStyle w:val="PageNumber"/>
        <w:color w:val="1B3A59"/>
        <w:sz w:val="18"/>
        <w:szCs w:val="18"/>
      </w:rPr>
      <w:t xml:space="preserve">Services Order </w:t>
    </w:r>
    <w:r>
      <w:rPr>
        <w:rStyle w:val="PageNumber"/>
        <w:color w:val="1B3A59"/>
        <w:sz w:val="18"/>
        <w:szCs w:val="18"/>
      </w:rPr>
      <w:t>257</w:t>
    </w:r>
    <w:r w:rsidRPr="00506B1C">
      <w:rPr>
        <w:rStyle w:val="PageNumber"/>
        <w:color w:val="1B3A59"/>
        <w:sz w:val="18"/>
        <w:szCs w:val="18"/>
      </w:rPr>
      <w:tab/>
    </w:r>
    <w:r w:rsidRPr="00506B1C">
      <w:rPr>
        <w:rStyle w:val="PageNumber"/>
        <w:color w:val="1B3A59"/>
        <w:sz w:val="18"/>
        <w:szCs w:val="18"/>
      </w:rPr>
      <w:tab/>
    </w:r>
    <w:r w:rsidR="00C1256A">
      <w:rPr>
        <w:rStyle w:val="PageNumber"/>
        <w:color w:val="1B3A59"/>
        <w:sz w:val="18"/>
        <w:szCs w:val="18"/>
      </w:rPr>
      <w:t>Final</w:t>
    </w:r>
  </w:p>
  <w:p w:rsidR="00D0414C" w:rsidRPr="001A5A06" w:rsidRDefault="00D0414C" w:rsidP="0008765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14C" w:rsidRDefault="00D0414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14C" w:rsidRPr="00506B1C" w:rsidRDefault="00D0414C" w:rsidP="0008765B">
    <w:pPr>
      <w:pStyle w:val="Header"/>
      <w:tabs>
        <w:tab w:val="right" w:pos="9000"/>
      </w:tabs>
      <w:spacing w:after="0"/>
      <w:rPr>
        <w:rStyle w:val="PageNumber"/>
        <w:color w:val="1B3A59"/>
        <w:sz w:val="18"/>
        <w:szCs w:val="18"/>
      </w:rPr>
    </w:pPr>
    <w:r w:rsidRPr="00E01EC7">
      <w:rPr>
        <w:rStyle w:val="PageNumber"/>
        <w:color w:val="1B3A59"/>
        <w:sz w:val="18"/>
        <w:szCs w:val="18"/>
      </w:rPr>
      <w:t>Economic Inputs to the East Timor Health Design</w:t>
    </w:r>
    <w:r w:rsidRPr="00506B1C">
      <w:rPr>
        <w:rStyle w:val="PageNumber"/>
        <w:color w:val="1B3A59"/>
        <w:sz w:val="18"/>
        <w:szCs w:val="18"/>
      </w:rPr>
      <w:tab/>
    </w:r>
    <w:r w:rsidRPr="00506B1C">
      <w:rPr>
        <w:rStyle w:val="PageNumber"/>
        <w:color w:val="1B3A59"/>
        <w:sz w:val="18"/>
        <w:szCs w:val="18"/>
      </w:rPr>
      <w:tab/>
    </w:r>
    <w:r>
      <w:rPr>
        <w:rStyle w:val="PageNumber"/>
        <w:color w:val="1B3A59"/>
        <w:sz w:val="18"/>
        <w:szCs w:val="18"/>
      </w:rPr>
      <w:tab/>
    </w:r>
    <w:r>
      <w:rPr>
        <w:rStyle w:val="PageNumber"/>
        <w:color w:val="1B3A59"/>
        <w:sz w:val="18"/>
        <w:szCs w:val="18"/>
      </w:rPr>
      <w:tab/>
    </w:r>
    <w:r>
      <w:rPr>
        <w:rStyle w:val="PageNumber"/>
        <w:color w:val="1B3A59"/>
        <w:sz w:val="18"/>
        <w:szCs w:val="18"/>
      </w:rPr>
      <w:tab/>
    </w:r>
    <w:r>
      <w:rPr>
        <w:rStyle w:val="PageNumber"/>
        <w:color w:val="1B3A59"/>
        <w:sz w:val="18"/>
        <w:szCs w:val="18"/>
      </w:rPr>
      <w:tab/>
    </w:r>
    <w:r>
      <w:rPr>
        <w:rStyle w:val="PageNumber"/>
        <w:color w:val="1B3A59"/>
        <w:sz w:val="18"/>
        <w:szCs w:val="18"/>
      </w:rPr>
      <w:tab/>
    </w:r>
    <w:r>
      <w:rPr>
        <w:rStyle w:val="PageNumber"/>
        <w:color w:val="1B3A59"/>
        <w:sz w:val="18"/>
        <w:szCs w:val="18"/>
      </w:rPr>
      <w:tab/>
    </w:r>
    <w:r>
      <w:rPr>
        <w:rStyle w:val="PageNumber"/>
        <w:color w:val="1B3A59"/>
        <w:sz w:val="18"/>
        <w:szCs w:val="18"/>
      </w:rPr>
      <w:tab/>
    </w:r>
    <w:r w:rsidRPr="00506B1C">
      <w:rPr>
        <w:rStyle w:val="PageNumber"/>
        <w:color w:val="1B3A59"/>
        <w:sz w:val="18"/>
        <w:szCs w:val="18"/>
      </w:rPr>
      <w:fldChar w:fldCharType="begin"/>
    </w:r>
    <w:r w:rsidRPr="00506B1C">
      <w:rPr>
        <w:rStyle w:val="PageNumber"/>
        <w:color w:val="1B3A59"/>
        <w:sz w:val="18"/>
        <w:szCs w:val="18"/>
      </w:rPr>
      <w:instrText xml:space="preserve"> DATE \@ "dd/MM/yyyy" </w:instrText>
    </w:r>
    <w:r w:rsidRPr="00506B1C">
      <w:rPr>
        <w:rStyle w:val="PageNumber"/>
        <w:color w:val="1B3A59"/>
        <w:sz w:val="18"/>
        <w:szCs w:val="18"/>
      </w:rPr>
      <w:fldChar w:fldCharType="separate"/>
    </w:r>
    <w:r w:rsidR="00B1465C">
      <w:rPr>
        <w:rStyle w:val="PageNumber"/>
        <w:noProof/>
        <w:color w:val="1B3A59"/>
        <w:sz w:val="18"/>
        <w:szCs w:val="18"/>
      </w:rPr>
      <w:t>03/02/2014</w:t>
    </w:r>
    <w:r w:rsidRPr="00506B1C">
      <w:rPr>
        <w:rStyle w:val="PageNumber"/>
        <w:color w:val="1B3A59"/>
        <w:sz w:val="18"/>
        <w:szCs w:val="18"/>
      </w:rPr>
      <w:fldChar w:fldCharType="end"/>
    </w:r>
  </w:p>
  <w:p w:rsidR="00D0414C" w:rsidRPr="00506B1C" w:rsidRDefault="00D0414C" w:rsidP="0008765B">
    <w:pPr>
      <w:pStyle w:val="Header"/>
      <w:pBdr>
        <w:bottom w:val="single" w:sz="2" w:space="1" w:color="1B3A59"/>
      </w:pBdr>
      <w:tabs>
        <w:tab w:val="right" w:pos="9000"/>
      </w:tabs>
      <w:spacing w:after="0"/>
      <w:rPr>
        <w:color w:val="1B3A59"/>
        <w:sz w:val="18"/>
        <w:szCs w:val="18"/>
      </w:rPr>
    </w:pPr>
    <w:r w:rsidRPr="00506B1C">
      <w:rPr>
        <w:rStyle w:val="PageNumber"/>
        <w:color w:val="1B3A59"/>
        <w:sz w:val="18"/>
        <w:szCs w:val="18"/>
      </w:rPr>
      <w:t xml:space="preserve">Services Order </w:t>
    </w:r>
    <w:r>
      <w:rPr>
        <w:rStyle w:val="PageNumber"/>
        <w:color w:val="1B3A59"/>
        <w:sz w:val="18"/>
        <w:szCs w:val="18"/>
      </w:rPr>
      <w:t>257</w:t>
    </w:r>
    <w:r w:rsidRPr="00506B1C">
      <w:rPr>
        <w:rStyle w:val="PageNumber"/>
        <w:color w:val="1B3A59"/>
        <w:sz w:val="18"/>
        <w:szCs w:val="18"/>
      </w:rPr>
      <w:tab/>
    </w:r>
    <w:r w:rsidRPr="00506B1C">
      <w:rPr>
        <w:rStyle w:val="PageNumber"/>
        <w:color w:val="1B3A59"/>
        <w:sz w:val="18"/>
        <w:szCs w:val="18"/>
      </w:rPr>
      <w:tab/>
    </w:r>
    <w:r>
      <w:rPr>
        <w:rStyle w:val="PageNumber"/>
        <w:color w:val="1B3A59"/>
        <w:sz w:val="18"/>
        <w:szCs w:val="18"/>
      </w:rPr>
      <w:tab/>
    </w:r>
    <w:r>
      <w:rPr>
        <w:rStyle w:val="PageNumber"/>
        <w:color w:val="1B3A59"/>
        <w:sz w:val="18"/>
        <w:szCs w:val="18"/>
      </w:rPr>
      <w:tab/>
    </w:r>
    <w:r>
      <w:rPr>
        <w:rStyle w:val="PageNumber"/>
        <w:color w:val="1B3A59"/>
        <w:sz w:val="18"/>
        <w:szCs w:val="18"/>
      </w:rPr>
      <w:tab/>
    </w:r>
    <w:r>
      <w:rPr>
        <w:rStyle w:val="PageNumber"/>
        <w:color w:val="1B3A59"/>
        <w:sz w:val="18"/>
        <w:szCs w:val="18"/>
      </w:rPr>
      <w:tab/>
    </w:r>
    <w:r>
      <w:rPr>
        <w:rStyle w:val="PageNumber"/>
        <w:color w:val="1B3A59"/>
        <w:sz w:val="18"/>
        <w:szCs w:val="18"/>
      </w:rPr>
      <w:tab/>
    </w:r>
    <w:r>
      <w:rPr>
        <w:rStyle w:val="PageNumber"/>
        <w:color w:val="1B3A59"/>
        <w:sz w:val="18"/>
        <w:szCs w:val="18"/>
      </w:rPr>
      <w:tab/>
    </w:r>
    <w:r>
      <w:rPr>
        <w:rStyle w:val="PageNumber"/>
        <w:color w:val="1B3A59"/>
        <w:sz w:val="18"/>
        <w:szCs w:val="18"/>
      </w:rPr>
      <w:tab/>
    </w:r>
    <w:r w:rsidR="001B694A">
      <w:rPr>
        <w:rStyle w:val="PageNumber"/>
        <w:color w:val="1B3A59"/>
        <w:sz w:val="18"/>
        <w:szCs w:val="18"/>
      </w:rPr>
      <w:t>Final</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14C" w:rsidRPr="00506B1C" w:rsidRDefault="00D0414C" w:rsidP="0008765B">
    <w:pPr>
      <w:pStyle w:val="Header"/>
      <w:tabs>
        <w:tab w:val="right" w:pos="9000"/>
      </w:tabs>
      <w:spacing w:after="0"/>
      <w:rPr>
        <w:rStyle w:val="PageNumber"/>
        <w:color w:val="1B3A59"/>
        <w:sz w:val="18"/>
        <w:szCs w:val="18"/>
      </w:rPr>
    </w:pPr>
    <w:r w:rsidRPr="00E01EC7">
      <w:rPr>
        <w:rStyle w:val="PageNumber"/>
        <w:color w:val="1B3A59"/>
        <w:sz w:val="18"/>
        <w:szCs w:val="18"/>
      </w:rPr>
      <w:t>Economic Inputs to the East Timor Health Design</w:t>
    </w:r>
    <w:r>
      <w:rPr>
        <w:rStyle w:val="PageNumber"/>
        <w:color w:val="1B3A59"/>
        <w:sz w:val="18"/>
        <w:szCs w:val="18"/>
      </w:rPr>
      <w:tab/>
    </w:r>
    <w:r>
      <w:rPr>
        <w:rStyle w:val="PageNumber"/>
        <w:color w:val="1B3A59"/>
        <w:sz w:val="18"/>
        <w:szCs w:val="18"/>
      </w:rPr>
      <w:tab/>
    </w:r>
    <w:r w:rsidRPr="00506B1C">
      <w:rPr>
        <w:rStyle w:val="PageNumber"/>
        <w:color w:val="1B3A59"/>
        <w:sz w:val="18"/>
        <w:szCs w:val="18"/>
      </w:rPr>
      <w:fldChar w:fldCharType="begin"/>
    </w:r>
    <w:r w:rsidRPr="00506B1C">
      <w:rPr>
        <w:rStyle w:val="PageNumber"/>
        <w:color w:val="1B3A59"/>
        <w:sz w:val="18"/>
        <w:szCs w:val="18"/>
      </w:rPr>
      <w:instrText xml:space="preserve"> DATE \@ "dd/MM/yyyy" </w:instrText>
    </w:r>
    <w:r w:rsidRPr="00506B1C">
      <w:rPr>
        <w:rStyle w:val="PageNumber"/>
        <w:color w:val="1B3A59"/>
        <w:sz w:val="18"/>
        <w:szCs w:val="18"/>
      </w:rPr>
      <w:fldChar w:fldCharType="separate"/>
    </w:r>
    <w:r w:rsidR="00B1465C">
      <w:rPr>
        <w:rStyle w:val="PageNumber"/>
        <w:noProof/>
        <w:color w:val="1B3A59"/>
        <w:sz w:val="18"/>
        <w:szCs w:val="18"/>
      </w:rPr>
      <w:t>03/02/2014</w:t>
    </w:r>
    <w:r w:rsidRPr="00506B1C">
      <w:rPr>
        <w:rStyle w:val="PageNumber"/>
        <w:color w:val="1B3A59"/>
        <w:sz w:val="18"/>
        <w:szCs w:val="18"/>
      </w:rPr>
      <w:fldChar w:fldCharType="end"/>
    </w:r>
  </w:p>
  <w:p w:rsidR="00D0414C" w:rsidRPr="00506B1C" w:rsidRDefault="00D0414C" w:rsidP="0008765B">
    <w:pPr>
      <w:pStyle w:val="Header"/>
      <w:pBdr>
        <w:bottom w:val="single" w:sz="2" w:space="1" w:color="1B3A59"/>
      </w:pBdr>
      <w:tabs>
        <w:tab w:val="right" w:pos="9000"/>
      </w:tabs>
      <w:spacing w:after="0"/>
      <w:rPr>
        <w:color w:val="1B3A59"/>
        <w:sz w:val="18"/>
        <w:szCs w:val="18"/>
      </w:rPr>
    </w:pPr>
    <w:r w:rsidRPr="00506B1C">
      <w:rPr>
        <w:rStyle w:val="PageNumber"/>
        <w:color w:val="1B3A59"/>
        <w:sz w:val="18"/>
        <w:szCs w:val="18"/>
      </w:rPr>
      <w:t xml:space="preserve">Services Order </w:t>
    </w:r>
    <w:r>
      <w:rPr>
        <w:rStyle w:val="PageNumber"/>
        <w:color w:val="1B3A59"/>
        <w:sz w:val="18"/>
        <w:szCs w:val="18"/>
      </w:rPr>
      <w:t>257</w:t>
    </w:r>
    <w:r w:rsidRPr="00506B1C">
      <w:rPr>
        <w:rStyle w:val="PageNumber"/>
        <w:color w:val="1B3A59"/>
        <w:sz w:val="18"/>
        <w:szCs w:val="18"/>
      </w:rPr>
      <w:tab/>
    </w:r>
    <w:r w:rsidRPr="00506B1C">
      <w:rPr>
        <w:rStyle w:val="PageNumber"/>
        <w:color w:val="1B3A59"/>
        <w:sz w:val="18"/>
        <w:szCs w:val="18"/>
      </w:rPr>
      <w:tab/>
    </w:r>
    <w:r w:rsidR="001B694A">
      <w:rPr>
        <w:rStyle w:val="PageNumber"/>
        <w:color w:val="1B3A59"/>
        <w:sz w:val="18"/>
        <w:szCs w:val="18"/>
      </w:rPr>
      <w:t>Final</w:t>
    </w:r>
  </w:p>
  <w:p w:rsidR="00D0414C" w:rsidRPr="001A5A06" w:rsidRDefault="00D0414C" w:rsidP="000876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3F71"/>
    <w:multiLevelType w:val="hybridMultilevel"/>
    <w:tmpl w:val="05DAED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3BE4FA4"/>
    <w:multiLevelType w:val="hybridMultilevel"/>
    <w:tmpl w:val="D4704B86"/>
    <w:lvl w:ilvl="0" w:tplc="075A426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nsid w:val="040F7419"/>
    <w:multiLevelType w:val="hybridMultilevel"/>
    <w:tmpl w:val="6C580734"/>
    <w:lvl w:ilvl="0" w:tplc="0C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556297"/>
    <w:multiLevelType w:val="hybridMultilevel"/>
    <w:tmpl w:val="3730A2D6"/>
    <w:lvl w:ilvl="0" w:tplc="4F9EE7B8">
      <w:start w:val="1"/>
      <w:numFmt w:val="decimal"/>
      <w:lvlText w:val="%1."/>
      <w:lvlJc w:val="left"/>
      <w:pPr>
        <w:ind w:left="1080" w:hanging="72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1313646E"/>
    <w:multiLevelType w:val="hybridMultilevel"/>
    <w:tmpl w:val="13A031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CB509E"/>
    <w:multiLevelType w:val="hybridMultilevel"/>
    <w:tmpl w:val="7F160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0FF01D9"/>
    <w:multiLevelType w:val="hybridMultilevel"/>
    <w:tmpl w:val="1A64D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249495E"/>
    <w:multiLevelType w:val="hybridMultilevel"/>
    <w:tmpl w:val="7B062A8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4A015FD"/>
    <w:multiLevelType w:val="hybridMultilevel"/>
    <w:tmpl w:val="85C68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4F84755"/>
    <w:multiLevelType w:val="multilevel"/>
    <w:tmpl w:val="4A0C4568"/>
    <w:lvl w:ilvl="0">
      <w:start w:val="1"/>
      <w:numFmt w:val="decimal"/>
      <w:pStyle w:val="HRFHeading1Numbered"/>
      <w:lvlText w:val="%1."/>
      <w:lvlJc w:val="left"/>
      <w:pPr>
        <w:tabs>
          <w:tab w:val="num" w:pos="3905"/>
        </w:tabs>
        <w:ind w:left="3905" w:hanging="360"/>
      </w:pPr>
    </w:lvl>
    <w:lvl w:ilvl="1">
      <w:start w:val="1"/>
      <w:numFmt w:val="decimal"/>
      <w:pStyle w:val="HRFHeading2Numbered"/>
      <w:lvlText w:val="%1.%2."/>
      <w:lvlJc w:val="left"/>
      <w:pPr>
        <w:tabs>
          <w:tab w:val="num" w:pos="522"/>
        </w:tabs>
        <w:ind w:left="52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0">
    <w:nsid w:val="3EB8515A"/>
    <w:multiLevelType w:val="multilevel"/>
    <w:tmpl w:val="F476EDA6"/>
    <w:lvl w:ilvl="0">
      <w:start w:val="1"/>
      <w:numFmt w:val="decimal"/>
      <w:lvlText w:val="%1."/>
      <w:lvlJc w:val="left"/>
      <w:pPr>
        <w:tabs>
          <w:tab w:val="num" w:pos="1437"/>
        </w:tabs>
        <w:ind w:left="1437" w:hanging="360"/>
      </w:pPr>
      <w:rPr>
        <w:rFonts w:hint="default"/>
      </w:rPr>
    </w:lvl>
    <w:lvl w:ilvl="1">
      <w:start w:val="1"/>
      <w:numFmt w:val="decimal"/>
      <w:pStyle w:val="HRFHeading3Numbered"/>
      <w:lvlText w:val="%1.%2."/>
      <w:lvlJc w:val="left"/>
      <w:pPr>
        <w:tabs>
          <w:tab w:val="num" w:pos="1869"/>
        </w:tabs>
        <w:ind w:left="1869" w:hanging="432"/>
      </w:pPr>
      <w:rPr>
        <w:rFonts w:hint="default"/>
      </w:rPr>
    </w:lvl>
    <w:lvl w:ilvl="2">
      <w:start w:val="1"/>
      <w:numFmt w:val="decimal"/>
      <w:pStyle w:val="HRFHeading3Numbered"/>
      <w:lvlText w:val="%1.%2.%3."/>
      <w:lvlJc w:val="left"/>
      <w:pPr>
        <w:tabs>
          <w:tab w:val="num" w:pos="2517"/>
        </w:tabs>
        <w:ind w:left="2301"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3237"/>
        </w:tabs>
        <w:ind w:left="2805" w:hanging="648"/>
      </w:pPr>
      <w:rPr>
        <w:rFonts w:hint="default"/>
      </w:rPr>
    </w:lvl>
    <w:lvl w:ilvl="4">
      <w:start w:val="1"/>
      <w:numFmt w:val="decimal"/>
      <w:lvlText w:val="%1.%2.%3.%4.%5."/>
      <w:lvlJc w:val="left"/>
      <w:pPr>
        <w:tabs>
          <w:tab w:val="num" w:pos="3597"/>
        </w:tabs>
        <w:ind w:left="3309" w:hanging="792"/>
      </w:pPr>
      <w:rPr>
        <w:rFonts w:hint="default"/>
      </w:rPr>
    </w:lvl>
    <w:lvl w:ilvl="5">
      <w:start w:val="1"/>
      <w:numFmt w:val="decimal"/>
      <w:lvlText w:val="%1.%2.%3.%4.%5.%6."/>
      <w:lvlJc w:val="left"/>
      <w:pPr>
        <w:tabs>
          <w:tab w:val="num" w:pos="4317"/>
        </w:tabs>
        <w:ind w:left="3813" w:hanging="936"/>
      </w:pPr>
      <w:rPr>
        <w:rFonts w:hint="default"/>
      </w:rPr>
    </w:lvl>
    <w:lvl w:ilvl="6">
      <w:start w:val="1"/>
      <w:numFmt w:val="decimal"/>
      <w:lvlText w:val="%1.%2.%3.%4.%5.%6.%7."/>
      <w:lvlJc w:val="left"/>
      <w:pPr>
        <w:tabs>
          <w:tab w:val="num" w:pos="5037"/>
        </w:tabs>
        <w:ind w:left="4317" w:hanging="1080"/>
      </w:pPr>
      <w:rPr>
        <w:rFonts w:hint="default"/>
      </w:rPr>
    </w:lvl>
    <w:lvl w:ilvl="7">
      <w:start w:val="1"/>
      <w:numFmt w:val="decimal"/>
      <w:lvlText w:val="%1.%2.%3.%4.%5.%6.%7.%8."/>
      <w:lvlJc w:val="left"/>
      <w:pPr>
        <w:tabs>
          <w:tab w:val="num" w:pos="5397"/>
        </w:tabs>
        <w:ind w:left="4821" w:hanging="1224"/>
      </w:pPr>
      <w:rPr>
        <w:rFonts w:hint="default"/>
      </w:rPr>
    </w:lvl>
    <w:lvl w:ilvl="8">
      <w:start w:val="1"/>
      <w:numFmt w:val="decimal"/>
      <w:lvlText w:val="%1.%2.%3.%4.%5.%6.%7.%8.%9."/>
      <w:lvlJc w:val="left"/>
      <w:pPr>
        <w:tabs>
          <w:tab w:val="num" w:pos="6117"/>
        </w:tabs>
        <w:ind w:left="5397" w:hanging="1440"/>
      </w:pPr>
      <w:rPr>
        <w:rFonts w:hint="default"/>
      </w:rPr>
    </w:lvl>
  </w:abstractNum>
  <w:abstractNum w:abstractNumId="11">
    <w:nsid w:val="3EE6318C"/>
    <w:multiLevelType w:val="hybridMultilevel"/>
    <w:tmpl w:val="F0D4A9D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3F259D1"/>
    <w:multiLevelType w:val="hybridMultilevel"/>
    <w:tmpl w:val="757EF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8411BE1"/>
    <w:multiLevelType w:val="hybridMultilevel"/>
    <w:tmpl w:val="90EAD9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530F1E36"/>
    <w:multiLevelType w:val="hybridMultilevel"/>
    <w:tmpl w:val="7BC6F7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55304D97"/>
    <w:multiLevelType w:val="hybridMultilevel"/>
    <w:tmpl w:val="CC6E5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7B04B3A"/>
    <w:multiLevelType w:val="hybridMultilevel"/>
    <w:tmpl w:val="8DB265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1E2746"/>
    <w:multiLevelType w:val="hybridMultilevel"/>
    <w:tmpl w:val="CA9406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B062C7E"/>
    <w:multiLevelType w:val="hybridMultilevel"/>
    <w:tmpl w:val="300EEF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A7F62CC"/>
    <w:multiLevelType w:val="multilevel"/>
    <w:tmpl w:val="7E0C13D2"/>
    <w:styleLink w:val="1stlevelbulleted11pt"/>
    <w:lvl w:ilvl="0">
      <w:start w:val="1"/>
      <w:numFmt w:val="bullet"/>
      <w:pStyle w:val="HRFBullet"/>
      <w:lvlText w:val=""/>
      <w:lvlJc w:val="left"/>
      <w:pPr>
        <w:tabs>
          <w:tab w:val="num" w:pos="454"/>
        </w:tabs>
        <w:ind w:left="454" w:hanging="227"/>
      </w:pPr>
      <w:rPr>
        <w:rFonts w:ascii="Symbol" w:hAnsi="Symbol" w:cs="Mangal"/>
        <w:sz w:val="22"/>
        <w:szCs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BEC7E53"/>
    <w:multiLevelType w:val="hybridMultilevel"/>
    <w:tmpl w:val="CF322D42"/>
    <w:lvl w:ilvl="0" w:tplc="895876AA">
      <w:start w:val="7"/>
      <w:numFmt w:val="bullet"/>
      <w:lvlText w:val="-"/>
      <w:lvlJc w:val="left"/>
      <w:pPr>
        <w:ind w:left="1440" w:hanging="360"/>
      </w:pPr>
      <w:rPr>
        <w:rFonts w:ascii="Arial" w:eastAsia="Times New Roman" w:hAnsi="Arial" w:cs="Times New Roman" w:hint="default"/>
      </w:rPr>
    </w:lvl>
    <w:lvl w:ilvl="1" w:tplc="0C090003">
      <w:start w:val="1"/>
      <w:numFmt w:val="bullet"/>
      <w:lvlText w:val="o"/>
      <w:lvlJc w:val="left"/>
      <w:pPr>
        <w:ind w:left="2160" w:hanging="360"/>
      </w:pPr>
      <w:rPr>
        <w:rFonts w:ascii="Courier New" w:hAnsi="Courier New" w:cs="Times New Roman"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Times New Roman"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Times New Roman" w:hint="default"/>
      </w:rPr>
    </w:lvl>
    <w:lvl w:ilvl="8" w:tplc="0C090005">
      <w:start w:val="1"/>
      <w:numFmt w:val="bullet"/>
      <w:lvlText w:val=""/>
      <w:lvlJc w:val="left"/>
      <w:pPr>
        <w:ind w:left="7200" w:hanging="360"/>
      </w:pPr>
      <w:rPr>
        <w:rFonts w:ascii="Wingdings" w:hAnsi="Wingdings" w:hint="default"/>
      </w:rPr>
    </w:lvl>
  </w:abstractNum>
  <w:abstractNum w:abstractNumId="21">
    <w:nsid w:val="6C567759"/>
    <w:multiLevelType w:val="multilevel"/>
    <w:tmpl w:val="7E0C13D2"/>
    <w:numStyleLink w:val="1stlevelbulleted11pt"/>
  </w:abstractNum>
  <w:abstractNum w:abstractNumId="22">
    <w:nsid w:val="76A91153"/>
    <w:multiLevelType w:val="multilevel"/>
    <w:tmpl w:val="D15A1AE8"/>
    <w:styleLink w:val="2ndlevelbulleted11pt"/>
    <w:lvl w:ilvl="0">
      <w:start w:val="45"/>
      <w:numFmt w:val="bullet"/>
      <w:lvlText w:val="-"/>
      <w:lvlJc w:val="left"/>
      <w:pPr>
        <w:tabs>
          <w:tab w:val="num" w:pos="454"/>
        </w:tabs>
        <w:ind w:left="680" w:hanging="226"/>
      </w:pPr>
      <w:rPr>
        <w:rFonts w:ascii="Arial" w:hAnsi="Arial" w:cs="Mangal"/>
        <w:sz w:val="22"/>
        <w:szCs w:val="22"/>
      </w:rPr>
    </w:lvl>
    <w:lvl w:ilvl="1">
      <w:start w:val="1"/>
      <w:numFmt w:val="bullet"/>
      <w:lvlText w:val="-"/>
      <w:lvlJc w:val="left"/>
      <w:pPr>
        <w:tabs>
          <w:tab w:val="num" w:pos="1440"/>
        </w:tabs>
        <w:ind w:left="1440" w:hanging="360"/>
      </w:pPr>
      <w:rPr>
        <w:rFonts w:ascii="Arial" w:eastAsia="Arial" w:hAnsi="Arial" w:cs="Arial" w:hint="default"/>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B8C7D98"/>
    <w:multiLevelType w:val="hybridMultilevel"/>
    <w:tmpl w:val="1B48D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F7E5B7C"/>
    <w:multiLevelType w:val="hybridMultilevel"/>
    <w:tmpl w:val="9578B4BE"/>
    <w:lvl w:ilvl="0" w:tplc="5B92554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9"/>
  </w:num>
  <w:num w:numId="2">
    <w:abstractNumId w:val="21"/>
  </w:num>
  <w:num w:numId="3">
    <w:abstractNumId w:val="22"/>
  </w:num>
  <w:num w:numId="4">
    <w:abstractNumId w:val="10"/>
  </w:num>
  <w:num w:numId="5">
    <w:abstractNumId w:val="9"/>
  </w:num>
  <w:num w:numId="6">
    <w:abstractNumId w:val="24"/>
  </w:num>
  <w:num w:numId="7">
    <w:abstractNumId w:val="2"/>
  </w:num>
  <w:num w:numId="8">
    <w:abstractNumId w:val="23"/>
  </w:num>
  <w:num w:numId="9">
    <w:abstractNumId w:val="6"/>
  </w:num>
  <w:num w:numId="10">
    <w:abstractNumId w:val="8"/>
  </w:num>
  <w:num w:numId="11">
    <w:abstractNumId w:val="5"/>
  </w:num>
  <w:num w:numId="12">
    <w:abstractNumId w:val="18"/>
  </w:num>
  <w:num w:numId="13">
    <w:abstractNumId w:val="17"/>
  </w:num>
  <w:num w:numId="14">
    <w:abstractNumId w:val="11"/>
  </w:num>
  <w:num w:numId="15">
    <w:abstractNumId w:val="20"/>
  </w:num>
  <w:num w:numId="16">
    <w:abstractNumId w:val="7"/>
  </w:num>
  <w:num w:numId="17">
    <w:abstractNumId w:val="15"/>
  </w:num>
  <w:num w:numId="18">
    <w:abstractNumId w:val="1"/>
  </w:num>
  <w:num w:numId="19">
    <w:abstractNumId w:val="14"/>
  </w:num>
  <w:num w:numId="20">
    <w:abstractNumId w:val="16"/>
  </w:num>
  <w:num w:numId="21">
    <w:abstractNumId w:val="4"/>
  </w:num>
  <w:num w:numId="22">
    <w:abstractNumId w:val="9"/>
  </w:num>
  <w:num w:numId="23">
    <w:abstractNumId w:val="9"/>
  </w:num>
  <w:num w:numId="24">
    <w:abstractNumId w:val="0"/>
  </w:num>
  <w:num w:numId="25">
    <w:abstractNumId w:val="13"/>
  </w:num>
  <w:num w:numId="26">
    <w:abstractNumId w:val="12"/>
  </w:num>
  <w:num w:numId="27">
    <w:abstractNumId w:val="9"/>
  </w:num>
  <w:num w:numId="28">
    <w:abstractNumId w:val="9"/>
  </w:num>
  <w:num w:numId="29">
    <w:abstractNumId w:val="9"/>
  </w:num>
  <w:num w:numId="30">
    <w:abstractNumId w:val="9"/>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8129" fillcolor="#c5e3ff" stroke="f">
      <v:fill color="#c5e3ff"/>
      <v:stroke on="f"/>
      <o:colormru v:ext="edit" colors="#005199,#c5e3ff,#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57C"/>
    <w:rsid w:val="000120F9"/>
    <w:rsid w:val="00023FE4"/>
    <w:rsid w:val="0003792C"/>
    <w:rsid w:val="00041490"/>
    <w:rsid w:val="0005175A"/>
    <w:rsid w:val="00052149"/>
    <w:rsid w:val="00052C07"/>
    <w:rsid w:val="000565CF"/>
    <w:rsid w:val="00062C4B"/>
    <w:rsid w:val="00062EDA"/>
    <w:rsid w:val="000640DA"/>
    <w:rsid w:val="00073196"/>
    <w:rsid w:val="0008765B"/>
    <w:rsid w:val="00087A5A"/>
    <w:rsid w:val="00095069"/>
    <w:rsid w:val="000A057C"/>
    <w:rsid w:val="000B55BB"/>
    <w:rsid w:val="000B5E21"/>
    <w:rsid w:val="000C06EF"/>
    <w:rsid w:val="000C0AF3"/>
    <w:rsid w:val="000C3424"/>
    <w:rsid w:val="000D1C92"/>
    <w:rsid w:val="000E4824"/>
    <w:rsid w:val="000F1F7A"/>
    <w:rsid w:val="00102246"/>
    <w:rsid w:val="00110E07"/>
    <w:rsid w:val="00111E0B"/>
    <w:rsid w:val="001129A4"/>
    <w:rsid w:val="001173D9"/>
    <w:rsid w:val="00130409"/>
    <w:rsid w:val="00132190"/>
    <w:rsid w:val="001342E9"/>
    <w:rsid w:val="001400C7"/>
    <w:rsid w:val="001401AC"/>
    <w:rsid w:val="00141880"/>
    <w:rsid w:val="00142733"/>
    <w:rsid w:val="00146FEB"/>
    <w:rsid w:val="00152518"/>
    <w:rsid w:val="001616AF"/>
    <w:rsid w:val="001661AF"/>
    <w:rsid w:val="0017407C"/>
    <w:rsid w:val="001816DA"/>
    <w:rsid w:val="00182332"/>
    <w:rsid w:val="0018281C"/>
    <w:rsid w:val="001833BF"/>
    <w:rsid w:val="001853A8"/>
    <w:rsid w:val="00194301"/>
    <w:rsid w:val="001A0496"/>
    <w:rsid w:val="001A5A06"/>
    <w:rsid w:val="001B01D0"/>
    <w:rsid w:val="001B1245"/>
    <w:rsid w:val="001B1280"/>
    <w:rsid w:val="001B694A"/>
    <w:rsid w:val="001B697B"/>
    <w:rsid w:val="001C3EF2"/>
    <w:rsid w:val="001C7701"/>
    <w:rsid w:val="001D4635"/>
    <w:rsid w:val="001D6B85"/>
    <w:rsid w:val="001D7C0B"/>
    <w:rsid w:val="001E7B27"/>
    <w:rsid w:val="001F103F"/>
    <w:rsid w:val="001F14D7"/>
    <w:rsid w:val="001F2722"/>
    <w:rsid w:val="001F3468"/>
    <w:rsid w:val="001F3DF1"/>
    <w:rsid w:val="00210B6D"/>
    <w:rsid w:val="0021110F"/>
    <w:rsid w:val="00213604"/>
    <w:rsid w:val="00215CCD"/>
    <w:rsid w:val="00223373"/>
    <w:rsid w:val="00223E3B"/>
    <w:rsid w:val="0024010E"/>
    <w:rsid w:val="00246F19"/>
    <w:rsid w:val="002504EC"/>
    <w:rsid w:val="00254962"/>
    <w:rsid w:val="00257B1C"/>
    <w:rsid w:val="002609EB"/>
    <w:rsid w:val="002635E2"/>
    <w:rsid w:val="00263AFF"/>
    <w:rsid w:val="00265498"/>
    <w:rsid w:val="00270371"/>
    <w:rsid w:val="002730A5"/>
    <w:rsid w:val="00273E43"/>
    <w:rsid w:val="0027652E"/>
    <w:rsid w:val="00282F33"/>
    <w:rsid w:val="002835A3"/>
    <w:rsid w:val="0028364A"/>
    <w:rsid w:val="00290CC1"/>
    <w:rsid w:val="00295604"/>
    <w:rsid w:val="00296CE8"/>
    <w:rsid w:val="002A789D"/>
    <w:rsid w:val="002A7C11"/>
    <w:rsid w:val="002B2195"/>
    <w:rsid w:val="002C6FEE"/>
    <w:rsid w:val="002D47E6"/>
    <w:rsid w:val="002E2C0A"/>
    <w:rsid w:val="002F196E"/>
    <w:rsid w:val="00301593"/>
    <w:rsid w:val="00302642"/>
    <w:rsid w:val="003035F7"/>
    <w:rsid w:val="00303801"/>
    <w:rsid w:val="0031046A"/>
    <w:rsid w:val="00310CDF"/>
    <w:rsid w:val="00312569"/>
    <w:rsid w:val="003136E9"/>
    <w:rsid w:val="00315CB4"/>
    <w:rsid w:val="00325193"/>
    <w:rsid w:val="003257AF"/>
    <w:rsid w:val="00327108"/>
    <w:rsid w:val="00330297"/>
    <w:rsid w:val="00332FC7"/>
    <w:rsid w:val="00333D08"/>
    <w:rsid w:val="0033505D"/>
    <w:rsid w:val="0033560E"/>
    <w:rsid w:val="003376D3"/>
    <w:rsid w:val="0034107B"/>
    <w:rsid w:val="00342651"/>
    <w:rsid w:val="003439F2"/>
    <w:rsid w:val="00346502"/>
    <w:rsid w:val="003516A2"/>
    <w:rsid w:val="00351D3C"/>
    <w:rsid w:val="00361368"/>
    <w:rsid w:val="00363B7B"/>
    <w:rsid w:val="003647DF"/>
    <w:rsid w:val="0037629C"/>
    <w:rsid w:val="00376633"/>
    <w:rsid w:val="003861A9"/>
    <w:rsid w:val="003863C4"/>
    <w:rsid w:val="00386941"/>
    <w:rsid w:val="003946F6"/>
    <w:rsid w:val="0039480B"/>
    <w:rsid w:val="00395DDC"/>
    <w:rsid w:val="0039675C"/>
    <w:rsid w:val="003A52A7"/>
    <w:rsid w:val="003C025F"/>
    <w:rsid w:val="003C22E9"/>
    <w:rsid w:val="003C2BA4"/>
    <w:rsid w:val="003D147D"/>
    <w:rsid w:val="003D1A9D"/>
    <w:rsid w:val="003D1CE1"/>
    <w:rsid w:val="003D323E"/>
    <w:rsid w:val="003D7117"/>
    <w:rsid w:val="003F128D"/>
    <w:rsid w:val="003F3DC0"/>
    <w:rsid w:val="0040461D"/>
    <w:rsid w:val="00407726"/>
    <w:rsid w:val="00412CBE"/>
    <w:rsid w:val="00422449"/>
    <w:rsid w:val="00427460"/>
    <w:rsid w:val="00431257"/>
    <w:rsid w:val="004343EC"/>
    <w:rsid w:val="004348BB"/>
    <w:rsid w:val="004513FF"/>
    <w:rsid w:val="00465414"/>
    <w:rsid w:val="004708D1"/>
    <w:rsid w:val="00481126"/>
    <w:rsid w:val="00482DE8"/>
    <w:rsid w:val="00484976"/>
    <w:rsid w:val="00490CBF"/>
    <w:rsid w:val="004934DF"/>
    <w:rsid w:val="0049412D"/>
    <w:rsid w:val="00494623"/>
    <w:rsid w:val="004972C0"/>
    <w:rsid w:val="00497BA3"/>
    <w:rsid w:val="004A2569"/>
    <w:rsid w:val="004A55E4"/>
    <w:rsid w:val="004B46CC"/>
    <w:rsid w:val="004C6FB3"/>
    <w:rsid w:val="004D4E57"/>
    <w:rsid w:val="004E0B5F"/>
    <w:rsid w:val="004E28F1"/>
    <w:rsid w:val="004E3B24"/>
    <w:rsid w:val="004E5949"/>
    <w:rsid w:val="004E601C"/>
    <w:rsid w:val="005009B0"/>
    <w:rsid w:val="00504D92"/>
    <w:rsid w:val="00506A13"/>
    <w:rsid w:val="00506B1C"/>
    <w:rsid w:val="00507642"/>
    <w:rsid w:val="0051429F"/>
    <w:rsid w:val="005223D4"/>
    <w:rsid w:val="00523B38"/>
    <w:rsid w:val="00527193"/>
    <w:rsid w:val="00527F31"/>
    <w:rsid w:val="00530719"/>
    <w:rsid w:val="005319B4"/>
    <w:rsid w:val="0054200E"/>
    <w:rsid w:val="005617A4"/>
    <w:rsid w:val="0058539C"/>
    <w:rsid w:val="005A151D"/>
    <w:rsid w:val="005A7153"/>
    <w:rsid w:val="005B26DA"/>
    <w:rsid w:val="005B770C"/>
    <w:rsid w:val="005C1D4B"/>
    <w:rsid w:val="005C2B3F"/>
    <w:rsid w:val="005D215F"/>
    <w:rsid w:val="005D3A32"/>
    <w:rsid w:val="005D6249"/>
    <w:rsid w:val="005E336A"/>
    <w:rsid w:val="005E47A2"/>
    <w:rsid w:val="005F0826"/>
    <w:rsid w:val="005F0E16"/>
    <w:rsid w:val="005F4664"/>
    <w:rsid w:val="005F609D"/>
    <w:rsid w:val="005F6659"/>
    <w:rsid w:val="006022F9"/>
    <w:rsid w:val="00610965"/>
    <w:rsid w:val="00617B10"/>
    <w:rsid w:val="00622245"/>
    <w:rsid w:val="006228BE"/>
    <w:rsid w:val="00622D9F"/>
    <w:rsid w:val="00624D3B"/>
    <w:rsid w:val="006255D7"/>
    <w:rsid w:val="00631DD0"/>
    <w:rsid w:val="00632A82"/>
    <w:rsid w:val="0064696D"/>
    <w:rsid w:val="0065682E"/>
    <w:rsid w:val="006617AB"/>
    <w:rsid w:val="006636B9"/>
    <w:rsid w:val="006638A9"/>
    <w:rsid w:val="00667A3B"/>
    <w:rsid w:val="00670490"/>
    <w:rsid w:val="006764C7"/>
    <w:rsid w:val="00677F65"/>
    <w:rsid w:val="006827E3"/>
    <w:rsid w:val="00682F2D"/>
    <w:rsid w:val="006842D4"/>
    <w:rsid w:val="006946F8"/>
    <w:rsid w:val="006A11C9"/>
    <w:rsid w:val="006A37D8"/>
    <w:rsid w:val="006B6075"/>
    <w:rsid w:val="006B7D30"/>
    <w:rsid w:val="006C737B"/>
    <w:rsid w:val="006D42B1"/>
    <w:rsid w:val="006E3F36"/>
    <w:rsid w:val="006F1AC1"/>
    <w:rsid w:val="006F1D5F"/>
    <w:rsid w:val="00703552"/>
    <w:rsid w:val="0070520D"/>
    <w:rsid w:val="00710827"/>
    <w:rsid w:val="00710F04"/>
    <w:rsid w:val="007120B2"/>
    <w:rsid w:val="00713B8F"/>
    <w:rsid w:val="007141A5"/>
    <w:rsid w:val="007161F7"/>
    <w:rsid w:val="007376E2"/>
    <w:rsid w:val="00745F75"/>
    <w:rsid w:val="00746555"/>
    <w:rsid w:val="00746AB2"/>
    <w:rsid w:val="00753466"/>
    <w:rsid w:val="0075672E"/>
    <w:rsid w:val="00762164"/>
    <w:rsid w:val="007624E5"/>
    <w:rsid w:val="007639B3"/>
    <w:rsid w:val="007669CB"/>
    <w:rsid w:val="00770531"/>
    <w:rsid w:val="00772989"/>
    <w:rsid w:val="00773916"/>
    <w:rsid w:val="007848E4"/>
    <w:rsid w:val="00795BE3"/>
    <w:rsid w:val="00797B8D"/>
    <w:rsid w:val="007A0084"/>
    <w:rsid w:val="007B2EAA"/>
    <w:rsid w:val="007B5698"/>
    <w:rsid w:val="007B6A88"/>
    <w:rsid w:val="007C221C"/>
    <w:rsid w:val="007C50FC"/>
    <w:rsid w:val="007C61E7"/>
    <w:rsid w:val="007C62E0"/>
    <w:rsid w:val="007D2157"/>
    <w:rsid w:val="007D2DA6"/>
    <w:rsid w:val="007E1A2A"/>
    <w:rsid w:val="007E7A3E"/>
    <w:rsid w:val="00803D5C"/>
    <w:rsid w:val="00804193"/>
    <w:rsid w:val="008051CE"/>
    <w:rsid w:val="0080530D"/>
    <w:rsid w:val="00815405"/>
    <w:rsid w:val="008346A3"/>
    <w:rsid w:val="008401C5"/>
    <w:rsid w:val="00840CEF"/>
    <w:rsid w:val="00841723"/>
    <w:rsid w:val="00845E38"/>
    <w:rsid w:val="00847741"/>
    <w:rsid w:val="00850292"/>
    <w:rsid w:val="008516DB"/>
    <w:rsid w:val="008518FA"/>
    <w:rsid w:val="00860793"/>
    <w:rsid w:val="00867F03"/>
    <w:rsid w:val="008706CA"/>
    <w:rsid w:val="00871F29"/>
    <w:rsid w:val="00876EA9"/>
    <w:rsid w:val="00881703"/>
    <w:rsid w:val="00882800"/>
    <w:rsid w:val="008A0397"/>
    <w:rsid w:val="008A5121"/>
    <w:rsid w:val="008A63A5"/>
    <w:rsid w:val="008A7047"/>
    <w:rsid w:val="008B1A0C"/>
    <w:rsid w:val="008B22DF"/>
    <w:rsid w:val="008B39E0"/>
    <w:rsid w:val="008B4106"/>
    <w:rsid w:val="008B5731"/>
    <w:rsid w:val="008B6C1A"/>
    <w:rsid w:val="008D3963"/>
    <w:rsid w:val="008D5341"/>
    <w:rsid w:val="008D713D"/>
    <w:rsid w:val="008E00F8"/>
    <w:rsid w:val="008E322D"/>
    <w:rsid w:val="008E521E"/>
    <w:rsid w:val="00905090"/>
    <w:rsid w:val="00915450"/>
    <w:rsid w:val="00920627"/>
    <w:rsid w:val="00920E38"/>
    <w:rsid w:val="009213C9"/>
    <w:rsid w:val="009322F3"/>
    <w:rsid w:val="00947EF0"/>
    <w:rsid w:val="009549C1"/>
    <w:rsid w:val="009563E1"/>
    <w:rsid w:val="009610C8"/>
    <w:rsid w:val="0096160D"/>
    <w:rsid w:val="009630A3"/>
    <w:rsid w:val="009672A2"/>
    <w:rsid w:val="00972C72"/>
    <w:rsid w:val="0097681F"/>
    <w:rsid w:val="009802F9"/>
    <w:rsid w:val="00982D02"/>
    <w:rsid w:val="009925D1"/>
    <w:rsid w:val="009926A0"/>
    <w:rsid w:val="00994712"/>
    <w:rsid w:val="00997627"/>
    <w:rsid w:val="009B4A50"/>
    <w:rsid w:val="009C218B"/>
    <w:rsid w:val="009C6A58"/>
    <w:rsid w:val="009C79C4"/>
    <w:rsid w:val="009D2014"/>
    <w:rsid w:val="009E69C2"/>
    <w:rsid w:val="009E6F72"/>
    <w:rsid w:val="009F0CAF"/>
    <w:rsid w:val="009F44B9"/>
    <w:rsid w:val="009F57AD"/>
    <w:rsid w:val="00A13AF3"/>
    <w:rsid w:val="00A15A0D"/>
    <w:rsid w:val="00A460F4"/>
    <w:rsid w:val="00A60BB3"/>
    <w:rsid w:val="00A83521"/>
    <w:rsid w:val="00A91A19"/>
    <w:rsid w:val="00A929E8"/>
    <w:rsid w:val="00A93919"/>
    <w:rsid w:val="00A97B2D"/>
    <w:rsid w:val="00AA0772"/>
    <w:rsid w:val="00AA757F"/>
    <w:rsid w:val="00AB106D"/>
    <w:rsid w:val="00AB13C2"/>
    <w:rsid w:val="00AC0A7C"/>
    <w:rsid w:val="00AC1DC8"/>
    <w:rsid w:val="00AC298A"/>
    <w:rsid w:val="00AC34F7"/>
    <w:rsid w:val="00AD246F"/>
    <w:rsid w:val="00AE1469"/>
    <w:rsid w:val="00AE6BC8"/>
    <w:rsid w:val="00AF57B3"/>
    <w:rsid w:val="00B01006"/>
    <w:rsid w:val="00B0373F"/>
    <w:rsid w:val="00B04878"/>
    <w:rsid w:val="00B128B3"/>
    <w:rsid w:val="00B13ABF"/>
    <w:rsid w:val="00B1465C"/>
    <w:rsid w:val="00B14C4D"/>
    <w:rsid w:val="00B17894"/>
    <w:rsid w:val="00B207D9"/>
    <w:rsid w:val="00B212A8"/>
    <w:rsid w:val="00B2151A"/>
    <w:rsid w:val="00B316CA"/>
    <w:rsid w:val="00B33524"/>
    <w:rsid w:val="00B34A7D"/>
    <w:rsid w:val="00B363D8"/>
    <w:rsid w:val="00B37AB1"/>
    <w:rsid w:val="00B44FBB"/>
    <w:rsid w:val="00B46EC1"/>
    <w:rsid w:val="00B569F1"/>
    <w:rsid w:val="00B569FB"/>
    <w:rsid w:val="00B56E0A"/>
    <w:rsid w:val="00B65318"/>
    <w:rsid w:val="00B65752"/>
    <w:rsid w:val="00B70813"/>
    <w:rsid w:val="00BA0AD9"/>
    <w:rsid w:val="00BA1793"/>
    <w:rsid w:val="00BA6B4A"/>
    <w:rsid w:val="00BB2CC1"/>
    <w:rsid w:val="00BB31FB"/>
    <w:rsid w:val="00BB3C3E"/>
    <w:rsid w:val="00BC1FDD"/>
    <w:rsid w:val="00BC6810"/>
    <w:rsid w:val="00BD0FC5"/>
    <w:rsid w:val="00BD2D40"/>
    <w:rsid w:val="00BF4764"/>
    <w:rsid w:val="00C04295"/>
    <w:rsid w:val="00C04602"/>
    <w:rsid w:val="00C10ECC"/>
    <w:rsid w:val="00C11418"/>
    <w:rsid w:val="00C1256A"/>
    <w:rsid w:val="00C1442C"/>
    <w:rsid w:val="00C221F2"/>
    <w:rsid w:val="00C2244B"/>
    <w:rsid w:val="00C300B0"/>
    <w:rsid w:val="00C31125"/>
    <w:rsid w:val="00C41BE7"/>
    <w:rsid w:val="00C453FB"/>
    <w:rsid w:val="00C45F5C"/>
    <w:rsid w:val="00C5404B"/>
    <w:rsid w:val="00C6022E"/>
    <w:rsid w:val="00C7189A"/>
    <w:rsid w:val="00C7522A"/>
    <w:rsid w:val="00C80276"/>
    <w:rsid w:val="00C8305D"/>
    <w:rsid w:val="00C866F2"/>
    <w:rsid w:val="00C9371E"/>
    <w:rsid w:val="00C94A76"/>
    <w:rsid w:val="00CA0456"/>
    <w:rsid w:val="00CB064E"/>
    <w:rsid w:val="00CC01D0"/>
    <w:rsid w:val="00CC1326"/>
    <w:rsid w:val="00CC493F"/>
    <w:rsid w:val="00CC68E7"/>
    <w:rsid w:val="00CD227A"/>
    <w:rsid w:val="00CE68D8"/>
    <w:rsid w:val="00CF2456"/>
    <w:rsid w:val="00D00F04"/>
    <w:rsid w:val="00D02E9D"/>
    <w:rsid w:val="00D037C6"/>
    <w:rsid w:val="00D0414C"/>
    <w:rsid w:val="00D215F8"/>
    <w:rsid w:val="00D24B2F"/>
    <w:rsid w:val="00D3561E"/>
    <w:rsid w:val="00D356AF"/>
    <w:rsid w:val="00D35F5A"/>
    <w:rsid w:val="00D360C5"/>
    <w:rsid w:val="00D47923"/>
    <w:rsid w:val="00D51CAA"/>
    <w:rsid w:val="00D52FA3"/>
    <w:rsid w:val="00D53C91"/>
    <w:rsid w:val="00D609A0"/>
    <w:rsid w:val="00D654B4"/>
    <w:rsid w:val="00D66752"/>
    <w:rsid w:val="00D73F4B"/>
    <w:rsid w:val="00D84164"/>
    <w:rsid w:val="00D865C5"/>
    <w:rsid w:val="00D87298"/>
    <w:rsid w:val="00D872D6"/>
    <w:rsid w:val="00DA07B2"/>
    <w:rsid w:val="00DA0979"/>
    <w:rsid w:val="00DB6FB9"/>
    <w:rsid w:val="00DC18B0"/>
    <w:rsid w:val="00DC6641"/>
    <w:rsid w:val="00DD19F5"/>
    <w:rsid w:val="00DD2CD0"/>
    <w:rsid w:val="00DE0235"/>
    <w:rsid w:val="00DE2335"/>
    <w:rsid w:val="00DE34C7"/>
    <w:rsid w:val="00DF33AB"/>
    <w:rsid w:val="00DF59FE"/>
    <w:rsid w:val="00E01EC7"/>
    <w:rsid w:val="00E0615B"/>
    <w:rsid w:val="00E1217B"/>
    <w:rsid w:val="00E12261"/>
    <w:rsid w:val="00E22945"/>
    <w:rsid w:val="00E311A9"/>
    <w:rsid w:val="00E34344"/>
    <w:rsid w:val="00E3750B"/>
    <w:rsid w:val="00E41EBC"/>
    <w:rsid w:val="00E51C03"/>
    <w:rsid w:val="00E521A8"/>
    <w:rsid w:val="00E5770D"/>
    <w:rsid w:val="00E80749"/>
    <w:rsid w:val="00E8421A"/>
    <w:rsid w:val="00E85A47"/>
    <w:rsid w:val="00E86855"/>
    <w:rsid w:val="00E872C1"/>
    <w:rsid w:val="00E913F7"/>
    <w:rsid w:val="00E945F1"/>
    <w:rsid w:val="00E97966"/>
    <w:rsid w:val="00EA2F2A"/>
    <w:rsid w:val="00EA66AB"/>
    <w:rsid w:val="00EA7570"/>
    <w:rsid w:val="00EB28B4"/>
    <w:rsid w:val="00EC51B9"/>
    <w:rsid w:val="00ED484C"/>
    <w:rsid w:val="00ED77C0"/>
    <w:rsid w:val="00EE0183"/>
    <w:rsid w:val="00EE303E"/>
    <w:rsid w:val="00EF70FB"/>
    <w:rsid w:val="00F06B52"/>
    <w:rsid w:val="00F247AA"/>
    <w:rsid w:val="00F27140"/>
    <w:rsid w:val="00F410B6"/>
    <w:rsid w:val="00F41E91"/>
    <w:rsid w:val="00F463F5"/>
    <w:rsid w:val="00F5048C"/>
    <w:rsid w:val="00F53369"/>
    <w:rsid w:val="00F60144"/>
    <w:rsid w:val="00F66B08"/>
    <w:rsid w:val="00F749B8"/>
    <w:rsid w:val="00F74DF6"/>
    <w:rsid w:val="00F85586"/>
    <w:rsid w:val="00F868F1"/>
    <w:rsid w:val="00F94198"/>
    <w:rsid w:val="00FA3DBD"/>
    <w:rsid w:val="00FA7C9B"/>
    <w:rsid w:val="00FB22EB"/>
    <w:rsid w:val="00FB2796"/>
    <w:rsid w:val="00FB6FEC"/>
    <w:rsid w:val="00FD73D1"/>
    <w:rsid w:val="00FE0114"/>
    <w:rsid w:val="00FE0A57"/>
    <w:rsid w:val="00FE4F02"/>
    <w:rsid w:val="00FE61E3"/>
    <w:rsid w:val="00FE7BCE"/>
    <w:rsid w:val="00FF1372"/>
    <w:rsid w:val="00FF143C"/>
    <w:rsid w:val="00FF17D0"/>
    <w:rsid w:val="00FF5850"/>
    <w:rsid w:val="00FF5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fillcolor="#c5e3ff" stroke="f">
      <v:fill color="#c5e3ff"/>
      <v:stroke on="f"/>
      <o:colormru v:ext="edit" colors="#005199,#c5e3ff,#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semiHidden="1" w:uiPriority="35" w:unhideWhenUsed="1" w:qFormat="1"/>
    <w:lsdException w:name="table of figures" w:uiPriority="99"/>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2722"/>
    <w:pPr>
      <w:spacing w:after="120"/>
      <w:jc w:val="both"/>
    </w:pPr>
    <w:rPr>
      <w:rFonts w:ascii="Arial" w:hAnsi="Arial" w:cs="Mangal"/>
      <w:sz w:val="22"/>
      <w:szCs w:val="24"/>
      <w:lang w:val="en-GB" w:eastAsia="en-GB" w:bidi="hi-IN"/>
    </w:rPr>
  </w:style>
  <w:style w:type="paragraph" w:styleId="Heading1">
    <w:name w:val="heading 1"/>
    <w:basedOn w:val="Normal"/>
    <w:next w:val="Normal"/>
    <w:qFormat/>
    <w:rsid w:val="00C11418"/>
    <w:pPr>
      <w:keepNext/>
      <w:spacing w:before="240" w:after="60"/>
      <w:outlineLvl w:val="0"/>
    </w:pPr>
    <w:rPr>
      <w:b/>
      <w:bCs/>
      <w:color w:val="005199"/>
      <w:kern w:val="32"/>
      <w:sz w:val="36"/>
      <w:szCs w:val="32"/>
    </w:rPr>
  </w:style>
  <w:style w:type="paragraph" w:styleId="Heading2">
    <w:name w:val="heading 2"/>
    <w:basedOn w:val="Normal"/>
    <w:next w:val="Normal"/>
    <w:qFormat/>
    <w:rsid w:val="00D66752"/>
    <w:pPr>
      <w:keepNext/>
      <w:spacing w:before="240" w:after="60"/>
      <w:outlineLvl w:val="1"/>
    </w:pPr>
    <w:rPr>
      <w:b/>
      <w:bCs/>
      <w:iCs/>
      <w:color w:val="005199"/>
      <w:sz w:val="32"/>
      <w:szCs w:val="28"/>
    </w:rPr>
  </w:style>
  <w:style w:type="paragraph" w:styleId="Heading3">
    <w:name w:val="heading 3"/>
    <w:basedOn w:val="Normal"/>
    <w:next w:val="Normal"/>
    <w:link w:val="Heading3Char"/>
    <w:uiPriority w:val="9"/>
    <w:qFormat/>
    <w:rsid w:val="00C11418"/>
    <w:pPr>
      <w:keepNext/>
      <w:spacing w:before="240" w:after="60"/>
      <w:outlineLvl w:val="2"/>
    </w:pPr>
    <w:rPr>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8421A"/>
    <w:pPr>
      <w:tabs>
        <w:tab w:val="center" w:pos="4153"/>
        <w:tab w:val="right" w:pos="8306"/>
      </w:tabs>
    </w:pPr>
  </w:style>
  <w:style w:type="numbering" w:customStyle="1" w:styleId="1stlevelbulleted11pt">
    <w:name w:val="1st level bulleted 11 pt"/>
    <w:basedOn w:val="NoList"/>
    <w:rsid w:val="001F3DF1"/>
    <w:pPr>
      <w:numPr>
        <w:numId w:val="1"/>
      </w:numPr>
    </w:pPr>
  </w:style>
  <w:style w:type="numbering" w:customStyle="1" w:styleId="2ndlevelbulleted11pt">
    <w:name w:val="2nd level bulleted 11 pt"/>
    <w:basedOn w:val="NoList"/>
    <w:rsid w:val="00920627"/>
    <w:pPr>
      <w:numPr>
        <w:numId w:val="3"/>
      </w:numPr>
    </w:pPr>
  </w:style>
  <w:style w:type="paragraph" w:styleId="Footer">
    <w:name w:val="footer"/>
    <w:basedOn w:val="Normal"/>
    <w:rsid w:val="002A789D"/>
    <w:pPr>
      <w:tabs>
        <w:tab w:val="center" w:pos="4153"/>
        <w:tab w:val="right" w:pos="8306"/>
      </w:tabs>
      <w:spacing w:after="0"/>
      <w:jc w:val="left"/>
    </w:pPr>
  </w:style>
  <w:style w:type="character" w:styleId="PageNumber">
    <w:name w:val="page number"/>
    <w:basedOn w:val="DefaultParagraphFont"/>
    <w:rsid w:val="00E8421A"/>
  </w:style>
  <w:style w:type="paragraph" w:styleId="TOC1">
    <w:name w:val="toc 1"/>
    <w:basedOn w:val="Normal"/>
    <w:next w:val="Normal"/>
    <w:autoRedefine/>
    <w:uiPriority w:val="39"/>
    <w:rsid w:val="00182332"/>
    <w:pPr>
      <w:tabs>
        <w:tab w:val="right" w:leader="dot" w:pos="8296"/>
      </w:tabs>
    </w:pPr>
    <w:rPr>
      <w:b/>
    </w:rPr>
  </w:style>
  <w:style w:type="paragraph" w:styleId="TOC2">
    <w:name w:val="toc 2"/>
    <w:basedOn w:val="Normal"/>
    <w:next w:val="Normal"/>
    <w:autoRedefine/>
    <w:uiPriority w:val="39"/>
    <w:rsid w:val="00E97966"/>
    <w:pPr>
      <w:tabs>
        <w:tab w:val="left" w:pos="880"/>
        <w:tab w:val="right" w:leader="dot" w:pos="8296"/>
      </w:tabs>
      <w:ind w:left="220"/>
    </w:pPr>
  </w:style>
  <w:style w:type="paragraph" w:styleId="TOC3">
    <w:name w:val="toc 3"/>
    <w:basedOn w:val="Normal"/>
    <w:next w:val="Normal"/>
    <w:autoRedefine/>
    <w:uiPriority w:val="39"/>
    <w:rsid w:val="00E8421A"/>
    <w:pPr>
      <w:ind w:left="440"/>
    </w:pPr>
  </w:style>
  <w:style w:type="character" w:styleId="Hyperlink">
    <w:name w:val="Hyperlink"/>
    <w:uiPriority w:val="99"/>
    <w:rsid w:val="00E8421A"/>
    <w:rPr>
      <w:color w:val="0000FF"/>
      <w:u w:val="single"/>
    </w:rPr>
  </w:style>
  <w:style w:type="paragraph" w:customStyle="1" w:styleId="3columntable">
    <w:name w:val="3 column table"/>
    <w:basedOn w:val="Normal"/>
    <w:autoRedefine/>
    <w:rsid w:val="006B7D30"/>
    <w:pPr>
      <w:spacing w:before="120"/>
    </w:pPr>
  </w:style>
  <w:style w:type="paragraph" w:customStyle="1" w:styleId="TitleSubheading">
    <w:name w:val="Title Sub heading"/>
    <w:basedOn w:val="Normal"/>
    <w:rsid w:val="006A11C9"/>
    <w:pPr>
      <w:ind w:left="720"/>
    </w:pPr>
    <w:rPr>
      <w:sz w:val="32"/>
    </w:rPr>
  </w:style>
  <w:style w:type="table" w:customStyle="1" w:styleId="HRF">
    <w:name w:val="HRF"/>
    <w:basedOn w:val="TableNormal"/>
    <w:rsid w:val="00506B1C"/>
    <w:rPr>
      <w:rFonts w:ascii="Arial" w:hAnsi="Arial"/>
      <w:color w:val="000000"/>
      <w:sz w:val="22"/>
    </w:rPr>
    <w:tblPr>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E0E0E0"/>
    </w:tcPr>
    <w:tblStylePr w:type="firstRow">
      <w:rPr>
        <w:rFonts w:ascii="Arial" w:hAnsi="Arial"/>
        <w:color w:val="FFFFFF"/>
        <w:sz w:val="20"/>
      </w:rPr>
      <w:tblPr/>
      <w:tcPr>
        <w:shd w:val="clear" w:color="auto" w:fill="1B3A59"/>
      </w:tcPr>
    </w:tblStylePr>
    <w:tblStylePr w:type="firstCol">
      <w:tblPr/>
      <w:tcPr>
        <w:shd w:val="clear" w:color="auto" w:fill="CDE6FF"/>
      </w:tcPr>
    </w:tblStylePr>
  </w:style>
  <w:style w:type="paragraph" w:customStyle="1" w:styleId="TitleAuthors">
    <w:name w:val="Title Authors"/>
    <w:basedOn w:val="Normal"/>
    <w:rsid w:val="000C0AF3"/>
    <w:pPr>
      <w:ind w:left="720"/>
    </w:pPr>
    <w:rPr>
      <w:color w:val="C0C0C0"/>
      <w:sz w:val="28"/>
      <w:szCs w:val="28"/>
    </w:rPr>
  </w:style>
  <w:style w:type="character" w:customStyle="1" w:styleId="ContentsTitle">
    <w:name w:val="Contents Title"/>
    <w:rsid w:val="00506B1C"/>
    <w:rPr>
      <w:rFonts w:ascii="Arial" w:hAnsi="Arial"/>
      <w:color w:val="1B3A59"/>
      <w:sz w:val="36"/>
      <w:szCs w:val="36"/>
    </w:rPr>
  </w:style>
  <w:style w:type="paragraph" w:styleId="BodyText">
    <w:name w:val="Body Text"/>
    <w:basedOn w:val="Normal"/>
    <w:rsid w:val="00876EA9"/>
    <w:pPr>
      <w:spacing w:before="120" w:line="276" w:lineRule="auto"/>
    </w:pPr>
    <w:rPr>
      <w:rFonts w:cs="Arial"/>
      <w:lang w:eastAsia="en-US" w:bidi="ar-SA"/>
    </w:rPr>
  </w:style>
  <w:style w:type="paragraph" w:customStyle="1" w:styleId="TitleStyle">
    <w:name w:val="Title Style"/>
    <w:basedOn w:val="Normal"/>
    <w:rsid w:val="000C0AF3"/>
    <w:pPr>
      <w:ind w:left="720"/>
    </w:pPr>
  </w:style>
  <w:style w:type="paragraph" w:customStyle="1" w:styleId="TitleHeading">
    <w:name w:val="Title Heading"/>
    <w:basedOn w:val="Normal"/>
    <w:rsid w:val="000C0AF3"/>
    <w:pPr>
      <w:ind w:left="720"/>
    </w:pPr>
    <w:rPr>
      <w:rFonts w:ascii="Arial Black" w:hAnsi="Arial Black" w:cs="Times New Roman"/>
      <w:color w:val="005199"/>
      <w:sz w:val="48"/>
      <w:szCs w:val="20"/>
    </w:rPr>
  </w:style>
  <w:style w:type="paragraph" w:styleId="NormalWeb">
    <w:name w:val="Normal (Web)"/>
    <w:basedOn w:val="Normal"/>
    <w:rsid w:val="005F6659"/>
    <w:pPr>
      <w:spacing w:before="100" w:beforeAutospacing="1" w:after="100" w:afterAutospacing="1"/>
      <w:jc w:val="left"/>
    </w:pPr>
    <w:rPr>
      <w:rFonts w:ascii="Times New Roman" w:hAnsi="Times New Roman" w:cs="Times New Roman"/>
      <w:sz w:val="24"/>
      <w:lang w:bidi="ar-SA"/>
    </w:rPr>
  </w:style>
  <w:style w:type="paragraph" w:customStyle="1" w:styleId="HRFHeading1Numbered">
    <w:name w:val="HRF Heading 1 Numbered"/>
    <w:basedOn w:val="Heading1"/>
    <w:rsid w:val="0096160D"/>
    <w:pPr>
      <w:numPr>
        <w:numId w:val="5"/>
      </w:numPr>
      <w:spacing w:after="240"/>
      <w:jc w:val="left"/>
    </w:pPr>
    <w:rPr>
      <w:color w:val="1B3A59"/>
      <w:sz w:val="28"/>
    </w:rPr>
  </w:style>
  <w:style w:type="paragraph" w:customStyle="1" w:styleId="HRFHeading2Numbered">
    <w:name w:val="HRF Heading 2 Numbered"/>
    <w:basedOn w:val="Heading1"/>
    <w:rsid w:val="00B01006"/>
    <w:pPr>
      <w:numPr>
        <w:ilvl w:val="1"/>
        <w:numId w:val="5"/>
      </w:numPr>
      <w:spacing w:after="120" w:line="276" w:lineRule="auto"/>
    </w:pPr>
    <w:rPr>
      <w:iCs/>
      <w:color w:val="1B3A59"/>
      <w:sz w:val="24"/>
    </w:rPr>
  </w:style>
  <w:style w:type="paragraph" w:customStyle="1" w:styleId="HRFHeading3Numbered">
    <w:name w:val="HRF Heading 3 Numbered"/>
    <w:basedOn w:val="HRFHeading2Numbered"/>
    <w:rsid w:val="0075672E"/>
    <w:pPr>
      <w:numPr>
        <w:ilvl w:val="2"/>
        <w:numId w:val="4"/>
      </w:numPr>
      <w:ind w:left="505" w:hanging="505"/>
      <w:jc w:val="left"/>
    </w:pPr>
  </w:style>
  <w:style w:type="character" w:customStyle="1" w:styleId="HeaderChar">
    <w:name w:val="Header Char"/>
    <w:link w:val="Header"/>
    <w:locked/>
    <w:rsid w:val="001A5A06"/>
    <w:rPr>
      <w:rFonts w:ascii="Arial" w:hAnsi="Arial" w:cs="Mangal"/>
      <w:sz w:val="22"/>
      <w:szCs w:val="24"/>
      <w:lang w:val="en-GB" w:eastAsia="en-GB" w:bidi="hi-IN"/>
    </w:rPr>
  </w:style>
  <w:style w:type="paragraph" w:customStyle="1" w:styleId="HRFHeading4">
    <w:name w:val="HRF Heading 4"/>
    <w:basedOn w:val="Normal"/>
    <w:rsid w:val="00D02E9D"/>
    <w:pPr>
      <w:spacing w:before="120"/>
    </w:pPr>
    <w:rPr>
      <w:b/>
      <w:i/>
      <w:sz w:val="24"/>
    </w:rPr>
  </w:style>
  <w:style w:type="paragraph" w:customStyle="1" w:styleId="HRFAddress">
    <w:name w:val="HRF Address"/>
    <w:basedOn w:val="Normal"/>
    <w:rsid w:val="007A0084"/>
    <w:pPr>
      <w:spacing w:after="0"/>
      <w:ind w:left="720"/>
    </w:pPr>
    <w:rPr>
      <w:rFonts w:cs="Arial"/>
      <w:szCs w:val="22"/>
    </w:rPr>
  </w:style>
  <w:style w:type="paragraph" w:styleId="FootnoteText">
    <w:name w:val="footnote text"/>
    <w:basedOn w:val="Normal"/>
    <w:link w:val="FootnoteTextChar"/>
    <w:uiPriority w:val="99"/>
    <w:semiHidden/>
    <w:rsid w:val="005319B4"/>
    <w:pPr>
      <w:spacing w:after="40"/>
      <w:jc w:val="left"/>
    </w:pPr>
    <w:rPr>
      <w:sz w:val="16"/>
      <w:szCs w:val="20"/>
    </w:rPr>
  </w:style>
  <w:style w:type="character" w:styleId="FootnoteReference">
    <w:name w:val="footnote reference"/>
    <w:uiPriority w:val="99"/>
    <w:semiHidden/>
    <w:rsid w:val="00772989"/>
    <w:rPr>
      <w:vertAlign w:val="superscript"/>
    </w:rPr>
  </w:style>
  <w:style w:type="paragraph" w:customStyle="1" w:styleId="HRFNoNumberHeading1">
    <w:name w:val="HRF No Number Heading 1"/>
    <w:basedOn w:val="HRFHeading1Numbered"/>
    <w:rsid w:val="00023FE4"/>
    <w:pPr>
      <w:numPr>
        <w:numId w:val="0"/>
      </w:numPr>
    </w:pPr>
  </w:style>
  <w:style w:type="paragraph" w:customStyle="1" w:styleId="HRFNONumberHeading2">
    <w:name w:val="HRF NO Number Heading 2"/>
    <w:basedOn w:val="HRFHeading2Numbered"/>
    <w:rsid w:val="001F2722"/>
    <w:pPr>
      <w:numPr>
        <w:ilvl w:val="0"/>
        <w:numId w:val="0"/>
      </w:numPr>
      <w:ind w:left="720"/>
      <w:jc w:val="left"/>
    </w:pPr>
  </w:style>
  <w:style w:type="paragraph" w:styleId="BalloonText">
    <w:name w:val="Balloon Text"/>
    <w:basedOn w:val="Normal"/>
    <w:link w:val="BalloonTextChar"/>
    <w:rsid w:val="003F128D"/>
    <w:pPr>
      <w:spacing w:after="0"/>
    </w:pPr>
    <w:rPr>
      <w:rFonts w:ascii="Tahoma" w:hAnsi="Tahoma"/>
      <w:sz w:val="16"/>
      <w:szCs w:val="14"/>
    </w:rPr>
  </w:style>
  <w:style w:type="character" w:customStyle="1" w:styleId="BalloonTextChar">
    <w:name w:val="Balloon Text Char"/>
    <w:link w:val="BalloonText"/>
    <w:rsid w:val="003F128D"/>
    <w:rPr>
      <w:rFonts w:ascii="Tahoma" w:hAnsi="Tahoma" w:cs="Mangal"/>
      <w:sz w:val="16"/>
      <w:szCs w:val="14"/>
      <w:lang w:val="en-GB" w:eastAsia="en-GB" w:bidi="hi-IN"/>
    </w:rPr>
  </w:style>
  <w:style w:type="paragraph" w:customStyle="1" w:styleId="HRFBullet">
    <w:name w:val="HRF Bullet"/>
    <w:basedOn w:val="Normal"/>
    <w:link w:val="HRFBulletChar"/>
    <w:qFormat/>
    <w:rsid w:val="00972C72"/>
    <w:pPr>
      <w:numPr>
        <w:numId w:val="2"/>
      </w:numPr>
    </w:pPr>
  </w:style>
  <w:style w:type="character" w:customStyle="1" w:styleId="HRFBulletChar">
    <w:name w:val="HRF Bullet Char"/>
    <w:basedOn w:val="DefaultParagraphFont"/>
    <w:link w:val="HRFBullet"/>
    <w:rsid w:val="00972C72"/>
    <w:rPr>
      <w:rFonts w:ascii="Arial" w:hAnsi="Arial" w:cs="Mangal"/>
      <w:sz w:val="22"/>
      <w:szCs w:val="24"/>
      <w:lang w:val="en-GB" w:eastAsia="en-GB" w:bidi="hi-IN"/>
    </w:rPr>
  </w:style>
  <w:style w:type="paragraph" w:customStyle="1" w:styleId="HRFTable">
    <w:name w:val="HRF Table"/>
    <w:basedOn w:val="Normal"/>
    <w:link w:val="HRFTableChar"/>
    <w:qFormat/>
    <w:rsid w:val="00CE68D8"/>
    <w:pPr>
      <w:jc w:val="left"/>
    </w:pPr>
    <w:rPr>
      <w:b/>
    </w:rPr>
  </w:style>
  <w:style w:type="paragraph" w:customStyle="1" w:styleId="HRFFigure">
    <w:name w:val="HRF Figure"/>
    <w:basedOn w:val="Normal"/>
    <w:link w:val="HRFFigureChar"/>
    <w:qFormat/>
    <w:rsid w:val="00CE68D8"/>
    <w:pPr>
      <w:jc w:val="left"/>
    </w:pPr>
    <w:rPr>
      <w:b/>
    </w:rPr>
  </w:style>
  <w:style w:type="character" w:customStyle="1" w:styleId="HRFTableChar">
    <w:name w:val="HRF Table Char"/>
    <w:basedOn w:val="DefaultParagraphFont"/>
    <w:link w:val="HRFTable"/>
    <w:rsid w:val="00CE68D8"/>
    <w:rPr>
      <w:rFonts w:ascii="Arial" w:hAnsi="Arial" w:cs="Mangal"/>
      <w:b/>
      <w:sz w:val="22"/>
      <w:szCs w:val="24"/>
      <w:lang w:val="en-GB" w:eastAsia="en-GB" w:bidi="hi-IN"/>
    </w:rPr>
  </w:style>
  <w:style w:type="character" w:customStyle="1" w:styleId="HRFFigureChar">
    <w:name w:val="HRF Figure Char"/>
    <w:basedOn w:val="DefaultParagraphFont"/>
    <w:link w:val="HRFFigure"/>
    <w:rsid w:val="00CE68D8"/>
    <w:rPr>
      <w:rFonts w:ascii="Arial" w:hAnsi="Arial" w:cs="Mangal"/>
      <w:b/>
      <w:sz w:val="22"/>
      <w:szCs w:val="24"/>
      <w:lang w:val="en-GB" w:eastAsia="en-GB" w:bidi="hi-IN"/>
    </w:rPr>
  </w:style>
  <w:style w:type="paragraph" w:styleId="ListParagraph">
    <w:name w:val="List Paragraph"/>
    <w:basedOn w:val="Normal"/>
    <w:uiPriority w:val="34"/>
    <w:qFormat/>
    <w:rsid w:val="001F2722"/>
    <w:pPr>
      <w:ind w:left="720"/>
      <w:contextualSpacing/>
    </w:pPr>
  </w:style>
  <w:style w:type="character" w:customStyle="1" w:styleId="FootnoteTextChar">
    <w:name w:val="Footnote Text Char"/>
    <w:basedOn w:val="DefaultParagraphFont"/>
    <w:link w:val="FootnoteText"/>
    <w:uiPriority w:val="99"/>
    <w:semiHidden/>
    <w:rsid w:val="005319B4"/>
    <w:rPr>
      <w:rFonts w:ascii="Arial" w:hAnsi="Arial" w:cs="Mangal"/>
      <w:sz w:val="16"/>
      <w:lang w:val="en-GB" w:eastAsia="en-GB" w:bidi="hi-IN"/>
    </w:rPr>
  </w:style>
  <w:style w:type="paragraph" w:styleId="Caption">
    <w:name w:val="caption"/>
    <w:basedOn w:val="Normal"/>
    <w:next w:val="Normal"/>
    <w:uiPriority w:val="35"/>
    <w:unhideWhenUsed/>
    <w:qFormat/>
    <w:rsid w:val="003863C4"/>
    <w:pPr>
      <w:spacing w:after="200"/>
    </w:pPr>
    <w:rPr>
      <w:b/>
      <w:bCs/>
      <w:sz w:val="20"/>
      <w:szCs w:val="16"/>
    </w:rPr>
  </w:style>
  <w:style w:type="table" w:styleId="TableGrid">
    <w:name w:val="Table Grid"/>
    <w:basedOn w:val="TableNormal"/>
    <w:uiPriority w:val="59"/>
    <w:rsid w:val="00773916"/>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332FC7"/>
    <w:rPr>
      <w:sz w:val="16"/>
      <w:szCs w:val="16"/>
    </w:rPr>
  </w:style>
  <w:style w:type="paragraph" w:styleId="CommentText">
    <w:name w:val="annotation text"/>
    <w:basedOn w:val="Normal"/>
    <w:link w:val="CommentTextChar"/>
    <w:unhideWhenUsed/>
    <w:rsid w:val="00332FC7"/>
    <w:pPr>
      <w:spacing w:after="200"/>
      <w:jc w:val="left"/>
    </w:pPr>
    <w:rPr>
      <w:rFonts w:asciiTheme="minorHAnsi" w:eastAsiaTheme="minorHAnsi" w:hAnsiTheme="minorHAnsi" w:cstheme="minorBidi"/>
      <w:sz w:val="20"/>
      <w:szCs w:val="20"/>
      <w:lang w:val="en-AU" w:eastAsia="en-US" w:bidi="ar-SA"/>
    </w:rPr>
  </w:style>
  <w:style w:type="character" w:customStyle="1" w:styleId="CommentTextChar">
    <w:name w:val="Comment Text Char"/>
    <w:basedOn w:val="DefaultParagraphFont"/>
    <w:link w:val="CommentText"/>
    <w:rsid w:val="00332FC7"/>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1B1245"/>
    <w:pPr>
      <w:spacing w:after="120"/>
      <w:jc w:val="both"/>
    </w:pPr>
    <w:rPr>
      <w:rFonts w:ascii="Arial" w:eastAsia="Times New Roman" w:hAnsi="Arial" w:cs="Mangal"/>
      <w:b/>
      <w:bCs/>
      <w:szCs w:val="18"/>
      <w:lang w:val="en-GB" w:eastAsia="en-GB" w:bidi="hi-IN"/>
    </w:rPr>
  </w:style>
  <w:style w:type="character" w:customStyle="1" w:styleId="CommentSubjectChar">
    <w:name w:val="Comment Subject Char"/>
    <w:basedOn w:val="CommentTextChar"/>
    <w:link w:val="CommentSubject"/>
    <w:rsid w:val="001B1245"/>
    <w:rPr>
      <w:rFonts w:ascii="Arial" w:eastAsiaTheme="minorHAnsi" w:hAnsi="Arial" w:cs="Mangal"/>
      <w:b/>
      <w:bCs/>
      <w:szCs w:val="18"/>
      <w:lang w:val="en-GB" w:eastAsia="en-GB" w:bidi="hi-IN"/>
    </w:rPr>
  </w:style>
  <w:style w:type="paragraph" w:styleId="Revision">
    <w:name w:val="Revision"/>
    <w:hidden/>
    <w:uiPriority w:val="99"/>
    <w:semiHidden/>
    <w:rsid w:val="001B1245"/>
    <w:rPr>
      <w:rFonts w:ascii="Arial" w:hAnsi="Arial" w:cs="Mangal"/>
      <w:sz w:val="22"/>
      <w:szCs w:val="24"/>
      <w:lang w:val="en-GB" w:eastAsia="en-GB" w:bidi="hi-IN"/>
    </w:rPr>
  </w:style>
  <w:style w:type="character" w:customStyle="1" w:styleId="Heading3Char">
    <w:name w:val="Heading 3 Char"/>
    <w:basedOn w:val="DefaultParagraphFont"/>
    <w:link w:val="Heading3"/>
    <w:uiPriority w:val="9"/>
    <w:rsid w:val="008B22DF"/>
    <w:rPr>
      <w:rFonts w:ascii="Arial" w:hAnsi="Arial" w:cs="Mangal"/>
      <w:b/>
      <w:bCs/>
      <w:sz w:val="24"/>
      <w:szCs w:val="26"/>
      <w:lang w:val="en-GB" w:eastAsia="en-GB" w:bidi="hi-IN"/>
    </w:rPr>
  </w:style>
  <w:style w:type="paragraph" w:styleId="NoSpacing">
    <w:name w:val="No Spacing"/>
    <w:uiPriority w:val="1"/>
    <w:qFormat/>
    <w:rsid w:val="000D1C92"/>
    <w:pPr>
      <w:jc w:val="both"/>
    </w:pPr>
    <w:rPr>
      <w:rFonts w:ascii="Arial" w:hAnsi="Arial" w:cs="Mangal"/>
      <w:sz w:val="22"/>
      <w:szCs w:val="24"/>
      <w:lang w:val="en-GB" w:eastAsia="en-GB" w:bidi="hi-IN"/>
    </w:rPr>
  </w:style>
  <w:style w:type="character" w:styleId="Emphasis">
    <w:name w:val="Emphasis"/>
    <w:basedOn w:val="DefaultParagraphFont"/>
    <w:qFormat/>
    <w:rsid w:val="008E521E"/>
    <w:rPr>
      <w:i/>
      <w:iCs/>
    </w:rPr>
  </w:style>
  <w:style w:type="paragraph" w:customStyle="1" w:styleId="Pa43">
    <w:name w:val="Pa43"/>
    <w:basedOn w:val="Normal"/>
    <w:next w:val="Normal"/>
    <w:uiPriority w:val="99"/>
    <w:rsid w:val="00C300B0"/>
    <w:pPr>
      <w:autoSpaceDE w:val="0"/>
      <w:autoSpaceDN w:val="0"/>
      <w:adjustRightInd w:val="0"/>
      <w:spacing w:after="0" w:line="141" w:lineRule="atLeast"/>
      <w:jc w:val="left"/>
    </w:pPr>
    <w:rPr>
      <w:rFonts w:cs="Arial"/>
      <w:sz w:val="24"/>
      <w:lang w:val="en-US" w:eastAsia="en-AU" w:bidi="ar-SA"/>
    </w:rPr>
  </w:style>
  <w:style w:type="character" w:customStyle="1" w:styleId="A25">
    <w:name w:val="A25"/>
    <w:uiPriority w:val="99"/>
    <w:rsid w:val="00C300B0"/>
    <w:rPr>
      <w:color w:val="000000"/>
      <w:sz w:val="14"/>
      <w:szCs w:val="14"/>
      <w:u w:val="single"/>
    </w:rPr>
  </w:style>
  <w:style w:type="paragraph" w:styleId="EndnoteText">
    <w:name w:val="endnote text"/>
    <w:basedOn w:val="Normal"/>
    <w:link w:val="EndnoteTextChar"/>
    <w:uiPriority w:val="99"/>
    <w:rsid w:val="00363B7B"/>
    <w:pPr>
      <w:spacing w:after="0"/>
    </w:pPr>
    <w:rPr>
      <w:sz w:val="20"/>
      <w:szCs w:val="18"/>
    </w:rPr>
  </w:style>
  <w:style w:type="character" w:customStyle="1" w:styleId="EndnoteTextChar">
    <w:name w:val="Endnote Text Char"/>
    <w:basedOn w:val="DefaultParagraphFont"/>
    <w:link w:val="EndnoteText"/>
    <w:uiPriority w:val="99"/>
    <w:rsid w:val="00363B7B"/>
    <w:rPr>
      <w:rFonts w:ascii="Arial" w:hAnsi="Arial" w:cs="Mangal"/>
      <w:szCs w:val="18"/>
      <w:lang w:val="en-GB" w:eastAsia="en-GB" w:bidi="hi-IN"/>
    </w:rPr>
  </w:style>
  <w:style w:type="character" w:styleId="EndnoteReference">
    <w:name w:val="endnote reference"/>
    <w:basedOn w:val="DefaultParagraphFont"/>
    <w:uiPriority w:val="99"/>
    <w:rsid w:val="00363B7B"/>
    <w:rPr>
      <w:vertAlign w:val="superscript"/>
    </w:rPr>
  </w:style>
  <w:style w:type="paragraph" w:styleId="TableofFigures">
    <w:name w:val="table of figures"/>
    <w:basedOn w:val="Normal"/>
    <w:next w:val="Normal"/>
    <w:uiPriority w:val="99"/>
    <w:rsid w:val="004972C0"/>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semiHidden="1" w:uiPriority="35" w:unhideWhenUsed="1" w:qFormat="1"/>
    <w:lsdException w:name="table of figures" w:uiPriority="99"/>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2722"/>
    <w:pPr>
      <w:spacing w:after="120"/>
      <w:jc w:val="both"/>
    </w:pPr>
    <w:rPr>
      <w:rFonts w:ascii="Arial" w:hAnsi="Arial" w:cs="Mangal"/>
      <w:sz w:val="22"/>
      <w:szCs w:val="24"/>
      <w:lang w:val="en-GB" w:eastAsia="en-GB" w:bidi="hi-IN"/>
    </w:rPr>
  </w:style>
  <w:style w:type="paragraph" w:styleId="Heading1">
    <w:name w:val="heading 1"/>
    <w:basedOn w:val="Normal"/>
    <w:next w:val="Normal"/>
    <w:qFormat/>
    <w:rsid w:val="00C11418"/>
    <w:pPr>
      <w:keepNext/>
      <w:spacing w:before="240" w:after="60"/>
      <w:outlineLvl w:val="0"/>
    </w:pPr>
    <w:rPr>
      <w:b/>
      <w:bCs/>
      <w:color w:val="005199"/>
      <w:kern w:val="32"/>
      <w:sz w:val="36"/>
      <w:szCs w:val="32"/>
    </w:rPr>
  </w:style>
  <w:style w:type="paragraph" w:styleId="Heading2">
    <w:name w:val="heading 2"/>
    <w:basedOn w:val="Normal"/>
    <w:next w:val="Normal"/>
    <w:qFormat/>
    <w:rsid w:val="00D66752"/>
    <w:pPr>
      <w:keepNext/>
      <w:spacing w:before="240" w:after="60"/>
      <w:outlineLvl w:val="1"/>
    </w:pPr>
    <w:rPr>
      <w:b/>
      <w:bCs/>
      <w:iCs/>
      <w:color w:val="005199"/>
      <w:sz w:val="32"/>
      <w:szCs w:val="28"/>
    </w:rPr>
  </w:style>
  <w:style w:type="paragraph" w:styleId="Heading3">
    <w:name w:val="heading 3"/>
    <w:basedOn w:val="Normal"/>
    <w:next w:val="Normal"/>
    <w:link w:val="Heading3Char"/>
    <w:uiPriority w:val="9"/>
    <w:qFormat/>
    <w:rsid w:val="00C11418"/>
    <w:pPr>
      <w:keepNext/>
      <w:spacing w:before="240" w:after="60"/>
      <w:outlineLvl w:val="2"/>
    </w:pPr>
    <w:rPr>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8421A"/>
    <w:pPr>
      <w:tabs>
        <w:tab w:val="center" w:pos="4153"/>
        <w:tab w:val="right" w:pos="8306"/>
      </w:tabs>
    </w:pPr>
  </w:style>
  <w:style w:type="numbering" w:customStyle="1" w:styleId="1stlevelbulleted11pt">
    <w:name w:val="1st level bulleted 11 pt"/>
    <w:basedOn w:val="NoList"/>
    <w:rsid w:val="001F3DF1"/>
    <w:pPr>
      <w:numPr>
        <w:numId w:val="1"/>
      </w:numPr>
    </w:pPr>
  </w:style>
  <w:style w:type="numbering" w:customStyle="1" w:styleId="2ndlevelbulleted11pt">
    <w:name w:val="2nd level bulleted 11 pt"/>
    <w:basedOn w:val="NoList"/>
    <w:rsid w:val="00920627"/>
    <w:pPr>
      <w:numPr>
        <w:numId w:val="3"/>
      </w:numPr>
    </w:pPr>
  </w:style>
  <w:style w:type="paragraph" w:styleId="Footer">
    <w:name w:val="footer"/>
    <w:basedOn w:val="Normal"/>
    <w:rsid w:val="002A789D"/>
    <w:pPr>
      <w:tabs>
        <w:tab w:val="center" w:pos="4153"/>
        <w:tab w:val="right" w:pos="8306"/>
      </w:tabs>
      <w:spacing w:after="0"/>
      <w:jc w:val="left"/>
    </w:pPr>
  </w:style>
  <w:style w:type="character" w:styleId="PageNumber">
    <w:name w:val="page number"/>
    <w:basedOn w:val="DefaultParagraphFont"/>
    <w:rsid w:val="00E8421A"/>
  </w:style>
  <w:style w:type="paragraph" w:styleId="TOC1">
    <w:name w:val="toc 1"/>
    <w:basedOn w:val="Normal"/>
    <w:next w:val="Normal"/>
    <w:autoRedefine/>
    <w:uiPriority w:val="39"/>
    <w:rsid w:val="00182332"/>
    <w:pPr>
      <w:tabs>
        <w:tab w:val="right" w:leader="dot" w:pos="8296"/>
      </w:tabs>
    </w:pPr>
    <w:rPr>
      <w:b/>
    </w:rPr>
  </w:style>
  <w:style w:type="paragraph" w:styleId="TOC2">
    <w:name w:val="toc 2"/>
    <w:basedOn w:val="Normal"/>
    <w:next w:val="Normal"/>
    <w:autoRedefine/>
    <w:uiPriority w:val="39"/>
    <w:rsid w:val="00E97966"/>
    <w:pPr>
      <w:tabs>
        <w:tab w:val="left" w:pos="880"/>
        <w:tab w:val="right" w:leader="dot" w:pos="8296"/>
      </w:tabs>
      <w:ind w:left="220"/>
    </w:pPr>
  </w:style>
  <w:style w:type="paragraph" w:styleId="TOC3">
    <w:name w:val="toc 3"/>
    <w:basedOn w:val="Normal"/>
    <w:next w:val="Normal"/>
    <w:autoRedefine/>
    <w:uiPriority w:val="39"/>
    <w:rsid w:val="00E8421A"/>
    <w:pPr>
      <w:ind w:left="440"/>
    </w:pPr>
  </w:style>
  <w:style w:type="character" w:styleId="Hyperlink">
    <w:name w:val="Hyperlink"/>
    <w:uiPriority w:val="99"/>
    <w:rsid w:val="00E8421A"/>
    <w:rPr>
      <w:color w:val="0000FF"/>
      <w:u w:val="single"/>
    </w:rPr>
  </w:style>
  <w:style w:type="paragraph" w:customStyle="1" w:styleId="3columntable">
    <w:name w:val="3 column table"/>
    <w:basedOn w:val="Normal"/>
    <w:autoRedefine/>
    <w:rsid w:val="006B7D30"/>
    <w:pPr>
      <w:spacing w:before="120"/>
    </w:pPr>
  </w:style>
  <w:style w:type="paragraph" w:customStyle="1" w:styleId="TitleSubheading">
    <w:name w:val="Title Sub heading"/>
    <w:basedOn w:val="Normal"/>
    <w:rsid w:val="006A11C9"/>
    <w:pPr>
      <w:ind w:left="720"/>
    </w:pPr>
    <w:rPr>
      <w:sz w:val="32"/>
    </w:rPr>
  </w:style>
  <w:style w:type="table" w:customStyle="1" w:styleId="HRF">
    <w:name w:val="HRF"/>
    <w:basedOn w:val="TableNormal"/>
    <w:rsid w:val="00506B1C"/>
    <w:rPr>
      <w:rFonts w:ascii="Arial" w:hAnsi="Arial"/>
      <w:color w:val="000000"/>
      <w:sz w:val="22"/>
    </w:rPr>
    <w:tblPr>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E0E0E0"/>
    </w:tcPr>
    <w:tblStylePr w:type="firstRow">
      <w:rPr>
        <w:rFonts w:ascii="Arial" w:hAnsi="Arial"/>
        <w:color w:val="FFFFFF"/>
        <w:sz w:val="20"/>
      </w:rPr>
      <w:tblPr/>
      <w:tcPr>
        <w:shd w:val="clear" w:color="auto" w:fill="1B3A59"/>
      </w:tcPr>
    </w:tblStylePr>
    <w:tblStylePr w:type="firstCol">
      <w:tblPr/>
      <w:tcPr>
        <w:shd w:val="clear" w:color="auto" w:fill="CDE6FF"/>
      </w:tcPr>
    </w:tblStylePr>
  </w:style>
  <w:style w:type="paragraph" w:customStyle="1" w:styleId="TitleAuthors">
    <w:name w:val="Title Authors"/>
    <w:basedOn w:val="Normal"/>
    <w:rsid w:val="000C0AF3"/>
    <w:pPr>
      <w:ind w:left="720"/>
    </w:pPr>
    <w:rPr>
      <w:color w:val="C0C0C0"/>
      <w:sz w:val="28"/>
      <w:szCs w:val="28"/>
    </w:rPr>
  </w:style>
  <w:style w:type="character" w:customStyle="1" w:styleId="ContentsTitle">
    <w:name w:val="Contents Title"/>
    <w:rsid w:val="00506B1C"/>
    <w:rPr>
      <w:rFonts w:ascii="Arial" w:hAnsi="Arial"/>
      <w:color w:val="1B3A59"/>
      <w:sz w:val="36"/>
      <w:szCs w:val="36"/>
    </w:rPr>
  </w:style>
  <w:style w:type="paragraph" w:styleId="BodyText">
    <w:name w:val="Body Text"/>
    <w:basedOn w:val="Normal"/>
    <w:rsid w:val="00876EA9"/>
    <w:pPr>
      <w:spacing w:before="120" w:line="276" w:lineRule="auto"/>
    </w:pPr>
    <w:rPr>
      <w:rFonts w:cs="Arial"/>
      <w:lang w:eastAsia="en-US" w:bidi="ar-SA"/>
    </w:rPr>
  </w:style>
  <w:style w:type="paragraph" w:customStyle="1" w:styleId="TitleStyle">
    <w:name w:val="Title Style"/>
    <w:basedOn w:val="Normal"/>
    <w:rsid w:val="000C0AF3"/>
    <w:pPr>
      <w:ind w:left="720"/>
    </w:pPr>
  </w:style>
  <w:style w:type="paragraph" w:customStyle="1" w:styleId="TitleHeading">
    <w:name w:val="Title Heading"/>
    <w:basedOn w:val="Normal"/>
    <w:rsid w:val="000C0AF3"/>
    <w:pPr>
      <w:ind w:left="720"/>
    </w:pPr>
    <w:rPr>
      <w:rFonts w:ascii="Arial Black" w:hAnsi="Arial Black" w:cs="Times New Roman"/>
      <w:color w:val="005199"/>
      <w:sz w:val="48"/>
      <w:szCs w:val="20"/>
    </w:rPr>
  </w:style>
  <w:style w:type="paragraph" w:styleId="NormalWeb">
    <w:name w:val="Normal (Web)"/>
    <w:basedOn w:val="Normal"/>
    <w:rsid w:val="005F6659"/>
    <w:pPr>
      <w:spacing w:before="100" w:beforeAutospacing="1" w:after="100" w:afterAutospacing="1"/>
      <w:jc w:val="left"/>
    </w:pPr>
    <w:rPr>
      <w:rFonts w:ascii="Times New Roman" w:hAnsi="Times New Roman" w:cs="Times New Roman"/>
      <w:sz w:val="24"/>
      <w:lang w:bidi="ar-SA"/>
    </w:rPr>
  </w:style>
  <w:style w:type="paragraph" w:customStyle="1" w:styleId="HRFHeading1Numbered">
    <w:name w:val="HRF Heading 1 Numbered"/>
    <w:basedOn w:val="Heading1"/>
    <w:rsid w:val="0096160D"/>
    <w:pPr>
      <w:numPr>
        <w:numId w:val="5"/>
      </w:numPr>
      <w:spacing w:after="240"/>
      <w:jc w:val="left"/>
    </w:pPr>
    <w:rPr>
      <w:color w:val="1B3A59"/>
      <w:sz w:val="28"/>
    </w:rPr>
  </w:style>
  <w:style w:type="paragraph" w:customStyle="1" w:styleId="HRFHeading2Numbered">
    <w:name w:val="HRF Heading 2 Numbered"/>
    <w:basedOn w:val="Heading1"/>
    <w:rsid w:val="00B01006"/>
    <w:pPr>
      <w:numPr>
        <w:ilvl w:val="1"/>
        <w:numId w:val="5"/>
      </w:numPr>
      <w:spacing w:after="120" w:line="276" w:lineRule="auto"/>
    </w:pPr>
    <w:rPr>
      <w:iCs/>
      <w:color w:val="1B3A59"/>
      <w:sz w:val="24"/>
    </w:rPr>
  </w:style>
  <w:style w:type="paragraph" w:customStyle="1" w:styleId="HRFHeading3Numbered">
    <w:name w:val="HRF Heading 3 Numbered"/>
    <w:basedOn w:val="HRFHeading2Numbered"/>
    <w:rsid w:val="0075672E"/>
    <w:pPr>
      <w:numPr>
        <w:ilvl w:val="2"/>
        <w:numId w:val="4"/>
      </w:numPr>
      <w:ind w:left="505" w:hanging="505"/>
      <w:jc w:val="left"/>
    </w:pPr>
  </w:style>
  <w:style w:type="character" w:customStyle="1" w:styleId="HeaderChar">
    <w:name w:val="Header Char"/>
    <w:link w:val="Header"/>
    <w:locked/>
    <w:rsid w:val="001A5A06"/>
    <w:rPr>
      <w:rFonts w:ascii="Arial" w:hAnsi="Arial" w:cs="Mangal"/>
      <w:sz w:val="22"/>
      <w:szCs w:val="24"/>
      <w:lang w:val="en-GB" w:eastAsia="en-GB" w:bidi="hi-IN"/>
    </w:rPr>
  </w:style>
  <w:style w:type="paragraph" w:customStyle="1" w:styleId="HRFHeading4">
    <w:name w:val="HRF Heading 4"/>
    <w:basedOn w:val="Normal"/>
    <w:rsid w:val="00D02E9D"/>
    <w:pPr>
      <w:spacing w:before="120"/>
    </w:pPr>
    <w:rPr>
      <w:b/>
      <w:i/>
      <w:sz w:val="24"/>
    </w:rPr>
  </w:style>
  <w:style w:type="paragraph" w:customStyle="1" w:styleId="HRFAddress">
    <w:name w:val="HRF Address"/>
    <w:basedOn w:val="Normal"/>
    <w:rsid w:val="007A0084"/>
    <w:pPr>
      <w:spacing w:after="0"/>
      <w:ind w:left="720"/>
    </w:pPr>
    <w:rPr>
      <w:rFonts w:cs="Arial"/>
      <w:szCs w:val="22"/>
    </w:rPr>
  </w:style>
  <w:style w:type="paragraph" w:styleId="FootnoteText">
    <w:name w:val="footnote text"/>
    <w:basedOn w:val="Normal"/>
    <w:link w:val="FootnoteTextChar"/>
    <w:uiPriority w:val="99"/>
    <w:semiHidden/>
    <w:rsid w:val="005319B4"/>
    <w:pPr>
      <w:spacing w:after="40"/>
      <w:jc w:val="left"/>
    </w:pPr>
    <w:rPr>
      <w:sz w:val="16"/>
      <w:szCs w:val="20"/>
    </w:rPr>
  </w:style>
  <w:style w:type="character" w:styleId="FootnoteReference">
    <w:name w:val="footnote reference"/>
    <w:uiPriority w:val="99"/>
    <w:semiHidden/>
    <w:rsid w:val="00772989"/>
    <w:rPr>
      <w:vertAlign w:val="superscript"/>
    </w:rPr>
  </w:style>
  <w:style w:type="paragraph" w:customStyle="1" w:styleId="HRFNoNumberHeading1">
    <w:name w:val="HRF No Number Heading 1"/>
    <w:basedOn w:val="HRFHeading1Numbered"/>
    <w:rsid w:val="00023FE4"/>
    <w:pPr>
      <w:numPr>
        <w:numId w:val="0"/>
      </w:numPr>
    </w:pPr>
  </w:style>
  <w:style w:type="paragraph" w:customStyle="1" w:styleId="HRFNONumberHeading2">
    <w:name w:val="HRF NO Number Heading 2"/>
    <w:basedOn w:val="HRFHeading2Numbered"/>
    <w:rsid w:val="001F2722"/>
    <w:pPr>
      <w:numPr>
        <w:ilvl w:val="0"/>
        <w:numId w:val="0"/>
      </w:numPr>
      <w:ind w:left="720"/>
      <w:jc w:val="left"/>
    </w:pPr>
  </w:style>
  <w:style w:type="paragraph" w:styleId="BalloonText">
    <w:name w:val="Balloon Text"/>
    <w:basedOn w:val="Normal"/>
    <w:link w:val="BalloonTextChar"/>
    <w:rsid w:val="003F128D"/>
    <w:pPr>
      <w:spacing w:after="0"/>
    </w:pPr>
    <w:rPr>
      <w:rFonts w:ascii="Tahoma" w:hAnsi="Tahoma"/>
      <w:sz w:val="16"/>
      <w:szCs w:val="14"/>
    </w:rPr>
  </w:style>
  <w:style w:type="character" w:customStyle="1" w:styleId="BalloonTextChar">
    <w:name w:val="Balloon Text Char"/>
    <w:link w:val="BalloonText"/>
    <w:rsid w:val="003F128D"/>
    <w:rPr>
      <w:rFonts w:ascii="Tahoma" w:hAnsi="Tahoma" w:cs="Mangal"/>
      <w:sz w:val="16"/>
      <w:szCs w:val="14"/>
      <w:lang w:val="en-GB" w:eastAsia="en-GB" w:bidi="hi-IN"/>
    </w:rPr>
  </w:style>
  <w:style w:type="paragraph" w:customStyle="1" w:styleId="HRFBullet">
    <w:name w:val="HRF Bullet"/>
    <w:basedOn w:val="Normal"/>
    <w:link w:val="HRFBulletChar"/>
    <w:qFormat/>
    <w:rsid w:val="00972C72"/>
    <w:pPr>
      <w:numPr>
        <w:numId w:val="2"/>
      </w:numPr>
    </w:pPr>
  </w:style>
  <w:style w:type="character" w:customStyle="1" w:styleId="HRFBulletChar">
    <w:name w:val="HRF Bullet Char"/>
    <w:basedOn w:val="DefaultParagraphFont"/>
    <w:link w:val="HRFBullet"/>
    <w:rsid w:val="00972C72"/>
    <w:rPr>
      <w:rFonts w:ascii="Arial" w:hAnsi="Arial" w:cs="Mangal"/>
      <w:sz w:val="22"/>
      <w:szCs w:val="24"/>
      <w:lang w:val="en-GB" w:eastAsia="en-GB" w:bidi="hi-IN"/>
    </w:rPr>
  </w:style>
  <w:style w:type="paragraph" w:customStyle="1" w:styleId="HRFTable">
    <w:name w:val="HRF Table"/>
    <w:basedOn w:val="Normal"/>
    <w:link w:val="HRFTableChar"/>
    <w:qFormat/>
    <w:rsid w:val="00CE68D8"/>
    <w:pPr>
      <w:jc w:val="left"/>
    </w:pPr>
    <w:rPr>
      <w:b/>
    </w:rPr>
  </w:style>
  <w:style w:type="paragraph" w:customStyle="1" w:styleId="HRFFigure">
    <w:name w:val="HRF Figure"/>
    <w:basedOn w:val="Normal"/>
    <w:link w:val="HRFFigureChar"/>
    <w:qFormat/>
    <w:rsid w:val="00CE68D8"/>
    <w:pPr>
      <w:jc w:val="left"/>
    </w:pPr>
    <w:rPr>
      <w:b/>
    </w:rPr>
  </w:style>
  <w:style w:type="character" w:customStyle="1" w:styleId="HRFTableChar">
    <w:name w:val="HRF Table Char"/>
    <w:basedOn w:val="DefaultParagraphFont"/>
    <w:link w:val="HRFTable"/>
    <w:rsid w:val="00CE68D8"/>
    <w:rPr>
      <w:rFonts w:ascii="Arial" w:hAnsi="Arial" w:cs="Mangal"/>
      <w:b/>
      <w:sz w:val="22"/>
      <w:szCs w:val="24"/>
      <w:lang w:val="en-GB" w:eastAsia="en-GB" w:bidi="hi-IN"/>
    </w:rPr>
  </w:style>
  <w:style w:type="character" w:customStyle="1" w:styleId="HRFFigureChar">
    <w:name w:val="HRF Figure Char"/>
    <w:basedOn w:val="DefaultParagraphFont"/>
    <w:link w:val="HRFFigure"/>
    <w:rsid w:val="00CE68D8"/>
    <w:rPr>
      <w:rFonts w:ascii="Arial" w:hAnsi="Arial" w:cs="Mangal"/>
      <w:b/>
      <w:sz w:val="22"/>
      <w:szCs w:val="24"/>
      <w:lang w:val="en-GB" w:eastAsia="en-GB" w:bidi="hi-IN"/>
    </w:rPr>
  </w:style>
  <w:style w:type="paragraph" w:styleId="ListParagraph">
    <w:name w:val="List Paragraph"/>
    <w:basedOn w:val="Normal"/>
    <w:uiPriority w:val="34"/>
    <w:qFormat/>
    <w:rsid w:val="001F2722"/>
    <w:pPr>
      <w:ind w:left="720"/>
      <w:contextualSpacing/>
    </w:pPr>
  </w:style>
  <w:style w:type="character" w:customStyle="1" w:styleId="FootnoteTextChar">
    <w:name w:val="Footnote Text Char"/>
    <w:basedOn w:val="DefaultParagraphFont"/>
    <w:link w:val="FootnoteText"/>
    <w:uiPriority w:val="99"/>
    <w:semiHidden/>
    <w:rsid w:val="005319B4"/>
    <w:rPr>
      <w:rFonts w:ascii="Arial" w:hAnsi="Arial" w:cs="Mangal"/>
      <w:sz w:val="16"/>
      <w:lang w:val="en-GB" w:eastAsia="en-GB" w:bidi="hi-IN"/>
    </w:rPr>
  </w:style>
  <w:style w:type="paragraph" w:styleId="Caption">
    <w:name w:val="caption"/>
    <w:basedOn w:val="Normal"/>
    <w:next w:val="Normal"/>
    <w:uiPriority w:val="35"/>
    <w:unhideWhenUsed/>
    <w:qFormat/>
    <w:rsid w:val="003863C4"/>
    <w:pPr>
      <w:spacing w:after="200"/>
    </w:pPr>
    <w:rPr>
      <w:b/>
      <w:bCs/>
      <w:sz w:val="20"/>
      <w:szCs w:val="16"/>
    </w:rPr>
  </w:style>
  <w:style w:type="table" w:styleId="TableGrid">
    <w:name w:val="Table Grid"/>
    <w:basedOn w:val="TableNormal"/>
    <w:uiPriority w:val="59"/>
    <w:rsid w:val="00773916"/>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332FC7"/>
    <w:rPr>
      <w:sz w:val="16"/>
      <w:szCs w:val="16"/>
    </w:rPr>
  </w:style>
  <w:style w:type="paragraph" w:styleId="CommentText">
    <w:name w:val="annotation text"/>
    <w:basedOn w:val="Normal"/>
    <w:link w:val="CommentTextChar"/>
    <w:unhideWhenUsed/>
    <w:rsid w:val="00332FC7"/>
    <w:pPr>
      <w:spacing w:after="200"/>
      <w:jc w:val="left"/>
    </w:pPr>
    <w:rPr>
      <w:rFonts w:asciiTheme="minorHAnsi" w:eastAsiaTheme="minorHAnsi" w:hAnsiTheme="minorHAnsi" w:cstheme="minorBidi"/>
      <w:sz w:val="20"/>
      <w:szCs w:val="20"/>
      <w:lang w:val="en-AU" w:eastAsia="en-US" w:bidi="ar-SA"/>
    </w:rPr>
  </w:style>
  <w:style w:type="character" w:customStyle="1" w:styleId="CommentTextChar">
    <w:name w:val="Comment Text Char"/>
    <w:basedOn w:val="DefaultParagraphFont"/>
    <w:link w:val="CommentText"/>
    <w:rsid w:val="00332FC7"/>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1B1245"/>
    <w:pPr>
      <w:spacing w:after="120"/>
      <w:jc w:val="both"/>
    </w:pPr>
    <w:rPr>
      <w:rFonts w:ascii="Arial" w:eastAsia="Times New Roman" w:hAnsi="Arial" w:cs="Mangal"/>
      <w:b/>
      <w:bCs/>
      <w:szCs w:val="18"/>
      <w:lang w:val="en-GB" w:eastAsia="en-GB" w:bidi="hi-IN"/>
    </w:rPr>
  </w:style>
  <w:style w:type="character" w:customStyle="1" w:styleId="CommentSubjectChar">
    <w:name w:val="Comment Subject Char"/>
    <w:basedOn w:val="CommentTextChar"/>
    <w:link w:val="CommentSubject"/>
    <w:rsid w:val="001B1245"/>
    <w:rPr>
      <w:rFonts w:ascii="Arial" w:eastAsiaTheme="minorHAnsi" w:hAnsi="Arial" w:cs="Mangal"/>
      <w:b/>
      <w:bCs/>
      <w:szCs w:val="18"/>
      <w:lang w:val="en-GB" w:eastAsia="en-GB" w:bidi="hi-IN"/>
    </w:rPr>
  </w:style>
  <w:style w:type="paragraph" w:styleId="Revision">
    <w:name w:val="Revision"/>
    <w:hidden/>
    <w:uiPriority w:val="99"/>
    <w:semiHidden/>
    <w:rsid w:val="001B1245"/>
    <w:rPr>
      <w:rFonts w:ascii="Arial" w:hAnsi="Arial" w:cs="Mangal"/>
      <w:sz w:val="22"/>
      <w:szCs w:val="24"/>
      <w:lang w:val="en-GB" w:eastAsia="en-GB" w:bidi="hi-IN"/>
    </w:rPr>
  </w:style>
  <w:style w:type="character" w:customStyle="1" w:styleId="Heading3Char">
    <w:name w:val="Heading 3 Char"/>
    <w:basedOn w:val="DefaultParagraphFont"/>
    <w:link w:val="Heading3"/>
    <w:uiPriority w:val="9"/>
    <w:rsid w:val="008B22DF"/>
    <w:rPr>
      <w:rFonts w:ascii="Arial" w:hAnsi="Arial" w:cs="Mangal"/>
      <w:b/>
      <w:bCs/>
      <w:sz w:val="24"/>
      <w:szCs w:val="26"/>
      <w:lang w:val="en-GB" w:eastAsia="en-GB" w:bidi="hi-IN"/>
    </w:rPr>
  </w:style>
  <w:style w:type="paragraph" w:styleId="NoSpacing">
    <w:name w:val="No Spacing"/>
    <w:uiPriority w:val="1"/>
    <w:qFormat/>
    <w:rsid w:val="000D1C92"/>
    <w:pPr>
      <w:jc w:val="both"/>
    </w:pPr>
    <w:rPr>
      <w:rFonts w:ascii="Arial" w:hAnsi="Arial" w:cs="Mangal"/>
      <w:sz w:val="22"/>
      <w:szCs w:val="24"/>
      <w:lang w:val="en-GB" w:eastAsia="en-GB" w:bidi="hi-IN"/>
    </w:rPr>
  </w:style>
  <w:style w:type="character" w:styleId="Emphasis">
    <w:name w:val="Emphasis"/>
    <w:basedOn w:val="DefaultParagraphFont"/>
    <w:qFormat/>
    <w:rsid w:val="008E521E"/>
    <w:rPr>
      <w:i/>
      <w:iCs/>
    </w:rPr>
  </w:style>
  <w:style w:type="paragraph" w:customStyle="1" w:styleId="Pa43">
    <w:name w:val="Pa43"/>
    <w:basedOn w:val="Normal"/>
    <w:next w:val="Normal"/>
    <w:uiPriority w:val="99"/>
    <w:rsid w:val="00C300B0"/>
    <w:pPr>
      <w:autoSpaceDE w:val="0"/>
      <w:autoSpaceDN w:val="0"/>
      <w:adjustRightInd w:val="0"/>
      <w:spacing w:after="0" w:line="141" w:lineRule="atLeast"/>
      <w:jc w:val="left"/>
    </w:pPr>
    <w:rPr>
      <w:rFonts w:cs="Arial"/>
      <w:sz w:val="24"/>
      <w:lang w:val="en-US" w:eastAsia="en-AU" w:bidi="ar-SA"/>
    </w:rPr>
  </w:style>
  <w:style w:type="character" w:customStyle="1" w:styleId="A25">
    <w:name w:val="A25"/>
    <w:uiPriority w:val="99"/>
    <w:rsid w:val="00C300B0"/>
    <w:rPr>
      <w:color w:val="000000"/>
      <w:sz w:val="14"/>
      <w:szCs w:val="14"/>
      <w:u w:val="single"/>
    </w:rPr>
  </w:style>
  <w:style w:type="paragraph" w:styleId="EndnoteText">
    <w:name w:val="endnote text"/>
    <w:basedOn w:val="Normal"/>
    <w:link w:val="EndnoteTextChar"/>
    <w:uiPriority w:val="99"/>
    <w:rsid w:val="00363B7B"/>
    <w:pPr>
      <w:spacing w:after="0"/>
    </w:pPr>
    <w:rPr>
      <w:sz w:val="20"/>
      <w:szCs w:val="18"/>
    </w:rPr>
  </w:style>
  <w:style w:type="character" w:customStyle="1" w:styleId="EndnoteTextChar">
    <w:name w:val="Endnote Text Char"/>
    <w:basedOn w:val="DefaultParagraphFont"/>
    <w:link w:val="EndnoteText"/>
    <w:uiPriority w:val="99"/>
    <w:rsid w:val="00363B7B"/>
    <w:rPr>
      <w:rFonts w:ascii="Arial" w:hAnsi="Arial" w:cs="Mangal"/>
      <w:szCs w:val="18"/>
      <w:lang w:val="en-GB" w:eastAsia="en-GB" w:bidi="hi-IN"/>
    </w:rPr>
  </w:style>
  <w:style w:type="character" w:styleId="EndnoteReference">
    <w:name w:val="endnote reference"/>
    <w:basedOn w:val="DefaultParagraphFont"/>
    <w:uiPriority w:val="99"/>
    <w:rsid w:val="00363B7B"/>
    <w:rPr>
      <w:vertAlign w:val="superscript"/>
    </w:rPr>
  </w:style>
  <w:style w:type="paragraph" w:styleId="TableofFigures">
    <w:name w:val="table of figures"/>
    <w:basedOn w:val="Normal"/>
    <w:next w:val="Normal"/>
    <w:uiPriority w:val="99"/>
    <w:rsid w:val="004972C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704412">
      <w:bodyDiv w:val="1"/>
      <w:marLeft w:val="0"/>
      <w:marRight w:val="0"/>
      <w:marTop w:val="0"/>
      <w:marBottom w:val="0"/>
      <w:divBdr>
        <w:top w:val="none" w:sz="0" w:space="0" w:color="auto"/>
        <w:left w:val="none" w:sz="0" w:space="0" w:color="auto"/>
        <w:bottom w:val="none" w:sz="0" w:space="0" w:color="auto"/>
        <w:right w:val="none" w:sz="0" w:space="0" w:color="auto"/>
      </w:divBdr>
    </w:div>
    <w:div w:id="519515950">
      <w:bodyDiv w:val="1"/>
      <w:marLeft w:val="0"/>
      <w:marRight w:val="0"/>
      <w:marTop w:val="0"/>
      <w:marBottom w:val="0"/>
      <w:divBdr>
        <w:top w:val="none" w:sz="0" w:space="0" w:color="auto"/>
        <w:left w:val="none" w:sz="0" w:space="0" w:color="auto"/>
        <w:bottom w:val="none" w:sz="0" w:space="0" w:color="auto"/>
        <w:right w:val="none" w:sz="0" w:space="0" w:color="auto"/>
      </w:divBdr>
    </w:div>
    <w:div w:id="639386111">
      <w:bodyDiv w:val="1"/>
      <w:marLeft w:val="0"/>
      <w:marRight w:val="0"/>
      <w:marTop w:val="0"/>
      <w:marBottom w:val="0"/>
      <w:divBdr>
        <w:top w:val="none" w:sz="0" w:space="0" w:color="auto"/>
        <w:left w:val="none" w:sz="0" w:space="0" w:color="auto"/>
        <w:bottom w:val="none" w:sz="0" w:space="0" w:color="auto"/>
        <w:right w:val="none" w:sz="0" w:space="0" w:color="auto"/>
      </w:divBdr>
    </w:div>
    <w:div w:id="1180243581">
      <w:bodyDiv w:val="1"/>
      <w:marLeft w:val="0"/>
      <w:marRight w:val="0"/>
      <w:marTop w:val="0"/>
      <w:marBottom w:val="0"/>
      <w:divBdr>
        <w:top w:val="none" w:sz="0" w:space="0" w:color="auto"/>
        <w:left w:val="none" w:sz="0" w:space="0" w:color="auto"/>
        <w:bottom w:val="none" w:sz="0" w:space="0" w:color="auto"/>
        <w:right w:val="none" w:sz="0" w:space="0" w:color="auto"/>
      </w:divBdr>
    </w:div>
    <w:div w:id="1186480101">
      <w:bodyDiv w:val="1"/>
      <w:marLeft w:val="0"/>
      <w:marRight w:val="0"/>
      <w:marTop w:val="0"/>
      <w:marBottom w:val="0"/>
      <w:divBdr>
        <w:top w:val="none" w:sz="0" w:space="0" w:color="auto"/>
        <w:left w:val="none" w:sz="0" w:space="0" w:color="auto"/>
        <w:bottom w:val="none" w:sz="0" w:space="0" w:color="auto"/>
        <w:right w:val="none" w:sz="0" w:space="0" w:color="auto"/>
      </w:divBdr>
    </w:div>
    <w:div w:id="1191187511">
      <w:bodyDiv w:val="1"/>
      <w:marLeft w:val="0"/>
      <w:marRight w:val="0"/>
      <w:marTop w:val="0"/>
      <w:marBottom w:val="0"/>
      <w:divBdr>
        <w:top w:val="none" w:sz="0" w:space="0" w:color="auto"/>
        <w:left w:val="none" w:sz="0" w:space="0" w:color="auto"/>
        <w:bottom w:val="none" w:sz="0" w:space="0" w:color="auto"/>
        <w:right w:val="none" w:sz="0" w:space="0" w:color="auto"/>
      </w:divBdr>
      <w:divsChild>
        <w:div w:id="924655434">
          <w:marLeft w:val="0"/>
          <w:marRight w:val="0"/>
          <w:marTop w:val="0"/>
          <w:marBottom w:val="0"/>
          <w:divBdr>
            <w:top w:val="none" w:sz="0" w:space="0" w:color="auto"/>
            <w:left w:val="none" w:sz="0" w:space="0" w:color="auto"/>
            <w:bottom w:val="none" w:sz="0" w:space="0" w:color="auto"/>
            <w:right w:val="none" w:sz="0" w:space="0" w:color="auto"/>
          </w:divBdr>
        </w:div>
        <w:div w:id="1895316327">
          <w:marLeft w:val="0"/>
          <w:marRight w:val="0"/>
          <w:marTop w:val="0"/>
          <w:marBottom w:val="0"/>
          <w:divBdr>
            <w:top w:val="none" w:sz="0" w:space="0" w:color="auto"/>
            <w:left w:val="none" w:sz="0" w:space="0" w:color="auto"/>
            <w:bottom w:val="none" w:sz="0" w:space="0" w:color="auto"/>
            <w:right w:val="none" w:sz="0" w:space="0" w:color="auto"/>
          </w:divBdr>
        </w:div>
        <w:div w:id="1852573586">
          <w:marLeft w:val="0"/>
          <w:marRight w:val="0"/>
          <w:marTop w:val="0"/>
          <w:marBottom w:val="0"/>
          <w:divBdr>
            <w:top w:val="none" w:sz="0" w:space="0" w:color="auto"/>
            <w:left w:val="none" w:sz="0" w:space="0" w:color="auto"/>
            <w:bottom w:val="none" w:sz="0" w:space="0" w:color="auto"/>
            <w:right w:val="none" w:sz="0" w:space="0" w:color="auto"/>
          </w:divBdr>
        </w:div>
        <w:div w:id="1957788210">
          <w:marLeft w:val="0"/>
          <w:marRight w:val="0"/>
          <w:marTop w:val="0"/>
          <w:marBottom w:val="0"/>
          <w:divBdr>
            <w:top w:val="none" w:sz="0" w:space="0" w:color="auto"/>
            <w:left w:val="none" w:sz="0" w:space="0" w:color="auto"/>
            <w:bottom w:val="none" w:sz="0" w:space="0" w:color="auto"/>
            <w:right w:val="none" w:sz="0" w:space="0" w:color="auto"/>
          </w:divBdr>
        </w:div>
        <w:div w:id="1910263050">
          <w:marLeft w:val="0"/>
          <w:marRight w:val="0"/>
          <w:marTop w:val="0"/>
          <w:marBottom w:val="0"/>
          <w:divBdr>
            <w:top w:val="none" w:sz="0" w:space="0" w:color="auto"/>
            <w:left w:val="none" w:sz="0" w:space="0" w:color="auto"/>
            <w:bottom w:val="none" w:sz="0" w:space="0" w:color="auto"/>
            <w:right w:val="none" w:sz="0" w:space="0" w:color="auto"/>
          </w:divBdr>
        </w:div>
        <w:div w:id="116266299">
          <w:marLeft w:val="0"/>
          <w:marRight w:val="0"/>
          <w:marTop w:val="0"/>
          <w:marBottom w:val="0"/>
          <w:divBdr>
            <w:top w:val="none" w:sz="0" w:space="0" w:color="auto"/>
            <w:left w:val="none" w:sz="0" w:space="0" w:color="auto"/>
            <w:bottom w:val="none" w:sz="0" w:space="0" w:color="auto"/>
            <w:right w:val="none" w:sz="0" w:space="0" w:color="auto"/>
          </w:divBdr>
        </w:div>
        <w:div w:id="2133592630">
          <w:marLeft w:val="0"/>
          <w:marRight w:val="0"/>
          <w:marTop w:val="0"/>
          <w:marBottom w:val="0"/>
          <w:divBdr>
            <w:top w:val="none" w:sz="0" w:space="0" w:color="auto"/>
            <w:left w:val="none" w:sz="0" w:space="0" w:color="auto"/>
            <w:bottom w:val="none" w:sz="0" w:space="0" w:color="auto"/>
            <w:right w:val="none" w:sz="0" w:space="0" w:color="auto"/>
          </w:divBdr>
        </w:div>
        <w:div w:id="899905989">
          <w:marLeft w:val="0"/>
          <w:marRight w:val="0"/>
          <w:marTop w:val="0"/>
          <w:marBottom w:val="0"/>
          <w:divBdr>
            <w:top w:val="none" w:sz="0" w:space="0" w:color="auto"/>
            <w:left w:val="none" w:sz="0" w:space="0" w:color="auto"/>
            <w:bottom w:val="none" w:sz="0" w:space="0" w:color="auto"/>
            <w:right w:val="none" w:sz="0" w:space="0" w:color="auto"/>
          </w:divBdr>
        </w:div>
        <w:div w:id="515461881">
          <w:marLeft w:val="0"/>
          <w:marRight w:val="0"/>
          <w:marTop w:val="0"/>
          <w:marBottom w:val="0"/>
          <w:divBdr>
            <w:top w:val="none" w:sz="0" w:space="0" w:color="auto"/>
            <w:left w:val="none" w:sz="0" w:space="0" w:color="auto"/>
            <w:bottom w:val="none" w:sz="0" w:space="0" w:color="auto"/>
            <w:right w:val="none" w:sz="0" w:space="0" w:color="auto"/>
          </w:divBdr>
        </w:div>
      </w:divsChild>
    </w:div>
    <w:div w:id="1195339189">
      <w:bodyDiv w:val="1"/>
      <w:marLeft w:val="0"/>
      <w:marRight w:val="0"/>
      <w:marTop w:val="0"/>
      <w:marBottom w:val="0"/>
      <w:divBdr>
        <w:top w:val="none" w:sz="0" w:space="0" w:color="auto"/>
        <w:left w:val="none" w:sz="0" w:space="0" w:color="auto"/>
        <w:bottom w:val="none" w:sz="0" w:space="0" w:color="auto"/>
        <w:right w:val="none" w:sz="0" w:space="0" w:color="auto"/>
      </w:divBdr>
    </w:div>
    <w:div w:id="1223521478">
      <w:bodyDiv w:val="1"/>
      <w:marLeft w:val="0"/>
      <w:marRight w:val="0"/>
      <w:marTop w:val="0"/>
      <w:marBottom w:val="0"/>
      <w:divBdr>
        <w:top w:val="none" w:sz="0" w:space="0" w:color="auto"/>
        <w:left w:val="none" w:sz="0" w:space="0" w:color="auto"/>
        <w:bottom w:val="none" w:sz="0" w:space="0" w:color="auto"/>
        <w:right w:val="none" w:sz="0" w:space="0" w:color="auto"/>
      </w:divBdr>
    </w:div>
    <w:div w:id="1294407385">
      <w:bodyDiv w:val="1"/>
      <w:marLeft w:val="0"/>
      <w:marRight w:val="0"/>
      <w:marTop w:val="0"/>
      <w:marBottom w:val="0"/>
      <w:divBdr>
        <w:top w:val="none" w:sz="0" w:space="0" w:color="auto"/>
        <w:left w:val="none" w:sz="0" w:space="0" w:color="auto"/>
        <w:bottom w:val="none" w:sz="0" w:space="0" w:color="auto"/>
        <w:right w:val="none" w:sz="0" w:space="0" w:color="auto"/>
      </w:divBdr>
      <w:divsChild>
        <w:div w:id="1444615111">
          <w:marLeft w:val="0"/>
          <w:marRight w:val="0"/>
          <w:marTop w:val="0"/>
          <w:marBottom w:val="0"/>
          <w:divBdr>
            <w:top w:val="none" w:sz="0" w:space="0" w:color="auto"/>
            <w:left w:val="none" w:sz="0" w:space="0" w:color="auto"/>
            <w:bottom w:val="none" w:sz="0" w:space="0" w:color="auto"/>
            <w:right w:val="none" w:sz="0" w:space="0" w:color="auto"/>
          </w:divBdr>
        </w:div>
        <w:div w:id="1056507249">
          <w:marLeft w:val="0"/>
          <w:marRight w:val="0"/>
          <w:marTop w:val="0"/>
          <w:marBottom w:val="0"/>
          <w:divBdr>
            <w:top w:val="none" w:sz="0" w:space="0" w:color="auto"/>
            <w:left w:val="none" w:sz="0" w:space="0" w:color="auto"/>
            <w:bottom w:val="none" w:sz="0" w:space="0" w:color="auto"/>
            <w:right w:val="none" w:sz="0" w:space="0" w:color="auto"/>
          </w:divBdr>
        </w:div>
      </w:divsChild>
    </w:div>
    <w:div w:id="1484663810">
      <w:bodyDiv w:val="1"/>
      <w:marLeft w:val="0"/>
      <w:marRight w:val="0"/>
      <w:marTop w:val="0"/>
      <w:marBottom w:val="0"/>
      <w:divBdr>
        <w:top w:val="none" w:sz="0" w:space="0" w:color="auto"/>
        <w:left w:val="none" w:sz="0" w:space="0" w:color="auto"/>
        <w:bottom w:val="none" w:sz="0" w:space="0" w:color="auto"/>
        <w:right w:val="none" w:sz="0" w:space="0" w:color="auto"/>
      </w:divBdr>
    </w:div>
    <w:div w:id="1548182508">
      <w:bodyDiv w:val="1"/>
      <w:marLeft w:val="0"/>
      <w:marRight w:val="0"/>
      <w:marTop w:val="0"/>
      <w:marBottom w:val="0"/>
      <w:divBdr>
        <w:top w:val="none" w:sz="0" w:space="0" w:color="auto"/>
        <w:left w:val="none" w:sz="0" w:space="0" w:color="auto"/>
        <w:bottom w:val="none" w:sz="0" w:space="0" w:color="auto"/>
        <w:right w:val="none" w:sz="0" w:space="0" w:color="auto"/>
      </w:divBdr>
    </w:div>
    <w:div w:id="1620643322">
      <w:bodyDiv w:val="1"/>
      <w:marLeft w:val="0"/>
      <w:marRight w:val="0"/>
      <w:marTop w:val="0"/>
      <w:marBottom w:val="0"/>
      <w:divBdr>
        <w:top w:val="none" w:sz="0" w:space="0" w:color="auto"/>
        <w:left w:val="none" w:sz="0" w:space="0" w:color="auto"/>
        <w:bottom w:val="none" w:sz="0" w:space="0" w:color="auto"/>
        <w:right w:val="none" w:sz="0" w:space="0" w:color="auto"/>
      </w:divBdr>
      <w:divsChild>
        <w:div w:id="867253027">
          <w:marLeft w:val="0"/>
          <w:marRight w:val="0"/>
          <w:marTop w:val="0"/>
          <w:marBottom w:val="0"/>
          <w:divBdr>
            <w:top w:val="none" w:sz="0" w:space="0" w:color="auto"/>
            <w:left w:val="none" w:sz="0" w:space="0" w:color="auto"/>
            <w:bottom w:val="none" w:sz="0" w:space="0" w:color="auto"/>
            <w:right w:val="none" w:sz="0" w:space="0" w:color="auto"/>
          </w:divBdr>
        </w:div>
        <w:div w:id="1098216831">
          <w:marLeft w:val="0"/>
          <w:marRight w:val="0"/>
          <w:marTop w:val="0"/>
          <w:marBottom w:val="0"/>
          <w:divBdr>
            <w:top w:val="none" w:sz="0" w:space="0" w:color="auto"/>
            <w:left w:val="none" w:sz="0" w:space="0" w:color="auto"/>
            <w:bottom w:val="none" w:sz="0" w:space="0" w:color="auto"/>
            <w:right w:val="none" w:sz="0" w:space="0" w:color="auto"/>
          </w:divBdr>
        </w:div>
        <w:div w:id="570581075">
          <w:marLeft w:val="0"/>
          <w:marRight w:val="0"/>
          <w:marTop w:val="0"/>
          <w:marBottom w:val="0"/>
          <w:divBdr>
            <w:top w:val="none" w:sz="0" w:space="0" w:color="auto"/>
            <w:left w:val="none" w:sz="0" w:space="0" w:color="auto"/>
            <w:bottom w:val="none" w:sz="0" w:space="0" w:color="auto"/>
            <w:right w:val="none" w:sz="0" w:space="0" w:color="auto"/>
          </w:divBdr>
        </w:div>
        <w:div w:id="2100637591">
          <w:marLeft w:val="0"/>
          <w:marRight w:val="0"/>
          <w:marTop w:val="0"/>
          <w:marBottom w:val="0"/>
          <w:divBdr>
            <w:top w:val="none" w:sz="0" w:space="0" w:color="auto"/>
            <w:left w:val="none" w:sz="0" w:space="0" w:color="auto"/>
            <w:bottom w:val="none" w:sz="0" w:space="0" w:color="auto"/>
            <w:right w:val="none" w:sz="0" w:space="0" w:color="auto"/>
          </w:divBdr>
        </w:div>
        <w:div w:id="1004087195">
          <w:marLeft w:val="0"/>
          <w:marRight w:val="0"/>
          <w:marTop w:val="0"/>
          <w:marBottom w:val="0"/>
          <w:divBdr>
            <w:top w:val="none" w:sz="0" w:space="0" w:color="auto"/>
            <w:left w:val="none" w:sz="0" w:space="0" w:color="auto"/>
            <w:bottom w:val="none" w:sz="0" w:space="0" w:color="auto"/>
            <w:right w:val="none" w:sz="0" w:space="0" w:color="auto"/>
          </w:divBdr>
        </w:div>
        <w:div w:id="2077320095">
          <w:marLeft w:val="0"/>
          <w:marRight w:val="0"/>
          <w:marTop w:val="0"/>
          <w:marBottom w:val="0"/>
          <w:divBdr>
            <w:top w:val="none" w:sz="0" w:space="0" w:color="auto"/>
            <w:left w:val="none" w:sz="0" w:space="0" w:color="auto"/>
            <w:bottom w:val="none" w:sz="0" w:space="0" w:color="auto"/>
            <w:right w:val="none" w:sz="0" w:space="0" w:color="auto"/>
          </w:divBdr>
        </w:div>
        <w:div w:id="25298670">
          <w:marLeft w:val="0"/>
          <w:marRight w:val="0"/>
          <w:marTop w:val="0"/>
          <w:marBottom w:val="0"/>
          <w:divBdr>
            <w:top w:val="none" w:sz="0" w:space="0" w:color="auto"/>
            <w:left w:val="none" w:sz="0" w:space="0" w:color="auto"/>
            <w:bottom w:val="none" w:sz="0" w:space="0" w:color="auto"/>
            <w:right w:val="none" w:sz="0" w:space="0" w:color="auto"/>
          </w:divBdr>
        </w:div>
        <w:div w:id="1887642105">
          <w:marLeft w:val="0"/>
          <w:marRight w:val="0"/>
          <w:marTop w:val="0"/>
          <w:marBottom w:val="0"/>
          <w:divBdr>
            <w:top w:val="none" w:sz="0" w:space="0" w:color="auto"/>
            <w:left w:val="none" w:sz="0" w:space="0" w:color="auto"/>
            <w:bottom w:val="none" w:sz="0" w:space="0" w:color="auto"/>
            <w:right w:val="none" w:sz="0" w:space="0" w:color="auto"/>
          </w:divBdr>
        </w:div>
        <w:div w:id="1800107779">
          <w:marLeft w:val="0"/>
          <w:marRight w:val="0"/>
          <w:marTop w:val="0"/>
          <w:marBottom w:val="0"/>
          <w:divBdr>
            <w:top w:val="none" w:sz="0" w:space="0" w:color="auto"/>
            <w:left w:val="none" w:sz="0" w:space="0" w:color="auto"/>
            <w:bottom w:val="none" w:sz="0" w:space="0" w:color="auto"/>
            <w:right w:val="none" w:sz="0" w:space="0" w:color="auto"/>
          </w:divBdr>
        </w:div>
      </w:divsChild>
    </w:div>
    <w:div w:id="1800757466">
      <w:bodyDiv w:val="1"/>
      <w:marLeft w:val="0"/>
      <w:marRight w:val="0"/>
      <w:marTop w:val="0"/>
      <w:marBottom w:val="0"/>
      <w:divBdr>
        <w:top w:val="none" w:sz="0" w:space="0" w:color="auto"/>
        <w:left w:val="none" w:sz="0" w:space="0" w:color="auto"/>
        <w:bottom w:val="none" w:sz="0" w:space="0" w:color="auto"/>
        <w:right w:val="none" w:sz="0" w:space="0" w:color="auto"/>
      </w:divBdr>
      <w:divsChild>
        <w:div w:id="484199005">
          <w:marLeft w:val="0"/>
          <w:marRight w:val="0"/>
          <w:marTop w:val="0"/>
          <w:marBottom w:val="0"/>
          <w:divBdr>
            <w:top w:val="none" w:sz="0" w:space="0" w:color="auto"/>
            <w:left w:val="none" w:sz="0" w:space="0" w:color="auto"/>
            <w:bottom w:val="none" w:sz="0" w:space="0" w:color="auto"/>
            <w:right w:val="none" w:sz="0" w:space="0" w:color="auto"/>
          </w:divBdr>
        </w:div>
        <w:div w:id="1707951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emf"/><Relationship Id="rId29" Type="http://schemas.openxmlformats.org/officeDocument/2006/relationships/hyperlink" Target="http://www.ruralroad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yperlink" Target="http://www.healthsystems2020.org/section/topics/mch" TargetMode="External"/><Relationship Id="rId36"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chart" Target="charts/chart1.xm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image" Target="media/image6.emf"/><Relationship Id="rId30" Type="http://schemas.openxmlformats.org/officeDocument/2006/relationships/header" Target="header7.xml"/><Relationship Id="rId35" Type="http://schemas.openxmlformats.org/officeDocument/2006/relationships/customXml" Target="../customXml/item3.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teve\Desktop\AA%20Timor-leste\new%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306781049590576"/>
          <c:y val="6.3346493690162015E-2"/>
          <c:w val="0.75602056321907518"/>
          <c:h val="0.77916959598800162"/>
        </c:manualLayout>
      </c:layout>
      <c:scatterChart>
        <c:scatterStyle val="lineMarker"/>
        <c:varyColors val="0"/>
        <c:ser>
          <c:idx val="0"/>
          <c:order val="0"/>
          <c:tx>
            <c:strRef>
              <c:f>Sheet1!$R$16</c:f>
              <c:strCache>
                <c:ptCount val="1"/>
                <c:pt idx="0">
                  <c:v>IMR</c:v>
                </c:pt>
              </c:strCache>
            </c:strRef>
          </c:tx>
          <c:spPr>
            <a:ln w="28575">
              <a:noFill/>
            </a:ln>
          </c:spPr>
          <c:marker>
            <c:symbol val="diamond"/>
            <c:size val="5"/>
          </c:marker>
          <c:dPt>
            <c:idx val="10"/>
            <c:marker>
              <c:symbol val="diamond"/>
              <c:size val="10"/>
            </c:marker>
            <c:bubble3D val="0"/>
          </c:dPt>
          <c:trendline>
            <c:spPr>
              <a:ln w="15875">
                <a:solidFill>
                  <a:schemeClr val="accent1"/>
                </a:solidFill>
              </a:ln>
            </c:spPr>
            <c:trendlineType val="linear"/>
            <c:dispRSqr val="0"/>
            <c:dispEq val="0"/>
          </c:trendline>
          <c:xVal>
            <c:numRef>
              <c:f>Sheet1!$Q$17:$Q$37</c:f>
              <c:numCache>
                <c:formatCode>#,##0</c:formatCode>
                <c:ptCount val="21"/>
                <c:pt idx="0">
                  <c:v>20.246021000000002</c:v>
                </c:pt>
                <c:pt idx="1">
                  <c:v>21.138993999999997</c:v>
                </c:pt>
                <c:pt idx="2">
                  <c:v>21.225852000000003</c:v>
                </c:pt>
                <c:pt idx="3">
                  <c:v>22.706349999999887</c:v>
                </c:pt>
                <c:pt idx="4">
                  <c:v>23.447123999999913</c:v>
                </c:pt>
                <c:pt idx="5">
                  <c:v>24.604708999999996</c:v>
                </c:pt>
                <c:pt idx="6">
                  <c:v>29.184874000000086</c:v>
                </c:pt>
                <c:pt idx="7">
                  <c:v>29.395908999999996</c:v>
                </c:pt>
                <c:pt idx="8">
                  <c:v>32.167121000000002</c:v>
                </c:pt>
                <c:pt idx="9">
                  <c:v>32.897125000000003</c:v>
                </c:pt>
                <c:pt idx="10">
                  <c:v>33.105253000000012</c:v>
                </c:pt>
                <c:pt idx="11">
                  <c:v>34.948515000000143</c:v>
                </c:pt>
                <c:pt idx="12">
                  <c:v>35.581767999999997</c:v>
                </c:pt>
                <c:pt idx="13">
                  <c:v>38.254604999999998</c:v>
                </c:pt>
                <c:pt idx="14">
                  <c:v>39.021607999999993</c:v>
                </c:pt>
                <c:pt idx="15">
                  <c:v>39.057421999999995</c:v>
                </c:pt>
                <c:pt idx="16">
                  <c:v>42.080053000000007</c:v>
                </c:pt>
                <c:pt idx="17">
                  <c:v>42.524446999999995</c:v>
                </c:pt>
                <c:pt idx="18">
                  <c:v>43.107495</c:v>
                </c:pt>
                <c:pt idx="19">
                  <c:v>45.428791000000011</c:v>
                </c:pt>
                <c:pt idx="20">
                  <c:v>49.519491000000002</c:v>
                </c:pt>
              </c:numCache>
            </c:numRef>
          </c:xVal>
          <c:yVal>
            <c:numRef>
              <c:f>Sheet1!$R$17:$R$37</c:f>
              <c:numCache>
                <c:formatCode>General</c:formatCode>
                <c:ptCount val="21"/>
                <c:pt idx="0">
                  <c:v>98</c:v>
                </c:pt>
                <c:pt idx="1">
                  <c:v>81</c:v>
                </c:pt>
                <c:pt idx="2">
                  <c:v>79</c:v>
                </c:pt>
                <c:pt idx="3">
                  <c:v>53</c:v>
                </c:pt>
                <c:pt idx="4">
                  <c:v>73</c:v>
                </c:pt>
                <c:pt idx="5">
                  <c:v>59</c:v>
                </c:pt>
                <c:pt idx="6">
                  <c:v>78</c:v>
                </c:pt>
                <c:pt idx="7">
                  <c:v>57</c:v>
                </c:pt>
                <c:pt idx="8">
                  <c:v>20</c:v>
                </c:pt>
                <c:pt idx="9">
                  <c:v>25</c:v>
                </c:pt>
                <c:pt idx="10">
                  <c:v>46</c:v>
                </c:pt>
                <c:pt idx="11">
                  <c:v>76</c:v>
                </c:pt>
                <c:pt idx="12">
                  <c:v>38</c:v>
                </c:pt>
                <c:pt idx="13">
                  <c:v>17</c:v>
                </c:pt>
                <c:pt idx="14">
                  <c:v>58</c:v>
                </c:pt>
                <c:pt idx="15">
                  <c:v>47</c:v>
                </c:pt>
                <c:pt idx="16">
                  <c:v>52</c:v>
                </c:pt>
                <c:pt idx="17">
                  <c:v>27</c:v>
                </c:pt>
                <c:pt idx="18">
                  <c:v>11</c:v>
                </c:pt>
                <c:pt idx="19">
                  <c:v>42</c:v>
                </c:pt>
                <c:pt idx="20">
                  <c:v>13</c:v>
                </c:pt>
              </c:numCache>
            </c:numRef>
          </c:yVal>
          <c:smooth val="0"/>
        </c:ser>
        <c:ser>
          <c:idx val="1"/>
          <c:order val="1"/>
          <c:tx>
            <c:strRef>
              <c:f>Sheet1!$S$16</c:f>
              <c:strCache>
                <c:ptCount val="1"/>
                <c:pt idx="0">
                  <c:v>CMR</c:v>
                </c:pt>
              </c:strCache>
            </c:strRef>
          </c:tx>
          <c:spPr>
            <a:ln w="28575">
              <a:noFill/>
            </a:ln>
          </c:spPr>
          <c:marker>
            <c:symbol val="square"/>
            <c:size val="4"/>
          </c:marker>
          <c:dPt>
            <c:idx val="10"/>
            <c:marker>
              <c:symbol val="square"/>
              <c:size val="9"/>
            </c:marker>
            <c:bubble3D val="0"/>
          </c:dPt>
          <c:trendline>
            <c:spPr>
              <a:ln w="15875">
                <a:solidFill>
                  <a:schemeClr val="accent2"/>
                </a:solidFill>
              </a:ln>
            </c:spPr>
            <c:trendlineType val="linear"/>
            <c:dispRSqr val="0"/>
            <c:dispEq val="0"/>
          </c:trendline>
          <c:xVal>
            <c:numRef>
              <c:f>Sheet1!$Q$17:$Q$37</c:f>
              <c:numCache>
                <c:formatCode>#,##0</c:formatCode>
                <c:ptCount val="21"/>
                <c:pt idx="0">
                  <c:v>20.246021000000002</c:v>
                </c:pt>
                <c:pt idx="1">
                  <c:v>21.138993999999997</c:v>
                </c:pt>
                <c:pt idx="2">
                  <c:v>21.225852000000003</c:v>
                </c:pt>
                <c:pt idx="3">
                  <c:v>22.706349999999887</c:v>
                </c:pt>
                <c:pt idx="4">
                  <c:v>23.447123999999913</c:v>
                </c:pt>
                <c:pt idx="5">
                  <c:v>24.604708999999996</c:v>
                </c:pt>
                <c:pt idx="6">
                  <c:v>29.184874000000086</c:v>
                </c:pt>
                <c:pt idx="7">
                  <c:v>29.395908999999996</c:v>
                </c:pt>
                <c:pt idx="8">
                  <c:v>32.167121000000002</c:v>
                </c:pt>
                <c:pt idx="9">
                  <c:v>32.897125000000003</c:v>
                </c:pt>
                <c:pt idx="10">
                  <c:v>33.105253000000012</c:v>
                </c:pt>
                <c:pt idx="11">
                  <c:v>34.948515000000143</c:v>
                </c:pt>
                <c:pt idx="12">
                  <c:v>35.581767999999997</c:v>
                </c:pt>
                <c:pt idx="13">
                  <c:v>38.254604999999998</c:v>
                </c:pt>
                <c:pt idx="14">
                  <c:v>39.021607999999993</c:v>
                </c:pt>
                <c:pt idx="15">
                  <c:v>39.057421999999995</c:v>
                </c:pt>
                <c:pt idx="16">
                  <c:v>42.080053000000007</c:v>
                </c:pt>
                <c:pt idx="17">
                  <c:v>42.524446999999995</c:v>
                </c:pt>
                <c:pt idx="18">
                  <c:v>43.107495</c:v>
                </c:pt>
                <c:pt idx="19">
                  <c:v>45.428791000000011</c:v>
                </c:pt>
                <c:pt idx="20">
                  <c:v>49.519491000000002</c:v>
                </c:pt>
              </c:numCache>
            </c:numRef>
          </c:xVal>
          <c:yVal>
            <c:numRef>
              <c:f>Sheet1!$S$17:$S$37</c:f>
              <c:numCache>
                <c:formatCode>General</c:formatCode>
                <c:ptCount val="21"/>
                <c:pt idx="0">
                  <c:v>176</c:v>
                </c:pt>
                <c:pt idx="1">
                  <c:v>115</c:v>
                </c:pt>
                <c:pt idx="2">
                  <c:v>127</c:v>
                </c:pt>
                <c:pt idx="3">
                  <c:v>83</c:v>
                </c:pt>
                <c:pt idx="4">
                  <c:v>110</c:v>
                </c:pt>
                <c:pt idx="5">
                  <c:v>79</c:v>
                </c:pt>
                <c:pt idx="6">
                  <c:v>124</c:v>
                </c:pt>
                <c:pt idx="7">
                  <c:v>86</c:v>
                </c:pt>
                <c:pt idx="8">
                  <c:v>25</c:v>
                </c:pt>
                <c:pt idx="9">
                  <c:v>32</c:v>
                </c:pt>
                <c:pt idx="10">
                  <c:v>54</c:v>
                </c:pt>
                <c:pt idx="11">
                  <c:v>112</c:v>
                </c:pt>
                <c:pt idx="12">
                  <c:v>54</c:v>
                </c:pt>
                <c:pt idx="13">
                  <c:v>22</c:v>
                </c:pt>
                <c:pt idx="14">
                  <c:v>89</c:v>
                </c:pt>
                <c:pt idx="15">
                  <c:v>65</c:v>
                </c:pt>
                <c:pt idx="16">
                  <c:v>78</c:v>
                </c:pt>
                <c:pt idx="17">
                  <c:v>31</c:v>
                </c:pt>
                <c:pt idx="18">
                  <c:v>12</c:v>
                </c:pt>
                <c:pt idx="19">
                  <c:v>49</c:v>
                </c:pt>
                <c:pt idx="20">
                  <c:v>15</c:v>
                </c:pt>
              </c:numCache>
            </c:numRef>
          </c:yVal>
          <c:smooth val="0"/>
        </c:ser>
        <c:dLbls>
          <c:showLegendKey val="0"/>
          <c:showVal val="0"/>
          <c:showCatName val="0"/>
          <c:showSerName val="0"/>
          <c:showPercent val="0"/>
          <c:showBubbleSize val="0"/>
        </c:dLbls>
        <c:axId val="73020928"/>
        <c:axId val="73946240"/>
      </c:scatterChart>
      <c:valAx>
        <c:axId val="73020928"/>
        <c:scaling>
          <c:orientation val="minMax"/>
          <c:max val="55"/>
          <c:min val="15"/>
        </c:scaling>
        <c:delete val="0"/>
        <c:axPos val="b"/>
        <c:title>
          <c:tx>
            <c:rich>
              <a:bodyPr/>
              <a:lstStyle/>
              <a:p>
                <a:pPr>
                  <a:defRPr sz="900"/>
                </a:pPr>
                <a:r>
                  <a:rPr lang="en-US" sz="900"/>
                  <a:t>Per capita</a:t>
                </a:r>
                <a:r>
                  <a:rPr lang="en-US" sz="900" baseline="0"/>
                  <a:t> Government Health Expenditure (exchange rate)</a:t>
                </a:r>
                <a:endParaRPr lang="en-US" sz="900"/>
              </a:p>
            </c:rich>
          </c:tx>
          <c:layout>
            <c:manualLayout>
              <c:xMode val="edge"/>
              <c:yMode val="edge"/>
              <c:x val="0.2268594715134295"/>
              <c:y val="0.902511014248219"/>
            </c:manualLayout>
          </c:layout>
          <c:overlay val="0"/>
        </c:title>
        <c:numFmt formatCode="#,##0" sourceLinked="1"/>
        <c:majorTickMark val="out"/>
        <c:minorTickMark val="none"/>
        <c:tickLblPos val="nextTo"/>
        <c:crossAx val="73946240"/>
        <c:crosses val="autoZero"/>
        <c:crossBetween val="midCat"/>
      </c:valAx>
      <c:valAx>
        <c:axId val="73946240"/>
        <c:scaling>
          <c:orientation val="minMax"/>
          <c:max val="180"/>
          <c:min val="10"/>
        </c:scaling>
        <c:delete val="0"/>
        <c:axPos val="l"/>
        <c:majorGridlines/>
        <c:numFmt formatCode="General" sourceLinked="1"/>
        <c:majorTickMark val="out"/>
        <c:minorTickMark val="none"/>
        <c:tickLblPos val="nextTo"/>
        <c:crossAx val="73020928"/>
        <c:crosses val="autoZero"/>
        <c:crossBetween val="midCat"/>
      </c:valAx>
    </c:plotArea>
    <c:legend>
      <c:legendPos val="l"/>
      <c:legendEntry>
        <c:idx val="2"/>
        <c:delete val="1"/>
      </c:legendEntry>
      <c:legendEntry>
        <c:idx val="3"/>
        <c:delete val="1"/>
      </c:legendEntry>
      <c:layout>
        <c:manualLayout>
          <c:xMode val="edge"/>
          <c:yMode val="edge"/>
          <c:x val="0"/>
          <c:y val="0.40611156082125288"/>
          <c:w val="0.13676471524325418"/>
          <c:h val="0.18777687835749543"/>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0.55188</cdr:x>
      <cdr:y>0.09375</cdr:y>
    </cdr:from>
    <cdr:to>
      <cdr:x>0.97594</cdr:x>
      <cdr:y>0.17411</cdr:y>
    </cdr:to>
    <cdr:sp macro="" textlink="">
      <cdr:nvSpPr>
        <cdr:cNvPr id="3" name="TextBox 2"/>
        <cdr:cNvSpPr txBox="1"/>
      </cdr:nvSpPr>
      <cdr:spPr>
        <a:xfrm xmlns:a="http://schemas.openxmlformats.org/drawingml/2006/main">
          <a:off x="2796540" y="320040"/>
          <a:ext cx="2148840" cy="2743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0.09624</cdr:x>
      <cdr:y>0.66741</cdr:y>
    </cdr:from>
    <cdr:to>
      <cdr:x>0.35338</cdr:x>
      <cdr:y>0.82143</cdr:y>
    </cdr:to>
    <cdr:sp macro="" textlink="">
      <cdr:nvSpPr>
        <cdr:cNvPr id="4" name="TextBox 3"/>
        <cdr:cNvSpPr txBox="1"/>
      </cdr:nvSpPr>
      <cdr:spPr>
        <a:xfrm xmlns:a="http://schemas.openxmlformats.org/drawingml/2006/main">
          <a:off x="487680" y="2278380"/>
          <a:ext cx="1303020" cy="5257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0.48872</cdr:x>
      <cdr:y>0.58259</cdr:y>
    </cdr:from>
    <cdr:to>
      <cdr:x>0.54436</cdr:x>
      <cdr:y>0.61384</cdr:y>
    </cdr:to>
    <cdr:sp macro="" textlink="">
      <cdr:nvSpPr>
        <cdr:cNvPr id="7" name="TextBox 6"/>
        <cdr:cNvSpPr txBox="1"/>
      </cdr:nvSpPr>
      <cdr:spPr>
        <a:xfrm xmlns:a="http://schemas.openxmlformats.org/drawingml/2006/main">
          <a:off x="2476500" y="1988820"/>
          <a:ext cx="281940" cy="1066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25A67B-0F29-40E9-8933-A946E722A333}"/>
</file>

<file path=customXml/itemProps2.xml><?xml version="1.0" encoding="utf-8"?>
<ds:datastoreItem xmlns:ds="http://schemas.openxmlformats.org/officeDocument/2006/customXml" ds:itemID="{04577BF5-E75C-4B6A-9437-E33594AE7E21}"/>
</file>

<file path=customXml/itemProps3.xml><?xml version="1.0" encoding="utf-8"?>
<ds:datastoreItem xmlns:ds="http://schemas.openxmlformats.org/officeDocument/2006/customXml" ds:itemID="{576C8964-7714-4790-B8DF-FEE80EE439D7}"/>
</file>

<file path=customXml/itemProps4.xml><?xml version="1.0" encoding="utf-8"?>
<ds:datastoreItem xmlns:ds="http://schemas.openxmlformats.org/officeDocument/2006/customXml" ds:itemID="{40DEA530-EE99-46A6-904F-910197BA2FDB}"/>
</file>

<file path=docProps/app.xml><?xml version="1.0" encoding="utf-8"?>
<Properties xmlns="http://schemas.openxmlformats.org/officeDocument/2006/extended-properties" xmlns:vt="http://schemas.openxmlformats.org/officeDocument/2006/docPropsVTypes">
  <Template>Normal.dotm</Template>
  <TotalTime>0</TotalTime>
  <Pages>51</Pages>
  <Words>16691</Words>
  <Characters>94434</Characters>
  <Application>Microsoft Office Word</Application>
  <DocSecurity>4</DocSecurity>
  <Lines>1716</Lines>
  <Paragraphs>665</Paragraphs>
  <ScaleCrop>false</ScaleCrop>
  <LinksUpToDate>false</LinksUpToDate>
  <CharactersWithSpaces>110460</CharactersWithSpaces>
  <SharedDoc>false</SharedDoc>
  <HLinks>
    <vt:vector size="60" baseType="variant">
      <vt:variant>
        <vt:i4>1769530</vt:i4>
      </vt:variant>
      <vt:variant>
        <vt:i4>53</vt:i4>
      </vt:variant>
      <vt:variant>
        <vt:i4>0</vt:i4>
      </vt:variant>
      <vt:variant>
        <vt:i4>5</vt:i4>
      </vt:variant>
      <vt:variant>
        <vt:lpwstr/>
      </vt:variant>
      <vt:variant>
        <vt:lpwstr>_Toc348352496</vt:lpwstr>
      </vt:variant>
      <vt:variant>
        <vt:i4>1769530</vt:i4>
      </vt:variant>
      <vt:variant>
        <vt:i4>47</vt:i4>
      </vt:variant>
      <vt:variant>
        <vt:i4>0</vt:i4>
      </vt:variant>
      <vt:variant>
        <vt:i4>5</vt:i4>
      </vt:variant>
      <vt:variant>
        <vt:lpwstr/>
      </vt:variant>
      <vt:variant>
        <vt:lpwstr>_Toc348352495</vt:lpwstr>
      </vt:variant>
      <vt:variant>
        <vt:i4>1769530</vt:i4>
      </vt:variant>
      <vt:variant>
        <vt:i4>41</vt:i4>
      </vt:variant>
      <vt:variant>
        <vt:i4>0</vt:i4>
      </vt:variant>
      <vt:variant>
        <vt:i4>5</vt:i4>
      </vt:variant>
      <vt:variant>
        <vt:lpwstr/>
      </vt:variant>
      <vt:variant>
        <vt:lpwstr>_Toc348352494</vt:lpwstr>
      </vt:variant>
      <vt:variant>
        <vt:i4>1769530</vt:i4>
      </vt:variant>
      <vt:variant>
        <vt:i4>35</vt:i4>
      </vt:variant>
      <vt:variant>
        <vt:i4>0</vt:i4>
      </vt:variant>
      <vt:variant>
        <vt:i4>5</vt:i4>
      </vt:variant>
      <vt:variant>
        <vt:lpwstr/>
      </vt:variant>
      <vt:variant>
        <vt:lpwstr>_Toc348352493</vt:lpwstr>
      </vt:variant>
      <vt:variant>
        <vt:i4>1769530</vt:i4>
      </vt:variant>
      <vt:variant>
        <vt:i4>29</vt:i4>
      </vt:variant>
      <vt:variant>
        <vt:i4>0</vt:i4>
      </vt:variant>
      <vt:variant>
        <vt:i4>5</vt:i4>
      </vt:variant>
      <vt:variant>
        <vt:lpwstr/>
      </vt:variant>
      <vt:variant>
        <vt:lpwstr>_Toc348352492</vt:lpwstr>
      </vt:variant>
      <vt:variant>
        <vt:i4>1769530</vt:i4>
      </vt:variant>
      <vt:variant>
        <vt:i4>23</vt:i4>
      </vt:variant>
      <vt:variant>
        <vt:i4>0</vt:i4>
      </vt:variant>
      <vt:variant>
        <vt:i4>5</vt:i4>
      </vt:variant>
      <vt:variant>
        <vt:lpwstr/>
      </vt:variant>
      <vt:variant>
        <vt:lpwstr>_Toc348352491</vt:lpwstr>
      </vt:variant>
      <vt:variant>
        <vt:i4>1769530</vt:i4>
      </vt:variant>
      <vt:variant>
        <vt:i4>17</vt:i4>
      </vt:variant>
      <vt:variant>
        <vt:i4>0</vt:i4>
      </vt:variant>
      <vt:variant>
        <vt:i4>5</vt:i4>
      </vt:variant>
      <vt:variant>
        <vt:lpwstr/>
      </vt:variant>
      <vt:variant>
        <vt:lpwstr>_Toc348352490</vt:lpwstr>
      </vt:variant>
      <vt:variant>
        <vt:i4>1703994</vt:i4>
      </vt:variant>
      <vt:variant>
        <vt:i4>11</vt:i4>
      </vt:variant>
      <vt:variant>
        <vt:i4>0</vt:i4>
      </vt:variant>
      <vt:variant>
        <vt:i4>5</vt:i4>
      </vt:variant>
      <vt:variant>
        <vt:lpwstr/>
      </vt:variant>
      <vt:variant>
        <vt:lpwstr>_Toc348352489</vt:lpwstr>
      </vt:variant>
      <vt:variant>
        <vt:i4>1703994</vt:i4>
      </vt:variant>
      <vt:variant>
        <vt:i4>5</vt:i4>
      </vt:variant>
      <vt:variant>
        <vt:i4>0</vt:i4>
      </vt:variant>
      <vt:variant>
        <vt:i4>5</vt:i4>
      </vt:variant>
      <vt:variant>
        <vt:lpwstr/>
      </vt:variant>
      <vt:variant>
        <vt:lpwstr>_Toc348352488</vt:lpwstr>
      </vt:variant>
      <vt:variant>
        <vt:i4>1966152</vt:i4>
      </vt:variant>
      <vt:variant>
        <vt:i4>0</vt:i4>
      </vt:variant>
      <vt:variant>
        <vt:i4>0</vt:i4>
      </vt:variant>
      <vt:variant>
        <vt:i4>5</vt:i4>
      </vt:variant>
      <vt:variant>
        <vt:lpwstr>http://www.ausaidhrf.com.au/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2014-02-02T22:48:00Z</dcterms:created>
  <dcterms:modified xsi:type="dcterms:W3CDTF">2014-02-02T22:48:00Z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Order">
    <vt:r8>48300</vt:r8>
  </property>
  <property fmtid="{D5CDD505-2E9C-101B-9397-08002B2CF9AE}" pid="5" name="PublishingRollupImage">
    <vt:lpwstr/>
  </property>
  <property fmtid="{D5CDD505-2E9C-101B-9397-08002B2CF9AE}" pid="6" name="AusAIDAggregationLevel">
    <vt:lpwstr/>
  </property>
  <property fmtid="{D5CDD505-2E9C-101B-9397-08002B2CF9AE}" pid="7" name="PublishingContactEmail">
    <vt:lpwstr/>
  </property>
  <property fmtid="{D5CDD505-2E9C-101B-9397-08002B2CF9AE}" pid="8" name="xd_Signature">
    <vt:bool>false</vt:bool>
  </property>
  <property fmtid="{D5CDD505-2E9C-101B-9397-08002B2CF9AE}" pid="9" name="RSS Feed Link">
    <vt:lpwstr/>
  </property>
  <property fmtid="{D5CDD505-2E9C-101B-9397-08002B2CF9AE}" pid="10" name="xd_ProgID">
    <vt:lpwstr/>
  </property>
  <property fmtid="{D5CDD505-2E9C-101B-9397-08002B2CF9AE}" pid="11" name="PublishingContactPicture">
    <vt:lpwstr/>
  </property>
  <property fmtid="{D5CDD505-2E9C-101B-9397-08002B2CF9AE}" pid="12" name="PublishingVariationGroupID">
    <vt:lpwstr/>
  </property>
  <property fmtid="{D5CDD505-2E9C-101B-9397-08002B2CF9AE}" pid="13" name="AusAIDIdentifierMetadata">
    <vt:lpwstr/>
  </property>
  <property fmtid="{D5CDD505-2E9C-101B-9397-08002B2CF9AE}" pid="14" name="PublishingVariationRelationshipLinkFieldID">
    <vt:lpwstr/>
  </property>
  <property fmtid="{D5CDD505-2E9C-101B-9397-08002B2CF9AE}" pid="15" name="PublishingContactName">
    <vt:lpwstr/>
  </property>
  <property fmtid="{D5CDD505-2E9C-101B-9397-08002B2CF9AE}" pid="16" name="_SourceUrl">
    <vt:lpwstr/>
  </property>
  <property fmtid="{D5CDD505-2E9C-101B-9397-08002B2CF9AE}" pid="17" name="_SharedFileIndex">
    <vt:lpwstr/>
  </property>
  <property fmtid="{D5CDD505-2E9C-101B-9397-08002B2CF9AE}" pid="18" name="Comments">
    <vt:lpwstr/>
  </property>
  <property fmtid="{D5CDD505-2E9C-101B-9397-08002B2CF9AE}" pid="19" name="PublishingPageLayout">
    <vt:lpwstr/>
  </property>
  <property fmtid="{D5CDD505-2E9C-101B-9397-08002B2CF9AE}" pid="20" name="AusAIDPageSubjectMetadata">
    <vt:lpwstr/>
  </property>
  <property fmtid="{D5CDD505-2E9C-101B-9397-08002B2CF9AE}" pid="21" name="AusAIDCategoryMetadata">
    <vt:lpwstr/>
  </property>
  <property fmtid="{D5CDD505-2E9C-101B-9397-08002B2CF9AE}" pid="22" name="AusAIDDocumentTypeMetaData">
    <vt:lpwstr/>
  </property>
  <property fmtid="{D5CDD505-2E9C-101B-9397-08002B2CF9AE}" pid="23" name="WCMSLanguage">
    <vt:lpwstr/>
  </property>
  <property fmtid="{D5CDD505-2E9C-101B-9397-08002B2CF9AE}" pid="24" name="TemplateUrl">
    <vt:lpwstr/>
  </property>
  <property fmtid="{D5CDD505-2E9C-101B-9397-08002B2CF9AE}" pid="25" name="Audience">
    <vt:lpwstr/>
  </property>
  <property fmtid="{D5CDD505-2E9C-101B-9397-08002B2CF9AE}" pid="26" name="AusAIDPageDescriptionMetadata">
    <vt:lpwstr/>
  </property>
</Properties>
</file>