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DB1A" w14:textId="1EF5BC34" w:rsidR="00341543" w:rsidRDefault="00D62502">
      <w:pPr>
        <w:rPr>
          <w:rFonts w:asciiTheme="majorHAnsi" w:hAnsiTheme="majorHAnsi" w:cstheme="majorHAnsi"/>
          <w:b/>
          <w:bCs/>
          <w:sz w:val="28"/>
          <w:szCs w:val="28"/>
        </w:rPr>
      </w:pPr>
      <w:r w:rsidRPr="00D62502">
        <w:rPr>
          <w:rFonts w:asciiTheme="majorHAnsi" w:hAnsiTheme="majorHAnsi" w:cstheme="majorHAnsi"/>
          <w:b/>
          <w:bCs/>
          <w:sz w:val="28"/>
          <w:szCs w:val="28"/>
        </w:rPr>
        <w:t>Education Sector Support Program (ESSP) Mid- Term Evaluation Recommendations and Management Response</w:t>
      </w:r>
    </w:p>
    <w:p w14:paraId="40D43961" w14:textId="0ADF82AC" w:rsidR="0007085C" w:rsidRPr="0007085C" w:rsidRDefault="009C5A99" w:rsidP="0007085C">
      <w:pPr>
        <w:rPr>
          <w:rFonts w:cstheme="minorHAnsi"/>
          <w:color w:val="000000" w:themeColor="text1"/>
          <w:sz w:val="24"/>
          <w:szCs w:val="24"/>
        </w:rPr>
      </w:pPr>
      <w:r w:rsidRPr="0007085C">
        <w:rPr>
          <w:rFonts w:cstheme="minorHAnsi"/>
          <w:sz w:val="24"/>
          <w:szCs w:val="24"/>
        </w:rPr>
        <w:t xml:space="preserve">DFAT welcomes the findings of this review and agrees with the recommendations aimed to further </w:t>
      </w:r>
      <w:r w:rsidR="0007085C">
        <w:rPr>
          <w:rFonts w:cstheme="minorHAnsi"/>
          <w:sz w:val="24"/>
          <w:szCs w:val="24"/>
        </w:rPr>
        <w:t xml:space="preserve">improving the Program. </w:t>
      </w:r>
      <w:r w:rsidR="0007085C" w:rsidRPr="0007085C">
        <w:rPr>
          <w:rFonts w:cstheme="minorHAnsi"/>
          <w:color w:val="000000" w:themeColor="text1"/>
          <w:sz w:val="24"/>
          <w:szCs w:val="24"/>
        </w:rPr>
        <w:t>DFAT will also reflect on the seven ‘considerations of the design of any future program’, as part of DFAT’s design for a new education partnership, to be undertaken in 2024.</w:t>
      </w:r>
      <w:r w:rsidR="0007085C">
        <w:rPr>
          <w:rFonts w:cstheme="minorHAnsi"/>
          <w:color w:val="000000" w:themeColor="text1"/>
          <w:sz w:val="24"/>
          <w:szCs w:val="24"/>
        </w:rPr>
        <w:t xml:space="preserve"> The management response outlines </w:t>
      </w:r>
      <w:r w:rsidR="00D70947">
        <w:rPr>
          <w:rFonts w:cstheme="minorHAnsi"/>
          <w:color w:val="000000" w:themeColor="text1"/>
          <w:sz w:val="24"/>
          <w:szCs w:val="24"/>
        </w:rPr>
        <w:t>next steps</w:t>
      </w:r>
      <w:r w:rsidR="0007085C">
        <w:rPr>
          <w:rFonts w:cstheme="minorHAnsi"/>
          <w:color w:val="000000" w:themeColor="text1"/>
          <w:sz w:val="24"/>
          <w:szCs w:val="24"/>
        </w:rPr>
        <w:t xml:space="preserve"> by DFAT and partners in response to the MTR recommendations.</w:t>
      </w:r>
    </w:p>
    <w:p w14:paraId="5441E1F8" w14:textId="28AA0DAA" w:rsidR="00202250" w:rsidRPr="0007085C" w:rsidRDefault="00202250">
      <w:pPr>
        <w:rPr>
          <w:rFonts w:cstheme="minorHAnsi"/>
          <w:sz w:val="24"/>
          <w:szCs w:val="24"/>
        </w:rPr>
      </w:pPr>
    </w:p>
    <w:tbl>
      <w:tblPr>
        <w:tblStyle w:val="GridTable1Light-Accent6"/>
        <w:tblW w:w="0" w:type="auto"/>
        <w:tblLook w:val="04A0" w:firstRow="1" w:lastRow="0" w:firstColumn="1" w:lastColumn="0" w:noHBand="0" w:noVBand="1"/>
      </w:tblPr>
      <w:tblGrid>
        <w:gridCol w:w="3533"/>
        <w:gridCol w:w="1336"/>
        <w:gridCol w:w="5130"/>
        <w:gridCol w:w="3949"/>
      </w:tblGrid>
      <w:tr w:rsidR="00202250" w14:paraId="37349988" w14:textId="2A128FE5" w:rsidTr="00CC44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3" w:type="dxa"/>
            <w:shd w:val="clear" w:color="auto" w:fill="E2EFD9" w:themeFill="accent6" w:themeFillTint="33"/>
          </w:tcPr>
          <w:p w14:paraId="7353B11D" w14:textId="73F7C0F8" w:rsidR="00202250" w:rsidRPr="00D62502" w:rsidRDefault="00202250">
            <w:pPr>
              <w:rPr>
                <w:rFonts w:cstheme="minorHAnsi"/>
              </w:rPr>
            </w:pPr>
            <w:bookmarkStart w:id="0" w:name="_Hlk152328078"/>
            <w:r w:rsidRPr="00D62502">
              <w:rPr>
                <w:rFonts w:cstheme="minorHAnsi"/>
              </w:rPr>
              <w:t xml:space="preserve">Recommendation </w:t>
            </w:r>
          </w:p>
        </w:tc>
        <w:tc>
          <w:tcPr>
            <w:tcW w:w="1336" w:type="dxa"/>
            <w:shd w:val="clear" w:color="auto" w:fill="E2EFD9" w:themeFill="accent6" w:themeFillTint="33"/>
          </w:tcPr>
          <w:p w14:paraId="6CBEA9A2" w14:textId="0752B179" w:rsidR="00202250" w:rsidRPr="00D62502" w:rsidRDefault="00202250">
            <w:pPr>
              <w:cnfStyle w:val="100000000000" w:firstRow="1" w:lastRow="0" w:firstColumn="0" w:lastColumn="0" w:oddVBand="0" w:evenVBand="0" w:oddHBand="0" w:evenHBand="0" w:firstRowFirstColumn="0" w:firstRowLastColumn="0" w:lastRowFirstColumn="0" w:lastRowLastColumn="0"/>
              <w:rPr>
                <w:rFonts w:cstheme="minorHAnsi"/>
              </w:rPr>
            </w:pPr>
            <w:r w:rsidRPr="00D62502">
              <w:rPr>
                <w:rFonts w:cstheme="minorHAnsi"/>
              </w:rPr>
              <w:t>Response</w:t>
            </w:r>
          </w:p>
        </w:tc>
        <w:tc>
          <w:tcPr>
            <w:tcW w:w="5130" w:type="dxa"/>
            <w:shd w:val="clear" w:color="auto" w:fill="E2EFD9" w:themeFill="accent6" w:themeFillTint="33"/>
          </w:tcPr>
          <w:p w14:paraId="697E8EAE" w14:textId="2C3ABA28" w:rsidR="00202250" w:rsidRPr="00D62502" w:rsidRDefault="00202250" w:rsidP="00202250">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Next Steps </w:t>
            </w:r>
          </w:p>
        </w:tc>
        <w:tc>
          <w:tcPr>
            <w:tcW w:w="3949" w:type="dxa"/>
            <w:shd w:val="clear" w:color="auto" w:fill="E2EFD9" w:themeFill="accent6" w:themeFillTint="33"/>
          </w:tcPr>
          <w:p w14:paraId="25271BDC" w14:textId="26F5B91A" w:rsidR="00202250" w:rsidRPr="00D62502" w:rsidRDefault="00202250" w:rsidP="00202250">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Timeframe</w:t>
            </w:r>
          </w:p>
        </w:tc>
      </w:tr>
      <w:bookmarkEnd w:id="0"/>
      <w:tr w:rsidR="00202250" w14:paraId="378CC9E2" w14:textId="68648E54" w:rsidTr="00202250">
        <w:tc>
          <w:tcPr>
            <w:cnfStyle w:val="001000000000" w:firstRow="0" w:lastRow="0" w:firstColumn="1" w:lastColumn="0" w:oddVBand="0" w:evenVBand="0" w:oddHBand="0" w:evenHBand="0" w:firstRowFirstColumn="0" w:firstRowLastColumn="0" w:lastRowFirstColumn="0" w:lastRowLastColumn="0"/>
            <w:tcW w:w="3533" w:type="dxa"/>
          </w:tcPr>
          <w:p w14:paraId="75074C57" w14:textId="38CECA79" w:rsidR="00202250" w:rsidRPr="00880CE2" w:rsidRDefault="00202250" w:rsidP="00D62502">
            <w:pPr>
              <w:rPr>
                <w:rFonts w:cstheme="minorHAnsi"/>
              </w:rPr>
            </w:pPr>
            <w:r w:rsidRPr="00880CE2">
              <w:rPr>
                <w:rFonts w:cstheme="minorHAnsi"/>
              </w:rPr>
              <w:t>Recommendation 1</w:t>
            </w:r>
          </w:p>
          <w:p w14:paraId="3408989F" w14:textId="77777777" w:rsidR="00202250" w:rsidRPr="00D62502" w:rsidRDefault="00202250" w:rsidP="00D62502">
            <w:pPr>
              <w:rPr>
                <w:rFonts w:cstheme="minorHAnsi"/>
                <w:b w:val="0"/>
                <w:bCs w:val="0"/>
              </w:rPr>
            </w:pPr>
            <w:r w:rsidRPr="00D62502">
              <w:rPr>
                <w:rFonts w:cstheme="minorHAnsi"/>
                <w:b w:val="0"/>
                <w:bCs w:val="0"/>
              </w:rPr>
              <w:t>In preparation for the Education Bill and implementation of the Education Legislative Framework (ELF):</w:t>
            </w:r>
          </w:p>
          <w:p w14:paraId="48D3DEB5" w14:textId="77777777" w:rsidR="00202250" w:rsidRPr="00880CE2" w:rsidRDefault="00202250" w:rsidP="00D62502">
            <w:pPr>
              <w:pStyle w:val="ListParagraph"/>
              <w:numPr>
                <w:ilvl w:val="0"/>
                <w:numId w:val="1"/>
              </w:numPr>
              <w:rPr>
                <w:rFonts w:cstheme="minorHAnsi"/>
                <w:b w:val="0"/>
                <w:bCs w:val="0"/>
                <w:color w:val="000000" w:themeColor="text1"/>
              </w:rPr>
            </w:pPr>
            <w:r w:rsidRPr="00880CE2">
              <w:rPr>
                <w:rFonts w:cstheme="minorHAnsi"/>
                <w:b w:val="0"/>
                <w:bCs w:val="0"/>
                <w:color w:val="000000" w:themeColor="text1"/>
              </w:rPr>
              <w:t xml:space="preserve"> the program should support MEHRD to undertake a sector and organisational review of current versus future accountabilities. This can commence in the final six months of the Program but will likely need to continue into any new Program.</w:t>
            </w:r>
          </w:p>
          <w:p w14:paraId="77F2B498" w14:textId="77777777" w:rsidR="00202250" w:rsidRPr="00D62502" w:rsidRDefault="00202250">
            <w:pPr>
              <w:rPr>
                <w:rFonts w:cstheme="minorHAnsi"/>
                <w:b w:val="0"/>
                <w:bCs w:val="0"/>
              </w:rPr>
            </w:pPr>
          </w:p>
        </w:tc>
        <w:tc>
          <w:tcPr>
            <w:tcW w:w="1336" w:type="dxa"/>
          </w:tcPr>
          <w:p w14:paraId="35072248" w14:textId="4F42AF59" w:rsidR="00202250" w:rsidRPr="00D62502" w:rsidRDefault="00202250">
            <w:pPr>
              <w:cnfStyle w:val="000000000000" w:firstRow="0" w:lastRow="0" w:firstColumn="0" w:lastColumn="0" w:oddVBand="0" w:evenVBand="0" w:oddHBand="0" w:evenHBand="0" w:firstRowFirstColumn="0" w:firstRowLastColumn="0" w:lastRowFirstColumn="0" w:lastRowLastColumn="0"/>
              <w:rPr>
                <w:rFonts w:cstheme="minorHAnsi"/>
              </w:rPr>
            </w:pPr>
            <w:r w:rsidRPr="00D62502">
              <w:rPr>
                <w:rFonts w:cstheme="minorHAnsi"/>
              </w:rPr>
              <w:t>Agree</w:t>
            </w:r>
          </w:p>
        </w:tc>
        <w:tc>
          <w:tcPr>
            <w:tcW w:w="5130" w:type="dxa"/>
          </w:tcPr>
          <w:p w14:paraId="6DBAEFC2" w14:textId="72B22305" w:rsidR="00202250" w:rsidRPr="00CC444D" w:rsidRDefault="0024398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Program </w:t>
            </w:r>
            <w:r w:rsidR="00202250">
              <w:rPr>
                <w:color w:val="000000" w:themeColor="text1"/>
              </w:rPr>
              <w:t>will support MEHRD to undertake sector and organisational review</w:t>
            </w:r>
            <w:r>
              <w:rPr>
                <w:color w:val="000000" w:themeColor="text1"/>
              </w:rPr>
              <w:t>s</w:t>
            </w:r>
            <w:r w:rsidR="00202250">
              <w:rPr>
                <w:color w:val="000000" w:themeColor="text1"/>
              </w:rPr>
              <w:t xml:space="preserve"> of current verse future accountabilities. Th</w:t>
            </w:r>
            <w:r>
              <w:rPr>
                <w:color w:val="000000" w:themeColor="text1"/>
              </w:rPr>
              <w:t>ese</w:t>
            </w:r>
            <w:r w:rsidR="00202250">
              <w:rPr>
                <w:color w:val="000000" w:themeColor="text1"/>
              </w:rPr>
              <w:t xml:space="preserve"> review</w:t>
            </w:r>
            <w:r>
              <w:rPr>
                <w:color w:val="000000" w:themeColor="text1"/>
              </w:rPr>
              <w:t>s</w:t>
            </w:r>
            <w:r w:rsidR="00202250">
              <w:rPr>
                <w:color w:val="000000" w:themeColor="text1"/>
              </w:rPr>
              <w:t xml:space="preserve"> will </w:t>
            </w:r>
            <w:r>
              <w:rPr>
                <w:color w:val="000000" w:themeColor="text1"/>
              </w:rPr>
              <w:t xml:space="preserve">help the </w:t>
            </w:r>
            <w:r w:rsidR="00202250">
              <w:rPr>
                <w:color w:val="000000" w:themeColor="text1"/>
              </w:rPr>
              <w:t>P</w:t>
            </w:r>
            <w:r>
              <w:rPr>
                <w:color w:val="000000" w:themeColor="text1"/>
              </w:rPr>
              <w:t>rogram</w:t>
            </w:r>
            <w:r w:rsidR="00202250">
              <w:rPr>
                <w:color w:val="000000" w:themeColor="text1"/>
              </w:rPr>
              <w:t xml:space="preserve"> identify </w:t>
            </w:r>
            <w:r>
              <w:rPr>
                <w:color w:val="000000" w:themeColor="text1"/>
              </w:rPr>
              <w:t xml:space="preserve">areas of focus to consider </w:t>
            </w:r>
            <w:r w:rsidR="00177CD7">
              <w:rPr>
                <w:color w:val="000000" w:themeColor="text1"/>
              </w:rPr>
              <w:t xml:space="preserve">for </w:t>
            </w:r>
            <w:r>
              <w:rPr>
                <w:color w:val="000000" w:themeColor="text1"/>
              </w:rPr>
              <w:t xml:space="preserve">future programs. </w:t>
            </w:r>
          </w:p>
        </w:tc>
        <w:tc>
          <w:tcPr>
            <w:tcW w:w="3949" w:type="dxa"/>
          </w:tcPr>
          <w:p w14:paraId="74B50A53" w14:textId="4D85D6BF" w:rsidR="00243989" w:rsidRPr="00202250" w:rsidRDefault="00243989" w:rsidP="00CC444D">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March 2024</w:t>
            </w:r>
          </w:p>
        </w:tc>
      </w:tr>
      <w:tr w:rsidR="00202250" w14:paraId="6C6CB5ED" w14:textId="3A7DEDFF" w:rsidTr="00202250">
        <w:tc>
          <w:tcPr>
            <w:cnfStyle w:val="001000000000" w:firstRow="0" w:lastRow="0" w:firstColumn="1" w:lastColumn="0" w:oddVBand="0" w:evenVBand="0" w:oddHBand="0" w:evenHBand="0" w:firstRowFirstColumn="0" w:firstRowLastColumn="0" w:lastRowFirstColumn="0" w:lastRowLastColumn="0"/>
            <w:tcW w:w="3533" w:type="dxa"/>
          </w:tcPr>
          <w:p w14:paraId="17C6D822" w14:textId="228C4C6F" w:rsidR="00202250" w:rsidRDefault="00202250" w:rsidP="00C52E6E">
            <w:pPr>
              <w:rPr>
                <w:rFonts w:cstheme="minorHAnsi"/>
                <w:b w:val="0"/>
                <w:bCs w:val="0"/>
              </w:rPr>
            </w:pPr>
            <w:r w:rsidRPr="00880CE2">
              <w:rPr>
                <w:rFonts w:cstheme="minorHAnsi"/>
              </w:rPr>
              <w:t>Recommendation 2</w:t>
            </w:r>
          </w:p>
          <w:p w14:paraId="3711DA08" w14:textId="77777777" w:rsidR="00202250" w:rsidRDefault="00202250" w:rsidP="00C52E6E">
            <w:r w:rsidRPr="00880CE2">
              <w:rPr>
                <w:b w:val="0"/>
                <w:bCs w:val="0"/>
              </w:rPr>
              <w:t>The Program should increase its focus on GEDSI and safeguarding</w:t>
            </w:r>
            <w:r>
              <w:rPr>
                <w:b w:val="0"/>
                <w:bCs w:val="0"/>
              </w:rPr>
              <w:t>:</w:t>
            </w:r>
          </w:p>
          <w:p w14:paraId="42E631B5" w14:textId="77777777" w:rsidR="00202250" w:rsidRPr="00C52E6E" w:rsidRDefault="00202250" w:rsidP="00C52E6E">
            <w:pPr>
              <w:pStyle w:val="ListParagraph"/>
              <w:numPr>
                <w:ilvl w:val="0"/>
                <w:numId w:val="3"/>
              </w:numPr>
              <w:spacing w:after="0" w:line="240" w:lineRule="auto"/>
              <w:rPr>
                <w:rFonts w:cstheme="minorHAnsi"/>
                <w:b w:val="0"/>
                <w:bCs w:val="0"/>
                <w:color w:val="000000" w:themeColor="text1"/>
              </w:rPr>
            </w:pPr>
            <w:r w:rsidRPr="00C52E6E">
              <w:rPr>
                <w:b w:val="0"/>
                <w:bCs w:val="0"/>
                <w:color w:val="000000" w:themeColor="text1"/>
              </w:rPr>
              <w:t xml:space="preserve">Provide specialist TA to support MEHRD to progress the implementation of the </w:t>
            </w:r>
            <w:r w:rsidRPr="00C52E6E">
              <w:rPr>
                <w:b w:val="0"/>
                <w:bCs w:val="0"/>
                <w:color w:val="000000" w:themeColor="text1"/>
              </w:rPr>
              <w:lastRenderedPageBreak/>
              <w:t xml:space="preserve">GEDSI tool and prepare for ELF implementation. </w:t>
            </w:r>
          </w:p>
          <w:p w14:paraId="140DCD90" w14:textId="77777777" w:rsidR="00202250" w:rsidRPr="00C52E6E" w:rsidRDefault="00202250" w:rsidP="00C52E6E">
            <w:pPr>
              <w:pStyle w:val="ListParagraph"/>
              <w:spacing w:after="0" w:line="240" w:lineRule="auto"/>
              <w:rPr>
                <w:rFonts w:cstheme="minorHAnsi"/>
                <w:b w:val="0"/>
                <w:bCs w:val="0"/>
                <w:color w:val="000000" w:themeColor="text1"/>
              </w:rPr>
            </w:pPr>
          </w:p>
          <w:p w14:paraId="7093DADC" w14:textId="77777777" w:rsidR="00202250" w:rsidRPr="00C52E6E" w:rsidRDefault="00202250" w:rsidP="00C52E6E">
            <w:pPr>
              <w:pStyle w:val="ListParagraph"/>
              <w:numPr>
                <w:ilvl w:val="0"/>
                <w:numId w:val="3"/>
              </w:numPr>
              <w:spacing w:after="0" w:line="240" w:lineRule="auto"/>
              <w:rPr>
                <w:rFonts w:cstheme="minorHAnsi"/>
                <w:b w:val="0"/>
                <w:bCs w:val="0"/>
                <w:color w:val="000000" w:themeColor="text1"/>
              </w:rPr>
            </w:pPr>
            <w:r w:rsidRPr="00C52E6E">
              <w:rPr>
                <w:b w:val="0"/>
                <w:bCs w:val="0"/>
                <w:color w:val="000000" w:themeColor="text1"/>
              </w:rPr>
              <w:t>In any future iterations of the Program, this could include support to MEHRD to strengthen engagement with other SIG agencies in this space (e.g., Ministry of Women, Youth, Children and Family Affairs, Ministry of Health, Ministry of Environment, Climate Change, Disaster Management and Meteorology).</w:t>
            </w:r>
          </w:p>
          <w:p w14:paraId="2F29A5DD" w14:textId="258BBD6B" w:rsidR="00202250" w:rsidRPr="00C52E6E" w:rsidRDefault="00202250" w:rsidP="00C52E6E">
            <w:pPr>
              <w:rPr>
                <w:rFonts w:cstheme="minorHAnsi"/>
              </w:rPr>
            </w:pPr>
          </w:p>
        </w:tc>
        <w:tc>
          <w:tcPr>
            <w:tcW w:w="1336" w:type="dxa"/>
          </w:tcPr>
          <w:p w14:paraId="6BCCE30D" w14:textId="2BF29491" w:rsidR="00202250" w:rsidRPr="00C52E6E" w:rsidRDefault="00202250">
            <w:pPr>
              <w:cnfStyle w:val="000000000000" w:firstRow="0" w:lastRow="0" w:firstColumn="0" w:lastColumn="0" w:oddVBand="0" w:evenVBand="0" w:oddHBand="0" w:evenHBand="0" w:firstRowFirstColumn="0" w:firstRowLastColumn="0" w:lastRowFirstColumn="0" w:lastRowLastColumn="0"/>
              <w:rPr>
                <w:rFonts w:cstheme="minorHAnsi"/>
              </w:rPr>
            </w:pPr>
            <w:r w:rsidRPr="00C52E6E">
              <w:rPr>
                <w:rFonts w:cstheme="minorHAnsi"/>
              </w:rPr>
              <w:lastRenderedPageBreak/>
              <w:t xml:space="preserve">Agree </w:t>
            </w:r>
          </w:p>
        </w:tc>
        <w:tc>
          <w:tcPr>
            <w:tcW w:w="5130" w:type="dxa"/>
          </w:tcPr>
          <w:p w14:paraId="2E2F6CC6" w14:textId="6EB84B3D" w:rsidR="00202250" w:rsidRPr="00C52E6E" w:rsidRDefault="00243989" w:rsidP="00CC4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The Program </w:t>
            </w:r>
            <w:r w:rsidR="00DA1E1A">
              <w:rPr>
                <w:rFonts w:cstheme="minorHAnsi"/>
                <w:color w:val="000000" w:themeColor="text1"/>
              </w:rPr>
              <w:t xml:space="preserve">agrees to </w:t>
            </w:r>
            <w:r>
              <w:rPr>
                <w:rFonts w:cstheme="minorHAnsi"/>
                <w:color w:val="000000" w:themeColor="text1"/>
              </w:rPr>
              <w:t>support</w:t>
            </w:r>
            <w:r w:rsidR="00280DE8">
              <w:rPr>
                <w:rFonts w:cstheme="minorHAnsi"/>
                <w:color w:val="000000" w:themeColor="text1"/>
              </w:rPr>
              <w:t xml:space="preserve"> provide a specialist TA to support MEHRD increase focus on GEDSI and safeguarding and strengthen engagement with SIG agencies in this space.</w:t>
            </w:r>
          </w:p>
        </w:tc>
        <w:tc>
          <w:tcPr>
            <w:tcW w:w="3949" w:type="dxa"/>
          </w:tcPr>
          <w:p w14:paraId="0C201C97" w14:textId="065FD8F5" w:rsidR="00280DE8" w:rsidRPr="00280DE8" w:rsidRDefault="00280DE8" w:rsidP="00CC4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December 2024</w:t>
            </w:r>
          </w:p>
        </w:tc>
      </w:tr>
      <w:tr w:rsidR="00202250" w14:paraId="62EFD73A" w14:textId="637D781B" w:rsidTr="00202250">
        <w:trPr>
          <w:trHeight w:val="6515"/>
        </w:trPr>
        <w:tc>
          <w:tcPr>
            <w:cnfStyle w:val="001000000000" w:firstRow="0" w:lastRow="0" w:firstColumn="1" w:lastColumn="0" w:oddVBand="0" w:evenVBand="0" w:oddHBand="0" w:evenHBand="0" w:firstRowFirstColumn="0" w:firstRowLastColumn="0" w:lastRowFirstColumn="0" w:lastRowLastColumn="0"/>
            <w:tcW w:w="3533" w:type="dxa"/>
          </w:tcPr>
          <w:p w14:paraId="6C36DBBC" w14:textId="6ED92F7F" w:rsidR="00202250" w:rsidRPr="00417D57" w:rsidRDefault="00202250" w:rsidP="00417D57">
            <w:r w:rsidRPr="00417D57">
              <w:lastRenderedPageBreak/>
              <w:t>Recommendation 3</w:t>
            </w:r>
          </w:p>
          <w:p w14:paraId="073C1506" w14:textId="77777777" w:rsidR="00202250" w:rsidRDefault="00202250" w:rsidP="00417D57">
            <w:r w:rsidRPr="00417D57">
              <w:rPr>
                <w:b w:val="0"/>
                <w:bCs w:val="0"/>
              </w:rPr>
              <w:t xml:space="preserve">The Program should support MEHRD to develop more strategic approaches to school infrastructure, data management and prioritisation that aligns with long- term SIEMIS plans. </w:t>
            </w:r>
          </w:p>
          <w:p w14:paraId="25ED8E10" w14:textId="77777777" w:rsidR="00202250" w:rsidRDefault="00202250" w:rsidP="00417D57"/>
          <w:p w14:paraId="0F98B6A2" w14:textId="0572959B" w:rsidR="00202250" w:rsidRPr="006C6A39" w:rsidRDefault="00202250" w:rsidP="0059024A">
            <w:pPr>
              <w:pStyle w:val="ListParagraph"/>
              <w:numPr>
                <w:ilvl w:val="0"/>
                <w:numId w:val="7"/>
              </w:numPr>
              <w:spacing w:after="0" w:line="240" w:lineRule="auto"/>
              <w:rPr>
                <w:b w:val="0"/>
                <w:bCs w:val="0"/>
                <w:color w:val="000000" w:themeColor="text1"/>
              </w:rPr>
            </w:pPr>
            <w:r w:rsidRPr="006C6A39">
              <w:rPr>
                <w:b w:val="0"/>
                <w:bCs w:val="0"/>
                <w:color w:val="000000" w:themeColor="text1"/>
              </w:rPr>
              <w:t>The Program should continue to support MEHRD and MFAT’s role as EDPCG co-chairs. Provision of local TA to MEHRD’s Strategic Services Division can help bolster the capacity of MEHRD in executing its development partner co-ordination functions.</w:t>
            </w:r>
          </w:p>
          <w:p w14:paraId="218C48AD" w14:textId="77777777" w:rsidR="00202250" w:rsidRPr="00880CE2" w:rsidRDefault="00202250">
            <w:pPr>
              <w:rPr>
                <w:rFonts w:cstheme="minorHAnsi"/>
                <w:b w:val="0"/>
                <w:bCs w:val="0"/>
              </w:rPr>
            </w:pPr>
          </w:p>
        </w:tc>
        <w:tc>
          <w:tcPr>
            <w:tcW w:w="1336" w:type="dxa"/>
          </w:tcPr>
          <w:p w14:paraId="1DCCC6D4" w14:textId="32CEA090" w:rsidR="00202250" w:rsidRPr="006C6A39" w:rsidRDefault="00202250">
            <w:pPr>
              <w:cnfStyle w:val="000000000000" w:firstRow="0" w:lastRow="0" w:firstColumn="0" w:lastColumn="0" w:oddVBand="0" w:evenVBand="0" w:oddHBand="0" w:evenHBand="0" w:firstRowFirstColumn="0" w:firstRowLastColumn="0" w:lastRowFirstColumn="0" w:lastRowLastColumn="0"/>
              <w:rPr>
                <w:rFonts w:cstheme="minorHAnsi"/>
              </w:rPr>
            </w:pPr>
            <w:r w:rsidRPr="006C6A39">
              <w:rPr>
                <w:rFonts w:cstheme="minorHAnsi"/>
              </w:rPr>
              <w:t xml:space="preserve">Agree </w:t>
            </w:r>
          </w:p>
        </w:tc>
        <w:tc>
          <w:tcPr>
            <w:tcW w:w="5130" w:type="dxa"/>
          </w:tcPr>
          <w:p w14:paraId="13DB0137" w14:textId="0BBDA932" w:rsidR="00202250" w:rsidRDefault="00053AF4" w:rsidP="00960F7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The Program </w:t>
            </w:r>
            <w:r w:rsidR="00DA1E1A">
              <w:rPr>
                <w:rFonts w:cstheme="minorHAnsi"/>
                <w:color w:val="000000" w:themeColor="text1"/>
              </w:rPr>
              <w:t xml:space="preserve">agrees </w:t>
            </w:r>
            <w:r w:rsidR="008D6BA8">
              <w:rPr>
                <w:rFonts w:cstheme="minorHAnsi"/>
                <w:color w:val="000000" w:themeColor="text1"/>
              </w:rPr>
              <w:t xml:space="preserve">to </w:t>
            </w:r>
            <w:r>
              <w:rPr>
                <w:rFonts w:cstheme="minorHAnsi"/>
                <w:color w:val="000000" w:themeColor="text1"/>
              </w:rPr>
              <w:t>support MEHRD to develop more strategic approaches to school infrastructure, data management</w:t>
            </w:r>
            <w:r w:rsidR="00803412">
              <w:rPr>
                <w:rFonts w:cstheme="minorHAnsi"/>
                <w:color w:val="000000" w:themeColor="text1"/>
              </w:rPr>
              <w:t xml:space="preserve"> </w:t>
            </w:r>
            <w:r>
              <w:rPr>
                <w:rFonts w:cstheme="minorHAnsi"/>
                <w:color w:val="000000" w:themeColor="text1"/>
              </w:rPr>
              <w:t>that align with the Ministry’s Annual Workplans.</w:t>
            </w:r>
          </w:p>
          <w:p w14:paraId="53F46C69" w14:textId="14477187" w:rsidR="00202250" w:rsidRPr="00960F74" w:rsidRDefault="00202250" w:rsidP="00960F7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3949" w:type="dxa"/>
          </w:tcPr>
          <w:p w14:paraId="5F758DD5" w14:textId="641ED406" w:rsidR="00053AF4" w:rsidRPr="00053AF4" w:rsidRDefault="00053AF4" w:rsidP="00053AF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March 2024</w:t>
            </w:r>
          </w:p>
        </w:tc>
      </w:tr>
      <w:tr w:rsidR="00202250" w14:paraId="11160544" w14:textId="1DD80BA4" w:rsidTr="00202250">
        <w:tc>
          <w:tcPr>
            <w:cnfStyle w:val="001000000000" w:firstRow="0" w:lastRow="0" w:firstColumn="1" w:lastColumn="0" w:oddVBand="0" w:evenVBand="0" w:oddHBand="0" w:evenHBand="0" w:firstRowFirstColumn="0" w:firstRowLastColumn="0" w:lastRowFirstColumn="0" w:lastRowLastColumn="0"/>
            <w:tcW w:w="3533" w:type="dxa"/>
          </w:tcPr>
          <w:p w14:paraId="7DC9B38D" w14:textId="3F5CFDE6" w:rsidR="00202250" w:rsidRPr="00375C84" w:rsidRDefault="00202250" w:rsidP="00375C84">
            <w:r w:rsidRPr="00375C84">
              <w:t xml:space="preserve">Recommendation 4 </w:t>
            </w:r>
          </w:p>
          <w:p w14:paraId="0C7ADF5E" w14:textId="6DF9693E" w:rsidR="00202250" w:rsidRDefault="00202250" w:rsidP="00375C84">
            <w:r w:rsidRPr="0000176E">
              <w:rPr>
                <w:b w:val="0"/>
                <w:bCs w:val="0"/>
              </w:rPr>
              <w:t xml:space="preserve">MEHRD’s key role is policy formulation and system monitoring </w:t>
            </w:r>
            <w:r>
              <w:rPr>
                <w:b w:val="0"/>
                <w:bCs w:val="0"/>
              </w:rPr>
              <w:t xml:space="preserve">under the ELF requires increased sector coordination </w:t>
            </w:r>
            <w:r w:rsidRPr="00375C84">
              <w:rPr>
                <w:b w:val="0"/>
                <w:bCs w:val="0"/>
              </w:rPr>
              <w:t>within Solomon Islands education entities and with development partners</w:t>
            </w:r>
            <w:r>
              <w:rPr>
                <w:b w:val="0"/>
                <w:bCs w:val="0"/>
              </w:rPr>
              <w:t>:</w:t>
            </w:r>
          </w:p>
          <w:p w14:paraId="3DFA28A6" w14:textId="56043B35" w:rsidR="00202250" w:rsidRPr="008A3FE5" w:rsidRDefault="00202250" w:rsidP="008A3FE5">
            <w:pPr>
              <w:pStyle w:val="ListParagraph"/>
              <w:numPr>
                <w:ilvl w:val="0"/>
                <w:numId w:val="11"/>
              </w:numPr>
              <w:spacing w:after="0" w:line="240" w:lineRule="auto"/>
              <w:rPr>
                <w:b w:val="0"/>
                <w:bCs w:val="0"/>
                <w:color w:val="000000" w:themeColor="text1"/>
              </w:rPr>
            </w:pPr>
            <w:r w:rsidRPr="008A3FE5">
              <w:rPr>
                <w:b w:val="0"/>
                <w:bCs w:val="0"/>
                <w:color w:val="000000" w:themeColor="text1"/>
              </w:rPr>
              <w:lastRenderedPageBreak/>
              <w:t>Program should continue to support MEHRD and MFAT’s role as EDPCG co-chairs. Provision of local TA to MEHRD’s Strategic Services Division can help bolster the capacity of MEHRD in executing its development partner co-ordination functions.</w:t>
            </w:r>
          </w:p>
          <w:p w14:paraId="2620B92B" w14:textId="77777777" w:rsidR="00202250" w:rsidRPr="00880CE2" w:rsidRDefault="00202250">
            <w:pPr>
              <w:rPr>
                <w:rFonts w:cstheme="minorHAnsi"/>
                <w:b w:val="0"/>
                <w:bCs w:val="0"/>
              </w:rPr>
            </w:pPr>
          </w:p>
        </w:tc>
        <w:tc>
          <w:tcPr>
            <w:tcW w:w="1336" w:type="dxa"/>
          </w:tcPr>
          <w:p w14:paraId="506C6C14" w14:textId="1903A6FF" w:rsidR="00202250" w:rsidRPr="00375C84" w:rsidRDefault="00202250">
            <w:pPr>
              <w:cnfStyle w:val="000000000000" w:firstRow="0" w:lastRow="0" w:firstColumn="0" w:lastColumn="0" w:oddVBand="0" w:evenVBand="0" w:oddHBand="0" w:evenHBand="0" w:firstRowFirstColumn="0" w:firstRowLastColumn="0" w:lastRowFirstColumn="0" w:lastRowLastColumn="0"/>
              <w:rPr>
                <w:rFonts w:cstheme="minorHAnsi"/>
              </w:rPr>
            </w:pPr>
            <w:r w:rsidRPr="00375C84">
              <w:rPr>
                <w:rFonts w:cstheme="minorHAnsi"/>
              </w:rPr>
              <w:lastRenderedPageBreak/>
              <w:t>Agree</w:t>
            </w:r>
          </w:p>
        </w:tc>
        <w:tc>
          <w:tcPr>
            <w:tcW w:w="5130" w:type="dxa"/>
          </w:tcPr>
          <w:p w14:paraId="53933D67" w14:textId="3F7F699C" w:rsidR="008F14A8" w:rsidRDefault="008F14A8" w:rsidP="0080341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The Program </w:t>
            </w:r>
            <w:r w:rsidR="00DA1E1A">
              <w:rPr>
                <w:rFonts w:cstheme="minorHAnsi"/>
                <w:color w:val="000000" w:themeColor="text1"/>
              </w:rPr>
              <w:t>agrees</w:t>
            </w:r>
            <w:r w:rsidR="008D6BA8">
              <w:rPr>
                <w:rFonts w:cstheme="minorHAnsi"/>
                <w:color w:val="000000" w:themeColor="text1"/>
              </w:rPr>
              <w:t xml:space="preserve"> to</w:t>
            </w:r>
            <w:r w:rsidR="00DA1E1A">
              <w:rPr>
                <w:rFonts w:cstheme="minorHAnsi"/>
                <w:color w:val="000000" w:themeColor="text1"/>
              </w:rPr>
              <w:t xml:space="preserve"> </w:t>
            </w:r>
            <w:r>
              <w:rPr>
                <w:rFonts w:cstheme="minorHAnsi"/>
                <w:color w:val="000000" w:themeColor="text1"/>
              </w:rPr>
              <w:t>support MEHRD formulate a system monitoring to increase sector coordination with Solomon Education entities with Development Partners to execute development partner co-ordination functions.</w:t>
            </w:r>
          </w:p>
          <w:p w14:paraId="384324DF" w14:textId="77777777" w:rsidR="008F14A8" w:rsidRDefault="008F14A8" w:rsidP="0080341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A7B23B7" w14:textId="28D6809E" w:rsidR="00803412" w:rsidRPr="00803412" w:rsidRDefault="00803412" w:rsidP="0080341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3949" w:type="dxa"/>
          </w:tcPr>
          <w:p w14:paraId="044364EE" w14:textId="53464722" w:rsidR="008F14A8" w:rsidRPr="00803412" w:rsidRDefault="008F14A8" w:rsidP="0080341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February 2024</w:t>
            </w:r>
          </w:p>
        </w:tc>
      </w:tr>
      <w:tr w:rsidR="00202250" w14:paraId="2E0D49C2" w14:textId="2883A37A" w:rsidTr="00202250">
        <w:tc>
          <w:tcPr>
            <w:cnfStyle w:val="001000000000" w:firstRow="0" w:lastRow="0" w:firstColumn="1" w:lastColumn="0" w:oddVBand="0" w:evenVBand="0" w:oddHBand="0" w:evenHBand="0" w:firstRowFirstColumn="0" w:firstRowLastColumn="0" w:lastRowFirstColumn="0" w:lastRowLastColumn="0"/>
            <w:tcW w:w="3533" w:type="dxa"/>
          </w:tcPr>
          <w:p w14:paraId="5B4339CE" w14:textId="2B65F18E" w:rsidR="00202250" w:rsidRDefault="00202250" w:rsidP="001C5A59">
            <w:pPr>
              <w:rPr>
                <w:b w:val="0"/>
              </w:rPr>
            </w:pPr>
            <w:r w:rsidRPr="00991833">
              <w:t xml:space="preserve">Recommendation </w:t>
            </w:r>
            <w:r>
              <w:t>5</w:t>
            </w:r>
          </w:p>
          <w:p w14:paraId="292B2FED" w14:textId="77777777" w:rsidR="00202250" w:rsidRDefault="00202250" w:rsidP="001C5A59">
            <w:r w:rsidRPr="001C5A59">
              <w:rPr>
                <w:b w:val="0"/>
                <w:bCs w:val="0"/>
              </w:rPr>
              <w:t xml:space="preserve">The Program should support MEHRD to develop a transparent and equitable process for selecting school- based infrastructure projects and examine environmental risks (related to geographical location) prior to authorising building. </w:t>
            </w:r>
          </w:p>
          <w:p w14:paraId="14D4B6C1" w14:textId="4449F122" w:rsidR="00202250" w:rsidRPr="00127E15" w:rsidRDefault="00202250" w:rsidP="00127E15">
            <w:pPr>
              <w:pStyle w:val="ListParagraph"/>
              <w:numPr>
                <w:ilvl w:val="0"/>
                <w:numId w:val="12"/>
              </w:numPr>
              <w:spacing w:after="0" w:line="240" w:lineRule="auto"/>
              <w:rPr>
                <w:rFonts w:cstheme="minorHAnsi"/>
                <w:b w:val="0"/>
                <w:bCs w:val="0"/>
              </w:rPr>
            </w:pPr>
            <w:r w:rsidRPr="00127E15">
              <w:rPr>
                <w:b w:val="0"/>
                <w:bCs w:val="0"/>
                <w:color w:val="000000" w:themeColor="text1"/>
              </w:rPr>
              <w:t>Include developing a process for confirming commitments to asset maintenance and local buy- in with schools and setting explicit expectations (e.g., through a memorandum of Understanding).</w:t>
            </w:r>
          </w:p>
        </w:tc>
        <w:tc>
          <w:tcPr>
            <w:tcW w:w="1336" w:type="dxa"/>
          </w:tcPr>
          <w:p w14:paraId="3F73D4AB" w14:textId="7D64A212" w:rsidR="00202250" w:rsidRPr="00127E15" w:rsidRDefault="00202250">
            <w:pPr>
              <w:cnfStyle w:val="000000000000" w:firstRow="0" w:lastRow="0" w:firstColumn="0" w:lastColumn="0" w:oddVBand="0" w:evenVBand="0" w:oddHBand="0" w:evenHBand="0" w:firstRowFirstColumn="0" w:firstRowLastColumn="0" w:lastRowFirstColumn="0" w:lastRowLastColumn="0"/>
              <w:rPr>
                <w:rFonts w:cstheme="minorHAnsi"/>
              </w:rPr>
            </w:pPr>
            <w:r w:rsidRPr="00127E15">
              <w:rPr>
                <w:rFonts w:cstheme="minorHAnsi"/>
              </w:rPr>
              <w:t>Agree</w:t>
            </w:r>
          </w:p>
        </w:tc>
        <w:tc>
          <w:tcPr>
            <w:tcW w:w="5130" w:type="dxa"/>
          </w:tcPr>
          <w:p w14:paraId="458917CA" w14:textId="2732409D" w:rsidR="008F14A8" w:rsidRDefault="008F14A8" w:rsidP="008F14A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The Program </w:t>
            </w:r>
            <w:r w:rsidR="00DA1E1A">
              <w:rPr>
                <w:rFonts w:cstheme="minorHAnsi"/>
                <w:color w:val="000000" w:themeColor="text1"/>
              </w:rPr>
              <w:t>agrees</w:t>
            </w:r>
            <w:r w:rsidR="008D6BA8">
              <w:rPr>
                <w:rFonts w:cstheme="minorHAnsi"/>
                <w:color w:val="000000" w:themeColor="text1"/>
              </w:rPr>
              <w:t xml:space="preserve"> to</w:t>
            </w:r>
            <w:r>
              <w:rPr>
                <w:rFonts w:cstheme="minorHAnsi"/>
                <w:color w:val="000000" w:themeColor="text1"/>
              </w:rPr>
              <w:t xml:space="preserve"> support MEHRD develop an equitable process for School infrastructure projects considering environmental risks, geographical location and adhere to approved building standards.</w:t>
            </w:r>
          </w:p>
          <w:p w14:paraId="12FDBDC5" w14:textId="77777777" w:rsidR="008F14A8" w:rsidRPr="008F14A8" w:rsidRDefault="008F14A8" w:rsidP="008F14A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59B273B2" w14:textId="4300FCD3" w:rsidR="00202250" w:rsidRPr="00855D2E" w:rsidRDefault="00202250" w:rsidP="004829CC">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3949" w:type="dxa"/>
          </w:tcPr>
          <w:p w14:paraId="5D234ED1" w14:textId="63E04909" w:rsidR="008F14A8" w:rsidRPr="002857C1" w:rsidRDefault="008F14A8" w:rsidP="008F14A8">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March 2024</w:t>
            </w:r>
          </w:p>
        </w:tc>
      </w:tr>
    </w:tbl>
    <w:p w14:paraId="16BA9A0B" w14:textId="77777777" w:rsidR="00A726E8" w:rsidRDefault="00A726E8" w:rsidP="00CC444D">
      <w:pPr>
        <w:ind w:left="360"/>
        <w:rPr>
          <w:rFonts w:cstheme="minorHAnsi"/>
          <w:b/>
          <w:bCs/>
          <w:i/>
          <w:iCs/>
          <w:color w:val="000000" w:themeColor="text1"/>
        </w:rPr>
      </w:pPr>
    </w:p>
    <w:sectPr w:rsidR="00A726E8" w:rsidSect="00D6250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65BB" w14:textId="77777777" w:rsidR="008C0AEA" w:rsidRDefault="008C0AEA" w:rsidP="00375C84">
      <w:pPr>
        <w:spacing w:after="0" w:line="240" w:lineRule="auto"/>
      </w:pPr>
      <w:r>
        <w:separator/>
      </w:r>
    </w:p>
  </w:endnote>
  <w:endnote w:type="continuationSeparator" w:id="0">
    <w:p w14:paraId="35143FD7" w14:textId="77777777" w:rsidR="008C0AEA" w:rsidRDefault="008C0AEA" w:rsidP="0037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806" w14:textId="77777777" w:rsidR="00511C0D" w:rsidRDefault="00511C0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8F04A1" w14:textId="77777777" w:rsidR="00511C0D" w:rsidRDefault="0051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7029" w14:textId="77777777" w:rsidR="008C0AEA" w:rsidRDefault="008C0AEA" w:rsidP="00375C84">
      <w:pPr>
        <w:spacing w:after="0" w:line="240" w:lineRule="auto"/>
      </w:pPr>
      <w:r>
        <w:separator/>
      </w:r>
    </w:p>
  </w:footnote>
  <w:footnote w:type="continuationSeparator" w:id="0">
    <w:p w14:paraId="242F3510" w14:textId="77777777" w:rsidR="008C0AEA" w:rsidRDefault="008C0AEA" w:rsidP="00375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55C"/>
    <w:multiLevelType w:val="hybridMultilevel"/>
    <w:tmpl w:val="B8B6BDCA"/>
    <w:lvl w:ilvl="0" w:tplc="860E5DB2">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F9731C"/>
    <w:multiLevelType w:val="hybridMultilevel"/>
    <w:tmpl w:val="4BDCC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81AFD"/>
    <w:multiLevelType w:val="hybridMultilevel"/>
    <w:tmpl w:val="02E6B2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033A3"/>
    <w:multiLevelType w:val="hybridMultilevel"/>
    <w:tmpl w:val="46C0A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D24412"/>
    <w:multiLevelType w:val="multilevel"/>
    <w:tmpl w:val="F0CEC04E"/>
    <w:styleLink w:val="Outlines"/>
    <w:lvl w:ilvl="0">
      <w:start w:val="1"/>
      <w:numFmt w:val="decimal"/>
      <w:pStyle w:val="Bullet-Number"/>
      <w:lvlText w:val="%1."/>
      <w:lvlJc w:val="left"/>
      <w:pPr>
        <w:ind w:left="425" w:hanging="425"/>
      </w:pPr>
      <w:rPr>
        <w:rFonts w:hint="default"/>
      </w:rPr>
    </w:lvl>
    <w:lvl w:ilvl="1">
      <w:start w:val="1"/>
      <w:numFmt w:val="lowerLetter"/>
      <w:pStyle w:val="Bullet-NumberAlpha"/>
      <w:lvlText w:val="%2."/>
      <w:lvlJc w:val="left"/>
      <w:pPr>
        <w:ind w:left="850" w:hanging="425"/>
      </w:pPr>
      <w:rPr>
        <w:rFonts w:hint="default"/>
      </w:rPr>
    </w:lvl>
    <w:lvl w:ilvl="2">
      <w:start w:val="1"/>
      <w:numFmt w:val="lowerRoman"/>
      <w:pStyle w:val="Bullet-NumberAlpha2"/>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386C45E6"/>
    <w:multiLevelType w:val="hybridMultilevel"/>
    <w:tmpl w:val="86063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4662B3"/>
    <w:multiLevelType w:val="hybridMultilevel"/>
    <w:tmpl w:val="66680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8B7152"/>
    <w:multiLevelType w:val="hybridMultilevel"/>
    <w:tmpl w:val="C172E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8E2405"/>
    <w:multiLevelType w:val="hybridMultilevel"/>
    <w:tmpl w:val="D74869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250D68"/>
    <w:multiLevelType w:val="hybridMultilevel"/>
    <w:tmpl w:val="1E529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AE7FE9"/>
    <w:multiLevelType w:val="hybridMultilevel"/>
    <w:tmpl w:val="A810E6CA"/>
    <w:lvl w:ilvl="0" w:tplc="C72A25F6">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E0354"/>
    <w:multiLevelType w:val="hybridMultilevel"/>
    <w:tmpl w:val="CC520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0404DB"/>
    <w:multiLevelType w:val="hybridMultilevel"/>
    <w:tmpl w:val="3E7C85AE"/>
    <w:lvl w:ilvl="0" w:tplc="62BC4FE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632717"/>
    <w:multiLevelType w:val="hybridMultilevel"/>
    <w:tmpl w:val="EA544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C93730"/>
    <w:multiLevelType w:val="multilevel"/>
    <w:tmpl w:val="F0CEC04E"/>
    <w:numStyleLink w:val="Outlines"/>
  </w:abstractNum>
  <w:abstractNum w:abstractNumId="15" w15:restartNumberingAfterBreak="0">
    <w:nsid w:val="6D77358B"/>
    <w:multiLevelType w:val="hybridMultilevel"/>
    <w:tmpl w:val="2EAE53C8"/>
    <w:lvl w:ilvl="0" w:tplc="082600F6">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E14CD7"/>
    <w:multiLevelType w:val="hybridMultilevel"/>
    <w:tmpl w:val="B046F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9F45AD"/>
    <w:multiLevelType w:val="hybridMultilevel"/>
    <w:tmpl w:val="20E20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8C2829"/>
    <w:multiLevelType w:val="hybridMultilevel"/>
    <w:tmpl w:val="FDC28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585870">
    <w:abstractNumId w:val="8"/>
  </w:num>
  <w:num w:numId="2" w16cid:durableId="1934701398">
    <w:abstractNumId w:val="10"/>
  </w:num>
  <w:num w:numId="3" w16cid:durableId="1615748178">
    <w:abstractNumId w:val="15"/>
  </w:num>
  <w:num w:numId="4" w16cid:durableId="1832213639">
    <w:abstractNumId w:val="11"/>
  </w:num>
  <w:num w:numId="5" w16cid:durableId="598803609">
    <w:abstractNumId w:val="17"/>
  </w:num>
  <w:num w:numId="6" w16cid:durableId="163977817">
    <w:abstractNumId w:val="0"/>
  </w:num>
  <w:num w:numId="7" w16cid:durableId="1959482666">
    <w:abstractNumId w:val="2"/>
  </w:num>
  <w:num w:numId="8" w16cid:durableId="1403019328">
    <w:abstractNumId w:val="6"/>
  </w:num>
  <w:num w:numId="9" w16cid:durableId="2112309461">
    <w:abstractNumId w:val="16"/>
  </w:num>
  <w:num w:numId="10" w16cid:durableId="509678822">
    <w:abstractNumId w:val="18"/>
  </w:num>
  <w:num w:numId="11" w16cid:durableId="339697162">
    <w:abstractNumId w:val="13"/>
  </w:num>
  <w:num w:numId="12" w16cid:durableId="485515001">
    <w:abstractNumId w:val="12"/>
  </w:num>
  <w:num w:numId="13" w16cid:durableId="1705865294">
    <w:abstractNumId w:val="5"/>
  </w:num>
  <w:num w:numId="14" w16cid:durableId="1663118404">
    <w:abstractNumId w:val="7"/>
  </w:num>
  <w:num w:numId="15" w16cid:durableId="847014789">
    <w:abstractNumId w:val="1"/>
  </w:num>
  <w:num w:numId="16" w16cid:durableId="2002780359">
    <w:abstractNumId w:val="9"/>
  </w:num>
  <w:num w:numId="17" w16cid:durableId="866335097">
    <w:abstractNumId w:val="3"/>
  </w:num>
  <w:num w:numId="18" w16cid:durableId="200021119">
    <w:abstractNumId w:val="4"/>
  </w:num>
  <w:num w:numId="19" w16cid:durableId="200671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2"/>
    <w:rsid w:val="00000BA6"/>
    <w:rsid w:val="0000176E"/>
    <w:rsid w:val="00032A5B"/>
    <w:rsid w:val="000506F3"/>
    <w:rsid w:val="00053AF4"/>
    <w:rsid w:val="0005734C"/>
    <w:rsid w:val="0007085C"/>
    <w:rsid w:val="000A5F17"/>
    <w:rsid w:val="000F707F"/>
    <w:rsid w:val="001008CD"/>
    <w:rsid w:val="00112CFC"/>
    <w:rsid w:val="001133FA"/>
    <w:rsid w:val="00127E15"/>
    <w:rsid w:val="00132374"/>
    <w:rsid w:val="001438D6"/>
    <w:rsid w:val="00177CD7"/>
    <w:rsid w:val="0018406E"/>
    <w:rsid w:val="001C5A59"/>
    <w:rsid w:val="001E1AD5"/>
    <w:rsid w:val="001E4B07"/>
    <w:rsid w:val="001F2DE9"/>
    <w:rsid w:val="001F6D06"/>
    <w:rsid w:val="002008BB"/>
    <w:rsid w:val="00202250"/>
    <w:rsid w:val="00243989"/>
    <w:rsid w:val="00280DE8"/>
    <w:rsid w:val="002857C1"/>
    <w:rsid w:val="00295BAB"/>
    <w:rsid w:val="002D4157"/>
    <w:rsid w:val="002D4AE6"/>
    <w:rsid w:val="00310DFF"/>
    <w:rsid w:val="0034123D"/>
    <w:rsid w:val="00341543"/>
    <w:rsid w:val="00372FFE"/>
    <w:rsid w:val="00375C84"/>
    <w:rsid w:val="00417D57"/>
    <w:rsid w:val="0042345D"/>
    <w:rsid w:val="00454E6B"/>
    <w:rsid w:val="0046639B"/>
    <w:rsid w:val="004829CC"/>
    <w:rsid w:val="004F7D97"/>
    <w:rsid w:val="00511C0D"/>
    <w:rsid w:val="0052096A"/>
    <w:rsid w:val="00532254"/>
    <w:rsid w:val="005874AE"/>
    <w:rsid w:val="0059024A"/>
    <w:rsid w:val="0065302E"/>
    <w:rsid w:val="00654E8C"/>
    <w:rsid w:val="006C6A39"/>
    <w:rsid w:val="006D1CC9"/>
    <w:rsid w:val="006E0739"/>
    <w:rsid w:val="00711BA8"/>
    <w:rsid w:val="00712986"/>
    <w:rsid w:val="00721771"/>
    <w:rsid w:val="007403C1"/>
    <w:rsid w:val="00774F32"/>
    <w:rsid w:val="007B6AC8"/>
    <w:rsid w:val="00803412"/>
    <w:rsid w:val="00814E03"/>
    <w:rsid w:val="00855D2E"/>
    <w:rsid w:val="0086239A"/>
    <w:rsid w:val="00880CE2"/>
    <w:rsid w:val="00887D62"/>
    <w:rsid w:val="008A3FE5"/>
    <w:rsid w:val="008C0AEA"/>
    <w:rsid w:val="008D64F1"/>
    <w:rsid w:val="008D6BA8"/>
    <w:rsid w:val="008F0087"/>
    <w:rsid w:val="008F14A8"/>
    <w:rsid w:val="00960F74"/>
    <w:rsid w:val="00967C3E"/>
    <w:rsid w:val="00970C62"/>
    <w:rsid w:val="009C0807"/>
    <w:rsid w:val="009C5A99"/>
    <w:rsid w:val="00A0569E"/>
    <w:rsid w:val="00A16ED0"/>
    <w:rsid w:val="00A726E8"/>
    <w:rsid w:val="00A83E4B"/>
    <w:rsid w:val="00B45CCF"/>
    <w:rsid w:val="00B91DE2"/>
    <w:rsid w:val="00BB0455"/>
    <w:rsid w:val="00BB5AD6"/>
    <w:rsid w:val="00BC797B"/>
    <w:rsid w:val="00C0546C"/>
    <w:rsid w:val="00C52E6E"/>
    <w:rsid w:val="00CB4A66"/>
    <w:rsid w:val="00CC444D"/>
    <w:rsid w:val="00CE14CB"/>
    <w:rsid w:val="00CF4412"/>
    <w:rsid w:val="00D01B8C"/>
    <w:rsid w:val="00D34326"/>
    <w:rsid w:val="00D60893"/>
    <w:rsid w:val="00D62502"/>
    <w:rsid w:val="00D70947"/>
    <w:rsid w:val="00D71A6F"/>
    <w:rsid w:val="00D9233E"/>
    <w:rsid w:val="00DA1E1A"/>
    <w:rsid w:val="00DB0994"/>
    <w:rsid w:val="00DD0EC1"/>
    <w:rsid w:val="00E159ED"/>
    <w:rsid w:val="00E64DC6"/>
    <w:rsid w:val="00E97F80"/>
    <w:rsid w:val="00ED1672"/>
    <w:rsid w:val="00F25DCE"/>
    <w:rsid w:val="00F32795"/>
    <w:rsid w:val="00F47D8D"/>
    <w:rsid w:val="00FA2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C6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D6250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62502"/>
    <w:pPr>
      <w:suppressAutoHyphens/>
      <w:spacing w:before="120" w:after="60" w:line="260" w:lineRule="atLeast"/>
      <w:ind w:left="720"/>
      <w:contextualSpacing/>
    </w:pPr>
    <w:rPr>
      <w:color w:val="44546A" w:themeColor="text2"/>
      <w:lang w:val="en-GB"/>
    </w:rPr>
  </w:style>
  <w:style w:type="paragraph" w:styleId="Header">
    <w:name w:val="header"/>
    <w:basedOn w:val="Normal"/>
    <w:link w:val="HeaderChar"/>
    <w:uiPriority w:val="99"/>
    <w:unhideWhenUsed/>
    <w:rsid w:val="0051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0D"/>
  </w:style>
  <w:style w:type="paragraph" w:styleId="Footer">
    <w:name w:val="footer"/>
    <w:basedOn w:val="Normal"/>
    <w:link w:val="FooterChar"/>
    <w:uiPriority w:val="99"/>
    <w:unhideWhenUsed/>
    <w:rsid w:val="0051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0D"/>
  </w:style>
  <w:style w:type="paragraph" w:styleId="Revision">
    <w:name w:val="Revision"/>
    <w:hidden/>
    <w:uiPriority w:val="99"/>
    <w:semiHidden/>
    <w:rsid w:val="00BC797B"/>
    <w:pPr>
      <w:spacing w:after="0" w:line="240" w:lineRule="auto"/>
    </w:pPr>
  </w:style>
  <w:style w:type="character" w:styleId="CommentReference">
    <w:name w:val="annotation reference"/>
    <w:basedOn w:val="DefaultParagraphFont"/>
    <w:uiPriority w:val="99"/>
    <w:semiHidden/>
    <w:unhideWhenUsed/>
    <w:rsid w:val="00BC797B"/>
    <w:rPr>
      <w:sz w:val="16"/>
      <w:szCs w:val="16"/>
    </w:rPr>
  </w:style>
  <w:style w:type="paragraph" w:styleId="CommentText">
    <w:name w:val="annotation text"/>
    <w:basedOn w:val="Normal"/>
    <w:link w:val="CommentTextChar"/>
    <w:uiPriority w:val="99"/>
    <w:unhideWhenUsed/>
    <w:rsid w:val="00BC797B"/>
    <w:pPr>
      <w:spacing w:line="240" w:lineRule="auto"/>
    </w:pPr>
    <w:rPr>
      <w:sz w:val="20"/>
      <w:szCs w:val="20"/>
    </w:rPr>
  </w:style>
  <w:style w:type="character" w:customStyle="1" w:styleId="CommentTextChar">
    <w:name w:val="Comment Text Char"/>
    <w:basedOn w:val="DefaultParagraphFont"/>
    <w:link w:val="CommentText"/>
    <w:uiPriority w:val="99"/>
    <w:rsid w:val="00BC797B"/>
    <w:rPr>
      <w:sz w:val="20"/>
      <w:szCs w:val="20"/>
    </w:rPr>
  </w:style>
  <w:style w:type="paragraph" w:styleId="CommentSubject">
    <w:name w:val="annotation subject"/>
    <w:basedOn w:val="CommentText"/>
    <w:next w:val="CommentText"/>
    <w:link w:val="CommentSubjectChar"/>
    <w:uiPriority w:val="99"/>
    <w:semiHidden/>
    <w:unhideWhenUsed/>
    <w:rsid w:val="00BC797B"/>
    <w:rPr>
      <w:b/>
      <w:bCs/>
    </w:rPr>
  </w:style>
  <w:style w:type="character" w:customStyle="1" w:styleId="CommentSubjectChar">
    <w:name w:val="Comment Subject Char"/>
    <w:basedOn w:val="CommentTextChar"/>
    <w:link w:val="CommentSubject"/>
    <w:uiPriority w:val="99"/>
    <w:semiHidden/>
    <w:rsid w:val="00BC797B"/>
    <w:rPr>
      <w:b/>
      <w:bCs/>
      <w:sz w:val="20"/>
      <w:szCs w:val="20"/>
    </w:rPr>
  </w:style>
  <w:style w:type="numbering" w:customStyle="1" w:styleId="Outlines">
    <w:name w:val="Outlines"/>
    <w:uiPriority w:val="99"/>
    <w:rsid w:val="00132374"/>
    <w:pPr>
      <w:numPr>
        <w:numId w:val="18"/>
      </w:numPr>
    </w:pPr>
  </w:style>
  <w:style w:type="paragraph" w:customStyle="1" w:styleId="Bullet-Number">
    <w:name w:val="Bullet - Number"/>
    <w:basedOn w:val="Normal"/>
    <w:link w:val="Bullet-NumberChar"/>
    <w:uiPriority w:val="2"/>
    <w:qFormat/>
    <w:rsid w:val="00132374"/>
    <w:pPr>
      <w:numPr>
        <w:numId w:val="19"/>
      </w:numPr>
      <w:spacing w:before="120" w:after="120" w:line="276" w:lineRule="auto"/>
      <w:jc w:val="both"/>
    </w:pPr>
    <w:rPr>
      <w:lang w:val="en-NZ"/>
    </w:rPr>
  </w:style>
  <w:style w:type="paragraph" w:customStyle="1" w:styleId="Bullet-NumberAlpha">
    <w:name w:val="Bullet - Number Alpha"/>
    <w:basedOn w:val="Bullet-Number"/>
    <w:uiPriority w:val="2"/>
    <w:qFormat/>
    <w:rsid w:val="00132374"/>
    <w:pPr>
      <w:numPr>
        <w:ilvl w:val="1"/>
      </w:numPr>
      <w:ind w:left="1440" w:hanging="360"/>
    </w:pPr>
    <w:rPr>
      <w:lang w:val="en-AU"/>
    </w:rPr>
  </w:style>
  <w:style w:type="paragraph" w:customStyle="1" w:styleId="Bullet-NumberAlpha2">
    <w:name w:val="Bullet - Number Alpha 2"/>
    <w:basedOn w:val="Bullet-NumberAlpha"/>
    <w:uiPriority w:val="2"/>
    <w:qFormat/>
    <w:rsid w:val="00132374"/>
    <w:pPr>
      <w:numPr>
        <w:ilvl w:val="2"/>
      </w:numPr>
      <w:ind w:left="2160" w:hanging="180"/>
    </w:pPr>
  </w:style>
  <w:style w:type="character" w:customStyle="1" w:styleId="Bullet-NumberChar">
    <w:name w:val="Bullet - Number Char"/>
    <w:basedOn w:val="DefaultParagraphFont"/>
    <w:link w:val="Bullet-Number"/>
    <w:uiPriority w:val="2"/>
    <w:rsid w:val="00132374"/>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3239</Characters>
  <Application>Microsoft Office Word</Application>
  <DocSecurity>0</DocSecurity>
  <Lines>137</Lines>
  <Paragraphs>37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Sector Support Program (ESSP) Mid- Term Evaluation Recommendations and Management Response</dc:title>
  <dc:subject/>
  <dc:creator/>
  <cp:keywords>[SEC=OFFICIAL]</cp:keywords>
  <dc:description/>
  <cp:lastModifiedBy/>
  <cp:revision>1</cp:revision>
  <dcterms:created xsi:type="dcterms:W3CDTF">2023-12-14T23:35:00Z</dcterms:created>
  <dcterms:modified xsi:type="dcterms:W3CDTF">2023-12-14T23:35:00Z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v=2022.1;a=SHA256;h=67ABEDCAA61A1408B7E7570E1FA06601CED0A6A8DE859F6BDA18A590431190A7</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2023-12-01T01:14:07Z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BCA59DD239004C6AA705B87D829A79F0</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728DE7FB5A7865A4A7C469243D6C4E53</vt:lpwstr>
  </property>
  <property fmtid="{D5CDD505-2E9C-101B-9397-08002B2CF9AE}" pid="24" name="PM_Hash_Salt">
    <vt:lpwstr>88E020A1A694491B7C387078A0C726E2</vt:lpwstr>
  </property>
  <property fmtid="{D5CDD505-2E9C-101B-9397-08002B2CF9AE}" pid="25" name="PM_Hash_SHA1">
    <vt:lpwstr>4561FCF78941542A8B3FDB4220EB5DF9F9B194A3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