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BEA8" w14:textId="58E012E2" w:rsidR="00C825DC" w:rsidRPr="002D08C8" w:rsidRDefault="002F4699" w:rsidP="002D08C8">
      <w:pPr>
        <w:pStyle w:val="Heading1"/>
      </w:pPr>
      <w:r w:rsidRPr="002D08C8">
        <w:t xml:space="preserve">DFAT’s Management Response to the Empowering Migrants through Pacific Remittances (EMPR) Mid-term Review </w:t>
      </w:r>
    </w:p>
    <w:p w14:paraId="3B5BBBA4" w14:textId="61527B1C" w:rsidR="002F4699" w:rsidRDefault="0994C299" w:rsidP="35A0DDC7">
      <w:pPr>
        <w:spacing w:before="120" w:after="40" w:line="276" w:lineRule="auto"/>
        <w:rPr>
          <w:rFonts w:cs="Arial"/>
        </w:rPr>
      </w:pPr>
      <w:r w:rsidRPr="35A0DDC7">
        <w:rPr>
          <w:rFonts w:cs="Arial"/>
        </w:rPr>
        <w:t xml:space="preserve">An </w:t>
      </w:r>
      <w:r w:rsidR="604D0920" w:rsidRPr="35A0DDC7">
        <w:rPr>
          <w:rFonts w:cs="Arial"/>
        </w:rPr>
        <w:t xml:space="preserve">independent Mid-term Review of the Empowering Migrants through Pacific Remittances </w:t>
      </w:r>
      <w:r w:rsidRPr="35A0DDC7">
        <w:rPr>
          <w:rFonts w:cs="Arial"/>
        </w:rPr>
        <w:t xml:space="preserve">was conducted in June 2023 as part </w:t>
      </w:r>
      <w:r w:rsidR="5C8EA409" w:rsidRPr="35A0DDC7">
        <w:rPr>
          <w:rFonts w:cs="Arial"/>
        </w:rPr>
        <w:t>of DFAT’s i</w:t>
      </w:r>
      <w:r w:rsidR="5C8EA409" w:rsidRPr="35A0DDC7">
        <w:rPr>
          <w:rFonts w:eastAsia="Arial" w:cs="Arial"/>
          <w:szCs w:val="20"/>
        </w:rPr>
        <w:t>nvestment monitoring and evaluation systems</w:t>
      </w:r>
      <w:r w:rsidR="6B9502E8" w:rsidRPr="35A0DDC7">
        <w:rPr>
          <w:rFonts w:cs="Arial"/>
        </w:rPr>
        <w:t>. The review provided a considered analysis of progress towards each of the program’s four outcomes,</w:t>
      </w:r>
      <w:r w:rsidR="57BD1E91" w:rsidRPr="35A0DDC7">
        <w:rPr>
          <w:rFonts w:cs="Arial"/>
        </w:rPr>
        <w:t xml:space="preserve"> and</w:t>
      </w:r>
      <w:r w:rsidR="6B9502E8" w:rsidRPr="35A0DDC7">
        <w:rPr>
          <w:rFonts w:cs="Arial"/>
        </w:rPr>
        <w:t xml:space="preserve"> its continuing relevance, </w:t>
      </w:r>
      <w:r w:rsidR="489F1820" w:rsidRPr="35A0DDC7">
        <w:rPr>
          <w:rFonts w:cs="Arial"/>
        </w:rPr>
        <w:t xml:space="preserve">effectiveness, </w:t>
      </w:r>
      <w:r w:rsidR="6B9502E8" w:rsidRPr="35A0DDC7">
        <w:rPr>
          <w:rFonts w:cs="Arial"/>
        </w:rPr>
        <w:t>efficiency, coherence</w:t>
      </w:r>
      <w:r w:rsidR="57BD1E91" w:rsidRPr="35A0DDC7">
        <w:rPr>
          <w:rFonts w:cs="Arial"/>
        </w:rPr>
        <w:t>,</w:t>
      </w:r>
      <w:r w:rsidR="6B9502E8" w:rsidRPr="35A0DDC7">
        <w:rPr>
          <w:rFonts w:cs="Arial"/>
        </w:rPr>
        <w:t xml:space="preserve"> </w:t>
      </w:r>
      <w:r w:rsidR="57BD1E91" w:rsidRPr="35A0DDC7">
        <w:rPr>
          <w:rFonts w:cs="Arial"/>
        </w:rPr>
        <w:t xml:space="preserve">inclusion </w:t>
      </w:r>
      <w:r w:rsidR="6B9502E8" w:rsidRPr="35A0DDC7">
        <w:rPr>
          <w:rFonts w:cs="Arial"/>
        </w:rPr>
        <w:t xml:space="preserve">and sustainability of the services provided to-date. </w:t>
      </w:r>
    </w:p>
    <w:p w14:paraId="02049AAE" w14:textId="633D503B" w:rsidR="00B90655" w:rsidRDefault="0994C299" w:rsidP="35A0DDC7">
      <w:pPr>
        <w:spacing w:before="120" w:after="40" w:line="276" w:lineRule="auto"/>
        <w:rPr>
          <w:rFonts w:cs="Arial"/>
        </w:rPr>
      </w:pPr>
      <w:r w:rsidRPr="35A0DDC7">
        <w:rPr>
          <w:rFonts w:cs="Arial"/>
        </w:rPr>
        <w:t xml:space="preserve">The review found </w:t>
      </w:r>
      <w:r w:rsidR="6B9502E8" w:rsidRPr="35A0DDC7">
        <w:rPr>
          <w:rFonts w:cs="Arial"/>
        </w:rPr>
        <w:t>that remittances remain an important source of income for many people across the Pacific who use money received to help cover basic needs such as health and education, and to cushion the effects of shocks such as natural disasters and economic downturns. T</w:t>
      </w:r>
      <w:r w:rsidR="75BF11A9" w:rsidRPr="35A0DDC7">
        <w:rPr>
          <w:rFonts w:cs="Arial"/>
        </w:rPr>
        <w:t xml:space="preserve">he revamped Send Money Pacific </w:t>
      </w:r>
      <w:r w:rsidR="6597E90C" w:rsidRPr="35A0DDC7">
        <w:rPr>
          <w:rFonts w:cs="Arial"/>
        </w:rPr>
        <w:t xml:space="preserve">(SMP) </w:t>
      </w:r>
      <w:r w:rsidR="75BF11A9" w:rsidRPr="35A0DDC7">
        <w:rPr>
          <w:rFonts w:cs="Arial"/>
        </w:rPr>
        <w:t>comparison website</w:t>
      </w:r>
      <w:r w:rsidR="57BD1E91" w:rsidRPr="35A0DDC7">
        <w:rPr>
          <w:rFonts w:cs="Arial"/>
        </w:rPr>
        <w:t>, and new mobile phone app,</w:t>
      </w:r>
      <w:r w:rsidR="75BF11A9" w:rsidRPr="35A0DDC7">
        <w:rPr>
          <w:rFonts w:cs="Arial"/>
        </w:rPr>
        <w:t xml:space="preserve"> is easier to use than earlier iterations</w:t>
      </w:r>
      <w:r w:rsidR="57BD1E91" w:rsidRPr="35A0DDC7">
        <w:rPr>
          <w:rFonts w:cs="Arial"/>
        </w:rPr>
        <w:t>.</w:t>
      </w:r>
      <w:r w:rsidR="0AFEE456" w:rsidRPr="35A0DDC7">
        <w:rPr>
          <w:rFonts w:cs="Arial"/>
        </w:rPr>
        <w:t xml:space="preserve"> </w:t>
      </w:r>
      <w:r w:rsidR="00957282">
        <w:rPr>
          <w:rFonts w:cs="Arial"/>
        </w:rPr>
        <w:t>In</w:t>
      </w:r>
      <w:r w:rsidR="00EA1C66">
        <w:rPr>
          <w:rFonts w:cs="Arial"/>
        </w:rPr>
        <w:t>-</w:t>
      </w:r>
      <w:r w:rsidR="75BF11A9" w:rsidRPr="35A0DDC7">
        <w:rPr>
          <w:rFonts w:cs="Arial"/>
        </w:rPr>
        <w:t>language</w:t>
      </w:r>
      <w:r w:rsidR="00957282">
        <w:rPr>
          <w:rFonts w:cs="Arial"/>
        </w:rPr>
        <w:t xml:space="preserve"> content has been</w:t>
      </w:r>
      <w:r w:rsidR="75BF11A9" w:rsidRPr="35A0DDC7">
        <w:rPr>
          <w:rFonts w:cs="Arial"/>
        </w:rPr>
        <w:t xml:space="preserve"> highly appreciated</w:t>
      </w:r>
      <w:r w:rsidR="6E8FD7E8" w:rsidRPr="35A0DDC7">
        <w:rPr>
          <w:rFonts w:cs="Arial"/>
        </w:rPr>
        <w:t xml:space="preserve"> </w:t>
      </w:r>
      <w:r w:rsidR="000B1AA0">
        <w:rPr>
          <w:rFonts w:cs="Arial"/>
        </w:rPr>
        <w:t xml:space="preserve">by </w:t>
      </w:r>
      <w:r w:rsidR="00D843FC">
        <w:rPr>
          <w:rFonts w:cs="Arial"/>
        </w:rPr>
        <w:t>Pacific communities</w:t>
      </w:r>
      <w:r w:rsidR="6E8FD7E8" w:rsidRPr="35A0DDC7">
        <w:rPr>
          <w:rFonts w:cs="Arial"/>
        </w:rPr>
        <w:t>.</w:t>
      </w:r>
      <w:r w:rsidR="6E8FD7E8" w:rsidRPr="35A0DDC7">
        <w:rPr>
          <w:rStyle w:val="normaltextrun"/>
          <w:rFonts w:cs="Arial"/>
        </w:rPr>
        <w:t xml:space="preserve"> </w:t>
      </w:r>
      <w:r w:rsidR="00061E5F" w:rsidRPr="35A0DDC7">
        <w:rPr>
          <w:rStyle w:val="normaltextrun"/>
          <w:rFonts w:cs="Arial"/>
        </w:rPr>
        <w:t>W</w:t>
      </w:r>
      <w:r w:rsidR="0AFEE456" w:rsidRPr="35A0DDC7">
        <w:rPr>
          <w:rFonts w:cs="Arial"/>
        </w:rPr>
        <w:t>hile the app shows promise in growth of users and high rates of return users</w:t>
      </w:r>
      <w:r w:rsidR="6B9502E8" w:rsidRPr="35A0DDC7">
        <w:rPr>
          <w:rFonts w:cs="Arial"/>
        </w:rPr>
        <w:t>,</w:t>
      </w:r>
      <w:r w:rsidR="0AFEE456" w:rsidRPr="35A0DDC7">
        <w:rPr>
          <w:rFonts w:cs="Arial"/>
        </w:rPr>
        <w:t xml:space="preserve"> there is </w:t>
      </w:r>
      <w:r w:rsidR="6E8FD7E8" w:rsidRPr="35A0DDC7">
        <w:rPr>
          <w:rFonts w:cs="Arial"/>
        </w:rPr>
        <w:t xml:space="preserve">still relatively limited </w:t>
      </w:r>
      <w:r w:rsidR="0AFEE456" w:rsidRPr="35A0DDC7">
        <w:rPr>
          <w:rFonts w:cs="Arial"/>
        </w:rPr>
        <w:t xml:space="preserve">evidence of </w:t>
      </w:r>
      <w:r w:rsidR="6E8FD7E8" w:rsidRPr="35A0DDC7">
        <w:rPr>
          <w:rFonts w:cs="Arial"/>
        </w:rPr>
        <w:t xml:space="preserve">use of the </w:t>
      </w:r>
      <w:r w:rsidR="0AFEE456" w:rsidRPr="35A0DDC7">
        <w:rPr>
          <w:rFonts w:cs="Arial"/>
        </w:rPr>
        <w:t xml:space="preserve">comparison </w:t>
      </w:r>
      <w:r w:rsidR="006D5AB8">
        <w:rPr>
          <w:rFonts w:cs="Arial"/>
        </w:rPr>
        <w:t>web</w:t>
      </w:r>
      <w:r w:rsidR="6E8FD7E8" w:rsidRPr="35A0DDC7">
        <w:rPr>
          <w:rFonts w:cs="Arial"/>
        </w:rPr>
        <w:t xml:space="preserve">site </w:t>
      </w:r>
      <w:r w:rsidR="75BF11A9" w:rsidRPr="35A0DDC7">
        <w:rPr>
          <w:rFonts w:cs="Arial"/>
        </w:rPr>
        <w:t xml:space="preserve">by </w:t>
      </w:r>
      <w:r w:rsidR="6B9502E8" w:rsidRPr="35A0DDC7">
        <w:rPr>
          <w:rFonts w:cs="Arial"/>
        </w:rPr>
        <w:t xml:space="preserve">target </w:t>
      </w:r>
      <w:r w:rsidR="6E8FD7E8" w:rsidRPr="35A0DDC7">
        <w:rPr>
          <w:rFonts w:cs="Arial"/>
        </w:rPr>
        <w:t>Pa</w:t>
      </w:r>
      <w:r w:rsidR="6B9502E8" w:rsidRPr="35A0DDC7">
        <w:rPr>
          <w:rFonts w:cs="Arial"/>
        </w:rPr>
        <w:t>si</w:t>
      </w:r>
      <w:r w:rsidR="6E8FD7E8" w:rsidRPr="35A0DDC7">
        <w:rPr>
          <w:rFonts w:cs="Arial"/>
        </w:rPr>
        <w:t xml:space="preserve">fika </w:t>
      </w:r>
      <w:r w:rsidR="6B9502E8" w:rsidRPr="35A0DDC7">
        <w:rPr>
          <w:rFonts w:cs="Arial"/>
        </w:rPr>
        <w:t>remitters in either Australia or New Zealand</w:t>
      </w:r>
      <w:r w:rsidR="0AFEE456" w:rsidRPr="35A0DDC7">
        <w:rPr>
          <w:rFonts w:cs="Arial"/>
        </w:rPr>
        <w:t>.</w:t>
      </w:r>
    </w:p>
    <w:p w14:paraId="0D1DF624" w14:textId="3A2A74CA" w:rsidR="006669C1" w:rsidRPr="006669C1" w:rsidRDefault="006669C1" w:rsidP="00643A10">
      <w:pPr>
        <w:spacing w:before="120" w:after="40" w:line="276" w:lineRule="auto"/>
        <w:jc w:val="both"/>
        <w:rPr>
          <w:rStyle w:val="normaltextrun"/>
          <w:rFonts w:cs="Arial"/>
          <w:b/>
          <w:bCs/>
          <w:szCs w:val="20"/>
        </w:rPr>
      </w:pPr>
      <w:r>
        <w:rPr>
          <w:rFonts w:cs="Arial"/>
          <w:szCs w:val="20"/>
        </w:rPr>
        <w:t>The review found that the program ha</w:t>
      </w:r>
      <w:r w:rsidR="00643A10">
        <w:rPr>
          <w:rFonts w:cs="Arial"/>
          <w:szCs w:val="20"/>
        </w:rPr>
        <w:t xml:space="preserve">s few </w:t>
      </w:r>
      <w:r>
        <w:rPr>
          <w:rFonts w:cs="Arial"/>
          <w:szCs w:val="20"/>
        </w:rPr>
        <w:t>connection</w:t>
      </w:r>
      <w:r w:rsidR="00643A10">
        <w:rPr>
          <w:rFonts w:cs="Arial"/>
          <w:szCs w:val="20"/>
        </w:rPr>
        <w:t>s</w:t>
      </w:r>
      <w:r>
        <w:rPr>
          <w:rFonts w:cs="Arial"/>
          <w:szCs w:val="20"/>
        </w:rPr>
        <w:t xml:space="preserve"> with the Australia labour mobility program and despite developing an effective network of </w:t>
      </w:r>
      <w:r w:rsidRPr="006669C1">
        <w:rPr>
          <w:rStyle w:val="normaltextrun"/>
          <w:rFonts w:cs="Arial"/>
          <w:szCs w:val="20"/>
        </w:rPr>
        <w:t>community coaches from different Pasifika communities</w:t>
      </w:r>
      <w:r>
        <w:rPr>
          <w:rStyle w:val="normaltextrun"/>
          <w:rFonts w:cs="Arial"/>
          <w:szCs w:val="20"/>
        </w:rPr>
        <w:t xml:space="preserve">, had </w:t>
      </w:r>
      <w:r>
        <w:rPr>
          <w:rFonts w:cs="Arial"/>
          <w:szCs w:val="20"/>
        </w:rPr>
        <w:t xml:space="preserve">made </w:t>
      </w:r>
      <w:r w:rsidRPr="006669C1">
        <w:rPr>
          <w:rStyle w:val="normaltextrun"/>
          <w:rFonts w:cs="Arial"/>
          <w:szCs w:val="20"/>
        </w:rPr>
        <w:t xml:space="preserve">limited </w:t>
      </w:r>
      <w:r w:rsidR="00643A10">
        <w:rPr>
          <w:rStyle w:val="normaltextrun"/>
          <w:rFonts w:cs="Arial"/>
          <w:szCs w:val="20"/>
        </w:rPr>
        <w:t xml:space="preserve">use of </w:t>
      </w:r>
      <w:r w:rsidRPr="006669C1">
        <w:rPr>
          <w:rStyle w:val="normaltextrun"/>
          <w:rFonts w:cs="Arial"/>
          <w:szCs w:val="20"/>
        </w:rPr>
        <w:t xml:space="preserve">people-to-people links. </w:t>
      </w:r>
      <w:r>
        <w:rPr>
          <w:rStyle w:val="normaltextrun"/>
          <w:rFonts w:cs="Arial"/>
          <w:szCs w:val="20"/>
        </w:rPr>
        <w:t xml:space="preserve">The review found that </w:t>
      </w:r>
      <w:r w:rsidR="00B90655">
        <w:t xml:space="preserve">the </w:t>
      </w:r>
      <w:r w:rsidR="00B90655" w:rsidRPr="006669C1">
        <w:t>rollout of educational modules</w:t>
      </w:r>
      <w:r w:rsidR="00B90655">
        <w:rPr>
          <w:rStyle w:val="normaltextrun"/>
          <w:rFonts w:cs="Arial"/>
          <w:szCs w:val="20"/>
        </w:rPr>
        <w:t xml:space="preserve"> </w:t>
      </w:r>
      <w:r w:rsidR="00643A10">
        <w:rPr>
          <w:rStyle w:val="normaltextrun"/>
          <w:rFonts w:cs="Arial"/>
          <w:szCs w:val="20"/>
        </w:rPr>
        <w:t xml:space="preserve">so far focused on the use of the website and app, </w:t>
      </w:r>
      <w:r w:rsidR="00A0681C">
        <w:rPr>
          <w:rStyle w:val="normaltextrun"/>
          <w:rFonts w:cs="Arial"/>
          <w:szCs w:val="20"/>
        </w:rPr>
        <w:t xml:space="preserve">which </w:t>
      </w:r>
      <w:r w:rsidR="00B90655">
        <w:rPr>
          <w:rStyle w:val="normaltextrun"/>
          <w:rFonts w:cs="Arial"/>
          <w:szCs w:val="20"/>
        </w:rPr>
        <w:t xml:space="preserve">meant </w:t>
      </w:r>
      <w:r>
        <w:rPr>
          <w:rStyle w:val="normaltextrun"/>
          <w:rFonts w:cs="Arial"/>
          <w:szCs w:val="20"/>
        </w:rPr>
        <w:t xml:space="preserve">it was not possible to assess the program’s effectiveness </w:t>
      </w:r>
      <w:r w:rsidRPr="006669C1">
        <w:t xml:space="preserve">in improving </w:t>
      </w:r>
      <w:r w:rsidR="00643A10">
        <w:t xml:space="preserve">outcomes relating to users understanding of the costs of remittances and </w:t>
      </w:r>
      <w:r w:rsidRPr="006669C1">
        <w:t xml:space="preserve">confidence and skill </w:t>
      </w:r>
      <w:r w:rsidR="00643A10">
        <w:t>in using remittance services</w:t>
      </w:r>
      <w:r w:rsidRPr="006669C1">
        <w:t>.</w:t>
      </w:r>
      <w:r>
        <w:t xml:space="preserve"> The review recommended </w:t>
      </w:r>
      <w:r w:rsidR="00643A10">
        <w:t xml:space="preserve">a </w:t>
      </w:r>
      <w:r>
        <w:t>greater focus on workers</w:t>
      </w:r>
      <w:r w:rsidR="00643A10">
        <w:t xml:space="preserve"> and</w:t>
      </w:r>
      <w:r>
        <w:t xml:space="preserve"> adopting a more people-to-people based approach for the rem</w:t>
      </w:r>
      <w:r w:rsidR="00643A10">
        <w:t>a</w:t>
      </w:r>
      <w:r>
        <w:t xml:space="preserve">ining years of the program. </w:t>
      </w:r>
    </w:p>
    <w:p w14:paraId="2737AC84" w14:textId="1320A97E" w:rsidR="002F4699" w:rsidRDefault="00C73495" w:rsidP="00643A10">
      <w:pPr>
        <w:spacing w:before="120" w:after="40" w:line="276" w:lineRule="auto"/>
        <w:rPr>
          <w:rFonts w:cs="Arial"/>
          <w:szCs w:val="20"/>
        </w:rPr>
      </w:pPr>
      <w:r>
        <w:rPr>
          <w:rFonts w:cs="Arial"/>
          <w:szCs w:val="20"/>
        </w:rPr>
        <w:t>DFAT welcomes this timely review and</w:t>
      </w:r>
      <w:r w:rsidR="00B90655">
        <w:rPr>
          <w:rFonts w:cs="Arial"/>
          <w:szCs w:val="20"/>
        </w:rPr>
        <w:t xml:space="preserve">, with our co-funding partner MFAT, has </w:t>
      </w:r>
      <w:r>
        <w:rPr>
          <w:rFonts w:cs="Arial"/>
          <w:szCs w:val="20"/>
        </w:rPr>
        <w:t>agreed</w:t>
      </w:r>
      <w:r w:rsidR="00B90655">
        <w:rPr>
          <w:rFonts w:cs="Arial"/>
          <w:szCs w:val="20"/>
        </w:rPr>
        <w:t xml:space="preserve"> </w:t>
      </w:r>
      <w:r>
        <w:rPr>
          <w:rFonts w:cs="Arial"/>
          <w:szCs w:val="20"/>
        </w:rPr>
        <w:t xml:space="preserve">with all six recommendations. </w:t>
      </w:r>
      <w:r w:rsidR="00643A10">
        <w:rPr>
          <w:rFonts w:cs="Arial"/>
          <w:szCs w:val="20"/>
        </w:rPr>
        <w:t xml:space="preserve">Of the three operational </w:t>
      </w:r>
      <w:r w:rsidR="00643A10" w:rsidRPr="00A0681C">
        <w:rPr>
          <w:rFonts w:cs="Arial"/>
          <w:szCs w:val="20"/>
        </w:rPr>
        <w:t>recommendations, one has already been actioned and</w:t>
      </w:r>
      <w:r w:rsidR="00643A10">
        <w:rPr>
          <w:rFonts w:cs="Arial"/>
          <w:szCs w:val="20"/>
        </w:rPr>
        <w:t xml:space="preserve"> one </w:t>
      </w:r>
      <w:r>
        <w:rPr>
          <w:rFonts w:cs="Arial"/>
          <w:szCs w:val="20"/>
        </w:rPr>
        <w:t xml:space="preserve">is already in train. </w:t>
      </w:r>
      <w:r w:rsidR="00643A10">
        <w:rPr>
          <w:rFonts w:cs="Arial"/>
          <w:szCs w:val="20"/>
        </w:rPr>
        <w:t>The o</w:t>
      </w:r>
      <w:r>
        <w:rPr>
          <w:rFonts w:cs="Arial"/>
          <w:szCs w:val="20"/>
        </w:rPr>
        <w:t xml:space="preserve">ther recommendations will </w:t>
      </w:r>
      <w:r w:rsidR="00643A10">
        <w:rPr>
          <w:rFonts w:cs="Arial"/>
          <w:szCs w:val="20"/>
        </w:rPr>
        <w:t xml:space="preserve">now </w:t>
      </w:r>
      <w:r>
        <w:rPr>
          <w:rFonts w:cs="Arial"/>
          <w:szCs w:val="20"/>
        </w:rPr>
        <w:t xml:space="preserve">be advanced. More detailed management responses to each recommendation are included in the table below. </w:t>
      </w:r>
    </w:p>
    <w:p w14:paraId="6FC9AFD4" w14:textId="77777777" w:rsidR="00843D3A" w:rsidRDefault="00843D3A" w:rsidP="00643A10">
      <w:pPr>
        <w:spacing w:before="120" w:after="40" w:line="276" w:lineRule="auto"/>
        <w:rPr>
          <w:rFonts w:cs="Arial"/>
          <w:b/>
          <w:bCs/>
          <w:szCs w:val="20"/>
        </w:rPr>
      </w:pPr>
    </w:p>
    <w:p w14:paraId="2474F4B5" w14:textId="6871C61A" w:rsidR="00843D3A" w:rsidRPr="002D08C8" w:rsidRDefault="00843D3A" w:rsidP="002D08C8">
      <w:pPr>
        <w:pStyle w:val="Heading2"/>
      </w:pPr>
      <w:r w:rsidRPr="002D08C8">
        <w:t>Strategic</w:t>
      </w:r>
    </w:p>
    <w:tbl>
      <w:tblPr>
        <w:tblStyle w:val="TableGrid"/>
        <w:tblpPr w:leftFromText="180" w:rightFromText="180" w:vertAnchor="text" w:tblpY="1"/>
        <w:tblOverlap w:val="never"/>
        <w:tblW w:w="14029" w:type="dxa"/>
        <w:tblLook w:val="04A0" w:firstRow="1" w:lastRow="0" w:firstColumn="1" w:lastColumn="0" w:noHBand="0" w:noVBand="1"/>
      </w:tblPr>
      <w:tblGrid>
        <w:gridCol w:w="4405"/>
        <w:gridCol w:w="1457"/>
        <w:gridCol w:w="6943"/>
        <w:gridCol w:w="1224"/>
      </w:tblGrid>
      <w:tr w:rsidR="00207E78" w:rsidRPr="00F93F7A" w14:paraId="3C7FA8DB" w14:textId="77777777" w:rsidTr="00C25655">
        <w:trPr>
          <w:tblHeader/>
        </w:trPr>
        <w:tc>
          <w:tcPr>
            <w:tcW w:w="4405" w:type="dxa"/>
            <w:tcBorders>
              <w:bottom w:val="single" w:sz="4" w:space="0" w:color="auto"/>
            </w:tcBorders>
            <w:shd w:val="clear" w:color="auto" w:fill="D9D9D9" w:themeFill="background1" w:themeFillShade="D9"/>
          </w:tcPr>
          <w:p w14:paraId="6C070899" w14:textId="3889085E" w:rsidR="004E6D0B" w:rsidRPr="00F93F7A" w:rsidRDefault="004E6D0B" w:rsidP="00725208">
            <w:pPr>
              <w:spacing w:before="120" w:after="40" w:line="276" w:lineRule="auto"/>
              <w:rPr>
                <w:rFonts w:cs="Arial"/>
                <w:b/>
                <w:bCs/>
                <w:szCs w:val="20"/>
              </w:rPr>
            </w:pPr>
            <w:r w:rsidRPr="00F93F7A">
              <w:rPr>
                <w:rFonts w:cs="Arial"/>
                <w:b/>
                <w:bCs/>
                <w:szCs w:val="20"/>
              </w:rPr>
              <w:t>Recommendation</w:t>
            </w:r>
          </w:p>
        </w:tc>
        <w:tc>
          <w:tcPr>
            <w:tcW w:w="1457" w:type="dxa"/>
            <w:tcBorders>
              <w:bottom w:val="single" w:sz="4" w:space="0" w:color="auto"/>
            </w:tcBorders>
            <w:shd w:val="clear" w:color="auto" w:fill="D9D9D9" w:themeFill="background1" w:themeFillShade="D9"/>
          </w:tcPr>
          <w:p w14:paraId="64E1B44A" w14:textId="1B19D728" w:rsidR="004E6D0B" w:rsidRPr="00F93F7A" w:rsidRDefault="004E6D0B" w:rsidP="00725208">
            <w:pPr>
              <w:spacing w:before="120" w:after="40" w:line="276" w:lineRule="auto"/>
              <w:rPr>
                <w:rFonts w:cs="Arial"/>
                <w:b/>
                <w:bCs/>
                <w:szCs w:val="20"/>
              </w:rPr>
            </w:pPr>
            <w:r w:rsidRPr="00F93F7A">
              <w:rPr>
                <w:rFonts w:cs="Arial"/>
                <w:b/>
                <w:bCs/>
                <w:szCs w:val="20"/>
              </w:rPr>
              <w:t>Response</w:t>
            </w:r>
          </w:p>
        </w:tc>
        <w:tc>
          <w:tcPr>
            <w:tcW w:w="6943" w:type="dxa"/>
            <w:tcBorders>
              <w:bottom w:val="single" w:sz="4" w:space="0" w:color="auto"/>
            </w:tcBorders>
            <w:shd w:val="clear" w:color="auto" w:fill="D9D9D9" w:themeFill="background1" w:themeFillShade="D9"/>
          </w:tcPr>
          <w:p w14:paraId="17816425" w14:textId="3CDC9E67" w:rsidR="004E6D0B" w:rsidRPr="00F93F7A" w:rsidRDefault="004E6D0B" w:rsidP="00725208">
            <w:pPr>
              <w:spacing w:before="120" w:after="40" w:line="276" w:lineRule="auto"/>
              <w:rPr>
                <w:rFonts w:cs="Arial"/>
                <w:b/>
                <w:bCs/>
                <w:szCs w:val="20"/>
              </w:rPr>
            </w:pPr>
            <w:r>
              <w:rPr>
                <w:rFonts w:cs="Arial"/>
                <w:b/>
                <w:bCs/>
                <w:szCs w:val="20"/>
              </w:rPr>
              <w:t>Explanation and Action Plan</w:t>
            </w:r>
          </w:p>
        </w:tc>
        <w:tc>
          <w:tcPr>
            <w:tcW w:w="1224" w:type="dxa"/>
            <w:tcBorders>
              <w:bottom w:val="single" w:sz="4" w:space="0" w:color="auto"/>
            </w:tcBorders>
            <w:shd w:val="clear" w:color="auto" w:fill="D9D9D9" w:themeFill="background1" w:themeFillShade="D9"/>
          </w:tcPr>
          <w:p w14:paraId="1C0665E4" w14:textId="7FE3E675" w:rsidR="004E6D0B" w:rsidRPr="00F93F7A" w:rsidRDefault="004E6D0B" w:rsidP="00725208">
            <w:pPr>
              <w:spacing w:before="120" w:after="40" w:line="276" w:lineRule="auto"/>
              <w:rPr>
                <w:rFonts w:cs="Arial"/>
                <w:b/>
                <w:bCs/>
                <w:szCs w:val="20"/>
              </w:rPr>
            </w:pPr>
            <w:r w:rsidRPr="00F93F7A">
              <w:rPr>
                <w:rFonts w:cs="Arial"/>
                <w:b/>
                <w:bCs/>
                <w:szCs w:val="20"/>
              </w:rPr>
              <w:t>Timeframe</w:t>
            </w:r>
          </w:p>
        </w:tc>
      </w:tr>
      <w:tr w:rsidR="00207E78" w:rsidRPr="00F93F7A" w14:paraId="4E815795" w14:textId="77777777" w:rsidTr="00C25655">
        <w:tc>
          <w:tcPr>
            <w:tcW w:w="4405" w:type="dxa"/>
          </w:tcPr>
          <w:p w14:paraId="6D66B853" w14:textId="77777777" w:rsidR="00777925" w:rsidRDefault="004E6D0B" w:rsidP="00725208">
            <w:pPr>
              <w:pStyle w:val="Subheading"/>
              <w:spacing w:before="120" w:after="40" w:line="276" w:lineRule="auto"/>
              <w:rPr>
                <w:rFonts w:ascii="Arial" w:hAnsi="Arial" w:cs="Arial"/>
                <w:b/>
                <w:bCs/>
                <w:color w:val="auto"/>
                <w:spacing w:val="0"/>
                <w:sz w:val="20"/>
                <w:szCs w:val="20"/>
                <w:lang w:val="en-AU"/>
              </w:rPr>
            </w:pPr>
            <w:r>
              <w:rPr>
                <w:rFonts w:ascii="Arial" w:hAnsi="Arial" w:cs="Arial"/>
                <w:b/>
                <w:bCs/>
                <w:color w:val="auto"/>
                <w:spacing w:val="0"/>
                <w:sz w:val="20"/>
                <w:szCs w:val="20"/>
                <w:lang w:val="en-AU"/>
              </w:rPr>
              <w:t xml:space="preserve">1. </w:t>
            </w:r>
            <w:r w:rsidRPr="00F93F7A">
              <w:rPr>
                <w:rFonts w:ascii="Arial" w:hAnsi="Arial" w:cs="Arial"/>
                <w:b/>
                <w:bCs/>
                <w:color w:val="auto"/>
                <w:spacing w:val="0"/>
                <w:sz w:val="20"/>
                <w:szCs w:val="20"/>
                <w:lang w:val="en-AU"/>
              </w:rPr>
              <w:t>Focus on a smaller, discrete target group</w:t>
            </w:r>
          </w:p>
          <w:p w14:paraId="57C5B3D5" w14:textId="2C485161" w:rsidR="004E6D0B" w:rsidRPr="00F93F7A" w:rsidRDefault="004E6D0B" w:rsidP="00725208">
            <w:pPr>
              <w:pStyle w:val="Subheading"/>
              <w:spacing w:before="120" w:after="40" w:line="276" w:lineRule="auto"/>
              <w:rPr>
                <w:rFonts w:ascii="Arial" w:hAnsi="Arial" w:cs="Arial"/>
                <w:sz w:val="20"/>
                <w:szCs w:val="20"/>
              </w:rPr>
            </w:pPr>
            <w:r w:rsidRPr="00F93F7A">
              <w:rPr>
                <w:rFonts w:ascii="Arial" w:hAnsi="Arial" w:cs="Arial"/>
                <w:color w:val="auto"/>
                <w:spacing w:val="0"/>
                <w:sz w:val="20"/>
                <w:szCs w:val="20"/>
                <w:lang w:val="en-AU"/>
              </w:rPr>
              <w:t>EMPR should focus its efforts on the seasonal worker populations in Australia and New Zealand in order to effectively use scarce resources</w:t>
            </w:r>
            <w:r>
              <w:rPr>
                <w:rFonts w:ascii="Arial" w:hAnsi="Arial" w:cs="Arial"/>
                <w:color w:val="auto"/>
                <w:spacing w:val="0"/>
                <w:sz w:val="20"/>
                <w:szCs w:val="20"/>
                <w:lang w:val="en-AU"/>
              </w:rPr>
              <w:t>.</w:t>
            </w:r>
          </w:p>
        </w:tc>
        <w:tc>
          <w:tcPr>
            <w:tcW w:w="1457" w:type="dxa"/>
          </w:tcPr>
          <w:p w14:paraId="5690CD44" w14:textId="6EF1B3D3" w:rsidR="004E6D0B" w:rsidRPr="00F93F7A" w:rsidRDefault="004E6D0B" w:rsidP="00725208">
            <w:pPr>
              <w:spacing w:before="120" w:after="40" w:line="276" w:lineRule="auto"/>
              <w:rPr>
                <w:rFonts w:cs="Arial"/>
                <w:szCs w:val="20"/>
              </w:rPr>
            </w:pPr>
            <w:r>
              <w:rPr>
                <w:rFonts w:cs="Arial"/>
                <w:szCs w:val="20"/>
              </w:rPr>
              <w:t>Agree</w:t>
            </w:r>
          </w:p>
        </w:tc>
        <w:tc>
          <w:tcPr>
            <w:tcW w:w="6943" w:type="dxa"/>
          </w:tcPr>
          <w:p w14:paraId="3185B930" w14:textId="5708A2F2" w:rsidR="004E6D0B" w:rsidRDefault="00872C9C" w:rsidP="00725208">
            <w:pPr>
              <w:spacing w:before="120" w:after="40" w:line="276" w:lineRule="auto"/>
              <w:rPr>
                <w:rFonts w:cs="Arial"/>
                <w:szCs w:val="20"/>
              </w:rPr>
            </w:pPr>
            <w:r>
              <w:rPr>
                <w:rFonts w:cs="Arial"/>
                <w:szCs w:val="20"/>
              </w:rPr>
              <w:t>I</w:t>
            </w:r>
            <w:r w:rsidR="004E6D0B">
              <w:rPr>
                <w:rFonts w:cs="Arial"/>
                <w:szCs w:val="20"/>
              </w:rPr>
              <w:t>n the first two years, EMPR has sought to engage with both Pacific and Timor-Leste diaspora communities and workers within Australia and New Zealand. The</w:t>
            </w:r>
            <w:r w:rsidR="00330CF1">
              <w:rPr>
                <w:rFonts w:cs="Arial"/>
                <w:szCs w:val="20"/>
              </w:rPr>
              <w:t xml:space="preserve"> mid-term review</w:t>
            </w:r>
            <w:r w:rsidR="004E6D0B">
              <w:rPr>
                <w:rFonts w:cs="Arial"/>
                <w:szCs w:val="20"/>
              </w:rPr>
              <w:t xml:space="preserve"> </w:t>
            </w:r>
            <w:r w:rsidR="00330CF1">
              <w:rPr>
                <w:rFonts w:cs="Arial"/>
                <w:szCs w:val="20"/>
              </w:rPr>
              <w:t>(</w:t>
            </w:r>
            <w:r w:rsidR="004E6D0B">
              <w:rPr>
                <w:rFonts w:cs="Arial"/>
                <w:szCs w:val="20"/>
              </w:rPr>
              <w:t>MTR</w:t>
            </w:r>
            <w:r w:rsidR="00330CF1">
              <w:rPr>
                <w:rFonts w:cs="Arial"/>
                <w:szCs w:val="20"/>
              </w:rPr>
              <w:t>)</w:t>
            </w:r>
            <w:r w:rsidR="004E6D0B">
              <w:rPr>
                <w:rFonts w:cs="Arial"/>
                <w:szCs w:val="20"/>
              </w:rPr>
              <w:t xml:space="preserve">, however, found limited evidence of </w:t>
            </w:r>
            <w:r w:rsidR="004D49C0">
              <w:rPr>
                <w:rFonts w:cs="Arial"/>
                <w:szCs w:val="20"/>
              </w:rPr>
              <w:t>individuals outside of</w:t>
            </w:r>
            <w:r w:rsidR="004E6D0B">
              <w:rPr>
                <w:rFonts w:cs="Arial"/>
                <w:szCs w:val="20"/>
              </w:rPr>
              <w:t xml:space="preserve"> Australia</w:t>
            </w:r>
            <w:r w:rsidR="004D49C0">
              <w:rPr>
                <w:rFonts w:cs="Arial"/>
                <w:szCs w:val="20"/>
              </w:rPr>
              <w:t>n major cities</w:t>
            </w:r>
            <w:r w:rsidR="004E6D0B">
              <w:rPr>
                <w:rFonts w:cs="Arial"/>
                <w:szCs w:val="20"/>
              </w:rPr>
              <w:t xml:space="preserve"> using the </w:t>
            </w:r>
            <w:r w:rsidR="00777925">
              <w:rPr>
                <w:rFonts w:cs="Arial"/>
                <w:szCs w:val="20"/>
              </w:rPr>
              <w:t>Send Money Pacific (SMP)</w:t>
            </w:r>
            <w:r w:rsidR="004E6D0B">
              <w:rPr>
                <w:rFonts w:cs="Arial"/>
                <w:szCs w:val="20"/>
              </w:rPr>
              <w:t xml:space="preserve"> </w:t>
            </w:r>
            <w:r w:rsidR="00725208">
              <w:rPr>
                <w:rFonts w:cs="Arial"/>
                <w:szCs w:val="20"/>
              </w:rPr>
              <w:t>web</w:t>
            </w:r>
            <w:r w:rsidR="004E6D0B">
              <w:rPr>
                <w:rFonts w:cs="Arial"/>
                <w:szCs w:val="20"/>
              </w:rPr>
              <w:t xml:space="preserve">site or app. </w:t>
            </w:r>
          </w:p>
          <w:p w14:paraId="78927FB1" w14:textId="390869EE" w:rsidR="002656E6" w:rsidRDefault="2F13E9DA" w:rsidP="35A0DDC7">
            <w:pPr>
              <w:spacing w:before="120" w:after="40" w:line="276" w:lineRule="auto"/>
              <w:rPr>
                <w:rFonts w:cs="Arial"/>
              </w:rPr>
            </w:pPr>
            <w:r w:rsidRPr="248D5F6B">
              <w:rPr>
                <w:rFonts w:cs="Arial"/>
              </w:rPr>
              <w:t xml:space="preserve">DFAT </w:t>
            </w:r>
            <w:r w:rsidR="79E25790" w:rsidRPr="248D5F6B">
              <w:rPr>
                <w:rFonts w:cs="Arial"/>
              </w:rPr>
              <w:t xml:space="preserve">and MFAT </w:t>
            </w:r>
            <w:r w:rsidRPr="248D5F6B">
              <w:rPr>
                <w:rFonts w:cs="Arial"/>
              </w:rPr>
              <w:t>agrees with the MTR recommend</w:t>
            </w:r>
            <w:r w:rsidR="03A57505" w:rsidRPr="248D5F6B">
              <w:rPr>
                <w:rFonts w:cs="Arial"/>
              </w:rPr>
              <w:t>ation</w:t>
            </w:r>
            <w:r w:rsidRPr="248D5F6B">
              <w:rPr>
                <w:rFonts w:cs="Arial"/>
              </w:rPr>
              <w:t xml:space="preserve"> to increase efforts to ensure </w:t>
            </w:r>
            <w:r w:rsidR="41A1246A" w:rsidRPr="248D5F6B">
              <w:rPr>
                <w:rFonts w:cs="Arial"/>
              </w:rPr>
              <w:t>seasonal</w:t>
            </w:r>
            <w:r w:rsidR="6787002A" w:rsidRPr="248D5F6B">
              <w:rPr>
                <w:rFonts w:cs="Arial"/>
              </w:rPr>
              <w:t>/labour mobility</w:t>
            </w:r>
            <w:r w:rsidR="41A1246A" w:rsidRPr="248D5F6B">
              <w:rPr>
                <w:rFonts w:cs="Arial"/>
              </w:rPr>
              <w:t xml:space="preserve"> </w:t>
            </w:r>
            <w:r w:rsidRPr="248D5F6B">
              <w:rPr>
                <w:rFonts w:cs="Arial"/>
              </w:rPr>
              <w:t xml:space="preserve">workers benefit </w:t>
            </w:r>
            <w:r w:rsidR="03A57505" w:rsidRPr="248D5F6B">
              <w:rPr>
                <w:rFonts w:cs="Arial"/>
              </w:rPr>
              <w:t>from</w:t>
            </w:r>
            <w:r w:rsidRPr="248D5F6B">
              <w:rPr>
                <w:rFonts w:cs="Arial"/>
              </w:rPr>
              <w:t xml:space="preserve"> the program. The contribution </w:t>
            </w:r>
            <w:r w:rsidR="4BC8FB7E" w:rsidRPr="248D5F6B">
              <w:rPr>
                <w:rFonts w:cs="Arial"/>
              </w:rPr>
              <w:t xml:space="preserve">of remittances </w:t>
            </w:r>
            <w:r w:rsidRPr="248D5F6B">
              <w:rPr>
                <w:rFonts w:cs="Arial"/>
              </w:rPr>
              <w:t xml:space="preserve">to family wellbeing and economic development </w:t>
            </w:r>
            <w:r w:rsidR="4BC8FB7E" w:rsidRPr="248D5F6B">
              <w:rPr>
                <w:rFonts w:cs="Arial"/>
              </w:rPr>
              <w:t>is</w:t>
            </w:r>
            <w:r w:rsidRPr="248D5F6B">
              <w:rPr>
                <w:rFonts w:cs="Arial"/>
              </w:rPr>
              <w:t xml:space="preserve"> a key benefit of the Pacific </w:t>
            </w:r>
            <w:r w:rsidR="4BC8FB7E" w:rsidRPr="248D5F6B">
              <w:rPr>
                <w:rFonts w:cs="Arial"/>
              </w:rPr>
              <w:t>l</w:t>
            </w:r>
            <w:r w:rsidRPr="248D5F6B">
              <w:rPr>
                <w:rFonts w:cs="Arial"/>
              </w:rPr>
              <w:t xml:space="preserve">abour </w:t>
            </w:r>
            <w:r w:rsidR="4BC8FB7E" w:rsidRPr="248D5F6B">
              <w:rPr>
                <w:rFonts w:cs="Arial"/>
              </w:rPr>
              <w:t>m</w:t>
            </w:r>
            <w:r w:rsidRPr="248D5F6B">
              <w:rPr>
                <w:rFonts w:cs="Arial"/>
              </w:rPr>
              <w:t xml:space="preserve">obility programs. </w:t>
            </w:r>
          </w:p>
          <w:p w14:paraId="2BE3CAAE" w14:textId="4A334F25" w:rsidR="00316DD7" w:rsidRDefault="004E6D0B" w:rsidP="0BC735A4">
            <w:pPr>
              <w:spacing w:before="120" w:after="40" w:line="276" w:lineRule="auto"/>
              <w:rPr>
                <w:rFonts w:cs="Arial"/>
              </w:rPr>
            </w:pPr>
            <w:r w:rsidRPr="0BC735A4">
              <w:rPr>
                <w:rFonts w:cs="Arial"/>
              </w:rPr>
              <w:lastRenderedPageBreak/>
              <w:t xml:space="preserve">Significant benefits and cost savings are possible when remitters understand the total costs and are aware of different sending options. </w:t>
            </w:r>
            <w:r w:rsidR="00316DD7" w:rsidRPr="0BC735A4">
              <w:rPr>
                <w:rFonts w:cs="Arial"/>
              </w:rPr>
              <w:t xml:space="preserve"> Workers are more likely to be sending money home more frequently and in smaller values </w:t>
            </w:r>
            <w:r w:rsidR="1E75C634" w:rsidRPr="0BC735A4">
              <w:rPr>
                <w:rFonts w:cs="Arial"/>
              </w:rPr>
              <w:t xml:space="preserve">than </w:t>
            </w:r>
            <w:r w:rsidR="00316DD7" w:rsidRPr="0BC735A4">
              <w:rPr>
                <w:rFonts w:cs="Arial"/>
              </w:rPr>
              <w:t xml:space="preserve">Pacific diaspora. </w:t>
            </w:r>
          </w:p>
          <w:p w14:paraId="4F5D7B1C" w14:textId="7ABCDFD4" w:rsidR="004E6D0B" w:rsidRPr="00C5415B" w:rsidRDefault="000D6196" w:rsidP="7EBCF5FE">
            <w:pPr>
              <w:spacing w:before="120" w:after="40" w:line="276" w:lineRule="auto"/>
              <w:rPr>
                <w:color w:val="FF0000"/>
                <w:highlight w:val="yellow"/>
              </w:rPr>
            </w:pPr>
            <w:r w:rsidRPr="248D5F6B">
              <w:t xml:space="preserve">DFAT </w:t>
            </w:r>
            <w:r w:rsidR="64D9156C" w:rsidRPr="248D5F6B">
              <w:t xml:space="preserve">and MFAT </w:t>
            </w:r>
            <w:r w:rsidRPr="248D5F6B">
              <w:t>will support EMPR to strengthen engagement with the Pacific Australia Labour Mobility (PALM) scheme</w:t>
            </w:r>
            <w:r w:rsidR="00E8703E">
              <w:t xml:space="preserve"> and </w:t>
            </w:r>
            <w:r w:rsidR="00E8703E" w:rsidRPr="00E8703E">
              <w:t>New Zealand’s Recognised Seasonal Employer Scheme</w:t>
            </w:r>
            <w:r w:rsidRPr="248D5F6B">
              <w:t xml:space="preserve"> </w:t>
            </w:r>
            <w:r w:rsidR="00E8703E">
              <w:t xml:space="preserve">(RSES) </w:t>
            </w:r>
            <w:r w:rsidRPr="248D5F6B">
              <w:t xml:space="preserve">workers and </w:t>
            </w:r>
            <w:r w:rsidR="00743CD1" w:rsidRPr="248D5F6B">
              <w:t xml:space="preserve">participating </w:t>
            </w:r>
            <w:r w:rsidRPr="248D5F6B">
              <w:t>countries</w:t>
            </w:r>
            <w:r w:rsidR="008A6E15">
              <w:t>.</w:t>
            </w:r>
            <w:r w:rsidR="00743CD1" w:rsidRPr="248D5F6B">
              <w:rPr>
                <w:rFonts w:cs="Arial"/>
              </w:rPr>
              <w:t xml:space="preserve"> </w:t>
            </w:r>
            <w:r w:rsidR="004E6D0B" w:rsidRPr="248D5F6B">
              <w:rPr>
                <w:rFonts w:cs="Arial"/>
              </w:rPr>
              <w:t xml:space="preserve">Cost effective strategies for </w:t>
            </w:r>
            <w:r w:rsidR="00316DD7" w:rsidRPr="248D5F6B">
              <w:rPr>
                <w:rFonts w:cs="Arial"/>
              </w:rPr>
              <w:t>ongoing</w:t>
            </w:r>
            <w:r w:rsidR="004E6D0B" w:rsidRPr="248D5F6B">
              <w:rPr>
                <w:rFonts w:cs="Arial"/>
              </w:rPr>
              <w:t xml:space="preserve"> engagement </w:t>
            </w:r>
            <w:r w:rsidR="00743CD1" w:rsidRPr="248D5F6B">
              <w:rPr>
                <w:rFonts w:cs="Arial"/>
              </w:rPr>
              <w:t xml:space="preserve">by EMPR </w:t>
            </w:r>
            <w:r w:rsidR="004E6D0B" w:rsidRPr="248D5F6B">
              <w:rPr>
                <w:rFonts w:cs="Arial"/>
              </w:rPr>
              <w:t xml:space="preserve">with </w:t>
            </w:r>
            <w:r w:rsidR="00743CD1" w:rsidRPr="248D5F6B">
              <w:rPr>
                <w:rFonts w:cs="Arial"/>
              </w:rPr>
              <w:t xml:space="preserve">the </w:t>
            </w:r>
            <w:r w:rsidR="004E6D0B" w:rsidRPr="248D5F6B">
              <w:rPr>
                <w:rFonts w:cs="Arial"/>
              </w:rPr>
              <w:t>diaspora community in Australia will continue.</w:t>
            </w:r>
            <w:r w:rsidRPr="248D5F6B">
              <w:rPr>
                <w:rFonts w:cs="Arial"/>
              </w:rPr>
              <w:t xml:space="preserve"> </w:t>
            </w:r>
          </w:p>
        </w:tc>
        <w:tc>
          <w:tcPr>
            <w:tcW w:w="1224" w:type="dxa"/>
          </w:tcPr>
          <w:p w14:paraId="46E15B88" w14:textId="77F712BA" w:rsidR="004E6D0B" w:rsidRPr="00F93F7A" w:rsidRDefault="00777925" w:rsidP="00725208">
            <w:pPr>
              <w:spacing w:before="120" w:after="40" w:line="276" w:lineRule="auto"/>
              <w:rPr>
                <w:rFonts w:cs="Arial"/>
                <w:szCs w:val="20"/>
              </w:rPr>
            </w:pPr>
            <w:r>
              <w:rPr>
                <w:rFonts w:cs="Arial"/>
                <w:szCs w:val="20"/>
              </w:rPr>
              <w:lastRenderedPageBreak/>
              <w:t xml:space="preserve">Ongoing </w:t>
            </w:r>
          </w:p>
        </w:tc>
      </w:tr>
      <w:tr w:rsidR="00207E78" w:rsidRPr="00F93F7A" w14:paraId="17DAF1E4" w14:textId="77777777" w:rsidTr="00C25655">
        <w:tc>
          <w:tcPr>
            <w:tcW w:w="4405" w:type="dxa"/>
          </w:tcPr>
          <w:p w14:paraId="6ADE43F9" w14:textId="77777777" w:rsidR="00777925" w:rsidRDefault="004E6D0B" w:rsidP="00725208">
            <w:pPr>
              <w:spacing w:before="120" w:after="40" w:line="276" w:lineRule="auto"/>
              <w:rPr>
                <w:rFonts w:cs="Arial"/>
                <w:b/>
                <w:bCs/>
                <w:szCs w:val="20"/>
              </w:rPr>
            </w:pPr>
            <w:r>
              <w:rPr>
                <w:rFonts w:cs="Arial"/>
                <w:b/>
                <w:bCs/>
                <w:szCs w:val="20"/>
              </w:rPr>
              <w:t xml:space="preserve">2. </w:t>
            </w:r>
            <w:r w:rsidRPr="00F93F7A">
              <w:rPr>
                <w:rFonts w:cs="Arial"/>
                <w:b/>
                <w:bCs/>
                <w:szCs w:val="20"/>
              </w:rPr>
              <w:t>Increase face-to-face engagement</w:t>
            </w:r>
          </w:p>
          <w:p w14:paraId="3A1EFBE1" w14:textId="20B2150C" w:rsidR="004E6D0B" w:rsidRPr="00F93F7A" w:rsidRDefault="004E6D0B" w:rsidP="00725208">
            <w:pPr>
              <w:spacing w:before="120" w:after="40" w:line="276" w:lineRule="auto"/>
              <w:rPr>
                <w:rFonts w:cs="Arial"/>
                <w:szCs w:val="20"/>
              </w:rPr>
            </w:pPr>
            <w:r w:rsidRPr="00F93F7A">
              <w:rPr>
                <w:rFonts w:cs="Arial"/>
                <w:szCs w:val="20"/>
              </w:rPr>
              <w:t>EMPR should reallocate its budget to allow community coaches to work much more closely with DFAT and MFAT seasonal labour program staff, accompanying them on field visits to attend pre-arranged meetings with workers to personally introduce the SMP app to workers, leveraging the trusted relationships that exist between them and workers</w:t>
            </w:r>
            <w:r>
              <w:rPr>
                <w:rFonts w:cs="Arial"/>
                <w:szCs w:val="20"/>
              </w:rPr>
              <w:t>.</w:t>
            </w:r>
          </w:p>
        </w:tc>
        <w:tc>
          <w:tcPr>
            <w:tcW w:w="1457" w:type="dxa"/>
          </w:tcPr>
          <w:p w14:paraId="51B1AAEC" w14:textId="16BC2F95" w:rsidR="004E6D0B" w:rsidRPr="00F93F7A" w:rsidRDefault="004E6D0B" w:rsidP="00725208">
            <w:pPr>
              <w:spacing w:before="120" w:after="40" w:line="276" w:lineRule="auto"/>
              <w:rPr>
                <w:rFonts w:cs="Arial"/>
                <w:szCs w:val="20"/>
              </w:rPr>
            </w:pPr>
            <w:r>
              <w:rPr>
                <w:rFonts w:cs="Arial"/>
                <w:szCs w:val="20"/>
              </w:rPr>
              <w:t>Agree</w:t>
            </w:r>
          </w:p>
        </w:tc>
        <w:tc>
          <w:tcPr>
            <w:tcW w:w="6943" w:type="dxa"/>
          </w:tcPr>
          <w:p w14:paraId="19228756" w14:textId="7F1B67E1" w:rsidR="004E6D0B" w:rsidRDefault="2F13E9DA" w:rsidP="35A0DDC7">
            <w:pPr>
              <w:spacing w:before="120" w:after="40" w:line="276" w:lineRule="auto"/>
              <w:rPr>
                <w:rFonts w:cs="Arial"/>
              </w:rPr>
            </w:pPr>
            <w:r w:rsidRPr="35A0DDC7">
              <w:rPr>
                <w:rFonts w:cs="Arial"/>
              </w:rPr>
              <w:t xml:space="preserve">EMPR recognised the importance of personal connections and relationships of trust to supplement community engagement through social media and radio. The program has found it difficult to collect information </w:t>
            </w:r>
            <w:r w:rsidR="445561C1" w:rsidRPr="35A0DDC7">
              <w:rPr>
                <w:rFonts w:cs="Arial"/>
              </w:rPr>
              <w:t>on</w:t>
            </w:r>
            <w:r w:rsidRPr="35A0DDC7">
              <w:rPr>
                <w:rFonts w:cs="Arial"/>
              </w:rPr>
              <w:t xml:space="preserve"> the reach and value of different engagement strategies, including through</w:t>
            </w:r>
            <w:r w:rsidR="20F9252F" w:rsidRPr="35A0DDC7">
              <w:rPr>
                <w:rFonts w:cs="Arial"/>
              </w:rPr>
              <w:t xml:space="preserve"> community</w:t>
            </w:r>
            <w:r w:rsidRPr="35A0DDC7">
              <w:rPr>
                <w:rFonts w:cs="Arial"/>
              </w:rPr>
              <w:t xml:space="preserve"> coaches. </w:t>
            </w:r>
          </w:p>
          <w:p w14:paraId="186CFA07" w14:textId="40E514B3" w:rsidR="004E6D0B" w:rsidRDefault="004E6D0B" w:rsidP="1C653926">
            <w:pPr>
              <w:spacing w:before="120" w:after="40" w:line="276" w:lineRule="auto"/>
              <w:rPr>
                <w:rFonts w:cs="Arial"/>
              </w:rPr>
            </w:pPr>
            <w:r w:rsidRPr="248D5F6B">
              <w:rPr>
                <w:rFonts w:cs="Arial"/>
              </w:rPr>
              <w:t xml:space="preserve">Noting the lower levels of digital literacy of seasonal workers and the high value of remittances to worker families and communities, DFAT </w:t>
            </w:r>
            <w:r w:rsidR="3046E304" w:rsidRPr="248D5F6B">
              <w:rPr>
                <w:rFonts w:cs="Arial"/>
              </w:rPr>
              <w:t xml:space="preserve">and MFAT </w:t>
            </w:r>
            <w:r w:rsidRPr="248D5F6B">
              <w:rPr>
                <w:rFonts w:cs="Arial"/>
              </w:rPr>
              <w:t>agree</w:t>
            </w:r>
            <w:r w:rsidR="00777925" w:rsidRPr="248D5F6B">
              <w:rPr>
                <w:rFonts w:cs="Arial"/>
              </w:rPr>
              <w:t>s</w:t>
            </w:r>
            <w:r w:rsidRPr="248D5F6B">
              <w:rPr>
                <w:rFonts w:cs="Arial"/>
              </w:rPr>
              <w:t xml:space="preserve"> to pursue more effective ways of engaging with this target audience. This may involve more direct face-to-face engagement with workers. </w:t>
            </w:r>
            <w:r w:rsidR="000D6196" w:rsidRPr="248D5F6B">
              <w:t>The approach and engagement will be developed in more detail with the EMPR PALM</w:t>
            </w:r>
            <w:r w:rsidR="00E8703E">
              <w:t xml:space="preserve"> and RSES</w:t>
            </w:r>
            <w:r w:rsidR="000D6196" w:rsidRPr="248D5F6B">
              <w:t xml:space="preserve"> teams.</w:t>
            </w:r>
          </w:p>
          <w:p w14:paraId="14A50C73" w14:textId="1EE36694" w:rsidR="004E6D0B" w:rsidRPr="00F93F7A" w:rsidRDefault="004E6D0B" w:rsidP="00725208">
            <w:pPr>
              <w:spacing w:before="120" w:after="40" w:line="276" w:lineRule="auto"/>
              <w:rPr>
                <w:rFonts w:cs="Arial"/>
                <w:szCs w:val="20"/>
              </w:rPr>
            </w:pPr>
            <w:r>
              <w:rPr>
                <w:rFonts w:cs="Arial"/>
                <w:szCs w:val="20"/>
              </w:rPr>
              <w:t xml:space="preserve">With multiple small target audiences, it will be necessary to continue to pursue multiple engagement strategies. The program will increase attention on measuring the impacts on use of the </w:t>
            </w:r>
            <w:r w:rsidR="00777925">
              <w:rPr>
                <w:rFonts w:cs="Arial"/>
                <w:szCs w:val="20"/>
              </w:rPr>
              <w:t xml:space="preserve">SMP tools </w:t>
            </w:r>
            <w:r>
              <w:rPr>
                <w:rFonts w:cs="Arial"/>
                <w:szCs w:val="20"/>
              </w:rPr>
              <w:t xml:space="preserve">of </w:t>
            </w:r>
            <w:r w:rsidR="00FF4D4B">
              <w:rPr>
                <w:rFonts w:cs="Arial"/>
                <w:szCs w:val="20"/>
              </w:rPr>
              <w:t xml:space="preserve">the </w:t>
            </w:r>
            <w:r>
              <w:rPr>
                <w:rFonts w:cs="Arial"/>
                <w:szCs w:val="20"/>
              </w:rPr>
              <w:t>different strategies</w:t>
            </w:r>
            <w:r w:rsidR="00FF4D4B">
              <w:rPr>
                <w:rFonts w:cs="Arial"/>
                <w:szCs w:val="20"/>
              </w:rPr>
              <w:t xml:space="preserve"> adopted</w:t>
            </w:r>
            <w:r>
              <w:rPr>
                <w:rFonts w:cs="Arial"/>
                <w:szCs w:val="20"/>
              </w:rPr>
              <w:t>.</w:t>
            </w:r>
          </w:p>
        </w:tc>
        <w:tc>
          <w:tcPr>
            <w:tcW w:w="1224" w:type="dxa"/>
          </w:tcPr>
          <w:p w14:paraId="3DEF13E4" w14:textId="588AD746" w:rsidR="004E6D0B" w:rsidRPr="00F93F7A" w:rsidRDefault="00777925" w:rsidP="00725208">
            <w:pPr>
              <w:spacing w:before="120" w:after="40" w:line="276" w:lineRule="auto"/>
              <w:rPr>
                <w:rFonts w:cs="Arial"/>
                <w:szCs w:val="20"/>
              </w:rPr>
            </w:pPr>
            <w:r>
              <w:rPr>
                <w:rFonts w:cs="Arial"/>
                <w:szCs w:val="20"/>
              </w:rPr>
              <w:t xml:space="preserve">Ongoing </w:t>
            </w:r>
          </w:p>
        </w:tc>
      </w:tr>
      <w:tr w:rsidR="00207E78" w:rsidRPr="00F93F7A" w14:paraId="6C34580C" w14:textId="77777777" w:rsidTr="00C25655">
        <w:tc>
          <w:tcPr>
            <w:tcW w:w="4405" w:type="dxa"/>
            <w:tcBorders>
              <w:bottom w:val="single" w:sz="4" w:space="0" w:color="auto"/>
            </w:tcBorders>
          </w:tcPr>
          <w:p w14:paraId="195EDED3" w14:textId="77777777" w:rsidR="00777925" w:rsidRDefault="004E6D0B" w:rsidP="00725208">
            <w:pPr>
              <w:spacing w:before="120" w:after="40" w:line="276" w:lineRule="auto"/>
              <w:rPr>
                <w:rFonts w:cs="Arial"/>
                <w:b/>
                <w:bCs/>
                <w:szCs w:val="20"/>
              </w:rPr>
            </w:pPr>
            <w:r>
              <w:rPr>
                <w:rFonts w:cs="Arial"/>
                <w:b/>
                <w:bCs/>
                <w:szCs w:val="20"/>
              </w:rPr>
              <w:t xml:space="preserve">3. </w:t>
            </w:r>
            <w:r w:rsidRPr="00F93F7A">
              <w:rPr>
                <w:rFonts w:cs="Arial"/>
                <w:b/>
                <w:bCs/>
                <w:szCs w:val="20"/>
              </w:rPr>
              <w:t>Prioritise the app over the website</w:t>
            </w:r>
          </w:p>
          <w:p w14:paraId="1D1E2A10" w14:textId="712451B1" w:rsidR="004E6D0B" w:rsidRPr="00F93F7A" w:rsidRDefault="2F13E9DA" w:rsidP="35A0DDC7">
            <w:pPr>
              <w:spacing w:before="120" w:after="40" w:line="276" w:lineRule="auto"/>
              <w:rPr>
                <w:rFonts w:cs="Arial"/>
              </w:rPr>
            </w:pPr>
            <w:r w:rsidRPr="35A0DDC7">
              <w:rPr>
                <w:rFonts w:cs="Arial"/>
              </w:rPr>
              <w:t xml:space="preserve">While both the SMP website and app should be maintained, the app should be prioritised with an increase in budget allocated, if necessary, as it is showing more promising </w:t>
            </w:r>
            <w:r w:rsidRPr="35A0DDC7">
              <w:rPr>
                <w:rFonts w:cs="Arial"/>
              </w:rPr>
              <w:lastRenderedPageBreak/>
              <w:t>signs in terms of achieving the program objectives than the website.</w:t>
            </w:r>
          </w:p>
        </w:tc>
        <w:tc>
          <w:tcPr>
            <w:tcW w:w="1457" w:type="dxa"/>
            <w:tcBorders>
              <w:bottom w:val="single" w:sz="4" w:space="0" w:color="auto"/>
            </w:tcBorders>
          </w:tcPr>
          <w:p w14:paraId="29406EC5" w14:textId="31013472" w:rsidR="004E6D0B" w:rsidRPr="00F93F7A" w:rsidRDefault="004E6D0B" w:rsidP="00725208">
            <w:pPr>
              <w:spacing w:before="120" w:after="40" w:line="276" w:lineRule="auto"/>
              <w:rPr>
                <w:rFonts w:cs="Arial"/>
                <w:szCs w:val="20"/>
              </w:rPr>
            </w:pPr>
            <w:r>
              <w:rPr>
                <w:rFonts w:cs="Arial"/>
                <w:szCs w:val="20"/>
              </w:rPr>
              <w:lastRenderedPageBreak/>
              <w:t>Agree</w:t>
            </w:r>
          </w:p>
        </w:tc>
        <w:tc>
          <w:tcPr>
            <w:tcW w:w="6943" w:type="dxa"/>
            <w:tcBorders>
              <w:bottom w:val="single" w:sz="4" w:space="0" w:color="auto"/>
            </w:tcBorders>
          </w:tcPr>
          <w:p w14:paraId="3220B633" w14:textId="10DB64B7" w:rsidR="00725208" w:rsidRDefault="004E6D0B" w:rsidP="00725208">
            <w:pPr>
              <w:spacing w:before="120" w:after="40" w:line="276" w:lineRule="auto"/>
              <w:rPr>
                <w:rFonts w:cs="Arial"/>
                <w:szCs w:val="20"/>
              </w:rPr>
            </w:pPr>
            <w:r>
              <w:rPr>
                <w:rFonts w:cs="Arial"/>
                <w:szCs w:val="20"/>
              </w:rPr>
              <w:t>The SMP website was first launched in 2009. Under EMPR</w:t>
            </w:r>
            <w:r w:rsidR="00725208">
              <w:rPr>
                <w:rFonts w:cs="Arial"/>
                <w:szCs w:val="20"/>
              </w:rPr>
              <w:t>,</w:t>
            </w:r>
            <w:r>
              <w:rPr>
                <w:rFonts w:cs="Arial"/>
                <w:szCs w:val="20"/>
              </w:rPr>
              <w:t xml:space="preserve"> it was made more accessible and easier to use, including in seven Pacific languages</w:t>
            </w:r>
            <w:r w:rsidR="00725208">
              <w:rPr>
                <w:rFonts w:cs="Arial"/>
                <w:szCs w:val="20"/>
              </w:rPr>
              <w:t>, English and Timorese</w:t>
            </w:r>
            <w:r>
              <w:rPr>
                <w:rFonts w:cs="Arial"/>
                <w:szCs w:val="20"/>
              </w:rPr>
              <w:t xml:space="preserve">. </w:t>
            </w:r>
          </w:p>
          <w:p w14:paraId="36229036" w14:textId="14E30AD1" w:rsidR="004E6D0B" w:rsidRDefault="004E6D0B" w:rsidP="00725208">
            <w:pPr>
              <w:spacing w:before="120" w:after="40" w:line="276" w:lineRule="auto"/>
              <w:rPr>
                <w:rFonts w:cs="Arial"/>
                <w:szCs w:val="20"/>
              </w:rPr>
            </w:pPr>
            <w:r>
              <w:rPr>
                <w:rFonts w:cs="Arial"/>
                <w:szCs w:val="20"/>
              </w:rPr>
              <w:t>In mid-2022</w:t>
            </w:r>
            <w:r w:rsidR="00FF4D4B">
              <w:rPr>
                <w:rFonts w:cs="Arial"/>
                <w:szCs w:val="20"/>
              </w:rPr>
              <w:t>,</w:t>
            </w:r>
            <w:r>
              <w:rPr>
                <w:rFonts w:cs="Arial"/>
                <w:szCs w:val="20"/>
              </w:rPr>
              <w:t xml:space="preserve"> the SMP app was launched. While app user numbers are still relatively small, they are increasing steadily. Those with the app are using it </w:t>
            </w:r>
            <w:r>
              <w:rPr>
                <w:rFonts w:cs="Arial"/>
                <w:szCs w:val="20"/>
              </w:rPr>
              <w:lastRenderedPageBreak/>
              <w:t xml:space="preserve">more frequently and there is evidence that they are comparing a broader range of service providers. </w:t>
            </w:r>
          </w:p>
          <w:p w14:paraId="1E69C140" w14:textId="5797326C" w:rsidR="004E6D0B" w:rsidRDefault="2F13E9DA" w:rsidP="35A0DDC7">
            <w:pPr>
              <w:spacing w:before="120" w:after="40" w:line="276" w:lineRule="auto"/>
              <w:rPr>
                <w:rFonts w:cs="Arial"/>
              </w:rPr>
            </w:pPr>
            <w:r w:rsidRPr="248D5F6B">
              <w:rPr>
                <w:rFonts w:cs="Arial"/>
              </w:rPr>
              <w:t xml:space="preserve">DFAT </w:t>
            </w:r>
            <w:r w:rsidR="56FB9650" w:rsidRPr="248D5F6B">
              <w:rPr>
                <w:rFonts w:cs="Arial"/>
              </w:rPr>
              <w:t xml:space="preserve">and MFAT </w:t>
            </w:r>
            <w:r w:rsidRPr="248D5F6B">
              <w:rPr>
                <w:rFonts w:cs="Arial"/>
              </w:rPr>
              <w:t>agree</w:t>
            </w:r>
            <w:r w:rsidR="6E501D56" w:rsidRPr="248D5F6B">
              <w:rPr>
                <w:rFonts w:cs="Arial"/>
              </w:rPr>
              <w:t>s</w:t>
            </w:r>
            <w:r w:rsidRPr="248D5F6B">
              <w:rPr>
                <w:rFonts w:cs="Arial"/>
              </w:rPr>
              <w:t xml:space="preserve"> that the availability and accessibility of smartphones for workers and </w:t>
            </w:r>
            <w:r w:rsidR="6E501D56" w:rsidRPr="248D5F6B">
              <w:rPr>
                <w:rFonts w:cs="Arial"/>
              </w:rPr>
              <w:t xml:space="preserve">diaspora </w:t>
            </w:r>
            <w:r w:rsidRPr="248D5F6B">
              <w:rPr>
                <w:rFonts w:cs="Arial"/>
              </w:rPr>
              <w:t xml:space="preserve">community members mean that resources should be prioritised </w:t>
            </w:r>
            <w:r w:rsidR="5F09779C" w:rsidRPr="248D5F6B">
              <w:rPr>
                <w:rFonts w:cs="Arial"/>
              </w:rPr>
              <w:t>to continue</w:t>
            </w:r>
            <w:r w:rsidRPr="248D5F6B">
              <w:rPr>
                <w:rFonts w:cs="Arial"/>
              </w:rPr>
              <w:t xml:space="preserve"> improving the app user experience, data collection and analysis on usage, and strategies to maximise the use of the app. </w:t>
            </w:r>
          </w:p>
          <w:p w14:paraId="6BCB784C" w14:textId="377C2374" w:rsidR="004E6D0B" w:rsidRPr="00F93F7A" w:rsidRDefault="004E6D0B" w:rsidP="248D5F6B">
            <w:pPr>
              <w:spacing w:before="120" w:after="40" w:line="276" w:lineRule="auto"/>
              <w:rPr>
                <w:rFonts w:cs="Arial"/>
              </w:rPr>
            </w:pPr>
            <w:r w:rsidRPr="248D5F6B">
              <w:rPr>
                <w:rFonts w:cs="Arial"/>
              </w:rPr>
              <w:t xml:space="preserve">DFAT </w:t>
            </w:r>
            <w:r w:rsidR="3FA3C189" w:rsidRPr="248D5F6B">
              <w:rPr>
                <w:rFonts w:cs="Arial"/>
              </w:rPr>
              <w:t xml:space="preserve">and MFAT </w:t>
            </w:r>
            <w:r w:rsidRPr="248D5F6B">
              <w:rPr>
                <w:rFonts w:cs="Arial"/>
              </w:rPr>
              <w:t>note</w:t>
            </w:r>
            <w:r w:rsidR="00725208" w:rsidRPr="248D5F6B">
              <w:rPr>
                <w:rFonts w:cs="Arial"/>
              </w:rPr>
              <w:t>s</w:t>
            </w:r>
            <w:r w:rsidRPr="248D5F6B">
              <w:rPr>
                <w:rFonts w:cs="Arial"/>
              </w:rPr>
              <w:t xml:space="preserve"> relatively few additional resources </w:t>
            </w:r>
            <w:r w:rsidR="00777925" w:rsidRPr="248D5F6B">
              <w:rPr>
                <w:rFonts w:cs="Arial"/>
              </w:rPr>
              <w:t xml:space="preserve">are </w:t>
            </w:r>
            <w:r w:rsidRPr="248D5F6B">
              <w:rPr>
                <w:rFonts w:cs="Arial"/>
              </w:rPr>
              <w:t xml:space="preserve">required to maintain the website on an ongoing basis. </w:t>
            </w:r>
          </w:p>
        </w:tc>
        <w:tc>
          <w:tcPr>
            <w:tcW w:w="1224" w:type="dxa"/>
            <w:tcBorders>
              <w:bottom w:val="single" w:sz="4" w:space="0" w:color="auto"/>
            </w:tcBorders>
          </w:tcPr>
          <w:p w14:paraId="7B4048C3" w14:textId="47057E94" w:rsidR="004E6D0B" w:rsidRPr="00F93F7A" w:rsidRDefault="00725208" w:rsidP="00725208">
            <w:pPr>
              <w:spacing w:before="120" w:after="40" w:line="276" w:lineRule="auto"/>
              <w:rPr>
                <w:rFonts w:cs="Arial"/>
                <w:szCs w:val="20"/>
              </w:rPr>
            </w:pPr>
            <w:r>
              <w:rPr>
                <w:rFonts w:cs="Arial"/>
                <w:szCs w:val="20"/>
              </w:rPr>
              <w:lastRenderedPageBreak/>
              <w:t>Ongoing</w:t>
            </w:r>
          </w:p>
        </w:tc>
      </w:tr>
    </w:tbl>
    <w:p w14:paraId="779CF16F" w14:textId="38BE3E3B" w:rsidR="00843D3A" w:rsidRPr="00843D3A" w:rsidRDefault="00725208" w:rsidP="002D08C8">
      <w:pPr>
        <w:rPr>
          <w:b/>
          <w:bCs/>
        </w:rPr>
      </w:pPr>
      <w:r>
        <w:rPr>
          <w:rFonts w:cs="Arial"/>
          <w:szCs w:val="20"/>
        </w:rPr>
        <w:br w:type="textWrapping" w:clear="all"/>
      </w:r>
      <w:r w:rsidR="00843D3A" w:rsidRPr="00843D3A">
        <w:rPr>
          <w:b/>
          <w:bCs/>
        </w:rPr>
        <w:t>Operational</w:t>
      </w:r>
    </w:p>
    <w:tbl>
      <w:tblPr>
        <w:tblStyle w:val="TableGrid"/>
        <w:tblpPr w:leftFromText="180" w:rightFromText="180" w:vertAnchor="text" w:tblpY="1"/>
        <w:tblOverlap w:val="never"/>
        <w:tblW w:w="14029" w:type="dxa"/>
        <w:tblLook w:val="04A0" w:firstRow="1" w:lastRow="0" w:firstColumn="1" w:lastColumn="0" w:noHBand="0" w:noVBand="1"/>
      </w:tblPr>
      <w:tblGrid>
        <w:gridCol w:w="4405"/>
        <w:gridCol w:w="1457"/>
        <w:gridCol w:w="6943"/>
        <w:gridCol w:w="1224"/>
      </w:tblGrid>
      <w:tr w:rsidR="00DC4F4B" w:rsidRPr="00F93F7A" w14:paraId="3280DC30" w14:textId="77777777" w:rsidTr="00DC4F4B">
        <w:trPr>
          <w:tblHeader/>
        </w:trPr>
        <w:tc>
          <w:tcPr>
            <w:tcW w:w="4405" w:type="dxa"/>
            <w:tcBorders>
              <w:bottom w:val="single" w:sz="4" w:space="0" w:color="auto"/>
            </w:tcBorders>
            <w:shd w:val="clear" w:color="auto" w:fill="D9D9D9" w:themeFill="background1" w:themeFillShade="D9"/>
          </w:tcPr>
          <w:p w14:paraId="6974308E" w14:textId="6126ACB7" w:rsidR="00DC4F4B" w:rsidRDefault="00DC4F4B" w:rsidP="00DC4F4B">
            <w:pPr>
              <w:spacing w:before="120" w:after="40" w:line="276" w:lineRule="auto"/>
              <w:rPr>
                <w:rFonts w:cs="Arial"/>
                <w:b/>
                <w:bCs/>
                <w:szCs w:val="20"/>
              </w:rPr>
            </w:pPr>
            <w:r w:rsidRPr="00F93F7A">
              <w:rPr>
                <w:rFonts w:cs="Arial"/>
                <w:b/>
                <w:bCs/>
                <w:szCs w:val="20"/>
              </w:rPr>
              <w:t>Recommendation</w:t>
            </w:r>
          </w:p>
        </w:tc>
        <w:tc>
          <w:tcPr>
            <w:tcW w:w="1457" w:type="dxa"/>
            <w:tcBorders>
              <w:bottom w:val="single" w:sz="4" w:space="0" w:color="auto"/>
            </w:tcBorders>
            <w:shd w:val="clear" w:color="auto" w:fill="D9D9D9" w:themeFill="background1" w:themeFillShade="D9"/>
          </w:tcPr>
          <w:p w14:paraId="2977AF79" w14:textId="23BCDA00" w:rsidR="00DC4F4B" w:rsidRDefault="00DC4F4B" w:rsidP="00DC4F4B">
            <w:pPr>
              <w:spacing w:before="120" w:after="40" w:line="276" w:lineRule="auto"/>
              <w:rPr>
                <w:rFonts w:cs="Arial"/>
                <w:szCs w:val="20"/>
              </w:rPr>
            </w:pPr>
            <w:r w:rsidRPr="00F93F7A">
              <w:rPr>
                <w:rFonts w:cs="Arial"/>
                <w:b/>
                <w:bCs/>
                <w:szCs w:val="20"/>
              </w:rPr>
              <w:t>Response</w:t>
            </w:r>
          </w:p>
        </w:tc>
        <w:tc>
          <w:tcPr>
            <w:tcW w:w="6943" w:type="dxa"/>
            <w:tcBorders>
              <w:bottom w:val="single" w:sz="4" w:space="0" w:color="auto"/>
            </w:tcBorders>
            <w:shd w:val="clear" w:color="auto" w:fill="D9D9D9" w:themeFill="background1" w:themeFillShade="D9"/>
          </w:tcPr>
          <w:p w14:paraId="6F938068" w14:textId="1F03EC99" w:rsidR="00DC4F4B" w:rsidRPr="099233EF" w:rsidRDefault="00DC4F4B" w:rsidP="00DC4F4B">
            <w:pPr>
              <w:spacing w:before="120" w:after="40" w:line="276" w:lineRule="auto"/>
              <w:rPr>
                <w:rFonts w:cs="Arial"/>
              </w:rPr>
            </w:pPr>
            <w:r>
              <w:rPr>
                <w:rFonts w:cs="Arial"/>
                <w:b/>
                <w:bCs/>
                <w:szCs w:val="20"/>
              </w:rPr>
              <w:t>Explanation and Action Plan</w:t>
            </w:r>
          </w:p>
        </w:tc>
        <w:tc>
          <w:tcPr>
            <w:tcW w:w="1224" w:type="dxa"/>
            <w:tcBorders>
              <w:bottom w:val="single" w:sz="4" w:space="0" w:color="auto"/>
            </w:tcBorders>
            <w:shd w:val="clear" w:color="auto" w:fill="D9D9D9" w:themeFill="background1" w:themeFillShade="D9"/>
          </w:tcPr>
          <w:p w14:paraId="08B2129E" w14:textId="74985EB4" w:rsidR="00DC4F4B" w:rsidRDefault="00DC4F4B" w:rsidP="00DC4F4B">
            <w:pPr>
              <w:spacing w:before="120" w:after="40" w:line="276" w:lineRule="auto"/>
              <w:rPr>
                <w:rFonts w:cs="Arial"/>
                <w:szCs w:val="20"/>
              </w:rPr>
            </w:pPr>
            <w:r w:rsidRPr="00F93F7A">
              <w:rPr>
                <w:rFonts w:cs="Arial"/>
                <w:b/>
                <w:bCs/>
                <w:szCs w:val="20"/>
              </w:rPr>
              <w:t>Timeframe</w:t>
            </w:r>
          </w:p>
        </w:tc>
      </w:tr>
      <w:tr w:rsidR="00DC4F4B" w:rsidRPr="00F93F7A" w14:paraId="04B07453" w14:textId="77777777" w:rsidTr="00596C2C">
        <w:tc>
          <w:tcPr>
            <w:tcW w:w="4405" w:type="dxa"/>
          </w:tcPr>
          <w:p w14:paraId="6BABE525" w14:textId="77777777" w:rsidR="00DC4F4B" w:rsidRDefault="00DC4F4B" w:rsidP="00DC4F4B">
            <w:pPr>
              <w:spacing w:before="120" w:after="40" w:line="276" w:lineRule="auto"/>
              <w:rPr>
                <w:rFonts w:cs="Arial"/>
                <w:b/>
                <w:bCs/>
                <w:szCs w:val="20"/>
              </w:rPr>
            </w:pPr>
            <w:r>
              <w:rPr>
                <w:rFonts w:cs="Arial"/>
                <w:b/>
                <w:bCs/>
                <w:szCs w:val="20"/>
              </w:rPr>
              <w:t xml:space="preserve">4. </w:t>
            </w:r>
            <w:r w:rsidRPr="00F93F7A">
              <w:rPr>
                <w:rFonts w:cs="Arial"/>
                <w:b/>
                <w:bCs/>
                <w:szCs w:val="20"/>
              </w:rPr>
              <w:t>Ensure ease of use of website and app in all locations</w:t>
            </w:r>
          </w:p>
          <w:p w14:paraId="3C82BEE4" w14:textId="77777777" w:rsidR="00DC4F4B" w:rsidRPr="00F93F7A" w:rsidRDefault="00DC4F4B" w:rsidP="00DC4F4B">
            <w:pPr>
              <w:spacing w:before="120" w:after="40" w:line="276" w:lineRule="auto"/>
              <w:rPr>
                <w:rFonts w:cs="Arial"/>
                <w:szCs w:val="20"/>
              </w:rPr>
            </w:pPr>
            <w:r w:rsidRPr="00F93F7A">
              <w:rPr>
                <w:rFonts w:cs="Arial"/>
                <w:szCs w:val="20"/>
              </w:rPr>
              <w:t>The SMP website (and app if necessary) should be updated to ensure ease of use in New Zealand by ensuring it defaults to New Zealand settings for New Zealand-based users and wherever possible that third-party landing pages also default to New Zealand web pages.</w:t>
            </w:r>
          </w:p>
        </w:tc>
        <w:tc>
          <w:tcPr>
            <w:tcW w:w="1457" w:type="dxa"/>
          </w:tcPr>
          <w:p w14:paraId="7EE213CE" w14:textId="77777777" w:rsidR="00DC4F4B" w:rsidRPr="00F93F7A" w:rsidRDefault="00DC4F4B" w:rsidP="00DC4F4B">
            <w:pPr>
              <w:spacing w:before="120" w:after="40" w:line="276" w:lineRule="auto"/>
              <w:rPr>
                <w:rFonts w:cs="Arial"/>
                <w:szCs w:val="20"/>
              </w:rPr>
            </w:pPr>
            <w:r>
              <w:rPr>
                <w:rFonts w:cs="Arial"/>
                <w:szCs w:val="20"/>
              </w:rPr>
              <w:t>Agree</w:t>
            </w:r>
          </w:p>
        </w:tc>
        <w:tc>
          <w:tcPr>
            <w:tcW w:w="6943" w:type="dxa"/>
          </w:tcPr>
          <w:p w14:paraId="421EC404" w14:textId="77777777" w:rsidR="00DC4F4B" w:rsidRDefault="00DC4F4B" w:rsidP="00DC4F4B">
            <w:pPr>
              <w:spacing w:before="120" w:after="40" w:line="276" w:lineRule="auto"/>
              <w:rPr>
                <w:rFonts w:cs="Arial"/>
              </w:rPr>
            </w:pPr>
            <w:r w:rsidRPr="099233EF">
              <w:rPr>
                <w:rFonts w:cs="Arial"/>
              </w:rPr>
              <w:t>The M</w:t>
            </w:r>
            <w:r>
              <w:t>TR</w:t>
            </w:r>
            <w:r w:rsidRPr="099233EF">
              <w:rPr>
                <w:rFonts w:cs="Arial"/>
              </w:rPr>
              <w:t xml:space="preserve"> identified some f</w:t>
            </w:r>
            <w:r>
              <w:t xml:space="preserve">unctionality issues with the SMP </w:t>
            </w:r>
            <w:r w:rsidRPr="099233EF">
              <w:rPr>
                <w:rFonts w:cs="Arial"/>
              </w:rPr>
              <w:t xml:space="preserve">website that reflected development and testing of the tool performed in Australia. While these issues do not affect Australian-based users, it is acknowledged that it could be a barrier of use and engagement for New Zealand-based users. </w:t>
            </w:r>
          </w:p>
          <w:p w14:paraId="3152A2CC" w14:textId="77777777" w:rsidR="00DC4F4B" w:rsidRPr="00777925" w:rsidRDefault="00DC4F4B" w:rsidP="00DC4F4B">
            <w:pPr>
              <w:spacing w:before="120" w:after="40" w:line="276" w:lineRule="auto"/>
              <w:rPr>
                <w:rFonts w:cs="Arial"/>
              </w:rPr>
            </w:pPr>
            <w:r w:rsidRPr="099233EF">
              <w:rPr>
                <w:rFonts w:cs="Arial"/>
              </w:rPr>
              <w:t xml:space="preserve">Resolving these IT issues has been prioritised by the implementing partner and is scheduled to be completed in the coming months. </w:t>
            </w:r>
          </w:p>
        </w:tc>
        <w:tc>
          <w:tcPr>
            <w:tcW w:w="1224" w:type="dxa"/>
          </w:tcPr>
          <w:p w14:paraId="4A3C41AD" w14:textId="77777777" w:rsidR="00DC4F4B" w:rsidRPr="00F93F7A" w:rsidRDefault="00DC4F4B" w:rsidP="00DC4F4B">
            <w:pPr>
              <w:spacing w:before="120" w:after="40" w:line="276" w:lineRule="auto"/>
              <w:rPr>
                <w:rFonts w:cs="Arial"/>
                <w:szCs w:val="20"/>
              </w:rPr>
            </w:pPr>
            <w:r>
              <w:rPr>
                <w:rFonts w:cs="Arial"/>
                <w:szCs w:val="20"/>
              </w:rPr>
              <w:t>Immediate</w:t>
            </w:r>
          </w:p>
        </w:tc>
      </w:tr>
      <w:tr w:rsidR="00DC4F4B" w:rsidRPr="00F93F7A" w14:paraId="2B23DB83" w14:textId="77777777" w:rsidTr="00596C2C">
        <w:tc>
          <w:tcPr>
            <w:tcW w:w="4405" w:type="dxa"/>
          </w:tcPr>
          <w:p w14:paraId="006B4BE7" w14:textId="77777777" w:rsidR="00DC4F4B" w:rsidRDefault="00DC4F4B" w:rsidP="00DC4F4B">
            <w:pPr>
              <w:spacing w:before="120" w:after="40" w:line="276" w:lineRule="auto"/>
              <w:rPr>
                <w:rFonts w:cs="Arial"/>
                <w:b/>
                <w:bCs/>
                <w:szCs w:val="20"/>
              </w:rPr>
            </w:pPr>
            <w:r>
              <w:rPr>
                <w:rFonts w:cs="Arial"/>
                <w:b/>
                <w:bCs/>
                <w:szCs w:val="20"/>
              </w:rPr>
              <w:t xml:space="preserve">5. </w:t>
            </w:r>
            <w:r w:rsidRPr="00F93F7A">
              <w:rPr>
                <w:rFonts w:cs="Arial"/>
                <w:b/>
                <w:bCs/>
                <w:szCs w:val="20"/>
              </w:rPr>
              <w:t>Work together to develop a fit-for-purpose reporting template</w:t>
            </w:r>
          </w:p>
          <w:p w14:paraId="2F4B95CA" w14:textId="77777777" w:rsidR="00DC4F4B" w:rsidRPr="00F93F7A" w:rsidRDefault="00DC4F4B" w:rsidP="00DC4F4B">
            <w:pPr>
              <w:spacing w:before="120" w:after="40" w:line="276" w:lineRule="auto"/>
              <w:rPr>
                <w:rFonts w:cs="Arial"/>
                <w:szCs w:val="20"/>
              </w:rPr>
            </w:pPr>
            <w:r w:rsidRPr="00F93F7A">
              <w:rPr>
                <w:rFonts w:cs="Arial"/>
                <w:szCs w:val="20"/>
              </w:rPr>
              <w:t>DFAT and MFAT, and CulturalPulse should agree on a reporting template that ensures that reporting is focused on program outcomes, including GEDSI outcomes, and includes in-</w:t>
            </w:r>
            <w:r w:rsidRPr="00F93F7A">
              <w:rPr>
                <w:rFonts w:cs="Arial"/>
                <w:szCs w:val="20"/>
              </w:rPr>
              <w:lastRenderedPageBreak/>
              <w:t>depth trend analysis to identify issues and opportunities as soon as possible.</w:t>
            </w:r>
          </w:p>
        </w:tc>
        <w:tc>
          <w:tcPr>
            <w:tcW w:w="1457" w:type="dxa"/>
          </w:tcPr>
          <w:p w14:paraId="01BE3B0F" w14:textId="77777777" w:rsidR="00DC4F4B" w:rsidRPr="00F93F7A" w:rsidRDefault="00DC4F4B" w:rsidP="00DC4F4B">
            <w:pPr>
              <w:spacing w:before="120" w:after="40" w:line="276" w:lineRule="auto"/>
              <w:rPr>
                <w:rFonts w:cs="Arial"/>
                <w:szCs w:val="20"/>
              </w:rPr>
            </w:pPr>
            <w:r>
              <w:rPr>
                <w:rFonts w:cs="Arial"/>
                <w:szCs w:val="20"/>
              </w:rPr>
              <w:lastRenderedPageBreak/>
              <w:t>Agree</w:t>
            </w:r>
          </w:p>
        </w:tc>
        <w:tc>
          <w:tcPr>
            <w:tcW w:w="6943" w:type="dxa"/>
          </w:tcPr>
          <w:p w14:paraId="79EC50CD" w14:textId="77777777" w:rsidR="00DC4F4B" w:rsidRDefault="00DC4F4B" w:rsidP="00DC4F4B">
            <w:pPr>
              <w:spacing w:before="120" w:after="40" w:line="276" w:lineRule="auto"/>
              <w:rPr>
                <w:rFonts w:cs="Arial"/>
              </w:rPr>
            </w:pPr>
            <w:r w:rsidRPr="248D5F6B">
              <w:rPr>
                <w:rFonts w:cs="Arial"/>
              </w:rPr>
              <w:t>DFAT and MFAT values robust reporting. It is an essential tool for promoting continuous improvement in our development programs, capturing lessons, and ensuring we adapt our approaches to achieve effective outcomes.</w:t>
            </w:r>
          </w:p>
          <w:p w14:paraId="79E4C052" w14:textId="77777777" w:rsidR="00DC4F4B" w:rsidRDefault="00DC4F4B" w:rsidP="00DC4F4B">
            <w:pPr>
              <w:spacing w:before="120" w:after="40" w:line="276" w:lineRule="auto"/>
              <w:rPr>
                <w:rFonts w:cs="Arial"/>
                <w:szCs w:val="20"/>
              </w:rPr>
            </w:pPr>
            <w:r>
              <w:rPr>
                <w:rFonts w:cs="Arial"/>
                <w:szCs w:val="20"/>
              </w:rPr>
              <w:t xml:space="preserve">The need to focus reporting and analysis on key performance measures, including GEDSI actions have been recognised and are already being actioned with the support of an M&amp;E advisor. </w:t>
            </w:r>
          </w:p>
          <w:p w14:paraId="57B2FC0E" w14:textId="77777777" w:rsidR="00DC4F4B" w:rsidRPr="00F93F7A" w:rsidRDefault="00DC4F4B" w:rsidP="00DC4F4B">
            <w:pPr>
              <w:spacing w:before="120" w:after="40" w:line="276" w:lineRule="auto"/>
              <w:rPr>
                <w:rFonts w:cs="Arial"/>
                <w:szCs w:val="20"/>
              </w:rPr>
            </w:pPr>
            <w:r>
              <w:rPr>
                <w:rFonts w:cs="Arial"/>
                <w:szCs w:val="20"/>
              </w:rPr>
              <w:lastRenderedPageBreak/>
              <w:t xml:space="preserve">Refinements to the monitoring, evaluation and learning framework (MELF) indicators following the MTR will be reflected in new monthly updates, six-monthly progress and annual reporting templates. </w:t>
            </w:r>
          </w:p>
        </w:tc>
        <w:tc>
          <w:tcPr>
            <w:tcW w:w="1224" w:type="dxa"/>
          </w:tcPr>
          <w:p w14:paraId="087C7F14" w14:textId="77777777" w:rsidR="00DC4F4B" w:rsidRPr="00F93F7A" w:rsidRDefault="00DC4F4B" w:rsidP="00DC4F4B">
            <w:pPr>
              <w:spacing w:before="120" w:after="40" w:line="276" w:lineRule="auto"/>
              <w:rPr>
                <w:rFonts w:cs="Arial"/>
                <w:szCs w:val="20"/>
              </w:rPr>
            </w:pPr>
            <w:r>
              <w:rPr>
                <w:rFonts w:cs="Arial"/>
                <w:szCs w:val="20"/>
              </w:rPr>
              <w:lastRenderedPageBreak/>
              <w:t>Ongoing</w:t>
            </w:r>
          </w:p>
        </w:tc>
      </w:tr>
      <w:tr w:rsidR="00DC4F4B" w:rsidRPr="00F93F7A" w14:paraId="538D5B12" w14:textId="77777777" w:rsidTr="00596C2C">
        <w:tc>
          <w:tcPr>
            <w:tcW w:w="4405" w:type="dxa"/>
          </w:tcPr>
          <w:p w14:paraId="19A901BD" w14:textId="77777777" w:rsidR="00DC4F4B" w:rsidRDefault="00DC4F4B" w:rsidP="00DC4F4B">
            <w:pPr>
              <w:spacing w:before="120" w:after="40" w:line="276" w:lineRule="auto"/>
              <w:rPr>
                <w:rFonts w:cs="Arial"/>
                <w:b/>
                <w:bCs/>
                <w:szCs w:val="20"/>
              </w:rPr>
            </w:pPr>
            <w:r>
              <w:rPr>
                <w:rFonts w:cs="Arial"/>
                <w:b/>
                <w:bCs/>
                <w:szCs w:val="20"/>
              </w:rPr>
              <w:t xml:space="preserve">6. </w:t>
            </w:r>
            <w:r w:rsidRPr="00F93F7A">
              <w:rPr>
                <w:rFonts w:cs="Arial"/>
                <w:b/>
                <w:bCs/>
                <w:szCs w:val="20"/>
              </w:rPr>
              <w:t>Develop a stand-alone SMP training module</w:t>
            </w:r>
          </w:p>
          <w:p w14:paraId="03B47EA3" w14:textId="77777777" w:rsidR="00DC4F4B" w:rsidRPr="00F93F7A" w:rsidRDefault="00DC4F4B" w:rsidP="00DC4F4B">
            <w:pPr>
              <w:spacing w:before="120" w:after="40" w:line="276" w:lineRule="auto"/>
              <w:rPr>
                <w:rFonts w:cs="Arial"/>
              </w:rPr>
            </w:pPr>
            <w:r w:rsidRPr="35A0DDC7">
              <w:rPr>
                <w:rFonts w:cs="Arial"/>
              </w:rPr>
              <w:t>CulturalPulse should work with DFAT and MFAT’s seasonal worker program training providers to develop a stand-alone ‘How to Send Money Home’ training module that brings together information on the SMP app and website and the real cost of remittances. The module should be translated into relevant languages for online purposes and also developed into a half-day (maximum) in-person course that can be delivered during field trips to visit labour mobility workers.</w:t>
            </w:r>
          </w:p>
        </w:tc>
        <w:tc>
          <w:tcPr>
            <w:tcW w:w="1457" w:type="dxa"/>
          </w:tcPr>
          <w:p w14:paraId="3E6AF7ED" w14:textId="77777777" w:rsidR="00DC4F4B" w:rsidRPr="00F93F7A" w:rsidRDefault="00DC4F4B" w:rsidP="00DC4F4B">
            <w:pPr>
              <w:spacing w:before="120" w:after="40" w:line="276" w:lineRule="auto"/>
              <w:rPr>
                <w:rFonts w:cs="Arial"/>
                <w:szCs w:val="20"/>
              </w:rPr>
            </w:pPr>
            <w:r>
              <w:rPr>
                <w:rFonts w:cs="Arial"/>
                <w:szCs w:val="20"/>
              </w:rPr>
              <w:t>Agree</w:t>
            </w:r>
          </w:p>
        </w:tc>
        <w:tc>
          <w:tcPr>
            <w:tcW w:w="6943" w:type="dxa"/>
          </w:tcPr>
          <w:p w14:paraId="28B6083B" w14:textId="77777777" w:rsidR="00DC4F4B" w:rsidRDefault="00DC4F4B" w:rsidP="00DC4F4B">
            <w:pPr>
              <w:spacing w:before="120" w:after="40" w:line="276" w:lineRule="auto"/>
              <w:rPr>
                <w:rFonts w:cs="Arial"/>
                <w:szCs w:val="20"/>
              </w:rPr>
            </w:pPr>
            <w:r>
              <w:rPr>
                <w:rFonts w:cs="Arial"/>
                <w:szCs w:val="20"/>
              </w:rPr>
              <w:t xml:space="preserve">The approach to improving remittance literacy adopted through EMPR has been staggered over six modules. Individual modules have been developed, tested, translated, produced and released. At the time of the MTR, the modules were limited to how to use SMP (website) and how to download and use the app. The third module on understanding the total cost was released at the end of May 2023 and the fourth module on changing remittance service provider was in production. </w:t>
            </w:r>
          </w:p>
          <w:p w14:paraId="6A667DB2" w14:textId="77777777" w:rsidR="00DC4F4B" w:rsidRPr="00F93F7A" w:rsidRDefault="00DC4F4B" w:rsidP="00DC4F4B">
            <w:pPr>
              <w:spacing w:before="120" w:after="40" w:line="276" w:lineRule="auto"/>
              <w:rPr>
                <w:rFonts w:cs="Arial"/>
              </w:rPr>
            </w:pPr>
            <w:r w:rsidRPr="248D5F6B">
              <w:rPr>
                <w:rFonts w:cs="Arial"/>
              </w:rPr>
              <w:t xml:space="preserve">DFAT and MFAT agrees that it will be useful to develop a standalone training module that draws on these four modules that can be provided to other programs and partners as well as delivered in a single engagement such as field visits to labour mobility workers. </w:t>
            </w:r>
          </w:p>
        </w:tc>
        <w:tc>
          <w:tcPr>
            <w:tcW w:w="1224" w:type="dxa"/>
          </w:tcPr>
          <w:p w14:paraId="78F113B1" w14:textId="77777777" w:rsidR="00DC4F4B" w:rsidRPr="00F93F7A" w:rsidRDefault="00DC4F4B" w:rsidP="00DC4F4B">
            <w:pPr>
              <w:spacing w:before="120" w:after="40" w:line="276" w:lineRule="auto"/>
              <w:rPr>
                <w:rFonts w:cs="Arial"/>
                <w:szCs w:val="20"/>
              </w:rPr>
            </w:pPr>
            <w:r>
              <w:rPr>
                <w:rFonts w:cs="Arial"/>
                <w:szCs w:val="20"/>
              </w:rPr>
              <w:t>Ongoing</w:t>
            </w:r>
          </w:p>
        </w:tc>
      </w:tr>
    </w:tbl>
    <w:p w14:paraId="7703E66D" w14:textId="77777777" w:rsidR="00843D3A" w:rsidRDefault="00843D3A">
      <w:pPr>
        <w:rPr>
          <w:rFonts w:cs="Arial"/>
          <w:szCs w:val="20"/>
        </w:rPr>
      </w:pPr>
    </w:p>
    <w:sectPr w:rsidR="00843D3A" w:rsidSect="002F4699">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10AA" w14:textId="77777777" w:rsidR="006A58E9" w:rsidRDefault="006A58E9" w:rsidP="005A62E3">
      <w:pPr>
        <w:spacing w:after="0" w:line="240" w:lineRule="auto"/>
      </w:pPr>
      <w:r>
        <w:separator/>
      </w:r>
    </w:p>
  </w:endnote>
  <w:endnote w:type="continuationSeparator" w:id="0">
    <w:p w14:paraId="0D8B2C93" w14:textId="77777777" w:rsidR="006A58E9" w:rsidRDefault="006A58E9" w:rsidP="005A6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Light">
    <w:charset w:val="00"/>
    <w:family w:val="auto"/>
    <w:pitch w:val="variable"/>
    <w:sig w:usb0="2000020F" w:usb1="00000000" w:usb2="00000000" w:usb3="00000000" w:csb0="00000197" w:csb1="00000000"/>
  </w:font>
  <w:font w:name="Times New Roman (Body CS)">
    <w:altName w:val="Times New Roman"/>
    <w:charset w:val="00"/>
    <w:family w:val="roman"/>
    <w:pitch w:val="variable"/>
    <w:sig w:usb0="E0002AE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594200"/>
      <w:docPartObj>
        <w:docPartGallery w:val="Page Numbers (Bottom of Page)"/>
        <w:docPartUnique/>
      </w:docPartObj>
    </w:sdtPr>
    <w:sdtEndPr>
      <w:rPr>
        <w:noProof/>
      </w:rPr>
    </w:sdtEndPr>
    <w:sdtContent>
      <w:p w14:paraId="40344135" w14:textId="6B0652E6" w:rsidR="004E6D0B" w:rsidRDefault="004E6D0B" w:rsidP="004E6D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BFDB" w14:textId="77777777" w:rsidR="006A58E9" w:rsidRDefault="006A58E9" w:rsidP="005A62E3">
      <w:pPr>
        <w:spacing w:after="0" w:line="240" w:lineRule="auto"/>
      </w:pPr>
      <w:r>
        <w:separator/>
      </w:r>
    </w:p>
  </w:footnote>
  <w:footnote w:type="continuationSeparator" w:id="0">
    <w:p w14:paraId="6FE6859E" w14:textId="77777777" w:rsidR="006A58E9" w:rsidRDefault="006A58E9" w:rsidP="005A6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3E1"/>
    <w:multiLevelType w:val="hybridMultilevel"/>
    <w:tmpl w:val="0806262A"/>
    <w:lvl w:ilvl="0" w:tplc="FFFFFFFF">
      <w:start w:val="1"/>
      <w:numFmt w:val="decimal"/>
      <w:lvlText w:val="%1."/>
      <w:lvlJc w:val="left"/>
      <w:pPr>
        <w:ind w:left="720" w:hanging="360"/>
      </w:pPr>
      <w:rPr>
        <w:rFonts w:asciiTheme="majorHAnsi" w:hAnsiTheme="majorHAnsi" w:cstheme="maj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807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99"/>
    <w:rsid w:val="00014801"/>
    <w:rsid w:val="000173DB"/>
    <w:rsid w:val="000207EA"/>
    <w:rsid w:val="000225B4"/>
    <w:rsid w:val="000410AF"/>
    <w:rsid w:val="00045F36"/>
    <w:rsid w:val="000538C8"/>
    <w:rsid w:val="00061E5F"/>
    <w:rsid w:val="00090D1F"/>
    <w:rsid w:val="000B1AA0"/>
    <w:rsid w:val="000C10B4"/>
    <w:rsid w:val="000D6196"/>
    <w:rsid w:val="00126B1D"/>
    <w:rsid w:val="00181049"/>
    <w:rsid w:val="0018764B"/>
    <w:rsid w:val="001B79E0"/>
    <w:rsid w:val="001E23EB"/>
    <w:rsid w:val="00207E78"/>
    <w:rsid w:val="00252014"/>
    <w:rsid w:val="0026161F"/>
    <w:rsid w:val="002656E6"/>
    <w:rsid w:val="002675E7"/>
    <w:rsid w:val="002D08C8"/>
    <w:rsid w:val="002E7503"/>
    <w:rsid w:val="002F4699"/>
    <w:rsid w:val="00316DD7"/>
    <w:rsid w:val="00330CF1"/>
    <w:rsid w:val="00346245"/>
    <w:rsid w:val="0037117D"/>
    <w:rsid w:val="003B3FF9"/>
    <w:rsid w:val="003C40A1"/>
    <w:rsid w:val="003D0000"/>
    <w:rsid w:val="003D511A"/>
    <w:rsid w:val="003F7C10"/>
    <w:rsid w:val="00422240"/>
    <w:rsid w:val="004226D0"/>
    <w:rsid w:val="00426159"/>
    <w:rsid w:val="00433979"/>
    <w:rsid w:val="00466DC6"/>
    <w:rsid w:val="004C6661"/>
    <w:rsid w:val="004D49C0"/>
    <w:rsid w:val="004D7CB3"/>
    <w:rsid w:val="004E6D0B"/>
    <w:rsid w:val="004F7D17"/>
    <w:rsid w:val="0051115B"/>
    <w:rsid w:val="005179E2"/>
    <w:rsid w:val="0056523F"/>
    <w:rsid w:val="00570070"/>
    <w:rsid w:val="005A62E3"/>
    <w:rsid w:val="005D3232"/>
    <w:rsid w:val="00611D6C"/>
    <w:rsid w:val="00637460"/>
    <w:rsid w:val="00637473"/>
    <w:rsid w:val="00643A10"/>
    <w:rsid w:val="00660D71"/>
    <w:rsid w:val="006669C1"/>
    <w:rsid w:val="006A58E9"/>
    <w:rsid w:val="006B20EF"/>
    <w:rsid w:val="006D5AB8"/>
    <w:rsid w:val="006F02D8"/>
    <w:rsid w:val="00721129"/>
    <w:rsid w:val="00725208"/>
    <w:rsid w:val="00743CD1"/>
    <w:rsid w:val="00756EFD"/>
    <w:rsid w:val="00777925"/>
    <w:rsid w:val="007A44E8"/>
    <w:rsid w:val="007C3EE9"/>
    <w:rsid w:val="007E0B5A"/>
    <w:rsid w:val="007E15F6"/>
    <w:rsid w:val="00843D3A"/>
    <w:rsid w:val="00872C9C"/>
    <w:rsid w:val="008A6E15"/>
    <w:rsid w:val="008C4DF7"/>
    <w:rsid w:val="008D2567"/>
    <w:rsid w:val="00933131"/>
    <w:rsid w:val="00941B30"/>
    <w:rsid w:val="00957282"/>
    <w:rsid w:val="009714C6"/>
    <w:rsid w:val="00987F5E"/>
    <w:rsid w:val="00A02213"/>
    <w:rsid w:val="00A0681C"/>
    <w:rsid w:val="00A211C7"/>
    <w:rsid w:val="00A40DA2"/>
    <w:rsid w:val="00A670BE"/>
    <w:rsid w:val="00A81820"/>
    <w:rsid w:val="00A8715B"/>
    <w:rsid w:val="00A92B3B"/>
    <w:rsid w:val="00AC072B"/>
    <w:rsid w:val="00AD65D2"/>
    <w:rsid w:val="00B33568"/>
    <w:rsid w:val="00B90655"/>
    <w:rsid w:val="00BA2BC5"/>
    <w:rsid w:val="00BF7015"/>
    <w:rsid w:val="00C16F8D"/>
    <w:rsid w:val="00C176B4"/>
    <w:rsid w:val="00C25655"/>
    <w:rsid w:val="00C31FDE"/>
    <w:rsid w:val="00C5415B"/>
    <w:rsid w:val="00C73495"/>
    <w:rsid w:val="00C825DC"/>
    <w:rsid w:val="00CB1A7E"/>
    <w:rsid w:val="00CC2B21"/>
    <w:rsid w:val="00D31D79"/>
    <w:rsid w:val="00D51157"/>
    <w:rsid w:val="00D65DB4"/>
    <w:rsid w:val="00D7630B"/>
    <w:rsid w:val="00D843FC"/>
    <w:rsid w:val="00DB2259"/>
    <w:rsid w:val="00DC17F2"/>
    <w:rsid w:val="00DC4F4B"/>
    <w:rsid w:val="00E14804"/>
    <w:rsid w:val="00E43B10"/>
    <w:rsid w:val="00E75666"/>
    <w:rsid w:val="00E8703E"/>
    <w:rsid w:val="00EA1C66"/>
    <w:rsid w:val="00F06433"/>
    <w:rsid w:val="00F3208E"/>
    <w:rsid w:val="00F3693B"/>
    <w:rsid w:val="00F43EB0"/>
    <w:rsid w:val="00F47734"/>
    <w:rsid w:val="00F93F7A"/>
    <w:rsid w:val="00FF4D4B"/>
    <w:rsid w:val="03A57505"/>
    <w:rsid w:val="067CA328"/>
    <w:rsid w:val="087857C1"/>
    <w:rsid w:val="099233EF"/>
    <w:rsid w:val="0994C299"/>
    <w:rsid w:val="0AFEE456"/>
    <w:rsid w:val="0BC735A4"/>
    <w:rsid w:val="1044F691"/>
    <w:rsid w:val="16DEB6D1"/>
    <w:rsid w:val="1B8B0E80"/>
    <w:rsid w:val="1C653926"/>
    <w:rsid w:val="1E75C634"/>
    <w:rsid w:val="20F9252F"/>
    <w:rsid w:val="248D5F6B"/>
    <w:rsid w:val="29540352"/>
    <w:rsid w:val="2A10CB82"/>
    <w:rsid w:val="2D15F699"/>
    <w:rsid w:val="2E098A4C"/>
    <w:rsid w:val="2E244D47"/>
    <w:rsid w:val="2F13E9DA"/>
    <w:rsid w:val="3035110E"/>
    <w:rsid w:val="3046E304"/>
    <w:rsid w:val="343FD690"/>
    <w:rsid w:val="35A0DDC7"/>
    <w:rsid w:val="3AF03E90"/>
    <w:rsid w:val="3FA3C189"/>
    <w:rsid w:val="41A1246A"/>
    <w:rsid w:val="445561C1"/>
    <w:rsid w:val="462D8989"/>
    <w:rsid w:val="489F1820"/>
    <w:rsid w:val="4BC8FB7E"/>
    <w:rsid w:val="4BCBE2E4"/>
    <w:rsid w:val="53E57837"/>
    <w:rsid w:val="56BEBD3F"/>
    <w:rsid w:val="56FB9650"/>
    <w:rsid w:val="57BD1E91"/>
    <w:rsid w:val="58C9E9EF"/>
    <w:rsid w:val="5966E1C8"/>
    <w:rsid w:val="59E6AA0F"/>
    <w:rsid w:val="5C8EA409"/>
    <w:rsid w:val="5F09779C"/>
    <w:rsid w:val="604D0920"/>
    <w:rsid w:val="64D9156C"/>
    <w:rsid w:val="6597E90C"/>
    <w:rsid w:val="6787002A"/>
    <w:rsid w:val="69E82EC3"/>
    <w:rsid w:val="6B9502E8"/>
    <w:rsid w:val="6C178416"/>
    <w:rsid w:val="6E1EBD23"/>
    <w:rsid w:val="6E501D56"/>
    <w:rsid w:val="6E8FD7E8"/>
    <w:rsid w:val="75BF11A9"/>
    <w:rsid w:val="773106D0"/>
    <w:rsid w:val="79E25790"/>
    <w:rsid w:val="7D2DC999"/>
    <w:rsid w:val="7EBCF5FE"/>
    <w:rsid w:val="7F264600"/>
    <w:rsid w:val="7FCE4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BD4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699"/>
    <w:rPr>
      <w:rFonts w:ascii="Arial" w:hAnsi="Arial"/>
      <w:sz w:val="20"/>
    </w:rPr>
  </w:style>
  <w:style w:type="paragraph" w:styleId="Heading1">
    <w:name w:val="heading 1"/>
    <w:basedOn w:val="Normal"/>
    <w:next w:val="Normal"/>
    <w:link w:val="Heading1Char"/>
    <w:uiPriority w:val="9"/>
    <w:qFormat/>
    <w:rsid w:val="002D08C8"/>
    <w:pPr>
      <w:outlineLvl w:val="0"/>
    </w:pPr>
    <w:rPr>
      <w:rFonts w:cs="Arial"/>
      <w:b/>
      <w:bCs/>
      <w:sz w:val="24"/>
      <w:szCs w:val="24"/>
    </w:rPr>
  </w:style>
  <w:style w:type="paragraph" w:styleId="Heading2">
    <w:name w:val="heading 2"/>
    <w:basedOn w:val="Normal"/>
    <w:next w:val="Normal"/>
    <w:link w:val="Heading2Char"/>
    <w:uiPriority w:val="9"/>
    <w:unhideWhenUsed/>
    <w:qFormat/>
    <w:rsid w:val="002D08C8"/>
    <w:pPr>
      <w:spacing w:before="120" w:after="40" w:line="276" w:lineRule="auto"/>
      <w:outlineLvl w:val="1"/>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qFormat/>
    <w:rsid w:val="002F4699"/>
    <w:pPr>
      <w:tabs>
        <w:tab w:val="left" w:pos="7780"/>
      </w:tabs>
      <w:spacing w:after="0" w:line="240" w:lineRule="auto"/>
    </w:pPr>
    <w:rPr>
      <w:rFonts w:ascii="Oswald Light" w:eastAsia="Times New Roman" w:hAnsi="Oswald Light" w:cs="Times New Roman (Body CS)"/>
      <w:color w:val="B7432A"/>
      <w:spacing w:val="30"/>
      <w:kern w:val="0"/>
      <w:sz w:val="22"/>
      <w:lang w:val="en-GB" w:eastAsia="en-GB"/>
      <w14:ligatures w14:val="none"/>
    </w:rPr>
  </w:style>
  <w:style w:type="paragraph" w:styleId="NormalWeb">
    <w:name w:val="Normal (Web)"/>
    <w:basedOn w:val="Normal"/>
    <w:uiPriority w:val="99"/>
    <w:semiHidden/>
    <w:unhideWhenUsed/>
    <w:rsid w:val="002F469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CommentReference">
    <w:name w:val="annotation reference"/>
    <w:basedOn w:val="DefaultParagraphFont"/>
    <w:uiPriority w:val="99"/>
    <w:semiHidden/>
    <w:unhideWhenUsed/>
    <w:rsid w:val="00F93F7A"/>
    <w:rPr>
      <w:sz w:val="16"/>
      <w:szCs w:val="16"/>
    </w:rPr>
  </w:style>
  <w:style w:type="paragraph" w:styleId="CommentText">
    <w:name w:val="annotation text"/>
    <w:basedOn w:val="Normal"/>
    <w:link w:val="CommentTextChar"/>
    <w:uiPriority w:val="99"/>
    <w:unhideWhenUsed/>
    <w:rsid w:val="00F93F7A"/>
    <w:pPr>
      <w:spacing w:after="0" w:line="240" w:lineRule="auto"/>
    </w:pPr>
    <w:rPr>
      <w:rFonts w:ascii="Gill Sans MT" w:eastAsia="Times New Roman" w:hAnsi="Gill Sans MT" w:cs="Times New Roman"/>
      <w:kern w:val="0"/>
      <w:szCs w:val="20"/>
      <w:lang w:val="en-US" w:eastAsia="en-GB"/>
      <w14:ligatures w14:val="none"/>
    </w:rPr>
  </w:style>
  <w:style w:type="character" w:customStyle="1" w:styleId="CommentTextChar">
    <w:name w:val="Comment Text Char"/>
    <w:basedOn w:val="DefaultParagraphFont"/>
    <w:link w:val="CommentText"/>
    <w:uiPriority w:val="99"/>
    <w:rsid w:val="00F93F7A"/>
    <w:rPr>
      <w:rFonts w:ascii="Gill Sans MT" w:eastAsia="Times New Roman" w:hAnsi="Gill Sans MT" w:cs="Times New Roman"/>
      <w:kern w:val="0"/>
      <w:sz w:val="20"/>
      <w:szCs w:val="20"/>
      <w:lang w:val="en-US" w:eastAsia="en-GB"/>
      <w14:ligatures w14:val="none"/>
    </w:rPr>
  </w:style>
  <w:style w:type="character" w:customStyle="1" w:styleId="normaltextrun">
    <w:name w:val="normaltextrun"/>
    <w:basedOn w:val="DefaultParagraphFont"/>
    <w:rsid w:val="00F93F7A"/>
  </w:style>
  <w:style w:type="paragraph" w:styleId="CommentSubject">
    <w:name w:val="annotation subject"/>
    <w:basedOn w:val="CommentText"/>
    <w:next w:val="CommentText"/>
    <w:link w:val="CommentSubjectChar"/>
    <w:uiPriority w:val="99"/>
    <w:semiHidden/>
    <w:unhideWhenUsed/>
    <w:rsid w:val="004C6661"/>
    <w:pPr>
      <w:spacing w:after="160"/>
    </w:pPr>
    <w:rPr>
      <w:rFonts w:ascii="Arial" w:eastAsiaTheme="minorHAnsi" w:hAnsi="Arial" w:cstheme="minorBidi"/>
      <w:b/>
      <w:bCs/>
      <w:kern w:val="2"/>
      <w:lang w:val="en-AU" w:eastAsia="en-US"/>
      <w14:ligatures w14:val="standardContextual"/>
    </w:rPr>
  </w:style>
  <w:style w:type="character" w:customStyle="1" w:styleId="CommentSubjectChar">
    <w:name w:val="Comment Subject Char"/>
    <w:basedOn w:val="CommentTextChar"/>
    <w:link w:val="CommentSubject"/>
    <w:uiPriority w:val="99"/>
    <w:semiHidden/>
    <w:rsid w:val="004C6661"/>
    <w:rPr>
      <w:rFonts w:ascii="Arial" w:eastAsia="Times New Roman" w:hAnsi="Arial" w:cs="Times New Roman"/>
      <w:b/>
      <w:bCs/>
      <w:kern w:val="0"/>
      <w:sz w:val="20"/>
      <w:szCs w:val="20"/>
      <w:lang w:val="en-US" w:eastAsia="en-GB"/>
      <w14:ligatures w14:val="none"/>
    </w:rPr>
  </w:style>
  <w:style w:type="paragraph" w:styleId="Header">
    <w:name w:val="header"/>
    <w:basedOn w:val="Normal"/>
    <w:link w:val="HeaderChar"/>
    <w:uiPriority w:val="99"/>
    <w:unhideWhenUsed/>
    <w:rsid w:val="004E6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D0B"/>
    <w:rPr>
      <w:rFonts w:ascii="Arial" w:hAnsi="Arial"/>
      <w:sz w:val="20"/>
    </w:rPr>
  </w:style>
  <w:style w:type="paragraph" w:styleId="Footer">
    <w:name w:val="footer"/>
    <w:basedOn w:val="Normal"/>
    <w:link w:val="FooterChar"/>
    <w:uiPriority w:val="99"/>
    <w:unhideWhenUsed/>
    <w:rsid w:val="004E6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D0B"/>
    <w:rPr>
      <w:rFonts w:ascii="Arial" w:hAnsi="Arial"/>
      <w:sz w:val="20"/>
    </w:rPr>
  </w:style>
  <w:style w:type="paragraph" w:styleId="Revision">
    <w:name w:val="Revision"/>
    <w:hidden/>
    <w:uiPriority w:val="99"/>
    <w:semiHidden/>
    <w:rsid w:val="00AD65D2"/>
    <w:pPr>
      <w:spacing w:after="0" w:line="240" w:lineRule="auto"/>
    </w:pPr>
    <w:rPr>
      <w:rFonts w:ascii="Arial" w:hAnsi="Arial"/>
      <w:sz w:val="20"/>
    </w:rPr>
  </w:style>
  <w:style w:type="character" w:styleId="Mention">
    <w:name w:val="Mention"/>
    <w:basedOn w:val="DefaultParagraphFont"/>
    <w:uiPriority w:val="99"/>
    <w:unhideWhenUsed/>
    <w:rsid w:val="00A40DA2"/>
    <w:rPr>
      <w:color w:val="2B579A"/>
      <w:shd w:val="clear" w:color="auto" w:fill="E1DFDD"/>
    </w:rPr>
  </w:style>
  <w:style w:type="character" w:customStyle="1" w:styleId="Heading1Char">
    <w:name w:val="Heading 1 Char"/>
    <w:basedOn w:val="DefaultParagraphFont"/>
    <w:link w:val="Heading1"/>
    <w:uiPriority w:val="9"/>
    <w:rsid w:val="002D08C8"/>
    <w:rPr>
      <w:rFonts w:ascii="Arial" w:hAnsi="Arial" w:cs="Arial"/>
      <w:b/>
      <w:bCs/>
      <w:sz w:val="24"/>
      <w:szCs w:val="24"/>
    </w:rPr>
  </w:style>
  <w:style w:type="character" w:customStyle="1" w:styleId="Heading2Char">
    <w:name w:val="Heading 2 Char"/>
    <w:basedOn w:val="DefaultParagraphFont"/>
    <w:link w:val="Heading2"/>
    <w:uiPriority w:val="9"/>
    <w:rsid w:val="002D08C8"/>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8767">
      <w:bodyDiv w:val="1"/>
      <w:marLeft w:val="0"/>
      <w:marRight w:val="0"/>
      <w:marTop w:val="0"/>
      <w:marBottom w:val="0"/>
      <w:divBdr>
        <w:top w:val="none" w:sz="0" w:space="0" w:color="auto"/>
        <w:left w:val="none" w:sz="0" w:space="0" w:color="auto"/>
        <w:bottom w:val="none" w:sz="0" w:space="0" w:color="auto"/>
        <w:right w:val="none" w:sz="0" w:space="0" w:color="auto"/>
      </w:divBdr>
    </w:div>
    <w:div w:id="855269407">
      <w:bodyDiv w:val="1"/>
      <w:marLeft w:val="0"/>
      <w:marRight w:val="0"/>
      <w:marTop w:val="0"/>
      <w:marBottom w:val="0"/>
      <w:divBdr>
        <w:top w:val="none" w:sz="0" w:space="0" w:color="auto"/>
        <w:left w:val="none" w:sz="0" w:space="0" w:color="auto"/>
        <w:bottom w:val="none" w:sz="0" w:space="0" w:color="auto"/>
        <w:right w:val="none" w:sz="0" w:space="0" w:color="auto"/>
      </w:divBdr>
    </w:div>
    <w:div w:id="1062481053">
      <w:bodyDiv w:val="1"/>
      <w:marLeft w:val="0"/>
      <w:marRight w:val="0"/>
      <w:marTop w:val="0"/>
      <w:marBottom w:val="0"/>
      <w:divBdr>
        <w:top w:val="none" w:sz="0" w:space="0" w:color="auto"/>
        <w:left w:val="none" w:sz="0" w:space="0" w:color="auto"/>
        <w:bottom w:val="none" w:sz="0" w:space="0" w:color="auto"/>
        <w:right w:val="none" w:sz="0" w:space="0" w:color="auto"/>
      </w:divBdr>
    </w:div>
    <w:div w:id="1549680383">
      <w:bodyDiv w:val="1"/>
      <w:marLeft w:val="0"/>
      <w:marRight w:val="0"/>
      <w:marTop w:val="0"/>
      <w:marBottom w:val="0"/>
      <w:divBdr>
        <w:top w:val="none" w:sz="0" w:space="0" w:color="auto"/>
        <w:left w:val="none" w:sz="0" w:space="0" w:color="auto"/>
        <w:bottom w:val="none" w:sz="0" w:space="0" w:color="auto"/>
        <w:right w:val="none" w:sz="0" w:space="0" w:color="auto"/>
      </w:divBdr>
    </w:div>
    <w:div w:id="155793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1399</Words>
  <Characters>7725</Characters>
  <Application>Microsoft Office Word</Application>
  <DocSecurity>0</DocSecurity>
  <Lines>164</Lines>
  <Paragraphs>57</Paragraphs>
  <ScaleCrop>false</ScaleCrop>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DFAT’s Management Response to the Empowering Migrants through Pacific Remittances (EMPR) Mid-term Review</dc:title>
  <dc:subject/>
  <dc:creator/>
  <cp:keywords>[SEC=OFFICIAL]</cp:keywords>
  <dc:description/>
  <cp:lastModifiedBy/>
  <cp:revision>1</cp:revision>
  <dcterms:created xsi:type="dcterms:W3CDTF">2023-12-17T20:32:00Z</dcterms:created>
  <dcterms:modified xsi:type="dcterms:W3CDTF">2023-12-17T20:32:00Z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v=2022.1;a=SHA256;h=F054C3EAD327604886F243169A5D7452B3AF58DAD4804A176CD24C8A4A2D2340</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2023-08-21T07:16:59Z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63F88413CAF34555A94268609DF6FE91</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43C96C12D09E625BB7A10CCFD017AF04</vt:lpwstr>
  </property>
  <property fmtid="{D5CDD505-2E9C-101B-9397-08002B2CF9AE}" pid="24" name="PM_Hash_Salt">
    <vt:lpwstr>E0AA38FF0DA0839BE0F1F75B60DB38EA</vt:lpwstr>
  </property>
  <property fmtid="{D5CDD505-2E9C-101B-9397-08002B2CF9AE}" pid="25" name="PM_Hash_SHA1">
    <vt:lpwstr>60A237D70ED4F38F97721983BF346BF2E286EA3B</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