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EE260" w14:textId="2C3022BF" w:rsidR="007C157A" w:rsidRPr="002F45E4" w:rsidRDefault="00A274ED" w:rsidP="002F45E4">
      <w:pPr>
        <w:suppressAutoHyphens w:val="0"/>
        <w:spacing w:before="0" w:after="120" w:line="440" w:lineRule="atLeast"/>
        <w:rPr>
          <w:rStyle w:val="Heading1Char"/>
          <w:rFonts w:asciiTheme="majorHAnsi" w:hAnsiTheme="majorHAnsi" w:cs="Arial"/>
          <w:bCs w:val="0"/>
          <w:color w:val="FF0000"/>
          <w:sz w:val="22"/>
          <w:szCs w:val="21"/>
        </w:rPr>
      </w:pPr>
      <w:r w:rsidRPr="008A51A6">
        <w:rPr>
          <w:b/>
          <w:noProof/>
          <w:lang w:val="en-AU" w:eastAsia="en-AU"/>
        </w:rPr>
        <w:drawing>
          <wp:inline distT="0" distB="0" distL="0" distR="0" wp14:anchorId="206C0A30" wp14:editId="6BCF900D">
            <wp:extent cx="3166110" cy="553720"/>
            <wp:effectExtent l="0" t="0" r="0" b="0"/>
            <wp:docPr id="42" name="Picture 42" descr="Australian Government Department of Foreign Affairs and Trade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ustralian Government Department of Foreign Affairs and Trade cres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11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463AE" w14:textId="2184C370" w:rsidR="00A42343" w:rsidRPr="0078759B" w:rsidRDefault="00BE0CE5" w:rsidP="0078759B">
      <w:pPr>
        <w:pStyle w:val="SpacebeforeTitle"/>
        <w:tabs>
          <w:tab w:val="left" w:pos="1114"/>
          <w:tab w:val="left" w:pos="2205"/>
        </w:tabs>
        <w:spacing w:after="0"/>
        <w:rPr>
          <w:b/>
          <w:sz w:val="36"/>
          <w:szCs w:val="36"/>
        </w:rPr>
      </w:pPr>
      <w:r>
        <w:rPr>
          <w:rStyle w:val="Heading1Char"/>
        </w:rPr>
        <w:t>NCCTRC, QFES</w:t>
      </w:r>
      <w:r w:rsidR="00E355F2">
        <w:rPr>
          <w:rStyle w:val="Heading1Char"/>
        </w:rPr>
        <w:t xml:space="preserve"> and </w:t>
      </w:r>
      <w:r>
        <w:rPr>
          <w:rStyle w:val="Heading1Char"/>
        </w:rPr>
        <w:t>FRNSW</w:t>
      </w:r>
      <w:r w:rsidR="00E355F2">
        <w:rPr>
          <w:rStyle w:val="Heading1Char"/>
        </w:rPr>
        <w:t xml:space="preserve"> End of Grant Evaluation</w:t>
      </w:r>
      <w:r w:rsidR="00CE061F">
        <w:rPr>
          <w:rStyle w:val="Heading1Char"/>
        </w:rPr>
        <w:t xml:space="preserve"> </w:t>
      </w:r>
      <w:r w:rsidR="00A274ED" w:rsidRPr="000F3962">
        <w:rPr>
          <w:rStyle w:val="Heading1Char"/>
          <w:b/>
          <w:bCs w:val="0"/>
        </w:rPr>
        <w:t>| MANAGEMENT RESPONSE</w:t>
      </w:r>
    </w:p>
    <w:p w14:paraId="0FA127F9" w14:textId="092B046B" w:rsidR="00A42343" w:rsidRPr="003D4DCB" w:rsidRDefault="007B6D8E" w:rsidP="00A274ED">
      <w:pPr>
        <w:tabs>
          <w:tab w:val="left" w:pos="284"/>
        </w:tabs>
        <w:suppressAutoHyphens w:val="0"/>
        <w:spacing w:line="280" w:lineRule="exact"/>
        <w:rPr>
          <w:rFonts w:ascii="Calibri Light" w:hAnsi="Calibri Light" w:cs="Calibri Light"/>
          <w:color w:val="000000"/>
          <w:shd w:val="clear" w:color="auto" w:fill="FFFFFF"/>
        </w:rPr>
      </w:pP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In August 2022, DFAT commissioned an independent evaluation of the </w:t>
      </w:r>
      <w:r w:rsidR="001A56C5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National Critical Care and Trauma Response Centre (</w:t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NCCTRC</w:t>
      </w:r>
      <w:r w:rsidR="001A56C5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)</w:t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,</w:t>
      </w:r>
      <w:r w:rsidR="001A56C5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 Queensland Fire and Emergency Services</w:t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 </w:t>
      </w:r>
      <w:r w:rsidR="001A56C5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(</w:t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QFES</w:t>
      </w:r>
      <w:r w:rsidR="001A56C5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)</w:t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 and </w:t>
      </w:r>
      <w:r w:rsidR="002167E8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Fire and Rescue New South Wales (</w:t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FRNSW</w:t>
      </w:r>
      <w:r w:rsidR="002167E8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)</w:t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 grants</w:t>
      </w:r>
      <w:r w:rsidR="00554D52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 to examine the effectiveness of the investment</w:t>
      </w:r>
      <w:r w:rsidR="00561F69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s </w:t>
      </w:r>
      <w:r w:rsidR="00554D52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and achievement of </w:t>
      </w:r>
      <w:r w:rsidR="00561F69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grant </w:t>
      </w:r>
      <w:r w:rsidR="00554D52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outcomes</w:t>
      </w:r>
      <w:r w:rsidR="00E355F2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,</w:t>
      </w:r>
      <w:r w:rsidR="00554D52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 including efficiency and relevance. </w:t>
      </w:r>
      <w:r w:rsidR="0087450F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The evaluation report was completed by </w:t>
      </w:r>
      <w:r w:rsidR="00A42343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Alinea </w:t>
      </w:r>
      <w:r w:rsidR="00F04AAA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International </w:t>
      </w:r>
      <w:r w:rsidR="0087450F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in </w:t>
      </w:r>
      <w:r w:rsidR="00A42343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December 2022 </w:t>
      </w:r>
      <w:r w:rsidR="00E1235B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and included multiple practical recommendations to help inform</w:t>
      </w:r>
      <w:r w:rsidR="00093B8A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 </w:t>
      </w:r>
      <w:r w:rsidR="0087450F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the </w:t>
      </w:r>
      <w:r w:rsidR="00093B8A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remaining implementation </w:t>
      </w:r>
      <w:r w:rsidR="0087450F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period </w:t>
      </w:r>
      <w:r w:rsidR="00093B8A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and</w:t>
      </w:r>
      <w:r w:rsidR="00E1235B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 future design processes</w:t>
      </w:r>
      <w:r w:rsidR="00C625AF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 for new grant agreements with the partners</w:t>
      </w:r>
      <w:r w:rsidR="000523DC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.</w:t>
      </w:r>
    </w:p>
    <w:p w14:paraId="611C67A3" w14:textId="7034D3C0" w:rsidR="00FA23F3" w:rsidRDefault="00A274ED" w:rsidP="00A274ED">
      <w:pPr>
        <w:tabs>
          <w:tab w:val="left" w:pos="284"/>
        </w:tabs>
        <w:suppressAutoHyphens w:val="0"/>
        <w:spacing w:line="280" w:lineRule="exact"/>
      </w:pPr>
      <w:r w:rsidRPr="00511ADA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DFAT agrees or partially agrees with </w:t>
      </w:r>
      <w:r w:rsidR="0075387D" w:rsidRPr="00511ADA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the </w:t>
      </w:r>
      <w:r w:rsidR="00FA6860" w:rsidRPr="00511ADA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below </w:t>
      </w:r>
      <w:r w:rsidR="0075387D" w:rsidRPr="00511ADA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recommendations.</w:t>
      </w:r>
      <w:r w:rsidR="0075387D">
        <w:t xml:space="preserve"> </w:t>
      </w:r>
      <w:r w:rsidR="00FA6860">
        <w:t xml:space="preserve">    </w:t>
      </w:r>
    </w:p>
    <w:p w14:paraId="5034CF50" w14:textId="52E63E22" w:rsidR="00A274ED" w:rsidRDefault="00A274ED" w:rsidP="00A274ED">
      <w:pPr>
        <w:pStyle w:val="Heading2"/>
      </w:pPr>
      <w:r>
        <w:t xml:space="preserve">End of </w:t>
      </w:r>
      <w:r w:rsidR="00CE061F">
        <w:t>Grant</w:t>
      </w:r>
      <w:r>
        <w:t xml:space="preserve"> Evaluation </w:t>
      </w:r>
      <w:r w:rsidRPr="00F641F0">
        <w:t>Recommendations</w:t>
      </w:r>
      <w:r>
        <w:t xml:space="preserve"> and Management Response</w:t>
      </w:r>
    </w:p>
    <w:p w14:paraId="65EA8EAB" w14:textId="0F69798D" w:rsidR="00711CB1" w:rsidRPr="00711CB1" w:rsidRDefault="00711CB1" w:rsidP="00711CB1">
      <w:r>
        <w:t xml:space="preserve">Recommendations for DFAT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579"/>
        <w:gridCol w:w="1116"/>
        <w:gridCol w:w="2581"/>
        <w:gridCol w:w="3998"/>
        <w:gridCol w:w="1676"/>
      </w:tblGrid>
      <w:tr w:rsidR="002F45E4" w:rsidRPr="00CA7BEF" w14:paraId="4D32A11E" w14:textId="77777777" w:rsidTr="00D31E2D">
        <w:trPr>
          <w:tblHeader/>
        </w:trPr>
        <w:tc>
          <w:tcPr>
            <w:tcW w:w="3579" w:type="dxa"/>
            <w:shd w:val="clear" w:color="auto" w:fill="auto"/>
          </w:tcPr>
          <w:p w14:paraId="15020196" w14:textId="77777777" w:rsidR="00A274ED" w:rsidRPr="009A3080" w:rsidRDefault="00A274ED" w:rsidP="00CB0CDF">
            <w:pPr>
              <w:spacing w:before="0" w:line="240" w:lineRule="auto"/>
              <w:jc w:val="center"/>
              <w:rPr>
                <w:rFonts w:cstheme="minorHAnsi"/>
                <w:b/>
                <w:bCs/>
                <w:iCs/>
                <w:color w:val="auto"/>
              </w:rPr>
            </w:pPr>
            <w:bookmarkStart w:id="0" w:name="_Hlk122611377"/>
            <w:r w:rsidRPr="009A3080">
              <w:rPr>
                <w:rFonts w:cstheme="minorHAnsi"/>
                <w:b/>
                <w:bCs/>
                <w:iCs/>
                <w:color w:val="auto"/>
              </w:rPr>
              <w:t>Recommendation</w:t>
            </w:r>
          </w:p>
        </w:tc>
        <w:tc>
          <w:tcPr>
            <w:tcW w:w="1116" w:type="dxa"/>
            <w:shd w:val="clear" w:color="auto" w:fill="auto"/>
          </w:tcPr>
          <w:p w14:paraId="0903A2F3" w14:textId="77777777" w:rsidR="00A274ED" w:rsidRPr="009A3080" w:rsidRDefault="00A274ED" w:rsidP="00CB0CDF">
            <w:pPr>
              <w:spacing w:before="0" w:line="240" w:lineRule="auto"/>
              <w:jc w:val="center"/>
              <w:rPr>
                <w:rFonts w:cstheme="minorHAnsi"/>
                <w:b/>
                <w:bCs/>
                <w:iCs/>
                <w:color w:val="auto"/>
              </w:rPr>
            </w:pPr>
            <w:r w:rsidRPr="009A3080">
              <w:rPr>
                <w:rFonts w:cstheme="minorHAnsi"/>
                <w:b/>
                <w:bCs/>
                <w:iCs/>
                <w:color w:val="auto"/>
              </w:rPr>
              <w:t>Response</w:t>
            </w:r>
          </w:p>
        </w:tc>
        <w:tc>
          <w:tcPr>
            <w:tcW w:w="2581" w:type="dxa"/>
            <w:shd w:val="clear" w:color="auto" w:fill="auto"/>
          </w:tcPr>
          <w:p w14:paraId="6B8EF461" w14:textId="77777777" w:rsidR="00A274ED" w:rsidRPr="009A3080" w:rsidRDefault="00A274ED" w:rsidP="00CB0CDF">
            <w:pPr>
              <w:spacing w:before="0" w:line="240" w:lineRule="auto"/>
              <w:jc w:val="center"/>
              <w:rPr>
                <w:rFonts w:cstheme="minorHAnsi"/>
                <w:b/>
                <w:bCs/>
                <w:iCs/>
                <w:color w:val="auto"/>
              </w:rPr>
            </w:pPr>
            <w:r w:rsidRPr="009A3080">
              <w:rPr>
                <w:rFonts w:cstheme="minorHAnsi"/>
                <w:b/>
                <w:bCs/>
                <w:iCs/>
                <w:color w:val="auto"/>
              </w:rPr>
              <w:t>Explanation</w:t>
            </w:r>
          </w:p>
        </w:tc>
        <w:tc>
          <w:tcPr>
            <w:tcW w:w="3998" w:type="dxa"/>
            <w:shd w:val="clear" w:color="auto" w:fill="auto"/>
          </w:tcPr>
          <w:p w14:paraId="66421E9A" w14:textId="77777777" w:rsidR="00A274ED" w:rsidRPr="009A3080" w:rsidRDefault="00A274ED" w:rsidP="00CB0CDF">
            <w:pPr>
              <w:spacing w:before="0" w:line="240" w:lineRule="auto"/>
              <w:jc w:val="center"/>
              <w:rPr>
                <w:rFonts w:cstheme="minorHAnsi"/>
                <w:b/>
                <w:bCs/>
                <w:iCs/>
                <w:color w:val="auto"/>
              </w:rPr>
            </w:pPr>
            <w:r w:rsidRPr="009A3080">
              <w:rPr>
                <w:rFonts w:cstheme="minorHAnsi"/>
                <w:b/>
                <w:bCs/>
                <w:iCs/>
                <w:color w:val="auto"/>
              </w:rPr>
              <w:t>Action Plan</w:t>
            </w:r>
          </w:p>
        </w:tc>
        <w:tc>
          <w:tcPr>
            <w:tcW w:w="1676" w:type="dxa"/>
            <w:shd w:val="clear" w:color="auto" w:fill="auto"/>
          </w:tcPr>
          <w:p w14:paraId="119CF368" w14:textId="77777777" w:rsidR="00A274ED" w:rsidRPr="009A3080" w:rsidRDefault="00A274ED" w:rsidP="00CB0CDF">
            <w:pPr>
              <w:spacing w:before="0" w:line="240" w:lineRule="auto"/>
              <w:jc w:val="center"/>
              <w:rPr>
                <w:rFonts w:cstheme="minorHAnsi"/>
                <w:b/>
                <w:bCs/>
                <w:iCs/>
                <w:color w:val="auto"/>
              </w:rPr>
            </w:pPr>
            <w:r w:rsidRPr="009A3080">
              <w:rPr>
                <w:rFonts w:cstheme="minorHAnsi"/>
                <w:b/>
                <w:bCs/>
                <w:iCs/>
                <w:color w:val="auto"/>
              </w:rPr>
              <w:t>Timeframe</w:t>
            </w:r>
          </w:p>
        </w:tc>
      </w:tr>
      <w:tr w:rsidR="002F45E4" w:rsidRPr="00CA7BEF" w14:paraId="3D2E4506" w14:textId="77777777" w:rsidTr="002F45E4">
        <w:tc>
          <w:tcPr>
            <w:tcW w:w="3579" w:type="dxa"/>
            <w:shd w:val="clear" w:color="auto" w:fill="auto"/>
          </w:tcPr>
          <w:p w14:paraId="2B43EC9B" w14:textId="1F735717" w:rsidR="00A274ED" w:rsidRPr="00AA54C0" w:rsidRDefault="0049425E" w:rsidP="00CB0CDF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60" w:line="280" w:lineRule="atLeast"/>
              <w:rPr>
                <w:b/>
                <w:bCs/>
                <w:color w:val="000000" w:themeColor="text1"/>
                <w:lang w:val="en-AU"/>
              </w:rPr>
            </w:pPr>
            <w:bookmarkStart w:id="1" w:name="_Hlk135925827"/>
            <w:bookmarkEnd w:id="0"/>
            <w:r w:rsidRPr="00AA54C0">
              <w:rPr>
                <w:rFonts w:cstheme="minorHAnsi"/>
                <w:b/>
                <w:bCs/>
                <w:iCs/>
                <w:color w:val="auto"/>
                <w:sz w:val="20"/>
                <w:szCs w:val="20"/>
              </w:rPr>
              <w:t>DFAT to develop a program strategy for all humanitarian capacity building investments.</w:t>
            </w:r>
          </w:p>
        </w:tc>
        <w:tc>
          <w:tcPr>
            <w:tcW w:w="1116" w:type="dxa"/>
            <w:shd w:val="clear" w:color="auto" w:fill="FFC000"/>
          </w:tcPr>
          <w:p w14:paraId="027FA173" w14:textId="093B5868" w:rsidR="00A274ED" w:rsidRPr="00F17520" w:rsidRDefault="001C41E5" w:rsidP="00CB0CDF">
            <w:pPr>
              <w:spacing w:before="0" w:line="240" w:lineRule="auto"/>
              <w:jc w:val="center"/>
            </w:pPr>
            <w:r>
              <w:rPr>
                <w:rFonts w:cstheme="minorHAnsi"/>
                <w:iCs/>
                <w:color w:val="auto"/>
                <w:sz w:val="20"/>
                <w:szCs w:val="20"/>
              </w:rPr>
              <w:t xml:space="preserve">Partially </w:t>
            </w:r>
            <w:r w:rsidR="0023510F" w:rsidRPr="00F51DE9">
              <w:rPr>
                <w:rFonts w:cstheme="minorHAnsi"/>
                <w:iCs/>
                <w:color w:val="auto"/>
                <w:sz w:val="20"/>
                <w:szCs w:val="20"/>
              </w:rPr>
              <w:t>Agree</w:t>
            </w:r>
          </w:p>
        </w:tc>
        <w:tc>
          <w:tcPr>
            <w:tcW w:w="2581" w:type="dxa"/>
            <w:shd w:val="clear" w:color="auto" w:fill="auto"/>
          </w:tcPr>
          <w:p w14:paraId="1DFC891C" w14:textId="4269B394" w:rsidR="00F05D7D" w:rsidRPr="00F05D7D" w:rsidRDefault="00F05D7D" w:rsidP="00F05D7D">
            <w:pPr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F05D7D">
              <w:rPr>
                <w:rFonts w:cstheme="minorHAnsi"/>
                <w:iCs/>
                <w:color w:val="auto"/>
                <w:sz w:val="20"/>
                <w:szCs w:val="20"/>
              </w:rPr>
              <w:t xml:space="preserve">DFAT recognises the </w:t>
            </w:r>
            <w:r w:rsidR="001F4029">
              <w:rPr>
                <w:rFonts w:cstheme="minorHAnsi"/>
                <w:iCs/>
                <w:color w:val="auto"/>
                <w:sz w:val="20"/>
                <w:szCs w:val="20"/>
              </w:rPr>
              <w:t xml:space="preserve">benefit </w:t>
            </w:r>
            <w:r w:rsidRPr="00F05D7D">
              <w:rPr>
                <w:rFonts w:cstheme="minorHAnsi"/>
                <w:iCs/>
                <w:color w:val="auto"/>
                <w:sz w:val="20"/>
                <w:szCs w:val="20"/>
              </w:rPr>
              <w:t xml:space="preserve">of an approach to capacity building that ensures consistency (where appropriate) and better coordination. </w:t>
            </w:r>
          </w:p>
          <w:p w14:paraId="7C24A9BF" w14:textId="63466F2F" w:rsidR="00F05D7D" w:rsidRPr="00F05D7D" w:rsidRDefault="00F05D7D" w:rsidP="00F05D7D">
            <w:pPr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F05D7D">
              <w:rPr>
                <w:rFonts w:cstheme="minorHAnsi"/>
                <w:iCs/>
                <w:color w:val="auto"/>
                <w:sz w:val="20"/>
                <w:szCs w:val="20"/>
              </w:rPr>
              <w:t>Further, DFAT recognises that these humanitarian capacity building investments must respond to the clear call from the Pacific region to strengthen national and regional level preparedness and response.</w:t>
            </w:r>
          </w:p>
          <w:p w14:paraId="4C33DE09" w14:textId="77777777" w:rsidR="0095209E" w:rsidRDefault="00F05D7D" w:rsidP="00F05D7D">
            <w:pPr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F05D7D">
              <w:rPr>
                <w:rFonts w:cstheme="minorHAnsi"/>
                <w:iCs/>
                <w:color w:val="auto"/>
                <w:sz w:val="20"/>
                <w:szCs w:val="20"/>
              </w:rPr>
              <w:t xml:space="preserve">DFAT will continue to support strengthening national and regional </w:t>
            </w:r>
            <w:r w:rsidRPr="00F05D7D">
              <w:rPr>
                <w:rFonts w:cstheme="minorHAnsi"/>
                <w:iCs/>
                <w:color w:val="auto"/>
                <w:sz w:val="20"/>
                <w:szCs w:val="20"/>
              </w:rPr>
              <w:lastRenderedPageBreak/>
              <w:t xml:space="preserve">institutional capacity of emergency management agencies to support diversity, social and disability </w:t>
            </w:r>
            <w:proofErr w:type="gramStart"/>
            <w:r w:rsidRPr="00F05D7D">
              <w:rPr>
                <w:rFonts w:cstheme="minorHAnsi"/>
                <w:iCs/>
                <w:color w:val="auto"/>
                <w:sz w:val="20"/>
                <w:szCs w:val="20"/>
              </w:rPr>
              <w:t>inclusion</w:t>
            </w:r>
            <w:proofErr w:type="gramEnd"/>
            <w:r w:rsidRPr="00F05D7D">
              <w:rPr>
                <w:rFonts w:cstheme="minorHAnsi"/>
                <w:iCs/>
                <w:color w:val="auto"/>
                <w:sz w:val="20"/>
                <w:szCs w:val="20"/>
              </w:rPr>
              <w:t xml:space="preserve"> and leadership. </w:t>
            </w:r>
          </w:p>
          <w:p w14:paraId="33272672" w14:textId="7A4BE241" w:rsidR="000C0966" w:rsidRPr="00785AD8" w:rsidRDefault="000C0966" w:rsidP="00F05D7D">
            <w:pPr>
              <w:rPr>
                <w:rFonts w:cstheme="minorHAnsi"/>
                <w:iCs/>
                <w:color w:val="auto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</w:tcPr>
          <w:p w14:paraId="577C2EDB" w14:textId="2486069A" w:rsidR="00B11DC5" w:rsidRDefault="00133C13" w:rsidP="00CB0CDF">
            <w:pPr>
              <w:spacing w:before="0"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>
              <w:rPr>
                <w:rFonts w:cstheme="minorHAnsi"/>
                <w:iCs/>
                <w:color w:val="auto"/>
                <w:sz w:val="20"/>
                <w:szCs w:val="20"/>
              </w:rPr>
              <w:lastRenderedPageBreak/>
              <w:t xml:space="preserve">This recommendation will be considered as part of DFAT’s design for a future phase of </w:t>
            </w:r>
            <w:r w:rsidR="00B11DC5">
              <w:rPr>
                <w:rFonts w:cstheme="minorHAnsi"/>
                <w:iCs/>
                <w:color w:val="auto"/>
                <w:sz w:val="20"/>
                <w:szCs w:val="20"/>
              </w:rPr>
              <w:t>disaster response capacity building investments where relevant.</w:t>
            </w:r>
          </w:p>
          <w:p w14:paraId="3F13F765" w14:textId="77777777" w:rsidR="00B11DC5" w:rsidRDefault="00B11DC5" w:rsidP="00CB0CDF">
            <w:pPr>
              <w:spacing w:before="0"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</w:p>
          <w:p w14:paraId="5215AE75" w14:textId="38A7C4FE" w:rsidR="00A274ED" w:rsidRPr="00F05D7D" w:rsidRDefault="00B11DC5" w:rsidP="00F05D7D">
            <w:pPr>
              <w:spacing w:before="0"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>
              <w:rPr>
                <w:rFonts w:cstheme="minorHAnsi"/>
                <w:iCs/>
                <w:color w:val="auto"/>
                <w:sz w:val="20"/>
                <w:szCs w:val="20"/>
              </w:rPr>
              <w:t xml:space="preserve">DFAT will </w:t>
            </w:r>
            <w:r w:rsidR="009809E0">
              <w:rPr>
                <w:rFonts w:cstheme="minorHAnsi"/>
                <w:iCs/>
                <w:color w:val="auto"/>
                <w:sz w:val="20"/>
                <w:szCs w:val="20"/>
              </w:rPr>
              <w:t xml:space="preserve">work </w:t>
            </w:r>
            <w:r w:rsidR="00F05D7D">
              <w:rPr>
                <w:rFonts w:cstheme="minorHAnsi"/>
                <w:iCs/>
                <w:color w:val="auto"/>
                <w:sz w:val="20"/>
                <w:szCs w:val="20"/>
              </w:rPr>
              <w:t xml:space="preserve">alongside </w:t>
            </w:r>
            <w:r>
              <w:rPr>
                <w:rFonts w:cstheme="minorHAnsi"/>
                <w:iCs/>
                <w:color w:val="auto"/>
                <w:sz w:val="20"/>
                <w:szCs w:val="20"/>
              </w:rPr>
              <w:t xml:space="preserve">Pacific </w:t>
            </w:r>
            <w:r w:rsidR="000E3303">
              <w:rPr>
                <w:rFonts w:cstheme="minorHAnsi"/>
                <w:iCs/>
                <w:color w:val="auto"/>
                <w:sz w:val="20"/>
                <w:szCs w:val="20"/>
              </w:rPr>
              <w:t>partner</w:t>
            </w:r>
            <w:r>
              <w:rPr>
                <w:rFonts w:cstheme="minorHAnsi"/>
                <w:iCs/>
                <w:color w:val="auto"/>
                <w:sz w:val="20"/>
                <w:szCs w:val="20"/>
              </w:rPr>
              <w:t xml:space="preserve"> agencies to</w:t>
            </w:r>
            <w:r w:rsidR="009809E0">
              <w:rPr>
                <w:rFonts w:cstheme="minorHAnsi"/>
                <w:iCs/>
                <w:color w:val="auto"/>
                <w:sz w:val="20"/>
                <w:szCs w:val="20"/>
              </w:rPr>
              <w:t xml:space="preserve"> develop initiatives that</w:t>
            </w:r>
            <w:r>
              <w:rPr>
                <w:rFonts w:cstheme="minorHAnsi"/>
                <w:iCs/>
                <w:color w:val="auto"/>
                <w:sz w:val="20"/>
                <w:szCs w:val="20"/>
              </w:rPr>
              <w:t xml:space="preserve"> </w:t>
            </w:r>
            <w:r w:rsidRPr="00F05D7D">
              <w:rPr>
                <w:rFonts w:cstheme="minorHAnsi"/>
                <w:iCs/>
                <w:color w:val="auto"/>
                <w:sz w:val="20"/>
                <w:szCs w:val="20"/>
              </w:rPr>
              <w:t>strength</w:t>
            </w:r>
            <w:r w:rsidR="00F05D7D">
              <w:rPr>
                <w:rFonts w:cstheme="minorHAnsi"/>
                <w:iCs/>
                <w:color w:val="auto"/>
                <w:sz w:val="20"/>
                <w:szCs w:val="20"/>
              </w:rPr>
              <w:t>en</w:t>
            </w:r>
            <w:r w:rsidRPr="00F05D7D">
              <w:rPr>
                <w:rFonts w:cstheme="minorHAnsi"/>
                <w:iCs/>
                <w:color w:val="auto"/>
                <w:sz w:val="20"/>
                <w:szCs w:val="20"/>
              </w:rPr>
              <w:t xml:space="preserve"> the knowledge, understanding, tools and resources of emergency management professionals</w:t>
            </w:r>
            <w:r w:rsidR="009809E0">
              <w:rPr>
                <w:rFonts w:cstheme="minorHAnsi"/>
                <w:iCs/>
                <w:color w:val="auto"/>
                <w:sz w:val="20"/>
                <w:szCs w:val="20"/>
              </w:rPr>
              <w:t>.  Such initiatives will support</w:t>
            </w:r>
            <w:r w:rsidR="00DE5E60">
              <w:rPr>
                <w:rFonts w:cstheme="minorHAnsi"/>
                <w:iCs/>
                <w:color w:val="auto"/>
                <w:sz w:val="20"/>
                <w:szCs w:val="20"/>
              </w:rPr>
              <w:t xml:space="preserve"> Pacific emergency management professionals</w:t>
            </w:r>
            <w:r w:rsidRPr="00F05D7D">
              <w:rPr>
                <w:rFonts w:cstheme="minorHAnsi"/>
                <w:iCs/>
                <w:color w:val="auto"/>
                <w:sz w:val="20"/>
                <w:szCs w:val="20"/>
              </w:rPr>
              <w:t xml:space="preserve"> to respond to disasters in their own countries</w:t>
            </w:r>
            <w:r>
              <w:rPr>
                <w:rFonts w:cstheme="minorHAnsi"/>
                <w:iCs/>
                <w:color w:val="auto"/>
                <w:sz w:val="20"/>
                <w:szCs w:val="20"/>
              </w:rPr>
              <w:t xml:space="preserve"> and across the Pacific region as well as assist with better coordination </w:t>
            </w:r>
            <w:r w:rsidRPr="00F05D7D">
              <w:rPr>
                <w:rFonts w:cstheme="minorHAnsi"/>
                <w:iCs/>
                <w:color w:val="auto"/>
                <w:sz w:val="20"/>
                <w:szCs w:val="20"/>
              </w:rPr>
              <w:t>of Australian-based deployment capabilities when needed.</w:t>
            </w:r>
          </w:p>
        </w:tc>
        <w:tc>
          <w:tcPr>
            <w:tcW w:w="1676" w:type="dxa"/>
            <w:shd w:val="clear" w:color="auto" w:fill="auto"/>
          </w:tcPr>
          <w:p w14:paraId="24D291C0" w14:textId="48B419E6" w:rsidR="0095209E" w:rsidRPr="00F17520" w:rsidRDefault="00CB3794" w:rsidP="00F05D7D">
            <w:pPr>
              <w:spacing w:before="0" w:line="240" w:lineRule="auto"/>
            </w:pPr>
            <w:r>
              <w:rPr>
                <w:rFonts w:cstheme="minorHAnsi"/>
                <w:iCs/>
                <w:color w:val="auto"/>
                <w:sz w:val="20"/>
                <w:szCs w:val="20"/>
              </w:rPr>
              <w:t xml:space="preserve">Throughout the life of the grant agreements </w:t>
            </w:r>
          </w:p>
        </w:tc>
      </w:tr>
    </w:tbl>
    <w:p w14:paraId="1E142B61" w14:textId="08D05E48" w:rsidR="00711CB1" w:rsidRDefault="00711CB1">
      <w:r>
        <w:t xml:space="preserve">Recommendations for DFAT, NCCTRC, FRNSW and QFES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579"/>
        <w:gridCol w:w="1116"/>
        <w:gridCol w:w="2581"/>
        <w:gridCol w:w="3998"/>
        <w:gridCol w:w="1676"/>
      </w:tblGrid>
      <w:tr w:rsidR="00711CB1" w:rsidRPr="009A3080" w14:paraId="693660BB" w14:textId="77777777" w:rsidTr="00D31E2D">
        <w:trPr>
          <w:tblHeader/>
        </w:trPr>
        <w:tc>
          <w:tcPr>
            <w:tcW w:w="3579" w:type="dxa"/>
            <w:shd w:val="clear" w:color="auto" w:fill="auto"/>
          </w:tcPr>
          <w:bookmarkEnd w:id="1"/>
          <w:p w14:paraId="6E63C860" w14:textId="77777777" w:rsidR="00711CB1" w:rsidRPr="009A3080" w:rsidRDefault="00711CB1" w:rsidP="00824000">
            <w:pPr>
              <w:spacing w:before="0" w:line="240" w:lineRule="auto"/>
              <w:jc w:val="center"/>
              <w:rPr>
                <w:rFonts w:cstheme="minorHAnsi"/>
                <w:b/>
                <w:bCs/>
                <w:iCs/>
                <w:color w:val="auto"/>
              </w:rPr>
            </w:pPr>
            <w:r w:rsidRPr="009A3080">
              <w:rPr>
                <w:rFonts w:cstheme="minorHAnsi"/>
                <w:b/>
                <w:bCs/>
                <w:iCs/>
                <w:color w:val="auto"/>
              </w:rPr>
              <w:t>Recommendation</w:t>
            </w:r>
          </w:p>
        </w:tc>
        <w:tc>
          <w:tcPr>
            <w:tcW w:w="1116" w:type="dxa"/>
            <w:shd w:val="clear" w:color="auto" w:fill="auto"/>
          </w:tcPr>
          <w:p w14:paraId="050B07EF" w14:textId="77777777" w:rsidR="00711CB1" w:rsidRPr="009A3080" w:rsidRDefault="00711CB1" w:rsidP="00824000">
            <w:pPr>
              <w:spacing w:before="0" w:line="240" w:lineRule="auto"/>
              <w:jc w:val="center"/>
              <w:rPr>
                <w:rFonts w:cstheme="minorHAnsi"/>
                <w:b/>
                <w:bCs/>
                <w:iCs/>
                <w:color w:val="auto"/>
              </w:rPr>
            </w:pPr>
            <w:r w:rsidRPr="009A3080">
              <w:rPr>
                <w:rFonts w:cstheme="minorHAnsi"/>
                <w:b/>
                <w:bCs/>
                <w:iCs/>
                <w:color w:val="auto"/>
              </w:rPr>
              <w:t>Response</w:t>
            </w:r>
          </w:p>
        </w:tc>
        <w:tc>
          <w:tcPr>
            <w:tcW w:w="2581" w:type="dxa"/>
            <w:shd w:val="clear" w:color="auto" w:fill="auto"/>
          </w:tcPr>
          <w:p w14:paraId="133C1572" w14:textId="77777777" w:rsidR="00711CB1" w:rsidRPr="009A3080" w:rsidRDefault="00711CB1" w:rsidP="00824000">
            <w:pPr>
              <w:spacing w:before="0" w:line="240" w:lineRule="auto"/>
              <w:jc w:val="center"/>
              <w:rPr>
                <w:rFonts w:cstheme="minorHAnsi"/>
                <w:b/>
                <w:bCs/>
                <w:iCs/>
                <w:color w:val="auto"/>
              </w:rPr>
            </w:pPr>
            <w:r w:rsidRPr="009A3080">
              <w:rPr>
                <w:rFonts w:cstheme="minorHAnsi"/>
                <w:b/>
                <w:bCs/>
                <w:iCs/>
                <w:color w:val="auto"/>
              </w:rPr>
              <w:t>Explanation</w:t>
            </w:r>
          </w:p>
        </w:tc>
        <w:tc>
          <w:tcPr>
            <w:tcW w:w="3998" w:type="dxa"/>
            <w:shd w:val="clear" w:color="auto" w:fill="auto"/>
          </w:tcPr>
          <w:p w14:paraId="030F840B" w14:textId="77777777" w:rsidR="00711CB1" w:rsidRPr="009A3080" w:rsidRDefault="00711CB1" w:rsidP="00824000">
            <w:pPr>
              <w:spacing w:before="0" w:line="240" w:lineRule="auto"/>
              <w:jc w:val="center"/>
              <w:rPr>
                <w:rFonts w:cstheme="minorHAnsi"/>
                <w:b/>
                <w:bCs/>
                <w:iCs/>
                <w:color w:val="auto"/>
              </w:rPr>
            </w:pPr>
            <w:r w:rsidRPr="009A3080">
              <w:rPr>
                <w:rFonts w:cstheme="minorHAnsi"/>
                <w:b/>
                <w:bCs/>
                <w:iCs/>
                <w:color w:val="auto"/>
              </w:rPr>
              <w:t>Action Plan</w:t>
            </w:r>
          </w:p>
        </w:tc>
        <w:tc>
          <w:tcPr>
            <w:tcW w:w="1676" w:type="dxa"/>
            <w:shd w:val="clear" w:color="auto" w:fill="auto"/>
          </w:tcPr>
          <w:p w14:paraId="0549545F" w14:textId="77777777" w:rsidR="00711CB1" w:rsidRPr="009A3080" w:rsidRDefault="00711CB1" w:rsidP="00824000">
            <w:pPr>
              <w:spacing w:before="0" w:line="240" w:lineRule="auto"/>
              <w:jc w:val="center"/>
              <w:rPr>
                <w:rFonts w:cstheme="minorHAnsi"/>
                <w:b/>
                <w:bCs/>
                <w:iCs/>
                <w:color w:val="auto"/>
              </w:rPr>
            </w:pPr>
            <w:r w:rsidRPr="009A3080">
              <w:rPr>
                <w:rFonts w:cstheme="minorHAnsi"/>
                <w:b/>
                <w:bCs/>
                <w:iCs/>
                <w:color w:val="auto"/>
              </w:rPr>
              <w:t>Timeframe</w:t>
            </w:r>
          </w:p>
        </w:tc>
      </w:tr>
      <w:tr w:rsidR="002F45E4" w:rsidRPr="00CA7BEF" w14:paraId="0FEBD6C7" w14:textId="77777777" w:rsidTr="002F45E4">
        <w:tc>
          <w:tcPr>
            <w:tcW w:w="3579" w:type="dxa"/>
            <w:tcBorders>
              <w:right w:val="single" w:sz="4" w:space="0" w:color="auto"/>
            </w:tcBorders>
            <w:shd w:val="clear" w:color="auto" w:fill="auto"/>
          </w:tcPr>
          <w:p w14:paraId="5F2556D9" w14:textId="77777777" w:rsidR="003D7A76" w:rsidRPr="00AA54C0" w:rsidRDefault="003D7A76" w:rsidP="00CB0CDF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60" w:line="280" w:lineRule="atLeast"/>
              <w:rPr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0AA54C0">
              <w:rPr>
                <w:b/>
                <w:bCs/>
                <w:color w:val="auto"/>
                <w:sz w:val="20"/>
                <w:szCs w:val="20"/>
              </w:rPr>
              <w:t xml:space="preserve">DFAT and grant partners to take a co-design approach to the next investment designs. </w:t>
            </w:r>
          </w:p>
          <w:p w14:paraId="3681BCD1" w14:textId="77777777" w:rsidR="003D7A76" w:rsidRPr="00287D12" w:rsidRDefault="003D7A76" w:rsidP="00CB0CDF">
            <w:pPr>
              <w:pStyle w:val="ListParagraph"/>
              <w:numPr>
                <w:ilvl w:val="0"/>
                <w:numId w:val="17"/>
              </w:numPr>
              <w:suppressAutoHyphens w:val="0"/>
              <w:spacing w:before="0" w:after="160" w:line="280" w:lineRule="atLeast"/>
              <w:rPr>
                <w:color w:val="auto"/>
                <w:sz w:val="20"/>
                <w:szCs w:val="20"/>
                <w:lang w:val="en-AU"/>
              </w:rPr>
            </w:pPr>
            <w:r w:rsidRPr="00287D12">
              <w:rPr>
                <w:color w:val="auto"/>
                <w:sz w:val="20"/>
                <w:szCs w:val="20"/>
              </w:rPr>
              <w:t xml:space="preserve">Future investment designs should:  include a monitoring and evaluation (M&amp;E) framework and system that is practical and resourced to meet DFAT’s </w:t>
            </w:r>
            <w:proofErr w:type="gramStart"/>
            <w:r w:rsidRPr="00287D12">
              <w:rPr>
                <w:color w:val="auto"/>
                <w:sz w:val="20"/>
                <w:szCs w:val="20"/>
              </w:rPr>
              <w:t>standards;</w:t>
            </w:r>
            <w:proofErr w:type="gramEnd"/>
          </w:p>
          <w:p w14:paraId="2A356CAD" w14:textId="77777777" w:rsidR="003D7A76" w:rsidRPr="00287D12" w:rsidRDefault="003D7A76" w:rsidP="00CB0CDF">
            <w:pPr>
              <w:pStyle w:val="ListParagraph"/>
              <w:numPr>
                <w:ilvl w:val="0"/>
                <w:numId w:val="17"/>
              </w:numPr>
              <w:suppressAutoHyphens w:val="0"/>
              <w:spacing w:before="0" w:after="160" w:line="280" w:lineRule="atLeast"/>
              <w:rPr>
                <w:color w:val="auto"/>
                <w:sz w:val="20"/>
                <w:szCs w:val="20"/>
              </w:rPr>
            </w:pPr>
            <w:r w:rsidRPr="00287D12">
              <w:rPr>
                <w:color w:val="auto"/>
                <w:sz w:val="20"/>
                <w:szCs w:val="20"/>
              </w:rPr>
              <w:t>consider and embed DFAT’s thematic priorities and policies for gender equality, disability and social inclusion (GEDSI), child protection and prevention of sexual exploitation, harassment and abuse (PSEAH</w:t>
            </w:r>
            <w:proofErr w:type="gramStart"/>
            <w:r w:rsidRPr="00287D12">
              <w:rPr>
                <w:color w:val="auto"/>
                <w:sz w:val="20"/>
                <w:szCs w:val="20"/>
              </w:rPr>
              <w:t>);</w:t>
            </w:r>
            <w:proofErr w:type="gramEnd"/>
          </w:p>
          <w:p w14:paraId="5E96FF03" w14:textId="77777777" w:rsidR="003D7A76" w:rsidRPr="00287D12" w:rsidRDefault="003D7A76" w:rsidP="00CB0CDF">
            <w:pPr>
              <w:pStyle w:val="ListParagraph"/>
              <w:numPr>
                <w:ilvl w:val="0"/>
                <w:numId w:val="17"/>
              </w:numPr>
              <w:suppressAutoHyphens w:val="0"/>
              <w:spacing w:before="0" w:after="160" w:line="280" w:lineRule="atLeast"/>
              <w:rPr>
                <w:color w:val="auto"/>
                <w:sz w:val="20"/>
                <w:szCs w:val="20"/>
              </w:rPr>
            </w:pPr>
            <w:r w:rsidRPr="00287D12">
              <w:rPr>
                <w:color w:val="auto"/>
                <w:sz w:val="20"/>
                <w:szCs w:val="20"/>
              </w:rPr>
              <w:t xml:space="preserve">include an engagement strategy to better facilitate partner countries to join the program </w:t>
            </w:r>
            <w:proofErr w:type="gramStart"/>
            <w:r w:rsidRPr="00287D12">
              <w:rPr>
                <w:color w:val="auto"/>
                <w:sz w:val="20"/>
                <w:szCs w:val="20"/>
              </w:rPr>
              <w:t>activities;</w:t>
            </w:r>
            <w:proofErr w:type="gramEnd"/>
            <w:r w:rsidRPr="00287D12">
              <w:rPr>
                <w:color w:val="auto"/>
                <w:sz w:val="20"/>
                <w:szCs w:val="20"/>
              </w:rPr>
              <w:t xml:space="preserve"> </w:t>
            </w:r>
          </w:p>
          <w:p w14:paraId="61C211F2" w14:textId="77777777" w:rsidR="003D7A76" w:rsidRPr="00287D12" w:rsidRDefault="003D7A76" w:rsidP="00CB0CDF">
            <w:pPr>
              <w:pStyle w:val="ListParagraph"/>
              <w:numPr>
                <w:ilvl w:val="0"/>
                <w:numId w:val="17"/>
              </w:numPr>
              <w:suppressAutoHyphens w:val="0"/>
              <w:spacing w:before="0" w:after="160" w:line="280" w:lineRule="atLeast"/>
              <w:rPr>
                <w:color w:val="auto"/>
                <w:sz w:val="20"/>
                <w:szCs w:val="20"/>
              </w:rPr>
            </w:pPr>
            <w:r w:rsidRPr="005022AA">
              <w:rPr>
                <w:color w:val="auto"/>
                <w:sz w:val="20"/>
                <w:szCs w:val="20"/>
              </w:rPr>
              <w:t>delineate more clearly between the deployable mechanisms (</w:t>
            </w:r>
            <w:r w:rsidRPr="00017F4A">
              <w:rPr>
                <w:color w:val="auto"/>
                <w:sz w:val="20"/>
                <w:szCs w:val="20"/>
              </w:rPr>
              <w:t>AUSMAT,</w:t>
            </w:r>
            <w:r w:rsidRPr="005022AA">
              <w:rPr>
                <w:color w:val="auto"/>
                <w:sz w:val="20"/>
                <w:szCs w:val="20"/>
              </w:rPr>
              <w:t xml:space="preserve"> AUS-1 DART, AUS-2 DART), the capacity building </w:t>
            </w:r>
            <w:r w:rsidRPr="005022AA">
              <w:rPr>
                <w:color w:val="auto"/>
                <w:sz w:val="20"/>
                <w:szCs w:val="20"/>
              </w:rPr>
              <w:lastRenderedPageBreak/>
              <w:t xml:space="preserve">which may take place within a deployment and the standalone capacity building </w:t>
            </w:r>
            <w:proofErr w:type="gramStart"/>
            <w:r w:rsidRPr="005022AA">
              <w:rPr>
                <w:color w:val="auto"/>
                <w:sz w:val="20"/>
                <w:szCs w:val="20"/>
              </w:rPr>
              <w:t>programs;</w:t>
            </w:r>
            <w:proofErr w:type="gramEnd"/>
          </w:p>
          <w:p w14:paraId="01F2507B" w14:textId="2BE13ABA" w:rsidR="003D7A76" w:rsidRPr="004D4B92" w:rsidRDefault="003D7A76" w:rsidP="00CB0CDF">
            <w:pPr>
              <w:pStyle w:val="ListParagraph"/>
              <w:numPr>
                <w:ilvl w:val="0"/>
                <w:numId w:val="17"/>
              </w:numPr>
              <w:suppressAutoHyphens w:val="0"/>
              <w:spacing w:before="0" w:after="160" w:line="280" w:lineRule="atLeast"/>
              <w:rPr>
                <w:color w:val="auto"/>
                <w:sz w:val="20"/>
                <w:szCs w:val="20"/>
              </w:rPr>
            </w:pPr>
            <w:r w:rsidRPr="00287D12">
              <w:rPr>
                <w:color w:val="auto"/>
                <w:sz w:val="20"/>
                <w:szCs w:val="20"/>
              </w:rPr>
              <w:t xml:space="preserve">include a program management strategy for each grant partner with an appropriate level of resources available for program reporting, communications, risk management and monitoring. 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8064138" w14:textId="3BFDA824" w:rsidR="003D7A76" w:rsidRPr="000F6663" w:rsidRDefault="003D7A76" w:rsidP="00CB0CDF">
            <w:pPr>
              <w:spacing w:before="0" w:line="240" w:lineRule="auto"/>
              <w:jc w:val="center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0F6663">
              <w:rPr>
                <w:rFonts w:cstheme="minorHAnsi"/>
                <w:iCs/>
                <w:color w:val="auto"/>
                <w:sz w:val="20"/>
                <w:szCs w:val="20"/>
              </w:rPr>
              <w:lastRenderedPageBreak/>
              <w:t>Agree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14053" w14:textId="44DEB532" w:rsidR="003D7A76" w:rsidRPr="00272CEF" w:rsidRDefault="003D7A76" w:rsidP="00CB0CDF">
            <w:pPr>
              <w:spacing w:before="0"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272CEF">
              <w:rPr>
                <w:rFonts w:cstheme="minorHAnsi"/>
                <w:iCs/>
                <w:color w:val="auto"/>
                <w:sz w:val="20"/>
                <w:szCs w:val="20"/>
              </w:rPr>
              <w:t xml:space="preserve">DFAT </w:t>
            </w:r>
            <w:r w:rsidR="00052B51">
              <w:rPr>
                <w:rFonts w:cstheme="minorHAnsi"/>
                <w:iCs/>
                <w:color w:val="auto"/>
                <w:sz w:val="20"/>
                <w:szCs w:val="20"/>
              </w:rPr>
              <w:t>supports</w:t>
            </w:r>
            <w:r w:rsidRPr="00272CEF">
              <w:rPr>
                <w:rFonts w:cstheme="minorHAnsi"/>
                <w:iCs/>
                <w:color w:val="auto"/>
                <w:sz w:val="20"/>
                <w:szCs w:val="20"/>
              </w:rPr>
              <w:t xml:space="preserve"> a co-design approach</w:t>
            </w:r>
            <w:r w:rsidR="001A6566">
              <w:rPr>
                <w:rFonts w:cstheme="minorHAnsi"/>
                <w:iCs/>
                <w:color w:val="auto"/>
                <w:sz w:val="20"/>
                <w:szCs w:val="20"/>
              </w:rPr>
              <w:t xml:space="preserve">, including the </w:t>
            </w:r>
            <w:r w:rsidR="006D5464">
              <w:rPr>
                <w:rFonts w:cstheme="minorHAnsi"/>
                <w:iCs/>
                <w:color w:val="auto"/>
                <w:sz w:val="20"/>
                <w:szCs w:val="20"/>
              </w:rPr>
              <w:t>elements</w:t>
            </w:r>
            <w:r w:rsidR="001A6566">
              <w:rPr>
                <w:rFonts w:cstheme="minorHAnsi"/>
                <w:iCs/>
                <w:color w:val="auto"/>
                <w:sz w:val="20"/>
                <w:szCs w:val="20"/>
              </w:rPr>
              <w:t xml:space="preserve"> listed in (a)-(</w:t>
            </w:r>
            <w:r w:rsidR="00AC71C9">
              <w:rPr>
                <w:rFonts w:cstheme="minorHAnsi"/>
                <w:iCs/>
                <w:color w:val="auto"/>
                <w:sz w:val="20"/>
                <w:szCs w:val="20"/>
              </w:rPr>
              <w:t>e</w:t>
            </w:r>
            <w:r w:rsidR="001A6566">
              <w:rPr>
                <w:rFonts w:cstheme="minorHAnsi"/>
                <w:iCs/>
                <w:color w:val="auto"/>
                <w:sz w:val="20"/>
                <w:szCs w:val="20"/>
              </w:rPr>
              <w:t xml:space="preserve">). </w:t>
            </w:r>
          </w:p>
          <w:p w14:paraId="3300E693" w14:textId="1BC5DB92" w:rsidR="00160C41" w:rsidRPr="00160C41" w:rsidRDefault="00160C41" w:rsidP="00160C41">
            <w:pPr>
              <w:spacing w:before="0"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DDB49" w14:textId="4FDF9AC0" w:rsidR="003D7A76" w:rsidRDefault="003D7A76" w:rsidP="00CB0CDF">
            <w:pPr>
              <w:spacing w:before="0"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>
              <w:rPr>
                <w:rFonts w:cstheme="minorHAnsi"/>
                <w:iCs/>
                <w:color w:val="auto"/>
                <w:sz w:val="20"/>
                <w:szCs w:val="20"/>
              </w:rPr>
              <w:t>The</w:t>
            </w:r>
            <w:r w:rsidR="00743588">
              <w:rPr>
                <w:rFonts w:cstheme="minorHAnsi"/>
                <w:iCs/>
                <w:color w:val="auto"/>
                <w:sz w:val="20"/>
                <w:szCs w:val="20"/>
              </w:rPr>
              <w:t xml:space="preserve"> new</w:t>
            </w:r>
            <w:r>
              <w:rPr>
                <w:rFonts w:cstheme="minorHAnsi"/>
                <w:iCs/>
                <w:color w:val="auto"/>
                <w:sz w:val="20"/>
                <w:szCs w:val="20"/>
              </w:rPr>
              <w:t xml:space="preserve"> investment design process for NCCTRC</w:t>
            </w:r>
            <w:r w:rsidR="00743588">
              <w:rPr>
                <w:rFonts w:cstheme="minorHAnsi"/>
                <w:iCs/>
                <w:color w:val="auto"/>
                <w:sz w:val="20"/>
                <w:szCs w:val="20"/>
              </w:rPr>
              <w:t>’s regional engagement program</w:t>
            </w:r>
            <w:r w:rsidR="00413751">
              <w:rPr>
                <w:rFonts w:cstheme="minorHAnsi"/>
                <w:iCs/>
                <w:color w:val="auto"/>
                <w:sz w:val="20"/>
                <w:szCs w:val="20"/>
              </w:rPr>
              <w:t xml:space="preserve"> has been</w:t>
            </w:r>
            <w:r>
              <w:rPr>
                <w:rFonts w:cstheme="minorHAnsi"/>
                <w:iCs/>
                <w:color w:val="auto"/>
                <w:sz w:val="20"/>
                <w:szCs w:val="20"/>
              </w:rPr>
              <w:t xml:space="preserve"> partner-led, allowing DFAT and NCCTRC to work collaboratively. The investment design process is </w:t>
            </w:r>
            <w:r w:rsidR="00413751">
              <w:rPr>
                <w:rFonts w:cstheme="minorHAnsi"/>
                <w:iCs/>
                <w:color w:val="auto"/>
                <w:sz w:val="20"/>
                <w:szCs w:val="20"/>
              </w:rPr>
              <w:t>now complete.</w:t>
            </w:r>
          </w:p>
          <w:p w14:paraId="0DF07AE7" w14:textId="20D508F2" w:rsidR="003D7A76" w:rsidRDefault="003D7A76" w:rsidP="00CB0CDF">
            <w:pPr>
              <w:spacing w:before="0"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>
              <w:rPr>
                <w:rFonts w:cstheme="minorHAnsi"/>
                <w:iCs/>
                <w:color w:val="auto"/>
                <w:sz w:val="20"/>
                <w:szCs w:val="20"/>
              </w:rPr>
              <w:t xml:space="preserve">A robust M&amp;E framework will be integrated into governance and reporting obligations for NCCTRC. </w:t>
            </w:r>
          </w:p>
          <w:p w14:paraId="5F2D79C4" w14:textId="0557A064" w:rsidR="007A144A" w:rsidRDefault="00793746" w:rsidP="00CB0CDF">
            <w:pPr>
              <w:spacing w:before="0"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>
              <w:rPr>
                <w:rFonts w:cstheme="minorHAnsi"/>
                <w:iCs/>
                <w:color w:val="auto"/>
                <w:sz w:val="20"/>
                <w:szCs w:val="20"/>
              </w:rPr>
              <w:t xml:space="preserve">DFAT agrees that a co-design approach </w:t>
            </w:r>
            <w:r w:rsidR="00B03FA5">
              <w:rPr>
                <w:rFonts w:cstheme="minorHAnsi"/>
                <w:iCs/>
                <w:color w:val="auto"/>
                <w:sz w:val="20"/>
                <w:szCs w:val="20"/>
              </w:rPr>
              <w:t>be utilised for</w:t>
            </w:r>
            <w:r>
              <w:rPr>
                <w:rFonts w:cstheme="minorHAnsi"/>
                <w:iCs/>
                <w:color w:val="auto"/>
                <w:sz w:val="20"/>
                <w:szCs w:val="20"/>
              </w:rPr>
              <w:t xml:space="preserve"> the next FRNSW and QFES grant agreements</w:t>
            </w:r>
            <w:r w:rsidR="00B03FA5">
              <w:rPr>
                <w:rFonts w:cstheme="minorHAnsi"/>
                <w:iCs/>
                <w:color w:val="auto"/>
                <w:sz w:val="20"/>
                <w:szCs w:val="20"/>
              </w:rPr>
              <w:t>.</w:t>
            </w:r>
          </w:p>
          <w:p w14:paraId="5DA79C6D" w14:textId="7329B601" w:rsidR="003D7A76" w:rsidRDefault="003D7A76" w:rsidP="00CB0CDF">
            <w:pPr>
              <w:spacing w:before="0"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>
              <w:rPr>
                <w:rFonts w:cstheme="minorHAnsi"/>
                <w:iCs/>
                <w:color w:val="auto"/>
                <w:sz w:val="20"/>
                <w:szCs w:val="20"/>
              </w:rPr>
              <w:t>GEDSI and PSEAH priorities and policies will be integrated into the investment design both as a mainstreamed approach and through specific activities.</w:t>
            </w:r>
            <w:r w:rsidR="00743588">
              <w:rPr>
                <w:rFonts w:cstheme="minorHAnsi"/>
                <w:iCs/>
                <w:color w:val="auto"/>
                <w:sz w:val="20"/>
                <w:szCs w:val="20"/>
              </w:rPr>
              <w:t xml:space="preserve"> A GEDSI strategy will be part of the new program.</w:t>
            </w:r>
          </w:p>
          <w:p w14:paraId="449A6F17" w14:textId="641E6E8F" w:rsidR="003D7A76" w:rsidRDefault="003D7A76" w:rsidP="00CB0CDF">
            <w:pPr>
              <w:spacing w:before="0"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 w:rsidRPr="00E85761">
              <w:rPr>
                <w:rFonts w:cstheme="minorHAnsi"/>
                <w:iCs/>
                <w:color w:val="auto"/>
                <w:sz w:val="20"/>
                <w:szCs w:val="20"/>
              </w:rPr>
              <w:t xml:space="preserve">Program management mechanisms, including regular reporting channels and risk monitoring and management will be developed as part of the investment design process. </w:t>
            </w:r>
            <w:r w:rsidR="007369BE">
              <w:rPr>
                <w:rFonts w:cstheme="minorHAnsi"/>
                <w:iCs/>
                <w:color w:val="auto"/>
                <w:sz w:val="20"/>
                <w:szCs w:val="20"/>
              </w:rPr>
              <w:t>This will include</w:t>
            </w:r>
            <w:r w:rsidRPr="00E85761">
              <w:rPr>
                <w:rFonts w:cstheme="minorHAnsi"/>
                <w:iCs/>
                <w:color w:val="auto"/>
                <w:sz w:val="20"/>
                <w:szCs w:val="20"/>
              </w:rPr>
              <w:t xml:space="preserve"> six-monthly and annual reporting requirements.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auto"/>
          </w:tcPr>
          <w:p w14:paraId="73A4AF73" w14:textId="1FDAD458" w:rsidR="003D7A76" w:rsidRDefault="00B84C63" w:rsidP="00CB0CDF">
            <w:pPr>
              <w:spacing w:before="0"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>
              <w:rPr>
                <w:rFonts w:cstheme="minorHAnsi"/>
                <w:iCs/>
                <w:color w:val="auto"/>
                <w:sz w:val="20"/>
                <w:szCs w:val="20"/>
              </w:rPr>
              <w:t>Throughout the new grant design processes</w:t>
            </w:r>
            <w:r w:rsidR="0018605A">
              <w:rPr>
                <w:rFonts w:cstheme="minorHAnsi"/>
                <w:iCs/>
                <w:color w:val="auto"/>
                <w:sz w:val="20"/>
                <w:szCs w:val="20"/>
              </w:rPr>
              <w:t>.</w:t>
            </w:r>
            <w:r>
              <w:rPr>
                <w:rFonts w:cstheme="minorHAnsi"/>
                <w:iCs/>
                <w:color w:val="auto"/>
                <w:sz w:val="20"/>
                <w:szCs w:val="20"/>
              </w:rPr>
              <w:t xml:space="preserve"> </w:t>
            </w:r>
          </w:p>
        </w:tc>
      </w:tr>
      <w:tr w:rsidR="002F45E4" w:rsidRPr="00CA7BEF" w14:paraId="3D09977A" w14:textId="77777777" w:rsidTr="002F45E4">
        <w:tc>
          <w:tcPr>
            <w:tcW w:w="3579" w:type="dxa"/>
            <w:shd w:val="clear" w:color="auto" w:fill="auto"/>
          </w:tcPr>
          <w:p w14:paraId="22BB3ADC" w14:textId="77777777" w:rsidR="003D7A76" w:rsidRPr="00601F74" w:rsidRDefault="003D7A76" w:rsidP="00CB0CDF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60" w:line="280" w:lineRule="atLeast"/>
              <w:rPr>
                <w:color w:val="auto"/>
                <w:sz w:val="20"/>
                <w:szCs w:val="20"/>
                <w:lang w:val="en-AU"/>
              </w:rPr>
            </w:pPr>
            <w:r w:rsidRPr="00323A08">
              <w:rPr>
                <w:b/>
                <w:bCs/>
                <w:color w:val="auto"/>
                <w:sz w:val="20"/>
                <w:szCs w:val="20"/>
              </w:rPr>
              <w:t>Establish stronger relationships between DFAT and each grant partner through increased resourcing for program management and governance. This would include</w:t>
            </w:r>
            <w:r>
              <w:rPr>
                <w:b/>
                <w:bCs/>
                <w:color w:val="auto"/>
                <w:sz w:val="20"/>
                <w:szCs w:val="20"/>
              </w:rPr>
              <w:t>:</w:t>
            </w:r>
          </w:p>
          <w:p w14:paraId="03CDC199" w14:textId="4FBC24CC" w:rsidR="003D7A76" w:rsidRPr="00287D12" w:rsidRDefault="003D7A76" w:rsidP="00CB0CDF">
            <w:pPr>
              <w:pStyle w:val="ListParagraph"/>
              <w:numPr>
                <w:ilvl w:val="0"/>
                <w:numId w:val="18"/>
              </w:numPr>
              <w:suppressAutoHyphens w:val="0"/>
              <w:spacing w:before="0" w:after="160" w:line="280" w:lineRule="atLeast"/>
              <w:rPr>
                <w:color w:val="auto"/>
                <w:sz w:val="20"/>
                <w:szCs w:val="20"/>
              </w:rPr>
            </w:pPr>
            <w:r w:rsidRPr="00287D12">
              <w:rPr>
                <w:color w:val="auto"/>
                <w:sz w:val="20"/>
                <w:szCs w:val="20"/>
              </w:rPr>
              <w:t>regular communication between the Executive Director of NCCTRC</w:t>
            </w:r>
            <w:r w:rsidR="00855CD0">
              <w:rPr>
                <w:color w:val="auto"/>
                <w:sz w:val="20"/>
                <w:szCs w:val="20"/>
              </w:rPr>
              <w:t xml:space="preserve">, and the Commissioners of FRNSW and QFES </w:t>
            </w:r>
            <w:r w:rsidRPr="00287D12">
              <w:rPr>
                <w:color w:val="auto"/>
                <w:sz w:val="20"/>
                <w:szCs w:val="20"/>
              </w:rPr>
              <w:t xml:space="preserve">with senior DFAT humanitarian staff to discuss </w:t>
            </w:r>
            <w:r w:rsidRPr="0095090B">
              <w:rPr>
                <w:color w:val="auto"/>
                <w:sz w:val="20"/>
                <w:szCs w:val="20"/>
              </w:rPr>
              <w:t xml:space="preserve">delivery of </w:t>
            </w:r>
            <w:r w:rsidRPr="003F4F14">
              <w:rPr>
                <w:color w:val="auto"/>
                <w:sz w:val="20"/>
                <w:szCs w:val="20"/>
              </w:rPr>
              <w:t>humanitarian capacity building assistance</w:t>
            </w:r>
            <w:r w:rsidRPr="0095090B">
              <w:rPr>
                <w:color w:val="auto"/>
                <w:sz w:val="20"/>
                <w:szCs w:val="20"/>
              </w:rPr>
              <w:t>.</w:t>
            </w:r>
          </w:p>
          <w:p w14:paraId="644AE5EB" w14:textId="0788BC7D" w:rsidR="003D7A76" w:rsidRPr="00601F74" w:rsidRDefault="003D7A76" w:rsidP="00CB0CDF">
            <w:pPr>
              <w:pStyle w:val="ListParagraph"/>
              <w:numPr>
                <w:ilvl w:val="0"/>
                <w:numId w:val="18"/>
              </w:numPr>
              <w:spacing w:before="0" w:after="160" w:line="280" w:lineRule="atLeast"/>
              <w:rPr>
                <w:color w:val="auto"/>
                <w:sz w:val="20"/>
                <w:szCs w:val="20"/>
                <w:lang w:val="en-AU"/>
              </w:rPr>
            </w:pPr>
            <w:r w:rsidRPr="00287D12">
              <w:rPr>
                <w:color w:val="auto"/>
                <w:sz w:val="20"/>
                <w:szCs w:val="20"/>
              </w:rPr>
              <w:t>facilitation of peer learning mechanisms to enable the grant partners to meet DFAT’s program management expectations.</w:t>
            </w:r>
          </w:p>
        </w:tc>
        <w:tc>
          <w:tcPr>
            <w:tcW w:w="1116" w:type="dxa"/>
            <w:shd w:val="clear" w:color="auto" w:fill="92D050"/>
          </w:tcPr>
          <w:p w14:paraId="286342F6" w14:textId="1B47BC21" w:rsidR="003D7A76" w:rsidRPr="003726E4" w:rsidRDefault="003D7A76" w:rsidP="00CB0CDF">
            <w:pPr>
              <w:spacing w:before="0" w:line="240" w:lineRule="auto"/>
              <w:jc w:val="center"/>
              <w:rPr>
                <w:rFonts w:cstheme="minorHAnsi"/>
                <w:b/>
                <w:bCs/>
                <w:iCs/>
                <w:color w:val="auto"/>
                <w:sz w:val="20"/>
                <w:szCs w:val="20"/>
              </w:rPr>
            </w:pPr>
            <w:r w:rsidRPr="00C763E0">
              <w:rPr>
                <w:rFonts w:cstheme="minorHAnsi"/>
                <w:iCs/>
                <w:color w:val="auto"/>
                <w:sz w:val="20"/>
                <w:szCs w:val="20"/>
              </w:rPr>
              <w:t>Agree</w:t>
            </w:r>
          </w:p>
        </w:tc>
        <w:tc>
          <w:tcPr>
            <w:tcW w:w="2581" w:type="dxa"/>
            <w:shd w:val="clear" w:color="auto" w:fill="auto"/>
          </w:tcPr>
          <w:p w14:paraId="3CC3C12F" w14:textId="3D820B2C" w:rsidR="003D7A76" w:rsidRPr="00CA7BEF" w:rsidRDefault="003D7A76" w:rsidP="00CB0CDF">
            <w:pPr>
              <w:spacing w:before="0"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>
              <w:rPr>
                <w:rFonts w:cstheme="minorHAnsi"/>
                <w:iCs/>
                <w:color w:val="auto"/>
                <w:sz w:val="20"/>
                <w:szCs w:val="20"/>
              </w:rPr>
              <w:t xml:space="preserve">DFAT </w:t>
            </w:r>
            <w:r w:rsidR="001917C9">
              <w:rPr>
                <w:rFonts w:cstheme="minorHAnsi"/>
                <w:iCs/>
                <w:color w:val="auto"/>
                <w:sz w:val="20"/>
                <w:szCs w:val="20"/>
              </w:rPr>
              <w:t>acknowledges</w:t>
            </w:r>
            <w:r>
              <w:rPr>
                <w:rFonts w:cstheme="minorHAnsi"/>
                <w:iCs/>
                <w:color w:val="auto"/>
                <w:sz w:val="20"/>
                <w:szCs w:val="20"/>
              </w:rPr>
              <w:t xml:space="preserve"> stronger relationships could be established through increased resourcing for program management and governance</w:t>
            </w:r>
            <w:r w:rsidR="00102FD2">
              <w:rPr>
                <w:rFonts w:cstheme="minorHAnsi"/>
                <w:iCs/>
                <w:color w:val="auto"/>
                <w:sz w:val="20"/>
                <w:szCs w:val="20"/>
              </w:rPr>
              <w:t xml:space="preserve"> across all partnerships.</w:t>
            </w:r>
          </w:p>
          <w:p w14:paraId="030CA200" w14:textId="22E8167B" w:rsidR="003D7A76" w:rsidRPr="00CA7BEF" w:rsidRDefault="003E5DEA" w:rsidP="00CB0CDF">
            <w:pPr>
              <w:spacing w:before="0"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>
              <w:rPr>
                <w:rFonts w:cstheme="minorHAnsi"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98" w:type="dxa"/>
            <w:shd w:val="clear" w:color="auto" w:fill="auto"/>
          </w:tcPr>
          <w:p w14:paraId="4DA965D4" w14:textId="77777777" w:rsidR="003D7A76" w:rsidRDefault="003D7A76" w:rsidP="00CB0CDF">
            <w:pPr>
              <w:spacing w:before="0"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>
              <w:rPr>
                <w:rFonts w:cstheme="minorHAnsi"/>
                <w:iCs/>
                <w:color w:val="auto"/>
                <w:sz w:val="20"/>
                <w:szCs w:val="20"/>
              </w:rPr>
              <w:t xml:space="preserve">DFAT and NCCTRC have a strong working relationship. The new investment design process provides an opportunity to embed regular governance meetings to enable improved communication, as well as potential peer learning mechanisms. </w:t>
            </w:r>
          </w:p>
          <w:p w14:paraId="7F654AD9" w14:textId="77777777" w:rsidR="003E5DEA" w:rsidRDefault="003E5DEA" w:rsidP="00CB0CDF">
            <w:pPr>
              <w:spacing w:before="0"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</w:p>
          <w:p w14:paraId="79129859" w14:textId="77777777" w:rsidR="003E5DEA" w:rsidRDefault="003E5DEA" w:rsidP="00CB0CDF">
            <w:pPr>
              <w:spacing w:before="0"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>
              <w:rPr>
                <w:rFonts w:cstheme="minorHAnsi"/>
                <w:iCs/>
                <w:color w:val="auto"/>
                <w:sz w:val="20"/>
                <w:szCs w:val="20"/>
              </w:rPr>
              <w:t>DFAT will also engage with NCCTRC as part of any relevant initiatives that</w:t>
            </w:r>
            <w:r w:rsidRPr="00F05D7D">
              <w:rPr>
                <w:rFonts w:cstheme="minorHAnsi"/>
                <w:iCs/>
                <w:color w:val="auto"/>
                <w:sz w:val="20"/>
                <w:szCs w:val="20"/>
              </w:rPr>
              <w:t xml:space="preserve"> </w:t>
            </w:r>
            <w:r>
              <w:rPr>
                <w:rFonts w:cstheme="minorHAnsi"/>
                <w:iCs/>
                <w:color w:val="auto"/>
                <w:sz w:val="20"/>
                <w:szCs w:val="20"/>
              </w:rPr>
              <w:t xml:space="preserve">support </w:t>
            </w:r>
            <w:r w:rsidRPr="00F05D7D">
              <w:rPr>
                <w:rFonts w:cstheme="minorHAnsi"/>
                <w:iCs/>
                <w:color w:val="auto"/>
                <w:sz w:val="20"/>
                <w:szCs w:val="20"/>
              </w:rPr>
              <w:t>emergency management professionals</w:t>
            </w:r>
            <w:r>
              <w:rPr>
                <w:rFonts w:cstheme="minorHAnsi"/>
                <w:iCs/>
                <w:color w:val="auto"/>
                <w:sz w:val="20"/>
                <w:szCs w:val="20"/>
              </w:rPr>
              <w:t xml:space="preserve"> in the Pacific to strengthen peer learning. </w:t>
            </w:r>
          </w:p>
          <w:p w14:paraId="0FFCDBDD" w14:textId="77777777" w:rsidR="00B11AAE" w:rsidRDefault="00B11AAE" w:rsidP="00CB0CDF">
            <w:pPr>
              <w:spacing w:before="0"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</w:p>
          <w:p w14:paraId="0E98D6DA" w14:textId="12125EFC" w:rsidR="008A3A02" w:rsidRDefault="00B11AAE" w:rsidP="00CB0CDF">
            <w:pPr>
              <w:spacing w:before="0"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>
              <w:rPr>
                <w:rFonts w:cstheme="minorHAnsi"/>
                <w:iCs/>
                <w:color w:val="auto"/>
                <w:sz w:val="20"/>
                <w:szCs w:val="20"/>
              </w:rPr>
              <w:t xml:space="preserve">DFAT, FRNSW and QFES already have a </w:t>
            </w:r>
            <w:r w:rsidR="00883891">
              <w:rPr>
                <w:rFonts w:cstheme="minorHAnsi"/>
                <w:iCs/>
                <w:color w:val="auto"/>
                <w:sz w:val="20"/>
                <w:szCs w:val="20"/>
              </w:rPr>
              <w:t>strong</w:t>
            </w:r>
            <w:r>
              <w:rPr>
                <w:rFonts w:cstheme="minorHAnsi"/>
                <w:iCs/>
                <w:color w:val="auto"/>
                <w:sz w:val="20"/>
                <w:szCs w:val="20"/>
              </w:rPr>
              <w:t xml:space="preserve"> relationship</w:t>
            </w:r>
            <w:r w:rsidR="00515023">
              <w:rPr>
                <w:rFonts w:cstheme="minorHAnsi"/>
                <w:iCs/>
                <w:color w:val="auto"/>
                <w:sz w:val="20"/>
                <w:szCs w:val="20"/>
              </w:rPr>
              <w:t xml:space="preserve"> </w:t>
            </w:r>
            <w:r w:rsidR="00883891">
              <w:rPr>
                <w:rFonts w:cstheme="minorHAnsi"/>
                <w:iCs/>
                <w:color w:val="auto"/>
                <w:sz w:val="20"/>
                <w:szCs w:val="20"/>
              </w:rPr>
              <w:t>and</w:t>
            </w:r>
            <w:r w:rsidR="00515023">
              <w:rPr>
                <w:rFonts w:cstheme="minorHAnsi"/>
                <w:iCs/>
                <w:color w:val="auto"/>
                <w:sz w:val="20"/>
                <w:szCs w:val="20"/>
              </w:rPr>
              <w:t xml:space="preserve"> will work together through formalised regular meetings and peer learning mechanisms to establish</w:t>
            </w:r>
            <w:r w:rsidR="00883891">
              <w:rPr>
                <w:rFonts w:cstheme="minorHAnsi"/>
                <w:iCs/>
                <w:color w:val="auto"/>
                <w:sz w:val="20"/>
                <w:szCs w:val="20"/>
              </w:rPr>
              <w:t xml:space="preserve"> even</w:t>
            </w:r>
            <w:r w:rsidR="00515023">
              <w:rPr>
                <w:rFonts w:cstheme="minorHAnsi"/>
                <w:iCs/>
                <w:color w:val="auto"/>
                <w:sz w:val="20"/>
                <w:szCs w:val="20"/>
              </w:rPr>
              <w:t xml:space="preserve"> stronger relationships.</w:t>
            </w:r>
            <w:r w:rsidR="008A3A02">
              <w:rPr>
                <w:rFonts w:cstheme="minorHAnsi"/>
                <w:iCs/>
                <w:color w:val="auto"/>
                <w:sz w:val="20"/>
                <w:szCs w:val="20"/>
              </w:rPr>
              <w:t xml:space="preserve"> The new design process will be supported by engagement of a Partnership Broker to continue to strengthen the partnership between DFAT, technical teams and NEMA. </w:t>
            </w:r>
            <w:r w:rsidR="001526EC">
              <w:rPr>
                <w:rFonts w:cstheme="minorHAnsi"/>
                <w:iCs/>
                <w:color w:val="auto"/>
                <w:sz w:val="20"/>
                <w:szCs w:val="20"/>
              </w:rPr>
              <w:br/>
            </w:r>
          </w:p>
          <w:p w14:paraId="16AF8A2F" w14:textId="6A6AFADB" w:rsidR="00384705" w:rsidRPr="00CA7BEF" w:rsidRDefault="008A3A02" w:rsidP="00CB0CDF">
            <w:pPr>
              <w:spacing w:before="0"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>
              <w:rPr>
                <w:rFonts w:cstheme="minorHAnsi"/>
                <w:iCs/>
                <w:color w:val="auto"/>
                <w:sz w:val="20"/>
                <w:szCs w:val="20"/>
              </w:rPr>
              <w:t xml:space="preserve">Delineation between deployable capacity-building activities and standalone capacity </w:t>
            </w:r>
            <w:r>
              <w:rPr>
                <w:rFonts w:cstheme="minorHAnsi"/>
                <w:iCs/>
                <w:color w:val="auto"/>
                <w:sz w:val="20"/>
                <w:szCs w:val="20"/>
              </w:rPr>
              <w:lastRenderedPageBreak/>
              <w:t xml:space="preserve">building programs will be clearly articulated as part of the new grant design. </w:t>
            </w:r>
            <w:r w:rsidR="00515023">
              <w:rPr>
                <w:rFonts w:cstheme="minorHAnsi"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  <w:shd w:val="clear" w:color="auto" w:fill="auto"/>
          </w:tcPr>
          <w:p w14:paraId="6754D8AF" w14:textId="0E44840C" w:rsidR="003D7A76" w:rsidRPr="00CA7BEF" w:rsidRDefault="003D7A76" w:rsidP="002653F7">
            <w:pPr>
              <w:spacing w:before="0"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>
              <w:rPr>
                <w:rFonts w:cstheme="minorHAnsi"/>
                <w:iCs/>
                <w:color w:val="auto"/>
                <w:sz w:val="20"/>
                <w:szCs w:val="20"/>
              </w:rPr>
              <w:lastRenderedPageBreak/>
              <w:t>Commencing January 2023 throughout duration of new grant agreement</w:t>
            </w:r>
            <w:r w:rsidR="00C67F2C">
              <w:rPr>
                <w:rFonts w:cstheme="minorHAnsi"/>
                <w:iCs/>
                <w:color w:val="auto"/>
                <w:sz w:val="20"/>
                <w:szCs w:val="20"/>
              </w:rPr>
              <w:t>s.</w:t>
            </w:r>
          </w:p>
        </w:tc>
      </w:tr>
    </w:tbl>
    <w:p w14:paraId="43CE4B7B" w14:textId="77777777" w:rsidR="00E50E15" w:rsidRDefault="00E50E15"/>
    <w:sectPr w:rsidR="00E50E15" w:rsidSect="00A274ED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1134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E1637" w14:textId="77777777" w:rsidR="002D38F6" w:rsidRDefault="002D38F6">
      <w:pPr>
        <w:spacing w:before="0" w:after="0" w:line="240" w:lineRule="auto"/>
      </w:pPr>
      <w:r>
        <w:separator/>
      </w:r>
    </w:p>
  </w:endnote>
  <w:endnote w:type="continuationSeparator" w:id="0">
    <w:p w14:paraId="2DAD1065" w14:textId="77777777" w:rsidR="002D38F6" w:rsidRDefault="002D38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435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D80E49" w14:textId="66355546" w:rsidR="006B48D2" w:rsidRDefault="006B48D2">
        <w:pPr>
          <w:pStyle w:val="Footer"/>
          <w:jc w:val="right"/>
        </w:pPr>
        <w:r w:rsidRPr="00BF1933">
          <w:rPr>
            <w:color w:val="000000" w:themeColor="text1"/>
          </w:rPr>
          <w:fldChar w:fldCharType="begin"/>
        </w:r>
        <w:r w:rsidRPr="00BF1933">
          <w:rPr>
            <w:color w:val="000000" w:themeColor="text1"/>
          </w:rPr>
          <w:instrText xml:space="preserve"> PAGE   \* MERGEFORMAT </w:instrText>
        </w:r>
        <w:r w:rsidRPr="00BF1933">
          <w:rPr>
            <w:color w:val="000000" w:themeColor="text1"/>
          </w:rPr>
          <w:fldChar w:fldCharType="separate"/>
        </w:r>
        <w:r w:rsidRPr="00BF1933">
          <w:rPr>
            <w:noProof/>
            <w:color w:val="000000" w:themeColor="text1"/>
          </w:rPr>
          <w:t>2</w:t>
        </w:r>
        <w:r w:rsidRPr="00BF1933">
          <w:rPr>
            <w:noProof/>
            <w:color w:val="000000" w:themeColor="text1"/>
          </w:rPr>
          <w:fldChar w:fldCharType="end"/>
        </w:r>
      </w:p>
    </w:sdtContent>
  </w:sdt>
  <w:p w14:paraId="17630E49" w14:textId="77777777" w:rsidR="0050695E" w:rsidRDefault="00D31E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D993D" w14:textId="77777777" w:rsidR="002D38F6" w:rsidRDefault="002D38F6">
      <w:pPr>
        <w:spacing w:before="0" w:after="0" w:line="240" w:lineRule="auto"/>
      </w:pPr>
      <w:r>
        <w:separator/>
      </w:r>
    </w:p>
  </w:footnote>
  <w:footnote w:type="continuationSeparator" w:id="0">
    <w:p w14:paraId="53730C64" w14:textId="77777777" w:rsidR="002D38F6" w:rsidRDefault="002D38F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EFF9" w14:textId="77777777" w:rsidR="00EE5F36" w:rsidRDefault="00D31E2D">
    <w:pPr>
      <w:pStyle w:val="Header"/>
    </w:pPr>
  </w:p>
  <w:p w14:paraId="291E1161" w14:textId="77777777" w:rsidR="002810DD" w:rsidRDefault="00D31E2D"/>
  <w:p w14:paraId="018D7BA0" w14:textId="77777777" w:rsidR="002D5B25" w:rsidRPr="000854FD" w:rsidRDefault="00A274ED" w:rsidP="002D5B25">
    <w:pPr>
      <w:pStyle w:val="Header"/>
    </w:pPr>
    <w:r w:rsidRPr="00943730">
      <w:rPr>
        <w:noProof/>
        <w:lang w:val="en-AU" w:eastAsia="en-AU"/>
      </w:rPr>
      <w:drawing>
        <wp:inline distT="0" distB="0" distL="0" distR="0" wp14:anchorId="44EF77D8" wp14:editId="31D5788E">
          <wp:extent cx="10658475" cy="10692765"/>
          <wp:effectExtent l="0" t="0" r="9525" b="0"/>
          <wp:docPr id="22" name="Picture 22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8475" cy="1069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CC643F" w14:textId="77777777" w:rsidR="0050695E" w:rsidRDefault="00D31E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3024" w14:textId="77777777" w:rsidR="0020551D" w:rsidRDefault="00A274ED" w:rsidP="00CA7BEF">
    <w:pPr>
      <w:pStyle w:val="Header"/>
      <w:tabs>
        <w:tab w:val="clear" w:pos="4513"/>
        <w:tab w:val="clear" w:pos="9026"/>
        <w:tab w:val="left" w:pos="5430"/>
      </w:tabs>
      <w:ind w:left="0"/>
    </w:pPr>
    <w:r w:rsidRPr="00BF1933">
      <w:rPr>
        <w:noProof/>
        <w:color w:val="auto"/>
        <w:lang w:val="en-AU" w:eastAsia="en-AU"/>
      </w:rPr>
      <w:drawing>
        <wp:anchor distT="0" distB="0" distL="114300" distR="114300" simplePos="0" relativeHeight="251659264" behindDoc="1" locked="1" layoutInCell="1" allowOverlap="1" wp14:anchorId="657EB1C8" wp14:editId="4877297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048875" cy="7753350"/>
          <wp:effectExtent l="0" t="0" r="9525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8875" cy="775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D9D1" w14:textId="77777777" w:rsidR="00D37B04" w:rsidRPr="00943730" w:rsidRDefault="00A274ED" w:rsidP="00943730">
    <w:pPr>
      <w:pStyle w:val="Header"/>
    </w:pPr>
    <w:r w:rsidRPr="00943730">
      <w:rPr>
        <w:noProof/>
        <w:lang w:val="en-AU" w:eastAsia="en-AU"/>
      </w:rPr>
      <w:drawing>
        <wp:inline distT="0" distB="0" distL="0" distR="0" wp14:anchorId="1E7E6B9C" wp14:editId="72F30E0B">
          <wp:extent cx="10668000" cy="10692130"/>
          <wp:effectExtent l="0" t="0" r="0" b="0"/>
          <wp:docPr id="24" name="Picture 24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0" cy="10692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14:paraId="69050422" w14:textId="77777777" w:rsidR="0050695E" w:rsidRDefault="00D31E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96D"/>
    <w:multiLevelType w:val="hybridMultilevel"/>
    <w:tmpl w:val="FB4AF00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D7D9D"/>
    <w:multiLevelType w:val="multilevel"/>
    <w:tmpl w:val="90766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4057396"/>
    <w:multiLevelType w:val="hybridMultilevel"/>
    <w:tmpl w:val="8C32CBA8"/>
    <w:lvl w:ilvl="0" w:tplc="0C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61E6D"/>
    <w:multiLevelType w:val="hybridMultilevel"/>
    <w:tmpl w:val="8B7A6FF2"/>
    <w:lvl w:ilvl="0" w:tplc="0C09000F">
      <w:start w:val="1"/>
      <w:numFmt w:val="decimal"/>
      <w:lvlText w:val="%1."/>
      <w:lvlJc w:val="left"/>
      <w:pPr>
        <w:ind w:left="1212" w:hanging="360"/>
      </w:pPr>
    </w:lvl>
    <w:lvl w:ilvl="1" w:tplc="0C090019">
      <w:start w:val="1"/>
      <w:numFmt w:val="lowerLetter"/>
      <w:lvlText w:val="%2."/>
      <w:lvlJc w:val="left"/>
      <w:pPr>
        <w:ind w:left="1932" w:hanging="360"/>
      </w:pPr>
    </w:lvl>
    <w:lvl w:ilvl="2" w:tplc="0C09001B">
      <w:start w:val="1"/>
      <w:numFmt w:val="lowerRoman"/>
      <w:lvlText w:val="%3."/>
      <w:lvlJc w:val="right"/>
      <w:pPr>
        <w:ind w:left="2652" w:hanging="180"/>
      </w:pPr>
    </w:lvl>
    <w:lvl w:ilvl="3" w:tplc="0C09000F">
      <w:start w:val="1"/>
      <w:numFmt w:val="decimal"/>
      <w:lvlText w:val="%4."/>
      <w:lvlJc w:val="left"/>
      <w:pPr>
        <w:ind w:left="3372" w:hanging="360"/>
      </w:pPr>
    </w:lvl>
    <w:lvl w:ilvl="4" w:tplc="0C090019">
      <w:start w:val="1"/>
      <w:numFmt w:val="lowerLetter"/>
      <w:lvlText w:val="%5."/>
      <w:lvlJc w:val="left"/>
      <w:pPr>
        <w:ind w:left="4092" w:hanging="360"/>
      </w:pPr>
    </w:lvl>
    <w:lvl w:ilvl="5" w:tplc="0C09001B">
      <w:start w:val="1"/>
      <w:numFmt w:val="lowerRoman"/>
      <w:lvlText w:val="%6."/>
      <w:lvlJc w:val="right"/>
      <w:pPr>
        <w:ind w:left="4812" w:hanging="180"/>
      </w:pPr>
    </w:lvl>
    <w:lvl w:ilvl="6" w:tplc="0C09000F">
      <w:start w:val="1"/>
      <w:numFmt w:val="decimal"/>
      <w:lvlText w:val="%7."/>
      <w:lvlJc w:val="left"/>
      <w:pPr>
        <w:ind w:left="5532" w:hanging="360"/>
      </w:pPr>
    </w:lvl>
    <w:lvl w:ilvl="7" w:tplc="0C090019">
      <w:start w:val="1"/>
      <w:numFmt w:val="lowerLetter"/>
      <w:lvlText w:val="%8."/>
      <w:lvlJc w:val="left"/>
      <w:pPr>
        <w:ind w:left="6252" w:hanging="360"/>
      </w:pPr>
    </w:lvl>
    <w:lvl w:ilvl="8" w:tplc="0C09001B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0B0209B4"/>
    <w:multiLevelType w:val="multilevel"/>
    <w:tmpl w:val="90766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11173AF"/>
    <w:multiLevelType w:val="multilevel"/>
    <w:tmpl w:val="881C2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544BA6"/>
    <w:multiLevelType w:val="multilevel"/>
    <w:tmpl w:val="90766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3CF3072"/>
    <w:multiLevelType w:val="hybridMultilevel"/>
    <w:tmpl w:val="85AEC3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B2D76"/>
    <w:multiLevelType w:val="hybridMultilevel"/>
    <w:tmpl w:val="8B7A6FF2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FFFFFFFF">
      <w:start w:val="1"/>
      <w:numFmt w:val="lowerLetter"/>
      <w:lvlText w:val="%2."/>
      <w:lvlJc w:val="left"/>
      <w:pPr>
        <w:ind w:left="1932" w:hanging="360"/>
      </w:pPr>
    </w:lvl>
    <w:lvl w:ilvl="2" w:tplc="FFFFFFFF">
      <w:start w:val="1"/>
      <w:numFmt w:val="lowerRoman"/>
      <w:lvlText w:val="%3."/>
      <w:lvlJc w:val="right"/>
      <w:pPr>
        <w:ind w:left="2652" w:hanging="180"/>
      </w:pPr>
    </w:lvl>
    <w:lvl w:ilvl="3" w:tplc="FFFFFFFF">
      <w:start w:val="1"/>
      <w:numFmt w:val="decimal"/>
      <w:lvlText w:val="%4."/>
      <w:lvlJc w:val="left"/>
      <w:pPr>
        <w:ind w:left="3372" w:hanging="360"/>
      </w:pPr>
    </w:lvl>
    <w:lvl w:ilvl="4" w:tplc="FFFFFFFF">
      <w:start w:val="1"/>
      <w:numFmt w:val="lowerLetter"/>
      <w:lvlText w:val="%5."/>
      <w:lvlJc w:val="left"/>
      <w:pPr>
        <w:ind w:left="4092" w:hanging="360"/>
      </w:pPr>
    </w:lvl>
    <w:lvl w:ilvl="5" w:tplc="FFFFFFFF">
      <w:start w:val="1"/>
      <w:numFmt w:val="lowerRoman"/>
      <w:lvlText w:val="%6."/>
      <w:lvlJc w:val="right"/>
      <w:pPr>
        <w:ind w:left="4812" w:hanging="180"/>
      </w:pPr>
    </w:lvl>
    <w:lvl w:ilvl="6" w:tplc="FFFFFFFF">
      <w:start w:val="1"/>
      <w:numFmt w:val="decimal"/>
      <w:lvlText w:val="%7."/>
      <w:lvlJc w:val="left"/>
      <w:pPr>
        <w:ind w:left="5532" w:hanging="360"/>
      </w:pPr>
    </w:lvl>
    <w:lvl w:ilvl="7" w:tplc="FFFFFFFF">
      <w:start w:val="1"/>
      <w:numFmt w:val="lowerLetter"/>
      <w:lvlText w:val="%8."/>
      <w:lvlJc w:val="left"/>
      <w:pPr>
        <w:ind w:left="6252" w:hanging="360"/>
      </w:pPr>
    </w:lvl>
    <w:lvl w:ilvl="8" w:tplc="FFFFFFFF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1E1705CF"/>
    <w:multiLevelType w:val="hybridMultilevel"/>
    <w:tmpl w:val="8CD6576E"/>
    <w:lvl w:ilvl="0" w:tplc="0C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778E7"/>
    <w:multiLevelType w:val="multilevel"/>
    <w:tmpl w:val="90766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097E7C"/>
    <w:multiLevelType w:val="multilevel"/>
    <w:tmpl w:val="5872A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834CD2"/>
    <w:multiLevelType w:val="hybridMultilevel"/>
    <w:tmpl w:val="D224632E"/>
    <w:lvl w:ilvl="0" w:tplc="298A11B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816A8"/>
    <w:multiLevelType w:val="hybridMultilevel"/>
    <w:tmpl w:val="DEBC8C4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63012"/>
    <w:multiLevelType w:val="hybridMultilevel"/>
    <w:tmpl w:val="8B7A6FF2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FFFFFFFF">
      <w:start w:val="1"/>
      <w:numFmt w:val="lowerLetter"/>
      <w:lvlText w:val="%2."/>
      <w:lvlJc w:val="left"/>
      <w:pPr>
        <w:ind w:left="1932" w:hanging="360"/>
      </w:pPr>
    </w:lvl>
    <w:lvl w:ilvl="2" w:tplc="FFFFFFFF">
      <w:start w:val="1"/>
      <w:numFmt w:val="lowerRoman"/>
      <w:lvlText w:val="%3."/>
      <w:lvlJc w:val="right"/>
      <w:pPr>
        <w:ind w:left="2652" w:hanging="180"/>
      </w:pPr>
    </w:lvl>
    <w:lvl w:ilvl="3" w:tplc="FFFFFFFF">
      <w:start w:val="1"/>
      <w:numFmt w:val="decimal"/>
      <w:lvlText w:val="%4."/>
      <w:lvlJc w:val="left"/>
      <w:pPr>
        <w:ind w:left="3372" w:hanging="360"/>
      </w:pPr>
    </w:lvl>
    <w:lvl w:ilvl="4" w:tplc="FFFFFFFF">
      <w:start w:val="1"/>
      <w:numFmt w:val="lowerLetter"/>
      <w:lvlText w:val="%5."/>
      <w:lvlJc w:val="left"/>
      <w:pPr>
        <w:ind w:left="4092" w:hanging="360"/>
      </w:pPr>
    </w:lvl>
    <w:lvl w:ilvl="5" w:tplc="FFFFFFFF">
      <w:start w:val="1"/>
      <w:numFmt w:val="lowerRoman"/>
      <w:lvlText w:val="%6."/>
      <w:lvlJc w:val="right"/>
      <w:pPr>
        <w:ind w:left="4812" w:hanging="180"/>
      </w:pPr>
    </w:lvl>
    <w:lvl w:ilvl="6" w:tplc="FFFFFFFF">
      <w:start w:val="1"/>
      <w:numFmt w:val="decimal"/>
      <w:lvlText w:val="%7."/>
      <w:lvlJc w:val="left"/>
      <w:pPr>
        <w:ind w:left="5532" w:hanging="360"/>
      </w:pPr>
    </w:lvl>
    <w:lvl w:ilvl="7" w:tplc="FFFFFFFF">
      <w:start w:val="1"/>
      <w:numFmt w:val="lowerLetter"/>
      <w:lvlText w:val="%8."/>
      <w:lvlJc w:val="left"/>
      <w:pPr>
        <w:ind w:left="6252" w:hanging="360"/>
      </w:pPr>
    </w:lvl>
    <w:lvl w:ilvl="8" w:tplc="FFFFFFFF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40664C18"/>
    <w:multiLevelType w:val="hybridMultilevel"/>
    <w:tmpl w:val="A670AA3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72F45"/>
    <w:multiLevelType w:val="hybridMultilevel"/>
    <w:tmpl w:val="36188E7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1717A"/>
    <w:multiLevelType w:val="multilevel"/>
    <w:tmpl w:val="27400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9ED4737"/>
    <w:multiLevelType w:val="multilevel"/>
    <w:tmpl w:val="90766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34C4935"/>
    <w:multiLevelType w:val="hybridMultilevel"/>
    <w:tmpl w:val="0A4A052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26A03"/>
    <w:multiLevelType w:val="multilevel"/>
    <w:tmpl w:val="90766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7786FA3"/>
    <w:multiLevelType w:val="hybridMultilevel"/>
    <w:tmpl w:val="DE84FA40"/>
    <w:lvl w:ilvl="0" w:tplc="0C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40435"/>
    <w:multiLevelType w:val="hybridMultilevel"/>
    <w:tmpl w:val="31CA98B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E94335"/>
    <w:multiLevelType w:val="hybridMultilevel"/>
    <w:tmpl w:val="85AEC3B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910DB"/>
    <w:multiLevelType w:val="hybridMultilevel"/>
    <w:tmpl w:val="3278B06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B4AFA"/>
    <w:multiLevelType w:val="multilevel"/>
    <w:tmpl w:val="160AE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D75013C"/>
    <w:multiLevelType w:val="multilevel"/>
    <w:tmpl w:val="4FACF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AA1348C"/>
    <w:multiLevelType w:val="hybridMultilevel"/>
    <w:tmpl w:val="3FC4AC76"/>
    <w:lvl w:ilvl="0" w:tplc="A3A6952C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5749484">
    <w:abstractNumId w:val="26"/>
  </w:num>
  <w:num w:numId="2" w16cid:durableId="9746762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9167737">
    <w:abstractNumId w:val="11"/>
  </w:num>
  <w:num w:numId="4" w16cid:durableId="1033336960">
    <w:abstractNumId w:val="3"/>
  </w:num>
  <w:num w:numId="5" w16cid:durableId="1244801282">
    <w:abstractNumId w:val="14"/>
  </w:num>
  <w:num w:numId="6" w16cid:durableId="1437215553">
    <w:abstractNumId w:val="8"/>
  </w:num>
  <w:num w:numId="7" w16cid:durableId="450167943">
    <w:abstractNumId w:val="20"/>
  </w:num>
  <w:num w:numId="8" w16cid:durableId="906762920">
    <w:abstractNumId w:val="25"/>
  </w:num>
  <w:num w:numId="9" w16cid:durableId="1333340801">
    <w:abstractNumId w:val="4"/>
  </w:num>
  <w:num w:numId="10" w16cid:durableId="638537194">
    <w:abstractNumId w:val="17"/>
  </w:num>
  <w:num w:numId="11" w16cid:durableId="679820328">
    <w:abstractNumId w:val="10"/>
  </w:num>
  <w:num w:numId="12" w16cid:durableId="335110388">
    <w:abstractNumId w:val="6"/>
  </w:num>
  <w:num w:numId="13" w16cid:durableId="1951282233">
    <w:abstractNumId w:val="5"/>
  </w:num>
  <w:num w:numId="14" w16cid:durableId="206725465">
    <w:abstractNumId w:val="18"/>
  </w:num>
  <w:num w:numId="15" w16cid:durableId="637149578">
    <w:abstractNumId w:val="1"/>
  </w:num>
  <w:num w:numId="16" w16cid:durableId="83645496">
    <w:abstractNumId w:val="22"/>
  </w:num>
  <w:num w:numId="17" w16cid:durableId="548345120">
    <w:abstractNumId w:val="13"/>
  </w:num>
  <w:num w:numId="18" w16cid:durableId="471756286">
    <w:abstractNumId w:val="15"/>
  </w:num>
  <w:num w:numId="19" w16cid:durableId="1530797374">
    <w:abstractNumId w:val="23"/>
  </w:num>
  <w:num w:numId="20" w16cid:durableId="992953911">
    <w:abstractNumId w:val="7"/>
  </w:num>
  <w:num w:numId="21" w16cid:durableId="275983643">
    <w:abstractNumId w:val="12"/>
  </w:num>
  <w:num w:numId="22" w16cid:durableId="1842696222">
    <w:abstractNumId w:val="27"/>
  </w:num>
  <w:num w:numId="23" w16cid:durableId="392313495">
    <w:abstractNumId w:val="21"/>
  </w:num>
  <w:num w:numId="24" w16cid:durableId="1106316000">
    <w:abstractNumId w:val="0"/>
  </w:num>
  <w:num w:numId="25" w16cid:durableId="565647811">
    <w:abstractNumId w:val="2"/>
  </w:num>
  <w:num w:numId="26" w16cid:durableId="2107800115">
    <w:abstractNumId w:val="9"/>
  </w:num>
  <w:num w:numId="27" w16cid:durableId="1595438600">
    <w:abstractNumId w:val="24"/>
  </w:num>
  <w:num w:numId="28" w16cid:durableId="1845321191">
    <w:abstractNumId w:val="19"/>
  </w:num>
  <w:num w:numId="29" w16cid:durableId="12393599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ED"/>
    <w:rsid w:val="00000592"/>
    <w:rsid w:val="0001066C"/>
    <w:rsid w:val="0001343A"/>
    <w:rsid w:val="00017F4A"/>
    <w:rsid w:val="000252E2"/>
    <w:rsid w:val="0003448F"/>
    <w:rsid w:val="0004539F"/>
    <w:rsid w:val="000523DC"/>
    <w:rsid w:val="0005250D"/>
    <w:rsid w:val="00052B51"/>
    <w:rsid w:val="00052D9B"/>
    <w:rsid w:val="0005340A"/>
    <w:rsid w:val="00060534"/>
    <w:rsid w:val="00062EA0"/>
    <w:rsid w:val="00066A6F"/>
    <w:rsid w:val="00067D0C"/>
    <w:rsid w:val="00071A34"/>
    <w:rsid w:val="00071F82"/>
    <w:rsid w:val="00072DE1"/>
    <w:rsid w:val="00080176"/>
    <w:rsid w:val="00080B06"/>
    <w:rsid w:val="00093B8A"/>
    <w:rsid w:val="00094497"/>
    <w:rsid w:val="00094CDF"/>
    <w:rsid w:val="00095976"/>
    <w:rsid w:val="000A255E"/>
    <w:rsid w:val="000B0019"/>
    <w:rsid w:val="000B2927"/>
    <w:rsid w:val="000B5219"/>
    <w:rsid w:val="000C0966"/>
    <w:rsid w:val="000C7329"/>
    <w:rsid w:val="000D1411"/>
    <w:rsid w:val="000D5F41"/>
    <w:rsid w:val="000E3303"/>
    <w:rsid w:val="000E78A7"/>
    <w:rsid w:val="000F6663"/>
    <w:rsid w:val="00102FD2"/>
    <w:rsid w:val="001104E7"/>
    <w:rsid w:val="00116C5B"/>
    <w:rsid w:val="001207DE"/>
    <w:rsid w:val="00126F3F"/>
    <w:rsid w:val="00130C61"/>
    <w:rsid w:val="00133C13"/>
    <w:rsid w:val="001367D4"/>
    <w:rsid w:val="001526EC"/>
    <w:rsid w:val="00160C41"/>
    <w:rsid w:val="00165972"/>
    <w:rsid w:val="00175199"/>
    <w:rsid w:val="00182B0E"/>
    <w:rsid w:val="00184175"/>
    <w:rsid w:val="00185C12"/>
    <w:rsid w:val="0018605A"/>
    <w:rsid w:val="00186946"/>
    <w:rsid w:val="001917C9"/>
    <w:rsid w:val="00191BA2"/>
    <w:rsid w:val="001A5615"/>
    <w:rsid w:val="001A56C5"/>
    <w:rsid w:val="001A6566"/>
    <w:rsid w:val="001A67C1"/>
    <w:rsid w:val="001B25A4"/>
    <w:rsid w:val="001B427B"/>
    <w:rsid w:val="001C41E5"/>
    <w:rsid w:val="001C523F"/>
    <w:rsid w:val="001D3343"/>
    <w:rsid w:val="001E16F3"/>
    <w:rsid w:val="001F1262"/>
    <w:rsid w:val="001F4029"/>
    <w:rsid w:val="00202442"/>
    <w:rsid w:val="0020678F"/>
    <w:rsid w:val="00214C56"/>
    <w:rsid w:val="002167E8"/>
    <w:rsid w:val="00216872"/>
    <w:rsid w:val="00225613"/>
    <w:rsid w:val="002312F5"/>
    <w:rsid w:val="0023510F"/>
    <w:rsid w:val="002406A3"/>
    <w:rsid w:val="00242430"/>
    <w:rsid w:val="00242520"/>
    <w:rsid w:val="00242AE5"/>
    <w:rsid w:val="00246184"/>
    <w:rsid w:val="0025365B"/>
    <w:rsid w:val="0025561D"/>
    <w:rsid w:val="00260619"/>
    <w:rsid w:val="002615EC"/>
    <w:rsid w:val="00261D6B"/>
    <w:rsid w:val="0026285F"/>
    <w:rsid w:val="002653F7"/>
    <w:rsid w:val="00270DD8"/>
    <w:rsid w:val="00272CEF"/>
    <w:rsid w:val="00275C05"/>
    <w:rsid w:val="00280330"/>
    <w:rsid w:val="0028433C"/>
    <w:rsid w:val="002863BE"/>
    <w:rsid w:val="002864F3"/>
    <w:rsid w:val="00286BA7"/>
    <w:rsid w:val="00287128"/>
    <w:rsid w:val="00287659"/>
    <w:rsid w:val="00287D12"/>
    <w:rsid w:val="00290CD7"/>
    <w:rsid w:val="00291351"/>
    <w:rsid w:val="00292D6A"/>
    <w:rsid w:val="002A24CA"/>
    <w:rsid w:val="002A43AA"/>
    <w:rsid w:val="002A5696"/>
    <w:rsid w:val="002A7908"/>
    <w:rsid w:val="002B5550"/>
    <w:rsid w:val="002B6E5C"/>
    <w:rsid w:val="002C5A4D"/>
    <w:rsid w:val="002C62BD"/>
    <w:rsid w:val="002D38F6"/>
    <w:rsid w:val="002D3B52"/>
    <w:rsid w:val="002E56A8"/>
    <w:rsid w:val="002E674F"/>
    <w:rsid w:val="002F0F30"/>
    <w:rsid w:val="002F3F12"/>
    <w:rsid w:val="002F45E4"/>
    <w:rsid w:val="00300831"/>
    <w:rsid w:val="00305D1B"/>
    <w:rsid w:val="003066B4"/>
    <w:rsid w:val="00310313"/>
    <w:rsid w:val="00316281"/>
    <w:rsid w:val="00323A08"/>
    <w:rsid w:val="00324166"/>
    <w:rsid w:val="00326407"/>
    <w:rsid w:val="0033176E"/>
    <w:rsid w:val="00334F37"/>
    <w:rsid w:val="00343642"/>
    <w:rsid w:val="0034394C"/>
    <w:rsid w:val="00344519"/>
    <w:rsid w:val="003523E3"/>
    <w:rsid w:val="00352E32"/>
    <w:rsid w:val="00355E6B"/>
    <w:rsid w:val="00355F18"/>
    <w:rsid w:val="003625C6"/>
    <w:rsid w:val="00365EE7"/>
    <w:rsid w:val="0038278B"/>
    <w:rsid w:val="00382B96"/>
    <w:rsid w:val="00384184"/>
    <w:rsid w:val="00384705"/>
    <w:rsid w:val="00393FE0"/>
    <w:rsid w:val="003A0F6B"/>
    <w:rsid w:val="003A1155"/>
    <w:rsid w:val="003A4648"/>
    <w:rsid w:val="003B3A2E"/>
    <w:rsid w:val="003B5184"/>
    <w:rsid w:val="003B5B32"/>
    <w:rsid w:val="003B79C0"/>
    <w:rsid w:val="003C01E0"/>
    <w:rsid w:val="003C2B17"/>
    <w:rsid w:val="003D4DCB"/>
    <w:rsid w:val="003D784A"/>
    <w:rsid w:val="003D7A76"/>
    <w:rsid w:val="003E1CE5"/>
    <w:rsid w:val="003E4EE3"/>
    <w:rsid w:val="003E5DEA"/>
    <w:rsid w:val="003F01AC"/>
    <w:rsid w:val="003F1C21"/>
    <w:rsid w:val="003F4F14"/>
    <w:rsid w:val="003F56D7"/>
    <w:rsid w:val="003F7C21"/>
    <w:rsid w:val="00404832"/>
    <w:rsid w:val="00406753"/>
    <w:rsid w:val="00407249"/>
    <w:rsid w:val="00413751"/>
    <w:rsid w:val="0041428B"/>
    <w:rsid w:val="004466F4"/>
    <w:rsid w:val="00446F78"/>
    <w:rsid w:val="004504BF"/>
    <w:rsid w:val="00461E5E"/>
    <w:rsid w:val="00485BF6"/>
    <w:rsid w:val="00486261"/>
    <w:rsid w:val="00487A2B"/>
    <w:rsid w:val="00487F69"/>
    <w:rsid w:val="0049061A"/>
    <w:rsid w:val="00492FD0"/>
    <w:rsid w:val="00493E4B"/>
    <w:rsid w:val="0049425E"/>
    <w:rsid w:val="00497897"/>
    <w:rsid w:val="00497B91"/>
    <w:rsid w:val="004A108A"/>
    <w:rsid w:val="004A2C33"/>
    <w:rsid w:val="004A6FEA"/>
    <w:rsid w:val="004C0CF2"/>
    <w:rsid w:val="004C757D"/>
    <w:rsid w:val="004D027A"/>
    <w:rsid w:val="004D22F5"/>
    <w:rsid w:val="004D23B1"/>
    <w:rsid w:val="004D4B92"/>
    <w:rsid w:val="004D5592"/>
    <w:rsid w:val="004E0008"/>
    <w:rsid w:val="004E480A"/>
    <w:rsid w:val="004E4CD0"/>
    <w:rsid w:val="004E540F"/>
    <w:rsid w:val="004E5956"/>
    <w:rsid w:val="004F0D16"/>
    <w:rsid w:val="004F3C56"/>
    <w:rsid w:val="004F404B"/>
    <w:rsid w:val="005022AA"/>
    <w:rsid w:val="0050696D"/>
    <w:rsid w:val="00511ADA"/>
    <w:rsid w:val="00515023"/>
    <w:rsid w:val="00517B79"/>
    <w:rsid w:val="005202FE"/>
    <w:rsid w:val="00521A6D"/>
    <w:rsid w:val="00525EE9"/>
    <w:rsid w:val="00531950"/>
    <w:rsid w:val="00531F54"/>
    <w:rsid w:val="00532A8F"/>
    <w:rsid w:val="005334D7"/>
    <w:rsid w:val="00543291"/>
    <w:rsid w:val="00547999"/>
    <w:rsid w:val="00550168"/>
    <w:rsid w:val="00554D52"/>
    <w:rsid w:val="00561F69"/>
    <w:rsid w:val="00567363"/>
    <w:rsid w:val="0056750F"/>
    <w:rsid w:val="00567889"/>
    <w:rsid w:val="00570C01"/>
    <w:rsid w:val="00572E53"/>
    <w:rsid w:val="00574344"/>
    <w:rsid w:val="00592342"/>
    <w:rsid w:val="00596563"/>
    <w:rsid w:val="005966C9"/>
    <w:rsid w:val="005A11A5"/>
    <w:rsid w:val="005A1D15"/>
    <w:rsid w:val="005A1F5D"/>
    <w:rsid w:val="005A608B"/>
    <w:rsid w:val="005A68BC"/>
    <w:rsid w:val="005B4902"/>
    <w:rsid w:val="005C7143"/>
    <w:rsid w:val="005D5516"/>
    <w:rsid w:val="005E4747"/>
    <w:rsid w:val="005F1AC2"/>
    <w:rsid w:val="005F54ED"/>
    <w:rsid w:val="005F66EC"/>
    <w:rsid w:val="005F732E"/>
    <w:rsid w:val="00601F74"/>
    <w:rsid w:val="006101A6"/>
    <w:rsid w:val="0061317C"/>
    <w:rsid w:val="00615A01"/>
    <w:rsid w:val="006173AD"/>
    <w:rsid w:val="006205DB"/>
    <w:rsid w:val="00623B6C"/>
    <w:rsid w:val="00624C12"/>
    <w:rsid w:val="00643115"/>
    <w:rsid w:val="00644BF7"/>
    <w:rsid w:val="00651D22"/>
    <w:rsid w:val="006638B6"/>
    <w:rsid w:val="0067095F"/>
    <w:rsid w:val="00673957"/>
    <w:rsid w:val="00676DC9"/>
    <w:rsid w:val="00676E8A"/>
    <w:rsid w:val="00681F58"/>
    <w:rsid w:val="00686461"/>
    <w:rsid w:val="00686BB9"/>
    <w:rsid w:val="006876D7"/>
    <w:rsid w:val="006A4083"/>
    <w:rsid w:val="006A5985"/>
    <w:rsid w:val="006A7B6A"/>
    <w:rsid w:val="006B02F6"/>
    <w:rsid w:val="006B193A"/>
    <w:rsid w:val="006B48D2"/>
    <w:rsid w:val="006C62A8"/>
    <w:rsid w:val="006C7F9A"/>
    <w:rsid w:val="006D15FA"/>
    <w:rsid w:val="006D3FCA"/>
    <w:rsid w:val="006D4B55"/>
    <w:rsid w:val="006D5464"/>
    <w:rsid w:val="006E2341"/>
    <w:rsid w:val="006E28A6"/>
    <w:rsid w:val="006E619B"/>
    <w:rsid w:val="006F3D4B"/>
    <w:rsid w:val="006F4136"/>
    <w:rsid w:val="006F6032"/>
    <w:rsid w:val="00701366"/>
    <w:rsid w:val="00711CB1"/>
    <w:rsid w:val="0072069A"/>
    <w:rsid w:val="007220FD"/>
    <w:rsid w:val="007231D3"/>
    <w:rsid w:val="0073027F"/>
    <w:rsid w:val="00735D29"/>
    <w:rsid w:val="007369BE"/>
    <w:rsid w:val="00737B1D"/>
    <w:rsid w:val="00737E1C"/>
    <w:rsid w:val="00742010"/>
    <w:rsid w:val="00743588"/>
    <w:rsid w:val="007451BC"/>
    <w:rsid w:val="0075387D"/>
    <w:rsid w:val="00761B2D"/>
    <w:rsid w:val="0076705A"/>
    <w:rsid w:val="007745CB"/>
    <w:rsid w:val="00782824"/>
    <w:rsid w:val="007854F6"/>
    <w:rsid w:val="00785AD8"/>
    <w:rsid w:val="0078759B"/>
    <w:rsid w:val="00793746"/>
    <w:rsid w:val="00793770"/>
    <w:rsid w:val="00795FF5"/>
    <w:rsid w:val="007A144A"/>
    <w:rsid w:val="007A67D8"/>
    <w:rsid w:val="007B2BA1"/>
    <w:rsid w:val="007B4FC0"/>
    <w:rsid w:val="007B6D8E"/>
    <w:rsid w:val="007C157A"/>
    <w:rsid w:val="007D22BD"/>
    <w:rsid w:val="007D3F6C"/>
    <w:rsid w:val="007D5EFB"/>
    <w:rsid w:val="007E410B"/>
    <w:rsid w:val="007E423D"/>
    <w:rsid w:val="007F1763"/>
    <w:rsid w:val="007F26C9"/>
    <w:rsid w:val="00804453"/>
    <w:rsid w:val="00804DE5"/>
    <w:rsid w:val="00813007"/>
    <w:rsid w:val="0081356B"/>
    <w:rsid w:val="00814F1F"/>
    <w:rsid w:val="00816068"/>
    <w:rsid w:val="00817F54"/>
    <w:rsid w:val="00820C02"/>
    <w:rsid w:val="00826DC5"/>
    <w:rsid w:val="00831E13"/>
    <w:rsid w:val="00837BEC"/>
    <w:rsid w:val="00845AFA"/>
    <w:rsid w:val="00855CD0"/>
    <w:rsid w:val="00857832"/>
    <w:rsid w:val="008625DD"/>
    <w:rsid w:val="00863679"/>
    <w:rsid w:val="008676A6"/>
    <w:rsid w:val="0087450F"/>
    <w:rsid w:val="00876406"/>
    <w:rsid w:val="00883891"/>
    <w:rsid w:val="00890DC1"/>
    <w:rsid w:val="00897199"/>
    <w:rsid w:val="008A3A02"/>
    <w:rsid w:val="008A3A81"/>
    <w:rsid w:val="008A3E90"/>
    <w:rsid w:val="008A57C1"/>
    <w:rsid w:val="008B1647"/>
    <w:rsid w:val="008B2B98"/>
    <w:rsid w:val="008B6CEF"/>
    <w:rsid w:val="008B7D8C"/>
    <w:rsid w:val="008C41E8"/>
    <w:rsid w:val="008E089A"/>
    <w:rsid w:val="008E3791"/>
    <w:rsid w:val="008E6236"/>
    <w:rsid w:val="008F0E34"/>
    <w:rsid w:val="008F2F0B"/>
    <w:rsid w:val="00905167"/>
    <w:rsid w:val="00912AE6"/>
    <w:rsid w:val="009206BD"/>
    <w:rsid w:val="00926D4D"/>
    <w:rsid w:val="00934A65"/>
    <w:rsid w:val="00934E72"/>
    <w:rsid w:val="00935AB4"/>
    <w:rsid w:val="00946437"/>
    <w:rsid w:val="00946A04"/>
    <w:rsid w:val="0095090B"/>
    <w:rsid w:val="0095209E"/>
    <w:rsid w:val="00954494"/>
    <w:rsid w:val="009809E0"/>
    <w:rsid w:val="009908B2"/>
    <w:rsid w:val="009914D7"/>
    <w:rsid w:val="009930F3"/>
    <w:rsid w:val="00996A59"/>
    <w:rsid w:val="009A1B58"/>
    <w:rsid w:val="009A3080"/>
    <w:rsid w:val="009A53DD"/>
    <w:rsid w:val="009A5EEA"/>
    <w:rsid w:val="009B0441"/>
    <w:rsid w:val="009C1607"/>
    <w:rsid w:val="009C1858"/>
    <w:rsid w:val="009D3D7D"/>
    <w:rsid w:val="009D7091"/>
    <w:rsid w:val="009F2913"/>
    <w:rsid w:val="009F323A"/>
    <w:rsid w:val="009F5D7B"/>
    <w:rsid w:val="009F6333"/>
    <w:rsid w:val="00A01EB0"/>
    <w:rsid w:val="00A028B6"/>
    <w:rsid w:val="00A0433D"/>
    <w:rsid w:val="00A04BE6"/>
    <w:rsid w:val="00A0787E"/>
    <w:rsid w:val="00A207CE"/>
    <w:rsid w:val="00A2628F"/>
    <w:rsid w:val="00A274ED"/>
    <w:rsid w:val="00A340ED"/>
    <w:rsid w:val="00A366C2"/>
    <w:rsid w:val="00A36D44"/>
    <w:rsid w:val="00A42343"/>
    <w:rsid w:val="00A43482"/>
    <w:rsid w:val="00A43CC8"/>
    <w:rsid w:val="00A5026C"/>
    <w:rsid w:val="00A54E01"/>
    <w:rsid w:val="00A67ADD"/>
    <w:rsid w:val="00A67EEE"/>
    <w:rsid w:val="00A75EB7"/>
    <w:rsid w:val="00A77548"/>
    <w:rsid w:val="00A8135C"/>
    <w:rsid w:val="00A832E7"/>
    <w:rsid w:val="00A85758"/>
    <w:rsid w:val="00A90059"/>
    <w:rsid w:val="00AA54C0"/>
    <w:rsid w:val="00AB2A76"/>
    <w:rsid w:val="00AB42BF"/>
    <w:rsid w:val="00AB5927"/>
    <w:rsid w:val="00AC32E4"/>
    <w:rsid w:val="00AC3CA7"/>
    <w:rsid w:val="00AC5EAC"/>
    <w:rsid w:val="00AC71C9"/>
    <w:rsid w:val="00AC736D"/>
    <w:rsid w:val="00AD1735"/>
    <w:rsid w:val="00AD386F"/>
    <w:rsid w:val="00AD6564"/>
    <w:rsid w:val="00AD7794"/>
    <w:rsid w:val="00AE008C"/>
    <w:rsid w:val="00AE06AC"/>
    <w:rsid w:val="00AE17D4"/>
    <w:rsid w:val="00AE2BA5"/>
    <w:rsid w:val="00AE451D"/>
    <w:rsid w:val="00AE5D09"/>
    <w:rsid w:val="00AE76DC"/>
    <w:rsid w:val="00B01193"/>
    <w:rsid w:val="00B03FA5"/>
    <w:rsid w:val="00B11911"/>
    <w:rsid w:val="00B11AAE"/>
    <w:rsid w:val="00B11DC5"/>
    <w:rsid w:val="00B14941"/>
    <w:rsid w:val="00B151A3"/>
    <w:rsid w:val="00B15D32"/>
    <w:rsid w:val="00B1741B"/>
    <w:rsid w:val="00B17848"/>
    <w:rsid w:val="00B2658C"/>
    <w:rsid w:val="00B32938"/>
    <w:rsid w:val="00B36DE0"/>
    <w:rsid w:val="00B46C33"/>
    <w:rsid w:val="00B54DBC"/>
    <w:rsid w:val="00B61F55"/>
    <w:rsid w:val="00B73797"/>
    <w:rsid w:val="00B73AA3"/>
    <w:rsid w:val="00B83CC2"/>
    <w:rsid w:val="00B83CDA"/>
    <w:rsid w:val="00B84C63"/>
    <w:rsid w:val="00B87ABE"/>
    <w:rsid w:val="00B94D4B"/>
    <w:rsid w:val="00BA02F8"/>
    <w:rsid w:val="00BA1728"/>
    <w:rsid w:val="00BA3810"/>
    <w:rsid w:val="00BA5144"/>
    <w:rsid w:val="00BA5AC7"/>
    <w:rsid w:val="00BA74CD"/>
    <w:rsid w:val="00BA78A6"/>
    <w:rsid w:val="00BB2D30"/>
    <w:rsid w:val="00BC520D"/>
    <w:rsid w:val="00BE0CE5"/>
    <w:rsid w:val="00BE720C"/>
    <w:rsid w:val="00BF1933"/>
    <w:rsid w:val="00BF2671"/>
    <w:rsid w:val="00BF6724"/>
    <w:rsid w:val="00BF7BB2"/>
    <w:rsid w:val="00C01D2B"/>
    <w:rsid w:val="00C0379C"/>
    <w:rsid w:val="00C10845"/>
    <w:rsid w:val="00C12C25"/>
    <w:rsid w:val="00C140CA"/>
    <w:rsid w:val="00C14328"/>
    <w:rsid w:val="00C2285A"/>
    <w:rsid w:val="00C26A3F"/>
    <w:rsid w:val="00C304D1"/>
    <w:rsid w:val="00C32522"/>
    <w:rsid w:val="00C346B0"/>
    <w:rsid w:val="00C40E9C"/>
    <w:rsid w:val="00C4351A"/>
    <w:rsid w:val="00C61921"/>
    <w:rsid w:val="00C625AF"/>
    <w:rsid w:val="00C67F2C"/>
    <w:rsid w:val="00C7536F"/>
    <w:rsid w:val="00C763E0"/>
    <w:rsid w:val="00C77026"/>
    <w:rsid w:val="00C77E43"/>
    <w:rsid w:val="00C805FA"/>
    <w:rsid w:val="00C81A15"/>
    <w:rsid w:val="00C8569B"/>
    <w:rsid w:val="00CA3F66"/>
    <w:rsid w:val="00CA7B8C"/>
    <w:rsid w:val="00CB0CDF"/>
    <w:rsid w:val="00CB1618"/>
    <w:rsid w:val="00CB265D"/>
    <w:rsid w:val="00CB3794"/>
    <w:rsid w:val="00CB3A44"/>
    <w:rsid w:val="00CC11D7"/>
    <w:rsid w:val="00CD0E18"/>
    <w:rsid w:val="00CD4C6D"/>
    <w:rsid w:val="00CE02E5"/>
    <w:rsid w:val="00CE061F"/>
    <w:rsid w:val="00CE0D44"/>
    <w:rsid w:val="00CE1BEB"/>
    <w:rsid w:val="00CE70E1"/>
    <w:rsid w:val="00CF2FD7"/>
    <w:rsid w:val="00CF7361"/>
    <w:rsid w:val="00D027F6"/>
    <w:rsid w:val="00D03EB8"/>
    <w:rsid w:val="00D11C54"/>
    <w:rsid w:val="00D24E49"/>
    <w:rsid w:val="00D31E2D"/>
    <w:rsid w:val="00D375DA"/>
    <w:rsid w:val="00D37702"/>
    <w:rsid w:val="00D42E71"/>
    <w:rsid w:val="00D47773"/>
    <w:rsid w:val="00D66862"/>
    <w:rsid w:val="00D72ED7"/>
    <w:rsid w:val="00D748B9"/>
    <w:rsid w:val="00D75AC1"/>
    <w:rsid w:val="00D8124C"/>
    <w:rsid w:val="00D8163B"/>
    <w:rsid w:val="00D84366"/>
    <w:rsid w:val="00D850A4"/>
    <w:rsid w:val="00D9637D"/>
    <w:rsid w:val="00DA49A6"/>
    <w:rsid w:val="00DB4DB3"/>
    <w:rsid w:val="00DB74D4"/>
    <w:rsid w:val="00DC0678"/>
    <w:rsid w:val="00DC2986"/>
    <w:rsid w:val="00DC66F6"/>
    <w:rsid w:val="00DC7437"/>
    <w:rsid w:val="00DD256A"/>
    <w:rsid w:val="00DD3FC3"/>
    <w:rsid w:val="00DD4E7E"/>
    <w:rsid w:val="00DD53A6"/>
    <w:rsid w:val="00DE42DD"/>
    <w:rsid w:val="00DE5E60"/>
    <w:rsid w:val="00DE7F89"/>
    <w:rsid w:val="00DF063C"/>
    <w:rsid w:val="00DF3858"/>
    <w:rsid w:val="00DF38BF"/>
    <w:rsid w:val="00DF7892"/>
    <w:rsid w:val="00E02373"/>
    <w:rsid w:val="00E05E94"/>
    <w:rsid w:val="00E063B3"/>
    <w:rsid w:val="00E1235B"/>
    <w:rsid w:val="00E159D4"/>
    <w:rsid w:val="00E30BB8"/>
    <w:rsid w:val="00E355F2"/>
    <w:rsid w:val="00E47A3B"/>
    <w:rsid w:val="00E50E15"/>
    <w:rsid w:val="00E562DC"/>
    <w:rsid w:val="00E56C94"/>
    <w:rsid w:val="00E57400"/>
    <w:rsid w:val="00E768E7"/>
    <w:rsid w:val="00E77532"/>
    <w:rsid w:val="00E845CE"/>
    <w:rsid w:val="00E84DBB"/>
    <w:rsid w:val="00E85761"/>
    <w:rsid w:val="00E86433"/>
    <w:rsid w:val="00E8652B"/>
    <w:rsid w:val="00E87EE3"/>
    <w:rsid w:val="00E90B25"/>
    <w:rsid w:val="00E965BE"/>
    <w:rsid w:val="00E966FA"/>
    <w:rsid w:val="00E979D3"/>
    <w:rsid w:val="00EA6057"/>
    <w:rsid w:val="00EB0B31"/>
    <w:rsid w:val="00EB1CB5"/>
    <w:rsid w:val="00EC0920"/>
    <w:rsid w:val="00EC63C1"/>
    <w:rsid w:val="00EC79F5"/>
    <w:rsid w:val="00ED054D"/>
    <w:rsid w:val="00ED4CF2"/>
    <w:rsid w:val="00ED6726"/>
    <w:rsid w:val="00EE2AF0"/>
    <w:rsid w:val="00EE556C"/>
    <w:rsid w:val="00EE5726"/>
    <w:rsid w:val="00EF02A1"/>
    <w:rsid w:val="00EF0D62"/>
    <w:rsid w:val="00EF337D"/>
    <w:rsid w:val="00EF64DC"/>
    <w:rsid w:val="00F02224"/>
    <w:rsid w:val="00F02241"/>
    <w:rsid w:val="00F04AAA"/>
    <w:rsid w:val="00F0563D"/>
    <w:rsid w:val="00F05705"/>
    <w:rsid w:val="00F05D7D"/>
    <w:rsid w:val="00F05EAE"/>
    <w:rsid w:val="00F10A04"/>
    <w:rsid w:val="00F11330"/>
    <w:rsid w:val="00F17520"/>
    <w:rsid w:val="00F17653"/>
    <w:rsid w:val="00F214F6"/>
    <w:rsid w:val="00F335F1"/>
    <w:rsid w:val="00F33AD4"/>
    <w:rsid w:val="00F43509"/>
    <w:rsid w:val="00F518BA"/>
    <w:rsid w:val="00F51DE9"/>
    <w:rsid w:val="00F547BA"/>
    <w:rsid w:val="00F659E6"/>
    <w:rsid w:val="00F75F31"/>
    <w:rsid w:val="00F80994"/>
    <w:rsid w:val="00F8199E"/>
    <w:rsid w:val="00F852B7"/>
    <w:rsid w:val="00F85C2B"/>
    <w:rsid w:val="00F95779"/>
    <w:rsid w:val="00FA23F3"/>
    <w:rsid w:val="00FA2DDB"/>
    <w:rsid w:val="00FA38C7"/>
    <w:rsid w:val="00FA4D0C"/>
    <w:rsid w:val="00FA6860"/>
    <w:rsid w:val="00FB1C6E"/>
    <w:rsid w:val="00FB5700"/>
    <w:rsid w:val="00FB70C0"/>
    <w:rsid w:val="00FC0AE5"/>
    <w:rsid w:val="00FC2BD4"/>
    <w:rsid w:val="00FD0A5E"/>
    <w:rsid w:val="00FD28DB"/>
    <w:rsid w:val="00FD3F76"/>
    <w:rsid w:val="00FD447F"/>
    <w:rsid w:val="00FD5A02"/>
    <w:rsid w:val="00FD7251"/>
    <w:rsid w:val="00FE2EA0"/>
    <w:rsid w:val="00FE33B9"/>
    <w:rsid w:val="00FE54E1"/>
    <w:rsid w:val="00FF4092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B13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CB1"/>
    <w:pPr>
      <w:suppressAutoHyphens/>
      <w:spacing w:before="120" w:after="60" w:line="260" w:lineRule="atLeast"/>
    </w:pPr>
    <w:rPr>
      <w:color w:val="44546A" w:themeColor="text2"/>
      <w:lang w:val="en-GB"/>
    </w:rPr>
  </w:style>
  <w:style w:type="paragraph" w:styleId="Heading1">
    <w:name w:val="heading 1"/>
    <w:basedOn w:val="SpacebeforeTitle"/>
    <w:next w:val="Normal"/>
    <w:link w:val="Heading1Char"/>
    <w:uiPriority w:val="9"/>
    <w:qFormat/>
    <w:rsid w:val="00A274ED"/>
    <w:pPr>
      <w:tabs>
        <w:tab w:val="left" w:pos="1114"/>
        <w:tab w:val="left" w:pos="2205"/>
      </w:tabs>
      <w:spacing w:after="0"/>
      <w:outlineLvl w:val="0"/>
    </w:pPr>
    <w:rPr>
      <w:bCs/>
      <w:sz w:val="36"/>
      <w:szCs w:val="36"/>
    </w:rPr>
  </w:style>
  <w:style w:type="paragraph" w:styleId="Heading2">
    <w:name w:val="heading 2"/>
    <w:basedOn w:val="SpacebeforeTitle"/>
    <w:next w:val="Normal"/>
    <w:link w:val="Heading2Char"/>
    <w:uiPriority w:val="9"/>
    <w:unhideWhenUsed/>
    <w:qFormat/>
    <w:rsid w:val="00A274ED"/>
    <w:pPr>
      <w:tabs>
        <w:tab w:val="left" w:pos="1114"/>
        <w:tab w:val="left" w:pos="2205"/>
      </w:tabs>
      <w:spacing w:after="240"/>
      <w:outlineLvl w:val="1"/>
    </w:pPr>
    <w:rPr>
      <w:rFonts w:cstheme="minorHAnsi"/>
      <w:b/>
      <w:bCs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4ED"/>
    <w:rPr>
      <w:bCs/>
      <w:color w:val="44546A" w:themeColor="text2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274ED"/>
    <w:rPr>
      <w:rFonts w:cstheme="minorHAnsi"/>
      <w:b/>
      <w:bCs/>
      <w:iCs/>
      <w:color w:val="44546A" w:themeColor="text2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274ED"/>
    <w:pPr>
      <w:tabs>
        <w:tab w:val="center" w:pos="4513"/>
        <w:tab w:val="right" w:pos="9026"/>
      </w:tabs>
      <w:spacing w:before="0" w:after="0"/>
      <w:ind w:left="227"/>
    </w:pPr>
    <w:rPr>
      <w:b/>
      <w:caps/>
      <w:color w:val="FFFFFF" w:themeColor="background1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274ED"/>
    <w:rPr>
      <w:b/>
      <w:caps/>
      <w:color w:val="FFFFFF" w:themeColor="background1"/>
      <w:sz w:val="20"/>
      <w:lang w:val="en-GB"/>
    </w:rPr>
  </w:style>
  <w:style w:type="table" w:styleId="TableGrid">
    <w:name w:val="Table Grid"/>
    <w:basedOn w:val="TableNormal"/>
    <w:uiPriority w:val="59"/>
    <w:rsid w:val="00A27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274ED"/>
    <w:pPr>
      <w:spacing w:before="0" w:after="0" w:line="240" w:lineRule="exact"/>
      <w:ind w:left="284" w:right="284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A274ED"/>
    <w:rPr>
      <w:color w:val="FFFFFF" w:themeColor="background1"/>
      <w:lang w:val="en-GB"/>
    </w:rPr>
  </w:style>
  <w:style w:type="paragraph" w:customStyle="1" w:styleId="SpacebeforeTitle">
    <w:name w:val="Space before Title"/>
    <w:basedOn w:val="Normal"/>
    <w:qFormat/>
    <w:rsid w:val="00A274ED"/>
    <w:pPr>
      <w:spacing w:after="900"/>
    </w:pPr>
  </w:style>
  <w:style w:type="paragraph" w:styleId="ListParagraph">
    <w:name w:val="List Paragraph"/>
    <w:aliases w:val="Bullet 1,Colorful List - Accent 11,Dot pt,F5 List Paragraph,Indicator Text,L,List Paragraph Char Char Char,List Paragraph1,List Paragraph12,List Paragraph2,MAIN CONTENT,No Spacing1,Normal numbered,Numbered Para 1,OBC Bullet,Rec para"/>
    <w:basedOn w:val="Normal"/>
    <w:link w:val="ListParagraphChar"/>
    <w:uiPriority w:val="34"/>
    <w:qFormat/>
    <w:rsid w:val="00A274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3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3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3B9"/>
    <w:rPr>
      <w:color w:val="44546A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3B9"/>
    <w:rPr>
      <w:b/>
      <w:bCs/>
      <w:color w:val="44546A" w:themeColor="text2"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A42343"/>
  </w:style>
  <w:style w:type="character" w:customStyle="1" w:styleId="ListParagraphChar">
    <w:name w:val="List Paragraph Char"/>
    <w:aliases w:val="Bullet 1 Char,Colorful List - Accent 11 Char,Dot pt Char,F5 List Paragraph Char,Indicator Text Char,L Char,List Paragraph Char Char Char Char,List Paragraph1 Char,List Paragraph12 Char,List Paragraph2 Char,MAIN CONTENT Char"/>
    <w:link w:val="ListParagraph"/>
    <w:uiPriority w:val="34"/>
    <w:qFormat/>
    <w:locked/>
    <w:rsid w:val="0049425E"/>
    <w:rPr>
      <w:color w:val="44546A" w:themeColor="text2"/>
      <w:lang w:val="en-GB"/>
    </w:rPr>
  </w:style>
  <w:style w:type="paragraph" w:styleId="Revision">
    <w:name w:val="Revision"/>
    <w:hidden/>
    <w:uiPriority w:val="99"/>
    <w:semiHidden/>
    <w:rsid w:val="003E1CE5"/>
    <w:pPr>
      <w:spacing w:after="0" w:line="240" w:lineRule="auto"/>
    </w:pPr>
    <w:rPr>
      <w:color w:val="44546A" w:themeColor="text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56F42-4B3D-4332-AD9E-28186178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798</Words>
  <Characters>4947</Characters>
  <Application>Microsoft Office Word</Application>
  <DocSecurity>0</DocSecurity>
  <Lines>190</Lines>
  <Paragraphs>48</Paragraphs>
  <ScaleCrop>false</ScaleCrop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NCCTRC, QFES and FRNSW End of Grant Evaluation - Management response</dc:title>
  <dc:subject/>
  <dc:creator/>
  <cp:keywords>[SEC=OFFICIAL]</cp:keywords>
  <dc:description/>
  <cp:lastModifiedBy/>
  <cp:revision>1</cp:revision>
  <dcterms:created xsi:type="dcterms:W3CDTF">2023-11-09T04:06:00Z</dcterms:created>
  <dcterms:modified xsi:type="dcterms:W3CDTF">2023-11-09T04:07:00Z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v=2022.1;a=SHA256;h=4011BE6C5B28363B729B4A86BD0ABEC62806D42C8B74923FFDBBD8DF8E4804EC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D9F6E5C82DFAF7AB6E3D596D48DD43C72EDFDAB4</vt:lpwstr>
  </property>
  <property fmtid="{D5CDD505-2E9C-101B-9397-08002B2CF9AE}" pid="9" name="PM_Originating_FileId">
    <vt:lpwstr>8E12D52FDAD440EC8F3316218F550B1A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2023-06-16T05:03:44Z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Hash_Salt_Prev">
    <vt:lpwstr>12625C5B22E4926A484E8981555D3CC7</vt:lpwstr>
  </property>
  <property fmtid="{D5CDD505-2E9C-101B-9397-08002B2CF9AE}" pid="22" name="PM_Hash_Salt">
    <vt:lpwstr>BBC89F00EC78BEB63824ED1A404AFFA1</vt:lpwstr>
  </property>
  <property fmtid="{D5CDD505-2E9C-101B-9397-08002B2CF9AE}" pid="23" name="PM_Hash_SHA1">
    <vt:lpwstr>8E221DF158F53A6D996F8C04B16397F68B764CCE</vt:lpwstr>
  </property>
  <property fmtid="{D5CDD505-2E9C-101B-9397-08002B2CF9AE}" pid="24" name="PM_OriginatorUserAccountName_SHA256">
    <vt:lpwstr>3E9DB5AB808CA91EB3E8EC398CDB7F67B110581D6BB28BC88565729DCE387350</vt:lpwstr>
  </property>
  <property fmtid="{D5CDD505-2E9C-101B-9397-08002B2CF9AE}" pid="25" name="PM_OriginatorDomainName_SHA256">
    <vt:lpwstr>6F3591835F3B2A8A025B00B5BA6418010DA3A17C9C26EA9C049FFD28039489A2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_Caveats_Count">
    <vt:lpwstr>0</vt:lpwstr>
  </property>
</Properties>
</file>