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0A867" w14:textId="61DEFFBC" w:rsidR="002C449F" w:rsidRPr="00594341" w:rsidRDefault="002C449F" w:rsidP="00594341">
      <w:pPr>
        <w:pStyle w:val="Heading1"/>
        <w:spacing w:before="120" w:after="120" w:line="240" w:lineRule="auto"/>
        <w:jc w:val="center"/>
        <w:rPr>
          <w:rFonts w:cstheme="minorHAnsi"/>
          <w:sz w:val="72"/>
          <w:szCs w:val="96"/>
        </w:rPr>
      </w:pPr>
      <w:bookmarkStart w:id="0" w:name="_Toc531690830"/>
      <w:bookmarkStart w:id="1" w:name="_Toc531700717"/>
      <w:bookmarkStart w:id="2" w:name="_Toc531885395"/>
      <w:bookmarkStart w:id="3" w:name="_Toc531965935"/>
      <w:r w:rsidRPr="00594341">
        <w:rPr>
          <w:rFonts w:asciiTheme="minorHAnsi" w:hAnsiTheme="minorHAnsi" w:cstheme="minorHAnsi"/>
          <w:sz w:val="72"/>
          <w:szCs w:val="96"/>
        </w:rPr>
        <w:t>Feasibility Study on the Use of Non-Grant Financing</w:t>
      </w:r>
      <w:bookmarkEnd w:id="0"/>
      <w:bookmarkEnd w:id="1"/>
      <w:bookmarkEnd w:id="2"/>
      <w:bookmarkEnd w:id="3"/>
    </w:p>
    <w:p w14:paraId="6B92CFC4" w14:textId="77777777" w:rsidR="002C449F" w:rsidRPr="00594341" w:rsidRDefault="002C449F" w:rsidP="00594341">
      <w:pPr>
        <w:spacing w:before="120" w:after="120" w:line="240" w:lineRule="auto"/>
        <w:rPr>
          <w:sz w:val="21"/>
        </w:rPr>
      </w:pPr>
    </w:p>
    <w:p w14:paraId="5CCE3301" w14:textId="77777777" w:rsidR="00B46545" w:rsidRDefault="00C844C7" w:rsidP="00B46545">
      <w:pPr>
        <w:spacing w:before="120" w:after="5520" w:line="240" w:lineRule="auto"/>
        <w:jc w:val="center"/>
        <w:rPr>
          <w:sz w:val="56"/>
          <w:szCs w:val="56"/>
        </w:rPr>
      </w:pPr>
      <w:r>
        <w:rPr>
          <w:sz w:val="56"/>
          <w:szCs w:val="56"/>
        </w:rPr>
        <w:t xml:space="preserve">Final </w:t>
      </w:r>
      <w:r w:rsidR="002C449F" w:rsidRPr="00594341">
        <w:rPr>
          <w:sz w:val="56"/>
          <w:szCs w:val="56"/>
        </w:rPr>
        <w:t xml:space="preserve">Report </w:t>
      </w:r>
    </w:p>
    <w:p w14:paraId="4C6C777E" w14:textId="77FDC07B" w:rsidR="00A76A82" w:rsidRDefault="000C22D6" w:rsidP="00E370E6">
      <w:pPr>
        <w:spacing w:before="120" w:after="120" w:line="240" w:lineRule="auto"/>
        <w:jc w:val="center"/>
        <w:rPr>
          <w:sz w:val="56"/>
          <w:szCs w:val="56"/>
        </w:rPr>
      </w:pPr>
      <w:r>
        <w:rPr>
          <w:sz w:val="56"/>
          <w:szCs w:val="56"/>
        </w:rPr>
        <w:t xml:space="preserve">25 </w:t>
      </w:r>
      <w:r w:rsidR="00E370E6">
        <w:rPr>
          <w:sz w:val="56"/>
          <w:szCs w:val="56"/>
        </w:rPr>
        <w:t>Janua</w:t>
      </w:r>
      <w:r w:rsidR="00C844C7">
        <w:rPr>
          <w:sz w:val="56"/>
          <w:szCs w:val="56"/>
        </w:rPr>
        <w:t>r</w:t>
      </w:r>
      <w:r w:rsidR="00E370E6">
        <w:rPr>
          <w:sz w:val="56"/>
          <w:szCs w:val="56"/>
        </w:rPr>
        <w:t>y</w:t>
      </w:r>
      <w:r w:rsidR="00C844C7">
        <w:rPr>
          <w:sz w:val="56"/>
          <w:szCs w:val="56"/>
        </w:rPr>
        <w:t xml:space="preserve"> 201</w:t>
      </w:r>
      <w:r w:rsidR="00E370E6">
        <w:rPr>
          <w:sz w:val="56"/>
          <w:szCs w:val="56"/>
        </w:rPr>
        <w:t>9</w:t>
      </w:r>
    </w:p>
    <w:p w14:paraId="55E59BE9" w14:textId="77777777" w:rsidR="00A76A82" w:rsidRDefault="00A76A82" w:rsidP="00A76A82">
      <w:pPr>
        <w:rPr>
          <w:b/>
          <w:bCs/>
        </w:rPr>
      </w:pPr>
      <w:r>
        <w:rPr>
          <w:b/>
          <w:bCs/>
        </w:rPr>
        <w:t>Disclaimer</w:t>
      </w:r>
    </w:p>
    <w:p w14:paraId="649B1248" w14:textId="7D98F3FF" w:rsidR="00A76A82" w:rsidRDefault="00A76A82" w:rsidP="00A76A82">
      <w:r w:rsidRPr="005C4EC9">
        <w:t xml:space="preserve">This publication has been funded by the Australian Government through the Department of Foreign Affairs and Trade. The views </w:t>
      </w:r>
      <w:r w:rsidRPr="00C01A89">
        <w:t>expressed in this publication are the authors</w:t>
      </w:r>
      <w:r w:rsidR="00602023">
        <w:t>’</w:t>
      </w:r>
      <w:r w:rsidRPr="00C01A89">
        <w:t xml:space="preserve"> alone and are not necessarily the views of the Australian Government.</w:t>
      </w:r>
      <w:r>
        <w:t xml:space="preserve"> The Australian Government neither endorses the views in this publication, nor vouches for the accuracy or completeness of the information contained within the publication. The Australian Government, its officers, </w:t>
      </w:r>
      <w:proofErr w:type="gramStart"/>
      <w:r>
        <w:t>employees</w:t>
      </w:r>
      <w:proofErr w:type="gramEnd"/>
      <w:r>
        <w:t xml:space="preserve"> and agents, accept no liability for any loss, damage or expense arising out of, or in connection with, any reliance on any omissions or inaccuracies in the material contained in this publication.</w:t>
      </w:r>
    </w:p>
    <w:p w14:paraId="18C4899D" w14:textId="0B38A508" w:rsidR="002C449F" w:rsidRPr="00C33C97" w:rsidRDefault="00A76A82" w:rsidP="00C33C97">
      <w:r>
        <w:t xml:space="preserve">This publication is intended to provide general information only and before </w:t>
      </w:r>
      <w:proofErr w:type="gramStart"/>
      <w:r>
        <w:t>entering into</w:t>
      </w:r>
      <w:proofErr w:type="gramEnd"/>
      <w:r>
        <w:t xml:space="preserve"> any particular transaction users should: rely on their own enquiries, skill and care in using the information; check with primary sources; and seek independent advice.</w:t>
      </w:r>
      <w:r w:rsidR="002C449F">
        <w:rPr>
          <w:sz w:val="56"/>
          <w:szCs w:val="56"/>
        </w:rPr>
        <w:br w:type="page"/>
      </w:r>
    </w:p>
    <w:sdt>
      <w:sdtPr>
        <w:rPr>
          <w:rFonts w:asciiTheme="minorHAnsi" w:eastAsiaTheme="minorHAnsi" w:hAnsiTheme="minorHAnsi" w:cstheme="minorBidi"/>
          <w:color w:val="auto"/>
          <w:sz w:val="22"/>
          <w:szCs w:val="22"/>
          <w:lang w:val="en-AU"/>
        </w:rPr>
        <w:id w:val="493232381"/>
        <w:docPartObj>
          <w:docPartGallery w:val="Table of Contents"/>
          <w:docPartUnique/>
        </w:docPartObj>
      </w:sdtPr>
      <w:sdtEndPr>
        <w:rPr>
          <w:b/>
          <w:bCs/>
          <w:noProof/>
        </w:rPr>
      </w:sdtEndPr>
      <w:sdtContent>
        <w:p w14:paraId="3D5C860F" w14:textId="77777777" w:rsidR="002B422A" w:rsidRDefault="00603D1D" w:rsidP="007F74B4">
          <w:pPr>
            <w:pStyle w:val="TOCHeading"/>
            <w:spacing w:before="120" w:after="120" w:line="240" w:lineRule="auto"/>
            <w:rPr>
              <w:noProof/>
            </w:rPr>
          </w:pPr>
          <w:r>
            <w:t>Conte</w:t>
          </w:r>
          <w:r w:rsidR="007F74B4">
            <w:t>n</w:t>
          </w:r>
          <w:r>
            <w:t>ts</w:t>
          </w:r>
          <w:r>
            <w:rPr>
              <w:b/>
              <w:bCs/>
              <w:noProof/>
            </w:rPr>
            <w:fldChar w:fldCharType="begin"/>
          </w:r>
          <w:r>
            <w:rPr>
              <w:b/>
              <w:bCs/>
              <w:noProof/>
            </w:rPr>
            <w:instrText xml:space="preserve"> TOC \o "1-3" \h \z \u </w:instrText>
          </w:r>
          <w:r>
            <w:rPr>
              <w:b/>
              <w:bCs/>
              <w:noProof/>
            </w:rPr>
            <w:fldChar w:fldCharType="separate"/>
          </w:r>
        </w:p>
        <w:p w14:paraId="58E6B850" w14:textId="15921F69" w:rsidR="002B422A" w:rsidRDefault="00E62CB5">
          <w:pPr>
            <w:pStyle w:val="TOC1"/>
            <w:tabs>
              <w:tab w:val="right" w:leader="dot" w:pos="9016"/>
            </w:tabs>
            <w:rPr>
              <w:rFonts w:eastAsiaTheme="minorEastAsia"/>
              <w:noProof/>
              <w:lang w:eastAsia="en-AU"/>
            </w:rPr>
          </w:pPr>
          <w:hyperlink w:anchor="_Toc531965936" w:history="1">
            <w:r w:rsidR="002B422A" w:rsidRPr="005A2596">
              <w:rPr>
                <w:rStyle w:val="Hyperlink"/>
                <w:noProof/>
              </w:rPr>
              <w:t>Introduction</w:t>
            </w:r>
            <w:r w:rsidR="002B422A">
              <w:rPr>
                <w:noProof/>
                <w:webHidden/>
              </w:rPr>
              <w:tab/>
            </w:r>
            <w:r w:rsidR="002B422A">
              <w:rPr>
                <w:noProof/>
                <w:webHidden/>
              </w:rPr>
              <w:fldChar w:fldCharType="begin"/>
            </w:r>
            <w:r w:rsidR="002B422A">
              <w:rPr>
                <w:noProof/>
                <w:webHidden/>
              </w:rPr>
              <w:instrText xml:space="preserve"> PAGEREF _Toc531965936 \h </w:instrText>
            </w:r>
            <w:r w:rsidR="002B422A">
              <w:rPr>
                <w:noProof/>
                <w:webHidden/>
              </w:rPr>
            </w:r>
            <w:r w:rsidR="002B422A">
              <w:rPr>
                <w:noProof/>
                <w:webHidden/>
              </w:rPr>
              <w:fldChar w:fldCharType="separate"/>
            </w:r>
            <w:r w:rsidR="00AC28AD">
              <w:rPr>
                <w:noProof/>
                <w:webHidden/>
              </w:rPr>
              <w:t>iii</w:t>
            </w:r>
            <w:r w:rsidR="002B422A">
              <w:rPr>
                <w:noProof/>
                <w:webHidden/>
              </w:rPr>
              <w:fldChar w:fldCharType="end"/>
            </w:r>
          </w:hyperlink>
        </w:p>
        <w:p w14:paraId="2639AA55" w14:textId="211FD5EA" w:rsidR="002B422A" w:rsidRDefault="00E62CB5">
          <w:pPr>
            <w:pStyle w:val="TOC1"/>
            <w:tabs>
              <w:tab w:val="right" w:leader="dot" w:pos="9016"/>
            </w:tabs>
            <w:rPr>
              <w:rFonts w:eastAsiaTheme="minorEastAsia"/>
              <w:noProof/>
              <w:lang w:eastAsia="en-AU"/>
            </w:rPr>
          </w:pPr>
          <w:hyperlink w:anchor="_Toc531965937" w:history="1">
            <w:r w:rsidR="002B422A" w:rsidRPr="005A2596">
              <w:rPr>
                <w:rStyle w:val="Hyperlink"/>
                <w:noProof/>
              </w:rPr>
              <w:t>Abbreviations</w:t>
            </w:r>
            <w:r w:rsidR="002B422A">
              <w:rPr>
                <w:noProof/>
                <w:webHidden/>
              </w:rPr>
              <w:tab/>
            </w:r>
            <w:r w:rsidR="002B422A">
              <w:rPr>
                <w:noProof/>
                <w:webHidden/>
              </w:rPr>
              <w:fldChar w:fldCharType="begin"/>
            </w:r>
            <w:r w:rsidR="002B422A">
              <w:rPr>
                <w:noProof/>
                <w:webHidden/>
              </w:rPr>
              <w:instrText xml:space="preserve"> PAGEREF _Toc531965937 \h </w:instrText>
            </w:r>
            <w:r w:rsidR="002B422A">
              <w:rPr>
                <w:noProof/>
                <w:webHidden/>
              </w:rPr>
            </w:r>
            <w:r w:rsidR="002B422A">
              <w:rPr>
                <w:noProof/>
                <w:webHidden/>
              </w:rPr>
              <w:fldChar w:fldCharType="separate"/>
            </w:r>
            <w:r w:rsidR="00AC28AD">
              <w:rPr>
                <w:noProof/>
                <w:webHidden/>
              </w:rPr>
              <w:t>iv</w:t>
            </w:r>
            <w:r w:rsidR="002B422A">
              <w:rPr>
                <w:noProof/>
                <w:webHidden/>
              </w:rPr>
              <w:fldChar w:fldCharType="end"/>
            </w:r>
          </w:hyperlink>
        </w:p>
        <w:p w14:paraId="0D484D7B" w14:textId="030132FF" w:rsidR="002B422A" w:rsidRDefault="00E62CB5">
          <w:pPr>
            <w:pStyle w:val="TOC1"/>
            <w:tabs>
              <w:tab w:val="right" w:leader="dot" w:pos="9016"/>
            </w:tabs>
            <w:rPr>
              <w:rFonts w:eastAsiaTheme="minorEastAsia"/>
              <w:noProof/>
              <w:lang w:eastAsia="en-AU"/>
            </w:rPr>
          </w:pPr>
          <w:hyperlink w:anchor="_Toc531965938" w:history="1">
            <w:r w:rsidR="002B422A" w:rsidRPr="005A2596">
              <w:rPr>
                <w:rStyle w:val="Hyperlink"/>
                <w:noProof/>
              </w:rPr>
              <w:t>Executive Summary</w:t>
            </w:r>
            <w:r w:rsidR="002B422A">
              <w:rPr>
                <w:noProof/>
                <w:webHidden/>
              </w:rPr>
              <w:tab/>
            </w:r>
            <w:r w:rsidR="002B422A">
              <w:rPr>
                <w:noProof/>
                <w:webHidden/>
              </w:rPr>
              <w:fldChar w:fldCharType="begin"/>
            </w:r>
            <w:r w:rsidR="002B422A">
              <w:rPr>
                <w:noProof/>
                <w:webHidden/>
              </w:rPr>
              <w:instrText xml:space="preserve"> PAGEREF _Toc531965938 \h </w:instrText>
            </w:r>
            <w:r w:rsidR="002B422A">
              <w:rPr>
                <w:noProof/>
                <w:webHidden/>
              </w:rPr>
            </w:r>
            <w:r w:rsidR="002B422A">
              <w:rPr>
                <w:noProof/>
                <w:webHidden/>
              </w:rPr>
              <w:fldChar w:fldCharType="separate"/>
            </w:r>
            <w:r w:rsidR="00AC28AD">
              <w:rPr>
                <w:noProof/>
                <w:webHidden/>
              </w:rPr>
              <w:t>v</w:t>
            </w:r>
            <w:r w:rsidR="002B422A">
              <w:rPr>
                <w:noProof/>
                <w:webHidden/>
              </w:rPr>
              <w:fldChar w:fldCharType="end"/>
            </w:r>
          </w:hyperlink>
        </w:p>
        <w:p w14:paraId="29D12FEB" w14:textId="1429D09D" w:rsidR="002B422A" w:rsidRDefault="00E62CB5">
          <w:pPr>
            <w:pStyle w:val="TOC2"/>
            <w:tabs>
              <w:tab w:val="right" w:leader="dot" w:pos="9016"/>
            </w:tabs>
            <w:rPr>
              <w:rFonts w:eastAsiaTheme="minorEastAsia"/>
              <w:noProof/>
              <w:lang w:eastAsia="en-AU"/>
            </w:rPr>
          </w:pPr>
          <w:hyperlink w:anchor="_Toc531965939" w:history="1">
            <w:r w:rsidR="002B422A" w:rsidRPr="005A2596">
              <w:rPr>
                <w:rStyle w:val="Hyperlink"/>
                <w:noProof/>
              </w:rPr>
              <w:t xml:space="preserve">Table 1—Prospective projects/programs for which </w:t>
            </w:r>
            <w:r w:rsidR="00020423">
              <w:rPr>
                <w:rStyle w:val="Hyperlink"/>
                <w:noProof/>
              </w:rPr>
              <w:t>non-grant finance i</w:t>
            </w:r>
            <w:r w:rsidR="002B422A" w:rsidRPr="005A2596">
              <w:rPr>
                <w:rStyle w:val="Hyperlink"/>
                <w:noProof/>
              </w:rPr>
              <w:t>s preferable</w:t>
            </w:r>
            <w:r w:rsidR="002B422A">
              <w:rPr>
                <w:noProof/>
                <w:webHidden/>
              </w:rPr>
              <w:tab/>
            </w:r>
            <w:r w:rsidR="002B422A">
              <w:rPr>
                <w:noProof/>
                <w:webHidden/>
              </w:rPr>
              <w:fldChar w:fldCharType="begin"/>
            </w:r>
            <w:r w:rsidR="002B422A">
              <w:rPr>
                <w:noProof/>
                <w:webHidden/>
              </w:rPr>
              <w:instrText xml:space="preserve"> PAGEREF _Toc531965939 \h </w:instrText>
            </w:r>
            <w:r w:rsidR="002B422A">
              <w:rPr>
                <w:noProof/>
                <w:webHidden/>
              </w:rPr>
            </w:r>
            <w:r w:rsidR="002B422A">
              <w:rPr>
                <w:noProof/>
                <w:webHidden/>
              </w:rPr>
              <w:fldChar w:fldCharType="separate"/>
            </w:r>
            <w:r w:rsidR="00AC28AD">
              <w:rPr>
                <w:noProof/>
                <w:webHidden/>
              </w:rPr>
              <w:t>ix</w:t>
            </w:r>
            <w:r w:rsidR="002B422A">
              <w:rPr>
                <w:noProof/>
                <w:webHidden/>
              </w:rPr>
              <w:fldChar w:fldCharType="end"/>
            </w:r>
          </w:hyperlink>
        </w:p>
        <w:p w14:paraId="592801BE" w14:textId="3C386A87" w:rsidR="002B422A" w:rsidRDefault="00E62CB5">
          <w:pPr>
            <w:pStyle w:val="TOC1"/>
            <w:tabs>
              <w:tab w:val="right" w:leader="dot" w:pos="9016"/>
            </w:tabs>
            <w:rPr>
              <w:rFonts w:eastAsiaTheme="minorEastAsia"/>
              <w:noProof/>
              <w:lang w:eastAsia="en-AU"/>
            </w:rPr>
          </w:pPr>
          <w:hyperlink w:anchor="_Toc531965940" w:history="1">
            <w:r w:rsidR="002B422A" w:rsidRPr="005A2596">
              <w:rPr>
                <w:rStyle w:val="Hyperlink"/>
                <w:noProof/>
              </w:rPr>
              <w:t>Recommendations</w:t>
            </w:r>
            <w:r w:rsidR="002B422A">
              <w:rPr>
                <w:noProof/>
                <w:webHidden/>
              </w:rPr>
              <w:tab/>
            </w:r>
            <w:r w:rsidR="002B422A">
              <w:rPr>
                <w:noProof/>
                <w:webHidden/>
              </w:rPr>
              <w:fldChar w:fldCharType="begin"/>
            </w:r>
            <w:r w:rsidR="002B422A">
              <w:rPr>
                <w:noProof/>
                <w:webHidden/>
              </w:rPr>
              <w:instrText xml:space="preserve"> PAGEREF _Toc531965940 \h </w:instrText>
            </w:r>
            <w:r w:rsidR="002B422A">
              <w:rPr>
                <w:noProof/>
                <w:webHidden/>
              </w:rPr>
            </w:r>
            <w:r w:rsidR="002B422A">
              <w:rPr>
                <w:noProof/>
                <w:webHidden/>
              </w:rPr>
              <w:fldChar w:fldCharType="separate"/>
            </w:r>
            <w:r w:rsidR="00AC28AD">
              <w:rPr>
                <w:noProof/>
                <w:webHidden/>
              </w:rPr>
              <w:t>xi</w:t>
            </w:r>
            <w:r w:rsidR="002B422A">
              <w:rPr>
                <w:noProof/>
                <w:webHidden/>
              </w:rPr>
              <w:fldChar w:fldCharType="end"/>
            </w:r>
          </w:hyperlink>
        </w:p>
        <w:p w14:paraId="6ED7B8C7" w14:textId="642288FD" w:rsidR="002B422A" w:rsidRDefault="00E62CB5">
          <w:pPr>
            <w:pStyle w:val="TOC1"/>
            <w:tabs>
              <w:tab w:val="right" w:leader="dot" w:pos="9016"/>
            </w:tabs>
            <w:rPr>
              <w:rFonts w:eastAsiaTheme="minorEastAsia"/>
              <w:noProof/>
              <w:lang w:eastAsia="en-AU"/>
            </w:rPr>
          </w:pPr>
          <w:hyperlink w:anchor="_Toc531965941" w:history="1">
            <w:r w:rsidR="002B422A" w:rsidRPr="005A2596">
              <w:rPr>
                <w:rStyle w:val="Hyperlink"/>
                <w:noProof/>
              </w:rPr>
              <w:t>Strategic implications</w:t>
            </w:r>
            <w:r w:rsidR="002B422A">
              <w:rPr>
                <w:noProof/>
                <w:webHidden/>
              </w:rPr>
              <w:tab/>
            </w:r>
            <w:r w:rsidR="002B422A">
              <w:rPr>
                <w:noProof/>
                <w:webHidden/>
              </w:rPr>
              <w:fldChar w:fldCharType="begin"/>
            </w:r>
            <w:r w:rsidR="002B422A">
              <w:rPr>
                <w:noProof/>
                <w:webHidden/>
              </w:rPr>
              <w:instrText xml:space="preserve"> PAGEREF _Toc531965941 \h </w:instrText>
            </w:r>
            <w:r w:rsidR="002B422A">
              <w:rPr>
                <w:noProof/>
                <w:webHidden/>
              </w:rPr>
            </w:r>
            <w:r w:rsidR="002B422A">
              <w:rPr>
                <w:noProof/>
                <w:webHidden/>
              </w:rPr>
              <w:fldChar w:fldCharType="separate"/>
            </w:r>
            <w:r w:rsidR="00AC28AD">
              <w:rPr>
                <w:noProof/>
                <w:webHidden/>
              </w:rPr>
              <w:t>1</w:t>
            </w:r>
            <w:r w:rsidR="002B422A">
              <w:rPr>
                <w:noProof/>
                <w:webHidden/>
              </w:rPr>
              <w:fldChar w:fldCharType="end"/>
            </w:r>
          </w:hyperlink>
        </w:p>
        <w:p w14:paraId="64D89391" w14:textId="1B255585" w:rsidR="002B422A" w:rsidRDefault="00E62CB5">
          <w:pPr>
            <w:pStyle w:val="TOC1"/>
            <w:tabs>
              <w:tab w:val="right" w:leader="dot" w:pos="9016"/>
            </w:tabs>
            <w:rPr>
              <w:rFonts w:eastAsiaTheme="minorEastAsia"/>
              <w:noProof/>
              <w:lang w:eastAsia="en-AU"/>
            </w:rPr>
          </w:pPr>
          <w:hyperlink w:anchor="_Toc531965942" w:history="1">
            <w:r w:rsidR="002B422A" w:rsidRPr="005A2596">
              <w:rPr>
                <w:rStyle w:val="Hyperlink"/>
                <w:rFonts w:ascii="Calibri Light" w:eastAsia="Arial" w:hAnsi="Calibri Light" w:cs="Times New Roman"/>
                <w:noProof/>
                <w:lang w:eastAsia="zh-CN"/>
              </w:rPr>
              <w:t>Demand</w:t>
            </w:r>
            <w:r w:rsidR="002B422A">
              <w:rPr>
                <w:noProof/>
                <w:webHidden/>
              </w:rPr>
              <w:tab/>
            </w:r>
            <w:r w:rsidR="002B422A">
              <w:rPr>
                <w:noProof/>
                <w:webHidden/>
              </w:rPr>
              <w:fldChar w:fldCharType="begin"/>
            </w:r>
            <w:r w:rsidR="002B422A">
              <w:rPr>
                <w:noProof/>
                <w:webHidden/>
              </w:rPr>
              <w:instrText xml:space="preserve"> PAGEREF _Toc531965942 \h </w:instrText>
            </w:r>
            <w:r w:rsidR="002B422A">
              <w:rPr>
                <w:noProof/>
                <w:webHidden/>
              </w:rPr>
            </w:r>
            <w:r w:rsidR="002B422A">
              <w:rPr>
                <w:noProof/>
                <w:webHidden/>
              </w:rPr>
              <w:fldChar w:fldCharType="separate"/>
            </w:r>
            <w:r w:rsidR="00AC28AD">
              <w:rPr>
                <w:noProof/>
                <w:webHidden/>
              </w:rPr>
              <w:t>3</w:t>
            </w:r>
            <w:r w:rsidR="002B422A">
              <w:rPr>
                <w:noProof/>
                <w:webHidden/>
              </w:rPr>
              <w:fldChar w:fldCharType="end"/>
            </w:r>
          </w:hyperlink>
        </w:p>
        <w:p w14:paraId="303B7AAC" w14:textId="1A5847C6" w:rsidR="002B422A" w:rsidRDefault="00E62CB5">
          <w:pPr>
            <w:pStyle w:val="TOC1"/>
            <w:tabs>
              <w:tab w:val="right" w:leader="dot" w:pos="9016"/>
            </w:tabs>
            <w:rPr>
              <w:rFonts w:eastAsiaTheme="minorEastAsia"/>
              <w:noProof/>
              <w:lang w:eastAsia="en-AU"/>
            </w:rPr>
          </w:pPr>
          <w:hyperlink w:anchor="_Toc531965946" w:history="1">
            <w:r w:rsidR="002B422A" w:rsidRPr="005A2596">
              <w:rPr>
                <w:rStyle w:val="Hyperlink"/>
                <w:rFonts w:eastAsia="MS Mincho"/>
                <w:noProof/>
                <w:lang w:val="en-US"/>
              </w:rPr>
              <w:t>Development Impact</w:t>
            </w:r>
            <w:r w:rsidR="002B422A">
              <w:rPr>
                <w:noProof/>
                <w:webHidden/>
              </w:rPr>
              <w:tab/>
            </w:r>
            <w:r w:rsidR="002B422A">
              <w:rPr>
                <w:noProof/>
                <w:webHidden/>
              </w:rPr>
              <w:fldChar w:fldCharType="begin"/>
            </w:r>
            <w:r w:rsidR="002B422A">
              <w:rPr>
                <w:noProof/>
                <w:webHidden/>
              </w:rPr>
              <w:instrText xml:space="preserve"> PAGEREF _Toc531965946 \h </w:instrText>
            </w:r>
            <w:r w:rsidR="002B422A">
              <w:rPr>
                <w:noProof/>
                <w:webHidden/>
              </w:rPr>
            </w:r>
            <w:r w:rsidR="002B422A">
              <w:rPr>
                <w:noProof/>
                <w:webHidden/>
              </w:rPr>
              <w:fldChar w:fldCharType="separate"/>
            </w:r>
            <w:r w:rsidR="00AC28AD">
              <w:rPr>
                <w:noProof/>
                <w:webHidden/>
              </w:rPr>
              <w:t>14</w:t>
            </w:r>
            <w:r w:rsidR="002B422A">
              <w:rPr>
                <w:noProof/>
                <w:webHidden/>
              </w:rPr>
              <w:fldChar w:fldCharType="end"/>
            </w:r>
          </w:hyperlink>
        </w:p>
        <w:p w14:paraId="74DDEE93" w14:textId="1847611B" w:rsidR="002B422A" w:rsidRDefault="00E62CB5">
          <w:pPr>
            <w:pStyle w:val="TOC1"/>
            <w:tabs>
              <w:tab w:val="right" w:leader="dot" w:pos="9016"/>
            </w:tabs>
            <w:rPr>
              <w:rFonts w:eastAsiaTheme="minorEastAsia"/>
              <w:noProof/>
              <w:lang w:eastAsia="en-AU"/>
            </w:rPr>
          </w:pPr>
          <w:hyperlink w:anchor="_Toc531965947" w:history="1">
            <w:r w:rsidR="002B422A" w:rsidRPr="005A2596">
              <w:rPr>
                <w:rStyle w:val="Hyperlink"/>
                <w:noProof/>
              </w:rPr>
              <w:t>Budget and ODA-eligibility considerations</w:t>
            </w:r>
            <w:r w:rsidR="002B422A">
              <w:rPr>
                <w:noProof/>
                <w:webHidden/>
              </w:rPr>
              <w:tab/>
            </w:r>
            <w:r w:rsidR="002B422A">
              <w:rPr>
                <w:noProof/>
                <w:webHidden/>
              </w:rPr>
              <w:fldChar w:fldCharType="begin"/>
            </w:r>
            <w:r w:rsidR="002B422A">
              <w:rPr>
                <w:noProof/>
                <w:webHidden/>
              </w:rPr>
              <w:instrText xml:space="preserve"> PAGEREF _Toc531965947 \h </w:instrText>
            </w:r>
            <w:r w:rsidR="002B422A">
              <w:rPr>
                <w:noProof/>
                <w:webHidden/>
              </w:rPr>
            </w:r>
            <w:r w:rsidR="002B422A">
              <w:rPr>
                <w:noProof/>
                <w:webHidden/>
              </w:rPr>
              <w:fldChar w:fldCharType="separate"/>
            </w:r>
            <w:r w:rsidR="00AC28AD">
              <w:rPr>
                <w:noProof/>
                <w:webHidden/>
              </w:rPr>
              <w:t>21</w:t>
            </w:r>
            <w:r w:rsidR="002B422A">
              <w:rPr>
                <w:noProof/>
                <w:webHidden/>
              </w:rPr>
              <w:fldChar w:fldCharType="end"/>
            </w:r>
          </w:hyperlink>
        </w:p>
        <w:p w14:paraId="0116724B" w14:textId="0FD8BB0E" w:rsidR="002B422A" w:rsidRDefault="00E62CB5">
          <w:pPr>
            <w:pStyle w:val="TOC1"/>
            <w:tabs>
              <w:tab w:val="right" w:leader="dot" w:pos="9016"/>
            </w:tabs>
            <w:rPr>
              <w:rFonts w:eastAsiaTheme="minorEastAsia"/>
              <w:noProof/>
              <w:lang w:eastAsia="en-AU"/>
            </w:rPr>
          </w:pPr>
          <w:hyperlink w:anchor="_Toc531965948" w:history="1">
            <w:r w:rsidR="002B422A" w:rsidRPr="005A2596">
              <w:rPr>
                <w:rStyle w:val="Hyperlink"/>
                <w:noProof/>
              </w:rPr>
              <w:t>Institutional, capacity and financing requirements</w:t>
            </w:r>
            <w:r w:rsidR="002B422A">
              <w:rPr>
                <w:noProof/>
                <w:webHidden/>
              </w:rPr>
              <w:tab/>
            </w:r>
            <w:r w:rsidR="002B422A">
              <w:rPr>
                <w:noProof/>
                <w:webHidden/>
              </w:rPr>
              <w:fldChar w:fldCharType="begin"/>
            </w:r>
            <w:r w:rsidR="002B422A">
              <w:rPr>
                <w:noProof/>
                <w:webHidden/>
              </w:rPr>
              <w:instrText xml:space="preserve"> PAGEREF _Toc531965948 \h </w:instrText>
            </w:r>
            <w:r w:rsidR="002B422A">
              <w:rPr>
                <w:noProof/>
                <w:webHidden/>
              </w:rPr>
            </w:r>
            <w:r w:rsidR="002B422A">
              <w:rPr>
                <w:noProof/>
                <w:webHidden/>
              </w:rPr>
              <w:fldChar w:fldCharType="separate"/>
            </w:r>
            <w:r w:rsidR="00AC28AD">
              <w:rPr>
                <w:noProof/>
                <w:webHidden/>
              </w:rPr>
              <w:t>23</w:t>
            </w:r>
            <w:r w:rsidR="002B422A">
              <w:rPr>
                <w:noProof/>
                <w:webHidden/>
              </w:rPr>
              <w:fldChar w:fldCharType="end"/>
            </w:r>
          </w:hyperlink>
        </w:p>
        <w:p w14:paraId="0E9FA075" w14:textId="1A888F0A" w:rsidR="002340B2" w:rsidRDefault="00E62CB5" w:rsidP="005B7A27">
          <w:pPr>
            <w:pStyle w:val="TOC1"/>
            <w:tabs>
              <w:tab w:val="right" w:leader="dot" w:pos="9016"/>
            </w:tabs>
            <w:rPr>
              <w:b/>
              <w:bCs/>
              <w:noProof/>
            </w:rPr>
          </w:pPr>
          <w:hyperlink w:anchor="_Toc531965949" w:history="1">
            <w:r w:rsidR="002B422A" w:rsidRPr="005A2596">
              <w:rPr>
                <w:rStyle w:val="Hyperlink"/>
                <w:noProof/>
              </w:rPr>
              <w:t>Regulatory and legislative arrangements</w:t>
            </w:r>
            <w:r w:rsidR="002B422A">
              <w:rPr>
                <w:noProof/>
                <w:webHidden/>
              </w:rPr>
              <w:tab/>
            </w:r>
            <w:r w:rsidR="002B422A">
              <w:rPr>
                <w:noProof/>
                <w:webHidden/>
              </w:rPr>
              <w:fldChar w:fldCharType="begin"/>
            </w:r>
            <w:r w:rsidR="002B422A">
              <w:rPr>
                <w:noProof/>
                <w:webHidden/>
              </w:rPr>
              <w:instrText xml:space="preserve"> PAGEREF _Toc531965949 \h </w:instrText>
            </w:r>
            <w:r w:rsidR="002B422A">
              <w:rPr>
                <w:noProof/>
                <w:webHidden/>
              </w:rPr>
            </w:r>
            <w:r w:rsidR="002B422A">
              <w:rPr>
                <w:noProof/>
                <w:webHidden/>
              </w:rPr>
              <w:fldChar w:fldCharType="separate"/>
            </w:r>
            <w:r w:rsidR="00AC28AD">
              <w:rPr>
                <w:noProof/>
                <w:webHidden/>
              </w:rPr>
              <w:t>29</w:t>
            </w:r>
            <w:r w:rsidR="002B422A">
              <w:rPr>
                <w:noProof/>
                <w:webHidden/>
              </w:rPr>
              <w:fldChar w:fldCharType="end"/>
            </w:r>
          </w:hyperlink>
          <w:r w:rsidR="00603D1D">
            <w:rPr>
              <w:b/>
              <w:bCs/>
              <w:noProof/>
            </w:rPr>
            <w:fldChar w:fldCharType="end"/>
          </w:r>
        </w:p>
        <w:p w14:paraId="3C2BCB80" w14:textId="46ACB772" w:rsidR="00603D1D" w:rsidRPr="002340B2" w:rsidRDefault="002340B2" w:rsidP="00C04BA5">
          <w:r>
            <w:t>Risk</w:t>
          </w:r>
          <w:r w:rsidR="009473A7">
            <w:t xml:space="preserve">s and their </w:t>
          </w:r>
          <w:r>
            <w:t>management……………</w:t>
          </w:r>
          <w:r w:rsidR="009473A7">
            <w:t>…...</w:t>
          </w:r>
          <w:r>
            <w:t>……………………………………………………………………………….……</w:t>
          </w:r>
          <w:proofErr w:type="gramStart"/>
          <w:r>
            <w:t>…..</w:t>
          </w:r>
          <w:proofErr w:type="gramEnd"/>
          <w:r>
            <w:t>31</w:t>
          </w:r>
        </w:p>
      </w:sdtContent>
    </w:sdt>
    <w:p w14:paraId="26843E5B" w14:textId="77777777" w:rsidR="005B7A27" w:rsidRDefault="005B7A27" w:rsidP="00594341">
      <w:pPr>
        <w:spacing w:before="120" w:after="120" w:line="240" w:lineRule="auto"/>
        <w:rPr>
          <w:color w:val="44546A" w:themeColor="text2"/>
          <w:sz w:val="28"/>
          <w:szCs w:val="28"/>
        </w:rPr>
      </w:pPr>
    </w:p>
    <w:p w14:paraId="5E6A052D" w14:textId="64D6FBBC" w:rsidR="00F41B95" w:rsidRPr="00E84878" w:rsidRDefault="00536F84" w:rsidP="00E84878">
      <w:pPr>
        <w:pStyle w:val="Heading2"/>
      </w:pPr>
      <w:r w:rsidRPr="00E84878">
        <w:t>A</w:t>
      </w:r>
      <w:r w:rsidR="00F47081" w:rsidRPr="00E84878">
        <w:t>nnexes</w:t>
      </w:r>
      <w:r w:rsidR="00563B00" w:rsidRPr="00E84878">
        <w:t xml:space="preserve"> </w:t>
      </w:r>
    </w:p>
    <w:p w14:paraId="4AD4A218" w14:textId="6EBEFCEA" w:rsidR="00F47081" w:rsidRPr="002340B2" w:rsidRDefault="00FA3F2E" w:rsidP="00B46545">
      <w:pPr>
        <w:pStyle w:val="ListParagraph"/>
        <w:numPr>
          <w:ilvl w:val="0"/>
          <w:numId w:val="1"/>
        </w:numPr>
        <w:tabs>
          <w:tab w:val="left" w:pos="8647"/>
        </w:tabs>
        <w:spacing w:before="120" w:after="120" w:line="240" w:lineRule="auto"/>
        <w:ind w:left="714" w:hanging="357"/>
        <w:contextualSpacing w:val="0"/>
      </w:pPr>
      <w:r w:rsidRPr="002340B2">
        <w:t>T</w:t>
      </w:r>
      <w:r w:rsidR="00F47081" w:rsidRPr="002340B2">
        <w:t xml:space="preserve">erms of reference </w:t>
      </w:r>
      <w:r w:rsidR="003B4164" w:rsidRPr="002340B2">
        <w:t>of</w:t>
      </w:r>
      <w:r w:rsidR="00F47081" w:rsidRPr="002340B2">
        <w:t xml:space="preserve"> </w:t>
      </w:r>
      <w:r w:rsidR="0051595A" w:rsidRPr="002340B2">
        <w:t xml:space="preserve">feasibility </w:t>
      </w:r>
      <w:r w:rsidR="00F47081" w:rsidRPr="002340B2">
        <w:t>study</w:t>
      </w:r>
      <w:r w:rsidR="00623DD5" w:rsidRPr="002340B2">
        <w:tab/>
        <w:t>3</w:t>
      </w:r>
      <w:r w:rsidR="001A0D4D">
        <w:t>2</w:t>
      </w:r>
    </w:p>
    <w:p w14:paraId="4CC0DDA9" w14:textId="604B733D" w:rsidR="001B7745" w:rsidRPr="002340B2" w:rsidRDefault="001B7745" w:rsidP="00E84878">
      <w:pPr>
        <w:pStyle w:val="ListParagraph"/>
        <w:numPr>
          <w:ilvl w:val="0"/>
          <w:numId w:val="1"/>
        </w:numPr>
        <w:tabs>
          <w:tab w:val="left" w:pos="8647"/>
        </w:tabs>
        <w:spacing w:before="120" w:after="120" w:line="240" w:lineRule="auto"/>
        <w:ind w:left="714" w:hanging="357"/>
        <w:contextualSpacing w:val="0"/>
      </w:pPr>
      <w:r w:rsidRPr="002340B2">
        <w:t>Risk-management matrix</w:t>
      </w:r>
      <w:r w:rsidR="00756A8F">
        <w:tab/>
        <w:t>34</w:t>
      </w:r>
    </w:p>
    <w:p w14:paraId="02E8529D" w14:textId="4A9DD59E" w:rsidR="00C23BDB" w:rsidRPr="002340B2" w:rsidRDefault="00C23BDB" w:rsidP="00E84878">
      <w:pPr>
        <w:pStyle w:val="ListParagraph"/>
        <w:numPr>
          <w:ilvl w:val="0"/>
          <w:numId w:val="1"/>
        </w:numPr>
        <w:tabs>
          <w:tab w:val="left" w:pos="8647"/>
        </w:tabs>
        <w:spacing w:before="120" w:after="120" w:line="240" w:lineRule="auto"/>
        <w:ind w:left="714" w:hanging="357"/>
        <w:contextualSpacing w:val="0"/>
      </w:pPr>
      <w:r w:rsidRPr="002340B2">
        <w:t>Country report</w:t>
      </w:r>
      <w:r w:rsidR="0071103E" w:rsidRPr="002340B2">
        <w:t>—</w:t>
      </w:r>
      <w:r w:rsidRPr="002340B2">
        <w:t>Indonesia</w:t>
      </w:r>
      <w:r w:rsidR="00623DD5" w:rsidRPr="002340B2">
        <w:tab/>
        <w:t>3</w:t>
      </w:r>
      <w:r w:rsidR="00756A8F">
        <w:t>7</w:t>
      </w:r>
    </w:p>
    <w:p w14:paraId="25B5F467" w14:textId="2C2BB878" w:rsidR="00C23BDB" w:rsidRPr="002340B2" w:rsidRDefault="00C23BDB" w:rsidP="00E84878">
      <w:pPr>
        <w:pStyle w:val="ListParagraph"/>
        <w:numPr>
          <w:ilvl w:val="0"/>
          <w:numId w:val="1"/>
        </w:numPr>
        <w:tabs>
          <w:tab w:val="left" w:pos="8647"/>
        </w:tabs>
        <w:spacing w:before="120" w:after="120" w:line="240" w:lineRule="auto"/>
        <w:ind w:left="714" w:hanging="357"/>
        <w:contextualSpacing w:val="0"/>
      </w:pPr>
      <w:r w:rsidRPr="002340B2">
        <w:t>Country report</w:t>
      </w:r>
      <w:r w:rsidR="0071103E" w:rsidRPr="002340B2">
        <w:t>—</w:t>
      </w:r>
      <w:r w:rsidRPr="002340B2">
        <w:t>Papua New Guinea</w:t>
      </w:r>
      <w:r w:rsidR="00AF2054" w:rsidRPr="002340B2">
        <w:tab/>
      </w:r>
      <w:r w:rsidR="00756A8F">
        <w:t>50</w:t>
      </w:r>
    </w:p>
    <w:p w14:paraId="506DE312" w14:textId="74B15727" w:rsidR="00C23BDB" w:rsidRPr="002340B2" w:rsidRDefault="00C23BDB" w:rsidP="00E84878">
      <w:pPr>
        <w:pStyle w:val="ListParagraph"/>
        <w:numPr>
          <w:ilvl w:val="0"/>
          <w:numId w:val="1"/>
        </w:numPr>
        <w:tabs>
          <w:tab w:val="left" w:pos="8647"/>
        </w:tabs>
        <w:spacing w:before="120" w:after="120" w:line="240" w:lineRule="auto"/>
        <w:ind w:left="714" w:hanging="357"/>
        <w:contextualSpacing w:val="0"/>
      </w:pPr>
      <w:r w:rsidRPr="002340B2">
        <w:t>Country report</w:t>
      </w:r>
      <w:r w:rsidR="0071103E" w:rsidRPr="002340B2">
        <w:t>—</w:t>
      </w:r>
      <w:r w:rsidRPr="002340B2">
        <w:t>Vanuatu</w:t>
      </w:r>
      <w:r w:rsidR="00623DD5" w:rsidRPr="002340B2">
        <w:tab/>
        <w:t>6</w:t>
      </w:r>
      <w:r w:rsidR="00756A8F">
        <w:t>8</w:t>
      </w:r>
    </w:p>
    <w:p w14:paraId="17243547" w14:textId="30FAA697" w:rsidR="003A74D6" w:rsidRPr="002340B2" w:rsidRDefault="0051595A" w:rsidP="00E84878">
      <w:pPr>
        <w:pStyle w:val="ListParagraph"/>
        <w:numPr>
          <w:ilvl w:val="0"/>
          <w:numId w:val="1"/>
        </w:numPr>
        <w:tabs>
          <w:tab w:val="left" w:pos="8647"/>
        </w:tabs>
        <w:spacing w:before="120" w:after="120" w:line="240" w:lineRule="auto"/>
        <w:ind w:left="714" w:hanging="357"/>
        <w:contextualSpacing w:val="0"/>
      </w:pPr>
      <w:r w:rsidRPr="002340B2">
        <w:t>C</w:t>
      </w:r>
      <w:r w:rsidR="003A74D6" w:rsidRPr="002340B2">
        <w:t xml:space="preserve">onsultations </w:t>
      </w:r>
      <w:r w:rsidRPr="002340B2">
        <w:t>with stakeholders</w:t>
      </w:r>
      <w:r w:rsidR="00623DD5" w:rsidRPr="002340B2">
        <w:tab/>
        <w:t>7</w:t>
      </w:r>
      <w:r w:rsidR="00756A8F">
        <w:t>8</w:t>
      </w:r>
    </w:p>
    <w:p w14:paraId="6DD6361D" w14:textId="1400232E" w:rsidR="00F47081" w:rsidRPr="002340B2" w:rsidRDefault="0051595A" w:rsidP="00E84878">
      <w:pPr>
        <w:pStyle w:val="ListParagraph"/>
        <w:numPr>
          <w:ilvl w:val="0"/>
          <w:numId w:val="1"/>
        </w:numPr>
        <w:tabs>
          <w:tab w:val="left" w:pos="8647"/>
        </w:tabs>
        <w:spacing w:before="120" w:after="120" w:line="240" w:lineRule="auto"/>
        <w:ind w:left="714" w:hanging="357"/>
        <w:contextualSpacing w:val="0"/>
      </w:pPr>
      <w:r w:rsidRPr="002340B2">
        <w:t>Bibliography</w:t>
      </w:r>
      <w:r w:rsidR="00623DD5" w:rsidRPr="002340B2">
        <w:tab/>
      </w:r>
      <w:r w:rsidR="00756A8F" w:rsidRPr="002340B2">
        <w:t>8</w:t>
      </w:r>
      <w:r w:rsidR="00756A8F">
        <w:t>5</w:t>
      </w:r>
    </w:p>
    <w:p w14:paraId="4B15EC3E" w14:textId="446159DC" w:rsidR="00B30702" w:rsidRPr="002340B2" w:rsidRDefault="00B30702" w:rsidP="00E84878">
      <w:pPr>
        <w:pStyle w:val="ListParagraph"/>
        <w:numPr>
          <w:ilvl w:val="0"/>
          <w:numId w:val="1"/>
        </w:numPr>
        <w:tabs>
          <w:tab w:val="left" w:pos="8647"/>
        </w:tabs>
        <w:spacing w:before="120" w:after="120" w:line="240" w:lineRule="auto"/>
        <w:ind w:left="714" w:hanging="357"/>
        <w:contextualSpacing w:val="0"/>
      </w:pPr>
      <w:r w:rsidRPr="002340B2">
        <w:t>Debt distress assessments</w:t>
      </w:r>
      <w:r w:rsidR="00623DD5" w:rsidRPr="002340B2">
        <w:tab/>
      </w:r>
      <w:r w:rsidR="00756A8F" w:rsidRPr="002340B2">
        <w:t>8</w:t>
      </w:r>
      <w:r w:rsidR="00756A8F">
        <w:t>8</w:t>
      </w:r>
    </w:p>
    <w:p w14:paraId="0FB1A6FF" w14:textId="3E9131A8" w:rsidR="009246BC" w:rsidRPr="002340B2" w:rsidRDefault="009246BC" w:rsidP="00E84878">
      <w:pPr>
        <w:pStyle w:val="ListParagraph"/>
        <w:numPr>
          <w:ilvl w:val="0"/>
          <w:numId w:val="1"/>
        </w:numPr>
        <w:tabs>
          <w:tab w:val="left" w:pos="8647"/>
        </w:tabs>
        <w:spacing w:before="120" w:after="120" w:line="240" w:lineRule="auto"/>
        <w:ind w:left="714" w:hanging="357"/>
        <w:contextualSpacing w:val="0"/>
      </w:pPr>
      <w:r w:rsidRPr="002340B2">
        <w:t>PIDG indicators</w:t>
      </w:r>
      <w:r w:rsidR="00726DDB" w:rsidRPr="002340B2">
        <w:t xml:space="preserve"> of development results</w:t>
      </w:r>
      <w:r w:rsidR="00623DD5" w:rsidRPr="002340B2">
        <w:tab/>
      </w:r>
      <w:r w:rsidR="00756A8F">
        <w:t>90</w:t>
      </w:r>
    </w:p>
    <w:p w14:paraId="18EC62ED" w14:textId="7EC0F027" w:rsidR="00565D85" w:rsidRPr="002340B2" w:rsidRDefault="00C3750D" w:rsidP="00E84878">
      <w:pPr>
        <w:pStyle w:val="ListParagraph"/>
        <w:numPr>
          <w:ilvl w:val="0"/>
          <w:numId w:val="1"/>
        </w:numPr>
        <w:tabs>
          <w:tab w:val="left" w:pos="8647"/>
        </w:tabs>
        <w:spacing w:before="120" w:after="120" w:line="240" w:lineRule="auto"/>
        <w:ind w:left="714" w:hanging="357"/>
        <w:contextualSpacing w:val="0"/>
      </w:pPr>
      <w:r w:rsidRPr="002340B2">
        <w:t>Table of DFI benchmarks in the region</w:t>
      </w:r>
      <w:r w:rsidR="00E84878">
        <w:tab/>
      </w:r>
      <w:r w:rsidR="00756A8F">
        <w:t>91</w:t>
      </w:r>
      <w:r w:rsidR="00756A8F" w:rsidRPr="002340B2" w:rsidDel="00C3750D">
        <w:t xml:space="preserve"> </w:t>
      </w:r>
    </w:p>
    <w:p w14:paraId="08F3EDCA" w14:textId="4259E593" w:rsidR="008C42F0" w:rsidRPr="002340B2" w:rsidRDefault="008C42F0" w:rsidP="00E84878">
      <w:pPr>
        <w:pStyle w:val="ListParagraph"/>
        <w:numPr>
          <w:ilvl w:val="0"/>
          <w:numId w:val="1"/>
        </w:numPr>
        <w:tabs>
          <w:tab w:val="left" w:pos="8647"/>
        </w:tabs>
        <w:spacing w:before="120" w:after="120" w:line="240" w:lineRule="auto"/>
        <w:ind w:left="714" w:hanging="357"/>
        <w:contextualSpacing w:val="0"/>
      </w:pPr>
      <w:r w:rsidRPr="002340B2">
        <w:t>Skills matrix for support unit</w:t>
      </w:r>
      <w:r w:rsidR="00623DD5" w:rsidRPr="002340B2">
        <w:tab/>
      </w:r>
      <w:r w:rsidR="00756A8F" w:rsidRPr="002340B2">
        <w:t>9</w:t>
      </w:r>
      <w:r w:rsidR="00756A8F">
        <w:t>8</w:t>
      </w:r>
    </w:p>
    <w:p w14:paraId="08798AD8" w14:textId="747D5553" w:rsidR="00456EF2" w:rsidRPr="002340B2" w:rsidRDefault="00842532" w:rsidP="00E84878">
      <w:pPr>
        <w:pStyle w:val="ListParagraph"/>
        <w:numPr>
          <w:ilvl w:val="0"/>
          <w:numId w:val="1"/>
        </w:numPr>
        <w:tabs>
          <w:tab w:val="left" w:pos="8647"/>
        </w:tabs>
        <w:spacing w:before="120" w:after="120" w:line="240" w:lineRule="auto"/>
        <w:ind w:left="714" w:hanging="357"/>
        <w:contextualSpacing w:val="0"/>
      </w:pPr>
      <w:r w:rsidRPr="002340B2">
        <w:t xml:space="preserve">Summary of advice from </w:t>
      </w:r>
      <w:r w:rsidR="0051595A" w:rsidRPr="002340B2">
        <w:t>Australian Government Solicitor</w:t>
      </w:r>
      <w:r w:rsidR="00456EF2" w:rsidRPr="002340B2">
        <w:t xml:space="preserve"> </w:t>
      </w:r>
      <w:r w:rsidR="00623DD5" w:rsidRPr="002340B2">
        <w:tab/>
      </w:r>
      <w:r w:rsidR="00756A8F" w:rsidRPr="002340B2">
        <w:t>9</w:t>
      </w:r>
      <w:r w:rsidR="00756A8F">
        <w:t>9</w:t>
      </w:r>
    </w:p>
    <w:p w14:paraId="04FC79BD" w14:textId="77777777" w:rsidR="005B7A27" w:rsidRDefault="005B7A27">
      <w:pPr>
        <w:rPr>
          <w:rFonts w:asciiTheme="majorHAnsi" w:eastAsiaTheme="majorEastAsia" w:hAnsiTheme="majorHAnsi" w:cstheme="majorBidi"/>
          <w:color w:val="2F5496" w:themeColor="accent1" w:themeShade="BF"/>
          <w:sz w:val="32"/>
          <w:szCs w:val="32"/>
        </w:rPr>
      </w:pPr>
      <w:bookmarkStart w:id="4" w:name="_Toc531965936"/>
      <w:r>
        <w:br w:type="page"/>
      </w:r>
    </w:p>
    <w:p w14:paraId="72037D61" w14:textId="75A2E372" w:rsidR="000D67BF" w:rsidRPr="00E84878" w:rsidRDefault="000D67BF" w:rsidP="00E84878">
      <w:pPr>
        <w:pStyle w:val="Heading2"/>
      </w:pPr>
      <w:r w:rsidRPr="00E84878">
        <w:lastRenderedPageBreak/>
        <w:t>Introduction</w:t>
      </w:r>
      <w:bookmarkEnd w:id="4"/>
    </w:p>
    <w:p w14:paraId="499318F7" w14:textId="001882A3" w:rsidR="00C20597" w:rsidRDefault="00C20597" w:rsidP="00C20597">
      <w:r>
        <w:t>In August 2018 the Department of Foreign Affairs and Trade (DFAT) commissioned this study to assess whether access to a broader range of development financing instruments, including more innovative use of grants as well as non</w:t>
      </w:r>
      <w:r w:rsidR="00F840CF">
        <w:t>-</w:t>
      </w:r>
      <w:r>
        <w:t>grant financing instruments, would increase the impact and influence of Australia’s aid program</w:t>
      </w:r>
      <w:r w:rsidR="00880432">
        <w:t xml:space="preserve"> </w:t>
      </w:r>
      <w:r w:rsidR="00880432" w:rsidRPr="004C3488">
        <w:t xml:space="preserve">(which until now has been </w:t>
      </w:r>
      <w:r w:rsidR="00F37F2E" w:rsidRPr="004C3488">
        <w:t xml:space="preserve">almost </w:t>
      </w:r>
      <w:r w:rsidR="00880432" w:rsidRPr="004C3488">
        <w:t>entirely in grant form)</w:t>
      </w:r>
      <w:r w:rsidRPr="004C3488">
        <w:t>.</w:t>
      </w:r>
      <w:r w:rsidR="00F27181" w:rsidRPr="004C3488">
        <w:rPr>
          <w:rStyle w:val="FootnoteReference"/>
        </w:rPr>
        <w:footnoteReference w:id="1"/>
      </w:r>
    </w:p>
    <w:p w14:paraId="7C83BEBB" w14:textId="0270ED66" w:rsidR="00C20597" w:rsidRDefault="00C20597" w:rsidP="00C04BA5">
      <w:r>
        <w:t>The team appointed for the study were</w:t>
      </w:r>
      <w:r w:rsidR="00662BA1">
        <w:t xml:space="preserve">: </w:t>
      </w:r>
      <w:r>
        <w:t>John Eyers, team leader</w:t>
      </w:r>
      <w:r w:rsidR="00662BA1">
        <w:t xml:space="preserve">; </w:t>
      </w:r>
      <w:r>
        <w:t xml:space="preserve">Veronica Chau, </w:t>
      </w:r>
      <w:proofErr w:type="spellStart"/>
      <w:r>
        <w:t>Guarav</w:t>
      </w:r>
      <w:proofErr w:type="spellEnd"/>
      <w:r>
        <w:t xml:space="preserve"> Gupta, </w:t>
      </w:r>
      <w:proofErr w:type="spellStart"/>
      <w:r>
        <w:t>Keeran</w:t>
      </w:r>
      <w:proofErr w:type="spellEnd"/>
      <w:r>
        <w:t xml:space="preserve"> Sivarajah, Kapil Kanungo, Shreya </w:t>
      </w:r>
      <w:proofErr w:type="gramStart"/>
      <w:r>
        <w:t>Menon</w:t>
      </w:r>
      <w:proofErr w:type="gramEnd"/>
      <w:r>
        <w:t xml:space="preserve"> and Max Goldberg</w:t>
      </w:r>
      <w:r w:rsidR="00F840CF">
        <w:t>,</w:t>
      </w:r>
      <w:r>
        <w:t xml:space="preserve"> of Dalberg Advisors</w:t>
      </w:r>
      <w:r w:rsidR="00662BA1">
        <w:t xml:space="preserve">; and </w:t>
      </w:r>
      <w:r>
        <w:t>Andrew Tyndale, Chair of Inspire Impact.</w:t>
      </w:r>
    </w:p>
    <w:p w14:paraId="418774B0" w14:textId="7CE82148" w:rsidR="00C20597" w:rsidRDefault="00C20597" w:rsidP="00494B26">
      <w:r>
        <w:t>The study team were supported throughout by a secretariat of DFAT officials</w:t>
      </w:r>
      <w:r w:rsidR="00494B26">
        <w:t xml:space="preserve">, comprising Vladimir Betov, </w:t>
      </w:r>
      <w:r>
        <w:t xml:space="preserve">Fabia </w:t>
      </w:r>
      <w:proofErr w:type="gramStart"/>
      <w:r>
        <w:t>Shah</w:t>
      </w:r>
      <w:proofErr w:type="gramEnd"/>
      <w:r w:rsidR="00494B26">
        <w:t xml:space="preserve"> and </w:t>
      </w:r>
      <w:r>
        <w:t>Andrew Shepherd.</w:t>
      </w:r>
    </w:p>
    <w:p w14:paraId="79511D89" w14:textId="77777777" w:rsidR="00662FCA" w:rsidRDefault="00662FCA" w:rsidP="00662FCA">
      <w:r>
        <w:t>This final report follows three interim reports submitted by the team:</w:t>
      </w:r>
    </w:p>
    <w:p w14:paraId="37E6F8B2" w14:textId="77777777" w:rsidR="00662FCA" w:rsidRDefault="00662FCA" w:rsidP="000F209C">
      <w:pPr>
        <w:pStyle w:val="ListParagraph"/>
        <w:numPr>
          <w:ilvl w:val="0"/>
          <w:numId w:val="80"/>
        </w:numPr>
      </w:pPr>
      <w:r>
        <w:t>a review of relevant literature, submitted in early September 2018</w:t>
      </w:r>
    </w:p>
    <w:p w14:paraId="32DF9C1B" w14:textId="77777777" w:rsidR="00662FCA" w:rsidRDefault="00662FCA" w:rsidP="000F209C">
      <w:pPr>
        <w:pStyle w:val="ListParagraph"/>
        <w:numPr>
          <w:ilvl w:val="0"/>
          <w:numId w:val="80"/>
        </w:numPr>
      </w:pPr>
      <w:r>
        <w:t xml:space="preserve">a preliminary report on regulatory, legislative, </w:t>
      </w:r>
      <w:proofErr w:type="gramStart"/>
      <w:r>
        <w:t>budgetary</w:t>
      </w:r>
      <w:proofErr w:type="gramEnd"/>
      <w:r>
        <w:t xml:space="preserve"> and ODA-eligibility issues, also submitted in early September 2018</w:t>
      </w:r>
    </w:p>
    <w:p w14:paraId="477490AC" w14:textId="77777777" w:rsidR="00662FCA" w:rsidRDefault="00662FCA" w:rsidP="000F209C">
      <w:pPr>
        <w:pStyle w:val="ListParagraph"/>
        <w:numPr>
          <w:ilvl w:val="0"/>
          <w:numId w:val="80"/>
        </w:numPr>
      </w:pPr>
      <w:r>
        <w:t>a revision of that preliminary report, submitted at the end of September 2018.</w:t>
      </w:r>
    </w:p>
    <w:p w14:paraId="6E9BEF9C" w14:textId="65B22253" w:rsidR="00662FCA" w:rsidRPr="0082510E" w:rsidRDefault="00662FCA" w:rsidP="00662FCA">
      <w:pPr>
        <w:spacing w:before="120" w:after="120" w:line="240" w:lineRule="auto"/>
      </w:pPr>
      <w:r w:rsidRPr="0082510E">
        <w:t xml:space="preserve">Two key decisions </w:t>
      </w:r>
      <w:proofErr w:type="gramStart"/>
      <w:r w:rsidRPr="0082510E">
        <w:t>in the area of</w:t>
      </w:r>
      <w:proofErr w:type="gramEnd"/>
      <w:r w:rsidRPr="0082510E">
        <w:t xml:space="preserve"> this study </w:t>
      </w:r>
      <w:r>
        <w:t>were</w:t>
      </w:r>
      <w:r w:rsidRPr="0082510E">
        <w:t xml:space="preserve"> </w:t>
      </w:r>
      <w:r>
        <w:t>announced</w:t>
      </w:r>
      <w:r w:rsidRPr="0082510E">
        <w:t xml:space="preserve"> in November 2018, in a ministerial decision on a New Policy Proposal for 2019-20:</w:t>
      </w:r>
    </w:p>
    <w:p w14:paraId="6F4415C0" w14:textId="4BBD67C0" w:rsidR="00662FCA" w:rsidRPr="0082510E" w:rsidRDefault="00662FCA" w:rsidP="000F209C">
      <w:pPr>
        <w:numPr>
          <w:ilvl w:val="0"/>
          <w:numId w:val="22"/>
        </w:numPr>
        <w:spacing w:before="120" w:after="120" w:line="240" w:lineRule="auto"/>
      </w:pPr>
      <w:r w:rsidRPr="0082510E">
        <w:t xml:space="preserve">to establish a financing facility for infrastructure in the Pacific, </w:t>
      </w:r>
      <w:r w:rsidR="001700A9">
        <w:t>from which $2 </w:t>
      </w:r>
      <w:r w:rsidRPr="0082510E">
        <w:t xml:space="preserve">billion </w:t>
      </w:r>
      <w:r w:rsidR="001700A9">
        <w:t xml:space="preserve">in loans, including concessional loans, would be </w:t>
      </w:r>
      <w:r w:rsidRPr="0082510E">
        <w:t>available; and</w:t>
      </w:r>
    </w:p>
    <w:p w14:paraId="22035E1D" w14:textId="65360D89" w:rsidR="00662FCA" w:rsidRPr="0082510E" w:rsidRDefault="00662FCA" w:rsidP="000F209C">
      <w:pPr>
        <w:numPr>
          <w:ilvl w:val="0"/>
          <w:numId w:val="22"/>
        </w:numPr>
        <w:spacing w:before="120" w:after="120" w:line="240" w:lineRule="auto"/>
      </w:pPr>
      <w:r w:rsidRPr="0082510E">
        <w:t xml:space="preserve">to provide </w:t>
      </w:r>
      <w:r w:rsidR="00AD5F9D" w:rsidRPr="00AD5F9D">
        <w:t xml:space="preserve">the Export Finance and insurance Corporation </w:t>
      </w:r>
      <w:r w:rsidR="00AD5F9D">
        <w:t>(</w:t>
      </w:r>
      <w:proofErr w:type="spellStart"/>
      <w:r w:rsidRPr="0082510E">
        <w:t>Efic</w:t>
      </w:r>
      <w:proofErr w:type="spellEnd"/>
      <w:r w:rsidR="00AD5F9D">
        <w:t>)</w:t>
      </w:r>
      <w:r w:rsidRPr="0082510E">
        <w:t xml:space="preserve"> with </w:t>
      </w:r>
      <w:r w:rsidR="00AD5F9D">
        <w:t>$</w:t>
      </w:r>
      <w:r w:rsidRPr="0082510E">
        <w:t xml:space="preserve">1 billion of additional callable capital and a mandate to finance infrastructure </w:t>
      </w:r>
      <w:r w:rsidR="00CD1411" w:rsidRPr="00CD1411">
        <w:t xml:space="preserve">investments </w:t>
      </w:r>
      <w:r w:rsidR="00CD1411" w:rsidRPr="004C3488">
        <w:t>that have a broad national benefit for Australia</w:t>
      </w:r>
      <w:r w:rsidRPr="0082510E">
        <w:t>.</w:t>
      </w:r>
    </w:p>
    <w:p w14:paraId="763E3FA5" w14:textId="3D6E42C9" w:rsidR="00662FCA" w:rsidRPr="0082510E" w:rsidRDefault="00662FCA" w:rsidP="00662FCA">
      <w:pPr>
        <w:spacing w:before="120" w:after="120" w:line="240" w:lineRule="auto"/>
      </w:pPr>
      <w:r>
        <w:t>After the announcement of these decisions, the study team were asked by DFAT to continue and report according to the original terms of reference.</w:t>
      </w:r>
      <w:r w:rsidRPr="00662FCA">
        <w:t xml:space="preserve"> </w:t>
      </w:r>
      <w:r>
        <w:t>This final report is arranged in the same sequence as those terms of reference, which are in Annex 1.</w:t>
      </w:r>
      <w:r w:rsidR="001B7745">
        <w:t xml:space="preserve"> In response to comments on a draft of this report, DFAT asked for an additional section on risks associated with </w:t>
      </w:r>
      <w:r w:rsidR="00040DE7">
        <w:t>new forms of financing</w:t>
      </w:r>
      <w:r w:rsidR="001B7745">
        <w:t xml:space="preserve"> and their management</w:t>
      </w:r>
      <w:r w:rsidR="00264337">
        <w:t>: this</w:t>
      </w:r>
      <w:r w:rsidR="001B7745">
        <w:t xml:space="preserve"> has been included</w:t>
      </w:r>
      <w:r w:rsidR="00264337">
        <w:t>,</w:t>
      </w:r>
      <w:r w:rsidR="001B7745">
        <w:t xml:space="preserve"> together with a risk-management matrix in Annex 2.</w:t>
      </w:r>
    </w:p>
    <w:p w14:paraId="384EEFE7" w14:textId="415019A7" w:rsidR="00C20597" w:rsidRDefault="00C20597" w:rsidP="00C20597">
      <w:r>
        <w:t xml:space="preserve">The study team have consulted a wide range of stakeholders in Australia’s development assistance program - within DFAT, in other Australian Government departments and agencies, in a wide range of businesses and investors, in multilateral banks and specialist institutions, and in government agencies and others in the three places the study team visited – Port Moresby, Port Vila and Jakarta. These consultations are listed in Annex </w:t>
      </w:r>
      <w:r w:rsidR="000F3CC5">
        <w:t>6</w:t>
      </w:r>
      <w:r>
        <w:t>. They include cabled or emailed replies from DFAT officials at posts which the study team were unable to visit.</w:t>
      </w:r>
    </w:p>
    <w:p w14:paraId="47564F8D" w14:textId="77777777" w:rsidR="00C20597" w:rsidRDefault="00C20597" w:rsidP="00C20597">
      <w:r>
        <w:t>The study team wish to record heartfelt appreciation of the generosity and helpfulness of all those whom they consulted, and of the members of the DFAT secretariat.</w:t>
      </w:r>
    </w:p>
    <w:p w14:paraId="5536BDDF" w14:textId="08015F0C" w:rsidR="00C20597" w:rsidRDefault="00C20597" w:rsidP="00C20597">
      <w:r>
        <w:t>This report is accompanied by advice about questions of constitutional and legislative authority which DFAT commissioned from the Australian Government Solicitor</w:t>
      </w:r>
      <w:r w:rsidR="001130DE">
        <w:t xml:space="preserve"> (AGS)</w:t>
      </w:r>
      <w:r>
        <w:t>, and which DFAT has circulated separately.</w:t>
      </w:r>
    </w:p>
    <w:p w14:paraId="5D8B1006" w14:textId="39E5F127" w:rsidR="009E6A51" w:rsidRPr="003824A0" w:rsidRDefault="009E6A51" w:rsidP="00E84878">
      <w:pPr>
        <w:pStyle w:val="Heading2"/>
      </w:pPr>
      <w:bookmarkStart w:id="5" w:name="_Toc531965937"/>
      <w:r>
        <w:lastRenderedPageBreak/>
        <w:t>Abbreviation</w:t>
      </w:r>
      <w:r w:rsidR="001261FD">
        <w:t>s</w:t>
      </w:r>
      <w:bookmarkEnd w:id="5"/>
      <w:r>
        <w:t xml:space="preserve"> </w:t>
      </w:r>
    </w:p>
    <w:tbl>
      <w:tblPr>
        <w:tblW w:w="9072" w:type="dxa"/>
        <w:tblInd w:w="-5" w:type="dxa"/>
        <w:tblLook w:val="04A0" w:firstRow="1" w:lastRow="0" w:firstColumn="1" w:lastColumn="0" w:noHBand="0" w:noVBand="1"/>
      </w:tblPr>
      <w:tblGrid>
        <w:gridCol w:w="3261"/>
        <w:gridCol w:w="5811"/>
      </w:tblGrid>
      <w:tr w:rsidR="00527451" w:rsidRPr="00527451" w14:paraId="087BC55C" w14:textId="77777777" w:rsidTr="00E200B1">
        <w:trPr>
          <w:trHeight w:val="284"/>
        </w:trPr>
        <w:tc>
          <w:tcPr>
            <w:tcW w:w="3261" w:type="dxa"/>
            <w:tcBorders>
              <w:top w:val="single" w:sz="4" w:space="0" w:color="87194B"/>
              <w:left w:val="single" w:sz="4" w:space="0" w:color="87194B"/>
              <w:bottom w:val="single" w:sz="4" w:space="0" w:color="87194B"/>
              <w:right w:val="single" w:sz="4" w:space="0" w:color="87194B"/>
            </w:tcBorders>
            <w:shd w:val="clear" w:color="000000" w:fill="87194B"/>
            <w:noWrap/>
            <w:vAlign w:val="bottom"/>
            <w:hideMark/>
          </w:tcPr>
          <w:p w14:paraId="5A3588AC" w14:textId="77777777" w:rsidR="00527451" w:rsidRPr="00527451" w:rsidRDefault="00527451" w:rsidP="00527451">
            <w:pPr>
              <w:spacing w:after="0" w:line="240" w:lineRule="auto"/>
              <w:jc w:val="center"/>
              <w:rPr>
                <w:rFonts w:ascii="Calibri" w:eastAsia="Times New Roman" w:hAnsi="Calibri" w:cs="Calibri"/>
                <w:color w:val="FFFFFF"/>
                <w:lang w:val="en-IN" w:eastAsia="en-IN"/>
              </w:rPr>
            </w:pPr>
            <w:r w:rsidRPr="00527451">
              <w:rPr>
                <w:rFonts w:ascii="Calibri" w:eastAsia="Times New Roman" w:hAnsi="Calibri" w:cs="Calibri"/>
                <w:color w:val="FFFFFF"/>
                <w:lang w:val="en-IN" w:eastAsia="en-IN"/>
              </w:rPr>
              <w:t>Abbreviation</w:t>
            </w:r>
          </w:p>
        </w:tc>
        <w:tc>
          <w:tcPr>
            <w:tcW w:w="5811" w:type="dxa"/>
            <w:tcBorders>
              <w:top w:val="single" w:sz="4" w:space="0" w:color="87194B"/>
              <w:left w:val="nil"/>
              <w:bottom w:val="single" w:sz="4" w:space="0" w:color="87194B"/>
              <w:right w:val="single" w:sz="4" w:space="0" w:color="87194B"/>
            </w:tcBorders>
            <w:shd w:val="clear" w:color="000000" w:fill="87194B"/>
            <w:noWrap/>
            <w:vAlign w:val="bottom"/>
            <w:hideMark/>
          </w:tcPr>
          <w:p w14:paraId="52C91D74" w14:textId="77777777" w:rsidR="00527451" w:rsidRPr="00527451" w:rsidRDefault="00527451" w:rsidP="00527451">
            <w:pPr>
              <w:spacing w:after="0" w:line="240" w:lineRule="auto"/>
              <w:jc w:val="center"/>
              <w:rPr>
                <w:rFonts w:ascii="Calibri" w:eastAsia="Times New Roman" w:hAnsi="Calibri" w:cs="Calibri"/>
                <w:color w:val="FFFFFF"/>
                <w:lang w:val="en-IN" w:eastAsia="en-IN"/>
              </w:rPr>
            </w:pPr>
            <w:r w:rsidRPr="00527451">
              <w:rPr>
                <w:rFonts w:ascii="Calibri" w:eastAsia="Times New Roman" w:hAnsi="Calibri" w:cs="Calibri"/>
                <w:color w:val="FFFFFF"/>
                <w:lang w:val="en-IN" w:eastAsia="en-IN"/>
              </w:rPr>
              <w:t>Expansion</w:t>
            </w:r>
          </w:p>
        </w:tc>
      </w:tr>
      <w:tr w:rsidR="00527451" w:rsidRPr="00527451" w14:paraId="61DABD84" w14:textId="77777777" w:rsidTr="00E200B1">
        <w:trPr>
          <w:trHeight w:val="284"/>
        </w:trPr>
        <w:tc>
          <w:tcPr>
            <w:tcW w:w="3261" w:type="dxa"/>
            <w:tcBorders>
              <w:top w:val="nil"/>
              <w:left w:val="single" w:sz="4" w:space="0" w:color="87194B"/>
              <w:bottom w:val="single" w:sz="4" w:space="0" w:color="87194B"/>
              <w:right w:val="single" w:sz="4" w:space="0" w:color="87194B"/>
            </w:tcBorders>
            <w:shd w:val="clear" w:color="auto" w:fill="auto"/>
            <w:noWrap/>
            <w:vAlign w:val="bottom"/>
            <w:hideMark/>
          </w:tcPr>
          <w:p w14:paraId="0F4F0236" w14:textId="77777777" w:rsidR="00527451" w:rsidRPr="00527451" w:rsidRDefault="00527451" w:rsidP="00527451">
            <w:pPr>
              <w:spacing w:after="0" w:line="240" w:lineRule="auto"/>
              <w:jc w:val="center"/>
              <w:rPr>
                <w:rFonts w:ascii="Calibri" w:eastAsia="Times New Roman" w:hAnsi="Calibri" w:cs="Calibri"/>
                <w:color w:val="000000"/>
                <w:lang w:val="en-IN" w:eastAsia="en-IN"/>
              </w:rPr>
            </w:pPr>
            <w:r w:rsidRPr="00527451">
              <w:rPr>
                <w:rFonts w:ascii="Calibri" w:eastAsia="Times New Roman" w:hAnsi="Calibri" w:cs="Calibri"/>
                <w:color w:val="000000"/>
                <w:lang w:val="en-IN" w:eastAsia="en-IN"/>
              </w:rPr>
              <w:t>ADB</w:t>
            </w:r>
          </w:p>
        </w:tc>
        <w:tc>
          <w:tcPr>
            <w:tcW w:w="5811" w:type="dxa"/>
            <w:tcBorders>
              <w:top w:val="nil"/>
              <w:left w:val="nil"/>
              <w:bottom w:val="single" w:sz="4" w:space="0" w:color="87194B"/>
              <w:right w:val="single" w:sz="4" w:space="0" w:color="87194B"/>
            </w:tcBorders>
            <w:shd w:val="clear" w:color="auto" w:fill="auto"/>
            <w:noWrap/>
            <w:vAlign w:val="bottom"/>
            <w:hideMark/>
          </w:tcPr>
          <w:p w14:paraId="65149666" w14:textId="77777777" w:rsidR="00527451" w:rsidRPr="00527451" w:rsidRDefault="00527451" w:rsidP="00527451">
            <w:pPr>
              <w:spacing w:after="0" w:line="240" w:lineRule="auto"/>
              <w:jc w:val="center"/>
              <w:rPr>
                <w:rFonts w:ascii="Calibri" w:eastAsia="Times New Roman" w:hAnsi="Calibri" w:cs="Calibri"/>
                <w:color w:val="000000"/>
                <w:lang w:val="en-IN" w:eastAsia="en-IN"/>
              </w:rPr>
            </w:pPr>
            <w:r w:rsidRPr="00527451">
              <w:rPr>
                <w:rFonts w:ascii="Calibri" w:eastAsia="Times New Roman" w:hAnsi="Calibri" w:cs="Calibri"/>
                <w:color w:val="000000"/>
                <w:lang w:val="en-IN" w:eastAsia="en-IN"/>
              </w:rPr>
              <w:t>Asian Development Bank</w:t>
            </w:r>
          </w:p>
        </w:tc>
      </w:tr>
      <w:tr w:rsidR="00527451" w:rsidRPr="00527451" w14:paraId="51C3F587" w14:textId="77777777" w:rsidTr="00E200B1">
        <w:trPr>
          <w:trHeight w:val="284"/>
        </w:trPr>
        <w:tc>
          <w:tcPr>
            <w:tcW w:w="3261" w:type="dxa"/>
            <w:tcBorders>
              <w:top w:val="nil"/>
              <w:left w:val="single" w:sz="4" w:space="0" w:color="87194B"/>
              <w:bottom w:val="single" w:sz="4" w:space="0" w:color="87194B"/>
              <w:right w:val="single" w:sz="4" w:space="0" w:color="87194B"/>
            </w:tcBorders>
            <w:shd w:val="clear" w:color="auto" w:fill="auto"/>
            <w:noWrap/>
            <w:vAlign w:val="bottom"/>
          </w:tcPr>
          <w:p w14:paraId="1FA55177" w14:textId="7E239A90" w:rsidR="00527451" w:rsidRPr="00527451" w:rsidRDefault="00EA444D" w:rsidP="00527451">
            <w:pPr>
              <w:spacing w:after="0" w:line="240" w:lineRule="auto"/>
              <w:jc w:val="center"/>
              <w:rPr>
                <w:rFonts w:ascii="Calibri" w:eastAsia="Times New Roman" w:hAnsi="Calibri" w:cs="Calibri"/>
                <w:color w:val="000000"/>
                <w:lang w:val="en-IN" w:eastAsia="en-IN"/>
              </w:rPr>
            </w:pPr>
            <w:r>
              <w:rPr>
                <w:rFonts w:ascii="Calibri" w:eastAsia="Times New Roman" w:hAnsi="Calibri" w:cs="Calibri"/>
                <w:color w:val="000000"/>
                <w:lang w:val="en-IN" w:eastAsia="en-IN"/>
              </w:rPr>
              <w:t>AGS</w:t>
            </w:r>
          </w:p>
        </w:tc>
        <w:tc>
          <w:tcPr>
            <w:tcW w:w="5811" w:type="dxa"/>
            <w:tcBorders>
              <w:top w:val="nil"/>
              <w:left w:val="nil"/>
              <w:bottom w:val="single" w:sz="4" w:space="0" w:color="87194B"/>
              <w:right w:val="single" w:sz="4" w:space="0" w:color="87194B"/>
            </w:tcBorders>
            <w:shd w:val="clear" w:color="auto" w:fill="auto"/>
            <w:noWrap/>
            <w:vAlign w:val="bottom"/>
          </w:tcPr>
          <w:p w14:paraId="2432F3E9" w14:textId="65D2F3CA" w:rsidR="00527451" w:rsidRPr="00527451" w:rsidRDefault="00EA444D" w:rsidP="00527451">
            <w:pPr>
              <w:spacing w:after="0" w:line="240" w:lineRule="auto"/>
              <w:jc w:val="center"/>
              <w:rPr>
                <w:rFonts w:ascii="Calibri" w:eastAsia="Times New Roman" w:hAnsi="Calibri" w:cs="Calibri"/>
                <w:color w:val="000000"/>
                <w:lang w:val="en-IN" w:eastAsia="en-IN"/>
              </w:rPr>
            </w:pPr>
            <w:r>
              <w:rPr>
                <w:rFonts w:ascii="Calibri" w:eastAsia="Times New Roman" w:hAnsi="Calibri" w:cs="Calibri"/>
                <w:color w:val="000000"/>
                <w:lang w:val="en-IN" w:eastAsia="en-IN"/>
              </w:rPr>
              <w:t>Australian Government Solicitor</w:t>
            </w:r>
          </w:p>
        </w:tc>
      </w:tr>
      <w:tr w:rsidR="007E4B18" w:rsidRPr="00527451" w14:paraId="0C8AA57F" w14:textId="77777777" w:rsidTr="00E200B1">
        <w:trPr>
          <w:trHeight w:val="284"/>
        </w:trPr>
        <w:tc>
          <w:tcPr>
            <w:tcW w:w="3261" w:type="dxa"/>
            <w:tcBorders>
              <w:top w:val="nil"/>
              <w:left w:val="single" w:sz="4" w:space="0" w:color="87194B"/>
              <w:bottom w:val="single" w:sz="4" w:space="0" w:color="87194B"/>
              <w:right w:val="single" w:sz="4" w:space="0" w:color="87194B"/>
            </w:tcBorders>
            <w:shd w:val="clear" w:color="auto" w:fill="auto"/>
            <w:noWrap/>
            <w:vAlign w:val="bottom"/>
          </w:tcPr>
          <w:p w14:paraId="63160CA3" w14:textId="559DFB71" w:rsidR="007E4B18" w:rsidRPr="00527451" w:rsidRDefault="007E4B18" w:rsidP="00527451">
            <w:pPr>
              <w:spacing w:after="0" w:line="240" w:lineRule="auto"/>
              <w:jc w:val="center"/>
              <w:rPr>
                <w:rFonts w:ascii="Calibri" w:eastAsia="Times New Roman" w:hAnsi="Calibri" w:cs="Calibri"/>
                <w:color w:val="000000"/>
                <w:lang w:val="en-IN" w:eastAsia="en-IN"/>
              </w:rPr>
            </w:pPr>
            <w:r>
              <w:rPr>
                <w:rFonts w:ascii="Calibri" w:eastAsia="Times New Roman" w:hAnsi="Calibri" w:cs="Calibri"/>
                <w:color w:val="000000"/>
                <w:lang w:val="en-IN" w:eastAsia="en-IN"/>
              </w:rPr>
              <w:t>AIIB</w:t>
            </w:r>
          </w:p>
        </w:tc>
        <w:tc>
          <w:tcPr>
            <w:tcW w:w="5811" w:type="dxa"/>
            <w:tcBorders>
              <w:top w:val="nil"/>
              <w:left w:val="nil"/>
              <w:bottom w:val="single" w:sz="4" w:space="0" w:color="87194B"/>
              <w:right w:val="single" w:sz="4" w:space="0" w:color="87194B"/>
            </w:tcBorders>
            <w:shd w:val="clear" w:color="auto" w:fill="auto"/>
            <w:noWrap/>
            <w:vAlign w:val="bottom"/>
          </w:tcPr>
          <w:p w14:paraId="5FEFC5F8" w14:textId="65517F13" w:rsidR="007E4B18" w:rsidRPr="00527451" w:rsidRDefault="007E4B18" w:rsidP="00527451">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Asian Infrastructure Investment Bank</w:t>
            </w:r>
          </w:p>
        </w:tc>
      </w:tr>
      <w:tr w:rsidR="00E24841" w:rsidRPr="00527451" w14:paraId="4DAE1D3A" w14:textId="77777777" w:rsidTr="00E200B1">
        <w:trPr>
          <w:trHeight w:val="284"/>
        </w:trPr>
        <w:tc>
          <w:tcPr>
            <w:tcW w:w="3261" w:type="dxa"/>
            <w:tcBorders>
              <w:top w:val="nil"/>
              <w:left w:val="single" w:sz="4" w:space="0" w:color="87194B"/>
              <w:bottom w:val="single" w:sz="4" w:space="0" w:color="87194B"/>
              <w:right w:val="single" w:sz="4" w:space="0" w:color="87194B"/>
            </w:tcBorders>
            <w:shd w:val="clear" w:color="auto" w:fill="auto"/>
            <w:noWrap/>
            <w:vAlign w:val="bottom"/>
          </w:tcPr>
          <w:p w14:paraId="78A8587B" w14:textId="7A4B272D" w:rsidR="00E24841" w:rsidRDefault="00E24841" w:rsidP="00527451">
            <w:pPr>
              <w:spacing w:after="0" w:line="240" w:lineRule="auto"/>
              <w:jc w:val="center"/>
              <w:rPr>
                <w:rFonts w:ascii="Calibri" w:eastAsia="Times New Roman" w:hAnsi="Calibri" w:cs="Calibri"/>
                <w:color w:val="000000"/>
                <w:lang w:val="en-IN" w:eastAsia="en-IN"/>
              </w:rPr>
            </w:pPr>
            <w:r>
              <w:rPr>
                <w:rFonts w:ascii="Calibri" w:eastAsia="Times New Roman" w:hAnsi="Calibri" w:cs="Calibri"/>
                <w:color w:val="000000"/>
                <w:lang w:val="en-IN" w:eastAsia="en-IN"/>
              </w:rPr>
              <w:t>ASEAN</w:t>
            </w:r>
          </w:p>
        </w:tc>
        <w:tc>
          <w:tcPr>
            <w:tcW w:w="5811" w:type="dxa"/>
            <w:tcBorders>
              <w:top w:val="nil"/>
              <w:left w:val="nil"/>
              <w:bottom w:val="single" w:sz="4" w:space="0" w:color="87194B"/>
              <w:right w:val="single" w:sz="4" w:space="0" w:color="87194B"/>
            </w:tcBorders>
            <w:shd w:val="clear" w:color="auto" w:fill="auto"/>
            <w:noWrap/>
            <w:vAlign w:val="bottom"/>
          </w:tcPr>
          <w:p w14:paraId="6D576AEE" w14:textId="506C4C08" w:rsidR="00E24841" w:rsidRDefault="00E24841" w:rsidP="00527451">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Association of South</w:t>
            </w:r>
            <w:r w:rsidR="007C22AF">
              <w:rPr>
                <w:rFonts w:ascii="Calibri" w:eastAsia="Times New Roman" w:hAnsi="Calibri" w:cs="Calibri"/>
                <w:color w:val="000000"/>
                <w:lang w:eastAsia="en-IN"/>
              </w:rPr>
              <w:t>e</w:t>
            </w:r>
            <w:r>
              <w:rPr>
                <w:rFonts w:ascii="Calibri" w:eastAsia="Times New Roman" w:hAnsi="Calibri" w:cs="Calibri"/>
                <w:color w:val="000000"/>
                <w:lang w:eastAsia="en-IN"/>
              </w:rPr>
              <w:t>ast Asian Nations</w:t>
            </w:r>
          </w:p>
        </w:tc>
      </w:tr>
      <w:tr w:rsidR="00EA444D" w:rsidRPr="00527451" w14:paraId="37A8E735" w14:textId="77777777" w:rsidTr="00E200B1">
        <w:trPr>
          <w:trHeight w:val="284"/>
        </w:trPr>
        <w:tc>
          <w:tcPr>
            <w:tcW w:w="3261" w:type="dxa"/>
            <w:tcBorders>
              <w:top w:val="nil"/>
              <w:left w:val="single" w:sz="4" w:space="0" w:color="87194B"/>
              <w:bottom w:val="single" w:sz="4" w:space="0" w:color="87194B"/>
              <w:right w:val="single" w:sz="4" w:space="0" w:color="87194B"/>
            </w:tcBorders>
            <w:shd w:val="clear" w:color="auto" w:fill="auto"/>
            <w:noWrap/>
            <w:vAlign w:val="bottom"/>
          </w:tcPr>
          <w:p w14:paraId="79721BE4" w14:textId="042A0FB4" w:rsidR="00EA444D" w:rsidRDefault="00EA444D" w:rsidP="00527451">
            <w:pPr>
              <w:spacing w:after="0" w:line="240" w:lineRule="auto"/>
              <w:jc w:val="center"/>
              <w:rPr>
                <w:rFonts w:ascii="Calibri" w:eastAsia="Times New Roman" w:hAnsi="Calibri" w:cs="Calibri"/>
                <w:color w:val="000000"/>
                <w:lang w:val="en-IN" w:eastAsia="en-IN"/>
              </w:rPr>
            </w:pPr>
            <w:r>
              <w:rPr>
                <w:rFonts w:ascii="Calibri" w:eastAsia="Times New Roman" w:hAnsi="Calibri" w:cs="Calibri"/>
                <w:color w:val="000000"/>
                <w:lang w:val="en-IN" w:eastAsia="en-IN"/>
              </w:rPr>
              <w:t>CRA</w:t>
            </w:r>
          </w:p>
        </w:tc>
        <w:tc>
          <w:tcPr>
            <w:tcW w:w="5811" w:type="dxa"/>
            <w:tcBorders>
              <w:top w:val="nil"/>
              <w:left w:val="nil"/>
              <w:bottom w:val="single" w:sz="4" w:space="0" w:color="87194B"/>
              <w:right w:val="single" w:sz="4" w:space="0" w:color="87194B"/>
            </w:tcBorders>
            <w:shd w:val="clear" w:color="auto" w:fill="auto"/>
            <w:noWrap/>
            <w:vAlign w:val="bottom"/>
          </w:tcPr>
          <w:p w14:paraId="29A4F071" w14:textId="6525E6DC" w:rsidR="00EA444D" w:rsidRDefault="00EA444D" w:rsidP="00527451">
            <w:pPr>
              <w:spacing w:after="0" w:line="240" w:lineRule="auto"/>
              <w:jc w:val="center"/>
              <w:rPr>
                <w:rFonts w:ascii="Calibri" w:eastAsia="Times New Roman" w:hAnsi="Calibri" w:cs="Calibri"/>
                <w:color w:val="000000"/>
                <w:lang w:eastAsia="en-IN"/>
              </w:rPr>
            </w:pPr>
            <w:r w:rsidRPr="00EA444D">
              <w:rPr>
                <w:rFonts w:ascii="Calibri" w:eastAsia="Times New Roman" w:hAnsi="Calibri" w:cs="Calibri"/>
                <w:color w:val="000000"/>
                <w:lang w:eastAsia="en-IN"/>
              </w:rPr>
              <w:t>Consolidated Revenue Account</w:t>
            </w:r>
          </w:p>
        </w:tc>
      </w:tr>
      <w:tr w:rsidR="00527451" w:rsidRPr="00527451" w14:paraId="18D6899D" w14:textId="77777777" w:rsidTr="00E200B1">
        <w:trPr>
          <w:trHeight w:val="284"/>
        </w:trPr>
        <w:tc>
          <w:tcPr>
            <w:tcW w:w="3261" w:type="dxa"/>
            <w:tcBorders>
              <w:top w:val="nil"/>
              <w:left w:val="single" w:sz="4" w:space="0" w:color="87194B"/>
              <w:bottom w:val="single" w:sz="4" w:space="0" w:color="87194B"/>
              <w:right w:val="single" w:sz="4" w:space="0" w:color="87194B"/>
            </w:tcBorders>
            <w:shd w:val="clear" w:color="auto" w:fill="auto"/>
            <w:noWrap/>
            <w:vAlign w:val="bottom"/>
            <w:hideMark/>
          </w:tcPr>
          <w:p w14:paraId="65AF2B9C" w14:textId="77777777" w:rsidR="00527451" w:rsidRPr="00527451" w:rsidRDefault="00527451" w:rsidP="00527451">
            <w:pPr>
              <w:spacing w:after="0" w:line="240" w:lineRule="auto"/>
              <w:jc w:val="center"/>
              <w:rPr>
                <w:rFonts w:ascii="Calibri" w:eastAsia="Times New Roman" w:hAnsi="Calibri" w:cs="Calibri"/>
                <w:color w:val="000000"/>
                <w:lang w:val="en-IN" w:eastAsia="en-IN"/>
              </w:rPr>
            </w:pPr>
            <w:r w:rsidRPr="00527451">
              <w:rPr>
                <w:rFonts w:ascii="Calibri" w:eastAsia="Times New Roman" w:hAnsi="Calibri" w:cs="Calibri"/>
                <w:color w:val="000000"/>
                <w:lang w:val="en-IN" w:eastAsia="en-IN"/>
              </w:rPr>
              <w:t>CTF</w:t>
            </w:r>
          </w:p>
        </w:tc>
        <w:tc>
          <w:tcPr>
            <w:tcW w:w="5811" w:type="dxa"/>
            <w:tcBorders>
              <w:top w:val="nil"/>
              <w:left w:val="nil"/>
              <w:bottom w:val="single" w:sz="4" w:space="0" w:color="87194B"/>
              <w:right w:val="single" w:sz="4" w:space="0" w:color="87194B"/>
            </w:tcBorders>
            <w:shd w:val="clear" w:color="auto" w:fill="auto"/>
            <w:noWrap/>
            <w:vAlign w:val="bottom"/>
            <w:hideMark/>
          </w:tcPr>
          <w:p w14:paraId="0C28EB46" w14:textId="77777777" w:rsidR="00527451" w:rsidRPr="00527451" w:rsidRDefault="00527451" w:rsidP="00527451">
            <w:pPr>
              <w:spacing w:after="0" w:line="240" w:lineRule="auto"/>
              <w:jc w:val="center"/>
              <w:rPr>
                <w:rFonts w:ascii="Calibri" w:eastAsia="Times New Roman" w:hAnsi="Calibri" w:cs="Calibri"/>
                <w:color w:val="000000"/>
                <w:lang w:val="en-IN" w:eastAsia="en-IN"/>
              </w:rPr>
            </w:pPr>
            <w:r w:rsidRPr="00527451">
              <w:rPr>
                <w:rFonts w:ascii="Calibri" w:eastAsia="Times New Roman" w:hAnsi="Calibri" w:cs="Calibri"/>
                <w:color w:val="000000"/>
                <w:lang w:val="en-IN" w:eastAsia="en-IN"/>
              </w:rPr>
              <w:t>Clean Technology Fund</w:t>
            </w:r>
          </w:p>
        </w:tc>
      </w:tr>
      <w:tr w:rsidR="00527451" w:rsidRPr="00527451" w14:paraId="1FFF4306" w14:textId="77777777" w:rsidTr="00E200B1">
        <w:trPr>
          <w:trHeight w:val="284"/>
        </w:trPr>
        <w:tc>
          <w:tcPr>
            <w:tcW w:w="3261" w:type="dxa"/>
            <w:tcBorders>
              <w:top w:val="nil"/>
              <w:left w:val="single" w:sz="4" w:space="0" w:color="87194B"/>
              <w:bottom w:val="single" w:sz="4" w:space="0" w:color="87194B"/>
              <w:right w:val="single" w:sz="4" w:space="0" w:color="87194B"/>
            </w:tcBorders>
            <w:shd w:val="clear" w:color="auto" w:fill="auto"/>
            <w:noWrap/>
            <w:vAlign w:val="bottom"/>
            <w:hideMark/>
          </w:tcPr>
          <w:p w14:paraId="3FA2580E" w14:textId="77777777" w:rsidR="00527451" w:rsidRPr="00527451" w:rsidRDefault="00527451" w:rsidP="00527451">
            <w:pPr>
              <w:spacing w:after="0" w:line="240" w:lineRule="auto"/>
              <w:jc w:val="center"/>
              <w:rPr>
                <w:rFonts w:ascii="Calibri" w:eastAsia="Times New Roman" w:hAnsi="Calibri" w:cs="Calibri"/>
                <w:color w:val="000000"/>
                <w:lang w:val="en-IN" w:eastAsia="en-IN"/>
              </w:rPr>
            </w:pPr>
            <w:r w:rsidRPr="00527451">
              <w:rPr>
                <w:rFonts w:ascii="Calibri" w:eastAsia="Times New Roman" w:hAnsi="Calibri" w:cs="Calibri"/>
                <w:color w:val="000000"/>
                <w:lang w:val="en-IN" w:eastAsia="en-IN"/>
              </w:rPr>
              <w:t xml:space="preserve">DFAT </w:t>
            </w:r>
          </w:p>
        </w:tc>
        <w:tc>
          <w:tcPr>
            <w:tcW w:w="5811" w:type="dxa"/>
            <w:tcBorders>
              <w:top w:val="nil"/>
              <w:left w:val="nil"/>
              <w:bottom w:val="single" w:sz="4" w:space="0" w:color="87194B"/>
              <w:right w:val="single" w:sz="4" w:space="0" w:color="87194B"/>
            </w:tcBorders>
            <w:shd w:val="clear" w:color="auto" w:fill="auto"/>
            <w:noWrap/>
            <w:vAlign w:val="bottom"/>
            <w:hideMark/>
          </w:tcPr>
          <w:p w14:paraId="5218E468" w14:textId="77777777" w:rsidR="00527451" w:rsidRPr="00527451" w:rsidRDefault="00527451" w:rsidP="00527451">
            <w:pPr>
              <w:spacing w:after="0" w:line="240" w:lineRule="auto"/>
              <w:jc w:val="center"/>
              <w:rPr>
                <w:rFonts w:ascii="Calibri" w:eastAsia="Times New Roman" w:hAnsi="Calibri" w:cs="Calibri"/>
                <w:color w:val="000000"/>
                <w:lang w:val="en-IN" w:eastAsia="en-IN"/>
              </w:rPr>
            </w:pPr>
            <w:r w:rsidRPr="00527451">
              <w:rPr>
                <w:rFonts w:ascii="Calibri" w:eastAsia="Times New Roman" w:hAnsi="Calibri" w:cs="Calibri"/>
                <w:color w:val="000000"/>
                <w:lang w:val="en-IN" w:eastAsia="en-IN"/>
              </w:rPr>
              <w:t>Australia's Department of Foreign Affairs and Trade</w:t>
            </w:r>
          </w:p>
        </w:tc>
      </w:tr>
      <w:tr w:rsidR="00527451" w:rsidRPr="00527451" w14:paraId="78A84415" w14:textId="77777777" w:rsidTr="00E200B1">
        <w:trPr>
          <w:trHeight w:val="284"/>
        </w:trPr>
        <w:tc>
          <w:tcPr>
            <w:tcW w:w="3261" w:type="dxa"/>
            <w:tcBorders>
              <w:top w:val="nil"/>
              <w:left w:val="single" w:sz="4" w:space="0" w:color="87194B"/>
              <w:bottom w:val="single" w:sz="4" w:space="0" w:color="87194B"/>
              <w:right w:val="single" w:sz="4" w:space="0" w:color="87194B"/>
            </w:tcBorders>
            <w:shd w:val="clear" w:color="auto" w:fill="auto"/>
            <w:noWrap/>
            <w:vAlign w:val="bottom"/>
            <w:hideMark/>
          </w:tcPr>
          <w:p w14:paraId="1EBAFD78" w14:textId="77777777" w:rsidR="00527451" w:rsidRPr="00527451" w:rsidRDefault="00527451" w:rsidP="00527451">
            <w:pPr>
              <w:spacing w:after="0" w:line="240" w:lineRule="auto"/>
              <w:jc w:val="center"/>
              <w:rPr>
                <w:rFonts w:ascii="Calibri" w:eastAsia="Times New Roman" w:hAnsi="Calibri" w:cs="Calibri"/>
                <w:color w:val="000000"/>
                <w:lang w:val="en-IN" w:eastAsia="en-IN"/>
              </w:rPr>
            </w:pPr>
            <w:r w:rsidRPr="00527451">
              <w:rPr>
                <w:rFonts w:ascii="Calibri" w:eastAsia="Times New Roman" w:hAnsi="Calibri" w:cs="Calibri"/>
                <w:color w:val="000000"/>
                <w:lang w:val="en-IN" w:eastAsia="en-IN"/>
              </w:rPr>
              <w:t>DFI</w:t>
            </w:r>
          </w:p>
        </w:tc>
        <w:tc>
          <w:tcPr>
            <w:tcW w:w="5811" w:type="dxa"/>
            <w:tcBorders>
              <w:top w:val="nil"/>
              <w:left w:val="nil"/>
              <w:bottom w:val="single" w:sz="4" w:space="0" w:color="87194B"/>
              <w:right w:val="single" w:sz="4" w:space="0" w:color="87194B"/>
            </w:tcBorders>
            <w:shd w:val="clear" w:color="auto" w:fill="auto"/>
            <w:noWrap/>
            <w:vAlign w:val="bottom"/>
            <w:hideMark/>
          </w:tcPr>
          <w:p w14:paraId="069AB898" w14:textId="77777777" w:rsidR="00527451" w:rsidRPr="00527451" w:rsidRDefault="00527451" w:rsidP="00527451">
            <w:pPr>
              <w:spacing w:after="0" w:line="240" w:lineRule="auto"/>
              <w:jc w:val="center"/>
              <w:rPr>
                <w:rFonts w:ascii="Calibri" w:eastAsia="Times New Roman" w:hAnsi="Calibri" w:cs="Calibri"/>
                <w:color w:val="000000"/>
                <w:lang w:val="en-IN" w:eastAsia="en-IN"/>
              </w:rPr>
            </w:pPr>
            <w:r w:rsidRPr="00527451">
              <w:rPr>
                <w:rFonts w:ascii="Calibri" w:eastAsia="Times New Roman" w:hAnsi="Calibri" w:cs="Calibri"/>
                <w:color w:val="000000"/>
                <w:lang w:val="en-IN" w:eastAsia="en-IN"/>
              </w:rPr>
              <w:t>Development Finance Institution</w:t>
            </w:r>
          </w:p>
        </w:tc>
      </w:tr>
      <w:tr w:rsidR="002E3A6D" w:rsidRPr="00527451" w14:paraId="7D6508CC" w14:textId="77777777" w:rsidTr="00E200B1">
        <w:trPr>
          <w:trHeight w:val="284"/>
        </w:trPr>
        <w:tc>
          <w:tcPr>
            <w:tcW w:w="3261" w:type="dxa"/>
            <w:tcBorders>
              <w:top w:val="nil"/>
              <w:left w:val="single" w:sz="4" w:space="0" w:color="87194B"/>
              <w:bottom w:val="single" w:sz="4" w:space="0" w:color="87194B"/>
              <w:right w:val="single" w:sz="4" w:space="0" w:color="87194B"/>
            </w:tcBorders>
            <w:shd w:val="clear" w:color="auto" w:fill="auto"/>
            <w:noWrap/>
            <w:vAlign w:val="bottom"/>
          </w:tcPr>
          <w:p w14:paraId="3B7F10D1" w14:textId="4DCD8892" w:rsidR="002E3A6D" w:rsidRPr="004C3488" w:rsidRDefault="002E3A6D" w:rsidP="00527451">
            <w:pPr>
              <w:spacing w:after="0" w:line="240" w:lineRule="auto"/>
              <w:jc w:val="center"/>
              <w:rPr>
                <w:rFonts w:ascii="Calibri" w:eastAsia="Times New Roman" w:hAnsi="Calibri" w:cs="Calibri"/>
                <w:color w:val="000000"/>
                <w:lang w:val="en-IN" w:eastAsia="en-IN"/>
              </w:rPr>
            </w:pPr>
            <w:proofErr w:type="spellStart"/>
            <w:r w:rsidRPr="004C3488">
              <w:rPr>
                <w:rFonts w:ascii="Calibri" w:eastAsia="Times New Roman" w:hAnsi="Calibri" w:cs="Calibri"/>
                <w:color w:val="000000"/>
                <w:lang w:val="en-IN" w:eastAsia="en-IN"/>
              </w:rPr>
              <w:t>Efic</w:t>
            </w:r>
            <w:proofErr w:type="spellEnd"/>
          </w:p>
        </w:tc>
        <w:tc>
          <w:tcPr>
            <w:tcW w:w="5811" w:type="dxa"/>
            <w:tcBorders>
              <w:top w:val="nil"/>
              <w:left w:val="nil"/>
              <w:bottom w:val="single" w:sz="4" w:space="0" w:color="87194B"/>
              <w:right w:val="single" w:sz="4" w:space="0" w:color="87194B"/>
            </w:tcBorders>
            <w:shd w:val="clear" w:color="auto" w:fill="auto"/>
            <w:noWrap/>
            <w:vAlign w:val="bottom"/>
          </w:tcPr>
          <w:p w14:paraId="14B4F699" w14:textId="75ECA341" w:rsidR="002E3A6D" w:rsidRPr="00527451" w:rsidRDefault="002E3A6D" w:rsidP="00527451">
            <w:pPr>
              <w:spacing w:after="0" w:line="240" w:lineRule="auto"/>
              <w:jc w:val="center"/>
              <w:rPr>
                <w:rFonts w:ascii="Calibri" w:eastAsia="Times New Roman" w:hAnsi="Calibri" w:cs="Calibri"/>
                <w:color w:val="000000"/>
                <w:lang w:val="en-IN" w:eastAsia="en-IN"/>
              </w:rPr>
            </w:pPr>
            <w:r w:rsidRPr="004C3488">
              <w:rPr>
                <w:rFonts w:ascii="Calibri" w:eastAsia="Times New Roman" w:hAnsi="Calibri" w:cs="Calibri"/>
                <w:color w:val="000000"/>
                <w:lang w:val="en-IN" w:eastAsia="en-IN"/>
              </w:rPr>
              <w:t>Export Finance and Insurance Corporation</w:t>
            </w:r>
          </w:p>
        </w:tc>
      </w:tr>
      <w:tr w:rsidR="00E24841" w:rsidRPr="00527451" w14:paraId="758AD761" w14:textId="77777777" w:rsidTr="00E200B1">
        <w:trPr>
          <w:trHeight w:val="284"/>
        </w:trPr>
        <w:tc>
          <w:tcPr>
            <w:tcW w:w="3261" w:type="dxa"/>
            <w:tcBorders>
              <w:top w:val="nil"/>
              <w:left w:val="single" w:sz="4" w:space="0" w:color="87194B"/>
              <w:bottom w:val="single" w:sz="4" w:space="0" w:color="87194B"/>
              <w:right w:val="single" w:sz="4" w:space="0" w:color="87194B"/>
            </w:tcBorders>
            <w:shd w:val="clear" w:color="auto" w:fill="auto"/>
            <w:noWrap/>
            <w:vAlign w:val="bottom"/>
          </w:tcPr>
          <w:p w14:paraId="06371399" w14:textId="58DDD72B" w:rsidR="00E24841" w:rsidRPr="004C3488" w:rsidRDefault="00E24841" w:rsidP="00527451">
            <w:pPr>
              <w:spacing w:after="0" w:line="240" w:lineRule="auto"/>
              <w:jc w:val="center"/>
              <w:rPr>
                <w:rFonts w:ascii="Calibri" w:eastAsia="Times New Roman" w:hAnsi="Calibri" w:cs="Calibri"/>
                <w:color w:val="000000"/>
                <w:lang w:val="en-IN" w:eastAsia="en-IN"/>
              </w:rPr>
            </w:pPr>
            <w:r>
              <w:rPr>
                <w:rFonts w:ascii="Calibri" w:eastAsia="Times New Roman" w:hAnsi="Calibri" w:cs="Calibri"/>
                <w:color w:val="000000"/>
                <w:lang w:val="en-IN" w:eastAsia="en-IN"/>
              </w:rPr>
              <w:t>EMIIF</w:t>
            </w:r>
          </w:p>
        </w:tc>
        <w:tc>
          <w:tcPr>
            <w:tcW w:w="5811" w:type="dxa"/>
            <w:tcBorders>
              <w:top w:val="nil"/>
              <w:left w:val="nil"/>
              <w:bottom w:val="single" w:sz="4" w:space="0" w:color="87194B"/>
              <w:right w:val="single" w:sz="4" w:space="0" w:color="87194B"/>
            </w:tcBorders>
            <w:shd w:val="clear" w:color="auto" w:fill="auto"/>
            <w:noWrap/>
            <w:vAlign w:val="bottom"/>
          </w:tcPr>
          <w:p w14:paraId="09F77687" w14:textId="55C6DDB5" w:rsidR="00E24841" w:rsidRPr="004C3488" w:rsidRDefault="00E24841" w:rsidP="00527451">
            <w:pPr>
              <w:spacing w:after="0" w:line="240" w:lineRule="auto"/>
              <w:jc w:val="center"/>
              <w:rPr>
                <w:rFonts w:ascii="Calibri" w:eastAsia="Times New Roman" w:hAnsi="Calibri" w:cs="Calibri"/>
                <w:color w:val="000000"/>
                <w:lang w:val="en-IN" w:eastAsia="en-IN"/>
              </w:rPr>
            </w:pPr>
            <w:r w:rsidRPr="00E24841">
              <w:rPr>
                <w:rFonts w:ascii="Calibri" w:eastAsia="Times New Roman" w:hAnsi="Calibri" w:cs="Calibri"/>
                <w:color w:val="000000"/>
                <w:lang w:val="en-IN" w:eastAsia="en-IN"/>
              </w:rPr>
              <w:t>Emerging Market</w:t>
            </w:r>
            <w:r w:rsidR="00417CC8">
              <w:rPr>
                <w:rFonts w:ascii="Calibri" w:eastAsia="Times New Roman" w:hAnsi="Calibri" w:cs="Calibri"/>
                <w:color w:val="000000"/>
                <w:lang w:val="en-IN" w:eastAsia="en-IN"/>
              </w:rPr>
              <w:t>s</w:t>
            </w:r>
            <w:r w:rsidRPr="00E24841">
              <w:rPr>
                <w:rFonts w:ascii="Calibri" w:eastAsia="Times New Roman" w:hAnsi="Calibri" w:cs="Calibri"/>
                <w:color w:val="000000"/>
                <w:lang w:val="en-IN" w:eastAsia="en-IN"/>
              </w:rPr>
              <w:t xml:space="preserve"> Impact Investment Fund</w:t>
            </w:r>
          </w:p>
        </w:tc>
      </w:tr>
      <w:tr w:rsidR="00527451" w:rsidRPr="00527451" w14:paraId="2777BBB3" w14:textId="77777777" w:rsidTr="00E200B1">
        <w:trPr>
          <w:trHeight w:val="284"/>
        </w:trPr>
        <w:tc>
          <w:tcPr>
            <w:tcW w:w="3261" w:type="dxa"/>
            <w:tcBorders>
              <w:top w:val="nil"/>
              <w:left w:val="single" w:sz="4" w:space="0" w:color="87194B"/>
              <w:bottom w:val="single" w:sz="4" w:space="0" w:color="87194B"/>
              <w:right w:val="single" w:sz="4" w:space="0" w:color="87194B"/>
            </w:tcBorders>
            <w:shd w:val="clear" w:color="auto" w:fill="auto"/>
            <w:noWrap/>
            <w:vAlign w:val="bottom"/>
            <w:hideMark/>
          </w:tcPr>
          <w:p w14:paraId="27B96EFC" w14:textId="77777777" w:rsidR="00527451" w:rsidRPr="00527451" w:rsidRDefault="00527451" w:rsidP="00527451">
            <w:pPr>
              <w:spacing w:after="0" w:line="240" w:lineRule="auto"/>
              <w:jc w:val="center"/>
              <w:rPr>
                <w:rFonts w:ascii="Calibri" w:eastAsia="Times New Roman" w:hAnsi="Calibri" w:cs="Calibri"/>
                <w:color w:val="000000"/>
                <w:lang w:val="en-IN" w:eastAsia="en-IN"/>
              </w:rPr>
            </w:pPr>
            <w:r w:rsidRPr="00527451">
              <w:rPr>
                <w:rFonts w:ascii="Calibri" w:eastAsia="Times New Roman" w:hAnsi="Calibri" w:cs="Calibri"/>
                <w:color w:val="000000"/>
                <w:lang w:val="en-IN" w:eastAsia="en-IN"/>
              </w:rPr>
              <w:t>GDP</w:t>
            </w:r>
          </w:p>
        </w:tc>
        <w:tc>
          <w:tcPr>
            <w:tcW w:w="5811" w:type="dxa"/>
            <w:tcBorders>
              <w:top w:val="nil"/>
              <w:left w:val="nil"/>
              <w:bottom w:val="single" w:sz="4" w:space="0" w:color="87194B"/>
              <w:right w:val="single" w:sz="4" w:space="0" w:color="87194B"/>
            </w:tcBorders>
            <w:shd w:val="clear" w:color="auto" w:fill="auto"/>
            <w:noWrap/>
            <w:vAlign w:val="bottom"/>
            <w:hideMark/>
          </w:tcPr>
          <w:p w14:paraId="0FE38BD2" w14:textId="77777777" w:rsidR="00527451" w:rsidRPr="00527451" w:rsidRDefault="00527451" w:rsidP="00527451">
            <w:pPr>
              <w:spacing w:after="0" w:line="240" w:lineRule="auto"/>
              <w:jc w:val="center"/>
              <w:rPr>
                <w:rFonts w:ascii="Calibri" w:eastAsia="Times New Roman" w:hAnsi="Calibri" w:cs="Calibri"/>
                <w:color w:val="000000"/>
                <w:lang w:val="en-IN" w:eastAsia="en-IN"/>
              </w:rPr>
            </w:pPr>
            <w:r w:rsidRPr="00527451">
              <w:rPr>
                <w:rFonts w:ascii="Calibri" w:eastAsia="Times New Roman" w:hAnsi="Calibri" w:cs="Calibri"/>
                <w:color w:val="000000"/>
                <w:lang w:val="en-IN" w:eastAsia="en-IN"/>
              </w:rPr>
              <w:t>Gross Domestic Product</w:t>
            </w:r>
          </w:p>
        </w:tc>
      </w:tr>
      <w:tr w:rsidR="00E24841" w:rsidRPr="00527451" w14:paraId="7E67B94D" w14:textId="77777777" w:rsidTr="00E200B1">
        <w:trPr>
          <w:trHeight w:val="284"/>
        </w:trPr>
        <w:tc>
          <w:tcPr>
            <w:tcW w:w="3261" w:type="dxa"/>
            <w:tcBorders>
              <w:top w:val="nil"/>
              <w:left w:val="single" w:sz="4" w:space="0" w:color="87194B"/>
              <w:bottom w:val="single" w:sz="4" w:space="0" w:color="87194B"/>
              <w:right w:val="single" w:sz="4" w:space="0" w:color="87194B"/>
            </w:tcBorders>
            <w:shd w:val="clear" w:color="auto" w:fill="auto"/>
            <w:noWrap/>
            <w:vAlign w:val="bottom"/>
          </w:tcPr>
          <w:p w14:paraId="423F3E09" w14:textId="696348C1" w:rsidR="00E24841" w:rsidRPr="00527451" w:rsidRDefault="00E24841" w:rsidP="00527451">
            <w:pPr>
              <w:spacing w:after="0" w:line="240" w:lineRule="auto"/>
              <w:jc w:val="center"/>
              <w:rPr>
                <w:rFonts w:ascii="Calibri" w:eastAsia="Times New Roman" w:hAnsi="Calibri" w:cs="Calibri"/>
                <w:color w:val="000000"/>
                <w:lang w:val="en-IN" w:eastAsia="en-IN"/>
              </w:rPr>
            </w:pPr>
            <w:proofErr w:type="spellStart"/>
            <w:r>
              <w:rPr>
                <w:rFonts w:ascii="Calibri" w:eastAsia="Times New Roman" w:hAnsi="Calibri" w:cs="Calibri"/>
                <w:color w:val="000000"/>
                <w:lang w:val="en-IN" w:eastAsia="en-IN"/>
              </w:rPr>
              <w:t>GoI</w:t>
            </w:r>
            <w:proofErr w:type="spellEnd"/>
          </w:p>
        </w:tc>
        <w:tc>
          <w:tcPr>
            <w:tcW w:w="5811" w:type="dxa"/>
            <w:tcBorders>
              <w:top w:val="nil"/>
              <w:left w:val="nil"/>
              <w:bottom w:val="single" w:sz="4" w:space="0" w:color="87194B"/>
              <w:right w:val="single" w:sz="4" w:space="0" w:color="87194B"/>
            </w:tcBorders>
            <w:shd w:val="clear" w:color="auto" w:fill="auto"/>
            <w:noWrap/>
            <w:vAlign w:val="bottom"/>
          </w:tcPr>
          <w:p w14:paraId="0F3BA64E" w14:textId="77303EFE" w:rsidR="00E24841" w:rsidRPr="00527451" w:rsidRDefault="00E24841" w:rsidP="00527451">
            <w:pPr>
              <w:spacing w:after="0" w:line="240" w:lineRule="auto"/>
              <w:jc w:val="center"/>
              <w:rPr>
                <w:rFonts w:ascii="Calibri" w:eastAsia="Times New Roman" w:hAnsi="Calibri" w:cs="Calibri"/>
                <w:color w:val="000000"/>
                <w:lang w:val="en-IN" w:eastAsia="en-IN"/>
              </w:rPr>
            </w:pPr>
            <w:r>
              <w:rPr>
                <w:rFonts w:ascii="Calibri" w:eastAsia="Times New Roman" w:hAnsi="Calibri" w:cs="Calibri"/>
                <w:color w:val="000000"/>
                <w:lang w:val="en-IN" w:eastAsia="en-IN"/>
              </w:rPr>
              <w:t>Government of Indonesia</w:t>
            </w:r>
          </w:p>
        </w:tc>
      </w:tr>
      <w:tr w:rsidR="00527451" w:rsidRPr="00527451" w14:paraId="516A783D" w14:textId="77777777" w:rsidTr="00E200B1">
        <w:trPr>
          <w:trHeight w:val="284"/>
        </w:trPr>
        <w:tc>
          <w:tcPr>
            <w:tcW w:w="3261" w:type="dxa"/>
            <w:tcBorders>
              <w:top w:val="nil"/>
              <w:left w:val="single" w:sz="4" w:space="0" w:color="87194B"/>
              <w:bottom w:val="single" w:sz="4" w:space="0" w:color="87194B"/>
              <w:right w:val="single" w:sz="4" w:space="0" w:color="87194B"/>
            </w:tcBorders>
            <w:shd w:val="clear" w:color="auto" w:fill="auto"/>
            <w:noWrap/>
            <w:vAlign w:val="bottom"/>
            <w:hideMark/>
          </w:tcPr>
          <w:p w14:paraId="7339B61B" w14:textId="77777777" w:rsidR="00527451" w:rsidRPr="00527451" w:rsidRDefault="00527451" w:rsidP="00527451">
            <w:pPr>
              <w:spacing w:after="0" w:line="240" w:lineRule="auto"/>
              <w:jc w:val="center"/>
              <w:rPr>
                <w:rFonts w:ascii="Calibri" w:eastAsia="Times New Roman" w:hAnsi="Calibri" w:cs="Calibri"/>
                <w:color w:val="000000"/>
                <w:lang w:val="en-IN" w:eastAsia="en-IN"/>
              </w:rPr>
            </w:pPr>
            <w:proofErr w:type="spellStart"/>
            <w:r w:rsidRPr="00527451">
              <w:rPr>
                <w:rFonts w:ascii="Calibri" w:eastAsia="Times New Roman" w:hAnsi="Calibri" w:cs="Calibri"/>
                <w:color w:val="000000"/>
                <w:lang w:val="en-IN" w:eastAsia="en-IN"/>
              </w:rPr>
              <w:t>GoPNG</w:t>
            </w:r>
            <w:proofErr w:type="spellEnd"/>
          </w:p>
        </w:tc>
        <w:tc>
          <w:tcPr>
            <w:tcW w:w="5811" w:type="dxa"/>
            <w:tcBorders>
              <w:top w:val="nil"/>
              <w:left w:val="nil"/>
              <w:bottom w:val="single" w:sz="4" w:space="0" w:color="87194B"/>
              <w:right w:val="single" w:sz="4" w:space="0" w:color="87194B"/>
            </w:tcBorders>
            <w:shd w:val="clear" w:color="auto" w:fill="auto"/>
            <w:noWrap/>
            <w:vAlign w:val="bottom"/>
            <w:hideMark/>
          </w:tcPr>
          <w:p w14:paraId="080C0D64" w14:textId="77777777" w:rsidR="00527451" w:rsidRPr="00527451" w:rsidRDefault="00527451" w:rsidP="00527451">
            <w:pPr>
              <w:spacing w:after="0" w:line="240" w:lineRule="auto"/>
              <w:jc w:val="center"/>
              <w:rPr>
                <w:rFonts w:ascii="Calibri" w:eastAsia="Times New Roman" w:hAnsi="Calibri" w:cs="Calibri"/>
                <w:color w:val="000000"/>
                <w:lang w:val="en-IN" w:eastAsia="en-IN"/>
              </w:rPr>
            </w:pPr>
            <w:r w:rsidRPr="00527451">
              <w:rPr>
                <w:rFonts w:ascii="Calibri" w:eastAsia="Times New Roman" w:hAnsi="Calibri" w:cs="Calibri"/>
                <w:color w:val="000000"/>
                <w:lang w:val="en-IN" w:eastAsia="en-IN"/>
              </w:rPr>
              <w:t>Government of Papua New Guinea</w:t>
            </w:r>
          </w:p>
        </w:tc>
      </w:tr>
      <w:tr w:rsidR="00527451" w:rsidRPr="00527451" w14:paraId="4054C178" w14:textId="77777777" w:rsidTr="00E200B1">
        <w:trPr>
          <w:trHeight w:val="284"/>
        </w:trPr>
        <w:tc>
          <w:tcPr>
            <w:tcW w:w="3261" w:type="dxa"/>
            <w:tcBorders>
              <w:top w:val="nil"/>
              <w:left w:val="single" w:sz="4" w:space="0" w:color="87194B"/>
              <w:bottom w:val="single" w:sz="4" w:space="0" w:color="87194B"/>
              <w:right w:val="single" w:sz="4" w:space="0" w:color="87194B"/>
            </w:tcBorders>
            <w:shd w:val="clear" w:color="auto" w:fill="auto"/>
            <w:noWrap/>
            <w:vAlign w:val="bottom"/>
            <w:hideMark/>
          </w:tcPr>
          <w:p w14:paraId="7C939DDD" w14:textId="77777777" w:rsidR="00527451" w:rsidRPr="00527451" w:rsidRDefault="00527451" w:rsidP="00527451">
            <w:pPr>
              <w:spacing w:after="0" w:line="240" w:lineRule="auto"/>
              <w:jc w:val="center"/>
              <w:rPr>
                <w:rFonts w:ascii="Calibri" w:eastAsia="Times New Roman" w:hAnsi="Calibri" w:cs="Calibri"/>
                <w:color w:val="000000"/>
                <w:lang w:val="en-IN" w:eastAsia="en-IN"/>
              </w:rPr>
            </w:pPr>
            <w:proofErr w:type="spellStart"/>
            <w:r w:rsidRPr="00527451">
              <w:rPr>
                <w:rFonts w:ascii="Calibri" w:eastAsia="Times New Roman" w:hAnsi="Calibri" w:cs="Calibri"/>
                <w:color w:val="000000"/>
                <w:lang w:val="en-IN" w:eastAsia="en-IN"/>
              </w:rPr>
              <w:t>GoV</w:t>
            </w:r>
            <w:proofErr w:type="spellEnd"/>
          </w:p>
        </w:tc>
        <w:tc>
          <w:tcPr>
            <w:tcW w:w="5811" w:type="dxa"/>
            <w:tcBorders>
              <w:top w:val="nil"/>
              <w:left w:val="nil"/>
              <w:bottom w:val="single" w:sz="4" w:space="0" w:color="87194B"/>
              <w:right w:val="single" w:sz="4" w:space="0" w:color="87194B"/>
            </w:tcBorders>
            <w:shd w:val="clear" w:color="auto" w:fill="auto"/>
            <w:noWrap/>
            <w:vAlign w:val="bottom"/>
            <w:hideMark/>
          </w:tcPr>
          <w:p w14:paraId="461C2218" w14:textId="77777777" w:rsidR="00527451" w:rsidRPr="00527451" w:rsidRDefault="00527451" w:rsidP="00527451">
            <w:pPr>
              <w:spacing w:after="0" w:line="240" w:lineRule="auto"/>
              <w:jc w:val="center"/>
              <w:rPr>
                <w:rFonts w:ascii="Calibri" w:eastAsia="Times New Roman" w:hAnsi="Calibri" w:cs="Calibri"/>
                <w:color w:val="000000"/>
                <w:lang w:val="en-IN" w:eastAsia="en-IN"/>
              </w:rPr>
            </w:pPr>
            <w:r w:rsidRPr="00527451">
              <w:rPr>
                <w:rFonts w:ascii="Calibri" w:eastAsia="Times New Roman" w:hAnsi="Calibri" w:cs="Calibri"/>
                <w:color w:val="000000"/>
                <w:lang w:val="en-IN" w:eastAsia="en-IN"/>
              </w:rPr>
              <w:t xml:space="preserve">Government of Vanuatu </w:t>
            </w:r>
          </w:p>
        </w:tc>
      </w:tr>
      <w:tr w:rsidR="00527451" w:rsidRPr="00527451" w14:paraId="3D639462" w14:textId="77777777" w:rsidTr="00E200B1">
        <w:trPr>
          <w:trHeight w:val="284"/>
        </w:trPr>
        <w:tc>
          <w:tcPr>
            <w:tcW w:w="3261" w:type="dxa"/>
            <w:tcBorders>
              <w:top w:val="nil"/>
              <w:left w:val="single" w:sz="4" w:space="0" w:color="87194B"/>
              <w:bottom w:val="single" w:sz="4" w:space="0" w:color="87194B"/>
              <w:right w:val="single" w:sz="4" w:space="0" w:color="87194B"/>
            </w:tcBorders>
            <w:shd w:val="clear" w:color="auto" w:fill="auto"/>
            <w:noWrap/>
            <w:vAlign w:val="bottom"/>
            <w:hideMark/>
          </w:tcPr>
          <w:p w14:paraId="0E8EEEC4" w14:textId="77777777" w:rsidR="00527451" w:rsidRPr="00527451" w:rsidRDefault="00527451" w:rsidP="00527451">
            <w:pPr>
              <w:spacing w:after="0" w:line="240" w:lineRule="auto"/>
              <w:jc w:val="center"/>
              <w:rPr>
                <w:rFonts w:ascii="Calibri" w:eastAsia="Times New Roman" w:hAnsi="Calibri" w:cs="Calibri"/>
                <w:color w:val="000000"/>
                <w:lang w:val="en-IN" w:eastAsia="en-IN"/>
              </w:rPr>
            </w:pPr>
            <w:r w:rsidRPr="00527451">
              <w:rPr>
                <w:rFonts w:ascii="Calibri" w:eastAsia="Times New Roman" w:hAnsi="Calibri" w:cs="Calibri"/>
                <w:color w:val="000000"/>
                <w:lang w:val="en-IN" w:eastAsia="en-IN"/>
              </w:rPr>
              <w:t>ICT</w:t>
            </w:r>
          </w:p>
        </w:tc>
        <w:tc>
          <w:tcPr>
            <w:tcW w:w="5811" w:type="dxa"/>
            <w:tcBorders>
              <w:top w:val="nil"/>
              <w:left w:val="nil"/>
              <w:bottom w:val="single" w:sz="4" w:space="0" w:color="87194B"/>
              <w:right w:val="single" w:sz="4" w:space="0" w:color="87194B"/>
            </w:tcBorders>
            <w:shd w:val="clear" w:color="auto" w:fill="auto"/>
            <w:noWrap/>
            <w:vAlign w:val="bottom"/>
            <w:hideMark/>
          </w:tcPr>
          <w:p w14:paraId="1C6A8456" w14:textId="77777777" w:rsidR="00527451" w:rsidRPr="00527451" w:rsidRDefault="00527451" w:rsidP="00527451">
            <w:pPr>
              <w:spacing w:after="0" w:line="240" w:lineRule="auto"/>
              <w:jc w:val="center"/>
              <w:rPr>
                <w:rFonts w:ascii="Calibri" w:eastAsia="Times New Roman" w:hAnsi="Calibri" w:cs="Calibri"/>
                <w:color w:val="000000"/>
                <w:lang w:val="en-IN" w:eastAsia="en-IN"/>
              </w:rPr>
            </w:pPr>
            <w:r w:rsidRPr="00527451">
              <w:rPr>
                <w:rFonts w:ascii="Calibri" w:eastAsia="Times New Roman" w:hAnsi="Calibri" w:cs="Calibri"/>
                <w:color w:val="000000"/>
                <w:lang w:val="en-IN" w:eastAsia="en-IN"/>
              </w:rPr>
              <w:t>Information and Communications Technology</w:t>
            </w:r>
          </w:p>
        </w:tc>
      </w:tr>
      <w:tr w:rsidR="00527451" w:rsidRPr="00527451" w14:paraId="6C9B1B59" w14:textId="77777777" w:rsidTr="00E200B1">
        <w:trPr>
          <w:trHeight w:val="284"/>
        </w:trPr>
        <w:tc>
          <w:tcPr>
            <w:tcW w:w="3261" w:type="dxa"/>
            <w:tcBorders>
              <w:top w:val="nil"/>
              <w:left w:val="single" w:sz="4" w:space="0" w:color="87194B"/>
              <w:bottom w:val="single" w:sz="4" w:space="0" w:color="87194B"/>
              <w:right w:val="single" w:sz="4" w:space="0" w:color="87194B"/>
            </w:tcBorders>
            <w:shd w:val="clear" w:color="auto" w:fill="auto"/>
            <w:noWrap/>
            <w:vAlign w:val="bottom"/>
            <w:hideMark/>
          </w:tcPr>
          <w:p w14:paraId="304055D5" w14:textId="5D98E7F5" w:rsidR="00527451" w:rsidRPr="00527451" w:rsidRDefault="00527451" w:rsidP="00527451">
            <w:pPr>
              <w:spacing w:after="0" w:line="240" w:lineRule="auto"/>
              <w:jc w:val="center"/>
              <w:rPr>
                <w:rFonts w:ascii="Calibri" w:eastAsia="Times New Roman" w:hAnsi="Calibri" w:cs="Calibri"/>
                <w:color w:val="000000"/>
                <w:lang w:val="en-IN" w:eastAsia="en-IN"/>
              </w:rPr>
            </w:pPr>
            <w:r w:rsidRPr="00527451">
              <w:rPr>
                <w:rFonts w:ascii="Calibri" w:eastAsia="Times New Roman" w:hAnsi="Calibri" w:cs="Calibri"/>
                <w:color w:val="000000"/>
                <w:lang w:val="en-IN" w:eastAsia="en-IN"/>
              </w:rPr>
              <w:t>ID</w:t>
            </w:r>
            <w:r w:rsidR="000049CB">
              <w:rPr>
                <w:rFonts w:ascii="Calibri" w:eastAsia="Times New Roman" w:hAnsi="Calibri" w:cs="Calibri"/>
                <w:color w:val="000000"/>
                <w:lang w:val="en-IN" w:eastAsia="en-IN"/>
              </w:rPr>
              <w:t>C</w:t>
            </w:r>
          </w:p>
        </w:tc>
        <w:tc>
          <w:tcPr>
            <w:tcW w:w="5811" w:type="dxa"/>
            <w:tcBorders>
              <w:top w:val="nil"/>
              <w:left w:val="nil"/>
              <w:bottom w:val="single" w:sz="4" w:space="0" w:color="87194B"/>
              <w:right w:val="single" w:sz="4" w:space="0" w:color="87194B"/>
            </w:tcBorders>
            <w:shd w:val="clear" w:color="auto" w:fill="auto"/>
            <w:noWrap/>
            <w:vAlign w:val="bottom"/>
            <w:hideMark/>
          </w:tcPr>
          <w:p w14:paraId="2F29AB3D" w14:textId="2B142885" w:rsidR="00527451" w:rsidRPr="00527451" w:rsidRDefault="00527451" w:rsidP="00527451">
            <w:pPr>
              <w:spacing w:after="0" w:line="240" w:lineRule="auto"/>
              <w:jc w:val="center"/>
              <w:rPr>
                <w:rFonts w:ascii="Calibri" w:eastAsia="Times New Roman" w:hAnsi="Calibri" w:cs="Calibri"/>
                <w:color w:val="000000"/>
                <w:lang w:val="en-IN" w:eastAsia="en-IN"/>
              </w:rPr>
            </w:pPr>
            <w:r w:rsidRPr="00527451">
              <w:rPr>
                <w:rFonts w:ascii="Calibri" w:eastAsia="Times New Roman" w:hAnsi="Calibri" w:cs="Calibri"/>
                <w:color w:val="000000"/>
                <w:lang w:val="en-IN" w:eastAsia="en-IN"/>
              </w:rPr>
              <w:t>Inter-De</w:t>
            </w:r>
            <w:r w:rsidR="000049CB">
              <w:rPr>
                <w:rFonts w:ascii="Calibri" w:eastAsia="Times New Roman" w:hAnsi="Calibri" w:cs="Calibri"/>
                <w:color w:val="000000"/>
                <w:lang w:val="en-IN" w:eastAsia="en-IN"/>
              </w:rPr>
              <w:t>par</w:t>
            </w:r>
            <w:r w:rsidRPr="00527451">
              <w:rPr>
                <w:rFonts w:ascii="Calibri" w:eastAsia="Times New Roman" w:hAnsi="Calibri" w:cs="Calibri"/>
                <w:color w:val="000000"/>
                <w:lang w:val="en-IN" w:eastAsia="en-IN"/>
              </w:rPr>
              <w:t>t</w:t>
            </w:r>
            <w:r w:rsidR="000049CB">
              <w:rPr>
                <w:rFonts w:ascii="Calibri" w:eastAsia="Times New Roman" w:hAnsi="Calibri" w:cs="Calibri"/>
                <w:color w:val="000000"/>
                <w:lang w:val="en-IN" w:eastAsia="en-IN"/>
              </w:rPr>
              <w:t>mental</w:t>
            </w:r>
            <w:r w:rsidRPr="00527451">
              <w:rPr>
                <w:rFonts w:ascii="Calibri" w:eastAsia="Times New Roman" w:hAnsi="Calibri" w:cs="Calibri"/>
                <w:color w:val="000000"/>
                <w:lang w:val="en-IN" w:eastAsia="en-IN"/>
              </w:rPr>
              <w:t xml:space="preserve"> </w:t>
            </w:r>
            <w:r w:rsidR="000049CB">
              <w:rPr>
                <w:rFonts w:ascii="Calibri" w:eastAsia="Times New Roman" w:hAnsi="Calibri" w:cs="Calibri"/>
                <w:color w:val="000000"/>
                <w:lang w:val="en-IN" w:eastAsia="en-IN"/>
              </w:rPr>
              <w:t>Committee</w:t>
            </w:r>
          </w:p>
        </w:tc>
      </w:tr>
      <w:tr w:rsidR="00527451" w:rsidRPr="00527451" w14:paraId="424DE824" w14:textId="77777777" w:rsidTr="00E200B1">
        <w:trPr>
          <w:trHeight w:val="284"/>
        </w:trPr>
        <w:tc>
          <w:tcPr>
            <w:tcW w:w="3261" w:type="dxa"/>
            <w:tcBorders>
              <w:top w:val="nil"/>
              <w:left w:val="single" w:sz="4" w:space="0" w:color="87194B"/>
              <w:bottom w:val="single" w:sz="4" w:space="0" w:color="87194B"/>
              <w:right w:val="single" w:sz="4" w:space="0" w:color="87194B"/>
            </w:tcBorders>
            <w:shd w:val="clear" w:color="auto" w:fill="auto"/>
            <w:noWrap/>
            <w:vAlign w:val="bottom"/>
            <w:hideMark/>
          </w:tcPr>
          <w:p w14:paraId="15751D85" w14:textId="77777777" w:rsidR="00527451" w:rsidRPr="00527451" w:rsidRDefault="00527451" w:rsidP="00527451">
            <w:pPr>
              <w:spacing w:after="0" w:line="240" w:lineRule="auto"/>
              <w:jc w:val="center"/>
              <w:rPr>
                <w:rFonts w:ascii="Calibri" w:eastAsia="Times New Roman" w:hAnsi="Calibri" w:cs="Calibri"/>
                <w:color w:val="000000"/>
                <w:lang w:val="en-IN" w:eastAsia="en-IN"/>
              </w:rPr>
            </w:pPr>
            <w:r w:rsidRPr="00527451">
              <w:rPr>
                <w:rFonts w:ascii="Calibri" w:eastAsia="Times New Roman" w:hAnsi="Calibri" w:cs="Calibri"/>
                <w:color w:val="000000"/>
                <w:lang w:val="en-IN" w:eastAsia="en-IN"/>
              </w:rPr>
              <w:t>IFC</w:t>
            </w:r>
          </w:p>
        </w:tc>
        <w:tc>
          <w:tcPr>
            <w:tcW w:w="5811" w:type="dxa"/>
            <w:tcBorders>
              <w:top w:val="nil"/>
              <w:left w:val="nil"/>
              <w:bottom w:val="single" w:sz="4" w:space="0" w:color="87194B"/>
              <w:right w:val="single" w:sz="4" w:space="0" w:color="87194B"/>
            </w:tcBorders>
            <w:shd w:val="clear" w:color="auto" w:fill="auto"/>
            <w:noWrap/>
            <w:vAlign w:val="bottom"/>
            <w:hideMark/>
          </w:tcPr>
          <w:p w14:paraId="48FA3847" w14:textId="77777777" w:rsidR="00527451" w:rsidRPr="00527451" w:rsidRDefault="00527451" w:rsidP="00527451">
            <w:pPr>
              <w:spacing w:after="0" w:line="240" w:lineRule="auto"/>
              <w:jc w:val="center"/>
              <w:rPr>
                <w:rFonts w:ascii="Calibri" w:eastAsia="Times New Roman" w:hAnsi="Calibri" w:cs="Calibri"/>
                <w:color w:val="000000"/>
                <w:lang w:val="en-IN" w:eastAsia="en-IN"/>
              </w:rPr>
            </w:pPr>
            <w:r w:rsidRPr="00527451">
              <w:rPr>
                <w:rFonts w:ascii="Calibri" w:eastAsia="Times New Roman" w:hAnsi="Calibri" w:cs="Calibri"/>
                <w:color w:val="000000"/>
                <w:lang w:val="en-IN" w:eastAsia="en-IN"/>
              </w:rPr>
              <w:t>International Finance Corporation</w:t>
            </w:r>
          </w:p>
        </w:tc>
      </w:tr>
      <w:tr w:rsidR="00527451" w:rsidRPr="00527451" w14:paraId="4BC059D9" w14:textId="77777777" w:rsidTr="00E200B1">
        <w:trPr>
          <w:trHeight w:val="284"/>
        </w:trPr>
        <w:tc>
          <w:tcPr>
            <w:tcW w:w="3261" w:type="dxa"/>
            <w:tcBorders>
              <w:top w:val="nil"/>
              <w:left w:val="single" w:sz="4" w:space="0" w:color="87194B"/>
              <w:bottom w:val="single" w:sz="4" w:space="0" w:color="87194B"/>
              <w:right w:val="single" w:sz="4" w:space="0" w:color="87194B"/>
            </w:tcBorders>
            <w:shd w:val="clear" w:color="auto" w:fill="auto"/>
            <w:noWrap/>
            <w:vAlign w:val="bottom"/>
            <w:hideMark/>
          </w:tcPr>
          <w:p w14:paraId="41CF7995" w14:textId="77777777" w:rsidR="00527451" w:rsidRPr="00527451" w:rsidRDefault="00527451" w:rsidP="00527451">
            <w:pPr>
              <w:spacing w:after="0" w:line="240" w:lineRule="auto"/>
              <w:jc w:val="center"/>
              <w:rPr>
                <w:rFonts w:ascii="Calibri" w:eastAsia="Times New Roman" w:hAnsi="Calibri" w:cs="Calibri"/>
                <w:color w:val="000000"/>
                <w:lang w:val="en-IN" w:eastAsia="en-IN"/>
              </w:rPr>
            </w:pPr>
            <w:r w:rsidRPr="00527451">
              <w:rPr>
                <w:rFonts w:ascii="Calibri" w:eastAsia="Times New Roman" w:hAnsi="Calibri" w:cs="Calibri"/>
                <w:color w:val="000000"/>
                <w:lang w:val="en-IN" w:eastAsia="en-IN"/>
              </w:rPr>
              <w:t>IMF</w:t>
            </w:r>
          </w:p>
        </w:tc>
        <w:tc>
          <w:tcPr>
            <w:tcW w:w="5811" w:type="dxa"/>
            <w:tcBorders>
              <w:top w:val="nil"/>
              <w:left w:val="nil"/>
              <w:bottom w:val="single" w:sz="4" w:space="0" w:color="87194B"/>
              <w:right w:val="single" w:sz="4" w:space="0" w:color="87194B"/>
            </w:tcBorders>
            <w:shd w:val="clear" w:color="auto" w:fill="auto"/>
            <w:noWrap/>
            <w:vAlign w:val="bottom"/>
            <w:hideMark/>
          </w:tcPr>
          <w:p w14:paraId="4F780E10" w14:textId="77777777" w:rsidR="00527451" w:rsidRPr="00527451" w:rsidRDefault="00527451" w:rsidP="00527451">
            <w:pPr>
              <w:spacing w:after="0" w:line="240" w:lineRule="auto"/>
              <w:jc w:val="center"/>
              <w:rPr>
                <w:rFonts w:ascii="Calibri" w:eastAsia="Times New Roman" w:hAnsi="Calibri" w:cs="Calibri"/>
                <w:color w:val="000000"/>
                <w:lang w:val="en-IN" w:eastAsia="en-IN"/>
              </w:rPr>
            </w:pPr>
            <w:r w:rsidRPr="00527451">
              <w:rPr>
                <w:rFonts w:ascii="Calibri" w:eastAsia="Times New Roman" w:hAnsi="Calibri" w:cs="Calibri"/>
                <w:color w:val="000000"/>
                <w:lang w:val="en-IN" w:eastAsia="en-IN"/>
              </w:rPr>
              <w:t>International Monetary Fund</w:t>
            </w:r>
          </w:p>
        </w:tc>
      </w:tr>
      <w:tr w:rsidR="00FD314B" w:rsidRPr="00527451" w14:paraId="7D6FDA94" w14:textId="77777777" w:rsidTr="00E200B1">
        <w:trPr>
          <w:trHeight w:val="284"/>
        </w:trPr>
        <w:tc>
          <w:tcPr>
            <w:tcW w:w="3261" w:type="dxa"/>
            <w:tcBorders>
              <w:top w:val="nil"/>
              <w:left w:val="single" w:sz="4" w:space="0" w:color="87194B"/>
              <w:bottom w:val="single" w:sz="4" w:space="0" w:color="87194B"/>
              <w:right w:val="single" w:sz="4" w:space="0" w:color="87194B"/>
            </w:tcBorders>
            <w:shd w:val="clear" w:color="auto" w:fill="auto"/>
            <w:noWrap/>
            <w:vAlign w:val="bottom"/>
          </w:tcPr>
          <w:p w14:paraId="2116D84A" w14:textId="2AC60ACD" w:rsidR="00FD314B" w:rsidRPr="00527451" w:rsidRDefault="00FD314B" w:rsidP="00527451">
            <w:pPr>
              <w:spacing w:after="0" w:line="240" w:lineRule="auto"/>
              <w:jc w:val="center"/>
              <w:rPr>
                <w:rFonts w:ascii="Calibri" w:eastAsia="Times New Roman" w:hAnsi="Calibri" w:cs="Calibri"/>
                <w:color w:val="000000"/>
                <w:lang w:val="en-IN" w:eastAsia="en-IN"/>
              </w:rPr>
            </w:pPr>
            <w:r>
              <w:rPr>
                <w:rFonts w:ascii="Calibri" w:eastAsia="Times New Roman" w:hAnsi="Calibri" w:cs="Calibri"/>
                <w:color w:val="000000"/>
                <w:lang w:val="en-IN" w:eastAsia="en-IN"/>
              </w:rPr>
              <w:t>IPFA</w:t>
            </w:r>
          </w:p>
        </w:tc>
        <w:tc>
          <w:tcPr>
            <w:tcW w:w="5811" w:type="dxa"/>
            <w:tcBorders>
              <w:top w:val="nil"/>
              <w:left w:val="nil"/>
              <w:bottom w:val="single" w:sz="4" w:space="0" w:color="87194B"/>
              <w:right w:val="single" w:sz="4" w:space="0" w:color="87194B"/>
            </w:tcBorders>
            <w:shd w:val="clear" w:color="auto" w:fill="auto"/>
            <w:noWrap/>
            <w:vAlign w:val="bottom"/>
          </w:tcPr>
          <w:p w14:paraId="047451B9" w14:textId="439F091C" w:rsidR="00FD314B" w:rsidRPr="00527451" w:rsidRDefault="00FD314B" w:rsidP="00527451">
            <w:pPr>
              <w:spacing w:after="0" w:line="240" w:lineRule="auto"/>
              <w:jc w:val="center"/>
              <w:rPr>
                <w:rFonts w:ascii="Calibri" w:eastAsia="Times New Roman" w:hAnsi="Calibri" w:cs="Calibri"/>
                <w:color w:val="000000"/>
                <w:lang w:val="en-IN" w:eastAsia="en-IN"/>
              </w:rPr>
            </w:pPr>
            <w:r>
              <w:rPr>
                <w:rFonts w:ascii="Calibri" w:eastAsia="Times New Roman" w:hAnsi="Calibri" w:cs="Calibri"/>
                <w:color w:val="000000"/>
                <w:lang w:val="en-IN" w:eastAsia="en-IN"/>
              </w:rPr>
              <w:t>Infrastructure and Project Financing Agency</w:t>
            </w:r>
          </w:p>
        </w:tc>
      </w:tr>
      <w:tr w:rsidR="00527451" w:rsidRPr="00527451" w14:paraId="392FEB38" w14:textId="77777777" w:rsidTr="00E200B1">
        <w:trPr>
          <w:trHeight w:val="284"/>
        </w:trPr>
        <w:tc>
          <w:tcPr>
            <w:tcW w:w="3261" w:type="dxa"/>
            <w:tcBorders>
              <w:top w:val="nil"/>
              <w:left w:val="single" w:sz="4" w:space="0" w:color="87194B"/>
              <w:bottom w:val="single" w:sz="4" w:space="0" w:color="87194B"/>
              <w:right w:val="single" w:sz="4" w:space="0" w:color="87194B"/>
            </w:tcBorders>
            <w:shd w:val="clear" w:color="auto" w:fill="auto"/>
            <w:noWrap/>
            <w:vAlign w:val="bottom"/>
            <w:hideMark/>
          </w:tcPr>
          <w:p w14:paraId="2D43B219" w14:textId="77777777" w:rsidR="00527451" w:rsidRPr="00527451" w:rsidRDefault="00527451" w:rsidP="00527451">
            <w:pPr>
              <w:spacing w:after="0" w:line="240" w:lineRule="auto"/>
              <w:jc w:val="center"/>
              <w:rPr>
                <w:rFonts w:ascii="Calibri" w:eastAsia="Times New Roman" w:hAnsi="Calibri" w:cs="Calibri"/>
                <w:color w:val="000000"/>
                <w:lang w:val="en-IN" w:eastAsia="en-IN"/>
              </w:rPr>
            </w:pPr>
            <w:r w:rsidRPr="00527451">
              <w:rPr>
                <w:rFonts w:ascii="Calibri" w:eastAsia="Times New Roman" w:hAnsi="Calibri" w:cs="Calibri"/>
                <w:color w:val="000000"/>
                <w:lang w:val="en-IN" w:eastAsia="en-IN"/>
              </w:rPr>
              <w:t>IPP</w:t>
            </w:r>
          </w:p>
        </w:tc>
        <w:tc>
          <w:tcPr>
            <w:tcW w:w="5811" w:type="dxa"/>
            <w:tcBorders>
              <w:top w:val="nil"/>
              <w:left w:val="nil"/>
              <w:bottom w:val="single" w:sz="4" w:space="0" w:color="87194B"/>
              <w:right w:val="single" w:sz="4" w:space="0" w:color="87194B"/>
            </w:tcBorders>
            <w:shd w:val="clear" w:color="auto" w:fill="auto"/>
            <w:noWrap/>
            <w:vAlign w:val="bottom"/>
            <w:hideMark/>
          </w:tcPr>
          <w:p w14:paraId="191441E0" w14:textId="77777777" w:rsidR="00527451" w:rsidRPr="00527451" w:rsidRDefault="00527451" w:rsidP="00527451">
            <w:pPr>
              <w:spacing w:after="0" w:line="240" w:lineRule="auto"/>
              <w:jc w:val="center"/>
              <w:rPr>
                <w:rFonts w:ascii="Calibri" w:eastAsia="Times New Roman" w:hAnsi="Calibri" w:cs="Calibri"/>
                <w:color w:val="000000"/>
                <w:lang w:val="en-IN" w:eastAsia="en-IN"/>
              </w:rPr>
            </w:pPr>
            <w:r w:rsidRPr="00527451">
              <w:rPr>
                <w:rFonts w:ascii="Calibri" w:eastAsia="Times New Roman" w:hAnsi="Calibri" w:cs="Calibri"/>
                <w:color w:val="000000"/>
                <w:lang w:val="en-IN" w:eastAsia="en-IN"/>
              </w:rPr>
              <w:t>Independent Power Producer</w:t>
            </w:r>
          </w:p>
        </w:tc>
      </w:tr>
      <w:tr w:rsidR="00527451" w:rsidRPr="00527451" w14:paraId="57801E5A" w14:textId="77777777" w:rsidTr="00E200B1">
        <w:trPr>
          <w:trHeight w:val="284"/>
        </w:trPr>
        <w:tc>
          <w:tcPr>
            <w:tcW w:w="3261" w:type="dxa"/>
            <w:tcBorders>
              <w:top w:val="nil"/>
              <w:left w:val="single" w:sz="4" w:space="0" w:color="87194B"/>
              <w:bottom w:val="single" w:sz="4" w:space="0" w:color="87194B"/>
              <w:right w:val="single" w:sz="4" w:space="0" w:color="87194B"/>
            </w:tcBorders>
            <w:shd w:val="clear" w:color="auto" w:fill="auto"/>
            <w:noWrap/>
            <w:vAlign w:val="bottom"/>
            <w:hideMark/>
          </w:tcPr>
          <w:p w14:paraId="7E5F89B3" w14:textId="77777777" w:rsidR="00527451" w:rsidRPr="00527451" w:rsidRDefault="00527451" w:rsidP="00527451">
            <w:pPr>
              <w:spacing w:after="0" w:line="240" w:lineRule="auto"/>
              <w:jc w:val="center"/>
              <w:rPr>
                <w:rFonts w:ascii="Calibri" w:eastAsia="Times New Roman" w:hAnsi="Calibri" w:cs="Calibri"/>
                <w:color w:val="000000"/>
                <w:lang w:val="en-IN" w:eastAsia="en-IN"/>
              </w:rPr>
            </w:pPr>
            <w:r w:rsidRPr="00527451">
              <w:rPr>
                <w:rFonts w:ascii="Calibri" w:eastAsia="Times New Roman" w:hAnsi="Calibri" w:cs="Calibri"/>
                <w:color w:val="000000"/>
                <w:lang w:val="en-IN" w:eastAsia="en-IN"/>
              </w:rPr>
              <w:t>JICA</w:t>
            </w:r>
          </w:p>
        </w:tc>
        <w:tc>
          <w:tcPr>
            <w:tcW w:w="5811" w:type="dxa"/>
            <w:tcBorders>
              <w:top w:val="nil"/>
              <w:left w:val="nil"/>
              <w:bottom w:val="single" w:sz="4" w:space="0" w:color="87194B"/>
              <w:right w:val="single" w:sz="4" w:space="0" w:color="87194B"/>
            </w:tcBorders>
            <w:shd w:val="clear" w:color="auto" w:fill="auto"/>
            <w:noWrap/>
            <w:vAlign w:val="bottom"/>
            <w:hideMark/>
          </w:tcPr>
          <w:p w14:paraId="3232875F" w14:textId="77777777" w:rsidR="00527451" w:rsidRPr="00527451" w:rsidRDefault="00527451" w:rsidP="00527451">
            <w:pPr>
              <w:spacing w:after="0" w:line="240" w:lineRule="auto"/>
              <w:jc w:val="center"/>
              <w:rPr>
                <w:rFonts w:ascii="Calibri" w:eastAsia="Times New Roman" w:hAnsi="Calibri" w:cs="Calibri"/>
                <w:color w:val="000000"/>
                <w:lang w:val="en-IN" w:eastAsia="en-IN"/>
              </w:rPr>
            </w:pPr>
            <w:r w:rsidRPr="00527451">
              <w:rPr>
                <w:rFonts w:ascii="Calibri" w:eastAsia="Times New Roman" w:hAnsi="Calibri" w:cs="Calibri"/>
                <w:color w:val="000000"/>
                <w:lang w:val="en-IN" w:eastAsia="en-IN"/>
              </w:rPr>
              <w:t>Japan International Cooperation Agency</w:t>
            </w:r>
          </w:p>
        </w:tc>
      </w:tr>
      <w:tr w:rsidR="00527451" w:rsidRPr="00527451" w14:paraId="56FDAA3F" w14:textId="77777777" w:rsidTr="00E200B1">
        <w:trPr>
          <w:trHeight w:val="284"/>
        </w:trPr>
        <w:tc>
          <w:tcPr>
            <w:tcW w:w="3261" w:type="dxa"/>
            <w:tcBorders>
              <w:top w:val="nil"/>
              <w:left w:val="single" w:sz="4" w:space="0" w:color="87194B"/>
              <w:bottom w:val="single" w:sz="4" w:space="0" w:color="87194B"/>
              <w:right w:val="single" w:sz="4" w:space="0" w:color="87194B"/>
            </w:tcBorders>
            <w:shd w:val="clear" w:color="auto" w:fill="auto"/>
            <w:noWrap/>
            <w:vAlign w:val="bottom"/>
            <w:hideMark/>
          </w:tcPr>
          <w:p w14:paraId="6919508A" w14:textId="77777777" w:rsidR="00527451" w:rsidRPr="00527451" w:rsidRDefault="00527451" w:rsidP="00527451">
            <w:pPr>
              <w:spacing w:after="0" w:line="240" w:lineRule="auto"/>
              <w:jc w:val="center"/>
              <w:rPr>
                <w:rFonts w:ascii="Calibri" w:eastAsia="Times New Roman" w:hAnsi="Calibri" w:cs="Calibri"/>
                <w:color w:val="000000"/>
                <w:lang w:val="en-IN" w:eastAsia="en-IN"/>
              </w:rPr>
            </w:pPr>
            <w:r w:rsidRPr="00527451">
              <w:rPr>
                <w:rFonts w:ascii="Calibri" w:eastAsia="Times New Roman" w:hAnsi="Calibri" w:cs="Calibri"/>
                <w:color w:val="000000"/>
                <w:lang w:val="en-IN" w:eastAsia="en-IN"/>
              </w:rPr>
              <w:t>LDC</w:t>
            </w:r>
          </w:p>
        </w:tc>
        <w:tc>
          <w:tcPr>
            <w:tcW w:w="5811" w:type="dxa"/>
            <w:tcBorders>
              <w:top w:val="nil"/>
              <w:left w:val="nil"/>
              <w:bottom w:val="single" w:sz="4" w:space="0" w:color="87194B"/>
              <w:right w:val="single" w:sz="4" w:space="0" w:color="87194B"/>
            </w:tcBorders>
            <w:shd w:val="clear" w:color="auto" w:fill="auto"/>
            <w:noWrap/>
            <w:vAlign w:val="bottom"/>
            <w:hideMark/>
          </w:tcPr>
          <w:p w14:paraId="0B33A2EA" w14:textId="77777777" w:rsidR="00527451" w:rsidRPr="00527451" w:rsidRDefault="00527451" w:rsidP="00527451">
            <w:pPr>
              <w:spacing w:after="0" w:line="240" w:lineRule="auto"/>
              <w:jc w:val="center"/>
              <w:rPr>
                <w:rFonts w:ascii="Calibri" w:eastAsia="Times New Roman" w:hAnsi="Calibri" w:cs="Calibri"/>
                <w:color w:val="000000"/>
                <w:lang w:val="en-IN" w:eastAsia="en-IN"/>
              </w:rPr>
            </w:pPr>
            <w:r w:rsidRPr="00527451">
              <w:rPr>
                <w:rFonts w:ascii="Calibri" w:eastAsia="Times New Roman" w:hAnsi="Calibri" w:cs="Calibri"/>
                <w:color w:val="000000"/>
                <w:lang w:val="en-IN" w:eastAsia="en-IN"/>
              </w:rPr>
              <w:t>Least Developed Country</w:t>
            </w:r>
          </w:p>
        </w:tc>
      </w:tr>
      <w:tr w:rsidR="00527451" w:rsidRPr="00527451" w14:paraId="22F363DC" w14:textId="77777777" w:rsidTr="00E200B1">
        <w:trPr>
          <w:trHeight w:val="284"/>
        </w:trPr>
        <w:tc>
          <w:tcPr>
            <w:tcW w:w="3261" w:type="dxa"/>
            <w:tcBorders>
              <w:top w:val="nil"/>
              <w:left w:val="single" w:sz="4" w:space="0" w:color="87194B"/>
              <w:bottom w:val="single" w:sz="4" w:space="0" w:color="87194B"/>
              <w:right w:val="single" w:sz="4" w:space="0" w:color="87194B"/>
            </w:tcBorders>
            <w:shd w:val="clear" w:color="auto" w:fill="auto"/>
            <w:noWrap/>
            <w:vAlign w:val="bottom"/>
            <w:hideMark/>
          </w:tcPr>
          <w:p w14:paraId="5C79186A" w14:textId="77777777" w:rsidR="00527451" w:rsidRPr="00527451" w:rsidRDefault="00527451" w:rsidP="00527451">
            <w:pPr>
              <w:spacing w:after="0" w:line="240" w:lineRule="auto"/>
              <w:jc w:val="center"/>
              <w:rPr>
                <w:rFonts w:ascii="Calibri" w:eastAsia="Times New Roman" w:hAnsi="Calibri" w:cs="Calibri"/>
                <w:color w:val="000000"/>
                <w:lang w:val="en-IN" w:eastAsia="en-IN"/>
              </w:rPr>
            </w:pPr>
            <w:r w:rsidRPr="00527451">
              <w:rPr>
                <w:rFonts w:ascii="Calibri" w:eastAsia="Times New Roman" w:hAnsi="Calibri" w:cs="Calibri"/>
                <w:color w:val="000000"/>
                <w:lang w:val="en-IN" w:eastAsia="en-IN"/>
              </w:rPr>
              <w:t>M&amp;E</w:t>
            </w:r>
          </w:p>
        </w:tc>
        <w:tc>
          <w:tcPr>
            <w:tcW w:w="5811" w:type="dxa"/>
            <w:tcBorders>
              <w:top w:val="nil"/>
              <w:left w:val="nil"/>
              <w:bottom w:val="single" w:sz="4" w:space="0" w:color="87194B"/>
              <w:right w:val="single" w:sz="4" w:space="0" w:color="87194B"/>
            </w:tcBorders>
            <w:shd w:val="clear" w:color="auto" w:fill="auto"/>
            <w:noWrap/>
            <w:vAlign w:val="bottom"/>
            <w:hideMark/>
          </w:tcPr>
          <w:p w14:paraId="2CAA7912" w14:textId="77777777" w:rsidR="00527451" w:rsidRPr="00527451" w:rsidRDefault="00527451" w:rsidP="00527451">
            <w:pPr>
              <w:spacing w:after="0" w:line="240" w:lineRule="auto"/>
              <w:jc w:val="center"/>
              <w:rPr>
                <w:rFonts w:ascii="Calibri" w:eastAsia="Times New Roman" w:hAnsi="Calibri" w:cs="Calibri"/>
                <w:color w:val="000000"/>
                <w:lang w:val="en-IN" w:eastAsia="en-IN"/>
              </w:rPr>
            </w:pPr>
            <w:r w:rsidRPr="00527451">
              <w:rPr>
                <w:rFonts w:ascii="Calibri" w:eastAsia="Times New Roman" w:hAnsi="Calibri" w:cs="Calibri"/>
                <w:color w:val="000000"/>
                <w:lang w:val="en-IN" w:eastAsia="en-IN"/>
              </w:rPr>
              <w:t>Monitoring and Evaluation</w:t>
            </w:r>
          </w:p>
        </w:tc>
      </w:tr>
      <w:tr w:rsidR="00527451" w:rsidRPr="00527451" w14:paraId="5D821AAE" w14:textId="77777777" w:rsidTr="00E200B1">
        <w:trPr>
          <w:trHeight w:val="284"/>
        </w:trPr>
        <w:tc>
          <w:tcPr>
            <w:tcW w:w="3261" w:type="dxa"/>
            <w:tcBorders>
              <w:top w:val="nil"/>
              <w:left w:val="single" w:sz="4" w:space="0" w:color="87194B"/>
              <w:bottom w:val="single" w:sz="4" w:space="0" w:color="87194B"/>
              <w:right w:val="single" w:sz="4" w:space="0" w:color="87194B"/>
            </w:tcBorders>
            <w:shd w:val="clear" w:color="auto" w:fill="auto"/>
            <w:noWrap/>
            <w:vAlign w:val="bottom"/>
            <w:hideMark/>
          </w:tcPr>
          <w:p w14:paraId="6E4AAADD" w14:textId="77777777" w:rsidR="00527451" w:rsidRPr="00527451" w:rsidRDefault="00527451" w:rsidP="00527451">
            <w:pPr>
              <w:spacing w:after="0" w:line="240" w:lineRule="auto"/>
              <w:jc w:val="center"/>
              <w:rPr>
                <w:rFonts w:ascii="Calibri" w:eastAsia="Times New Roman" w:hAnsi="Calibri" w:cs="Calibri"/>
                <w:color w:val="000000"/>
                <w:lang w:val="en-IN" w:eastAsia="en-IN"/>
              </w:rPr>
            </w:pPr>
            <w:r w:rsidRPr="00527451">
              <w:rPr>
                <w:rFonts w:ascii="Calibri" w:eastAsia="Times New Roman" w:hAnsi="Calibri" w:cs="Calibri"/>
                <w:color w:val="000000"/>
                <w:lang w:val="en-IN" w:eastAsia="en-IN"/>
              </w:rPr>
              <w:t>MDB</w:t>
            </w:r>
          </w:p>
        </w:tc>
        <w:tc>
          <w:tcPr>
            <w:tcW w:w="5811" w:type="dxa"/>
            <w:tcBorders>
              <w:top w:val="nil"/>
              <w:left w:val="nil"/>
              <w:bottom w:val="single" w:sz="4" w:space="0" w:color="87194B"/>
              <w:right w:val="single" w:sz="4" w:space="0" w:color="87194B"/>
            </w:tcBorders>
            <w:shd w:val="clear" w:color="auto" w:fill="auto"/>
            <w:noWrap/>
            <w:vAlign w:val="bottom"/>
            <w:hideMark/>
          </w:tcPr>
          <w:p w14:paraId="4189C61D" w14:textId="77777777" w:rsidR="00527451" w:rsidRPr="00527451" w:rsidRDefault="00527451" w:rsidP="00527451">
            <w:pPr>
              <w:spacing w:after="0" w:line="240" w:lineRule="auto"/>
              <w:jc w:val="center"/>
              <w:rPr>
                <w:rFonts w:ascii="Calibri" w:eastAsia="Times New Roman" w:hAnsi="Calibri" w:cs="Calibri"/>
                <w:color w:val="000000"/>
                <w:lang w:val="en-IN" w:eastAsia="en-IN"/>
              </w:rPr>
            </w:pPr>
            <w:r w:rsidRPr="00527451">
              <w:rPr>
                <w:rFonts w:ascii="Calibri" w:eastAsia="Times New Roman" w:hAnsi="Calibri" w:cs="Calibri"/>
                <w:color w:val="000000"/>
                <w:lang w:val="en-IN" w:eastAsia="en-IN"/>
              </w:rPr>
              <w:t>Multilateral Development Bank</w:t>
            </w:r>
          </w:p>
        </w:tc>
      </w:tr>
      <w:tr w:rsidR="00527451" w:rsidRPr="00527451" w14:paraId="00C06F80" w14:textId="77777777" w:rsidTr="00E200B1">
        <w:trPr>
          <w:trHeight w:val="284"/>
        </w:trPr>
        <w:tc>
          <w:tcPr>
            <w:tcW w:w="3261" w:type="dxa"/>
            <w:tcBorders>
              <w:top w:val="nil"/>
              <w:left w:val="single" w:sz="4" w:space="0" w:color="87194B"/>
              <w:bottom w:val="single" w:sz="4" w:space="0" w:color="87194B"/>
              <w:right w:val="single" w:sz="4" w:space="0" w:color="87194B"/>
            </w:tcBorders>
            <w:shd w:val="clear" w:color="auto" w:fill="auto"/>
            <w:noWrap/>
            <w:vAlign w:val="bottom"/>
            <w:hideMark/>
          </w:tcPr>
          <w:p w14:paraId="74F31F1F" w14:textId="77777777" w:rsidR="00527451" w:rsidRPr="00527451" w:rsidRDefault="00527451" w:rsidP="00527451">
            <w:pPr>
              <w:spacing w:after="0" w:line="240" w:lineRule="auto"/>
              <w:jc w:val="center"/>
              <w:rPr>
                <w:rFonts w:ascii="Calibri" w:eastAsia="Times New Roman" w:hAnsi="Calibri" w:cs="Calibri"/>
                <w:color w:val="000000"/>
                <w:lang w:val="en-IN" w:eastAsia="en-IN"/>
              </w:rPr>
            </w:pPr>
            <w:r w:rsidRPr="00527451">
              <w:rPr>
                <w:rFonts w:ascii="Calibri" w:eastAsia="Times New Roman" w:hAnsi="Calibri" w:cs="Calibri"/>
                <w:color w:val="000000"/>
                <w:lang w:val="en-IN" w:eastAsia="en-IN"/>
              </w:rPr>
              <w:t>MIGA</w:t>
            </w:r>
          </w:p>
        </w:tc>
        <w:tc>
          <w:tcPr>
            <w:tcW w:w="5811" w:type="dxa"/>
            <w:tcBorders>
              <w:top w:val="nil"/>
              <w:left w:val="nil"/>
              <w:bottom w:val="single" w:sz="4" w:space="0" w:color="87194B"/>
              <w:right w:val="single" w:sz="4" w:space="0" w:color="87194B"/>
            </w:tcBorders>
            <w:shd w:val="clear" w:color="auto" w:fill="auto"/>
            <w:noWrap/>
            <w:vAlign w:val="bottom"/>
            <w:hideMark/>
          </w:tcPr>
          <w:p w14:paraId="2DFDE82A" w14:textId="77777777" w:rsidR="00527451" w:rsidRPr="00527451" w:rsidRDefault="00527451" w:rsidP="00527451">
            <w:pPr>
              <w:spacing w:after="0" w:line="240" w:lineRule="auto"/>
              <w:jc w:val="center"/>
              <w:rPr>
                <w:rFonts w:ascii="Calibri" w:eastAsia="Times New Roman" w:hAnsi="Calibri" w:cs="Calibri"/>
                <w:color w:val="000000"/>
                <w:lang w:val="en-IN" w:eastAsia="en-IN"/>
              </w:rPr>
            </w:pPr>
            <w:r w:rsidRPr="00527451">
              <w:rPr>
                <w:rFonts w:ascii="Calibri" w:eastAsia="Times New Roman" w:hAnsi="Calibri" w:cs="Calibri"/>
                <w:color w:val="000000"/>
                <w:lang w:val="en-IN" w:eastAsia="en-IN"/>
              </w:rPr>
              <w:t xml:space="preserve">Multilateral Investment Guarantee Agency </w:t>
            </w:r>
          </w:p>
        </w:tc>
      </w:tr>
      <w:tr w:rsidR="00527451" w:rsidRPr="00527451" w14:paraId="304FF731" w14:textId="77777777" w:rsidTr="00E200B1">
        <w:trPr>
          <w:trHeight w:val="284"/>
        </w:trPr>
        <w:tc>
          <w:tcPr>
            <w:tcW w:w="3261" w:type="dxa"/>
            <w:tcBorders>
              <w:top w:val="nil"/>
              <w:left w:val="single" w:sz="4" w:space="0" w:color="87194B"/>
              <w:bottom w:val="single" w:sz="4" w:space="0" w:color="87194B"/>
              <w:right w:val="single" w:sz="4" w:space="0" w:color="87194B"/>
            </w:tcBorders>
            <w:shd w:val="clear" w:color="auto" w:fill="auto"/>
            <w:noWrap/>
            <w:vAlign w:val="bottom"/>
            <w:hideMark/>
          </w:tcPr>
          <w:p w14:paraId="7182259D" w14:textId="77777777" w:rsidR="00527451" w:rsidRPr="00527451" w:rsidRDefault="00527451" w:rsidP="00527451">
            <w:pPr>
              <w:spacing w:after="0" w:line="240" w:lineRule="auto"/>
              <w:jc w:val="center"/>
              <w:rPr>
                <w:rFonts w:ascii="Calibri" w:eastAsia="Times New Roman" w:hAnsi="Calibri" w:cs="Calibri"/>
                <w:color w:val="000000"/>
                <w:lang w:val="en-IN" w:eastAsia="en-IN"/>
              </w:rPr>
            </w:pPr>
            <w:r w:rsidRPr="00527451">
              <w:rPr>
                <w:rFonts w:ascii="Calibri" w:eastAsia="Times New Roman" w:hAnsi="Calibri" w:cs="Calibri"/>
                <w:color w:val="000000"/>
                <w:lang w:val="en-IN" w:eastAsia="en-IN"/>
              </w:rPr>
              <w:t>M</w:t>
            </w:r>
            <w:r w:rsidRPr="00213D42">
              <w:rPr>
                <w:rFonts w:ascii="Calibri" w:eastAsia="Times New Roman" w:hAnsi="Calibri" w:cs="Calibri"/>
                <w:color w:val="000000"/>
                <w:lang w:val="en-IN" w:eastAsia="en-IN"/>
              </w:rPr>
              <w:t>SME</w:t>
            </w:r>
          </w:p>
        </w:tc>
        <w:tc>
          <w:tcPr>
            <w:tcW w:w="5811" w:type="dxa"/>
            <w:tcBorders>
              <w:top w:val="nil"/>
              <w:left w:val="nil"/>
              <w:bottom w:val="single" w:sz="4" w:space="0" w:color="87194B"/>
              <w:right w:val="single" w:sz="4" w:space="0" w:color="87194B"/>
            </w:tcBorders>
            <w:shd w:val="clear" w:color="auto" w:fill="auto"/>
            <w:noWrap/>
            <w:vAlign w:val="bottom"/>
            <w:hideMark/>
          </w:tcPr>
          <w:p w14:paraId="28E9E702" w14:textId="77777777" w:rsidR="00527451" w:rsidRPr="00527451" w:rsidRDefault="00527451" w:rsidP="00527451">
            <w:pPr>
              <w:spacing w:after="0" w:line="240" w:lineRule="auto"/>
              <w:jc w:val="center"/>
              <w:rPr>
                <w:rFonts w:ascii="Calibri" w:eastAsia="Times New Roman" w:hAnsi="Calibri" w:cs="Calibri"/>
                <w:color w:val="000000"/>
                <w:lang w:val="en-IN" w:eastAsia="en-IN"/>
              </w:rPr>
            </w:pPr>
            <w:r w:rsidRPr="00527451">
              <w:rPr>
                <w:rFonts w:ascii="Calibri" w:eastAsia="Times New Roman" w:hAnsi="Calibri" w:cs="Calibri"/>
                <w:color w:val="000000"/>
                <w:lang w:val="en-IN" w:eastAsia="en-IN"/>
              </w:rPr>
              <w:t>Micro, Small, and Medium Enterprises</w:t>
            </w:r>
          </w:p>
        </w:tc>
      </w:tr>
      <w:tr w:rsidR="00527451" w:rsidRPr="00527451" w14:paraId="130B9410" w14:textId="77777777" w:rsidTr="00E200B1">
        <w:trPr>
          <w:trHeight w:val="284"/>
        </w:trPr>
        <w:tc>
          <w:tcPr>
            <w:tcW w:w="3261" w:type="dxa"/>
            <w:tcBorders>
              <w:top w:val="nil"/>
              <w:left w:val="single" w:sz="4" w:space="0" w:color="87194B"/>
              <w:bottom w:val="single" w:sz="4" w:space="0" w:color="87194B"/>
              <w:right w:val="single" w:sz="4" w:space="0" w:color="87194B"/>
            </w:tcBorders>
            <w:shd w:val="clear" w:color="auto" w:fill="auto"/>
            <w:noWrap/>
            <w:vAlign w:val="bottom"/>
            <w:hideMark/>
          </w:tcPr>
          <w:p w14:paraId="06CAE6E0" w14:textId="77777777" w:rsidR="00527451" w:rsidRPr="00527451" w:rsidRDefault="00527451" w:rsidP="00527451">
            <w:pPr>
              <w:spacing w:after="0" w:line="240" w:lineRule="auto"/>
              <w:jc w:val="center"/>
              <w:rPr>
                <w:rFonts w:ascii="Calibri" w:eastAsia="Times New Roman" w:hAnsi="Calibri" w:cs="Calibri"/>
                <w:color w:val="000000"/>
                <w:lang w:val="en-IN" w:eastAsia="en-IN"/>
              </w:rPr>
            </w:pPr>
            <w:r w:rsidRPr="00527451">
              <w:rPr>
                <w:rFonts w:ascii="Calibri" w:eastAsia="Times New Roman" w:hAnsi="Calibri" w:cs="Calibri"/>
                <w:color w:val="000000"/>
                <w:lang w:val="en-IN" w:eastAsia="en-IN"/>
              </w:rPr>
              <w:t>NGF</w:t>
            </w:r>
          </w:p>
        </w:tc>
        <w:tc>
          <w:tcPr>
            <w:tcW w:w="5811" w:type="dxa"/>
            <w:tcBorders>
              <w:top w:val="nil"/>
              <w:left w:val="nil"/>
              <w:bottom w:val="single" w:sz="4" w:space="0" w:color="87194B"/>
              <w:right w:val="single" w:sz="4" w:space="0" w:color="87194B"/>
            </w:tcBorders>
            <w:shd w:val="clear" w:color="auto" w:fill="auto"/>
            <w:noWrap/>
            <w:vAlign w:val="bottom"/>
            <w:hideMark/>
          </w:tcPr>
          <w:p w14:paraId="3107CB36" w14:textId="50455B4D" w:rsidR="00527451" w:rsidRPr="00527451" w:rsidRDefault="00527451" w:rsidP="00527451">
            <w:pPr>
              <w:spacing w:after="0" w:line="240" w:lineRule="auto"/>
              <w:jc w:val="center"/>
              <w:rPr>
                <w:rFonts w:ascii="Calibri" w:eastAsia="Times New Roman" w:hAnsi="Calibri" w:cs="Calibri"/>
                <w:color w:val="000000"/>
                <w:lang w:val="en-IN" w:eastAsia="en-IN"/>
              </w:rPr>
            </w:pPr>
            <w:r w:rsidRPr="00527451">
              <w:rPr>
                <w:rFonts w:ascii="Calibri" w:eastAsia="Times New Roman" w:hAnsi="Calibri" w:cs="Calibri"/>
                <w:color w:val="000000"/>
                <w:lang w:val="en-IN" w:eastAsia="en-IN"/>
              </w:rPr>
              <w:t>Non-</w:t>
            </w:r>
            <w:r>
              <w:rPr>
                <w:rFonts w:ascii="Calibri" w:eastAsia="Times New Roman" w:hAnsi="Calibri" w:cs="Calibri"/>
                <w:color w:val="000000"/>
                <w:lang w:val="en-IN" w:eastAsia="en-IN"/>
              </w:rPr>
              <w:t>G</w:t>
            </w:r>
            <w:r w:rsidRPr="00527451">
              <w:rPr>
                <w:rFonts w:ascii="Calibri" w:eastAsia="Times New Roman" w:hAnsi="Calibri" w:cs="Calibri"/>
                <w:color w:val="000000"/>
                <w:lang w:val="en-IN" w:eastAsia="en-IN"/>
              </w:rPr>
              <w:t xml:space="preserve">rant </w:t>
            </w:r>
            <w:r w:rsidR="00515A7C">
              <w:rPr>
                <w:rFonts w:ascii="Calibri" w:eastAsia="Times New Roman" w:hAnsi="Calibri" w:cs="Calibri"/>
                <w:color w:val="000000"/>
                <w:lang w:val="en-IN" w:eastAsia="en-IN"/>
              </w:rPr>
              <w:t>F</w:t>
            </w:r>
            <w:r w:rsidRPr="00527451">
              <w:rPr>
                <w:rFonts w:ascii="Calibri" w:eastAsia="Times New Roman" w:hAnsi="Calibri" w:cs="Calibri"/>
                <w:color w:val="000000"/>
                <w:lang w:val="en-IN" w:eastAsia="en-IN"/>
              </w:rPr>
              <w:t>inance</w:t>
            </w:r>
          </w:p>
        </w:tc>
      </w:tr>
      <w:tr w:rsidR="00527451" w:rsidRPr="00527451" w14:paraId="61B75909" w14:textId="77777777" w:rsidTr="00E200B1">
        <w:trPr>
          <w:trHeight w:val="284"/>
        </w:trPr>
        <w:tc>
          <w:tcPr>
            <w:tcW w:w="3261" w:type="dxa"/>
            <w:tcBorders>
              <w:top w:val="nil"/>
              <w:left w:val="single" w:sz="4" w:space="0" w:color="87194B"/>
              <w:bottom w:val="single" w:sz="4" w:space="0" w:color="87194B"/>
              <w:right w:val="single" w:sz="4" w:space="0" w:color="87194B"/>
            </w:tcBorders>
            <w:shd w:val="clear" w:color="auto" w:fill="auto"/>
            <w:noWrap/>
            <w:vAlign w:val="bottom"/>
            <w:hideMark/>
          </w:tcPr>
          <w:p w14:paraId="3E3BDB31" w14:textId="77777777" w:rsidR="00527451" w:rsidRPr="00527451" w:rsidRDefault="00527451" w:rsidP="00527451">
            <w:pPr>
              <w:spacing w:after="0" w:line="240" w:lineRule="auto"/>
              <w:jc w:val="center"/>
              <w:rPr>
                <w:rFonts w:ascii="Calibri" w:eastAsia="Times New Roman" w:hAnsi="Calibri" w:cs="Calibri"/>
                <w:color w:val="000000"/>
                <w:lang w:val="en-IN" w:eastAsia="en-IN"/>
              </w:rPr>
            </w:pPr>
            <w:r w:rsidRPr="00527451">
              <w:rPr>
                <w:rFonts w:ascii="Calibri" w:eastAsia="Times New Roman" w:hAnsi="Calibri" w:cs="Calibri"/>
                <w:color w:val="000000"/>
                <w:lang w:val="en-IN" w:eastAsia="en-IN"/>
              </w:rPr>
              <w:t>ODA</w:t>
            </w:r>
          </w:p>
        </w:tc>
        <w:tc>
          <w:tcPr>
            <w:tcW w:w="5811" w:type="dxa"/>
            <w:tcBorders>
              <w:top w:val="nil"/>
              <w:left w:val="nil"/>
              <w:bottom w:val="single" w:sz="4" w:space="0" w:color="87194B"/>
              <w:right w:val="single" w:sz="4" w:space="0" w:color="87194B"/>
            </w:tcBorders>
            <w:shd w:val="clear" w:color="auto" w:fill="auto"/>
            <w:noWrap/>
            <w:vAlign w:val="bottom"/>
            <w:hideMark/>
          </w:tcPr>
          <w:p w14:paraId="1954B52E" w14:textId="77777777" w:rsidR="00527451" w:rsidRPr="00527451" w:rsidRDefault="00527451" w:rsidP="00527451">
            <w:pPr>
              <w:spacing w:after="0" w:line="240" w:lineRule="auto"/>
              <w:jc w:val="center"/>
              <w:rPr>
                <w:rFonts w:ascii="Calibri" w:eastAsia="Times New Roman" w:hAnsi="Calibri" w:cs="Calibri"/>
                <w:color w:val="000000"/>
                <w:lang w:val="en-IN" w:eastAsia="en-IN"/>
              </w:rPr>
            </w:pPr>
            <w:r w:rsidRPr="00527451">
              <w:rPr>
                <w:rFonts w:ascii="Calibri" w:eastAsia="Times New Roman" w:hAnsi="Calibri" w:cs="Calibri"/>
                <w:color w:val="000000"/>
                <w:lang w:val="en-IN" w:eastAsia="en-IN"/>
              </w:rPr>
              <w:t>Official Development Assistance</w:t>
            </w:r>
          </w:p>
        </w:tc>
      </w:tr>
      <w:tr w:rsidR="00527451" w:rsidRPr="00527451" w14:paraId="3866D922" w14:textId="77777777" w:rsidTr="00E200B1">
        <w:trPr>
          <w:trHeight w:val="284"/>
        </w:trPr>
        <w:tc>
          <w:tcPr>
            <w:tcW w:w="3261" w:type="dxa"/>
            <w:tcBorders>
              <w:top w:val="nil"/>
              <w:left w:val="single" w:sz="4" w:space="0" w:color="87194B"/>
              <w:bottom w:val="single" w:sz="4" w:space="0" w:color="87194B"/>
              <w:right w:val="single" w:sz="4" w:space="0" w:color="87194B"/>
            </w:tcBorders>
            <w:shd w:val="clear" w:color="auto" w:fill="auto"/>
            <w:noWrap/>
            <w:vAlign w:val="bottom"/>
            <w:hideMark/>
          </w:tcPr>
          <w:p w14:paraId="51DF985E" w14:textId="78BDB075" w:rsidR="00527451" w:rsidRPr="00527451" w:rsidRDefault="00527451" w:rsidP="00D2537F">
            <w:pPr>
              <w:spacing w:after="0" w:line="240" w:lineRule="auto"/>
              <w:jc w:val="center"/>
              <w:rPr>
                <w:rFonts w:ascii="Calibri" w:eastAsia="Times New Roman" w:hAnsi="Calibri" w:cs="Calibri"/>
                <w:color w:val="000000"/>
                <w:lang w:val="en-IN" w:eastAsia="en-IN"/>
              </w:rPr>
            </w:pPr>
            <w:r w:rsidRPr="00527451">
              <w:rPr>
                <w:rFonts w:ascii="Calibri" w:eastAsia="Times New Roman" w:hAnsi="Calibri" w:cs="Calibri"/>
                <w:color w:val="000000"/>
                <w:lang w:val="en-IN" w:eastAsia="en-IN"/>
              </w:rPr>
              <w:t>OECD</w:t>
            </w:r>
            <w:r w:rsidR="00D2537F">
              <w:rPr>
                <w:rFonts w:ascii="Calibri" w:eastAsia="Times New Roman" w:hAnsi="Calibri" w:cs="Calibri"/>
                <w:color w:val="000000"/>
                <w:lang w:val="en-IN" w:eastAsia="en-IN"/>
              </w:rPr>
              <w:t>-DAC</w:t>
            </w:r>
          </w:p>
        </w:tc>
        <w:tc>
          <w:tcPr>
            <w:tcW w:w="5811" w:type="dxa"/>
            <w:tcBorders>
              <w:top w:val="nil"/>
              <w:left w:val="nil"/>
              <w:bottom w:val="single" w:sz="4" w:space="0" w:color="87194B"/>
              <w:right w:val="single" w:sz="4" w:space="0" w:color="87194B"/>
            </w:tcBorders>
            <w:shd w:val="clear" w:color="auto" w:fill="auto"/>
            <w:noWrap/>
            <w:vAlign w:val="bottom"/>
            <w:hideMark/>
          </w:tcPr>
          <w:p w14:paraId="09E52FC9" w14:textId="5861310B" w:rsidR="00527451" w:rsidRPr="00527451" w:rsidRDefault="00D2537F" w:rsidP="00527451">
            <w:pPr>
              <w:spacing w:after="0" w:line="240" w:lineRule="auto"/>
              <w:jc w:val="center"/>
              <w:rPr>
                <w:rFonts w:ascii="Calibri" w:eastAsia="Times New Roman" w:hAnsi="Calibri" w:cs="Calibri"/>
                <w:color w:val="000000"/>
                <w:lang w:val="en-IN" w:eastAsia="en-IN"/>
              </w:rPr>
            </w:pPr>
            <w:r w:rsidRPr="00D2537F">
              <w:rPr>
                <w:rFonts w:ascii="Calibri" w:eastAsia="Times New Roman" w:hAnsi="Calibri" w:cs="Calibri"/>
                <w:color w:val="000000"/>
                <w:lang w:val="en-IN" w:eastAsia="en-IN"/>
              </w:rPr>
              <w:t xml:space="preserve">Development Assistance Committee </w:t>
            </w:r>
            <w:r>
              <w:rPr>
                <w:rFonts w:ascii="Calibri" w:eastAsia="Times New Roman" w:hAnsi="Calibri" w:cs="Calibri"/>
                <w:color w:val="000000"/>
                <w:lang w:val="en-IN" w:eastAsia="en-IN"/>
              </w:rPr>
              <w:t xml:space="preserve">of the </w:t>
            </w:r>
            <w:r>
              <w:rPr>
                <w:rFonts w:ascii="Calibri" w:eastAsia="Times New Roman" w:hAnsi="Calibri" w:cs="Calibri"/>
                <w:color w:val="000000"/>
                <w:lang w:val="en-IN" w:eastAsia="en-IN"/>
              </w:rPr>
              <w:br/>
            </w:r>
            <w:r w:rsidR="00527451" w:rsidRPr="00527451">
              <w:rPr>
                <w:rFonts w:ascii="Calibri" w:eastAsia="Times New Roman" w:hAnsi="Calibri" w:cs="Calibri"/>
                <w:color w:val="000000"/>
                <w:lang w:val="en-IN" w:eastAsia="en-IN"/>
              </w:rPr>
              <w:t>Organisation for Economic Cooperation and Development</w:t>
            </w:r>
          </w:p>
        </w:tc>
      </w:tr>
      <w:tr w:rsidR="00527451" w:rsidRPr="00527451" w14:paraId="4EF83DA0" w14:textId="77777777" w:rsidTr="00E200B1">
        <w:trPr>
          <w:trHeight w:val="284"/>
        </w:trPr>
        <w:tc>
          <w:tcPr>
            <w:tcW w:w="3261" w:type="dxa"/>
            <w:tcBorders>
              <w:top w:val="nil"/>
              <w:left w:val="single" w:sz="4" w:space="0" w:color="87194B"/>
              <w:bottom w:val="single" w:sz="4" w:space="0" w:color="87194B"/>
              <w:right w:val="single" w:sz="4" w:space="0" w:color="87194B"/>
            </w:tcBorders>
            <w:shd w:val="clear" w:color="auto" w:fill="auto"/>
            <w:noWrap/>
            <w:vAlign w:val="bottom"/>
            <w:hideMark/>
          </w:tcPr>
          <w:p w14:paraId="5CA4C025" w14:textId="77777777" w:rsidR="00527451" w:rsidRPr="00527451" w:rsidRDefault="00527451" w:rsidP="00527451">
            <w:pPr>
              <w:spacing w:after="0" w:line="240" w:lineRule="auto"/>
              <w:jc w:val="center"/>
              <w:rPr>
                <w:rFonts w:ascii="Calibri" w:eastAsia="Times New Roman" w:hAnsi="Calibri" w:cs="Calibri"/>
                <w:color w:val="000000"/>
                <w:lang w:val="en-IN" w:eastAsia="en-IN"/>
              </w:rPr>
            </w:pPr>
            <w:r w:rsidRPr="00527451">
              <w:rPr>
                <w:rFonts w:ascii="Calibri" w:eastAsia="Times New Roman" w:hAnsi="Calibri" w:cs="Calibri"/>
                <w:color w:val="000000"/>
                <w:lang w:val="en-IN" w:eastAsia="en-IN"/>
              </w:rPr>
              <w:t>OPIC</w:t>
            </w:r>
          </w:p>
        </w:tc>
        <w:tc>
          <w:tcPr>
            <w:tcW w:w="5811" w:type="dxa"/>
            <w:tcBorders>
              <w:top w:val="nil"/>
              <w:left w:val="nil"/>
              <w:bottom w:val="single" w:sz="4" w:space="0" w:color="87194B"/>
              <w:right w:val="single" w:sz="4" w:space="0" w:color="87194B"/>
            </w:tcBorders>
            <w:shd w:val="clear" w:color="auto" w:fill="auto"/>
            <w:noWrap/>
            <w:vAlign w:val="bottom"/>
            <w:hideMark/>
          </w:tcPr>
          <w:p w14:paraId="376C40A1" w14:textId="77777777" w:rsidR="00527451" w:rsidRPr="00527451" w:rsidRDefault="00527451" w:rsidP="00527451">
            <w:pPr>
              <w:spacing w:after="0" w:line="240" w:lineRule="auto"/>
              <w:jc w:val="center"/>
              <w:rPr>
                <w:rFonts w:ascii="Calibri" w:eastAsia="Times New Roman" w:hAnsi="Calibri" w:cs="Calibri"/>
                <w:color w:val="000000"/>
                <w:lang w:val="en-IN" w:eastAsia="en-IN"/>
              </w:rPr>
            </w:pPr>
            <w:r w:rsidRPr="00527451">
              <w:rPr>
                <w:rFonts w:ascii="Calibri" w:eastAsia="Times New Roman" w:hAnsi="Calibri" w:cs="Calibri"/>
                <w:color w:val="000000"/>
                <w:lang w:val="en-IN" w:eastAsia="en-IN"/>
              </w:rPr>
              <w:t>Overseas Private Investment Corporation</w:t>
            </w:r>
          </w:p>
        </w:tc>
      </w:tr>
      <w:tr w:rsidR="00527451" w:rsidRPr="00527451" w14:paraId="62F1C829" w14:textId="77777777" w:rsidTr="00E200B1">
        <w:trPr>
          <w:trHeight w:val="284"/>
        </w:trPr>
        <w:tc>
          <w:tcPr>
            <w:tcW w:w="3261" w:type="dxa"/>
            <w:tcBorders>
              <w:top w:val="nil"/>
              <w:left w:val="single" w:sz="4" w:space="0" w:color="87194B"/>
              <w:bottom w:val="single" w:sz="4" w:space="0" w:color="87194B"/>
              <w:right w:val="single" w:sz="4" w:space="0" w:color="87194B"/>
            </w:tcBorders>
            <w:shd w:val="clear" w:color="auto" w:fill="auto"/>
            <w:noWrap/>
            <w:vAlign w:val="bottom"/>
            <w:hideMark/>
          </w:tcPr>
          <w:p w14:paraId="2460F480" w14:textId="77777777" w:rsidR="00527451" w:rsidRPr="00527451" w:rsidRDefault="00527451" w:rsidP="00527451">
            <w:pPr>
              <w:spacing w:after="0" w:line="240" w:lineRule="auto"/>
              <w:jc w:val="center"/>
              <w:rPr>
                <w:rFonts w:ascii="Calibri" w:eastAsia="Times New Roman" w:hAnsi="Calibri" w:cs="Calibri"/>
                <w:color w:val="000000"/>
                <w:lang w:val="en-IN" w:eastAsia="en-IN"/>
              </w:rPr>
            </w:pPr>
            <w:r w:rsidRPr="00527451">
              <w:rPr>
                <w:rFonts w:ascii="Calibri" w:eastAsia="Times New Roman" w:hAnsi="Calibri" w:cs="Calibri"/>
                <w:color w:val="000000"/>
                <w:lang w:val="en-IN" w:eastAsia="en-IN"/>
              </w:rPr>
              <w:t>PIDG</w:t>
            </w:r>
          </w:p>
        </w:tc>
        <w:tc>
          <w:tcPr>
            <w:tcW w:w="5811" w:type="dxa"/>
            <w:tcBorders>
              <w:top w:val="nil"/>
              <w:left w:val="nil"/>
              <w:bottom w:val="single" w:sz="4" w:space="0" w:color="87194B"/>
              <w:right w:val="single" w:sz="4" w:space="0" w:color="87194B"/>
            </w:tcBorders>
            <w:shd w:val="clear" w:color="auto" w:fill="auto"/>
            <w:noWrap/>
            <w:vAlign w:val="bottom"/>
            <w:hideMark/>
          </w:tcPr>
          <w:p w14:paraId="36909004" w14:textId="77777777" w:rsidR="00527451" w:rsidRPr="00527451" w:rsidRDefault="00527451" w:rsidP="00527451">
            <w:pPr>
              <w:spacing w:after="0" w:line="240" w:lineRule="auto"/>
              <w:jc w:val="center"/>
              <w:rPr>
                <w:rFonts w:ascii="Calibri" w:eastAsia="Times New Roman" w:hAnsi="Calibri" w:cs="Calibri"/>
                <w:color w:val="000000"/>
                <w:lang w:val="en-IN" w:eastAsia="en-IN"/>
              </w:rPr>
            </w:pPr>
            <w:r w:rsidRPr="00527451">
              <w:rPr>
                <w:rFonts w:ascii="Calibri" w:eastAsia="Times New Roman" w:hAnsi="Calibri" w:cs="Calibri"/>
                <w:color w:val="000000"/>
                <w:lang w:val="en-US" w:eastAsia="en-IN"/>
              </w:rPr>
              <w:t xml:space="preserve">Private Infrastructure Development Group </w:t>
            </w:r>
          </w:p>
        </w:tc>
      </w:tr>
      <w:tr w:rsidR="00527451" w:rsidRPr="00527451" w14:paraId="44F634D5" w14:textId="77777777" w:rsidTr="00E200B1">
        <w:trPr>
          <w:trHeight w:val="284"/>
        </w:trPr>
        <w:tc>
          <w:tcPr>
            <w:tcW w:w="3261" w:type="dxa"/>
            <w:tcBorders>
              <w:top w:val="nil"/>
              <w:left w:val="single" w:sz="4" w:space="0" w:color="87194B"/>
              <w:bottom w:val="single" w:sz="4" w:space="0" w:color="87194B"/>
              <w:right w:val="single" w:sz="4" w:space="0" w:color="87194B"/>
            </w:tcBorders>
            <w:shd w:val="clear" w:color="auto" w:fill="auto"/>
            <w:noWrap/>
            <w:vAlign w:val="bottom"/>
            <w:hideMark/>
          </w:tcPr>
          <w:p w14:paraId="73045AA7" w14:textId="77777777" w:rsidR="00527451" w:rsidRPr="00527451" w:rsidRDefault="00527451" w:rsidP="00527451">
            <w:pPr>
              <w:spacing w:after="0" w:line="240" w:lineRule="auto"/>
              <w:jc w:val="center"/>
              <w:rPr>
                <w:rFonts w:ascii="Calibri" w:eastAsia="Times New Roman" w:hAnsi="Calibri" w:cs="Calibri"/>
                <w:color w:val="000000"/>
                <w:lang w:val="en-IN" w:eastAsia="en-IN"/>
              </w:rPr>
            </w:pPr>
            <w:r w:rsidRPr="00527451">
              <w:rPr>
                <w:rFonts w:ascii="Calibri" w:eastAsia="Times New Roman" w:hAnsi="Calibri" w:cs="Calibri"/>
                <w:color w:val="000000"/>
                <w:lang w:val="en-IN" w:eastAsia="en-IN"/>
              </w:rPr>
              <w:t>PNG</w:t>
            </w:r>
          </w:p>
        </w:tc>
        <w:tc>
          <w:tcPr>
            <w:tcW w:w="5811" w:type="dxa"/>
            <w:tcBorders>
              <w:top w:val="nil"/>
              <w:left w:val="nil"/>
              <w:bottom w:val="single" w:sz="4" w:space="0" w:color="87194B"/>
              <w:right w:val="single" w:sz="4" w:space="0" w:color="87194B"/>
            </w:tcBorders>
            <w:shd w:val="clear" w:color="auto" w:fill="auto"/>
            <w:noWrap/>
            <w:vAlign w:val="bottom"/>
            <w:hideMark/>
          </w:tcPr>
          <w:p w14:paraId="0916A64B" w14:textId="77777777" w:rsidR="00527451" w:rsidRPr="00527451" w:rsidRDefault="00527451" w:rsidP="00527451">
            <w:pPr>
              <w:spacing w:after="0" w:line="240" w:lineRule="auto"/>
              <w:jc w:val="center"/>
              <w:rPr>
                <w:rFonts w:ascii="Calibri" w:eastAsia="Times New Roman" w:hAnsi="Calibri" w:cs="Calibri"/>
                <w:color w:val="000000"/>
                <w:lang w:val="en-IN" w:eastAsia="en-IN"/>
              </w:rPr>
            </w:pPr>
            <w:r w:rsidRPr="00527451">
              <w:rPr>
                <w:rFonts w:ascii="Calibri" w:eastAsia="Times New Roman" w:hAnsi="Calibri" w:cs="Calibri"/>
                <w:color w:val="000000"/>
                <w:lang w:val="en-IN" w:eastAsia="en-IN"/>
              </w:rPr>
              <w:t>Papua New Guinea</w:t>
            </w:r>
          </w:p>
        </w:tc>
      </w:tr>
      <w:tr w:rsidR="00527451" w:rsidRPr="00527451" w14:paraId="3B1EA273" w14:textId="77777777" w:rsidTr="00E200B1">
        <w:trPr>
          <w:trHeight w:val="284"/>
        </w:trPr>
        <w:tc>
          <w:tcPr>
            <w:tcW w:w="3261" w:type="dxa"/>
            <w:tcBorders>
              <w:top w:val="nil"/>
              <w:left w:val="single" w:sz="4" w:space="0" w:color="87194B"/>
              <w:bottom w:val="single" w:sz="4" w:space="0" w:color="87194B"/>
              <w:right w:val="single" w:sz="4" w:space="0" w:color="87194B"/>
            </w:tcBorders>
            <w:shd w:val="clear" w:color="auto" w:fill="auto"/>
            <w:noWrap/>
            <w:vAlign w:val="bottom"/>
            <w:hideMark/>
          </w:tcPr>
          <w:p w14:paraId="3455A1F3" w14:textId="77777777" w:rsidR="00527451" w:rsidRPr="00527451" w:rsidRDefault="00527451" w:rsidP="00527451">
            <w:pPr>
              <w:spacing w:after="0" w:line="240" w:lineRule="auto"/>
              <w:jc w:val="center"/>
              <w:rPr>
                <w:rFonts w:ascii="Calibri" w:eastAsia="Times New Roman" w:hAnsi="Calibri" w:cs="Calibri"/>
                <w:color w:val="000000"/>
                <w:lang w:val="en-IN" w:eastAsia="en-IN"/>
              </w:rPr>
            </w:pPr>
            <w:r w:rsidRPr="00527451">
              <w:rPr>
                <w:rFonts w:ascii="Calibri" w:eastAsia="Times New Roman" w:hAnsi="Calibri" w:cs="Calibri"/>
                <w:color w:val="000000"/>
                <w:lang w:val="en-IN" w:eastAsia="en-IN"/>
              </w:rPr>
              <w:t>PPP</w:t>
            </w:r>
          </w:p>
        </w:tc>
        <w:tc>
          <w:tcPr>
            <w:tcW w:w="5811" w:type="dxa"/>
            <w:tcBorders>
              <w:top w:val="nil"/>
              <w:left w:val="nil"/>
              <w:bottom w:val="single" w:sz="4" w:space="0" w:color="87194B"/>
              <w:right w:val="single" w:sz="4" w:space="0" w:color="87194B"/>
            </w:tcBorders>
            <w:shd w:val="clear" w:color="auto" w:fill="auto"/>
            <w:noWrap/>
            <w:vAlign w:val="bottom"/>
            <w:hideMark/>
          </w:tcPr>
          <w:p w14:paraId="5432C78F" w14:textId="77777777" w:rsidR="00527451" w:rsidRPr="00527451" w:rsidRDefault="00527451" w:rsidP="00527451">
            <w:pPr>
              <w:spacing w:after="0" w:line="240" w:lineRule="auto"/>
              <w:jc w:val="center"/>
              <w:rPr>
                <w:rFonts w:ascii="Calibri" w:eastAsia="Times New Roman" w:hAnsi="Calibri" w:cs="Calibri"/>
                <w:color w:val="000000"/>
                <w:lang w:val="en-IN" w:eastAsia="en-IN"/>
              </w:rPr>
            </w:pPr>
            <w:r w:rsidRPr="00527451">
              <w:rPr>
                <w:rFonts w:ascii="Calibri" w:eastAsia="Times New Roman" w:hAnsi="Calibri" w:cs="Calibri"/>
                <w:color w:val="000000"/>
                <w:lang w:val="en-IN" w:eastAsia="en-IN"/>
              </w:rPr>
              <w:t>Public-Private Partnership</w:t>
            </w:r>
          </w:p>
        </w:tc>
      </w:tr>
      <w:tr w:rsidR="00527451" w:rsidRPr="00527451" w14:paraId="7FF65E40" w14:textId="77777777" w:rsidTr="00E200B1">
        <w:trPr>
          <w:trHeight w:val="284"/>
        </w:trPr>
        <w:tc>
          <w:tcPr>
            <w:tcW w:w="3261" w:type="dxa"/>
            <w:tcBorders>
              <w:top w:val="nil"/>
              <w:left w:val="single" w:sz="4" w:space="0" w:color="87194B"/>
              <w:bottom w:val="single" w:sz="4" w:space="0" w:color="87194B"/>
              <w:right w:val="single" w:sz="4" w:space="0" w:color="87194B"/>
            </w:tcBorders>
            <w:shd w:val="clear" w:color="auto" w:fill="auto"/>
            <w:noWrap/>
            <w:vAlign w:val="bottom"/>
          </w:tcPr>
          <w:p w14:paraId="48E93FBB" w14:textId="56220503" w:rsidR="00527451" w:rsidRPr="00527451" w:rsidRDefault="00527451" w:rsidP="00527451">
            <w:pPr>
              <w:spacing w:after="0" w:line="240" w:lineRule="auto"/>
              <w:jc w:val="center"/>
              <w:rPr>
                <w:rFonts w:ascii="Calibri" w:eastAsia="Times New Roman" w:hAnsi="Calibri" w:cs="Calibri"/>
                <w:color w:val="000000"/>
                <w:lang w:val="en-IN" w:eastAsia="en-IN"/>
              </w:rPr>
            </w:pPr>
          </w:p>
        </w:tc>
        <w:tc>
          <w:tcPr>
            <w:tcW w:w="5811" w:type="dxa"/>
            <w:tcBorders>
              <w:top w:val="nil"/>
              <w:left w:val="nil"/>
              <w:bottom w:val="single" w:sz="4" w:space="0" w:color="87194B"/>
              <w:right w:val="single" w:sz="4" w:space="0" w:color="87194B"/>
            </w:tcBorders>
            <w:shd w:val="clear" w:color="auto" w:fill="auto"/>
            <w:noWrap/>
            <w:vAlign w:val="bottom"/>
          </w:tcPr>
          <w:p w14:paraId="373ED176" w14:textId="23502ED9" w:rsidR="00527451" w:rsidRPr="00527451" w:rsidRDefault="00527451" w:rsidP="00527451">
            <w:pPr>
              <w:spacing w:after="0" w:line="240" w:lineRule="auto"/>
              <w:jc w:val="center"/>
              <w:rPr>
                <w:rFonts w:ascii="Calibri" w:eastAsia="Times New Roman" w:hAnsi="Calibri" w:cs="Calibri"/>
                <w:color w:val="000000"/>
                <w:lang w:val="en-IN" w:eastAsia="en-IN"/>
              </w:rPr>
            </w:pPr>
          </w:p>
        </w:tc>
      </w:tr>
      <w:tr w:rsidR="00527451" w:rsidRPr="00527451" w14:paraId="59D6C08A" w14:textId="77777777" w:rsidTr="00E200B1">
        <w:trPr>
          <w:trHeight w:val="284"/>
        </w:trPr>
        <w:tc>
          <w:tcPr>
            <w:tcW w:w="3261" w:type="dxa"/>
            <w:tcBorders>
              <w:top w:val="nil"/>
              <w:left w:val="single" w:sz="4" w:space="0" w:color="87194B"/>
              <w:bottom w:val="single" w:sz="4" w:space="0" w:color="87194B"/>
              <w:right w:val="single" w:sz="4" w:space="0" w:color="87194B"/>
            </w:tcBorders>
            <w:shd w:val="clear" w:color="auto" w:fill="auto"/>
            <w:noWrap/>
            <w:vAlign w:val="bottom"/>
            <w:hideMark/>
          </w:tcPr>
          <w:p w14:paraId="298ABAE8" w14:textId="77777777" w:rsidR="00527451" w:rsidRPr="00527451" w:rsidRDefault="00527451" w:rsidP="00527451">
            <w:pPr>
              <w:spacing w:after="0" w:line="240" w:lineRule="auto"/>
              <w:jc w:val="center"/>
              <w:rPr>
                <w:rFonts w:ascii="Calibri" w:eastAsia="Times New Roman" w:hAnsi="Calibri" w:cs="Calibri"/>
                <w:color w:val="000000"/>
                <w:lang w:val="en-IN" w:eastAsia="en-IN"/>
              </w:rPr>
            </w:pPr>
            <w:r w:rsidRPr="00527451">
              <w:rPr>
                <w:rFonts w:ascii="Calibri" w:eastAsia="Times New Roman" w:hAnsi="Calibri" w:cs="Calibri"/>
                <w:color w:val="000000"/>
                <w:lang w:val="en-IN" w:eastAsia="en-IN"/>
              </w:rPr>
              <w:t>SME</w:t>
            </w:r>
          </w:p>
        </w:tc>
        <w:tc>
          <w:tcPr>
            <w:tcW w:w="5811" w:type="dxa"/>
            <w:tcBorders>
              <w:top w:val="nil"/>
              <w:left w:val="nil"/>
              <w:bottom w:val="single" w:sz="4" w:space="0" w:color="87194B"/>
              <w:right w:val="single" w:sz="4" w:space="0" w:color="87194B"/>
            </w:tcBorders>
            <w:shd w:val="clear" w:color="auto" w:fill="auto"/>
            <w:noWrap/>
            <w:vAlign w:val="bottom"/>
            <w:hideMark/>
          </w:tcPr>
          <w:p w14:paraId="4A312149" w14:textId="77777777" w:rsidR="00527451" w:rsidRPr="00527451" w:rsidRDefault="00527451" w:rsidP="00527451">
            <w:pPr>
              <w:spacing w:after="0" w:line="240" w:lineRule="auto"/>
              <w:jc w:val="center"/>
              <w:rPr>
                <w:rFonts w:ascii="Calibri" w:eastAsia="Times New Roman" w:hAnsi="Calibri" w:cs="Calibri"/>
                <w:color w:val="000000"/>
                <w:lang w:val="en-IN" w:eastAsia="en-IN"/>
              </w:rPr>
            </w:pPr>
            <w:r w:rsidRPr="00527451">
              <w:rPr>
                <w:rFonts w:ascii="Calibri" w:eastAsia="Times New Roman" w:hAnsi="Calibri" w:cs="Calibri"/>
                <w:color w:val="000000"/>
                <w:lang w:val="en-IN" w:eastAsia="en-IN"/>
              </w:rPr>
              <w:t>Small and Medium Enterprises</w:t>
            </w:r>
          </w:p>
        </w:tc>
      </w:tr>
      <w:tr w:rsidR="00527451" w:rsidRPr="00527451" w14:paraId="57D27DF2" w14:textId="77777777" w:rsidTr="00E200B1">
        <w:trPr>
          <w:trHeight w:val="284"/>
        </w:trPr>
        <w:tc>
          <w:tcPr>
            <w:tcW w:w="3261" w:type="dxa"/>
            <w:tcBorders>
              <w:top w:val="nil"/>
              <w:left w:val="single" w:sz="4" w:space="0" w:color="87194B"/>
              <w:bottom w:val="single" w:sz="4" w:space="0" w:color="87194B"/>
              <w:right w:val="single" w:sz="4" w:space="0" w:color="87194B"/>
            </w:tcBorders>
            <w:shd w:val="clear" w:color="auto" w:fill="auto"/>
            <w:noWrap/>
            <w:vAlign w:val="bottom"/>
            <w:hideMark/>
          </w:tcPr>
          <w:p w14:paraId="1EA551DD" w14:textId="77777777" w:rsidR="00527451" w:rsidRPr="00527451" w:rsidRDefault="00527451" w:rsidP="00527451">
            <w:pPr>
              <w:spacing w:after="0" w:line="240" w:lineRule="auto"/>
              <w:jc w:val="center"/>
              <w:rPr>
                <w:rFonts w:ascii="Calibri" w:eastAsia="Times New Roman" w:hAnsi="Calibri" w:cs="Calibri"/>
                <w:color w:val="000000"/>
                <w:lang w:val="en-IN" w:eastAsia="en-IN"/>
              </w:rPr>
            </w:pPr>
            <w:r w:rsidRPr="00527451">
              <w:rPr>
                <w:rFonts w:ascii="Calibri" w:eastAsia="Times New Roman" w:hAnsi="Calibri" w:cs="Calibri"/>
                <w:color w:val="000000"/>
                <w:lang w:val="en-IN" w:eastAsia="en-IN"/>
              </w:rPr>
              <w:t>SOE</w:t>
            </w:r>
          </w:p>
        </w:tc>
        <w:tc>
          <w:tcPr>
            <w:tcW w:w="5811" w:type="dxa"/>
            <w:tcBorders>
              <w:top w:val="nil"/>
              <w:left w:val="nil"/>
              <w:bottom w:val="single" w:sz="4" w:space="0" w:color="87194B"/>
              <w:right w:val="single" w:sz="4" w:space="0" w:color="87194B"/>
            </w:tcBorders>
            <w:shd w:val="clear" w:color="auto" w:fill="auto"/>
            <w:noWrap/>
            <w:vAlign w:val="bottom"/>
            <w:hideMark/>
          </w:tcPr>
          <w:p w14:paraId="47425C0F" w14:textId="77777777" w:rsidR="00527451" w:rsidRPr="00527451" w:rsidRDefault="00527451" w:rsidP="00527451">
            <w:pPr>
              <w:spacing w:after="0" w:line="240" w:lineRule="auto"/>
              <w:jc w:val="center"/>
              <w:rPr>
                <w:rFonts w:ascii="Calibri" w:eastAsia="Times New Roman" w:hAnsi="Calibri" w:cs="Calibri"/>
                <w:color w:val="000000"/>
                <w:lang w:val="en-IN" w:eastAsia="en-IN"/>
              </w:rPr>
            </w:pPr>
            <w:r w:rsidRPr="00527451">
              <w:rPr>
                <w:rFonts w:ascii="Calibri" w:eastAsia="Times New Roman" w:hAnsi="Calibri" w:cs="Calibri"/>
                <w:color w:val="000000"/>
                <w:lang w:val="en-IN" w:eastAsia="en-IN"/>
              </w:rPr>
              <w:t>State Owned Enterprise</w:t>
            </w:r>
          </w:p>
        </w:tc>
      </w:tr>
      <w:tr w:rsidR="00527451" w:rsidRPr="00527451" w14:paraId="1632F22D" w14:textId="77777777" w:rsidTr="00E200B1">
        <w:trPr>
          <w:trHeight w:val="284"/>
        </w:trPr>
        <w:tc>
          <w:tcPr>
            <w:tcW w:w="3261" w:type="dxa"/>
            <w:tcBorders>
              <w:top w:val="nil"/>
              <w:left w:val="single" w:sz="4" w:space="0" w:color="87194B"/>
              <w:bottom w:val="single" w:sz="4" w:space="0" w:color="87194B"/>
              <w:right w:val="single" w:sz="4" w:space="0" w:color="87194B"/>
            </w:tcBorders>
            <w:shd w:val="clear" w:color="auto" w:fill="auto"/>
            <w:noWrap/>
            <w:vAlign w:val="bottom"/>
            <w:hideMark/>
          </w:tcPr>
          <w:p w14:paraId="4136863B" w14:textId="77777777" w:rsidR="00527451" w:rsidRPr="00527451" w:rsidRDefault="00527451" w:rsidP="00527451">
            <w:pPr>
              <w:spacing w:after="0" w:line="240" w:lineRule="auto"/>
              <w:jc w:val="center"/>
              <w:rPr>
                <w:rFonts w:ascii="Calibri" w:eastAsia="Times New Roman" w:hAnsi="Calibri" w:cs="Calibri"/>
                <w:color w:val="000000"/>
                <w:lang w:val="en-IN" w:eastAsia="en-IN"/>
              </w:rPr>
            </w:pPr>
            <w:r w:rsidRPr="00527451">
              <w:rPr>
                <w:rFonts w:ascii="Calibri" w:eastAsia="Times New Roman" w:hAnsi="Calibri" w:cs="Calibri"/>
                <w:color w:val="000000"/>
                <w:lang w:val="en-IN" w:eastAsia="en-IN"/>
              </w:rPr>
              <w:t>TA</w:t>
            </w:r>
          </w:p>
        </w:tc>
        <w:tc>
          <w:tcPr>
            <w:tcW w:w="5811" w:type="dxa"/>
            <w:tcBorders>
              <w:top w:val="nil"/>
              <w:left w:val="nil"/>
              <w:bottom w:val="single" w:sz="4" w:space="0" w:color="87194B"/>
              <w:right w:val="single" w:sz="4" w:space="0" w:color="87194B"/>
            </w:tcBorders>
            <w:shd w:val="clear" w:color="auto" w:fill="auto"/>
            <w:noWrap/>
            <w:vAlign w:val="bottom"/>
            <w:hideMark/>
          </w:tcPr>
          <w:p w14:paraId="63C84CB0" w14:textId="77777777" w:rsidR="00527451" w:rsidRPr="00527451" w:rsidRDefault="00527451" w:rsidP="00527451">
            <w:pPr>
              <w:spacing w:after="0" w:line="240" w:lineRule="auto"/>
              <w:jc w:val="center"/>
              <w:rPr>
                <w:rFonts w:ascii="Calibri" w:eastAsia="Times New Roman" w:hAnsi="Calibri" w:cs="Calibri"/>
                <w:color w:val="000000"/>
                <w:lang w:val="en-IN" w:eastAsia="en-IN"/>
              </w:rPr>
            </w:pPr>
            <w:r w:rsidRPr="00527451">
              <w:rPr>
                <w:rFonts w:ascii="Calibri" w:eastAsia="Times New Roman" w:hAnsi="Calibri" w:cs="Calibri"/>
                <w:color w:val="000000"/>
                <w:lang w:val="en-IN" w:eastAsia="en-IN"/>
              </w:rPr>
              <w:t>Technical Assistance</w:t>
            </w:r>
          </w:p>
        </w:tc>
      </w:tr>
      <w:tr w:rsidR="00527451" w:rsidRPr="00527451" w14:paraId="6EDD7D1B" w14:textId="77777777" w:rsidTr="00E200B1">
        <w:trPr>
          <w:trHeight w:val="284"/>
        </w:trPr>
        <w:tc>
          <w:tcPr>
            <w:tcW w:w="3261" w:type="dxa"/>
            <w:tcBorders>
              <w:top w:val="nil"/>
              <w:left w:val="single" w:sz="4" w:space="0" w:color="87194B"/>
              <w:bottom w:val="single" w:sz="4" w:space="0" w:color="87194B"/>
              <w:right w:val="single" w:sz="4" w:space="0" w:color="87194B"/>
            </w:tcBorders>
            <w:shd w:val="clear" w:color="auto" w:fill="auto"/>
            <w:noWrap/>
            <w:vAlign w:val="bottom"/>
            <w:hideMark/>
          </w:tcPr>
          <w:p w14:paraId="4856C016" w14:textId="77777777" w:rsidR="00527451" w:rsidRPr="00527451" w:rsidRDefault="00527451" w:rsidP="00527451">
            <w:pPr>
              <w:spacing w:after="0" w:line="240" w:lineRule="auto"/>
              <w:jc w:val="center"/>
              <w:rPr>
                <w:rFonts w:ascii="Calibri" w:eastAsia="Times New Roman" w:hAnsi="Calibri" w:cs="Calibri"/>
                <w:color w:val="000000"/>
                <w:lang w:val="en-IN" w:eastAsia="en-IN"/>
              </w:rPr>
            </w:pPr>
            <w:r w:rsidRPr="00527451">
              <w:rPr>
                <w:rFonts w:ascii="Calibri" w:eastAsia="Times New Roman" w:hAnsi="Calibri" w:cs="Calibri"/>
                <w:color w:val="000000"/>
                <w:lang w:val="en-IN" w:eastAsia="en-IN"/>
              </w:rPr>
              <w:t>TVET</w:t>
            </w:r>
          </w:p>
        </w:tc>
        <w:tc>
          <w:tcPr>
            <w:tcW w:w="5811" w:type="dxa"/>
            <w:tcBorders>
              <w:top w:val="nil"/>
              <w:left w:val="nil"/>
              <w:bottom w:val="single" w:sz="4" w:space="0" w:color="87194B"/>
              <w:right w:val="single" w:sz="4" w:space="0" w:color="87194B"/>
            </w:tcBorders>
            <w:shd w:val="clear" w:color="auto" w:fill="auto"/>
            <w:noWrap/>
            <w:vAlign w:val="bottom"/>
            <w:hideMark/>
          </w:tcPr>
          <w:p w14:paraId="4313EFA6" w14:textId="77777777" w:rsidR="00527451" w:rsidRPr="00527451" w:rsidRDefault="00527451" w:rsidP="00527451">
            <w:pPr>
              <w:spacing w:after="0" w:line="240" w:lineRule="auto"/>
              <w:jc w:val="center"/>
              <w:rPr>
                <w:rFonts w:ascii="Calibri" w:eastAsia="Times New Roman" w:hAnsi="Calibri" w:cs="Calibri"/>
                <w:color w:val="000000"/>
                <w:lang w:val="en-IN" w:eastAsia="en-IN"/>
              </w:rPr>
            </w:pPr>
            <w:r w:rsidRPr="00527451">
              <w:rPr>
                <w:rFonts w:ascii="Calibri" w:eastAsia="Times New Roman" w:hAnsi="Calibri" w:cs="Calibri"/>
                <w:color w:val="000000"/>
                <w:lang w:eastAsia="en-IN"/>
              </w:rPr>
              <w:t>Technical and Vocational Education and Training</w:t>
            </w:r>
          </w:p>
        </w:tc>
      </w:tr>
      <w:tr w:rsidR="00527451" w:rsidRPr="00527451" w14:paraId="6679D9EE" w14:textId="77777777" w:rsidTr="00E200B1">
        <w:trPr>
          <w:trHeight w:val="284"/>
        </w:trPr>
        <w:tc>
          <w:tcPr>
            <w:tcW w:w="3261" w:type="dxa"/>
            <w:tcBorders>
              <w:top w:val="nil"/>
              <w:left w:val="single" w:sz="4" w:space="0" w:color="87194B"/>
              <w:bottom w:val="single" w:sz="4" w:space="0" w:color="87194B"/>
              <w:right w:val="single" w:sz="4" w:space="0" w:color="87194B"/>
            </w:tcBorders>
            <w:shd w:val="clear" w:color="auto" w:fill="auto"/>
            <w:noWrap/>
            <w:vAlign w:val="bottom"/>
            <w:hideMark/>
          </w:tcPr>
          <w:p w14:paraId="421571CA" w14:textId="77777777" w:rsidR="00527451" w:rsidRPr="00527451" w:rsidRDefault="00527451" w:rsidP="00527451">
            <w:pPr>
              <w:spacing w:after="0" w:line="240" w:lineRule="auto"/>
              <w:jc w:val="center"/>
              <w:rPr>
                <w:rFonts w:ascii="Calibri" w:eastAsia="Times New Roman" w:hAnsi="Calibri" w:cs="Calibri"/>
                <w:color w:val="000000"/>
                <w:lang w:val="en-IN" w:eastAsia="en-IN"/>
              </w:rPr>
            </w:pPr>
            <w:r w:rsidRPr="00527451">
              <w:rPr>
                <w:rFonts w:ascii="Calibri" w:eastAsia="Times New Roman" w:hAnsi="Calibri" w:cs="Calibri"/>
                <w:color w:val="000000"/>
                <w:lang w:val="en-IN" w:eastAsia="en-IN"/>
              </w:rPr>
              <w:t>USAID</w:t>
            </w:r>
          </w:p>
        </w:tc>
        <w:tc>
          <w:tcPr>
            <w:tcW w:w="5811" w:type="dxa"/>
            <w:tcBorders>
              <w:top w:val="nil"/>
              <w:left w:val="nil"/>
              <w:bottom w:val="single" w:sz="4" w:space="0" w:color="87194B"/>
              <w:right w:val="single" w:sz="4" w:space="0" w:color="87194B"/>
            </w:tcBorders>
            <w:shd w:val="clear" w:color="auto" w:fill="auto"/>
            <w:noWrap/>
            <w:vAlign w:val="bottom"/>
            <w:hideMark/>
          </w:tcPr>
          <w:p w14:paraId="4BBB2B53" w14:textId="77777777" w:rsidR="00527451" w:rsidRPr="00527451" w:rsidRDefault="00527451" w:rsidP="00527451">
            <w:pPr>
              <w:spacing w:after="0" w:line="240" w:lineRule="auto"/>
              <w:jc w:val="center"/>
              <w:rPr>
                <w:rFonts w:ascii="Calibri" w:eastAsia="Times New Roman" w:hAnsi="Calibri" w:cs="Calibri"/>
                <w:color w:val="000000"/>
                <w:lang w:val="en-IN" w:eastAsia="en-IN"/>
              </w:rPr>
            </w:pPr>
            <w:r w:rsidRPr="00527451">
              <w:rPr>
                <w:rFonts w:ascii="Calibri" w:eastAsia="Times New Roman" w:hAnsi="Calibri" w:cs="Calibri"/>
                <w:color w:val="000000"/>
                <w:lang w:eastAsia="en-IN"/>
              </w:rPr>
              <w:t xml:space="preserve">United States Agency for International Development </w:t>
            </w:r>
          </w:p>
        </w:tc>
      </w:tr>
      <w:tr w:rsidR="00527451" w:rsidRPr="00527451" w14:paraId="0F29A22D" w14:textId="77777777" w:rsidTr="00E200B1">
        <w:trPr>
          <w:trHeight w:val="284"/>
        </w:trPr>
        <w:tc>
          <w:tcPr>
            <w:tcW w:w="3261" w:type="dxa"/>
            <w:tcBorders>
              <w:top w:val="nil"/>
              <w:left w:val="single" w:sz="4" w:space="0" w:color="87194B"/>
              <w:bottom w:val="single" w:sz="4" w:space="0" w:color="87194B"/>
              <w:right w:val="single" w:sz="4" w:space="0" w:color="87194B"/>
            </w:tcBorders>
            <w:shd w:val="clear" w:color="auto" w:fill="auto"/>
            <w:noWrap/>
            <w:vAlign w:val="bottom"/>
            <w:hideMark/>
          </w:tcPr>
          <w:p w14:paraId="11109EE7" w14:textId="77777777" w:rsidR="00527451" w:rsidRPr="00527451" w:rsidRDefault="00527451" w:rsidP="00527451">
            <w:pPr>
              <w:spacing w:after="0" w:line="240" w:lineRule="auto"/>
              <w:jc w:val="center"/>
              <w:rPr>
                <w:rFonts w:ascii="Calibri" w:eastAsia="Times New Roman" w:hAnsi="Calibri" w:cs="Calibri"/>
                <w:color w:val="000000"/>
                <w:lang w:val="en-IN" w:eastAsia="en-IN"/>
              </w:rPr>
            </w:pPr>
            <w:r w:rsidRPr="00527451">
              <w:rPr>
                <w:rFonts w:ascii="Calibri" w:eastAsia="Times New Roman" w:hAnsi="Calibri" w:cs="Calibri"/>
                <w:color w:val="000000"/>
                <w:lang w:val="en-IN" w:eastAsia="en-IN"/>
              </w:rPr>
              <w:t>WASH</w:t>
            </w:r>
          </w:p>
        </w:tc>
        <w:tc>
          <w:tcPr>
            <w:tcW w:w="5811" w:type="dxa"/>
            <w:tcBorders>
              <w:top w:val="nil"/>
              <w:left w:val="nil"/>
              <w:bottom w:val="single" w:sz="4" w:space="0" w:color="87194B"/>
              <w:right w:val="single" w:sz="4" w:space="0" w:color="87194B"/>
            </w:tcBorders>
            <w:shd w:val="clear" w:color="auto" w:fill="auto"/>
            <w:noWrap/>
            <w:vAlign w:val="bottom"/>
            <w:hideMark/>
          </w:tcPr>
          <w:p w14:paraId="45ACBF09" w14:textId="77777777" w:rsidR="00527451" w:rsidRPr="00527451" w:rsidRDefault="00527451" w:rsidP="00527451">
            <w:pPr>
              <w:spacing w:after="0" w:line="240" w:lineRule="auto"/>
              <w:jc w:val="center"/>
              <w:rPr>
                <w:rFonts w:ascii="Calibri" w:eastAsia="Times New Roman" w:hAnsi="Calibri" w:cs="Calibri"/>
                <w:color w:val="000000"/>
                <w:lang w:val="en-IN" w:eastAsia="en-IN"/>
              </w:rPr>
            </w:pPr>
            <w:r w:rsidRPr="00527451">
              <w:rPr>
                <w:rFonts w:ascii="Calibri" w:eastAsia="Times New Roman" w:hAnsi="Calibri" w:cs="Calibri"/>
                <w:color w:val="000000"/>
                <w:lang w:val="en-IN" w:eastAsia="en-IN"/>
              </w:rPr>
              <w:t xml:space="preserve">Water, Sanitation and Hygiene </w:t>
            </w:r>
          </w:p>
        </w:tc>
      </w:tr>
      <w:tr w:rsidR="00EA444D" w:rsidRPr="00527451" w14:paraId="0E749C2D" w14:textId="77777777" w:rsidTr="00E200B1">
        <w:trPr>
          <w:trHeight w:val="284"/>
        </w:trPr>
        <w:tc>
          <w:tcPr>
            <w:tcW w:w="3261" w:type="dxa"/>
            <w:tcBorders>
              <w:top w:val="nil"/>
              <w:left w:val="single" w:sz="4" w:space="0" w:color="87194B"/>
              <w:bottom w:val="single" w:sz="4" w:space="0" w:color="87194B"/>
              <w:right w:val="single" w:sz="4" w:space="0" w:color="87194B"/>
            </w:tcBorders>
            <w:shd w:val="clear" w:color="auto" w:fill="auto"/>
            <w:noWrap/>
            <w:vAlign w:val="bottom"/>
          </w:tcPr>
          <w:p w14:paraId="69DBE206" w14:textId="703E3F5F" w:rsidR="00EA444D" w:rsidRPr="00527451" w:rsidRDefault="00E24841" w:rsidP="00527451">
            <w:pPr>
              <w:spacing w:after="0" w:line="240" w:lineRule="auto"/>
              <w:jc w:val="center"/>
              <w:rPr>
                <w:rFonts w:ascii="Calibri" w:eastAsia="Times New Roman" w:hAnsi="Calibri" w:cs="Calibri"/>
                <w:color w:val="000000"/>
                <w:lang w:val="en-IN" w:eastAsia="en-IN"/>
              </w:rPr>
            </w:pPr>
            <w:r w:rsidRPr="00527451">
              <w:rPr>
                <w:rFonts w:ascii="Calibri" w:eastAsia="Times New Roman" w:hAnsi="Calibri" w:cs="Calibri"/>
                <w:color w:val="000000"/>
                <w:lang w:val="en-IN" w:eastAsia="en-IN"/>
              </w:rPr>
              <w:t>WB</w:t>
            </w:r>
          </w:p>
        </w:tc>
        <w:tc>
          <w:tcPr>
            <w:tcW w:w="5811" w:type="dxa"/>
            <w:tcBorders>
              <w:top w:val="nil"/>
              <w:left w:val="nil"/>
              <w:bottom w:val="single" w:sz="4" w:space="0" w:color="87194B"/>
              <w:right w:val="single" w:sz="4" w:space="0" w:color="87194B"/>
            </w:tcBorders>
            <w:shd w:val="clear" w:color="auto" w:fill="auto"/>
            <w:noWrap/>
            <w:vAlign w:val="bottom"/>
          </w:tcPr>
          <w:p w14:paraId="337AF0CC" w14:textId="4B9C5188" w:rsidR="00EA444D" w:rsidRPr="00527451" w:rsidRDefault="00E24841" w:rsidP="00527451">
            <w:pPr>
              <w:spacing w:after="0" w:line="240" w:lineRule="auto"/>
              <w:jc w:val="center"/>
              <w:rPr>
                <w:rFonts w:ascii="Calibri" w:eastAsia="Times New Roman" w:hAnsi="Calibri" w:cs="Calibri"/>
                <w:color w:val="000000"/>
                <w:lang w:val="en-IN" w:eastAsia="en-IN"/>
              </w:rPr>
            </w:pPr>
            <w:r w:rsidRPr="00527451">
              <w:rPr>
                <w:rFonts w:ascii="Calibri" w:eastAsia="Times New Roman" w:hAnsi="Calibri" w:cs="Calibri"/>
                <w:color w:val="000000"/>
                <w:lang w:val="en-IN" w:eastAsia="en-IN"/>
              </w:rPr>
              <w:t>World Bank</w:t>
            </w:r>
          </w:p>
        </w:tc>
      </w:tr>
    </w:tbl>
    <w:p w14:paraId="0C4BC766" w14:textId="77777777" w:rsidR="00E24841" w:rsidRDefault="00E24841">
      <w:pPr>
        <w:rPr>
          <w:rFonts w:asciiTheme="majorHAnsi" w:eastAsiaTheme="majorEastAsia" w:hAnsiTheme="majorHAnsi" w:cstheme="majorBidi"/>
          <w:color w:val="2F5496" w:themeColor="accent1" w:themeShade="BF"/>
          <w:sz w:val="32"/>
          <w:szCs w:val="32"/>
        </w:rPr>
      </w:pPr>
      <w:bookmarkStart w:id="6" w:name="_Toc531965938"/>
      <w:r>
        <w:br w:type="page"/>
      </w:r>
    </w:p>
    <w:p w14:paraId="6291D9CD" w14:textId="65085903" w:rsidR="0076175A" w:rsidRPr="003824A0" w:rsidRDefault="0076175A" w:rsidP="00E84878">
      <w:pPr>
        <w:pStyle w:val="Heading2"/>
      </w:pPr>
      <w:r w:rsidRPr="003824A0">
        <w:lastRenderedPageBreak/>
        <w:t>E</w:t>
      </w:r>
      <w:r>
        <w:t xml:space="preserve">xecutive </w:t>
      </w:r>
      <w:r w:rsidRPr="003824A0">
        <w:t>S</w:t>
      </w:r>
      <w:r>
        <w:t>ummary</w:t>
      </w:r>
      <w:bookmarkEnd w:id="6"/>
    </w:p>
    <w:p w14:paraId="105D8403" w14:textId="71F13836" w:rsidR="0076175A" w:rsidRDefault="0076175A" w:rsidP="00594341">
      <w:pPr>
        <w:spacing w:before="120" w:after="120" w:line="240" w:lineRule="auto"/>
      </w:pPr>
      <w:r>
        <w:t>The challenges of economic development are increasingly being met through new methods, focused on raising private finance for public infrastructure and on encouraging private businesses to make greater contributions to development.</w:t>
      </w:r>
      <w:r w:rsidRPr="00003A59">
        <w:t xml:space="preserve"> </w:t>
      </w:r>
      <w:r>
        <w:t xml:space="preserve">This situation presents a widening range of opportunities for Australia’s development assistance program. </w:t>
      </w:r>
      <w:r w:rsidRPr="00356284">
        <w:t xml:space="preserve">Using </w:t>
      </w:r>
      <w:bookmarkStart w:id="7" w:name="_Hlk531419545"/>
      <w:r w:rsidR="00552F2C">
        <w:t>non-grant finance</w:t>
      </w:r>
      <w:r w:rsidR="00186117">
        <w:t xml:space="preserve"> (NGF)</w:t>
      </w:r>
      <w:r w:rsidR="001261FD">
        <w:t>,</w:t>
      </w:r>
      <w:r w:rsidR="00186117">
        <w:t xml:space="preserve"> and</w:t>
      </w:r>
      <w:bookmarkEnd w:id="7"/>
      <w:r w:rsidRPr="00B55B9D">
        <w:t xml:space="preserve"> applying grants in innovative ways</w:t>
      </w:r>
      <w:r w:rsidR="00186117">
        <w:t>,</w:t>
      </w:r>
      <w:r>
        <w:t xml:space="preserve"> could be part of grasping those opportunities,</w:t>
      </w:r>
      <w:r w:rsidRPr="00356284">
        <w:t xml:space="preserve"> in two main ways</w:t>
      </w:r>
      <w:r>
        <w:t>:</w:t>
      </w:r>
    </w:p>
    <w:p w14:paraId="6E9E2833" w14:textId="06377FE1" w:rsidR="0076175A" w:rsidRDefault="0076175A" w:rsidP="000F209C">
      <w:pPr>
        <w:pStyle w:val="ListParagraph"/>
        <w:numPr>
          <w:ilvl w:val="0"/>
          <w:numId w:val="2"/>
        </w:numPr>
        <w:spacing w:before="120" w:after="120" w:line="240" w:lineRule="auto"/>
        <w:contextualSpacing w:val="0"/>
      </w:pPr>
      <w:r>
        <w:t xml:space="preserve">by multiplying the size </w:t>
      </w:r>
      <w:r w:rsidR="00737638" w:rsidRPr="00D83859">
        <w:t>or number</w:t>
      </w:r>
      <w:r w:rsidR="00737638">
        <w:t xml:space="preserve"> </w:t>
      </w:r>
      <w:r>
        <w:t>of projects which Australia could finance</w:t>
      </w:r>
      <w:r w:rsidR="00E751AD">
        <w:t xml:space="preserve"> </w:t>
      </w:r>
      <w:r w:rsidR="00E751AD" w:rsidRPr="00D83859">
        <w:t>directly</w:t>
      </w:r>
      <w:r>
        <w:t xml:space="preserve">, and </w:t>
      </w:r>
    </w:p>
    <w:p w14:paraId="447926CF" w14:textId="77777777" w:rsidR="0076175A" w:rsidRDefault="0076175A" w:rsidP="000F209C">
      <w:pPr>
        <w:pStyle w:val="ListParagraph"/>
        <w:numPr>
          <w:ilvl w:val="0"/>
          <w:numId w:val="2"/>
        </w:numPr>
        <w:spacing w:before="120" w:after="120" w:line="240" w:lineRule="auto"/>
        <w:contextualSpacing w:val="0"/>
      </w:pPr>
      <w:r>
        <w:t>by being a more effective catalyst for other finance in private-sector projects</w:t>
      </w:r>
      <w:r w:rsidRPr="00356284">
        <w:t>.</w:t>
      </w:r>
    </w:p>
    <w:p w14:paraId="76D2BDD2" w14:textId="77777777" w:rsidR="0076175A" w:rsidRPr="00E84878" w:rsidRDefault="0076175A" w:rsidP="00E84878">
      <w:pPr>
        <w:pStyle w:val="Heading3"/>
        <w:rPr>
          <w:rStyle w:val="Strong"/>
        </w:rPr>
      </w:pPr>
      <w:r w:rsidRPr="00E84878">
        <w:rPr>
          <w:rStyle w:val="Strong"/>
        </w:rPr>
        <w:t>Strategic implications</w:t>
      </w:r>
    </w:p>
    <w:p w14:paraId="0DC90D57" w14:textId="25C7344C" w:rsidR="0076175A" w:rsidRDefault="0076175A" w:rsidP="00594341">
      <w:pPr>
        <w:spacing w:before="120" w:after="120" w:line="240" w:lineRule="auto"/>
      </w:pPr>
      <w:r w:rsidRPr="008727D5">
        <w:t>Increasing the reach of the development assistance</w:t>
      </w:r>
      <w:r w:rsidR="003F7820">
        <w:t xml:space="preserve"> program </w:t>
      </w:r>
      <w:r w:rsidRPr="008727D5">
        <w:t xml:space="preserve">in these ways </w:t>
      </w:r>
      <w:r w:rsidRPr="00356284">
        <w:t xml:space="preserve">would make </w:t>
      </w:r>
      <w:r>
        <w:t>it</w:t>
      </w:r>
      <w:r w:rsidRPr="00356284">
        <w:t xml:space="preserve"> a more effective </w:t>
      </w:r>
      <w:r>
        <w:t>instrument</w:t>
      </w:r>
      <w:r w:rsidRPr="00356284">
        <w:t xml:space="preserve"> of foreign </w:t>
      </w:r>
      <w:r>
        <w:t xml:space="preserve">and strategic </w:t>
      </w:r>
      <w:r w:rsidRPr="00356284">
        <w:t>polic</w:t>
      </w:r>
      <w:r>
        <w:t xml:space="preserve">ies, </w:t>
      </w:r>
      <w:r w:rsidRPr="00356284">
        <w:t xml:space="preserve">as well as </w:t>
      </w:r>
      <w:r>
        <w:t xml:space="preserve">substantially </w:t>
      </w:r>
      <w:r w:rsidRPr="00356284">
        <w:t>better in attaining development objectives</w:t>
      </w:r>
      <w:r w:rsidR="001F5DA3">
        <w:t>:</w:t>
      </w:r>
      <w:r>
        <w:t xml:space="preserve"> </w:t>
      </w:r>
    </w:p>
    <w:p w14:paraId="0A91A4F3" w14:textId="2CAD89D0" w:rsidR="001F5DA3" w:rsidRDefault="001F5DA3" w:rsidP="000F209C">
      <w:pPr>
        <w:pStyle w:val="ListParagraph"/>
        <w:numPr>
          <w:ilvl w:val="0"/>
          <w:numId w:val="2"/>
        </w:numPr>
        <w:spacing w:before="120" w:after="120" w:line="240" w:lineRule="auto"/>
        <w:contextualSpacing w:val="0"/>
      </w:pPr>
      <w:r>
        <w:t xml:space="preserve">as a vehicle for applying Australia’s policy advice, improving regulatory practice, and strengthening the state institutions which enable or implement large projects </w:t>
      </w:r>
    </w:p>
    <w:p w14:paraId="35749233" w14:textId="544A3DF7" w:rsidR="001F5DA3" w:rsidRDefault="001F5DA3" w:rsidP="000F209C">
      <w:pPr>
        <w:pStyle w:val="ListParagraph"/>
        <w:numPr>
          <w:ilvl w:val="0"/>
          <w:numId w:val="2"/>
        </w:numPr>
        <w:spacing w:before="120" w:after="120" w:line="240" w:lineRule="auto"/>
        <w:contextualSpacing w:val="0"/>
      </w:pPr>
      <w:r>
        <w:t>through expanding opportunities for Australian companies and service providers, and helping to foster competition and make markets more open</w:t>
      </w:r>
    </w:p>
    <w:p w14:paraId="1071C024" w14:textId="3D878627" w:rsidR="001F5DA3" w:rsidRDefault="001F5DA3" w:rsidP="000F209C">
      <w:pPr>
        <w:pStyle w:val="ListParagraph"/>
        <w:numPr>
          <w:ilvl w:val="0"/>
          <w:numId w:val="2"/>
        </w:numPr>
        <w:spacing w:before="120" w:after="120" w:line="240" w:lineRule="auto"/>
        <w:contextualSpacing w:val="0"/>
      </w:pPr>
      <w:r>
        <w:t xml:space="preserve">through sharing Australian innovations across a wide range of technical fields  </w:t>
      </w:r>
    </w:p>
    <w:p w14:paraId="76E4F1F4" w14:textId="1033DEAB" w:rsidR="001F5DA3" w:rsidRDefault="001F5DA3" w:rsidP="000F209C">
      <w:pPr>
        <w:pStyle w:val="ListParagraph"/>
        <w:numPr>
          <w:ilvl w:val="0"/>
          <w:numId w:val="2"/>
        </w:numPr>
        <w:spacing w:before="120" w:after="120" w:line="240" w:lineRule="auto"/>
        <w:contextualSpacing w:val="0"/>
      </w:pPr>
      <w:r>
        <w:t>through promoting open trade and investment policies, competition in the interests of users of public services, and a rule</w:t>
      </w:r>
      <w:r w:rsidR="00CE53FA">
        <w:t>-</w:t>
      </w:r>
      <w:r>
        <w:t>based system of conducting business.</w:t>
      </w:r>
    </w:p>
    <w:p w14:paraId="62553CB2" w14:textId="6AAE8829" w:rsidR="001F5DA3" w:rsidRDefault="001F5DA3" w:rsidP="001F5DA3">
      <w:pPr>
        <w:spacing w:before="120" w:after="120" w:line="240" w:lineRule="auto"/>
      </w:pPr>
      <w:r>
        <w:t xml:space="preserve">Helping in the provision of blended public-private finance is a role for Australia which will have relevance and value for decades to come. </w:t>
      </w:r>
      <w:r w:rsidR="005D4FA1">
        <w:t>It</w:t>
      </w:r>
      <w:r>
        <w:t xml:space="preserve"> could keep </w:t>
      </w:r>
      <w:r w:rsidR="005D4FA1">
        <w:t xml:space="preserve">on </w:t>
      </w:r>
      <w:r>
        <w:t xml:space="preserve">supporting relations with governments which no longer want or qualify for </w:t>
      </w:r>
      <w:bookmarkStart w:id="8" w:name="_Hlk534985122"/>
      <w:r w:rsidR="00EF73D7">
        <w:t>older forms of</w:t>
      </w:r>
      <w:r>
        <w:t xml:space="preserve"> development </w:t>
      </w:r>
      <w:bookmarkEnd w:id="8"/>
      <w:r>
        <w:t>assistance.</w:t>
      </w:r>
    </w:p>
    <w:p w14:paraId="75117362" w14:textId="0DFAA1AD" w:rsidR="0076175A" w:rsidRDefault="0076175A" w:rsidP="00594341">
      <w:pPr>
        <w:spacing w:before="120" w:after="120" w:line="240" w:lineRule="auto"/>
      </w:pPr>
      <w:r w:rsidRPr="0068470C">
        <w:t xml:space="preserve">Using a broader range of financing instruments </w:t>
      </w:r>
      <w:r w:rsidRPr="008727D5">
        <w:t>would have strategic value in Indonesia</w:t>
      </w:r>
      <w:r>
        <w:t xml:space="preserve">, and several other countries in Southeast Asia where Australia has substantial bilateral </w:t>
      </w:r>
      <w:r w:rsidR="003F7820">
        <w:t>programs,</w:t>
      </w:r>
      <w:r>
        <w:t xml:space="preserve"> as well as in</w:t>
      </w:r>
      <w:r w:rsidRPr="00BD5EC1">
        <w:t xml:space="preserve"> Papua New Guinea</w:t>
      </w:r>
      <w:r w:rsidR="009E66C7">
        <w:t xml:space="preserve"> (PNG)</w:t>
      </w:r>
      <w:r w:rsidR="0051132A">
        <w:t>,</w:t>
      </w:r>
      <w:r>
        <w:t xml:space="preserve"> </w:t>
      </w:r>
      <w:r w:rsidR="0051132A" w:rsidRPr="00BD5EC1">
        <w:t>Timor-Leste</w:t>
      </w:r>
      <w:r w:rsidR="0051132A">
        <w:t xml:space="preserve"> </w:t>
      </w:r>
      <w:r>
        <w:t>and the Pacific.</w:t>
      </w:r>
    </w:p>
    <w:p w14:paraId="5C639FA1" w14:textId="77777777" w:rsidR="00D126D9" w:rsidRPr="00E84878" w:rsidRDefault="00D126D9" w:rsidP="00E84878">
      <w:pPr>
        <w:pStyle w:val="Heading3"/>
        <w:rPr>
          <w:b/>
          <w:bCs/>
        </w:rPr>
      </w:pPr>
      <w:r w:rsidRPr="00E84878">
        <w:rPr>
          <w:b/>
          <w:bCs/>
        </w:rPr>
        <w:t>Demand</w:t>
      </w:r>
    </w:p>
    <w:p w14:paraId="50723DE6" w14:textId="423BEB3B" w:rsidR="00D83859" w:rsidRDefault="00D83859" w:rsidP="00D83859">
      <w:pPr>
        <w:spacing w:before="120" w:after="120" w:line="240" w:lineRule="auto"/>
      </w:pPr>
      <w:r>
        <w:t>Despite the diversity of economies in the Indo</w:t>
      </w:r>
      <w:r>
        <w:noBreakHyphen/>
        <w:t>Pacific, there are development use cases for many types of NGF throughout the region. There are often complementary needs for grants and NGF across the full range of country contexts where Australia’s interests are at play.</w:t>
      </w:r>
    </w:p>
    <w:p w14:paraId="2EB774BD" w14:textId="4C3A2F20" w:rsidR="00D126D9" w:rsidRPr="00D126D9" w:rsidRDefault="00D126D9" w:rsidP="00D126D9">
      <w:pPr>
        <w:spacing w:before="120" w:after="120" w:line="240" w:lineRule="auto"/>
      </w:pPr>
      <w:r w:rsidRPr="00D126D9">
        <w:t xml:space="preserve">In consultations, stakeholders across a wide range of country contexts, sectors, and industries expressed demand for Australia to complement its present grant-based financing options with NGF or more innovative uses of grants in the following </w:t>
      </w:r>
      <w:r w:rsidR="00E751AD">
        <w:t>six</w:t>
      </w:r>
      <w:r w:rsidRPr="00D126D9">
        <w:t xml:space="preserve"> areas: (1) financing large-scale infrastructure, (2) investing in smaller scale infrastructure that contributes to social and economic development, (3) promoting inclusive growth through financing micro, small and medium-size enterprises, (4)</w:t>
      </w:r>
      <w:r w:rsidR="00F319F1">
        <w:t> </w:t>
      </w:r>
      <w:r w:rsidRPr="00D126D9">
        <w:t>improving agricultural productivity, (5) developing natural resource industries, and (6) increasing access to risk and disaster insurance.</w:t>
      </w:r>
    </w:p>
    <w:p w14:paraId="4F0637EC" w14:textId="46968657" w:rsidR="00D126D9" w:rsidRPr="00D126D9" w:rsidRDefault="00D126D9" w:rsidP="00D126D9">
      <w:pPr>
        <w:spacing w:before="120" w:after="120" w:line="240" w:lineRule="auto"/>
      </w:pPr>
      <w:r w:rsidRPr="00D126D9">
        <w:t xml:space="preserve">Across </w:t>
      </w:r>
      <w:proofErr w:type="gramStart"/>
      <w:r w:rsidRPr="00D126D9">
        <w:t>all of</w:t>
      </w:r>
      <w:proofErr w:type="gramEnd"/>
      <w:r w:rsidRPr="00D126D9">
        <w:t xml:space="preserve"> these instances, Australia’s ability to deploy NGF will be a function of the addressable pipeline of investable opportunities and the nature of the business-enabling environment.</w:t>
      </w:r>
      <w:r w:rsidR="00EE3200">
        <w:t xml:space="preserve"> </w:t>
      </w:r>
      <w:r w:rsidR="00EE3200" w:rsidRPr="00EE3200">
        <w:t xml:space="preserve">When generally compared to grants, NGF can be particularly useful for minimizing distortionary effects </w:t>
      </w:r>
      <w:r w:rsidR="00EE3200">
        <w:t>in</w:t>
      </w:r>
      <w:r w:rsidR="00EE3200" w:rsidRPr="00EE3200">
        <w:t xml:space="preserve"> development finance and </w:t>
      </w:r>
      <w:r w:rsidR="00EE3200">
        <w:t xml:space="preserve">for </w:t>
      </w:r>
      <w:r w:rsidR="00EE3200" w:rsidRPr="00EE3200">
        <w:t>assisting the transition to more sustainable public and private finance.</w:t>
      </w:r>
    </w:p>
    <w:p w14:paraId="3C9C3A97" w14:textId="77777777" w:rsidR="00D126D9" w:rsidRPr="00D126D9" w:rsidRDefault="00D126D9" w:rsidP="00D126D9">
      <w:pPr>
        <w:spacing w:before="120" w:after="120" w:line="240" w:lineRule="auto"/>
      </w:pPr>
      <w:r w:rsidRPr="00D126D9">
        <w:lastRenderedPageBreak/>
        <w:t>Overwhelmingly, while many governments in the region acknowledged the need for NGF, nearly all emphasised the continued importance of grants as well, especially in terms of supporting social infrastructure and other areas where cash flows may seem relatively uncertain.</w:t>
      </w:r>
    </w:p>
    <w:p w14:paraId="5080953C" w14:textId="77777777" w:rsidR="00D126D9" w:rsidRPr="00D126D9" w:rsidRDefault="00D126D9" w:rsidP="00D126D9">
      <w:pPr>
        <w:spacing w:before="120" w:after="120" w:line="240" w:lineRule="auto"/>
      </w:pPr>
      <w:r w:rsidRPr="00D126D9">
        <w:t>Employing an array of NGF and innovative grants could allow Australia to better tailor its development offerings to the needs of the private and public sector.</w:t>
      </w:r>
    </w:p>
    <w:p w14:paraId="6FEA0B97" w14:textId="1AA90EB0" w:rsidR="00D126D9" w:rsidRPr="00D126D9" w:rsidRDefault="00D126D9" w:rsidP="000F209C">
      <w:pPr>
        <w:pStyle w:val="ListParagraph"/>
        <w:numPr>
          <w:ilvl w:val="0"/>
          <w:numId w:val="2"/>
        </w:numPr>
        <w:spacing w:before="120" w:after="120" w:line="240" w:lineRule="auto"/>
        <w:contextualSpacing w:val="0"/>
      </w:pPr>
      <w:r w:rsidRPr="00D126D9">
        <w:t xml:space="preserve">Where an investment is considered for proven business models that require capital injections, loans can enable better incentive structures that minimize market distortion. </w:t>
      </w:r>
      <w:r w:rsidR="00D83859">
        <w:t>These benefits are particularly helpful for infrastructure finance, or in agriculture where market distortions have particularly adverse impacts when available arable land is</w:t>
      </w:r>
      <w:r w:rsidR="00D83859" w:rsidRPr="00EA1934">
        <w:t xml:space="preserve"> </w:t>
      </w:r>
      <w:r w:rsidR="00D83859">
        <w:t>limited.</w:t>
      </w:r>
    </w:p>
    <w:p w14:paraId="00CB962C" w14:textId="3F36C7DA" w:rsidR="00D126D9" w:rsidRPr="00D126D9" w:rsidRDefault="00D126D9" w:rsidP="000F209C">
      <w:pPr>
        <w:pStyle w:val="ListParagraph"/>
        <w:numPr>
          <w:ilvl w:val="0"/>
          <w:numId w:val="2"/>
        </w:numPr>
        <w:spacing w:before="120" w:after="120" w:line="240" w:lineRule="auto"/>
        <w:contextualSpacing w:val="0"/>
      </w:pPr>
      <w:r w:rsidRPr="00D126D9">
        <w:t>Where co-investing is prudent, equity can be a useful tool where returns from a project or portfolio are likely, but less predictable or stable. It also can provide Australia with an avenue for exerting an investor’s oversight to steer a firm toward development-focused outcomes.</w:t>
      </w:r>
    </w:p>
    <w:p w14:paraId="1D4CC245" w14:textId="4EF892FA" w:rsidR="00D126D9" w:rsidRPr="00D126D9" w:rsidRDefault="00D126D9" w:rsidP="000F209C">
      <w:pPr>
        <w:pStyle w:val="ListParagraph"/>
        <w:numPr>
          <w:ilvl w:val="0"/>
          <w:numId w:val="2"/>
        </w:numPr>
        <w:spacing w:before="120" w:after="120" w:line="240" w:lineRule="auto"/>
        <w:contextualSpacing w:val="0"/>
      </w:pPr>
      <w:r w:rsidRPr="00D126D9">
        <w:t>Given their mobilisation effect, guarantees are best suited for critical infrastructure projects, whose risks may discourage financiers from deploying capital. While several other organizations provide guarantees, there is significant residual demand that Australia can meet.</w:t>
      </w:r>
    </w:p>
    <w:p w14:paraId="24C591F5" w14:textId="5DE1904B" w:rsidR="00D126D9" w:rsidRPr="00D126D9" w:rsidRDefault="00D126D9" w:rsidP="000F209C">
      <w:pPr>
        <w:pStyle w:val="ListParagraph"/>
        <w:numPr>
          <w:ilvl w:val="0"/>
          <w:numId w:val="2"/>
        </w:numPr>
        <w:spacing w:before="120" w:after="120" w:line="240" w:lineRule="auto"/>
        <w:contextualSpacing w:val="0"/>
      </w:pPr>
      <w:r w:rsidRPr="00D126D9">
        <w:t>In situations where only a subset of the qualities of NGF are beneficial (</w:t>
      </w:r>
      <w:r w:rsidR="00926579">
        <w:t>for example,</w:t>
      </w:r>
      <w:r w:rsidRPr="00D126D9">
        <w:t xml:space="preserve"> some cases of directly capitalizing businesses with a development benefit), more innovative uses of grants allow them to mimic some aspects of NGF funding or convert to NGF under certain circumstances. This permits a spectrum of </w:t>
      </w:r>
      <w:proofErr w:type="spellStart"/>
      <w:r w:rsidRPr="00D126D9">
        <w:t>concessionality</w:t>
      </w:r>
      <w:proofErr w:type="spellEnd"/>
      <w:r w:rsidRPr="00D126D9">
        <w:t xml:space="preserve"> from grants to NGF that is responsive to a greater variety of needs.</w:t>
      </w:r>
    </w:p>
    <w:p w14:paraId="4A7D2E85" w14:textId="23F0D1A6" w:rsidR="00D126D9" w:rsidRPr="00D126D9" w:rsidRDefault="00D126D9" w:rsidP="00D126D9">
      <w:pPr>
        <w:spacing w:before="120" w:after="120" w:line="240" w:lineRule="auto"/>
      </w:pPr>
      <w:r w:rsidRPr="00D126D9">
        <w:t>Introduc</w:t>
      </w:r>
      <w:r w:rsidR="00A37B22">
        <w:t>ing</w:t>
      </w:r>
      <w:r w:rsidRPr="00D126D9">
        <w:t xml:space="preserve"> NGF and expan</w:t>
      </w:r>
      <w:r w:rsidR="00A37B22">
        <w:t xml:space="preserve">ding </w:t>
      </w:r>
      <w:r w:rsidRPr="00D126D9">
        <w:t xml:space="preserve">use of innovative grants could be additional to </w:t>
      </w:r>
      <w:r w:rsidR="00A37B22">
        <w:t>the multilateral development banks</w:t>
      </w:r>
      <w:r w:rsidRPr="00D126D9">
        <w:t xml:space="preserve"> </w:t>
      </w:r>
      <w:r w:rsidR="00A37B22">
        <w:t>(</w:t>
      </w:r>
      <w:r w:rsidR="00A37B22" w:rsidRPr="00D126D9">
        <w:t>MDB</w:t>
      </w:r>
      <w:r w:rsidR="00A37B22">
        <w:t>s)</w:t>
      </w:r>
      <w:r w:rsidR="00A37B22" w:rsidRPr="00D126D9">
        <w:t xml:space="preserve"> </w:t>
      </w:r>
      <w:r w:rsidRPr="00D126D9">
        <w:t xml:space="preserve">by providing blended financing instruments that enable countries to access more flexible </w:t>
      </w:r>
      <w:r w:rsidR="0089164A">
        <w:t xml:space="preserve">and varied </w:t>
      </w:r>
      <w:r w:rsidRPr="00D126D9">
        <w:t>financing</w:t>
      </w:r>
      <w:r w:rsidR="00B366F0">
        <w:t>; by</w:t>
      </w:r>
      <w:r w:rsidRPr="00D126D9">
        <w:t xml:space="preserve"> augmenting investment in critical sectors and countr</w:t>
      </w:r>
      <w:r w:rsidR="00756056">
        <w:t>ies</w:t>
      </w:r>
      <w:r w:rsidRPr="00D126D9">
        <w:t xml:space="preserve"> of </w:t>
      </w:r>
      <w:r w:rsidR="00B71F45">
        <w:t xml:space="preserve">greater </w:t>
      </w:r>
      <w:r w:rsidRPr="00D126D9">
        <w:t>priority to Australia</w:t>
      </w:r>
      <w:r w:rsidR="00B366F0">
        <w:t>;</w:t>
      </w:r>
      <w:r w:rsidRPr="00D126D9">
        <w:t xml:space="preserve"> and in the long</w:t>
      </w:r>
      <w:r w:rsidR="00756056">
        <w:t xml:space="preserve"> </w:t>
      </w:r>
      <w:r w:rsidRPr="00D126D9">
        <w:t xml:space="preserve">term, </w:t>
      </w:r>
      <w:r w:rsidR="00B366F0">
        <w:t xml:space="preserve">by </w:t>
      </w:r>
      <w:r w:rsidRPr="00D126D9">
        <w:t>exploring possibilit</w:t>
      </w:r>
      <w:r w:rsidR="00A37B22">
        <w:t>ies</w:t>
      </w:r>
      <w:r w:rsidRPr="00D126D9">
        <w:t xml:space="preserve"> </w:t>
      </w:r>
      <w:r w:rsidR="00A37B22">
        <w:t>for</w:t>
      </w:r>
      <w:r w:rsidRPr="00D126D9">
        <w:t xml:space="preserve"> local-currency, innovative guarantee, and other financing for which there is large demand b</w:t>
      </w:r>
      <w:r>
        <w:t>ut</w:t>
      </w:r>
      <w:r w:rsidRPr="00D126D9">
        <w:t xml:space="preserve"> limited supply. </w:t>
      </w:r>
    </w:p>
    <w:p w14:paraId="00A829E0" w14:textId="3DE1D8D7" w:rsidR="00D83859" w:rsidRDefault="00D83859" w:rsidP="00D83859">
      <w:pPr>
        <w:spacing w:before="120" w:after="120" w:line="240" w:lineRule="auto"/>
      </w:pPr>
      <w:r>
        <w:t xml:space="preserve">The same tools could allow Australia to be additional to other bilateral funders </w:t>
      </w:r>
      <w:r w:rsidR="002D1968">
        <w:t xml:space="preserve">in three ways – </w:t>
      </w:r>
      <w:r>
        <w:t>by taking advantage of Australian expertise to create packages that combine competitive finance with top-of-the-line capabilities, and becoming the preferred partner for certain sectors</w:t>
      </w:r>
      <w:r w:rsidR="00A37B22">
        <w:t xml:space="preserve"> (as, for example, Japan is in urban public transport)</w:t>
      </w:r>
      <w:r w:rsidR="002D1968">
        <w:t>; by</w:t>
      </w:r>
      <w:r>
        <w:t xml:space="preserve"> using best</w:t>
      </w:r>
      <w:r w:rsidR="00756056">
        <w:t>-</w:t>
      </w:r>
      <w:r>
        <w:t>practice open-procurement standards to optimize project quality and cost</w:t>
      </w:r>
      <w:r w:rsidR="002D1968">
        <w:t>;</w:t>
      </w:r>
      <w:r>
        <w:t xml:space="preserve"> and </w:t>
      </w:r>
      <w:r w:rsidR="002D1968">
        <w:t>by</w:t>
      </w:r>
      <w:r>
        <w:t xml:space="preserve"> focusing on demand for end-to-end implementation and adequate loan tenor, rather than seeking to compete on interest-rate </w:t>
      </w:r>
      <w:proofErr w:type="spellStart"/>
      <w:r>
        <w:t>concessionality</w:t>
      </w:r>
      <w:proofErr w:type="spellEnd"/>
      <w:r>
        <w:t>.</w:t>
      </w:r>
    </w:p>
    <w:p w14:paraId="4BEB9A5F" w14:textId="0DBAFCCB" w:rsidR="0076175A" w:rsidRPr="00E84878" w:rsidRDefault="0076175A" w:rsidP="00E84878">
      <w:pPr>
        <w:pStyle w:val="Heading3"/>
        <w:rPr>
          <w:b/>
          <w:bCs/>
        </w:rPr>
      </w:pPr>
      <w:r w:rsidRPr="00E84878">
        <w:rPr>
          <w:b/>
          <w:bCs/>
        </w:rPr>
        <w:t>Development impact</w:t>
      </w:r>
    </w:p>
    <w:p w14:paraId="288DFA91" w14:textId="60711170" w:rsidR="0076175A" w:rsidRDefault="0076175A" w:rsidP="00594341">
      <w:pPr>
        <w:spacing w:before="120" w:after="120" w:line="240" w:lineRule="auto"/>
      </w:pPr>
      <w:r>
        <w:t>F</w:t>
      </w:r>
      <w:r w:rsidRPr="00124D20">
        <w:t xml:space="preserve">inancing instruments other than grants </w:t>
      </w:r>
      <w:r w:rsidRPr="00CC4511">
        <w:t>are proven tools in generating development impact.</w:t>
      </w:r>
      <w:r>
        <w:t xml:space="preserve"> The </w:t>
      </w:r>
      <w:r w:rsidRPr="00CC4511">
        <w:t xml:space="preserve">implications of </w:t>
      </w:r>
      <w:r>
        <w:t xml:space="preserve">Australia’s </w:t>
      </w:r>
      <w:r w:rsidRPr="00CC4511">
        <w:t xml:space="preserve">using </w:t>
      </w:r>
      <w:r>
        <w:t>them</w:t>
      </w:r>
      <w:r w:rsidRPr="00CC4511">
        <w:t xml:space="preserve"> for development purposes lie in the possibility that using new forms of finance could mean working with different entities in lead role</w:t>
      </w:r>
      <w:r w:rsidR="00756056">
        <w:t>s</w:t>
      </w:r>
      <w:r w:rsidRPr="00CC4511">
        <w:t xml:space="preserve"> in project development.</w:t>
      </w:r>
    </w:p>
    <w:p w14:paraId="69D24E29" w14:textId="1BE9A33B" w:rsidR="0076175A" w:rsidRDefault="0076175A" w:rsidP="000F209C">
      <w:pPr>
        <w:pStyle w:val="ListParagraph"/>
        <w:numPr>
          <w:ilvl w:val="0"/>
          <w:numId w:val="2"/>
        </w:numPr>
        <w:spacing w:before="120" w:after="120" w:line="240" w:lineRule="auto"/>
        <w:contextualSpacing w:val="0"/>
      </w:pPr>
      <w:r w:rsidRPr="00CC4511">
        <w:t xml:space="preserve">If </w:t>
      </w:r>
      <w:r w:rsidR="00081547">
        <w:t>Australia</w:t>
      </w:r>
      <w:r w:rsidRPr="00CC4511">
        <w:t xml:space="preserve"> used </w:t>
      </w:r>
      <w:r w:rsidRPr="00124D20">
        <w:t xml:space="preserve">financing instruments other than grants </w:t>
      </w:r>
      <w:r w:rsidRPr="00CC4511">
        <w:t xml:space="preserve">to participate in projects </w:t>
      </w:r>
      <w:proofErr w:type="gramStart"/>
      <w:r w:rsidRPr="00CC4511">
        <w:t>similar to</w:t>
      </w:r>
      <w:proofErr w:type="gramEnd"/>
      <w:r w:rsidRPr="00CC4511">
        <w:t xml:space="preserve"> those in which it has until now used grants, the development impact would be similar.</w:t>
      </w:r>
    </w:p>
    <w:p w14:paraId="440D71A8" w14:textId="541DEAE5" w:rsidR="0076175A" w:rsidRDefault="00756056" w:rsidP="000F209C">
      <w:pPr>
        <w:pStyle w:val="ListParagraph"/>
        <w:numPr>
          <w:ilvl w:val="0"/>
          <w:numId w:val="2"/>
        </w:numPr>
        <w:spacing w:before="120" w:after="120" w:line="240" w:lineRule="auto"/>
        <w:contextualSpacing w:val="0"/>
      </w:pPr>
      <w:r>
        <w:t xml:space="preserve">But </w:t>
      </w:r>
      <w:r w:rsidR="0076175A">
        <w:t>i</w:t>
      </w:r>
      <w:r w:rsidR="0076175A" w:rsidRPr="00CC4511">
        <w:t xml:space="preserve">f </w:t>
      </w:r>
      <w:r w:rsidR="00081547">
        <w:t xml:space="preserve">Australia </w:t>
      </w:r>
      <w:r w:rsidR="0076175A" w:rsidRPr="00CC4511">
        <w:t xml:space="preserve">participated with </w:t>
      </w:r>
      <w:r w:rsidR="0076175A" w:rsidRPr="00124D20">
        <w:t xml:space="preserve">financing instruments other than grants </w:t>
      </w:r>
      <w:r w:rsidR="0076175A" w:rsidRPr="00CC4511">
        <w:t xml:space="preserve">in </w:t>
      </w:r>
      <w:r w:rsidR="003F7820">
        <w:t>pro</w:t>
      </w:r>
      <w:r>
        <w:t>ject</w:t>
      </w:r>
      <w:r w:rsidR="003F7820">
        <w:t xml:space="preserve">s </w:t>
      </w:r>
      <w:r w:rsidR="0076175A" w:rsidRPr="00CC4511">
        <w:t xml:space="preserve">with private companies, fund managers or local super/provident funds, and without an MDB as lead </w:t>
      </w:r>
      <w:r>
        <w:t>financier</w:t>
      </w:r>
      <w:r w:rsidR="0076175A" w:rsidRPr="00CC4511">
        <w:t xml:space="preserve">, ensuring </w:t>
      </w:r>
      <w:bookmarkStart w:id="9" w:name="_Hlk531409782"/>
      <w:r w:rsidR="0076175A">
        <w:t>development impact</w:t>
      </w:r>
      <w:r w:rsidR="0076175A" w:rsidRPr="00CC4511">
        <w:t xml:space="preserve"> </w:t>
      </w:r>
      <w:bookmarkEnd w:id="9"/>
      <w:r w:rsidR="0076175A" w:rsidRPr="00CC4511">
        <w:t xml:space="preserve">could involve larger tasks for </w:t>
      </w:r>
      <w:r w:rsidR="00081547">
        <w:t>Australia</w:t>
      </w:r>
      <w:r w:rsidR="0076175A" w:rsidRPr="00CC4511">
        <w:t>.</w:t>
      </w:r>
    </w:p>
    <w:p w14:paraId="52CE100C" w14:textId="48D7254B" w:rsidR="0076175A" w:rsidRDefault="00AC7C27" w:rsidP="000F209C">
      <w:pPr>
        <w:pStyle w:val="ListParagraph"/>
        <w:numPr>
          <w:ilvl w:val="0"/>
          <w:numId w:val="2"/>
        </w:numPr>
        <w:spacing w:before="120" w:after="120" w:line="240" w:lineRule="auto"/>
        <w:contextualSpacing w:val="0"/>
      </w:pPr>
      <w:r>
        <w:t>In other words</w:t>
      </w:r>
      <w:r w:rsidR="00756056">
        <w:t>,</w:t>
      </w:r>
      <w:r w:rsidR="00756056" w:rsidRPr="00CC4511">
        <w:t xml:space="preserve"> </w:t>
      </w:r>
      <w:r w:rsidR="0076175A" w:rsidRPr="00CC4511">
        <w:t xml:space="preserve">the need for additional measures to ensure </w:t>
      </w:r>
      <w:r w:rsidR="0076175A" w:rsidRPr="00C051AB">
        <w:t xml:space="preserve">development impact </w:t>
      </w:r>
      <w:r w:rsidR="0076175A" w:rsidRPr="00CC4511">
        <w:t>would vary according to the situation.</w:t>
      </w:r>
    </w:p>
    <w:p w14:paraId="464A8A47" w14:textId="4428BFD2" w:rsidR="0076175A" w:rsidRDefault="0076175A" w:rsidP="000F209C">
      <w:pPr>
        <w:pStyle w:val="ListParagraph"/>
        <w:numPr>
          <w:ilvl w:val="0"/>
          <w:numId w:val="2"/>
        </w:numPr>
        <w:spacing w:before="120" w:after="120" w:line="240" w:lineRule="auto"/>
        <w:contextualSpacing w:val="0"/>
      </w:pPr>
      <w:r w:rsidRPr="00CC4511">
        <w:lastRenderedPageBreak/>
        <w:t>Many private companies use standardi</w:t>
      </w:r>
      <w:r w:rsidR="002C2308">
        <w:t>se</w:t>
      </w:r>
      <w:r w:rsidRPr="00CC4511">
        <w:t xml:space="preserve">d methods for assessing </w:t>
      </w:r>
      <w:r w:rsidRPr="00C051AB">
        <w:t xml:space="preserve">development impact </w:t>
      </w:r>
      <w:r w:rsidRPr="00CC4511">
        <w:t xml:space="preserve">which would supply part of the framework needed in choosing projects </w:t>
      </w:r>
      <w:r w:rsidR="00756056">
        <w:t>to</w:t>
      </w:r>
      <w:r w:rsidR="00756056" w:rsidRPr="00CC4511">
        <w:t xml:space="preserve"> support </w:t>
      </w:r>
      <w:r w:rsidR="00756056">
        <w:t xml:space="preserve">with </w:t>
      </w:r>
      <w:r w:rsidRPr="00CC4511">
        <w:t>financ</w:t>
      </w:r>
      <w:r w:rsidR="00756056">
        <w:t>e</w:t>
      </w:r>
      <w:r w:rsidRPr="00CC4511">
        <w:t>.</w:t>
      </w:r>
    </w:p>
    <w:p w14:paraId="34A7B18A" w14:textId="77777777" w:rsidR="0076175A" w:rsidRDefault="0076175A" w:rsidP="00594341">
      <w:pPr>
        <w:spacing w:before="120" w:after="120" w:line="240" w:lineRule="auto"/>
      </w:pPr>
      <w:r>
        <w:t xml:space="preserve">In several ways, having available a broader range of financing instruments could make positive contributions to </w:t>
      </w:r>
      <w:r w:rsidRPr="00EF5E5C">
        <w:t>development impact</w:t>
      </w:r>
      <w:r>
        <w:t>.</w:t>
      </w:r>
    </w:p>
    <w:p w14:paraId="2052DC9E" w14:textId="6A53A278" w:rsidR="0076175A" w:rsidRDefault="0076175A" w:rsidP="000F209C">
      <w:pPr>
        <w:pStyle w:val="ListParagraph"/>
        <w:numPr>
          <w:ilvl w:val="0"/>
          <w:numId w:val="4"/>
        </w:numPr>
        <w:spacing w:before="120" w:after="120" w:line="240" w:lineRule="auto"/>
        <w:contextualSpacing w:val="0"/>
      </w:pPr>
      <w:r w:rsidRPr="00CC4511">
        <w:t>Some high-priority objectives of Australia’s present</w:t>
      </w:r>
      <w:r w:rsidR="003F7820">
        <w:t xml:space="preserve"> program </w:t>
      </w:r>
      <w:r w:rsidRPr="00CC4511">
        <w:t>are being met through funds or intermediaries which employ flexible financing methods. They might welcome contributions in matching forms such as equity shares and loans, rather than grants.</w:t>
      </w:r>
    </w:p>
    <w:p w14:paraId="25E658F1" w14:textId="77777777" w:rsidR="0076175A" w:rsidRDefault="0076175A" w:rsidP="000F209C">
      <w:pPr>
        <w:pStyle w:val="ListParagraph"/>
        <w:numPr>
          <w:ilvl w:val="0"/>
          <w:numId w:val="4"/>
        </w:numPr>
        <w:spacing w:before="120" w:after="120" w:line="240" w:lineRule="auto"/>
        <w:contextualSpacing w:val="0"/>
      </w:pPr>
      <w:r w:rsidRPr="00CC4511">
        <w:t>The use of loans or equity can be positively helpful compared with grants, by building business discipline and independence</w:t>
      </w:r>
      <w:r>
        <w:t xml:space="preserve">. </w:t>
      </w:r>
      <w:r w:rsidRPr="00CC4511">
        <w:t xml:space="preserve">Equity stakes can </w:t>
      </w:r>
      <w:r>
        <w:t xml:space="preserve">also </w:t>
      </w:r>
      <w:r w:rsidRPr="00CC4511">
        <w:t>provide a means of influencing development impact at Board level</w:t>
      </w:r>
      <w:r>
        <w:t>. However</w:t>
      </w:r>
      <w:r w:rsidRPr="00CC4511">
        <w:t xml:space="preserve">, being an active equity investor is costly in terms of </w:t>
      </w:r>
      <w:proofErr w:type="gramStart"/>
      <w:r w:rsidRPr="00CC4511">
        <w:t>resources, and</w:t>
      </w:r>
      <w:proofErr w:type="gramEnd"/>
      <w:r w:rsidRPr="00CC4511">
        <w:t xml:space="preserve"> involves more reputational risk than being a financier.</w:t>
      </w:r>
    </w:p>
    <w:p w14:paraId="33D0E126" w14:textId="3533D38E" w:rsidR="0076175A" w:rsidRDefault="0076175A" w:rsidP="000F209C">
      <w:pPr>
        <w:pStyle w:val="ListParagraph"/>
        <w:numPr>
          <w:ilvl w:val="0"/>
          <w:numId w:val="4"/>
        </w:numPr>
        <w:spacing w:before="120" w:after="120" w:line="240" w:lineRule="auto"/>
        <w:contextualSpacing w:val="0"/>
      </w:pPr>
      <w:r w:rsidRPr="00802944">
        <w:t xml:space="preserve">Loans and equities would </w:t>
      </w:r>
      <w:r w:rsidR="00473807">
        <w:t xml:space="preserve">in the </w:t>
      </w:r>
      <w:proofErr w:type="gramStart"/>
      <w:r w:rsidR="00473807">
        <w:t>long term</w:t>
      </w:r>
      <w:proofErr w:type="gramEnd"/>
      <w:r w:rsidR="00473807">
        <w:t xml:space="preserve"> </w:t>
      </w:r>
      <w:r w:rsidRPr="00802944">
        <w:t>produce reflows, at least in large part, of the amounts originally invested, enabling them to be “recycled” in new investments.</w:t>
      </w:r>
    </w:p>
    <w:p w14:paraId="716EA3FA" w14:textId="57D5CD00" w:rsidR="0076175A" w:rsidRDefault="0076175A" w:rsidP="00594341">
      <w:pPr>
        <w:spacing w:before="120" w:after="120" w:line="240" w:lineRule="auto"/>
      </w:pPr>
      <w:r>
        <w:t xml:space="preserve">As </w:t>
      </w:r>
      <w:r w:rsidRPr="00802944">
        <w:t>for measurement of development impact</w:t>
      </w:r>
      <w:r>
        <w:t>,</w:t>
      </w:r>
      <w:r w:rsidRPr="00802944">
        <w:t xml:space="preserve"> </w:t>
      </w:r>
      <w:r>
        <w:t>again t</w:t>
      </w:r>
      <w:r w:rsidRPr="00802944">
        <w:t xml:space="preserve">he implications of using </w:t>
      </w:r>
      <w:r w:rsidR="00C10056">
        <w:t xml:space="preserve">an </w:t>
      </w:r>
      <w:r>
        <w:t xml:space="preserve">instrument other than </w:t>
      </w:r>
      <w:r w:rsidR="00C10056">
        <w:t xml:space="preserve">a </w:t>
      </w:r>
      <w:r>
        <w:t>grant</w:t>
      </w:r>
      <w:r w:rsidRPr="00802944">
        <w:t xml:space="preserve"> lie in the practice and commitment of the lead sponsor.</w:t>
      </w:r>
      <w:r w:rsidR="00D445A2">
        <w:t xml:space="preserve"> </w:t>
      </w:r>
      <w:r>
        <w:t>There are established i</w:t>
      </w:r>
      <w:r w:rsidRPr="00C051AB">
        <w:t xml:space="preserve">mpact </w:t>
      </w:r>
      <w:r>
        <w:t>i</w:t>
      </w:r>
      <w:r w:rsidRPr="00C051AB">
        <w:t xml:space="preserve">nvestors </w:t>
      </w:r>
      <w:r>
        <w:t xml:space="preserve">which </w:t>
      </w:r>
      <w:r w:rsidRPr="00C051AB">
        <w:t xml:space="preserve">use measurement systems </w:t>
      </w:r>
      <w:r>
        <w:t xml:space="preserve">both </w:t>
      </w:r>
      <w:r w:rsidRPr="00C051AB">
        <w:t xml:space="preserve">to select investments and </w:t>
      </w:r>
      <w:r>
        <w:t xml:space="preserve">to </w:t>
      </w:r>
      <w:r w:rsidRPr="00C051AB">
        <w:t xml:space="preserve">evaluate </w:t>
      </w:r>
      <w:r>
        <w:t xml:space="preserve">their </w:t>
      </w:r>
      <w:r w:rsidRPr="00C051AB">
        <w:t>impact</w:t>
      </w:r>
      <w:r>
        <w:t>.</w:t>
      </w:r>
    </w:p>
    <w:p w14:paraId="3C95B451" w14:textId="77777777" w:rsidR="0076175A" w:rsidRPr="00E84878" w:rsidRDefault="0076175A" w:rsidP="00E84878">
      <w:pPr>
        <w:pStyle w:val="Heading3"/>
        <w:rPr>
          <w:b/>
          <w:bCs/>
        </w:rPr>
      </w:pPr>
      <w:r w:rsidRPr="00E84878">
        <w:rPr>
          <w:b/>
          <w:bCs/>
        </w:rPr>
        <w:t>Sustainable debt management</w:t>
      </w:r>
    </w:p>
    <w:p w14:paraId="56336310" w14:textId="77777777" w:rsidR="0076175A" w:rsidRDefault="0076175A" w:rsidP="00594341">
      <w:pPr>
        <w:spacing w:before="120" w:after="120" w:line="240" w:lineRule="auto"/>
      </w:pPr>
      <w:r w:rsidRPr="00802944">
        <w:t xml:space="preserve">There are well-established means of ensuring that offering loans for development assistance </w:t>
      </w:r>
      <w:r>
        <w:t xml:space="preserve">to governments or </w:t>
      </w:r>
      <w:proofErr w:type="gramStart"/>
      <w:r>
        <w:t>government</w:t>
      </w:r>
      <w:proofErr w:type="gramEnd"/>
      <w:r>
        <w:noBreakHyphen/>
        <w:t xml:space="preserve">guaranteed utilities </w:t>
      </w:r>
      <w:r w:rsidRPr="00802944">
        <w:t>would be consistent with sustainable management of debt</w:t>
      </w:r>
      <w:r>
        <w:t xml:space="preserve">. </w:t>
      </w:r>
      <w:r w:rsidRPr="00802944">
        <w:t>Equity investments, and loans to non</w:t>
      </w:r>
      <w:r>
        <w:noBreakHyphen/>
      </w:r>
      <w:r w:rsidRPr="00802944">
        <w:t xml:space="preserve">guaranteed private companies, would not increase governments’ </w:t>
      </w:r>
      <w:proofErr w:type="gramStart"/>
      <w:r w:rsidRPr="00802944">
        <w:t>indebtedness</w:t>
      </w:r>
      <w:proofErr w:type="gramEnd"/>
      <w:r w:rsidRPr="00802944">
        <w:t xml:space="preserve"> and could contribute in time to tax or other revenue.</w:t>
      </w:r>
      <w:r>
        <w:t xml:space="preserve"> </w:t>
      </w:r>
      <w:r w:rsidRPr="00802944">
        <w:t>Similarly, the use of guarantees and other risk-sharing instruments would not increase governments’ indebtedness.</w:t>
      </w:r>
    </w:p>
    <w:p w14:paraId="0C6C3C46" w14:textId="77777777" w:rsidR="0076175A" w:rsidRPr="00E84878" w:rsidRDefault="0076175A" w:rsidP="00E84878">
      <w:pPr>
        <w:pStyle w:val="Heading3"/>
        <w:rPr>
          <w:b/>
          <w:bCs/>
        </w:rPr>
      </w:pPr>
      <w:r w:rsidRPr="00E84878">
        <w:rPr>
          <w:b/>
          <w:bCs/>
        </w:rPr>
        <w:t>Specific instances</w:t>
      </w:r>
    </w:p>
    <w:p w14:paraId="0674B90F" w14:textId="54B4F444" w:rsidR="00B62D10" w:rsidRDefault="0076175A" w:rsidP="00B62D10">
      <w:pPr>
        <w:spacing w:before="120" w:after="120" w:line="240" w:lineRule="auto"/>
      </w:pPr>
      <w:r>
        <w:t xml:space="preserve">With the benefit of our visits to Port Moresby, Port Vila and Jakarta, and input from other </w:t>
      </w:r>
      <w:r w:rsidR="00492CB7">
        <w:t>DFAT</w:t>
      </w:r>
      <w:r>
        <w:t xml:space="preserve"> posts in the Indo</w:t>
      </w:r>
      <w:r>
        <w:noBreakHyphen/>
        <w:t xml:space="preserve">Pacific region, we have </w:t>
      </w:r>
      <w:r w:rsidR="008741C9" w:rsidRPr="00D83859">
        <w:t xml:space="preserve">identified a </w:t>
      </w:r>
      <w:r w:rsidR="00B62D10" w:rsidRPr="00D83859">
        <w:t>set</w:t>
      </w:r>
      <w:r>
        <w:t xml:space="preserve"> of possible projects or </w:t>
      </w:r>
      <w:r w:rsidR="003F7820">
        <w:t xml:space="preserve">programs </w:t>
      </w:r>
      <w:r>
        <w:t xml:space="preserve">for which financing other than in grant form seems preferable, within the present financial envelope of the </w:t>
      </w:r>
      <w:bookmarkStart w:id="10" w:name="_Hlk531419807"/>
      <w:r>
        <w:t>development assistance</w:t>
      </w:r>
      <w:bookmarkEnd w:id="10"/>
      <w:r w:rsidR="003F7820">
        <w:t xml:space="preserve"> program </w:t>
      </w:r>
      <w:r>
        <w:t>and its present priorities and strategies.</w:t>
      </w:r>
      <w:r w:rsidR="00D445A2">
        <w:t xml:space="preserve"> </w:t>
      </w:r>
      <w:r w:rsidR="00B62D10">
        <w:t xml:space="preserve">Forty of these projects and programs are shown in </w:t>
      </w:r>
      <w:r w:rsidR="00B62D10" w:rsidRPr="007A7647">
        <w:t>Table 1</w:t>
      </w:r>
      <w:r w:rsidR="00B62D10">
        <w:t xml:space="preserve"> below.</w:t>
      </w:r>
      <w:r w:rsidR="00B62D10">
        <w:rPr>
          <w:rStyle w:val="FootnoteReference"/>
        </w:rPr>
        <w:footnoteReference w:id="2"/>
      </w:r>
      <w:r w:rsidR="00B62D10">
        <w:t xml:space="preserve">  </w:t>
      </w:r>
    </w:p>
    <w:p w14:paraId="75FD4411" w14:textId="7C131D61" w:rsidR="0076175A" w:rsidRDefault="0076175A" w:rsidP="00594341">
      <w:pPr>
        <w:spacing w:before="120" w:after="120" w:line="240" w:lineRule="auto"/>
      </w:pPr>
      <w:r>
        <w:t xml:space="preserve">While </w:t>
      </w:r>
      <w:r w:rsidR="002340B2">
        <w:t xml:space="preserve">not ourselves recommending what to include </w:t>
      </w:r>
      <w:r>
        <w:t xml:space="preserve">in </w:t>
      </w:r>
      <w:r w:rsidR="007A1349">
        <w:t xml:space="preserve">Australia’s </w:t>
      </w:r>
      <w:r w:rsidRPr="007A7647">
        <w:t>development assistance</w:t>
      </w:r>
      <w:r>
        <w:t xml:space="preserve">, we </w:t>
      </w:r>
      <w:r w:rsidR="002340B2">
        <w:t xml:space="preserve">have </w:t>
      </w:r>
      <w:r>
        <w:t>conclu</w:t>
      </w:r>
      <w:r w:rsidR="002340B2">
        <w:t>ded</w:t>
      </w:r>
      <w:r>
        <w:t xml:space="preserve"> that if these projects or </w:t>
      </w:r>
      <w:r w:rsidR="003F7820">
        <w:t xml:space="preserve">programs </w:t>
      </w:r>
      <w:r>
        <w:t xml:space="preserve">were judged worth supporting, it would be preferable for support to be in a form other than a grant. The most frequent reason is simply to make Australian money go further by leverage into </w:t>
      </w:r>
      <w:r w:rsidR="00FA52AF">
        <w:t xml:space="preserve">more or </w:t>
      </w:r>
      <w:r>
        <w:t xml:space="preserve">larger projects. In other cases, the reason is that a different form of finance would be more suitable for the prospective partner, or for reducing risks </w:t>
      </w:r>
      <w:proofErr w:type="gramStart"/>
      <w:r>
        <w:t>in order to</w:t>
      </w:r>
      <w:proofErr w:type="gramEnd"/>
      <w:r>
        <w:t xml:space="preserve"> make suitable commercial finance available.</w:t>
      </w:r>
    </w:p>
    <w:p w14:paraId="0EF115DE" w14:textId="0E23D3D3" w:rsidR="008741C9" w:rsidRPr="00D83859" w:rsidRDefault="008741C9" w:rsidP="00C04BA5">
      <w:pPr>
        <w:pStyle w:val="ListParagraph"/>
        <w:numPr>
          <w:ilvl w:val="0"/>
          <w:numId w:val="4"/>
        </w:numPr>
        <w:spacing w:before="120" w:after="120" w:line="240" w:lineRule="auto"/>
        <w:contextualSpacing w:val="0"/>
      </w:pPr>
      <w:bookmarkStart w:id="11" w:name="_Hlk531437709"/>
      <w:r w:rsidRPr="00D83859">
        <w:t xml:space="preserve">While over half </w:t>
      </w:r>
      <w:r w:rsidR="00875F6E" w:rsidRPr="00D83859">
        <w:t xml:space="preserve">of these cases </w:t>
      </w:r>
      <w:r w:rsidRPr="00D83859">
        <w:t xml:space="preserve">are in the Pacific plus Timor-Leste, 18 or nearly half are in Indonesia, the Philippines, </w:t>
      </w:r>
      <w:r w:rsidR="007946E8" w:rsidRPr="00D83859">
        <w:t xml:space="preserve">Vietnam, </w:t>
      </w:r>
      <w:r w:rsidRPr="00D83859">
        <w:t xml:space="preserve">South Asia or across the Indo-Pacific region. </w:t>
      </w:r>
    </w:p>
    <w:p w14:paraId="2F6DBD29" w14:textId="3C1BD5F3" w:rsidR="008741C9" w:rsidRPr="00D83859" w:rsidRDefault="008741C9" w:rsidP="00C04BA5">
      <w:pPr>
        <w:pStyle w:val="ListParagraph"/>
        <w:numPr>
          <w:ilvl w:val="0"/>
          <w:numId w:val="4"/>
        </w:numPr>
        <w:spacing w:before="120" w:after="120" w:line="240" w:lineRule="auto"/>
        <w:contextualSpacing w:val="0"/>
      </w:pPr>
      <w:r w:rsidRPr="00D83859">
        <w:t>I</w:t>
      </w:r>
      <w:r w:rsidR="00CD6ECD" w:rsidRPr="00D83859">
        <w:t xml:space="preserve">n just over half the cases loans seem most likely to be suitable, but in 20 cases, forms of NGF </w:t>
      </w:r>
      <w:r w:rsidR="00875F6E" w:rsidRPr="00D83859">
        <w:t xml:space="preserve">other than loans </w:t>
      </w:r>
      <w:r w:rsidR="00CD6ECD" w:rsidRPr="00D83859">
        <w:t>seem most likely to be suitable</w:t>
      </w:r>
      <w:r w:rsidRPr="00D83859">
        <w:t xml:space="preserve">. </w:t>
      </w:r>
    </w:p>
    <w:p w14:paraId="446DE452" w14:textId="09DAC6B2" w:rsidR="00BE5325" w:rsidRPr="00D83859" w:rsidRDefault="008741C9" w:rsidP="00C04BA5">
      <w:pPr>
        <w:pStyle w:val="ListParagraph"/>
        <w:numPr>
          <w:ilvl w:val="0"/>
          <w:numId w:val="4"/>
        </w:numPr>
        <w:spacing w:before="120" w:after="120" w:line="240" w:lineRule="auto"/>
        <w:contextualSpacing w:val="0"/>
      </w:pPr>
      <w:proofErr w:type="gramStart"/>
      <w:r w:rsidRPr="00D83859">
        <w:t>The majority of</w:t>
      </w:r>
      <w:proofErr w:type="gramEnd"/>
      <w:r w:rsidRPr="00D83859">
        <w:t xml:space="preserve"> cases </w:t>
      </w:r>
      <w:r w:rsidR="00AC7C27">
        <w:t xml:space="preserve">(21) </w:t>
      </w:r>
      <w:r w:rsidRPr="00D83859">
        <w:t xml:space="preserve">are </w:t>
      </w:r>
      <w:r w:rsidR="00BE5325" w:rsidRPr="00D83859">
        <w:t xml:space="preserve">projects for physical infrastructure, but in </w:t>
      </w:r>
      <w:r w:rsidRPr="00D83859">
        <w:t xml:space="preserve">19 cases they are </w:t>
      </w:r>
      <w:r w:rsidR="00BE5325" w:rsidRPr="00D83859">
        <w:t xml:space="preserve">projects or programs </w:t>
      </w:r>
      <w:r w:rsidR="00875F6E" w:rsidRPr="00D83859">
        <w:t>of different kinds</w:t>
      </w:r>
      <w:r w:rsidR="00BE5325" w:rsidRPr="00D83859">
        <w:t>.</w:t>
      </w:r>
    </w:p>
    <w:p w14:paraId="31B7CB98" w14:textId="20F58604" w:rsidR="00DB15C8" w:rsidRPr="00E84878" w:rsidRDefault="00DB15C8" w:rsidP="00E84878">
      <w:pPr>
        <w:pStyle w:val="Heading3"/>
        <w:rPr>
          <w:b/>
          <w:bCs/>
        </w:rPr>
      </w:pPr>
      <w:r w:rsidRPr="00E84878">
        <w:rPr>
          <w:b/>
          <w:bCs/>
        </w:rPr>
        <w:lastRenderedPageBreak/>
        <w:t>Budget and ODA-eligibility considerations</w:t>
      </w:r>
    </w:p>
    <w:p w14:paraId="730A64ED" w14:textId="0158DED7" w:rsidR="00DB15C8" w:rsidRDefault="00DB15C8" w:rsidP="00DB15C8">
      <w:pPr>
        <w:spacing w:before="120" w:after="120" w:line="240" w:lineRule="auto"/>
      </w:pPr>
      <w:r>
        <w:t xml:space="preserve">The basic </w:t>
      </w:r>
      <w:r w:rsidRPr="008070D0">
        <w:t xml:space="preserve">principles for the budget treatment of </w:t>
      </w:r>
      <w:r>
        <w:t>NGF</w:t>
      </w:r>
      <w:r w:rsidRPr="008070D0">
        <w:t xml:space="preserve"> </w:t>
      </w:r>
      <w:r>
        <w:t>are that f</w:t>
      </w:r>
      <w:r w:rsidRPr="008070D0">
        <w:t>unds which create financial assets (loans or equities) should come from the Consolidated Revenue Account (CRA) through a special appropriation</w:t>
      </w:r>
      <w:r>
        <w:t xml:space="preserve"> </w:t>
      </w:r>
      <w:r w:rsidR="00C74394">
        <w:t xml:space="preserve">rather than </w:t>
      </w:r>
      <w:r w:rsidR="0075099E">
        <w:t xml:space="preserve">from </w:t>
      </w:r>
      <w:r w:rsidRPr="008070D0">
        <w:t>development</w:t>
      </w:r>
      <w:r w:rsidR="003B0139">
        <w:t xml:space="preserve"> a</w:t>
      </w:r>
      <w:r w:rsidRPr="008070D0">
        <w:t>ssistance</w:t>
      </w:r>
      <w:r>
        <w:t xml:space="preserve"> </w:t>
      </w:r>
      <w:r w:rsidRPr="008070D0">
        <w:t>appropriations</w:t>
      </w:r>
      <w:r w:rsidR="00C74394" w:rsidRPr="008070D0">
        <w:t xml:space="preserve">, </w:t>
      </w:r>
      <w:r w:rsidR="00C74394">
        <w:t>but</w:t>
      </w:r>
      <w:r w:rsidR="00C74394" w:rsidRPr="008070D0">
        <w:t xml:space="preserve"> </w:t>
      </w:r>
      <w:r w:rsidR="0075099E">
        <w:t>with</w:t>
      </w:r>
      <w:r w:rsidR="00C74394">
        <w:t xml:space="preserve"> deductions from the latter </w:t>
      </w:r>
      <w:r w:rsidR="0075099E">
        <w:t xml:space="preserve">corresponding to </w:t>
      </w:r>
      <w:r>
        <w:t xml:space="preserve">the net cost of funding these assets and provisions for financial risks. </w:t>
      </w:r>
    </w:p>
    <w:p w14:paraId="70CEC8B6" w14:textId="7AD6195C" w:rsidR="00DB15C8" w:rsidRDefault="006E70CD" w:rsidP="00DB15C8">
      <w:pPr>
        <w:spacing w:before="120" w:after="120" w:line="240" w:lineRule="auto"/>
      </w:pPr>
      <w:r>
        <w:t xml:space="preserve">Because offering NGF on any significant scale would mean larger outlays and reflows, in some cases with less predictable timing, as well as because of the budget treatment we suggest, it would be necessary to dispense with the present “ODA cap” policy which equates development assistance appropriations with what is </w:t>
      </w:r>
      <w:r w:rsidR="00DB15C8">
        <w:t xml:space="preserve">classified as </w:t>
      </w:r>
      <w:r w:rsidR="00DB15C8" w:rsidRPr="001E0431">
        <w:t>Official Development Assistance (ODA)</w:t>
      </w:r>
      <w:r w:rsidR="00DB15C8">
        <w:t>.</w:t>
      </w:r>
    </w:p>
    <w:p w14:paraId="47F6EE9E" w14:textId="77777777" w:rsidR="00DB15C8" w:rsidRPr="00E84878" w:rsidRDefault="00DB15C8" w:rsidP="00E84878">
      <w:pPr>
        <w:pStyle w:val="Heading3"/>
        <w:rPr>
          <w:b/>
          <w:bCs/>
        </w:rPr>
      </w:pPr>
      <w:r w:rsidRPr="00E84878">
        <w:rPr>
          <w:b/>
          <w:bCs/>
        </w:rPr>
        <w:t>Institutional, capacity and financing requirements</w:t>
      </w:r>
    </w:p>
    <w:p w14:paraId="672D1104" w14:textId="1B017AE3" w:rsidR="00DB15C8" w:rsidRDefault="00C339F5" w:rsidP="00DB15C8">
      <w:pPr>
        <w:spacing w:before="120" w:after="120" w:line="240" w:lineRule="auto"/>
      </w:pPr>
      <w:r>
        <w:t>A</w:t>
      </w:r>
      <w:r w:rsidR="00DB15C8" w:rsidRPr="001E0431">
        <w:t>dminister</w:t>
      </w:r>
      <w:r>
        <w:t>ing</w:t>
      </w:r>
      <w:r w:rsidR="00DB15C8" w:rsidRPr="001E0431">
        <w:t xml:space="preserve"> </w:t>
      </w:r>
      <w:r w:rsidR="00DB15C8">
        <w:t>NGF</w:t>
      </w:r>
      <w:r w:rsidR="00DB15C8" w:rsidRPr="001E0431">
        <w:t xml:space="preserve"> </w:t>
      </w:r>
      <w:r w:rsidRPr="001E0431">
        <w:t xml:space="preserve">would </w:t>
      </w:r>
      <w:r>
        <w:t>require</w:t>
      </w:r>
      <w:r w:rsidRPr="001E0431">
        <w:t xml:space="preserve"> </w:t>
      </w:r>
      <w:r w:rsidR="00DB15C8" w:rsidRPr="001E0431">
        <w:t xml:space="preserve">a step-up in specialised </w:t>
      </w:r>
      <w:proofErr w:type="gramStart"/>
      <w:r w:rsidR="00DB15C8" w:rsidRPr="001E0431">
        <w:t xml:space="preserve">capability, </w:t>
      </w:r>
      <w:r>
        <w:t>and</w:t>
      </w:r>
      <w:proofErr w:type="gramEnd"/>
      <w:r>
        <w:t xml:space="preserve"> bring</w:t>
      </w:r>
      <w:r w:rsidR="00DB15C8" w:rsidRPr="001E0431">
        <w:t xml:space="preserve"> an additional task of coordinating the use of new financing forms with grant</w:t>
      </w:r>
      <w:r w:rsidR="00DB15C8">
        <w:t>-</w:t>
      </w:r>
      <w:r w:rsidR="00DB15C8" w:rsidRPr="001E0431">
        <w:t>form assistance.</w:t>
      </w:r>
      <w:r w:rsidR="00DB15C8">
        <w:t xml:space="preserve"> </w:t>
      </w:r>
      <w:r w:rsidR="00DB15C8" w:rsidRPr="00B00B21">
        <w:t xml:space="preserve">There are </w:t>
      </w:r>
      <w:r w:rsidR="009A7E94">
        <w:t>four</w:t>
      </w:r>
      <w:r w:rsidR="009A7E94" w:rsidRPr="00B00B21">
        <w:t xml:space="preserve"> </w:t>
      </w:r>
      <w:r w:rsidR="00DB15C8" w:rsidRPr="00B00B21">
        <w:t xml:space="preserve">institutional options which </w:t>
      </w:r>
      <w:r w:rsidR="009A7E94">
        <w:t xml:space="preserve">we think </w:t>
      </w:r>
      <w:r w:rsidR="00DB15C8" w:rsidRPr="00B00B21">
        <w:t xml:space="preserve">could be satisfactory as ways of </w:t>
      </w:r>
      <w:r w:rsidR="00DB15C8">
        <w:t>achieving this</w:t>
      </w:r>
      <w:r w:rsidR="00DB15C8" w:rsidRPr="00B00B21">
        <w:t xml:space="preserve">. We suggest these options are best considered </w:t>
      </w:r>
      <w:r>
        <w:t>as</w:t>
      </w:r>
      <w:r w:rsidR="00DB15C8" w:rsidRPr="00B00B21">
        <w:t xml:space="preserve"> choices of what to set out to have in several years’ time. </w:t>
      </w:r>
    </w:p>
    <w:p w14:paraId="693D9DE7" w14:textId="08260B87" w:rsidR="00DB15C8" w:rsidRDefault="00DB15C8" w:rsidP="00DB15C8">
      <w:pPr>
        <w:spacing w:before="120" w:after="120" w:line="240" w:lineRule="auto"/>
      </w:pPr>
      <w:r>
        <w:t xml:space="preserve">The </w:t>
      </w:r>
      <w:r w:rsidR="002203D4">
        <w:t xml:space="preserve">first </w:t>
      </w:r>
      <w:r>
        <w:t xml:space="preserve">three options—DFAT alone, </w:t>
      </w:r>
      <w:r w:rsidRPr="00BD16D3">
        <w:t xml:space="preserve">a </w:t>
      </w:r>
      <w:r w:rsidR="00BD16D3" w:rsidRPr="00BC1F86">
        <w:t>partnership with</w:t>
      </w:r>
      <w:r w:rsidRPr="00BC1F86">
        <w:t xml:space="preserve"> </w:t>
      </w:r>
      <w:proofErr w:type="spellStart"/>
      <w:r w:rsidRPr="00BC1F86">
        <w:t>Efic</w:t>
      </w:r>
      <w:proofErr w:type="spellEnd"/>
      <w:r>
        <w:t xml:space="preserve">, and a new entity within the portfolio of the Minister for Foreign Affairs—are </w:t>
      </w:r>
      <w:r w:rsidRPr="00674002">
        <w:t>compared</w:t>
      </w:r>
      <w:r>
        <w:t>,</w:t>
      </w:r>
      <w:r w:rsidRPr="00674002">
        <w:t xml:space="preserve"> in terms of their respective strengths, weaknesses, opportunities and threats, in </w:t>
      </w:r>
      <w:r>
        <w:t>a t</w:t>
      </w:r>
      <w:r w:rsidRPr="00674002">
        <w:t xml:space="preserve">able </w:t>
      </w:r>
      <w:r>
        <w:t xml:space="preserve">in the relevant part of this report. Choosing </w:t>
      </w:r>
      <w:r w:rsidR="00C339F5">
        <w:t>one of these,</w:t>
      </w:r>
      <w:r>
        <w:t xml:space="preserve"> </w:t>
      </w:r>
      <w:r w:rsidR="002203D4">
        <w:t>or a mixture of them (the fourth option)</w:t>
      </w:r>
      <w:r w:rsidR="00C339F5">
        <w:t>,</w:t>
      </w:r>
      <w:r w:rsidR="002203D4">
        <w:t xml:space="preserve"> </w:t>
      </w:r>
      <w:r>
        <w:t xml:space="preserve">would depend on how the different factors are weighed. </w:t>
      </w:r>
      <w:r w:rsidR="003E7556">
        <w:t>E</w:t>
      </w:r>
      <w:r>
        <w:t xml:space="preserve">stimates </w:t>
      </w:r>
      <w:r w:rsidR="003E7556">
        <w:t xml:space="preserve">of the </w:t>
      </w:r>
      <w:r w:rsidR="00CB0E91">
        <w:t>time needed to implement any of these options</w:t>
      </w:r>
      <w:r w:rsidR="003E7556">
        <w:t>, and of</w:t>
      </w:r>
      <w:r w:rsidR="00CB0E91">
        <w:t xml:space="preserve"> </w:t>
      </w:r>
      <w:r>
        <w:t>establishment costs and operating costs</w:t>
      </w:r>
      <w:r w:rsidR="003E7556">
        <w:t>,</w:t>
      </w:r>
      <w:r>
        <w:t xml:space="preserve"> are </w:t>
      </w:r>
      <w:r w:rsidRPr="00DA08C4">
        <w:t>included in the relevant part of this report.</w:t>
      </w:r>
    </w:p>
    <w:p w14:paraId="7BDF8B52" w14:textId="77777777" w:rsidR="00DB15C8" w:rsidRPr="00E84878" w:rsidRDefault="00DB15C8" w:rsidP="00E84878">
      <w:pPr>
        <w:pStyle w:val="Heading3"/>
        <w:rPr>
          <w:b/>
          <w:bCs/>
        </w:rPr>
      </w:pPr>
      <w:r w:rsidRPr="00E84878">
        <w:rPr>
          <w:b/>
          <w:bCs/>
        </w:rPr>
        <w:t>Regulatory and legislative arrangements</w:t>
      </w:r>
    </w:p>
    <w:p w14:paraId="49F0B1EA" w14:textId="285151CE" w:rsidR="00DB15C8" w:rsidRDefault="00DB15C8" w:rsidP="00DB15C8">
      <w:pPr>
        <w:spacing w:before="120" w:after="120" w:line="240" w:lineRule="auto"/>
      </w:pPr>
      <w:r w:rsidRPr="007B6204">
        <w:t xml:space="preserve">Because of the novelty of </w:t>
      </w:r>
      <w:r>
        <w:t>NGF</w:t>
      </w:r>
      <w:r w:rsidRPr="007B6204">
        <w:t xml:space="preserve"> and its additional financial aspects and risks, it seems necessary for a</w:t>
      </w:r>
      <w:r w:rsidR="00BE38D9">
        <w:t xml:space="preserve">n </w:t>
      </w:r>
      <w:r w:rsidR="00821538">
        <w:t>inter-departmental committee (</w:t>
      </w:r>
      <w:r w:rsidR="00BE38D9" w:rsidRPr="00BC1F86">
        <w:t>IDC</w:t>
      </w:r>
      <w:r w:rsidR="00821538">
        <w:t>)</w:t>
      </w:r>
      <w:r w:rsidRPr="007B6204">
        <w:t xml:space="preserve"> representing the coordinating departments and DFAT to have the initial task of formulating a framework in which proposals for </w:t>
      </w:r>
      <w:r>
        <w:t>NGF</w:t>
      </w:r>
      <w:r w:rsidRPr="007B6204">
        <w:t xml:space="preserve"> would be assesse</w:t>
      </w:r>
      <w:r>
        <w:t xml:space="preserve">d. This </w:t>
      </w:r>
      <w:r w:rsidRPr="00E56D56">
        <w:t>framework should be submitted for approval by the Treasurer and Minister for Finance</w:t>
      </w:r>
      <w:r>
        <w:t>,</w:t>
      </w:r>
      <w:r w:rsidRPr="00E56D56">
        <w:t xml:space="preserve"> as well as the Minister for Foreign Affairs, before it is put into use.</w:t>
      </w:r>
      <w:r>
        <w:t xml:space="preserve"> </w:t>
      </w:r>
    </w:p>
    <w:p w14:paraId="31E631DB" w14:textId="77777777" w:rsidR="00DB15C8" w:rsidRDefault="00DB15C8" w:rsidP="00DB15C8">
      <w:pPr>
        <w:spacing w:before="120" w:after="120" w:line="240" w:lineRule="auto"/>
      </w:pPr>
      <w:r>
        <w:t>A</w:t>
      </w:r>
      <w:r w:rsidRPr="002659DD">
        <w:t xml:space="preserve">dvice provided by AGS about </w:t>
      </w:r>
      <w:r>
        <w:t xml:space="preserve">the </w:t>
      </w:r>
      <w:r w:rsidRPr="002659DD">
        <w:t xml:space="preserve">constitutional power and legislative authority for use by DFAT of </w:t>
      </w:r>
      <w:r>
        <w:t>NGF</w:t>
      </w:r>
      <w:r w:rsidRPr="002659DD">
        <w:t xml:space="preserve"> is circulated separately and should be read in conjunction with this report.</w:t>
      </w:r>
      <w:r>
        <w:t xml:space="preserve"> Reduced to</w:t>
      </w:r>
      <w:r w:rsidRPr="002659DD">
        <w:t xml:space="preserve"> </w:t>
      </w:r>
      <w:r>
        <w:t xml:space="preserve">very </w:t>
      </w:r>
      <w:r w:rsidRPr="002659DD">
        <w:t>concise terms</w:t>
      </w:r>
      <w:r>
        <w:t>, this advice is that:</w:t>
      </w:r>
    </w:p>
    <w:p w14:paraId="67135BD9" w14:textId="77777777" w:rsidR="00DB15C8" w:rsidRDefault="00DB15C8" w:rsidP="000F209C">
      <w:pPr>
        <w:pStyle w:val="ListParagraph"/>
        <w:numPr>
          <w:ilvl w:val="0"/>
          <w:numId w:val="3"/>
        </w:numPr>
        <w:spacing w:before="120" w:after="120" w:line="240" w:lineRule="auto"/>
        <w:contextualSpacing w:val="0"/>
      </w:pPr>
      <w:r>
        <w:t xml:space="preserve">for loans, </w:t>
      </w:r>
      <w:r w:rsidRPr="002659DD">
        <w:t xml:space="preserve">authority could be established with low risk of a legal challenge being upheld either by inserting a new item in Schedule 1AB to the </w:t>
      </w:r>
      <w:r w:rsidRPr="006E0053">
        <w:rPr>
          <w:i/>
        </w:rPr>
        <w:t>Financial Framework (Supplementary Powers) Regulations 1997</w:t>
      </w:r>
      <w:r w:rsidRPr="002659DD">
        <w:t xml:space="preserve">, or by enacting new primary </w:t>
      </w:r>
      <w:proofErr w:type="gramStart"/>
      <w:r w:rsidRPr="002659DD">
        <w:t>legislation</w:t>
      </w:r>
      <w:r>
        <w:t>;</w:t>
      </w:r>
      <w:proofErr w:type="gramEnd"/>
      <w:r>
        <w:t xml:space="preserve"> </w:t>
      </w:r>
    </w:p>
    <w:p w14:paraId="6CB783FF" w14:textId="77777777" w:rsidR="00DB15C8" w:rsidRDefault="00DB15C8" w:rsidP="000F209C">
      <w:pPr>
        <w:pStyle w:val="ListParagraph"/>
        <w:numPr>
          <w:ilvl w:val="0"/>
          <w:numId w:val="3"/>
        </w:numPr>
        <w:spacing w:before="120" w:after="120" w:line="240" w:lineRule="auto"/>
        <w:contextualSpacing w:val="0"/>
      </w:pPr>
      <w:r>
        <w:t xml:space="preserve">for equity, quasi-equity, guarantees or insurance, </w:t>
      </w:r>
      <w:r w:rsidRPr="002659DD">
        <w:t xml:space="preserve">authority could be established with </w:t>
      </w:r>
      <w:r>
        <w:t xml:space="preserve">a similarly </w:t>
      </w:r>
      <w:r w:rsidRPr="002659DD">
        <w:t>low risk</w:t>
      </w:r>
      <w:r>
        <w:t xml:space="preserve"> only </w:t>
      </w:r>
      <w:r w:rsidRPr="00445435">
        <w:t>by enacting new primary legislation</w:t>
      </w:r>
      <w:r>
        <w:t>.</w:t>
      </w:r>
    </w:p>
    <w:p w14:paraId="2B1CE857" w14:textId="68FC9DF1" w:rsidR="00DB15C8" w:rsidRDefault="00DB15C8" w:rsidP="00DB15C8">
      <w:pPr>
        <w:spacing w:before="120" w:after="120" w:line="240" w:lineRule="auto"/>
      </w:pPr>
      <w:r w:rsidRPr="00695289">
        <w:t xml:space="preserve">Because of the difficulty of estimating the scope for offering new forms of finance without a more detailed reconnaissance, we recommend </w:t>
      </w:r>
      <w:r>
        <w:t xml:space="preserve">that </w:t>
      </w:r>
      <w:r w:rsidRPr="00695289">
        <w:t xml:space="preserve">Ministerial decisions </w:t>
      </w:r>
      <w:r w:rsidR="0045519F">
        <w:t xml:space="preserve">on NGF </w:t>
      </w:r>
      <w:r w:rsidRPr="00695289">
        <w:t xml:space="preserve">be in two </w:t>
      </w:r>
      <w:r w:rsidR="006430F1">
        <w:t>sets</w:t>
      </w:r>
      <w:r w:rsidRPr="00695289">
        <w:t xml:space="preserve">, with the intervening period used for undertaking </w:t>
      </w:r>
      <w:r w:rsidR="006430F1">
        <w:t>more</w:t>
      </w:r>
      <w:r w:rsidRPr="00695289">
        <w:t xml:space="preserve"> detailed reconnaissance of financing prospects, and </w:t>
      </w:r>
      <w:r w:rsidR="006430F1">
        <w:t>the related consideration of institutional options</w:t>
      </w:r>
      <w:r w:rsidRPr="00695289">
        <w:t>.</w:t>
      </w:r>
      <w:r>
        <w:t xml:space="preserve"> </w:t>
      </w:r>
      <w:r w:rsidRPr="00695289">
        <w:t xml:space="preserve">The </w:t>
      </w:r>
      <w:r>
        <w:t xml:space="preserve">first set of </w:t>
      </w:r>
      <w:r w:rsidRPr="00695289">
        <w:t xml:space="preserve">Ministerial decisions need not involve </w:t>
      </w:r>
      <w:r>
        <w:t>adopting</w:t>
      </w:r>
      <w:r w:rsidRPr="00695289">
        <w:t xml:space="preserve"> any of the institutional options as a medium</w:t>
      </w:r>
      <w:r>
        <w:t>-</w:t>
      </w:r>
      <w:r w:rsidRPr="00695289">
        <w:t>term objective.</w:t>
      </w:r>
    </w:p>
    <w:p w14:paraId="3E441ED0" w14:textId="7890239D" w:rsidR="003E7556" w:rsidRPr="00E84878" w:rsidRDefault="003E7556" w:rsidP="00E84878">
      <w:pPr>
        <w:pStyle w:val="Heading3"/>
        <w:rPr>
          <w:b/>
          <w:bCs/>
        </w:rPr>
      </w:pPr>
      <w:r w:rsidRPr="00E84878">
        <w:rPr>
          <w:b/>
          <w:bCs/>
        </w:rPr>
        <w:t>Risks and their management</w:t>
      </w:r>
    </w:p>
    <w:p w14:paraId="4CB33D6A" w14:textId="5E90018F" w:rsidR="003E7556" w:rsidRDefault="003E7556" w:rsidP="00DB15C8">
      <w:pPr>
        <w:spacing w:before="120" w:after="120" w:line="240" w:lineRule="auto"/>
      </w:pPr>
      <w:r>
        <w:t xml:space="preserve">Offering NGF would involve several new kinds of risk – political, </w:t>
      </w:r>
      <w:proofErr w:type="gramStart"/>
      <w:r>
        <w:t>reputational</w:t>
      </w:r>
      <w:proofErr w:type="gramEnd"/>
      <w:r>
        <w:t xml:space="preserve"> and financial. They could be managed by adding the regulatory arrangements we suggest to the existing practices of risk management within the development assistance program. This is explained in the final section </w:t>
      </w:r>
      <w:r w:rsidR="00950CBB">
        <w:t>on page 31</w:t>
      </w:r>
      <w:r>
        <w:t>, and in more detail in the risk-management matrix in Annex 2.</w:t>
      </w:r>
    </w:p>
    <w:p w14:paraId="56A919E1" w14:textId="4B89B0C9" w:rsidR="0076175A" w:rsidRPr="00726C5E" w:rsidRDefault="0076175A" w:rsidP="00E84878">
      <w:pPr>
        <w:pStyle w:val="Heading2"/>
      </w:pPr>
      <w:bookmarkStart w:id="12" w:name="_Toc531965939"/>
      <w:r w:rsidRPr="00726C5E">
        <w:lastRenderedPageBreak/>
        <w:t>Table 1</w:t>
      </w:r>
      <w:r w:rsidR="0071103E" w:rsidRPr="00726C5E">
        <w:t>—</w:t>
      </w:r>
      <w:r w:rsidRPr="00726C5E">
        <w:t>Prospective projects</w:t>
      </w:r>
      <w:r w:rsidR="00EB5B6C">
        <w:t xml:space="preserve"> or </w:t>
      </w:r>
      <w:r w:rsidR="003F7820" w:rsidRPr="00726C5E">
        <w:t xml:space="preserve">programs </w:t>
      </w:r>
      <w:r w:rsidRPr="00726C5E">
        <w:t xml:space="preserve">for which </w:t>
      </w:r>
      <w:r w:rsidR="00872E3A">
        <w:t>non-grant finance</w:t>
      </w:r>
      <w:r w:rsidRPr="00726C5E">
        <w:t xml:space="preserve"> </w:t>
      </w:r>
      <w:r w:rsidR="00872E3A">
        <w:t>is</w:t>
      </w:r>
      <w:r w:rsidRPr="00726C5E">
        <w:t xml:space="preserve"> preferable</w:t>
      </w:r>
      <w:bookmarkEnd w:id="12"/>
    </w:p>
    <w:tbl>
      <w:tblPr>
        <w:tblW w:w="9072" w:type="dxa"/>
        <w:tblLook w:val="04A0" w:firstRow="1" w:lastRow="0" w:firstColumn="1" w:lastColumn="0" w:noHBand="0" w:noVBand="1"/>
      </w:tblPr>
      <w:tblGrid>
        <w:gridCol w:w="1843"/>
        <w:gridCol w:w="1190"/>
        <w:gridCol w:w="2779"/>
        <w:gridCol w:w="1985"/>
        <w:gridCol w:w="1275"/>
      </w:tblGrid>
      <w:tr w:rsidR="007E6186" w:rsidRPr="00D52747" w14:paraId="29CAEAC6" w14:textId="77777777" w:rsidTr="00D6282B">
        <w:trPr>
          <w:trHeight w:val="300"/>
        </w:trPr>
        <w:tc>
          <w:tcPr>
            <w:tcW w:w="3033" w:type="dxa"/>
            <w:gridSpan w:val="2"/>
            <w:tcBorders>
              <w:top w:val="nil"/>
              <w:left w:val="nil"/>
              <w:bottom w:val="nil"/>
              <w:right w:val="nil"/>
            </w:tcBorders>
            <w:shd w:val="clear" w:color="auto" w:fill="auto"/>
            <w:noWrap/>
          </w:tcPr>
          <w:bookmarkEnd w:id="11"/>
          <w:p w14:paraId="43C318DE"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r w:rsidRPr="00D52747">
              <w:rPr>
                <w:rFonts w:ascii="Calibri" w:eastAsia="Times New Roman" w:hAnsi="Calibri" w:cs="Calibri"/>
                <w:color w:val="000000"/>
                <w:sz w:val="18"/>
                <w:szCs w:val="18"/>
                <w:lang w:eastAsia="en-AU"/>
              </w:rPr>
              <w:t>Shading code:</w:t>
            </w:r>
          </w:p>
        </w:tc>
        <w:tc>
          <w:tcPr>
            <w:tcW w:w="2779" w:type="dxa"/>
            <w:tcBorders>
              <w:top w:val="nil"/>
              <w:left w:val="nil"/>
              <w:bottom w:val="nil"/>
              <w:right w:val="nil"/>
            </w:tcBorders>
            <w:shd w:val="clear" w:color="auto" w:fill="auto"/>
            <w:noWrap/>
          </w:tcPr>
          <w:p w14:paraId="2E9DE4CD"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p>
        </w:tc>
        <w:tc>
          <w:tcPr>
            <w:tcW w:w="1985" w:type="dxa"/>
            <w:tcBorders>
              <w:top w:val="nil"/>
              <w:left w:val="nil"/>
              <w:bottom w:val="nil"/>
              <w:right w:val="nil"/>
            </w:tcBorders>
            <w:shd w:val="clear" w:color="auto" w:fill="auto"/>
            <w:noWrap/>
          </w:tcPr>
          <w:p w14:paraId="7A5F5261" w14:textId="77777777" w:rsidR="007E6186" w:rsidRPr="00D52747" w:rsidRDefault="007E6186" w:rsidP="00D6282B">
            <w:pPr>
              <w:spacing w:after="0" w:line="240" w:lineRule="auto"/>
              <w:rPr>
                <w:rFonts w:ascii="Times New Roman" w:eastAsia="Times New Roman" w:hAnsi="Times New Roman" w:cs="Times New Roman"/>
                <w:sz w:val="18"/>
                <w:szCs w:val="18"/>
                <w:lang w:eastAsia="en-AU"/>
              </w:rPr>
            </w:pPr>
          </w:p>
        </w:tc>
        <w:tc>
          <w:tcPr>
            <w:tcW w:w="1275" w:type="dxa"/>
            <w:tcBorders>
              <w:top w:val="nil"/>
              <w:left w:val="nil"/>
              <w:bottom w:val="nil"/>
              <w:right w:val="nil"/>
            </w:tcBorders>
            <w:shd w:val="clear" w:color="auto" w:fill="auto"/>
            <w:noWrap/>
          </w:tcPr>
          <w:p w14:paraId="35E83F23" w14:textId="77777777" w:rsidR="007E6186" w:rsidRPr="00D52747" w:rsidRDefault="007E6186" w:rsidP="00D6282B">
            <w:pPr>
              <w:spacing w:after="0" w:line="240" w:lineRule="auto"/>
              <w:rPr>
                <w:rFonts w:ascii="Times New Roman" w:eastAsia="Times New Roman" w:hAnsi="Times New Roman" w:cs="Times New Roman"/>
                <w:sz w:val="18"/>
                <w:szCs w:val="18"/>
                <w:lang w:eastAsia="en-AU"/>
              </w:rPr>
            </w:pPr>
          </w:p>
        </w:tc>
      </w:tr>
      <w:tr w:rsidR="007E6186" w:rsidRPr="00D52747" w14:paraId="53A6D683" w14:textId="77777777" w:rsidTr="00D6282B">
        <w:trPr>
          <w:trHeight w:val="300"/>
        </w:trPr>
        <w:tc>
          <w:tcPr>
            <w:tcW w:w="1843" w:type="dxa"/>
            <w:tcBorders>
              <w:top w:val="nil"/>
              <w:left w:val="nil"/>
              <w:bottom w:val="nil"/>
              <w:right w:val="nil"/>
            </w:tcBorders>
            <w:shd w:val="clear" w:color="000000" w:fill="C6EFCE"/>
            <w:noWrap/>
            <w:vAlign w:val="bottom"/>
            <w:hideMark/>
          </w:tcPr>
          <w:p w14:paraId="689D653A" w14:textId="77777777" w:rsidR="007E6186" w:rsidRPr="00D52747" w:rsidRDefault="007E6186" w:rsidP="00D6282B">
            <w:pPr>
              <w:spacing w:after="0" w:line="240" w:lineRule="auto"/>
              <w:jc w:val="center"/>
              <w:rPr>
                <w:rFonts w:ascii="Calibri" w:eastAsia="Times New Roman" w:hAnsi="Calibri" w:cs="Calibri"/>
                <w:color w:val="006100"/>
                <w:sz w:val="18"/>
                <w:szCs w:val="18"/>
                <w:lang w:eastAsia="en-AU"/>
              </w:rPr>
            </w:pPr>
            <w:r w:rsidRPr="00D52747">
              <w:rPr>
                <w:rFonts w:ascii="Calibri" w:eastAsia="Times New Roman" w:hAnsi="Calibri" w:cs="Calibri"/>
                <w:color w:val="006100"/>
                <w:sz w:val="18"/>
                <w:szCs w:val="18"/>
                <w:lang w:eastAsia="en-AU"/>
              </w:rPr>
              <w:t>existing</w:t>
            </w:r>
          </w:p>
        </w:tc>
        <w:tc>
          <w:tcPr>
            <w:tcW w:w="1190" w:type="dxa"/>
            <w:tcBorders>
              <w:top w:val="nil"/>
              <w:left w:val="nil"/>
              <w:bottom w:val="nil"/>
              <w:right w:val="nil"/>
            </w:tcBorders>
            <w:shd w:val="clear" w:color="000000" w:fill="FFEB9C"/>
            <w:noWrap/>
            <w:vAlign w:val="bottom"/>
            <w:hideMark/>
          </w:tcPr>
          <w:p w14:paraId="79413DDB" w14:textId="77777777" w:rsidR="007E6186" w:rsidRPr="00D52747" w:rsidRDefault="007E6186" w:rsidP="00D6282B">
            <w:pPr>
              <w:spacing w:after="0" w:line="240" w:lineRule="auto"/>
              <w:jc w:val="center"/>
              <w:rPr>
                <w:rFonts w:ascii="Calibri" w:eastAsia="Times New Roman" w:hAnsi="Calibri" w:cs="Calibri"/>
                <w:color w:val="9C5700"/>
                <w:sz w:val="18"/>
                <w:szCs w:val="18"/>
                <w:lang w:eastAsia="en-AU"/>
              </w:rPr>
            </w:pPr>
            <w:r w:rsidRPr="00D52747">
              <w:rPr>
                <w:rFonts w:ascii="Calibri" w:eastAsia="Times New Roman" w:hAnsi="Calibri" w:cs="Calibri"/>
                <w:color w:val="9C5700"/>
                <w:sz w:val="18"/>
                <w:szCs w:val="18"/>
                <w:lang w:eastAsia="en-AU"/>
              </w:rPr>
              <w:t>identified</w:t>
            </w:r>
          </w:p>
        </w:tc>
        <w:tc>
          <w:tcPr>
            <w:tcW w:w="2779" w:type="dxa"/>
            <w:tcBorders>
              <w:top w:val="nil"/>
              <w:left w:val="nil"/>
              <w:bottom w:val="nil"/>
              <w:right w:val="nil"/>
            </w:tcBorders>
            <w:shd w:val="clear" w:color="000000" w:fill="BDD7EE"/>
            <w:noWrap/>
            <w:vAlign w:val="bottom"/>
            <w:hideMark/>
          </w:tcPr>
          <w:p w14:paraId="56EEE7F4" w14:textId="77777777" w:rsidR="007E6186" w:rsidRPr="00D52747" w:rsidRDefault="007E6186" w:rsidP="00D6282B">
            <w:pPr>
              <w:spacing w:after="0" w:line="240" w:lineRule="auto"/>
              <w:jc w:val="center"/>
              <w:rPr>
                <w:rFonts w:ascii="Calibri" w:eastAsia="Times New Roman" w:hAnsi="Calibri" w:cs="Calibri"/>
                <w:color w:val="000000"/>
                <w:sz w:val="18"/>
                <w:szCs w:val="18"/>
                <w:lang w:eastAsia="en-AU"/>
              </w:rPr>
            </w:pPr>
            <w:r w:rsidRPr="00D52747">
              <w:rPr>
                <w:rFonts w:ascii="Calibri" w:eastAsia="Times New Roman" w:hAnsi="Calibri" w:cs="Calibri"/>
                <w:color w:val="000000"/>
                <w:sz w:val="18"/>
                <w:szCs w:val="18"/>
                <w:lang w:eastAsia="en-AU"/>
              </w:rPr>
              <w:t>possible</w:t>
            </w:r>
          </w:p>
        </w:tc>
        <w:tc>
          <w:tcPr>
            <w:tcW w:w="1985" w:type="dxa"/>
            <w:tcBorders>
              <w:top w:val="nil"/>
              <w:left w:val="nil"/>
              <w:bottom w:val="nil"/>
              <w:right w:val="nil"/>
            </w:tcBorders>
            <w:shd w:val="clear" w:color="000000" w:fill="F8CBAD"/>
            <w:noWrap/>
            <w:vAlign w:val="bottom"/>
            <w:hideMark/>
          </w:tcPr>
          <w:p w14:paraId="26455CF9" w14:textId="77777777" w:rsidR="007E6186" w:rsidRPr="00D52747" w:rsidRDefault="007E6186" w:rsidP="00D6282B">
            <w:pPr>
              <w:spacing w:after="0" w:line="240" w:lineRule="auto"/>
              <w:jc w:val="center"/>
              <w:rPr>
                <w:rFonts w:ascii="Calibri" w:eastAsia="Times New Roman" w:hAnsi="Calibri" w:cs="Calibri"/>
                <w:color w:val="000000"/>
                <w:sz w:val="18"/>
                <w:szCs w:val="18"/>
                <w:lang w:eastAsia="en-AU"/>
              </w:rPr>
            </w:pPr>
            <w:r w:rsidRPr="00D52747">
              <w:rPr>
                <w:rFonts w:ascii="Calibri" w:eastAsia="Times New Roman" w:hAnsi="Calibri" w:cs="Calibri"/>
                <w:color w:val="000000"/>
                <w:sz w:val="18"/>
                <w:szCs w:val="18"/>
                <w:lang w:eastAsia="en-AU"/>
              </w:rPr>
              <w:t xml:space="preserve">new non-loan finance </w:t>
            </w:r>
          </w:p>
        </w:tc>
        <w:tc>
          <w:tcPr>
            <w:tcW w:w="1275" w:type="dxa"/>
            <w:tcBorders>
              <w:top w:val="nil"/>
              <w:left w:val="nil"/>
              <w:bottom w:val="nil"/>
              <w:right w:val="nil"/>
            </w:tcBorders>
            <w:shd w:val="clear" w:color="000000" w:fill="DBDBDB"/>
            <w:noWrap/>
            <w:vAlign w:val="bottom"/>
            <w:hideMark/>
          </w:tcPr>
          <w:p w14:paraId="4E0C946C" w14:textId="77777777" w:rsidR="007E6186" w:rsidRPr="00D52747" w:rsidRDefault="007E6186" w:rsidP="00D6282B">
            <w:pPr>
              <w:spacing w:after="0" w:line="240" w:lineRule="auto"/>
              <w:jc w:val="center"/>
              <w:rPr>
                <w:rFonts w:ascii="Calibri" w:eastAsia="Times New Roman" w:hAnsi="Calibri" w:cs="Calibri"/>
                <w:color w:val="000000"/>
                <w:sz w:val="18"/>
                <w:szCs w:val="18"/>
                <w:lang w:eastAsia="en-AU"/>
              </w:rPr>
            </w:pPr>
            <w:r w:rsidRPr="00D52747">
              <w:rPr>
                <w:rFonts w:ascii="Calibri" w:eastAsia="Times New Roman" w:hAnsi="Calibri" w:cs="Calibri"/>
                <w:color w:val="000000"/>
                <w:sz w:val="18"/>
                <w:szCs w:val="18"/>
                <w:lang w:eastAsia="en-AU"/>
              </w:rPr>
              <w:t>new leader</w:t>
            </w:r>
          </w:p>
        </w:tc>
      </w:tr>
    </w:tbl>
    <w:p w14:paraId="0F7D0671" w14:textId="52DE8E85" w:rsidR="003C67AE" w:rsidRDefault="003C67AE" w:rsidP="009E1360">
      <w:pPr>
        <w:spacing w:before="120" w:after="120" w:line="240" w:lineRule="auto"/>
        <w:rPr>
          <w:color w:val="002060"/>
          <w:sz w:val="24"/>
          <w:szCs w:val="24"/>
        </w:rPr>
      </w:pPr>
    </w:p>
    <w:tbl>
      <w:tblPr>
        <w:tblW w:w="9072" w:type="dxa"/>
        <w:tblLook w:val="04A0" w:firstRow="1" w:lastRow="0" w:firstColumn="1" w:lastColumn="0" w:noHBand="0" w:noVBand="1"/>
      </w:tblPr>
      <w:tblGrid>
        <w:gridCol w:w="1843"/>
        <w:gridCol w:w="1190"/>
        <w:gridCol w:w="2779"/>
        <w:gridCol w:w="1985"/>
        <w:gridCol w:w="1275"/>
      </w:tblGrid>
      <w:tr w:rsidR="007E6186" w:rsidRPr="00D52747" w14:paraId="56657CCC" w14:textId="77777777" w:rsidTr="00D6282B">
        <w:trPr>
          <w:trHeight w:val="300"/>
          <w:tblHeader/>
        </w:trPr>
        <w:tc>
          <w:tcPr>
            <w:tcW w:w="1843" w:type="dxa"/>
            <w:tcBorders>
              <w:top w:val="nil"/>
              <w:left w:val="nil"/>
              <w:bottom w:val="nil"/>
              <w:right w:val="nil"/>
            </w:tcBorders>
            <w:shd w:val="clear" w:color="auto" w:fill="auto"/>
            <w:noWrap/>
            <w:hideMark/>
          </w:tcPr>
          <w:p w14:paraId="361FD479" w14:textId="77777777" w:rsidR="007E6186" w:rsidRPr="00D52747" w:rsidRDefault="007E6186" w:rsidP="00D6282B">
            <w:pPr>
              <w:spacing w:after="0" w:line="240" w:lineRule="auto"/>
              <w:rPr>
                <w:rFonts w:ascii="Calibri" w:eastAsia="Times New Roman" w:hAnsi="Calibri" w:cs="Calibri"/>
                <w:b/>
                <w:bCs/>
                <w:color w:val="000000"/>
                <w:sz w:val="18"/>
                <w:szCs w:val="18"/>
                <w:lang w:eastAsia="en-AU"/>
              </w:rPr>
            </w:pPr>
            <w:r w:rsidRPr="00D52747">
              <w:rPr>
                <w:rFonts w:ascii="Calibri" w:eastAsia="Times New Roman" w:hAnsi="Calibri" w:cs="Calibri"/>
                <w:b/>
                <w:bCs/>
                <w:color w:val="000000"/>
                <w:sz w:val="18"/>
                <w:szCs w:val="18"/>
                <w:lang w:eastAsia="en-AU"/>
              </w:rPr>
              <w:t>Development objective</w:t>
            </w:r>
          </w:p>
        </w:tc>
        <w:tc>
          <w:tcPr>
            <w:tcW w:w="1190" w:type="dxa"/>
            <w:tcBorders>
              <w:top w:val="nil"/>
              <w:left w:val="nil"/>
              <w:bottom w:val="nil"/>
              <w:right w:val="nil"/>
            </w:tcBorders>
            <w:shd w:val="clear" w:color="auto" w:fill="auto"/>
            <w:noWrap/>
            <w:hideMark/>
          </w:tcPr>
          <w:p w14:paraId="7E26F5C1" w14:textId="77777777" w:rsidR="007E6186" w:rsidRPr="00D52747" w:rsidRDefault="007E6186" w:rsidP="00D6282B">
            <w:pPr>
              <w:spacing w:after="0" w:line="240" w:lineRule="auto"/>
              <w:rPr>
                <w:rFonts w:ascii="Calibri" w:eastAsia="Times New Roman" w:hAnsi="Calibri" w:cs="Calibri"/>
                <w:b/>
                <w:bCs/>
                <w:color w:val="000000"/>
                <w:sz w:val="18"/>
                <w:szCs w:val="18"/>
                <w:lang w:eastAsia="en-AU"/>
              </w:rPr>
            </w:pPr>
            <w:r w:rsidRPr="00D52747">
              <w:rPr>
                <w:rFonts w:ascii="Calibri" w:eastAsia="Times New Roman" w:hAnsi="Calibri" w:cs="Calibri"/>
                <w:b/>
                <w:bCs/>
                <w:color w:val="000000"/>
                <w:sz w:val="18"/>
                <w:szCs w:val="18"/>
                <w:lang w:eastAsia="en-AU"/>
              </w:rPr>
              <w:t>Country /region</w:t>
            </w:r>
          </w:p>
        </w:tc>
        <w:tc>
          <w:tcPr>
            <w:tcW w:w="2779" w:type="dxa"/>
            <w:tcBorders>
              <w:top w:val="nil"/>
              <w:left w:val="nil"/>
              <w:bottom w:val="nil"/>
              <w:right w:val="nil"/>
            </w:tcBorders>
            <w:shd w:val="clear" w:color="auto" w:fill="auto"/>
            <w:noWrap/>
            <w:hideMark/>
          </w:tcPr>
          <w:p w14:paraId="37AED81D" w14:textId="77777777" w:rsidR="007E6186" w:rsidRPr="00D52747" w:rsidRDefault="007E6186" w:rsidP="00D6282B">
            <w:pPr>
              <w:spacing w:after="0" w:line="240" w:lineRule="auto"/>
              <w:rPr>
                <w:rFonts w:ascii="Calibri" w:eastAsia="Times New Roman" w:hAnsi="Calibri" w:cs="Calibri"/>
                <w:b/>
                <w:bCs/>
                <w:color w:val="000000"/>
                <w:sz w:val="18"/>
                <w:szCs w:val="18"/>
                <w:lang w:eastAsia="en-AU"/>
              </w:rPr>
            </w:pPr>
            <w:r w:rsidRPr="00D52747">
              <w:rPr>
                <w:rFonts w:ascii="Calibri" w:eastAsia="Times New Roman" w:hAnsi="Calibri" w:cs="Calibri"/>
                <w:b/>
                <w:bCs/>
                <w:color w:val="000000"/>
                <w:sz w:val="18"/>
                <w:szCs w:val="18"/>
                <w:lang w:eastAsia="en-AU"/>
              </w:rPr>
              <w:t>Prospective project/program</w:t>
            </w:r>
          </w:p>
        </w:tc>
        <w:tc>
          <w:tcPr>
            <w:tcW w:w="1985" w:type="dxa"/>
            <w:tcBorders>
              <w:top w:val="nil"/>
              <w:left w:val="nil"/>
              <w:bottom w:val="nil"/>
              <w:right w:val="nil"/>
            </w:tcBorders>
            <w:shd w:val="clear" w:color="auto" w:fill="auto"/>
            <w:noWrap/>
            <w:hideMark/>
          </w:tcPr>
          <w:p w14:paraId="49A592B2" w14:textId="77777777" w:rsidR="007E6186" w:rsidRPr="00D52747" w:rsidRDefault="007E6186" w:rsidP="00D6282B">
            <w:pPr>
              <w:spacing w:after="0" w:line="240" w:lineRule="auto"/>
              <w:rPr>
                <w:rFonts w:ascii="Calibri" w:eastAsia="Times New Roman" w:hAnsi="Calibri" w:cs="Calibri"/>
                <w:b/>
                <w:bCs/>
                <w:color w:val="000000"/>
                <w:sz w:val="18"/>
                <w:szCs w:val="18"/>
                <w:lang w:eastAsia="en-AU"/>
              </w:rPr>
            </w:pPr>
            <w:r w:rsidRPr="00D52747">
              <w:rPr>
                <w:rFonts w:ascii="Calibri" w:eastAsia="Times New Roman" w:hAnsi="Calibri" w:cs="Calibri"/>
                <w:b/>
                <w:bCs/>
                <w:color w:val="000000"/>
                <w:sz w:val="18"/>
                <w:szCs w:val="18"/>
                <w:lang w:eastAsia="en-AU"/>
              </w:rPr>
              <w:t>Preferable Aust financing</w:t>
            </w:r>
          </w:p>
        </w:tc>
        <w:tc>
          <w:tcPr>
            <w:tcW w:w="1275" w:type="dxa"/>
            <w:tcBorders>
              <w:top w:val="nil"/>
              <w:left w:val="nil"/>
              <w:bottom w:val="nil"/>
              <w:right w:val="nil"/>
            </w:tcBorders>
            <w:shd w:val="clear" w:color="auto" w:fill="auto"/>
            <w:noWrap/>
            <w:hideMark/>
          </w:tcPr>
          <w:p w14:paraId="6FF99F69" w14:textId="77777777" w:rsidR="007E6186" w:rsidRPr="00D52747" w:rsidRDefault="007E6186" w:rsidP="00D6282B">
            <w:pPr>
              <w:spacing w:after="0" w:line="240" w:lineRule="auto"/>
              <w:rPr>
                <w:rFonts w:ascii="Calibri" w:eastAsia="Times New Roman" w:hAnsi="Calibri" w:cs="Calibri"/>
                <w:b/>
                <w:bCs/>
                <w:color w:val="000000"/>
                <w:sz w:val="18"/>
                <w:szCs w:val="18"/>
                <w:lang w:eastAsia="en-AU"/>
              </w:rPr>
            </w:pPr>
            <w:r w:rsidRPr="00D52747">
              <w:rPr>
                <w:rFonts w:ascii="Calibri" w:eastAsia="Times New Roman" w:hAnsi="Calibri" w:cs="Calibri"/>
                <w:b/>
                <w:bCs/>
                <w:color w:val="000000"/>
                <w:sz w:val="18"/>
                <w:szCs w:val="18"/>
                <w:lang w:eastAsia="en-AU"/>
              </w:rPr>
              <w:t>Project leader/s</w:t>
            </w:r>
          </w:p>
        </w:tc>
      </w:tr>
      <w:tr w:rsidR="007E6186" w:rsidRPr="00D52747" w14:paraId="181C4556" w14:textId="77777777" w:rsidTr="00D6282B">
        <w:trPr>
          <w:trHeight w:val="930"/>
        </w:trPr>
        <w:tc>
          <w:tcPr>
            <w:tcW w:w="1843" w:type="dxa"/>
            <w:tcBorders>
              <w:top w:val="nil"/>
              <w:left w:val="nil"/>
              <w:bottom w:val="nil"/>
              <w:right w:val="nil"/>
            </w:tcBorders>
            <w:shd w:val="clear" w:color="000000" w:fill="BDD7EE"/>
            <w:hideMark/>
          </w:tcPr>
          <w:p w14:paraId="0E718F7B"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r w:rsidRPr="00D52747">
              <w:rPr>
                <w:rFonts w:ascii="Calibri" w:eastAsia="Times New Roman" w:hAnsi="Calibri" w:cs="Calibri"/>
                <w:color w:val="000000"/>
                <w:sz w:val="18"/>
                <w:szCs w:val="18"/>
                <w:lang w:eastAsia="en-AU"/>
              </w:rPr>
              <w:t>Privately-owned infrastructure with economic and social benefit</w:t>
            </w:r>
          </w:p>
        </w:tc>
        <w:tc>
          <w:tcPr>
            <w:tcW w:w="1190" w:type="dxa"/>
            <w:tcBorders>
              <w:top w:val="nil"/>
              <w:left w:val="nil"/>
              <w:bottom w:val="nil"/>
              <w:right w:val="nil"/>
            </w:tcBorders>
            <w:shd w:val="clear" w:color="000000" w:fill="BDD7EE"/>
            <w:noWrap/>
            <w:hideMark/>
          </w:tcPr>
          <w:p w14:paraId="359A0E58"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r w:rsidRPr="00D52747">
              <w:rPr>
                <w:rFonts w:ascii="Calibri" w:eastAsia="Times New Roman" w:hAnsi="Calibri" w:cs="Calibri"/>
                <w:color w:val="000000"/>
                <w:sz w:val="18"/>
                <w:szCs w:val="18"/>
                <w:lang w:eastAsia="en-AU"/>
              </w:rPr>
              <w:t>A - Indo-Pacific</w:t>
            </w:r>
          </w:p>
        </w:tc>
        <w:tc>
          <w:tcPr>
            <w:tcW w:w="2779" w:type="dxa"/>
            <w:tcBorders>
              <w:top w:val="nil"/>
              <w:left w:val="nil"/>
              <w:bottom w:val="nil"/>
              <w:right w:val="nil"/>
            </w:tcBorders>
            <w:shd w:val="clear" w:color="000000" w:fill="BDD7EE"/>
            <w:hideMark/>
          </w:tcPr>
          <w:p w14:paraId="72250355"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r w:rsidRPr="00D52747">
              <w:rPr>
                <w:rFonts w:ascii="Calibri" w:eastAsia="Times New Roman" w:hAnsi="Calibri" w:cs="Calibri"/>
                <w:color w:val="000000"/>
                <w:sz w:val="18"/>
                <w:szCs w:val="18"/>
                <w:lang w:eastAsia="en-AU"/>
              </w:rPr>
              <w:t xml:space="preserve">Co-invest with DFID through </w:t>
            </w:r>
            <w:proofErr w:type="spellStart"/>
            <w:r w:rsidRPr="00D52747">
              <w:rPr>
                <w:rFonts w:ascii="Calibri" w:eastAsia="Times New Roman" w:hAnsi="Calibri" w:cs="Calibri"/>
                <w:color w:val="000000"/>
                <w:sz w:val="18"/>
                <w:szCs w:val="18"/>
                <w:lang w:eastAsia="en-AU"/>
              </w:rPr>
              <w:t>InfraCo</w:t>
            </w:r>
            <w:proofErr w:type="spellEnd"/>
            <w:r w:rsidRPr="00D52747">
              <w:rPr>
                <w:rFonts w:ascii="Calibri" w:eastAsia="Times New Roman" w:hAnsi="Calibri" w:cs="Calibri"/>
                <w:color w:val="000000"/>
                <w:sz w:val="18"/>
                <w:szCs w:val="18"/>
                <w:lang w:eastAsia="en-AU"/>
              </w:rPr>
              <w:t xml:space="preserve"> Asia (Investments) in portions of project equity</w:t>
            </w:r>
          </w:p>
        </w:tc>
        <w:tc>
          <w:tcPr>
            <w:tcW w:w="1985" w:type="dxa"/>
            <w:tcBorders>
              <w:top w:val="nil"/>
              <w:left w:val="nil"/>
              <w:bottom w:val="nil"/>
              <w:right w:val="nil"/>
            </w:tcBorders>
            <w:shd w:val="clear" w:color="000000" w:fill="F8CBAD"/>
            <w:noWrap/>
            <w:hideMark/>
          </w:tcPr>
          <w:p w14:paraId="10FDCB05"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r w:rsidRPr="00D52747">
              <w:rPr>
                <w:rFonts w:ascii="Calibri" w:eastAsia="Times New Roman" w:hAnsi="Calibri" w:cs="Calibri"/>
                <w:color w:val="000000"/>
                <w:sz w:val="18"/>
                <w:szCs w:val="18"/>
                <w:lang w:eastAsia="en-AU"/>
              </w:rPr>
              <w:t>Equity, or callable capital</w:t>
            </w:r>
          </w:p>
        </w:tc>
        <w:tc>
          <w:tcPr>
            <w:tcW w:w="1275" w:type="dxa"/>
            <w:tcBorders>
              <w:top w:val="nil"/>
              <w:left w:val="nil"/>
              <w:bottom w:val="nil"/>
              <w:right w:val="nil"/>
            </w:tcBorders>
            <w:shd w:val="clear" w:color="000000" w:fill="DBDBDB"/>
            <w:hideMark/>
          </w:tcPr>
          <w:p w14:paraId="73622B19"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proofErr w:type="spellStart"/>
            <w:r w:rsidRPr="00D52747">
              <w:rPr>
                <w:rFonts w:ascii="Calibri" w:eastAsia="Times New Roman" w:hAnsi="Calibri" w:cs="Calibri"/>
                <w:color w:val="000000"/>
                <w:sz w:val="18"/>
                <w:szCs w:val="18"/>
                <w:lang w:eastAsia="en-AU"/>
              </w:rPr>
              <w:t>InfraCo</w:t>
            </w:r>
            <w:proofErr w:type="spellEnd"/>
            <w:r w:rsidRPr="00D52747">
              <w:rPr>
                <w:rFonts w:ascii="Calibri" w:eastAsia="Times New Roman" w:hAnsi="Calibri" w:cs="Calibri"/>
                <w:color w:val="000000"/>
                <w:sz w:val="18"/>
                <w:szCs w:val="18"/>
                <w:lang w:eastAsia="en-AU"/>
              </w:rPr>
              <w:t xml:space="preserve"> Asia</w:t>
            </w:r>
          </w:p>
        </w:tc>
      </w:tr>
      <w:tr w:rsidR="007E6186" w:rsidRPr="00D52747" w14:paraId="31EF1FC1" w14:textId="77777777" w:rsidTr="00D6282B">
        <w:trPr>
          <w:trHeight w:val="930"/>
        </w:trPr>
        <w:tc>
          <w:tcPr>
            <w:tcW w:w="1843" w:type="dxa"/>
            <w:tcBorders>
              <w:top w:val="nil"/>
              <w:left w:val="nil"/>
              <w:bottom w:val="nil"/>
              <w:right w:val="nil"/>
            </w:tcBorders>
            <w:shd w:val="clear" w:color="000000" w:fill="BDD7EE"/>
            <w:hideMark/>
          </w:tcPr>
          <w:p w14:paraId="0F9CB369"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r w:rsidRPr="00D52747">
              <w:rPr>
                <w:rFonts w:ascii="Calibri" w:eastAsia="Times New Roman" w:hAnsi="Calibri" w:cs="Calibri"/>
                <w:color w:val="000000"/>
                <w:sz w:val="18"/>
                <w:szCs w:val="18"/>
                <w:lang w:eastAsia="en-AU"/>
              </w:rPr>
              <w:t>Inclusive growth through fostering SMEs</w:t>
            </w:r>
          </w:p>
        </w:tc>
        <w:tc>
          <w:tcPr>
            <w:tcW w:w="1190" w:type="dxa"/>
            <w:tcBorders>
              <w:top w:val="nil"/>
              <w:left w:val="nil"/>
              <w:bottom w:val="nil"/>
              <w:right w:val="nil"/>
            </w:tcBorders>
            <w:shd w:val="clear" w:color="000000" w:fill="BDD7EE"/>
            <w:noWrap/>
            <w:hideMark/>
          </w:tcPr>
          <w:p w14:paraId="099B7B58"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r w:rsidRPr="00D52747">
              <w:rPr>
                <w:rFonts w:ascii="Calibri" w:eastAsia="Times New Roman" w:hAnsi="Calibri" w:cs="Calibri"/>
                <w:color w:val="000000"/>
                <w:sz w:val="18"/>
                <w:szCs w:val="18"/>
                <w:lang w:eastAsia="en-AU"/>
              </w:rPr>
              <w:t>A - Indo-Pacific</w:t>
            </w:r>
          </w:p>
        </w:tc>
        <w:tc>
          <w:tcPr>
            <w:tcW w:w="2779" w:type="dxa"/>
            <w:tcBorders>
              <w:top w:val="nil"/>
              <w:left w:val="nil"/>
              <w:bottom w:val="nil"/>
              <w:right w:val="nil"/>
            </w:tcBorders>
            <w:shd w:val="clear" w:color="000000" w:fill="BDD7EE"/>
            <w:hideMark/>
          </w:tcPr>
          <w:p w14:paraId="2CD79B4A"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r w:rsidRPr="00D52747">
              <w:rPr>
                <w:rFonts w:ascii="Calibri" w:eastAsia="Times New Roman" w:hAnsi="Calibri" w:cs="Calibri"/>
                <w:color w:val="000000"/>
                <w:sz w:val="18"/>
                <w:szCs w:val="18"/>
                <w:lang w:eastAsia="en-AU"/>
              </w:rPr>
              <w:t>Invest in Inclusive Ventures fund</w:t>
            </w:r>
          </w:p>
        </w:tc>
        <w:tc>
          <w:tcPr>
            <w:tcW w:w="1985" w:type="dxa"/>
            <w:tcBorders>
              <w:top w:val="nil"/>
              <w:left w:val="nil"/>
              <w:bottom w:val="nil"/>
              <w:right w:val="nil"/>
            </w:tcBorders>
            <w:shd w:val="clear" w:color="000000" w:fill="F8CBAD"/>
            <w:hideMark/>
          </w:tcPr>
          <w:p w14:paraId="666D21D3"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r w:rsidRPr="00D52747">
              <w:rPr>
                <w:rFonts w:ascii="Calibri" w:eastAsia="Times New Roman" w:hAnsi="Calibri" w:cs="Calibri"/>
                <w:color w:val="000000"/>
                <w:sz w:val="18"/>
                <w:szCs w:val="18"/>
                <w:lang w:eastAsia="en-AU"/>
              </w:rPr>
              <w:t>Equity, or grant convertible to loan or equity on success</w:t>
            </w:r>
          </w:p>
        </w:tc>
        <w:tc>
          <w:tcPr>
            <w:tcW w:w="1275" w:type="dxa"/>
            <w:tcBorders>
              <w:top w:val="nil"/>
              <w:left w:val="nil"/>
              <w:bottom w:val="nil"/>
              <w:right w:val="nil"/>
            </w:tcBorders>
            <w:shd w:val="clear" w:color="000000" w:fill="DBDBDB"/>
            <w:hideMark/>
          </w:tcPr>
          <w:p w14:paraId="03B7817C"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r w:rsidRPr="00D52747">
              <w:rPr>
                <w:rFonts w:ascii="Calibri" w:eastAsia="Times New Roman" w:hAnsi="Calibri" w:cs="Calibri"/>
                <w:color w:val="000000"/>
                <w:sz w:val="18"/>
                <w:szCs w:val="18"/>
                <w:lang w:eastAsia="en-AU"/>
              </w:rPr>
              <w:t>Save The Children</w:t>
            </w:r>
          </w:p>
        </w:tc>
      </w:tr>
      <w:tr w:rsidR="007E6186" w:rsidRPr="00D52747" w14:paraId="1C0AC671" w14:textId="77777777" w:rsidTr="00D6282B">
        <w:trPr>
          <w:trHeight w:val="615"/>
        </w:trPr>
        <w:tc>
          <w:tcPr>
            <w:tcW w:w="1843" w:type="dxa"/>
            <w:tcBorders>
              <w:top w:val="nil"/>
              <w:left w:val="nil"/>
              <w:bottom w:val="nil"/>
              <w:right w:val="nil"/>
            </w:tcBorders>
            <w:shd w:val="clear" w:color="000000" w:fill="C6EFCE"/>
            <w:hideMark/>
          </w:tcPr>
          <w:p w14:paraId="3DA2014F" w14:textId="77777777" w:rsidR="007E6186" w:rsidRPr="00D52747" w:rsidRDefault="007E6186" w:rsidP="00D6282B">
            <w:pPr>
              <w:spacing w:after="0" w:line="240" w:lineRule="auto"/>
              <w:rPr>
                <w:rFonts w:ascii="Calibri" w:eastAsia="Times New Roman" w:hAnsi="Calibri" w:cs="Calibri"/>
                <w:color w:val="006100"/>
                <w:sz w:val="18"/>
                <w:szCs w:val="18"/>
                <w:lang w:eastAsia="en-AU"/>
              </w:rPr>
            </w:pPr>
            <w:r w:rsidRPr="00D52747">
              <w:rPr>
                <w:rFonts w:ascii="Calibri" w:eastAsia="Times New Roman" w:hAnsi="Calibri" w:cs="Calibri"/>
                <w:color w:val="006100"/>
                <w:sz w:val="18"/>
                <w:szCs w:val="18"/>
                <w:lang w:eastAsia="en-AU"/>
              </w:rPr>
              <w:t>Inclusive growth through fostering SMEs</w:t>
            </w:r>
          </w:p>
        </w:tc>
        <w:tc>
          <w:tcPr>
            <w:tcW w:w="1190" w:type="dxa"/>
            <w:tcBorders>
              <w:top w:val="nil"/>
              <w:left w:val="nil"/>
              <w:bottom w:val="nil"/>
              <w:right w:val="nil"/>
            </w:tcBorders>
            <w:shd w:val="clear" w:color="000000" w:fill="C6EFCE"/>
            <w:noWrap/>
            <w:hideMark/>
          </w:tcPr>
          <w:p w14:paraId="0B191782" w14:textId="77777777" w:rsidR="007E6186" w:rsidRPr="00D52747" w:rsidRDefault="007E6186" w:rsidP="00D6282B">
            <w:pPr>
              <w:spacing w:after="0" w:line="240" w:lineRule="auto"/>
              <w:rPr>
                <w:rFonts w:ascii="Calibri" w:eastAsia="Times New Roman" w:hAnsi="Calibri" w:cs="Calibri"/>
                <w:color w:val="006100"/>
                <w:sz w:val="18"/>
                <w:szCs w:val="18"/>
                <w:lang w:eastAsia="en-AU"/>
              </w:rPr>
            </w:pPr>
            <w:r w:rsidRPr="00D52747">
              <w:rPr>
                <w:rFonts w:ascii="Calibri" w:eastAsia="Times New Roman" w:hAnsi="Calibri" w:cs="Calibri"/>
                <w:color w:val="006100"/>
                <w:sz w:val="18"/>
                <w:szCs w:val="18"/>
                <w:lang w:eastAsia="en-AU"/>
              </w:rPr>
              <w:t>A - Indo-Pacific</w:t>
            </w:r>
          </w:p>
        </w:tc>
        <w:tc>
          <w:tcPr>
            <w:tcW w:w="2779" w:type="dxa"/>
            <w:tcBorders>
              <w:top w:val="nil"/>
              <w:left w:val="nil"/>
              <w:bottom w:val="nil"/>
              <w:right w:val="nil"/>
            </w:tcBorders>
            <w:shd w:val="clear" w:color="000000" w:fill="C6EFCE"/>
            <w:hideMark/>
          </w:tcPr>
          <w:p w14:paraId="5CA7879A" w14:textId="77777777" w:rsidR="007E6186" w:rsidRPr="00D52747" w:rsidRDefault="007E6186" w:rsidP="00D6282B">
            <w:pPr>
              <w:spacing w:after="0" w:line="240" w:lineRule="auto"/>
              <w:rPr>
                <w:rFonts w:ascii="Calibri" w:eastAsia="Times New Roman" w:hAnsi="Calibri" w:cs="Calibri"/>
                <w:color w:val="006100"/>
                <w:sz w:val="18"/>
                <w:szCs w:val="18"/>
                <w:lang w:eastAsia="en-AU"/>
              </w:rPr>
            </w:pPr>
            <w:r w:rsidRPr="00D52747">
              <w:rPr>
                <w:rFonts w:ascii="Calibri" w:eastAsia="Times New Roman" w:hAnsi="Calibri" w:cs="Calibri"/>
                <w:color w:val="006100"/>
                <w:sz w:val="18"/>
                <w:szCs w:val="18"/>
                <w:lang w:eastAsia="en-AU"/>
              </w:rPr>
              <w:t>Emerging Markets Impact Investment Fund</w:t>
            </w:r>
          </w:p>
        </w:tc>
        <w:tc>
          <w:tcPr>
            <w:tcW w:w="1985" w:type="dxa"/>
            <w:tcBorders>
              <w:top w:val="nil"/>
              <w:left w:val="nil"/>
              <w:bottom w:val="nil"/>
              <w:right w:val="nil"/>
            </w:tcBorders>
            <w:shd w:val="clear" w:color="000000" w:fill="F8CBAD"/>
            <w:hideMark/>
          </w:tcPr>
          <w:p w14:paraId="220A13B0"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r w:rsidRPr="00D52747">
              <w:rPr>
                <w:rFonts w:ascii="Calibri" w:eastAsia="Times New Roman" w:hAnsi="Calibri" w:cs="Calibri"/>
                <w:color w:val="000000"/>
                <w:sz w:val="18"/>
                <w:szCs w:val="18"/>
                <w:lang w:eastAsia="en-AU"/>
              </w:rPr>
              <w:t>Equity co-investments through local funds</w:t>
            </w:r>
          </w:p>
        </w:tc>
        <w:tc>
          <w:tcPr>
            <w:tcW w:w="1275" w:type="dxa"/>
            <w:tcBorders>
              <w:top w:val="nil"/>
              <w:left w:val="nil"/>
              <w:bottom w:val="nil"/>
              <w:right w:val="nil"/>
            </w:tcBorders>
            <w:shd w:val="clear" w:color="auto" w:fill="auto"/>
            <w:hideMark/>
          </w:tcPr>
          <w:p w14:paraId="77A1FA43"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r w:rsidRPr="00D52747">
              <w:rPr>
                <w:rFonts w:ascii="Calibri" w:eastAsia="Times New Roman" w:hAnsi="Calibri" w:cs="Calibri"/>
                <w:color w:val="000000"/>
                <w:sz w:val="18"/>
                <w:szCs w:val="18"/>
                <w:lang w:eastAsia="en-AU"/>
              </w:rPr>
              <w:t>DFAT</w:t>
            </w:r>
          </w:p>
        </w:tc>
      </w:tr>
      <w:tr w:rsidR="007E6186" w:rsidRPr="00D52747" w14:paraId="3F611441" w14:textId="77777777" w:rsidTr="00D6282B">
        <w:trPr>
          <w:trHeight w:val="900"/>
        </w:trPr>
        <w:tc>
          <w:tcPr>
            <w:tcW w:w="1843" w:type="dxa"/>
            <w:tcBorders>
              <w:top w:val="nil"/>
              <w:left w:val="nil"/>
              <w:bottom w:val="nil"/>
              <w:right w:val="nil"/>
            </w:tcBorders>
            <w:shd w:val="clear" w:color="000000" w:fill="BDD7EE"/>
            <w:hideMark/>
          </w:tcPr>
          <w:p w14:paraId="646B9851"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r w:rsidRPr="00D52747">
              <w:rPr>
                <w:rFonts w:ascii="Calibri" w:eastAsia="Times New Roman" w:hAnsi="Calibri" w:cs="Calibri"/>
                <w:color w:val="000000"/>
                <w:sz w:val="18"/>
                <w:szCs w:val="18"/>
                <w:lang w:eastAsia="en-AU"/>
              </w:rPr>
              <w:t>Supporting businesses or social enterprises with development impact</w:t>
            </w:r>
          </w:p>
        </w:tc>
        <w:tc>
          <w:tcPr>
            <w:tcW w:w="1190" w:type="dxa"/>
            <w:tcBorders>
              <w:top w:val="nil"/>
              <w:left w:val="nil"/>
              <w:bottom w:val="nil"/>
              <w:right w:val="nil"/>
            </w:tcBorders>
            <w:shd w:val="clear" w:color="000000" w:fill="BDD7EE"/>
            <w:noWrap/>
            <w:hideMark/>
          </w:tcPr>
          <w:p w14:paraId="0EBF4F45"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r w:rsidRPr="00D52747">
              <w:rPr>
                <w:rFonts w:ascii="Calibri" w:eastAsia="Times New Roman" w:hAnsi="Calibri" w:cs="Calibri"/>
                <w:color w:val="000000"/>
                <w:sz w:val="18"/>
                <w:szCs w:val="18"/>
                <w:lang w:eastAsia="en-AU"/>
              </w:rPr>
              <w:t>A - Indo-Pacific</w:t>
            </w:r>
          </w:p>
        </w:tc>
        <w:tc>
          <w:tcPr>
            <w:tcW w:w="2779" w:type="dxa"/>
            <w:tcBorders>
              <w:top w:val="nil"/>
              <w:left w:val="nil"/>
              <w:bottom w:val="nil"/>
              <w:right w:val="nil"/>
            </w:tcBorders>
            <w:shd w:val="clear" w:color="000000" w:fill="BDD7EE"/>
            <w:hideMark/>
          </w:tcPr>
          <w:p w14:paraId="5C50B67F"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r w:rsidRPr="00D52747">
              <w:rPr>
                <w:rFonts w:ascii="Calibri" w:eastAsia="Times New Roman" w:hAnsi="Calibri" w:cs="Calibri"/>
                <w:color w:val="000000"/>
                <w:sz w:val="18"/>
                <w:szCs w:val="18"/>
                <w:lang w:eastAsia="en-AU"/>
              </w:rPr>
              <w:t xml:space="preserve">Co-investing with established impact investors </w:t>
            </w:r>
          </w:p>
        </w:tc>
        <w:tc>
          <w:tcPr>
            <w:tcW w:w="1985" w:type="dxa"/>
            <w:tcBorders>
              <w:top w:val="nil"/>
              <w:left w:val="nil"/>
              <w:bottom w:val="nil"/>
              <w:right w:val="nil"/>
            </w:tcBorders>
            <w:shd w:val="clear" w:color="auto" w:fill="auto"/>
            <w:hideMark/>
          </w:tcPr>
          <w:p w14:paraId="1F761B54"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r w:rsidRPr="00D52747">
              <w:rPr>
                <w:rFonts w:ascii="Calibri" w:eastAsia="Times New Roman" w:hAnsi="Calibri" w:cs="Calibri"/>
                <w:color w:val="000000"/>
                <w:sz w:val="18"/>
                <w:szCs w:val="18"/>
                <w:lang w:eastAsia="en-AU"/>
              </w:rPr>
              <w:t>Subordinated loans or equity - still unclear</w:t>
            </w:r>
          </w:p>
        </w:tc>
        <w:tc>
          <w:tcPr>
            <w:tcW w:w="1275" w:type="dxa"/>
            <w:tcBorders>
              <w:top w:val="nil"/>
              <w:left w:val="nil"/>
              <w:bottom w:val="nil"/>
              <w:right w:val="nil"/>
            </w:tcBorders>
            <w:shd w:val="clear" w:color="000000" w:fill="FFC7CE"/>
            <w:hideMark/>
          </w:tcPr>
          <w:p w14:paraId="11031C4B" w14:textId="77777777" w:rsidR="007E6186" w:rsidRPr="00D52747" w:rsidRDefault="007E6186" w:rsidP="00D6282B">
            <w:pPr>
              <w:spacing w:after="0" w:line="240" w:lineRule="auto"/>
              <w:rPr>
                <w:rFonts w:ascii="Calibri" w:eastAsia="Times New Roman" w:hAnsi="Calibri" w:cs="Calibri"/>
                <w:color w:val="9C0006"/>
                <w:sz w:val="18"/>
                <w:szCs w:val="18"/>
                <w:lang w:eastAsia="en-AU"/>
              </w:rPr>
            </w:pPr>
            <w:r w:rsidRPr="00D52747">
              <w:rPr>
                <w:rFonts w:ascii="Calibri" w:eastAsia="Times New Roman" w:hAnsi="Calibri" w:cs="Calibri"/>
                <w:color w:val="9C0006"/>
                <w:sz w:val="18"/>
                <w:szCs w:val="18"/>
                <w:lang w:eastAsia="en-AU"/>
              </w:rPr>
              <w:t xml:space="preserve">Unclear </w:t>
            </w:r>
          </w:p>
        </w:tc>
      </w:tr>
      <w:tr w:rsidR="007E6186" w:rsidRPr="00D52747" w14:paraId="479954DC" w14:textId="77777777" w:rsidTr="00D6282B">
        <w:trPr>
          <w:trHeight w:val="900"/>
        </w:trPr>
        <w:tc>
          <w:tcPr>
            <w:tcW w:w="1843" w:type="dxa"/>
            <w:tcBorders>
              <w:top w:val="nil"/>
              <w:left w:val="nil"/>
              <w:bottom w:val="nil"/>
              <w:right w:val="nil"/>
            </w:tcBorders>
            <w:shd w:val="clear" w:color="000000" w:fill="BDD7EE"/>
            <w:hideMark/>
          </w:tcPr>
          <w:p w14:paraId="0A52E57F"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r w:rsidRPr="00D52747">
              <w:rPr>
                <w:rFonts w:ascii="Calibri" w:eastAsia="Times New Roman" w:hAnsi="Calibri" w:cs="Calibri"/>
                <w:color w:val="000000"/>
                <w:sz w:val="18"/>
                <w:szCs w:val="18"/>
                <w:lang w:eastAsia="en-AU"/>
              </w:rPr>
              <w:t>Supporting businesses or social enterprises with development impact</w:t>
            </w:r>
          </w:p>
        </w:tc>
        <w:tc>
          <w:tcPr>
            <w:tcW w:w="1190" w:type="dxa"/>
            <w:tcBorders>
              <w:top w:val="nil"/>
              <w:left w:val="nil"/>
              <w:bottom w:val="nil"/>
              <w:right w:val="nil"/>
            </w:tcBorders>
            <w:shd w:val="clear" w:color="000000" w:fill="BDD7EE"/>
            <w:noWrap/>
            <w:hideMark/>
          </w:tcPr>
          <w:p w14:paraId="293AF17C"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r w:rsidRPr="00D52747">
              <w:rPr>
                <w:rFonts w:ascii="Calibri" w:eastAsia="Times New Roman" w:hAnsi="Calibri" w:cs="Calibri"/>
                <w:color w:val="000000"/>
                <w:sz w:val="18"/>
                <w:szCs w:val="18"/>
                <w:lang w:eastAsia="en-AU"/>
              </w:rPr>
              <w:t>A - Indo-Pacific</w:t>
            </w:r>
          </w:p>
        </w:tc>
        <w:tc>
          <w:tcPr>
            <w:tcW w:w="2779" w:type="dxa"/>
            <w:tcBorders>
              <w:top w:val="nil"/>
              <w:left w:val="nil"/>
              <w:bottom w:val="nil"/>
              <w:right w:val="nil"/>
            </w:tcBorders>
            <w:shd w:val="clear" w:color="000000" w:fill="BDD7EE"/>
            <w:hideMark/>
          </w:tcPr>
          <w:p w14:paraId="554EEC4D"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r w:rsidRPr="00D52747">
              <w:rPr>
                <w:rFonts w:ascii="Calibri" w:eastAsia="Times New Roman" w:hAnsi="Calibri" w:cs="Calibri"/>
                <w:color w:val="000000"/>
                <w:sz w:val="18"/>
                <w:szCs w:val="18"/>
                <w:lang w:eastAsia="en-AU"/>
              </w:rPr>
              <w:t xml:space="preserve">Incentives for local </w:t>
            </w:r>
            <w:proofErr w:type="spellStart"/>
            <w:r w:rsidRPr="00D52747">
              <w:rPr>
                <w:rFonts w:ascii="Calibri" w:eastAsia="Times New Roman" w:hAnsi="Calibri" w:cs="Calibri"/>
                <w:color w:val="000000"/>
                <w:sz w:val="18"/>
                <w:szCs w:val="18"/>
                <w:lang w:eastAsia="en-AU"/>
              </w:rPr>
              <w:t>Fis</w:t>
            </w:r>
            <w:proofErr w:type="spellEnd"/>
            <w:r w:rsidRPr="00D52747">
              <w:rPr>
                <w:rFonts w:ascii="Calibri" w:eastAsia="Times New Roman" w:hAnsi="Calibri" w:cs="Calibri"/>
                <w:color w:val="000000"/>
                <w:sz w:val="18"/>
                <w:szCs w:val="18"/>
                <w:lang w:eastAsia="en-AU"/>
              </w:rPr>
              <w:t xml:space="preserve"> to expand lending to specified types of borrowers</w:t>
            </w:r>
          </w:p>
        </w:tc>
        <w:tc>
          <w:tcPr>
            <w:tcW w:w="1985" w:type="dxa"/>
            <w:tcBorders>
              <w:top w:val="nil"/>
              <w:left w:val="nil"/>
              <w:bottom w:val="nil"/>
              <w:right w:val="nil"/>
            </w:tcBorders>
            <w:shd w:val="clear" w:color="000000" w:fill="F8CBAD"/>
            <w:hideMark/>
          </w:tcPr>
          <w:p w14:paraId="4FCC2009"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r w:rsidRPr="00D52747">
              <w:rPr>
                <w:rFonts w:ascii="Calibri" w:eastAsia="Times New Roman" w:hAnsi="Calibri" w:cs="Calibri"/>
                <w:color w:val="000000"/>
                <w:sz w:val="18"/>
                <w:szCs w:val="18"/>
                <w:lang w:eastAsia="en-AU"/>
              </w:rPr>
              <w:t xml:space="preserve">Repayable grants for temporary loss-sharing </w:t>
            </w:r>
          </w:p>
        </w:tc>
        <w:tc>
          <w:tcPr>
            <w:tcW w:w="1275" w:type="dxa"/>
            <w:tcBorders>
              <w:top w:val="nil"/>
              <w:left w:val="nil"/>
              <w:bottom w:val="nil"/>
              <w:right w:val="nil"/>
            </w:tcBorders>
            <w:shd w:val="clear" w:color="auto" w:fill="auto"/>
            <w:hideMark/>
          </w:tcPr>
          <w:p w14:paraId="64F5DFD8"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r w:rsidRPr="00D52747">
              <w:rPr>
                <w:rFonts w:ascii="Calibri" w:eastAsia="Times New Roman" w:hAnsi="Calibri" w:cs="Calibri"/>
                <w:color w:val="000000"/>
                <w:sz w:val="18"/>
                <w:szCs w:val="18"/>
                <w:lang w:eastAsia="en-AU"/>
              </w:rPr>
              <w:t>IFC (Global SME Finance Facility) or ADB</w:t>
            </w:r>
          </w:p>
        </w:tc>
      </w:tr>
      <w:tr w:rsidR="007E6186" w:rsidRPr="00D52747" w14:paraId="60A8F7A1" w14:textId="77777777" w:rsidTr="00D6282B">
        <w:trPr>
          <w:trHeight w:val="960"/>
        </w:trPr>
        <w:tc>
          <w:tcPr>
            <w:tcW w:w="1843" w:type="dxa"/>
            <w:tcBorders>
              <w:top w:val="nil"/>
              <w:left w:val="nil"/>
              <w:bottom w:val="nil"/>
              <w:right w:val="nil"/>
            </w:tcBorders>
            <w:shd w:val="clear" w:color="000000" w:fill="BDD7EE"/>
            <w:hideMark/>
          </w:tcPr>
          <w:p w14:paraId="60594B45"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r w:rsidRPr="00D52747">
              <w:rPr>
                <w:rFonts w:ascii="Calibri" w:eastAsia="Times New Roman" w:hAnsi="Calibri" w:cs="Calibri"/>
                <w:color w:val="000000"/>
                <w:sz w:val="18"/>
                <w:szCs w:val="18"/>
                <w:lang w:eastAsia="en-AU"/>
              </w:rPr>
              <w:t>Supporting businesses or social enterprises with development impact</w:t>
            </w:r>
          </w:p>
        </w:tc>
        <w:tc>
          <w:tcPr>
            <w:tcW w:w="1190" w:type="dxa"/>
            <w:tcBorders>
              <w:top w:val="nil"/>
              <w:left w:val="nil"/>
              <w:bottom w:val="nil"/>
              <w:right w:val="nil"/>
            </w:tcBorders>
            <w:shd w:val="clear" w:color="000000" w:fill="BDD7EE"/>
            <w:noWrap/>
            <w:hideMark/>
          </w:tcPr>
          <w:p w14:paraId="5CA97D9E"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r w:rsidRPr="00D52747">
              <w:rPr>
                <w:rFonts w:ascii="Calibri" w:eastAsia="Times New Roman" w:hAnsi="Calibri" w:cs="Calibri"/>
                <w:color w:val="000000"/>
                <w:sz w:val="18"/>
                <w:szCs w:val="18"/>
                <w:lang w:eastAsia="en-AU"/>
              </w:rPr>
              <w:t>A - Indo-Pacific</w:t>
            </w:r>
          </w:p>
        </w:tc>
        <w:tc>
          <w:tcPr>
            <w:tcW w:w="2779" w:type="dxa"/>
            <w:tcBorders>
              <w:top w:val="nil"/>
              <w:left w:val="nil"/>
              <w:bottom w:val="nil"/>
              <w:right w:val="nil"/>
            </w:tcBorders>
            <w:shd w:val="clear" w:color="000000" w:fill="BDD7EE"/>
            <w:hideMark/>
          </w:tcPr>
          <w:p w14:paraId="6D44F149"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r w:rsidRPr="00D52747">
              <w:rPr>
                <w:rFonts w:ascii="Calibri" w:eastAsia="Times New Roman" w:hAnsi="Calibri" w:cs="Calibri"/>
                <w:color w:val="000000"/>
                <w:sz w:val="18"/>
                <w:szCs w:val="18"/>
                <w:lang w:eastAsia="en-AU"/>
              </w:rPr>
              <w:t xml:space="preserve">Incentives for local </w:t>
            </w:r>
            <w:proofErr w:type="spellStart"/>
            <w:r w:rsidRPr="00D52747">
              <w:rPr>
                <w:rFonts w:ascii="Calibri" w:eastAsia="Times New Roman" w:hAnsi="Calibri" w:cs="Calibri"/>
                <w:color w:val="000000"/>
                <w:sz w:val="18"/>
                <w:szCs w:val="18"/>
                <w:lang w:eastAsia="en-AU"/>
              </w:rPr>
              <w:t>Fis</w:t>
            </w:r>
            <w:proofErr w:type="spellEnd"/>
            <w:r w:rsidRPr="00D52747">
              <w:rPr>
                <w:rFonts w:ascii="Calibri" w:eastAsia="Times New Roman" w:hAnsi="Calibri" w:cs="Calibri"/>
                <w:color w:val="000000"/>
                <w:sz w:val="18"/>
                <w:szCs w:val="18"/>
                <w:lang w:eastAsia="en-AU"/>
              </w:rPr>
              <w:t xml:space="preserve"> to expand lending to specified types of borrowers</w:t>
            </w:r>
          </w:p>
        </w:tc>
        <w:tc>
          <w:tcPr>
            <w:tcW w:w="1985" w:type="dxa"/>
            <w:tcBorders>
              <w:top w:val="nil"/>
              <w:left w:val="nil"/>
              <w:bottom w:val="nil"/>
              <w:right w:val="nil"/>
            </w:tcBorders>
            <w:shd w:val="clear" w:color="auto" w:fill="auto"/>
            <w:noWrap/>
            <w:hideMark/>
          </w:tcPr>
          <w:p w14:paraId="08E96406"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r w:rsidRPr="00D52747">
              <w:rPr>
                <w:rFonts w:ascii="Calibri" w:eastAsia="Times New Roman" w:hAnsi="Calibri" w:cs="Calibri"/>
                <w:color w:val="000000"/>
                <w:sz w:val="18"/>
                <w:szCs w:val="18"/>
                <w:lang w:eastAsia="en-AU"/>
              </w:rPr>
              <w:t xml:space="preserve">Concessional loans </w:t>
            </w:r>
          </w:p>
        </w:tc>
        <w:tc>
          <w:tcPr>
            <w:tcW w:w="1275" w:type="dxa"/>
            <w:tcBorders>
              <w:top w:val="nil"/>
              <w:left w:val="nil"/>
              <w:bottom w:val="nil"/>
              <w:right w:val="nil"/>
            </w:tcBorders>
            <w:shd w:val="clear" w:color="auto" w:fill="auto"/>
            <w:hideMark/>
          </w:tcPr>
          <w:p w14:paraId="7CAF003C"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r w:rsidRPr="00D52747">
              <w:rPr>
                <w:rFonts w:ascii="Calibri" w:eastAsia="Times New Roman" w:hAnsi="Calibri" w:cs="Calibri"/>
                <w:color w:val="000000"/>
                <w:sz w:val="18"/>
                <w:szCs w:val="18"/>
                <w:lang w:eastAsia="en-AU"/>
              </w:rPr>
              <w:t xml:space="preserve">IFC (Global SME Finance Facility) or ADB </w:t>
            </w:r>
          </w:p>
        </w:tc>
      </w:tr>
      <w:tr w:rsidR="007E6186" w:rsidRPr="00D52747" w14:paraId="139C8EEF" w14:textId="77777777" w:rsidTr="00D6282B">
        <w:trPr>
          <w:trHeight w:val="960"/>
        </w:trPr>
        <w:tc>
          <w:tcPr>
            <w:tcW w:w="1843" w:type="dxa"/>
            <w:tcBorders>
              <w:top w:val="nil"/>
              <w:left w:val="nil"/>
              <w:bottom w:val="nil"/>
              <w:right w:val="nil"/>
            </w:tcBorders>
            <w:shd w:val="clear" w:color="000000" w:fill="FFEB9C"/>
            <w:hideMark/>
          </w:tcPr>
          <w:p w14:paraId="4D30C2D0" w14:textId="77777777" w:rsidR="007E6186" w:rsidRPr="00D52747" w:rsidRDefault="007E6186" w:rsidP="00D6282B">
            <w:pPr>
              <w:spacing w:after="0" w:line="240" w:lineRule="auto"/>
              <w:rPr>
                <w:rFonts w:ascii="Calibri" w:eastAsia="Times New Roman" w:hAnsi="Calibri" w:cs="Calibri"/>
                <w:color w:val="9C5700"/>
                <w:sz w:val="18"/>
                <w:szCs w:val="18"/>
                <w:lang w:eastAsia="en-AU"/>
              </w:rPr>
            </w:pPr>
            <w:r w:rsidRPr="00D52747">
              <w:rPr>
                <w:rFonts w:ascii="Calibri" w:eastAsia="Times New Roman" w:hAnsi="Calibri" w:cs="Calibri"/>
                <w:color w:val="9C5700"/>
                <w:sz w:val="18"/>
                <w:szCs w:val="18"/>
                <w:lang w:eastAsia="en-AU"/>
              </w:rPr>
              <w:t>Privately-owned renewable energy with economic and social benefit</w:t>
            </w:r>
          </w:p>
        </w:tc>
        <w:tc>
          <w:tcPr>
            <w:tcW w:w="1190" w:type="dxa"/>
            <w:tcBorders>
              <w:top w:val="nil"/>
              <w:left w:val="nil"/>
              <w:bottom w:val="nil"/>
              <w:right w:val="nil"/>
            </w:tcBorders>
            <w:shd w:val="clear" w:color="000000" w:fill="FFEB9C"/>
            <w:noWrap/>
            <w:hideMark/>
          </w:tcPr>
          <w:p w14:paraId="62AE91E8" w14:textId="77777777" w:rsidR="007E6186" w:rsidRPr="00D52747" w:rsidRDefault="007E6186" w:rsidP="00D6282B">
            <w:pPr>
              <w:spacing w:after="0" w:line="240" w:lineRule="auto"/>
              <w:rPr>
                <w:rFonts w:ascii="Calibri" w:eastAsia="Times New Roman" w:hAnsi="Calibri" w:cs="Calibri"/>
                <w:color w:val="9C5700"/>
                <w:sz w:val="18"/>
                <w:szCs w:val="18"/>
                <w:lang w:eastAsia="en-AU"/>
              </w:rPr>
            </w:pPr>
            <w:r w:rsidRPr="00D52747">
              <w:rPr>
                <w:rFonts w:ascii="Calibri" w:eastAsia="Times New Roman" w:hAnsi="Calibri" w:cs="Calibri"/>
                <w:color w:val="9C5700"/>
                <w:sz w:val="18"/>
                <w:szCs w:val="18"/>
                <w:lang w:eastAsia="en-AU"/>
              </w:rPr>
              <w:t>B - Pacific</w:t>
            </w:r>
          </w:p>
        </w:tc>
        <w:tc>
          <w:tcPr>
            <w:tcW w:w="2779" w:type="dxa"/>
            <w:tcBorders>
              <w:top w:val="nil"/>
              <w:left w:val="nil"/>
              <w:bottom w:val="nil"/>
              <w:right w:val="nil"/>
            </w:tcBorders>
            <w:shd w:val="clear" w:color="000000" w:fill="FFEB9C"/>
            <w:hideMark/>
          </w:tcPr>
          <w:p w14:paraId="5E206425" w14:textId="77777777" w:rsidR="007E6186" w:rsidRPr="00D52747" w:rsidRDefault="007E6186" w:rsidP="00D6282B">
            <w:pPr>
              <w:spacing w:after="0" w:line="240" w:lineRule="auto"/>
              <w:rPr>
                <w:rFonts w:ascii="Calibri" w:eastAsia="Times New Roman" w:hAnsi="Calibri" w:cs="Calibri"/>
                <w:color w:val="9C5700"/>
                <w:sz w:val="18"/>
                <w:szCs w:val="18"/>
                <w:lang w:eastAsia="en-AU"/>
              </w:rPr>
            </w:pPr>
            <w:r w:rsidRPr="00D52747">
              <w:rPr>
                <w:rFonts w:ascii="Calibri" w:eastAsia="Times New Roman" w:hAnsi="Calibri" w:cs="Calibri"/>
                <w:color w:val="9C5700"/>
                <w:sz w:val="18"/>
                <w:szCs w:val="18"/>
                <w:lang w:eastAsia="en-AU"/>
              </w:rPr>
              <w:t>Credit enhancement program for renewable energy producers</w:t>
            </w:r>
          </w:p>
        </w:tc>
        <w:tc>
          <w:tcPr>
            <w:tcW w:w="1985" w:type="dxa"/>
            <w:tcBorders>
              <w:top w:val="nil"/>
              <w:left w:val="nil"/>
              <w:bottom w:val="nil"/>
              <w:right w:val="nil"/>
            </w:tcBorders>
            <w:shd w:val="clear" w:color="000000" w:fill="F8CBAD"/>
            <w:hideMark/>
          </w:tcPr>
          <w:p w14:paraId="1BAECABE"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r w:rsidRPr="00D52747">
              <w:rPr>
                <w:rFonts w:ascii="Calibri" w:eastAsia="Times New Roman" w:hAnsi="Calibri" w:cs="Calibri"/>
                <w:color w:val="000000"/>
                <w:sz w:val="18"/>
                <w:szCs w:val="18"/>
                <w:lang w:eastAsia="en-AU"/>
              </w:rPr>
              <w:t xml:space="preserve">Partial guarantee of risks of offtake defaults and other specified disruptions  </w:t>
            </w:r>
          </w:p>
        </w:tc>
        <w:tc>
          <w:tcPr>
            <w:tcW w:w="1275" w:type="dxa"/>
            <w:tcBorders>
              <w:top w:val="nil"/>
              <w:left w:val="nil"/>
              <w:bottom w:val="nil"/>
              <w:right w:val="nil"/>
            </w:tcBorders>
            <w:shd w:val="clear" w:color="auto" w:fill="auto"/>
            <w:hideMark/>
          </w:tcPr>
          <w:p w14:paraId="1BA492B3"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r w:rsidRPr="00D52747">
              <w:rPr>
                <w:rFonts w:ascii="Calibri" w:eastAsia="Times New Roman" w:hAnsi="Calibri" w:cs="Calibri"/>
                <w:color w:val="000000"/>
                <w:sz w:val="18"/>
                <w:szCs w:val="18"/>
                <w:lang w:eastAsia="en-AU"/>
              </w:rPr>
              <w:t>ADB</w:t>
            </w:r>
          </w:p>
        </w:tc>
      </w:tr>
      <w:tr w:rsidR="007E6186" w:rsidRPr="00D52747" w14:paraId="11D731AD" w14:textId="77777777" w:rsidTr="00D6282B">
        <w:trPr>
          <w:trHeight w:val="600"/>
        </w:trPr>
        <w:tc>
          <w:tcPr>
            <w:tcW w:w="1843" w:type="dxa"/>
            <w:tcBorders>
              <w:top w:val="nil"/>
              <w:left w:val="nil"/>
              <w:bottom w:val="nil"/>
              <w:right w:val="nil"/>
            </w:tcBorders>
            <w:shd w:val="clear" w:color="000000" w:fill="BDD7EE"/>
            <w:hideMark/>
          </w:tcPr>
          <w:p w14:paraId="7824193F"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r w:rsidRPr="00D52747">
              <w:rPr>
                <w:rFonts w:ascii="Calibri" w:eastAsia="Times New Roman" w:hAnsi="Calibri" w:cs="Calibri"/>
                <w:color w:val="000000"/>
                <w:sz w:val="18"/>
                <w:szCs w:val="18"/>
                <w:lang w:eastAsia="en-AU"/>
              </w:rPr>
              <w:t>Insuring public assets against natural disasters</w:t>
            </w:r>
          </w:p>
        </w:tc>
        <w:tc>
          <w:tcPr>
            <w:tcW w:w="1190" w:type="dxa"/>
            <w:tcBorders>
              <w:top w:val="nil"/>
              <w:left w:val="nil"/>
              <w:bottom w:val="nil"/>
              <w:right w:val="nil"/>
            </w:tcBorders>
            <w:shd w:val="clear" w:color="000000" w:fill="BDD7EE"/>
            <w:hideMark/>
          </w:tcPr>
          <w:p w14:paraId="1BE98F75"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r w:rsidRPr="00D52747">
              <w:rPr>
                <w:rFonts w:ascii="Calibri" w:eastAsia="Times New Roman" w:hAnsi="Calibri" w:cs="Calibri"/>
                <w:color w:val="000000"/>
                <w:sz w:val="18"/>
                <w:szCs w:val="18"/>
                <w:lang w:eastAsia="en-AU"/>
              </w:rPr>
              <w:t>B - Pacific</w:t>
            </w:r>
          </w:p>
        </w:tc>
        <w:tc>
          <w:tcPr>
            <w:tcW w:w="2779" w:type="dxa"/>
            <w:tcBorders>
              <w:top w:val="nil"/>
              <w:left w:val="nil"/>
              <w:bottom w:val="nil"/>
              <w:right w:val="nil"/>
            </w:tcBorders>
            <w:shd w:val="clear" w:color="000000" w:fill="BDD7EE"/>
            <w:hideMark/>
          </w:tcPr>
          <w:p w14:paraId="6A3141DC"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r w:rsidRPr="00D52747">
              <w:rPr>
                <w:rFonts w:ascii="Calibri" w:eastAsia="Times New Roman" w:hAnsi="Calibri" w:cs="Calibri"/>
                <w:color w:val="000000"/>
                <w:sz w:val="18"/>
                <w:szCs w:val="18"/>
                <w:lang w:eastAsia="en-AU"/>
              </w:rPr>
              <w:t>Lines of credit for reconstruction</w:t>
            </w:r>
          </w:p>
        </w:tc>
        <w:tc>
          <w:tcPr>
            <w:tcW w:w="1985" w:type="dxa"/>
            <w:tcBorders>
              <w:top w:val="nil"/>
              <w:left w:val="nil"/>
              <w:bottom w:val="nil"/>
              <w:right w:val="nil"/>
            </w:tcBorders>
            <w:shd w:val="clear" w:color="auto" w:fill="auto"/>
            <w:hideMark/>
          </w:tcPr>
          <w:p w14:paraId="7EB88443"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r w:rsidRPr="00D52747">
              <w:rPr>
                <w:rFonts w:ascii="Calibri" w:eastAsia="Times New Roman" w:hAnsi="Calibri" w:cs="Calibri"/>
                <w:color w:val="000000"/>
                <w:sz w:val="18"/>
                <w:szCs w:val="18"/>
                <w:lang w:eastAsia="en-AU"/>
              </w:rPr>
              <w:t>Concessional loans most likely - still unclear</w:t>
            </w:r>
          </w:p>
        </w:tc>
        <w:tc>
          <w:tcPr>
            <w:tcW w:w="1275" w:type="dxa"/>
            <w:tcBorders>
              <w:top w:val="nil"/>
              <w:left w:val="nil"/>
              <w:bottom w:val="nil"/>
              <w:right w:val="nil"/>
            </w:tcBorders>
            <w:shd w:val="clear" w:color="auto" w:fill="auto"/>
            <w:hideMark/>
          </w:tcPr>
          <w:p w14:paraId="07B6FB66"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r w:rsidRPr="00D52747">
              <w:rPr>
                <w:rFonts w:ascii="Calibri" w:eastAsia="Times New Roman" w:hAnsi="Calibri" w:cs="Calibri"/>
                <w:color w:val="000000"/>
                <w:sz w:val="18"/>
                <w:szCs w:val="18"/>
                <w:lang w:eastAsia="en-AU"/>
              </w:rPr>
              <w:t>WB, ADB</w:t>
            </w:r>
          </w:p>
        </w:tc>
      </w:tr>
      <w:tr w:rsidR="007E6186" w:rsidRPr="00D52747" w14:paraId="27825532" w14:textId="77777777" w:rsidTr="00D6282B">
        <w:trPr>
          <w:trHeight w:val="600"/>
        </w:trPr>
        <w:tc>
          <w:tcPr>
            <w:tcW w:w="1843" w:type="dxa"/>
            <w:tcBorders>
              <w:top w:val="nil"/>
              <w:left w:val="nil"/>
              <w:bottom w:val="nil"/>
              <w:right w:val="nil"/>
            </w:tcBorders>
            <w:shd w:val="clear" w:color="000000" w:fill="FFEB9C"/>
            <w:hideMark/>
          </w:tcPr>
          <w:p w14:paraId="0799877A" w14:textId="77777777" w:rsidR="007E6186" w:rsidRPr="00D52747" w:rsidRDefault="007E6186" w:rsidP="00D6282B">
            <w:pPr>
              <w:spacing w:after="0" w:line="240" w:lineRule="auto"/>
              <w:rPr>
                <w:rFonts w:ascii="Calibri" w:eastAsia="Times New Roman" w:hAnsi="Calibri" w:cs="Calibri"/>
                <w:color w:val="9C5700"/>
                <w:sz w:val="18"/>
                <w:szCs w:val="18"/>
                <w:lang w:eastAsia="en-AU"/>
              </w:rPr>
            </w:pPr>
            <w:r w:rsidRPr="00D52747">
              <w:rPr>
                <w:rFonts w:ascii="Calibri" w:eastAsia="Times New Roman" w:hAnsi="Calibri" w:cs="Calibri"/>
                <w:color w:val="9C5700"/>
                <w:sz w:val="18"/>
                <w:szCs w:val="18"/>
                <w:lang w:eastAsia="en-AU"/>
              </w:rPr>
              <w:t>Tertiary education, support for innovative start-ups</w:t>
            </w:r>
          </w:p>
        </w:tc>
        <w:tc>
          <w:tcPr>
            <w:tcW w:w="1190" w:type="dxa"/>
            <w:tcBorders>
              <w:top w:val="nil"/>
              <w:left w:val="nil"/>
              <w:bottom w:val="nil"/>
              <w:right w:val="nil"/>
            </w:tcBorders>
            <w:shd w:val="clear" w:color="000000" w:fill="FFEB9C"/>
            <w:hideMark/>
          </w:tcPr>
          <w:p w14:paraId="27EF0DB1" w14:textId="77777777" w:rsidR="007E6186" w:rsidRPr="00D52747" w:rsidRDefault="007E6186" w:rsidP="00D6282B">
            <w:pPr>
              <w:spacing w:after="0" w:line="240" w:lineRule="auto"/>
              <w:rPr>
                <w:rFonts w:ascii="Calibri" w:eastAsia="Times New Roman" w:hAnsi="Calibri" w:cs="Calibri"/>
                <w:color w:val="9C5700"/>
                <w:sz w:val="18"/>
                <w:szCs w:val="18"/>
                <w:lang w:eastAsia="en-AU"/>
              </w:rPr>
            </w:pPr>
            <w:r w:rsidRPr="00D52747">
              <w:rPr>
                <w:rFonts w:ascii="Calibri" w:eastAsia="Times New Roman" w:hAnsi="Calibri" w:cs="Calibri"/>
                <w:color w:val="9C5700"/>
                <w:sz w:val="18"/>
                <w:szCs w:val="18"/>
                <w:lang w:eastAsia="en-AU"/>
              </w:rPr>
              <w:t>B - Pacific</w:t>
            </w:r>
          </w:p>
        </w:tc>
        <w:tc>
          <w:tcPr>
            <w:tcW w:w="2779" w:type="dxa"/>
            <w:tcBorders>
              <w:top w:val="nil"/>
              <w:left w:val="nil"/>
              <w:bottom w:val="nil"/>
              <w:right w:val="nil"/>
            </w:tcBorders>
            <w:shd w:val="clear" w:color="000000" w:fill="FFEB9C"/>
            <w:hideMark/>
          </w:tcPr>
          <w:p w14:paraId="18ED05E3" w14:textId="77777777" w:rsidR="007E6186" w:rsidRPr="00D52747" w:rsidRDefault="007E6186" w:rsidP="00D6282B">
            <w:pPr>
              <w:spacing w:after="0" w:line="240" w:lineRule="auto"/>
              <w:rPr>
                <w:rFonts w:ascii="Calibri" w:eastAsia="Times New Roman" w:hAnsi="Calibri" w:cs="Calibri"/>
                <w:color w:val="9C5700"/>
                <w:sz w:val="18"/>
                <w:szCs w:val="18"/>
                <w:lang w:eastAsia="en-AU"/>
              </w:rPr>
            </w:pPr>
            <w:r w:rsidRPr="00D52747">
              <w:rPr>
                <w:rFonts w:ascii="Calibri" w:eastAsia="Times New Roman" w:hAnsi="Calibri" w:cs="Calibri"/>
                <w:color w:val="9C5700"/>
                <w:sz w:val="18"/>
                <w:szCs w:val="18"/>
                <w:lang w:eastAsia="en-AU"/>
              </w:rPr>
              <w:t>University of South Pacific itself, or Hi</w:t>
            </w:r>
            <w:r w:rsidRPr="00D52747">
              <w:rPr>
                <w:rFonts w:ascii="Calibri" w:eastAsia="Times New Roman" w:hAnsi="Calibri" w:cs="Calibri"/>
                <w:color w:val="9C5700"/>
                <w:sz w:val="18"/>
                <w:szCs w:val="18"/>
                <w:lang w:eastAsia="en-AU"/>
              </w:rPr>
              <w:noBreakHyphen/>
              <w:t>Tech Lab within it</w:t>
            </w:r>
          </w:p>
        </w:tc>
        <w:tc>
          <w:tcPr>
            <w:tcW w:w="1985" w:type="dxa"/>
            <w:tcBorders>
              <w:top w:val="nil"/>
              <w:left w:val="nil"/>
              <w:bottom w:val="nil"/>
              <w:right w:val="nil"/>
            </w:tcBorders>
            <w:shd w:val="clear" w:color="000000" w:fill="F8CBAD"/>
            <w:hideMark/>
          </w:tcPr>
          <w:p w14:paraId="58078CFC"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r w:rsidRPr="00D52747">
              <w:rPr>
                <w:rFonts w:ascii="Calibri" w:eastAsia="Times New Roman" w:hAnsi="Calibri" w:cs="Calibri"/>
                <w:color w:val="000000"/>
                <w:sz w:val="18"/>
                <w:szCs w:val="18"/>
                <w:lang w:eastAsia="en-AU"/>
              </w:rPr>
              <w:t>Equity for USP or start-ups - still unclear</w:t>
            </w:r>
          </w:p>
        </w:tc>
        <w:tc>
          <w:tcPr>
            <w:tcW w:w="1275" w:type="dxa"/>
            <w:tcBorders>
              <w:top w:val="nil"/>
              <w:left w:val="nil"/>
              <w:bottom w:val="nil"/>
              <w:right w:val="nil"/>
            </w:tcBorders>
            <w:shd w:val="clear" w:color="000000" w:fill="FFC7CE"/>
            <w:hideMark/>
          </w:tcPr>
          <w:p w14:paraId="34B8903D" w14:textId="080E28D9" w:rsidR="007E6186" w:rsidRPr="00D52747" w:rsidRDefault="007E6186" w:rsidP="00D6282B">
            <w:pPr>
              <w:spacing w:after="0" w:line="240" w:lineRule="auto"/>
              <w:rPr>
                <w:rFonts w:ascii="Calibri" w:eastAsia="Times New Roman" w:hAnsi="Calibri" w:cs="Calibri"/>
                <w:color w:val="9C0006"/>
                <w:sz w:val="18"/>
                <w:szCs w:val="18"/>
                <w:lang w:eastAsia="en-AU"/>
              </w:rPr>
            </w:pPr>
            <w:r w:rsidRPr="00D52747">
              <w:rPr>
                <w:rFonts w:ascii="Calibri" w:eastAsia="Times New Roman" w:hAnsi="Calibri" w:cs="Calibri"/>
                <w:color w:val="9C0006"/>
                <w:sz w:val="18"/>
                <w:szCs w:val="18"/>
                <w:lang w:eastAsia="en-AU"/>
              </w:rPr>
              <w:t xml:space="preserve">Unclear </w:t>
            </w:r>
          </w:p>
        </w:tc>
      </w:tr>
      <w:tr w:rsidR="007E6186" w:rsidRPr="00D52747" w14:paraId="14B794F2" w14:textId="77777777" w:rsidTr="00D6282B">
        <w:trPr>
          <w:trHeight w:val="900"/>
        </w:trPr>
        <w:tc>
          <w:tcPr>
            <w:tcW w:w="1843" w:type="dxa"/>
            <w:tcBorders>
              <w:top w:val="nil"/>
              <w:left w:val="nil"/>
              <w:bottom w:val="nil"/>
              <w:right w:val="nil"/>
            </w:tcBorders>
            <w:shd w:val="clear" w:color="000000" w:fill="FFEB9C"/>
            <w:hideMark/>
          </w:tcPr>
          <w:p w14:paraId="4E0B1B42" w14:textId="77777777" w:rsidR="007E6186" w:rsidRPr="00D52747" w:rsidRDefault="007E6186" w:rsidP="00D6282B">
            <w:pPr>
              <w:spacing w:after="0" w:line="240" w:lineRule="auto"/>
              <w:rPr>
                <w:rFonts w:ascii="Calibri" w:eastAsia="Times New Roman" w:hAnsi="Calibri" w:cs="Calibri"/>
                <w:color w:val="9C5700"/>
                <w:sz w:val="18"/>
                <w:szCs w:val="18"/>
                <w:lang w:eastAsia="en-AU"/>
              </w:rPr>
            </w:pPr>
            <w:r w:rsidRPr="00D52747">
              <w:rPr>
                <w:rFonts w:ascii="Calibri" w:eastAsia="Times New Roman" w:hAnsi="Calibri" w:cs="Calibri"/>
                <w:color w:val="9C5700"/>
                <w:sz w:val="18"/>
                <w:szCs w:val="18"/>
                <w:lang w:eastAsia="en-AU"/>
              </w:rPr>
              <w:t>Increasing access to communications</w:t>
            </w:r>
          </w:p>
        </w:tc>
        <w:tc>
          <w:tcPr>
            <w:tcW w:w="1190" w:type="dxa"/>
            <w:tcBorders>
              <w:top w:val="nil"/>
              <w:left w:val="nil"/>
              <w:bottom w:val="nil"/>
              <w:right w:val="nil"/>
            </w:tcBorders>
            <w:shd w:val="clear" w:color="000000" w:fill="FFEB9C"/>
            <w:hideMark/>
          </w:tcPr>
          <w:p w14:paraId="1B218061" w14:textId="77777777" w:rsidR="007E6186" w:rsidRPr="00D52747" w:rsidRDefault="007E6186" w:rsidP="00D6282B">
            <w:pPr>
              <w:spacing w:after="0" w:line="240" w:lineRule="auto"/>
              <w:rPr>
                <w:rFonts w:ascii="Calibri" w:eastAsia="Times New Roman" w:hAnsi="Calibri" w:cs="Calibri"/>
                <w:color w:val="9C5700"/>
                <w:sz w:val="18"/>
                <w:szCs w:val="18"/>
                <w:lang w:eastAsia="en-AU"/>
              </w:rPr>
            </w:pPr>
            <w:r w:rsidRPr="00D52747">
              <w:rPr>
                <w:rFonts w:ascii="Calibri" w:eastAsia="Times New Roman" w:hAnsi="Calibri" w:cs="Calibri"/>
                <w:color w:val="9C5700"/>
                <w:sz w:val="18"/>
                <w:szCs w:val="18"/>
                <w:lang w:eastAsia="en-AU"/>
              </w:rPr>
              <w:t>B - Pacific</w:t>
            </w:r>
          </w:p>
        </w:tc>
        <w:tc>
          <w:tcPr>
            <w:tcW w:w="2779" w:type="dxa"/>
            <w:tcBorders>
              <w:top w:val="nil"/>
              <w:left w:val="nil"/>
              <w:bottom w:val="nil"/>
              <w:right w:val="nil"/>
            </w:tcBorders>
            <w:shd w:val="clear" w:color="000000" w:fill="FFEB9C"/>
            <w:hideMark/>
          </w:tcPr>
          <w:p w14:paraId="6F46D510" w14:textId="77777777" w:rsidR="007E6186" w:rsidRPr="00D52747" w:rsidRDefault="007E6186" w:rsidP="00D6282B">
            <w:pPr>
              <w:spacing w:after="0" w:line="240" w:lineRule="auto"/>
              <w:rPr>
                <w:rFonts w:ascii="Calibri" w:eastAsia="Times New Roman" w:hAnsi="Calibri" w:cs="Calibri"/>
                <w:color w:val="9C5700"/>
                <w:sz w:val="18"/>
                <w:szCs w:val="18"/>
                <w:lang w:eastAsia="en-AU"/>
              </w:rPr>
            </w:pPr>
            <w:r w:rsidRPr="00D52747">
              <w:rPr>
                <w:rFonts w:ascii="Calibri" w:eastAsia="Times New Roman" w:hAnsi="Calibri" w:cs="Calibri"/>
                <w:color w:val="9C5700"/>
                <w:sz w:val="18"/>
                <w:szCs w:val="18"/>
                <w:lang w:eastAsia="en-AU"/>
              </w:rPr>
              <w:t>Telecommunication cables</w:t>
            </w:r>
          </w:p>
        </w:tc>
        <w:tc>
          <w:tcPr>
            <w:tcW w:w="1985" w:type="dxa"/>
            <w:tcBorders>
              <w:top w:val="nil"/>
              <w:left w:val="nil"/>
              <w:bottom w:val="nil"/>
              <w:right w:val="nil"/>
            </w:tcBorders>
            <w:shd w:val="clear" w:color="000000" w:fill="F8CBAD"/>
            <w:hideMark/>
          </w:tcPr>
          <w:p w14:paraId="0B68C020"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r w:rsidRPr="00D52747">
              <w:rPr>
                <w:rFonts w:ascii="Calibri" w:eastAsia="Times New Roman" w:hAnsi="Calibri" w:cs="Calibri"/>
                <w:color w:val="000000"/>
                <w:sz w:val="18"/>
                <w:szCs w:val="18"/>
                <w:lang w:eastAsia="en-AU"/>
              </w:rPr>
              <w:t>Partial guarantees of offtake for private companies (still unclear)</w:t>
            </w:r>
          </w:p>
        </w:tc>
        <w:tc>
          <w:tcPr>
            <w:tcW w:w="1275" w:type="dxa"/>
            <w:tcBorders>
              <w:top w:val="nil"/>
              <w:left w:val="nil"/>
              <w:bottom w:val="nil"/>
              <w:right w:val="nil"/>
            </w:tcBorders>
            <w:shd w:val="clear" w:color="000000" w:fill="FFC7CE"/>
            <w:hideMark/>
          </w:tcPr>
          <w:p w14:paraId="4C9F4219" w14:textId="70967007" w:rsidR="007E6186" w:rsidRPr="00D52747" w:rsidRDefault="007E6186" w:rsidP="00D6282B">
            <w:pPr>
              <w:spacing w:after="0" w:line="240" w:lineRule="auto"/>
              <w:rPr>
                <w:rFonts w:ascii="Calibri" w:eastAsia="Times New Roman" w:hAnsi="Calibri" w:cs="Calibri"/>
                <w:color w:val="9C0006"/>
                <w:sz w:val="18"/>
                <w:szCs w:val="18"/>
                <w:lang w:eastAsia="en-AU"/>
              </w:rPr>
            </w:pPr>
            <w:r w:rsidRPr="00D52747">
              <w:rPr>
                <w:rFonts w:ascii="Calibri" w:eastAsia="Times New Roman" w:hAnsi="Calibri" w:cs="Calibri"/>
                <w:color w:val="9C0006"/>
                <w:sz w:val="18"/>
                <w:szCs w:val="18"/>
                <w:lang w:eastAsia="en-AU"/>
              </w:rPr>
              <w:t xml:space="preserve">Unclear </w:t>
            </w:r>
          </w:p>
        </w:tc>
      </w:tr>
      <w:tr w:rsidR="007E6186" w:rsidRPr="00D52747" w14:paraId="2732CF5B" w14:textId="77777777" w:rsidTr="00D6282B">
        <w:trPr>
          <w:trHeight w:val="1245"/>
        </w:trPr>
        <w:tc>
          <w:tcPr>
            <w:tcW w:w="1843" w:type="dxa"/>
            <w:tcBorders>
              <w:top w:val="nil"/>
              <w:left w:val="nil"/>
              <w:bottom w:val="nil"/>
              <w:right w:val="nil"/>
            </w:tcBorders>
            <w:shd w:val="clear" w:color="000000" w:fill="BDD7EE"/>
            <w:hideMark/>
          </w:tcPr>
          <w:p w14:paraId="61D9D5EA"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r w:rsidRPr="00D52747">
              <w:rPr>
                <w:rFonts w:ascii="Calibri" w:eastAsia="Times New Roman" w:hAnsi="Calibri" w:cs="Calibri"/>
                <w:color w:val="000000"/>
                <w:sz w:val="18"/>
                <w:szCs w:val="18"/>
                <w:lang w:eastAsia="en-AU"/>
              </w:rPr>
              <w:t>Improving infrastructure in a range of sectors</w:t>
            </w:r>
          </w:p>
        </w:tc>
        <w:tc>
          <w:tcPr>
            <w:tcW w:w="1190" w:type="dxa"/>
            <w:tcBorders>
              <w:top w:val="nil"/>
              <w:left w:val="nil"/>
              <w:bottom w:val="nil"/>
              <w:right w:val="nil"/>
            </w:tcBorders>
            <w:shd w:val="clear" w:color="000000" w:fill="BDD7EE"/>
            <w:hideMark/>
          </w:tcPr>
          <w:p w14:paraId="7CF04F37"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r w:rsidRPr="00D52747">
              <w:rPr>
                <w:rFonts w:ascii="Calibri" w:eastAsia="Times New Roman" w:hAnsi="Calibri" w:cs="Calibri"/>
                <w:color w:val="000000"/>
                <w:sz w:val="18"/>
                <w:szCs w:val="18"/>
                <w:lang w:eastAsia="en-AU"/>
              </w:rPr>
              <w:t>B - Pacific</w:t>
            </w:r>
          </w:p>
        </w:tc>
        <w:tc>
          <w:tcPr>
            <w:tcW w:w="2779" w:type="dxa"/>
            <w:tcBorders>
              <w:top w:val="nil"/>
              <w:left w:val="nil"/>
              <w:bottom w:val="nil"/>
              <w:right w:val="nil"/>
            </w:tcBorders>
            <w:shd w:val="clear" w:color="000000" w:fill="BDD7EE"/>
            <w:hideMark/>
          </w:tcPr>
          <w:p w14:paraId="2A1BEFB0"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r w:rsidRPr="00D52747">
              <w:rPr>
                <w:rFonts w:ascii="Calibri" w:eastAsia="Times New Roman" w:hAnsi="Calibri" w:cs="Calibri"/>
                <w:color w:val="000000"/>
                <w:sz w:val="18"/>
                <w:szCs w:val="18"/>
                <w:lang w:eastAsia="en-AU"/>
              </w:rPr>
              <w:t>Co-investing with Pacific pension funds, singly or through joint vehicle</w:t>
            </w:r>
          </w:p>
        </w:tc>
        <w:tc>
          <w:tcPr>
            <w:tcW w:w="1985" w:type="dxa"/>
            <w:tcBorders>
              <w:top w:val="nil"/>
              <w:left w:val="nil"/>
              <w:bottom w:val="nil"/>
              <w:right w:val="nil"/>
            </w:tcBorders>
            <w:shd w:val="clear" w:color="000000" w:fill="F8CBAD"/>
            <w:hideMark/>
          </w:tcPr>
          <w:p w14:paraId="0CC6EC69"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r w:rsidRPr="00D52747">
              <w:rPr>
                <w:rFonts w:ascii="Calibri" w:eastAsia="Times New Roman" w:hAnsi="Calibri" w:cs="Calibri"/>
                <w:color w:val="000000"/>
                <w:sz w:val="18"/>
                <w:szCs w:val="18"/>
                <w:lang w:eastAsia="en-AU"/>
              </w:rPr>
              <w:t xml:space="preserve">Equity, </w:t>
            </w:r>
            <w:proofErr w:type="gramStart"/>
            <w:r w:rsidRPr="00D52747">
              <w:rPr>
                <w:rFonts w:ascii="Calibri" w:eastAsia="Times New Roman" w:hAnsi="Calibri" w:cs="Calibri"/>
                <w:color w:val="000000"/>
                <w:sz w:val="18"/>
                <w:szCs w:val="18"/>
                <w:lang w:eastAsia="en-AU"/>
              </w:rPr>
              <w:t>loans</w:t>
            </w:r>
            <w:proofErr w:type="gramEnd"/>
            <w:r w:rsidRPr="00D52747">
              <w:rPr>
                <w:rFonts w:ascii="Calibri" w:eastAsia="Times New Roman" w:hAnsi="Calibri" w:cs="Calibri"/>
                <w:color w:val="000000"/>
                <w:sz w:val="18"/>
                <w:szCs w:val="18"/>
                <w:lang w:eastAsia="en-AU"/>
              </w:rPr>
              <w:t xml:space="preserve"> or credit enhancements </w:t>
            </w:r>
          </w:p>
        </w:tc>
        <w:tc>
          <w:tcPr>
            <w:tcW w:w="1275" w:type="dxa"/>
            <w:tcBorders>
              <w:top w:val="nil"/>
              <w:left w:val="nil"/>
              <w:bottom w:val="nil"/>
              <w:right w:val="nil"/>
            </w:tcBorders>
            <w:shd w:val="clear" w:color="000000" w:fill="DBDBDB"/>
            <w:hideMark/>
          </w:tcPr>
          <w:p w14:paraId="466837D5"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r w:rsidRPr="00D52747">
              <w:rPr>
                <w:rFonts w:ascii="Calibri" w:eastAsia="Times New Roman" w:hAnsi="Calibri" w:cs="Calibri"/>
                <w:color w:val="000000"/>
                <w:sz w:val="18"/>
                <w:szCs w:val="18"/>
                <w:lang w:eastAsia="en-AU"/>
              </w:rPr>
              <w:t>Joint platform proposed but still to be formed</w:t>
            </w:r>
          </w:p>
        </w:tc>
      </w:tr>
      <w:tr w:rsidR="007E6186" w:rsidRPr="00D52747" w14:paraId="576CECEA" w14:textId="77777777" w:rsidTr="00D6282B">
        <w:trPr>
          <w:trHeight w:val="1020"/>
        </w:trPr>
        <w:tc>
          <w:tcPr>
            <w:tcW w:w="1843" w:type="dxa"/>
            <w:tcBorders>
              <w:top w:val="nil"/>
              <w:left w:val="nil"/>
              <w:bottom w:val="nil"/>
              <w:right w:val="nil"/>
            </w:tcBorders>
            <w:shd w:val="clear" w:color="000000" w:fill="FFEB9C"/>
            <w:hideMark/>
          </w:tcPr>
          <w:p w14:paraId="63499BE4" w14:textId="77777777" w:rsidR="007E6186" w:rsidRPr="00D52747" w:rsidRDefault="007E6186" w:rsidP="00D6282B">
            <w:pPr>
              <w:spacing w:after="0" w:line="240" w:lineRule="auto"/>
              <w:rPr>
                <w:rFonts w:ascii="Calibri" w:eastAsia="Times New Roman" w:hAnsi="Calibri" w:cs="Calibri"/>
                <w:color w:val="9C5700"/>
                <w:sz w:val="18"/>
                <w:szCs w:val="18"/>
                <w:lang w:eastAsia="en-AU"/>
              </w:rPr>
            </w:pPr>
            <w:r w:rsidRPr="00D52747">
              <w:rPr>
                <w:rFonts w:ascii="Calibri" w:eastAsia="Times New Roman" w:hAnsi="Calibri" w:cs="Calibri"/>
                <w:color w:val="9C5700"/>
                <w:sz w:val="18"/>
                <w:szCs w:val="18"/>
                <w:lang w:eastAsia="en-AU"/>
              </w:rPr>
              <w:t>Inclusive growth through fostering SMEs</w:t>
            </w:r>
          </w:p>
        </w:tc>
        <w:tc>
          <w:tcPr>
            <w:tcW w:w="1190" w:type="dxa"/>
            <w:tcBorders>
              <w:top w:val="nil"/>
              <w:left w:val="nil"/>
              <w:bottom w:val="nil"/>
              <w:right w:val="nil"/>
            </w:tcBorders>
            <w:shd w:val="clear" w:color="000000" w:fill="FFEB9C"/>
            <w:hideMark/>
          </w:tcPr>
          <w:p w14:paraId="19EE5EC2" w14:textId="77777777" w:rsidR="007E6186" w:rsidRPr="00D52747" w:rsidRDefault="007E6186" w:rsidP="00D6282B">
            <w:pPr>
              <w:spacing w:after="0" w:line="240" w:lineRule="auto"/>
              <w:rPr>
                <w:rFonts w:ascii="Calibri" w:eastAsia="Times New Roman" w:hAnsi="Calibri" w:cs="Calibri"/>
                <w:color w:val="9C5700"/>
                <w:sz w:val="18"/>
                <w:szCs w:val="18"/>
                <w:lang w:eastAsia="en-AU"/>
              </w:rPr>
            </w:pPr>
            <w:r w:rsidRPr="00D52747">
              <w:rPr>
                <w:rFonts w:ascii="Calibri" w:eastAsia="Times New Roman" w:hAnsi="Calibri" w:cs="Calibri"/>
                <w:color w:val="9C5700"/>
                <w:sz w:val="18"/>
                <w:szCs w:val="18"/>
                <w:lang w:eastAsia="en-AU"/>
              </w:rPr>
              <w:t>C - Fiji</w:t>
            </w:r>
          </w:p>
        </w:tc>
        <w:tc>
          <w:tcPr>
            <w:tcW w:w="2779" w:type="dxa"/>
            <w:tcBorders>
              <w:top w:val="nil"/>
              <w:left w:val="nil"/>
              <w:bottom w:val="nil"/>
              <w:right w:val="nil"/>
            </w:tcBorders>
            <w:shd w:val="clear" w:color="000000" w:fill="FFEB9C"/>
            <w:hideMark/>
          </w:tcPr>
          <w:p w14:paraId="68B605A7" w14:textId="77777777" w:rsidR="007E6186" w:rsidRPr="00D52747" w:rsidRDefault="007E6186" w:rsidP="00D6282B">
            <w:pPr>
              <w:spacing w:after="0" w:line="240" w:lineRule="auto"/>
              <w:rPr>
                <w:rFonts w:ascii="Calibri" w:eastAsia="Times New Roman" w:hAnsi="Calibri" w:cs="Calibri"/>
                <w:color w:val="9C5700"/>
                <w:sz w:val="18"/>
                <w:szCs w:val="18"/>
                <w:lang w:eastAsia="en-AU"/>
              </w:rPr>
            </w:pPr>
            <w:r w:rsidRPr="00D52747">
              <w:rPr>
                <w:rFonts w:ascii="Calibri" w:eastAsia="Times New Roman" w:hAnsi="Calibri" w:cs="Calibri"/>
                <w:color w:val="9C5700"/>
                <w:sz w:val="18"/>
                <w:szCs w:val="18"/>
                <w:lang w:eastAsia="en-AU"/>
              </w:rPr>
              <w:t>Targeted expansion of lending by commercial banks</w:t>
            </w:r>
          </w:p>
        </w:tc>
        <w:tc>
          <w:tcPr>
            <w:tcW w:w="1985" w:type="dxa"/>
            <w:tcBorders>
              <w:top w:val="nil"/>
              <w:left w:val="nil"/>
              <w:bottom w:val="nil"/>
              <w:right w:val="nil"/>
            </w:tcBorders>
            <w:shd w:val="clear" w:color="000000" w:fill="F8CBAD"/>
            <w:hideMark/>
          </w:tcPr>
          <w:p w14:paraId="2A03B4F5"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r w:rsidRPr="00D52747">
              <w:rPr>
                <w:rFonts w:ascii="Calibri" w:eastAsia="Times New Roman" w:hAnsi="Calibri" w:cs="Calibri"/>
                <w:color w:val="000000"/>
                <w:sz w:val="18"/>
                <w:szCs w:val="18"/>
                <w:lang w:eastAsia="en-AU"/>
              </w:rPr>
              <w:t xml:space="preserve">Repayable grants for temporary loss-sharing </w:t>
            </w:r>
          </w:p>
        </w:tc>
        <w:tc>
          <w:tcPr>
            <w:tcW w:w="1275" w:type="dxa"/>
            <w:tcBorders>
              <w:top w:val="nil"/>
              <w:left w:val="nil"/>
              <w:bottom w:val="nil"/>
              <w:right w:val="nil"/>
            </w:tcBorders>
            <w:shd w:val="clear" w:color="auto" w:fill="auto"/>
            <w:hideMark/>
          </w:tcPr>
          <w:p w14:paraId="6B41D3F2"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r w:rsidRPr="00D52747">
              <w:rPr>
                <w:rFonts w:ascii="Calibri" w:eastAsia="Times New Roman" w:hAnsi="Calibri" w:cs="Calibri"/>
                <w:color w:val="000000"/>
                <w:sz w:val="18"/>
                <w:szCs w:val="18"/>
                <w:lang w:eastAsia="en-AU"/>
              </w:rPr>
              <w:t>IFC</w:t>
            </w:r>
          </w:p>
        </w:tc>
      </w:tr>
      <w:tr w:rsidR="007E6186" w:rsidRPr="00D52747" w14:paraId="156CA4CB" w14:textId="77777777" w:rsidTr="00D6282B">
        <w:trPr>
          <w:trHeight w:val="600"/>
        </w:trPr>
        <w:tc>
          <w:tcPr>
            <w:tcW w:w="1843" w:type="dxa"/>
            <w:tcBorders>
              <w:top w:val="nil"/>
              <w:left w:val="nil"/>
              <w:bottom w:val="nil"/>
              <w:right w:val="nil"/>
            </w:tcBorders>
            <w:shd w:val="clear" w:color="000000" w:fill="BDD7EE"/>
            <w:hideMark/>
          </w:tcPr>
          <w:p w14:paraId="08C9AC8C"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r w:rsidRPr="00D52747">
              <w:rPr>
                <w:rFonts w:ascii="Calibri" w:eastAsia="Times New Roman" w:hAnsi="Calibri" w:cs="Calibri"/>
                <w:color w:val="000000"/>
                <w:sz w:val="18"/>
                <w:szCs w:val="18"/>
                <w:lang w:eastAsia="en-AU"/>
              </w:rPr>
              <w:lastRenderedPageBreak/>
              <w:t>Inclusive growth through fostering SMEs</w:t>
            </w:r>
          </w:p>
        </w:tc>
        <w:tc>
          <w:tcPr>
            <w:tcW w:w="1190" w:type="dxa"/>
            <w:tcBorders>
              <w:top w:val="nil"/>
              <w:left w:val="nil"/>
              <w:bottom w:val="nil"/>
              <w:right w:val="nil"/>
            </w:tcBorders>
            <w:shd w:val="clear" w:color="000000" w:fill="BDD7EE"/>
            <w:hideMark/>
          </w:tcPr>
          <w:p w14:paraId="3BED1AAD"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r w:rsidRPr="00D52747">
              <w:rPr>
                <w:rFonts w:ascii="Calibri" w:eastAsia="Times New Roman" w:hAnsi="Calibri" w:cs="Calibri"/>
                <w:color w:val="000000"/>
                <w:sz w:val="18"/>
                <w:szCs w:val="18"/>
                <w:lang w:eastAsia="en-AU"/>
              </w:rPr>
              <w:t>C - Papua New Guinea</w:t>
            </w:r>
          </w:p>
        </w:tc>
        <w:tc>
          <w:tcPr>
            <w:tcW w:w="2779" w:type="dxa"/>
            <w:tcBorders>
              <w:top w:val="nil"/>
              <w:left w:val="nil"/>
              <w:bottom w:val="nil"/>
              <w:right w:val="nil"/>
            </w:tcBorders>
            <w:shd w:val="clear" w:color="000000" w:fill="BDD7EE"/>
            <w:hideMark/>
          </w:tcPr>
          <w:p w14:paraId="122531F2"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r w:rsidRPr="00D52747">
              <w:rPr>
                <w:rFonts w:ascii="Calibri" w:eastAsia="Times New Roman" w:hAnsi="Calibri" w:cs="Calibri"/>
                <w:color w:val="000000"/>
                <w:sz w:val="18"/>
                <w:szCs w:val="18"/>
                <w:lang w:eastAsia="en-AU"/>
              </w:rPr>
              <w:t>Finance for business incubator with commercial bank sponsor</w:t>
            </w:r>
          </w:p>
        </w:tc>
        <w:tc>
          <w:tcPr>
            <w:tcW w:w="1985" w:type="dxa"/>
            <w:tcBorders>
              <w:top w:val="nil"/>
              <w:left w:val="nil"/>
              <w:bottom w:val="nil"/>
              <w:right w:val="nil"/>
            </w:tcBorders>
            <w:shd w:val="clear" w:color="auto" w:fill="auto"/>
            <w:hideMark/>
          </w:tcPr>
          <w:p w14:paraId="37F9D540"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r w:rsidRPr="00D52747">
              <w:rPr>
                <w:rFonts w:ascii="Calibri" w:eastAsia="Times New Roman" w:hAnsi="Calibri" w:cs="Calibri"/>
                <w:color w:val="000000"/>
                <w:sz w:val="18"/>
                <w:szCs w:val="18"/>
                <w:lang w:eastAsia="en-AU"/>
              </w:rPr>
              <w:t>Subordinated loans or equity - still unclear</w:t>
            </w:r>
          </w:p>
        </w:tc>
        <w:tc>
          <w:tcPr>
            <w:tcW w:w="1275" w:type="dxa"/>
            <w:tcBorders>
              <w:top w:val="nil"/>
              <w:left w:val="nil"/>
              <w:bottom w:val="nil"/>
              <w:right w:val="nil"/>
            </w:tcBorders>
            <w:shd w:val="clear" w:color="auto" w:fill="auto"/>
            <w:hideMark/>
          </w:tcPr>
          <w:p w14:paraId="0676C4E8"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r w:rsidRPr="00D52747">
              <w:rPr>
                <w:rFonts w:ascii="Calibri" w:eastAsia="Times New Roman" w:hAnsi="Calibri" w:cs="Calibri"/>
                <w:color w:val="000000"/>
                <w:sz w:val="18"/>
                <w:szCs w:val="18"/>
                <w:lang w:eastAsia="en-AU"/>
              </w:rPr>
              <w:t xml:space="preserve">IFC (perhaps BSP) </w:t>
            </w:r>
          </w:p>
        </w:tc>
      </w:tr>
      <w:tr w:rsidR="007E6186" w:rsidRPr="00D52747" w14:paraId="2C3D9FE7" w14:textId="77777777" w:rsidTr="00D6282B">
        <w:trPr>
          <w:trHeight w:val="900"/>
        </w:trPr>
        <w:tc>
          <w:tcPr>
            <w:tcW w:w="1843" w:type="dxa"/>
            <w:tcBorders>
              <w:top w:val="nil"/>
              <w:left w:val="nil"/>
              <w:bottom w:val="nil"/>
              <w:right w:val="nil"/>
            </w:tcBorders>
            <w:shd w:val="clear" w:color="000000" w:fill="FFEB9C"/>
            <w:hideMark/>
          </w:tcPr>
          <w:p w14:paraId="03FAAF2E" w14:textId="77777777" w:rsidR="007E6186" w:rsidRPr="00D52747" w:rsidRDefault="007E6186" w:rsidP="00D6282B">
            <w:pPr>
              <w:spacing w:after="0" w:line="240" w:lineRule="auto"/>
              <w:rPr>
                <w:rFonts w:ascii="Calibri" w:eastAsia="Times New Roman" w:hAnsi="Calibri" w:cs="Calibri"/>
                <w:color w:val="9C5700"/>
                <w:sz w:val="18"/>
                <w:szCs w:val="18"/>
                <w:lang w:eastAsia="en-AU"/>
              </w:rPr>
            </w:pPr>
            <w:r w:rsidRPr="00D52747">
              <w:rPr>
                <w:rFonts w:ascii="Calibri" w:eastAsia="Times New Roman" w:hAnsi="Calibri" w:cs="Calibri"/>
                <w:color w:val="9C5700"/>
                <w:sz w:val="18"/>
                <w:szCs w:val="18"/>
                <w:lang w:eastAsia="en-AU"/>
              </w:rPr>
              <w:t xml:space="preserve">Improving roads in </w:t>
            </w:r>
            <w:proofErr w:type="spellStart"/>
            <w:r w:rsidRPr="00D52747">
              <w:rPr>
                <w:rFonts w:ascii="Calibri" w:eastAsia="Times New Roman" w:hAnsi="Calibri" w:cs="Calibri"/>
                <w:color w:val="9C5700"/>
                <w:sz w:val="18"/>
                <w:szCs w:val="18"/>
                <w:lang w:eastAsia="en-AU"/>
              </w:rPr>
              <w:t>Morobe</w:t>
            </w:r>
            <w:proofErr w:type="spellEnd"/>
            <w:r w:rsidRPr="00D52747">
              <w:rPr>
                <w:rFonts w:ascii="Calibri" w:eastAsia="Times New Roman" w:hAnsi="Calibri" w:cs="Calibri"/>
                <w:color w:val="9C5700"/>
                <w:sz w:val="18"/>
                <w:szCs w:val="18"/>
                <w:lang w:eastAsia="en-AU"/>
              </w:rPr>
              <w:t xml:space="preserve"> economic corridors</w:t>
            </w:r>
          </w:p>
        </w:tc>
        <w:tc>
          <w:tcPr>
            <w:tcW w:w="1190" w:type="dxa"/>
            <w:tcBorders>
              <w:top w:val="nil"/>
              <w:left w:val="nil"/>
              <w:bottom w:val="nil"/>
              <w:right w:val="nil"/>
            </w:tcBorders>
            <w:shd w:val="clear" w:color="000000" w:fill="FFEB9C"/>
            <w:hideMark/>
          </w:tcPr>
          <w:p w14:paraId="431F2A5D" w14:textId="77777777" w:rsidR="007E6186" w:rsidRPr="00D52747" w:rsidRDefault="007E6186" w:rsidP="00D6282B">
            <w:pPr>
              <w:spacing w:after="0" w:line="240" w:lineRule="auto"/>
              <w:rPr>
                <w:rFonts w:ascii="Calibri" w:eastAsia="Times New Roman" w:hAnsi="Calibri" w:cs="Calibri"/>
                <w:color w:val="9C5700"/>
                <w:sz w:val="18"/>
                <w:szCs w:val="18"/>
                <w:lang w:eastAsia="en-AU"/>
              </w:rPr>
            </w:pPr>
            <w:r w:rsidRPr="00D52747">
              <w:rPr>
                <w:rFonts w:ascii="Calibri" w:eastAsia="Times New Roman" w:hAnsi="Calibri" w:cs="Calibri"/>
                <w:color w:val="9C5700"/>
                <w:sz w:val="18"/>
                <w:szCs w:val="18"/>
                <w:lang w:eastAsia="en-AU"/>
              </w:rPr>
              <w:t>C - Papua New Guinea</w:t>
            </w:r>
          </w:p>
        </w:tc>
        <w:tc>
          <w:tcPr>
            <w:tcW w:w="2779" w:type="dxa"/>
            <w:tcBorders>
              <w:top w:val="nil"/>
              <w:left w:val="nil"/>
              <w:bottom w:val="nil"/>
              <w:right w:val="nil"/>
            </w:tcBorders>
            <w:shd w:val="clear" w:color="000000" w:fill="FFEB9C"/>
            <w:hideMark/>
          </w:tcPr>
          <w:p w14:paraId="1DA90389" w14:textId="77777777" w:rsidR="007E6186" w:rsidRPr="00D52747" w:rsidRDefault="007E6186" w:rsidP="00D6282B">
            <w:pPr>
              <w:spacing w:after="0" w:line="240" w:lineRule="auto"/>
              <w:rPr>
                <w:rFonts w:ascii="Calibri" w:eastAsia="Times New Roman" w:hAnsi="Calibri" w:cs="Calibri"/>
                <w:color w:val="9C5700"/>
                <w:sz w:val="18"/>
                <w:szCs w:val="18"/>
                <w:lang w:eastAsia="en-AU"/>
              </w:rPr>
            </w:pPr>
            <w:r w:rsidRPr="00D52747">
              <w:rPr>
                <w:rFonts w:ascii="Calibri" w:eastAsia="Times New Roman" w:hAnsi="Calibri" w:cs="Calibri"/>
                <w:color w:val="9C5700"/>
                <w:sz w:val="18"/>
                <w:szCs w:val="18"/>
                <w:lang w:eastAsia="en-AU"/>
              </w:rPr>
              <w:t xml:space="preserve">Rehabilitation and maintenance in cooperation with national and </w:t>
            </w:r>
            <w:proofErr w:type="spellStart"/>
            <w:r w:rsidRPr="00D52747">
              <w:rPr>
                <w:rFonts w:ascii="Calibri" w:eastAsia="Times New Roman" w:hAnsi="Calibri" w:cs="Calibri"/>
                <w:color w:val="9C5700"/>
                <w:sz w:val="18"/>
                <w:szCs w:val="18"/>
                <w:lang w:eastAsia="en-AU"/>
              </w:rPr>
              <w:t>provinicial</w:t>
            </w:r>
            <w:proofErr w:type="spellEnd"/>
            <w:r w:rsidRPr="00D52747">
              <w:rPr>
                <w:rFonts w:ascii="Calibri" w:eastAsia="Times New Roman" w:hAnsi="Calibri" w:cs="Calibri"/>
                <w:color w:val="9C5700"/>
                <w:sz w:val="18"/>
                <w:szCs w:val="18"/>
                <w:lang w:eastAsia="en-AU"/>
              </w:rPr>
              <w:t xml:space="preserve"> government</w:t>
            </w:r>
          </w:p>
        </w:tc>
        <w:tc>
          <w:tcPr>
            <w:tcW w:w="1985" w:type="dxa"/>
            <w:tcBorders>
              <w:top w:val="nil"/>
              <w:left w:val="nil"/>
              <w:bottom w:val="nil"/>
              <w:right w:val="nil"/>
            </w:tcBorders>
            <w:shd w:val="clear" w:color="auto" w:fill="auto"/>
            <w:noWrap/>
            <w:hideMark/>
          </w:tcPr>
          <w:p w14:paraId="77F958C3"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r w:rsidRPr="00D52747">
              <w:rPr>
                <w:rFonts w:ascii="Calibri" w:eastAsia="Times New Roman" w:hAnsi="Calibri" w:cs="Calibri"/>
                <w:color w:val="000000"/>
                <w:sz w:val="18"/>
                <w:szCs w:val="18"/>
                <w:lang w:eastAsia="en-AU"/>
              </w:rPr>
              <w:t>Concessional loans</w:t>
            </w:r>
          </w:p>
        </w:tc>
        <w:tc>
          <w:tcPr>
            <w:tcW w:w="1275" w:type="dxa"/>
            <w:tcBorders>
              <w:top w:val="nil"/>
              <w:left w:val="nil"/>
              <w:bottom w:val="nil"/>
              <w:right w:val="nil"/>
            </w:tcBorders>
            <w:shd w:val="clear" w:color="auto" w:fill="auto"/>
            <w:hideMark/>
          </w:tcPr>
          <w:p w14:paraId="33CF214F"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r w:rsidRPr="00D52747">
              <w:rPr>
                <w:rFonts w:ascii="Calibri" w:eastAsia="Times New Roman" w:hAnsi="Calibri" w:cs="Calibri"/>
                <w:color w:val="000000"/>
                <w:sz w:val="18"/>
                <w:szCs w:val="18"/>
                <w:lang w:eastAsia="en-AU"/>
              </w:rPr>
              <w:t>DFAT</w:t>
            </w:r>
          </w:p>
        </w:tc>
      </w:tr>
      <w:tr w:rsidR="007E6186" w:rsidRPr="00D52747" w14:paraId="3ACA7E9D" w14:textId="77777777" w:rsidTr="00D6282B">
        <w:trPr>
          <w:trHeight w:val="600"/>
        </w:trPr>
        <w:tc>
          <w:tcPr>
            <w:tcW w:w="1843" w:type="dxa"/>
            <w:tcBorders>
              <w:top w:val="nil"/>
              <w:left w:val="nil"/>
              <w:bottom w:val="nil"/>
              <w:right w:val="nil"/>
            </w:tcBorders>
            <w:shd w:val="clear" w:color="000000" w:fill="FFEB9C"/>
            <w:hideMark/>
          </w:tcPr>
          <w:p w14:paraId="532C3057" w14:textId="77777777" w:rsidR="007E6186" w:rsidRPr="00D52747" w:rsidRDefault="007E6186" w:rsidP="00D6282B">
            <w:pPr>
              <w:spacing w:after="0" w:line="240" w:lineRule="auto"/>
              <w:rPr>
                <w:rFonts w:ascii="Calibri" w:eastAsia="Times New Roman" w:hAnsi="Calibri" w:cs="Calibri"/>
                <w:color w:val="9C5700"/>
                <w:sz w:val="18"/>
                <w:szCs w:val="18"/>
                <w:lang w:eastAsia="en-AU"/>
              </w:rPr>
            </w:pPr>
            <w:proofErr w:type="spellStart"/>
            <w:r w:rsidRPr="00D52747">
              <w:rPr>
                <w:rFonts w:ascii="Calibri" w:eastAsia="Times New Roman" w:hAnsi="Calibri" w:cs="Calibri"/>
                <w:color w:val="9C5700"/>
                <w:sz w:val="18"/>
                <w:szCs w:val="18"/>
                <w:lang w:eastAsia="en-AU"/>
              </w:rPr>
              <w:t>Wafi-Golpu</w:t>
            </w:r>
            <w:proofErr w:type="spellEnd"/>
            <w:r w:rsidRPr="00D52747">
              <w:rPr>
                <w:rFonts w:ascii="Calibri" w:eastAsia="Times New Roman" w:hAnsi="Calibri" w:cs="Calibri"/>
                <w:color w:val="9C5700"/>
                <w:sz w:val="18"/>
                <w:szCs w:val="18"/>
                <w:lang w:eastAsia="en-AU"/>
              </w:rPr>
              <w:t xml:space="preserve"> mining project</w:t>
            </w:r>
          </w:p>
        </w:tc>
        <w:tc>
          <w:tcPr>
            <w:tcW w:w="1190" w:type="dxa"/>
            <w:tcBorders>
              <w:top w:val="nil"/>
              <w:left w:val="nil"/>
              <w:bottom w:val="nil"/>
              <w:right w:val="nil"/>
            </w:tcBorders>
            <w:shd w:val="clear" w:color="000000" w:fill="FFEB9C"/>
            <w:hideMark/>
          </w:tcPr>
          <w:p w14:paraId="6147681F" w14:textId="77777777" w:rsidR="007E6186" w:rsidRPr="00D52747" w:rsidRDefault="007E6186" w:rsidP="00D6282B">
            <w:pPr>
              <w:spacing w:after="0" w:line="240" w:lineRule="auto"/>
              <w:rPr>
                <w:rFonts w:ascii="Calibri" w:eastAsia="Times New Roman" w:hAnsi="Calibri" w:cs="Calibri"/>
                <w:color w:val="9C5700"/>
                <w:sz w:val="18"/>
                <w:szCs w:val="18"/>
                <w:lang w:eastAsia="en-AU"/>
              </w:rPr>
            </w:pPr>
            <w:r w:rsidRPr="00D52747">
              <w:rPr>
                <w:rFonts w:ascii="Calibri" w:eastAsia="Times New Roman" w:hAnsi="Calibri" w:cs="Calibri"/>
                <w:color w:val="9C5700"/>
                <w:sz w:val="18"/>
                <w:szCs w:val="18"/>
                <w:lang w:eastAsia="en-AU"/>
              </w:rPr>
              <w:t>C - Papua New Guinea</w:t>
            </w:r>
          </w:p>
        </w:tc>
        <w:tc>
          <w:tcPr>
            <w:tcW w:w="2779" w:type="dxa"/>
            <w:tcBorders>
              <w:top w:val="nil"/>
              <w:left w:val="nil"/>
              <w:bottom w:val="nil"/>
              <w:right w:val="nil"/>
            </w:tcBorders>
            <w:shd w:val="clear" w:color="000000" w:fill="FFEB9C"/>
            <w:hideMark/>
          </w:tcPr>
          <w:p w14:paraId="0B726A65" w14:textId="77777777" w:rsidR="007E6186" w:rsidRPr="00D52747" w:rsidRDefault="007E6186" w:rsidP="00D6282B">
            <w:pPr>
              <w:spacing w:after="0" w:line="240" w:lineRule="auto"/>
              <w:rPr>
                <w:rFonts w:ascii="Calibri" w:eastAsia="Times New Roman" w:hAnsi="Calibri" w:cs="Calibri"/>
                <w:color w:val="9C5700"/>
                <w:sz w:val="18"/>
                <w:szCs w:val="18"/>
                <w:lang w:eastAsia="en-AU"/>
              </w:rPr>
            </w:pPr>
            <w:r w:rsidRPr="00D52747">
              <w:rPr>
                <w:rFonts w:ascii="Calibri" w:eastAsia="Times New Roman" w:hAnsi="Calibri" w:cs="Calibri"/>
                <w:color w:val="9C5700"/>
                <w:sz w:val="18"/>
                <w:szCs w:val="18"/>
                <w:lang w:eastAsia="en-AU"/>
              </w:rPr>
              <w:t xml:space="preserve">Finance for equity stake of </w:t>
            </w:r>
            <w:proofErr w:type="spellStart"/>
            <w:r w:rsidRPr="00D52747">
              <w:rPr>
                <w:rFonts w:ascii="Calibri" w:eastAsia="Times New Roman" w:hAnsi="Calibri" w:cs="Calibri"/>
                <w:color w:val="9C5700"/>
                <w:sz w:val="18"/>
                <w:szCs w:val="18"/>
                <w:lang w:eastAsia="en-AU"/>
              </w:rPr>
              <w:t>Morobe</w:t>
            </w:r>
            <w:proofErr w:type="spellEnd"/>
            <w:r w:rsidRPr="00D52747">
              <w:rPr>
                <w:rFonts w:ascii="Calibri" w:eastAsia="Times New Roman" w:hAnsi="Calibri" w:cs="Calibri"/>
                <w:color w:val="9C5700"/>
                <w:sz w:val="18"/>
                <w:szCs w:val="18"/>
                <w:lang w:eastAsia="en-AU"/>
              </w:rPr>
              <w:t xml:space="preserve"> provincial government</w:t>
            </w:r>
          </w:p>
        </w:tc>
        <w:tc>
          <w:tcPr>
            <w:tcW w:w="1985" w:type="dxa"/>
            <w:tcBorders>
              <w:top w:val="nil"/>
              <w:left w:val="nil"/>
              <w:bottom w:val="nil"/>
              <w:right w:val="nil"/>
            </w:tcBorders>
            <w:shd w:val="clear" w:color="auto" w:fill="auto"/>
            <w:hideMark/>
          </w:tcPr>
          <w:p w14:paraId="3F686534"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r w:rsidRPr="00D52747">
              <w:rPr>
                <w:rFonts w:ascii="Calibri" w:eastAsia="Times New Roman" w:hAnsi="Calibri" w:cs="Calibri"/>
                <w:color w:val="000000"/>
                <w:sz w:val="18"/>
                <w:szCs w:val="18"/>
                <w:lang w:eastAsia="en-AU"/>
              </w:rPr>
              <w:t xml:space="preserve">Loan, at commercial rate but with long tenor </w:t>
            </w:r>
          </w:p>
        </w:tc>
        <w:tc>
          <w:tcPr>
            <w:tcW w:w="1275" w:type="dxa"/>
            <w:tcBorders>
              <w:top w:val="nil"/>
              <w:left w:val="nil"/>
              <w:bottom w:val="nil"/>
              <w:right w:val="nil"/>
            </w:tcBorders>
            <w:shd w:val="clear" w:color="000000" w:fill="FFC7CE"/>
            <w:hideMark/>
          </w:tcPr>
          <w:p w14:paraId="22FF64CB" w14:textId="77777777" w:rsidR="007E6186" w:rsidRPr="00D52747" w:rsidRDefault="007E6186" w:rsidP="00D6282B">
            <w:pPr>
              <w:spacing w:after="0" w:line="240" w:lineRule="auto"/>
              <w:rPr>
                <w:rFonts w:ascii="Calibri" w:eastAsia="Times New Roman" w:hAnsi="Calibri" w:cs="Calibri"/>
                <w:color w:val="9C0006"/>
                <w:sz w:val="18"/>
                <w:szCs w:val="18"/>
                <w:lang w:eastAsia="en-AU"/>
              </w:rPr>
            </w:pPr>
            <w:r w:rsidRPr="00D52747">
              <w:rPr>
                <w:rFonts w:ascii="Calibri" w:eastAsia="Times New Roman" w:hAnsi="Calibri" w:cs="Calibri"/>
                <w:color w:val="9C0006"/>
                <w:sz w:val="18"/>
                <w:szCs w:val="18"/>
                <w:lang w:eastAsia="en-AU"/>
              </w:rPr>
              <w:t>Unclear</w:t>
            </w:r>
          </w:p>
        </w:tc>
      </w:tr>
      <w:tr w:rsidR="007E6186" w:rsidRPr="00D52747" w14:paraId="4425B04A" w14:textId="77777777" w:rsidTr="00D6282B">
        <w:trPr>
          <w:trHeight w:val="900"/>
        </w:trPr>
        <w:tc>
          <w:tcPr>
            <w:tcW w:w="1843" w:type="dxa"/>
            <w:tcBorders>
              <w:top w:val="nil"/>
              <w:left w:val="nil"/>
              <w:bottom w:val="nil"/>
              <w:right w:val="nil"/>
            </w:tcBorders>
            <w:shd w:val="clear" w:color="000000" w:fill="FFEB9C"/>
            <w:hideMark/>
          </w:tcPr>
          <w:p w14:paraId="05680FBA" w14:textId="77777777" w:rsidR="007E6186" w:rsidRPr="00D52747" w:rsidRDefault="007E6186" w:rsidP="00D6282B">
            <w:pPr>
              <w:spacing w:after="0" w:line="240" w:lineRule="auto"/>
              <w:rPr>
                <w:rFonts w:ascii="Calibri" w:eastAsia="Times New Roman" w:hAnsi="Calibri" w:cs="Calibri"/>
                <w:color w:val="9C5700"/>
                <w:sz w:val="18"/>
                <w:szCs w:val="18"/>
                <w:lang w:eastAsia="en-AU"/>
              </w:rPr>
            </w:pPr>
            <w:r w:rsidRPr="00D52747">
              <w:rPr>
                <w:rFonts w:ascii="Calibri" w:eastAsia="Times New Roman" w:hAnsi="Calibri" w:cs="Calibri"/>
                <w:color w:val="9C5700"/>
                <w:sz w:val="18"/>
                <w:szCs w:val="18"/>
                <w:lang w:eastAsia="en-AU"/>
              </w:rPr>
              <w:t>Improving infrastructure in area with high potential for business growth</w:t>
            </w:r>
          </w:p>
        </w:tc>
        <w:tc>
          <w:tcPr>
            <w:tcW w:w="1190" w:type="dxa"/>
            <w:tcBorders>
              <w:top w:val="nil"/>
              <w:left w:val="nil"/>
              <w:bottom w:val="nil"/>
              <w:right w:val="nil"/>
            </w:tcBorders>
            <w:shd w:val="clear" w:color="000000" w:fill="FFEB9C"/>
            <w:hideMark/>
          </w:tcPr>
          <w:p w14:paraId="042FF903" w14:textId="77777777" w:rsidR="007E6186" w:rsidRPr="00D52747" w:rsidRDefault="007E6186" w:rsidP="00D6282B">
            <w:pPr>
              <w:spacing w:after="0" w:line="240" w:lineRule="auto"/>
              <w:rPr>
                <w:rFonts w:ascii="Calibri" w:eastAsia="Times New Roman" w:hAnsi="Calibri" w:cs="Calibri"/>
                <w:color w:val="9C5700"/>
                <w:sz w:val="18"/>
                <w:szCs w:val="18"/>
                <w:lang w:eastAsia="en-AU"/>
              </w:rPr>
            </w:pPr>
            <w:r w:rsidRPr="00D52747">
              <w:rPr>
                <w:rFonts w:ascii="Calibri" w:eastAsia="Times New Roman" w:hAnsi="Calibri" w:cs="Calibri"/>
                <w:color w:val="9C5700"/>
                <w:sz w:val="18"/>
                <w:szCs w:val="18"/>
                <w:lang w:eastAsia="en-AU"/>
              </w:rPr>
              <w:t>C - Papua New Guinea</w:t>
            </w:r>
          </w:p>
        </w:tc>
        <w:tc>
          <w:tcPr>
            <w:tcW w:w="2779" w:type="dxa"/>
            <w:tcBorders>
              <w:top w:val="nil"/>
              <w:left w:val="nil"/>
              <w:bottom w:val="nil"/>
              <w:right w:val="nil"/>
            </w:tcBorders>
            <w:shd w:val="clear" w:color="000000" w:fill="FFEB9C"/>
            <w:hideMark/>
          </w:tcPr>
          <w:p w14:paraId="3F70A289" w14:textId="77777777" w:rsidR="007E6186" w:rsidRPr="00D52747" w:rsidRDefault="007E6186" w:rsidP="00D6282B">
            <w:pPr>
              <w:spacing w:after="0" w:line="240" w:lineRule="auto"/>
              <w:rPr>
                <w:rFonts w:ascii="Calibri" w:eastAsia="Times New Roman" w:hAnsi="Calibri" w:cs="Calibri"/>
                <w:color w:val="9C5700"/>
                <w:sz w:val="18"/>
                <w:szCs w:val="18"/>
                <w:lang w:eastAsia="en-AU"/>
              </w:rPr>
            </w:pPr>
            <w:r w:rsidRPr="00D52747">
              <w:rPr>
                <w:rFonts w:ascii="Calibri" w:eastAsia="Times New Roman" w:hAnsi="Calibri" w:cs="Calibri"/>
                <w:color w:val="9C5700"/>
                <w:sz w:val="18"/>
                <w:szCs w:val="18"/>
                <w:lang w:eastAsia="en-AU"/>
              </w:rPr>
              <w:t>Develop NADZAB (</w:t>
            </w:r>
            <w:proofErr w:type="spellStart"/>
            <w:r w:rsidRPr="00D52747">
              <w:rPr>
                <w:rFonts w:ascii="Calibri" w:eastAsia="Times New Roman" w:hAnsi="Calibri" w:cs="Calibri"/>
                <w:color w:val="9C5700"/>
                <w:sz w:val="18"/>
                <w:szCs w:val="18"/>
                <w:lang w:eastAsia="en-AU"/>
              </w:rPr>
              <w:t>Lae</w:t>
            </w:r>
            <w:proofErr w:type="spellEnd"/>
            <w:r w:rsidRPr="00D52747">
              <w:rPr>
                <w:rFonts w:ascii="Calibri" w:eastAsia="Times New Roman" w:hAnsi="Calibri" w:cs="Calibri"/>
                <w:color w:val="9C5700"/>
                <w:sz w:val="18"/>
                <w:szCs w:val="18"/>
                <w:lang w:eastAsia="en-AU"/>
              </w:rPr>
              <w:t xml:space="preserve"> airport) area into mixed-use precinct </w:t>
            </w:r>
          </w:p>
        </w:tc>
        <w:tc>
          <w:tcPr>
            <w:tcW w:w="1985" w:type="dxa"/>
            <w:tcBorders>
              <w:top w:val="nil"/>
              <w:left w:val="nil"/>
              <w:bottom w:val="nil"/>
              <w:right w:val="nil"/>
            </w:tcBorders>
            <w:shd w:val="clear" w:color="auto" w:fill="auto"/>
            <w:hideMark/>
          </w:tcPr>
          <w:p w14:paraId="5F182F52"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r w:rsidRPr="00D52747">
              <w:rPr>
                <w:rFonts w:ascii="Calibri" w:eastAsia="Times New Roman" w:hAnsi="Calibri" w:cs="Calibri"/>
                <w:color w:val="000000"/>
                <w:sz w:val="18"/>
                <w:szCs w:val="18"/>
                <w:lang w:eastAsia="en-AU"/>
              </w:rPr>
              <w:t xml:space="preserve">Loan, at commercial rate but with long tenor </w:t>
            </w:r>
          </w:p>
        </w:tc>
        <w:tc>
          <w:tcPr>
            <w:tcW w:w="1275" w:type="dxa"/>
            <w:tcBorders>
              <w:top w:val="nil"/>
              <w:left w:val="nil"/>
              <w:bottom w:val="nil"/>
              <w:right w:val="nil"/>
            </w:tcBorders>
            <w:shd w:val="clear" w:color="000000" w:fill="FFC7CE"/>
            <w:hideMark/>
          </w:tcPr>
          <w:p w14:paraId="3DDC368E" w14:textId="77777777" w:rsidR="007E6186" w:rsidRPr="00D52747" w:rsidRDefault="007E6186" w:rsidP="00D6282B">
            <w:pPr>
              <w:spacing w:after="0" w:line="240" w:lineRule="auto"/>
              <w:rPr>
                <w:rFonts w:ascii="Calibri" w:eastAsia="Times New Roman" w:hAnsi="Calibri" w:cs="Calibri"/>
                <w:color w:val="9C0006"/>
                <w:sz w:val="18"/>
                <w:szCs w:val="18"/>
                <w:lang w:eastAsia="en-AU"/>
              </w:rPr>
            </w:pPr>
            <w:r w:rsidRPr="00D52747">
              <w:rPr>
                <w:rFonts w:ascii="Calibri" w:eastAsia="Times New Roman" w:hAnsi="Calibri" w:cs="Calibri"/>
                <w:color w:val="9C0006"/>
                <w:sz w:val="18"/>
                <w:szCs w:val="18"/>
                <w:lang w:eastAsia="en-AU"/>
              </w:rPr>
              <w:t>Unclear</w:t>
            </w:r>
          </w:p>
        </w:tc>
      </w:tr>
      <w:tr w:rsidR="007E6186" w:rsidRPr="00D52747" w14:paraId="339EBAA3" w14:textId="77777777" w:rsidTr="00D6282B">
        <w:trPr>
          <w:trHeight w:val="900"/>
        </w:trPr>
        <w:tc>
          <w:tcPr>
            <w:tcW w:w="1843" w:type="dxa"/>
            <w:tcBorders>
              <w:top w:val="nil"/>
              <w:left w:val="nil"/>
              <w:bottom w:val="nil"/>
              <w:right w:val="nil"/>
            </w:tcBorders>
            <w:shd w:val="clear" w:color="000000" w:fill="FFEB9C"/>
            <w:hideMark/>
          </w:tcPr>
          <w:p w14:paraId="74E8E464" w14:textId="77777777" w:rsidR="007E6186" w:rsidRPr="00D52747" w:rsidRDefault="007E6186" w:rsidP="00D6282B">
            <w:pPr>
              <w:spacing w:after="0" w:line="240" w:lineRule="auto"/>
              <w:rPr>
                <w:rFonts w:ascii="Calibri" w:eastAsia="Times New Roman" w:hAnsi="Calibri" w:cs="Calibri"/>
                <w:color w:val="9C5700"/>
                <w:sz w:val="18"/>
                <w:szCs w:val="18"/>
                <w:lang w:eastAsia="en-AU"/>
              </w:rPr>
            </w:pPr>
            <w:r w:rsidRPr="00D52747">
              <w:rPr>
                <w:rFonts w:ascii="Calibri" w:eastAsia="Times New Roman" w:hAnsi="Calibri" w:cs="Calibri"/>
                <w:color w:val="9C5700"/>
                <w:sz w:val="18"/>
                <w:szCs w:val="18"/>
                <w:lang w:eastAsia="en-AU"/>
              </w:rPr>
              <w:t>Improving infrastructure in area with high potential for business growth</w:t>
            </w:r>
          </w:p>
        </w:tc>
        <w:tc>
          <w:tcPr>
            <w:tcW w:w="1190" w:type="dxa"/>
            <w:tcBorders>
              <w:top w:val="nil"/>
              <w:left w:val="nil"/>
              <w:bottom w:val="nil"/>
              <w:right w:val="nil"/>
            </w:tcBorders>
            <w:shd w:val="clear" w:color="000000" w:fill="FFEB9C"/>
            <w:hideMark/>
          </w:tcPr>
          <w:p w14:paraId="258EC48B" w14:textId="77777777" w:rsidR="007E6186" w:rsidRPr="00D52747" w:rsidRDefault="007E6186" w:rsidP="00D6282B">
            <w:pPr>
              <w:spacing w:after="0" w:line="240" w:lineRule="auto"/>
              <w:rPr>
                <w:rFonts w:ascii="Calibri" w:eastAsia="Times New Roman" w:hAnsi="Calibri" w:cs="Calibri"/>
                <w:color w:val="9C5700"/>
                <w:sz w:val="18"/>
                <w:szCs w:val="18"/>
                <w:lang w:eastAsia="en-AU"/>
              </w:rPr>
            </w:pPr>
            <w:r w:rsidRPr="00D52747">
              <w:rPr>
                <w:rFonts w:ascii="Calibri" w:eastAsia="Times New Roman" w:hAnsi="Calibri" w:cs="Calibri"/>
                <w:color w:val="9C5700"/>
                <w:sz w:val="18"/>
                <w:szCs w:val="18"/>
                <w:lang w:eastAsia="en-AU"/>
              </w:rPr>
              <w:t>C - Papua New Guinea</w:t>
            </w:r>
          </w:p>
        </w:tc>
        <w:tc>
          <w:tcPr>
            <w:tcW w:w="2779" w:type="dxa"/>
            <w:tcBorders>
              <w:top w:val="nil"/>
              <w:left w:val="nil"/>
              <w:bottom w:val="nil"/>
              <w:right w:val="nil"/>
            </w:tcBorders>
            <w:shd w:val="clear" w:color="000000" w:fill="FFEB9C"/>
            <w:hideMark/>
          </w:tcPr>
          <w:p w14:paraId="7116D7D8" w14:textId="77777777" w:rsidR="007E6186" w:rsidRPr="00D52747" w:rsidRDefault="007E6186" w:rsidP="00D6282B">
            <w:pPr>
              <w:spacing w:after="0" w:line="240" w:lineRule="auto"/>
              <w:rPr>
                <w:rFonts w:ascii="Calibri" w:eastAsia="Times New Roman" w:hAnsi="Calibri" w:cs="Calibri"/>
                <w:color w:val="9C5700"/>
                <w:sz w:val="18"/>
                <w:szCs w:val="18"/>
                <w:lang w:eastAsia="en-AU"/>
              </w:rPr>
            </w:pPr>
            <w:r w:rsidRPr="00D52747">
              <w:rPr>
                <w:rFonts w:ascii="Calibri" w:eastAsia="Times New Roman" w:hAnsi="Calibri" w:cs="Calibri"/>
                <w:color w:val="9C5700"/>
                <w:sz w:val="18"/>
                <w:szCs w:val="18"/>
                <w:lang w:eastAsia="en-AU"/>
              </w:rPr>
              <w:t>Redevelopment of waterfront into commercial precinct with public amenities</w:t>
            </w:r>
          </w:p>
        </w:tc>
        <w:tc>
          <w:tcPr>
            <w:tcW w:w="1985" w:type="dxa"/>
            <w:tcBorders>
              <w:top w:val="nil"/>
              <w:left w:val="nil"/>
              <w:bottom w:val="nil"/>
              <w:right w:val="nil"/>
            </w:tcBorders>
            <w:shd w:val="clear" w:color="auto" w:fill="auto"/>
            <w:hideMark/>
          </w:tcPr>
          <w:p w14:paraId="14636106"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r w:rsidRPr="00D52747">
              <w:rPr>
                <w:rFonts w:ascii="Calibri" w:eastAsia="Times New Roman" w:hAnsi="Calibri" w:cs="Calibri"/>
                <w:color w:val="000000"/>
                <w:sz w:val="18"/>
                <w:szCs w:val="18"/>
                <w:lang w:eastAsia="en-AU"/>
              </w:rPr>
              <w:t xml:space="preserve">Loan, at commercial rate but with long tenor </w:t>
            </w:r>
          </w:p>
        </w:tc>
        <w:tc>
          <w:tcPr>
            <w:tcW w:w="1275" w:type="dxa"/>
            <w:tcBorders>
              <w:top w:val="nil"/>
              <w:left w:val="nil"/>
              <w:bottom w:val="nil"/>
              <w:right w:val="nil"/>
            </w:tcBorders>
            <w:shd w:val="clear" w:color="000000" w:fill="FFC7CE"/>
            <w:hideMark/>
          </w:tcPr>
          <w:p w14:paraId="438DD7DB" w14:textId="77777777" w:rsidR="007E6186" w:rsidRPr="00D52747" w:rsidRDefault="007E6186" w:rsidP="00D6282B">
            <w:pPr>
              <w:spacing w:after="0" w:line="240" w:lineRule="auto"/>
              <w:rPr>
                <w:rFonts w:ascii="Calibri" w:eastAsia="Times New Roman" w:hAnsi="Calibri" w:cs="Calibri"/>
                <w:color w:val="9C0006"/>
                <w:sz w:val="18"/>
                <w:szCs w:val="18"/>
                <w:lang w:eastAsia="en-AU"/>
              </w:rPr>
            </w:pPr>
            <w:r w:rsidRPr="00D52747">
              <w:rPr>
                <w:rFonts w:ascii="Calibri" w:eastAsia="Times New Roman" w:hAnsi="Calibri" w:cs="Calibri"/>
                <w:color w:val="9C0006"/>
                <w:sz w:val="18"/>
                <w:szCs w:val="18"/>
                <w:lang w:eastAsia="en-AU"/>
              </w:rPr>
              <w:t>Unclear</w:t>
            </w:r>
          </w:p>
        </w:tc>
      </w:tr>
      <w:tr w:rsidR="007E6186" w:rsidRPr="00D52747" w14:paraId="0511D9DA" w14:textId="77777777" w:rsidTr="00D6282B">
        <w:trPr>
          <w:trHeight w:val="900"/>
        </w:trPr>
        <w:tc>
          <w:tcPr>
            <w:tcW w:w="1843" w:type="dxa"/>
            <w:tcBorders>
              <w:top w:val="nil"/>
              <w:left w:val="nil"/>
              <w:bottom w:val="nil"/>
              <w:right w:val="nil"/>
            </w:tcBorders>
            <w:shd w:val="clear" w:color="000000" w:fill="BDD7EE"/>
            <w:hideMark/>
          </w:tcPr>
          <w:p w14:paraId="6B6ABD07"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r w:rsidRPr="00D52747">
              <w:rPr>
                <w:rFonts w:ascii="Calibri" w:eastAsia="Times New Roman" w:hAnsi="Calibri" w:cs="Calibri"/>
                <w:color w:val="000000"/>
                <w:sz w:val="18"/>
                <w:szCs w:val="18"/>
                <w:lang w:eastAsia="en-AU"/>
              </w:rPr>
              <w:t xml:space="preserve">Agricultural development in </w:t>
            </w:r>
            <w:proofErr w:type="spellStart"/>
            <w:r w:rsidRPr="00D52747">
              <w:rPr>
                <w:rFonts w:ascii="Calibri" w:eastAsia="Times New Roman" w:hAnsi="Calibri" w:cs="Calibri"/>
                <w:color w:val="000000"/>
                <w:sz w:val="18"/>
                <w:szCs w:val="18"/>
                <w:lang w:eastAsia="en-AU"/>
              </w:rPr>
              <w:t>Morobe</w:t>
            </w:r>
            <w:proofErr w:type="spellEnd"/>
            <w:r w:rsidRPr="00D52747">
              <w:rPr>
                <w:rFonts w:ascii="Calibri" w:eastAsia="Times New Roman" w:hAnsi="Calibri" w:cs="Calibri"/>
                <w:color w:val="000000"/>
                <w:sz w:val="18"/>
                <w:szCs w:val="18"/>
                <w:lang w:eastAsia="en-AU"/>
              </w:rPr>
              <w:t xml:space="preserve"> province</w:t>
            </w:r>
          </w:p>
        </w:tc>
        <w:tc>
          <w:tcPr>
            <w:tcW w:w="1190" w:type="dxa"/>
            <w:tcBorders>
              <w:top w:val="nil"/>
              <w:left w:val="nil"/>
              <w:bottom w:val="nil"/>
              <w:right w:val="nil"/>
            </w:tcBorders>
            <w:shd w:val="clear" w:color="000000" w:fill="BDD7EE"/>
            <w:hideMark/>
          </w:tcPr>
          <w:p w14:paraId="78E2B01F"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r w:rsidRPr="00D52747">
              <w:rPr>
                <w:rFonts w:ascii="Calibri" w:eastAsia="Times New Roman" w:hAnsi="Calibri" w:cs="Calibri"/>
                <w:color w:val="000000"/>
                <w:sz w:val="18"/>
                <w:szCs w:val="18"/>
                <w:lang w:eastAsia="en-AU"/>
              </w:rPr>
              <w:t>C - Papua New Guinea</w:t>
            </w:r>
          </w:p>
        </w:tc>
        <w:tc>
          <w:tcPr>
            <w:tcW w:w="2779" w:type="dxa"/>
            <w:tcBorders>
              <w:top w:val="nil"/>
              <w:left w:val="nil"/>
              <w:bottom w:val="nil"/>
              <w:right w:val="nil"/>
            </w:tcBorders>
            <w:shd w:val="clear" w:color="000000" w:fill="BDD7EE"/>
            <w:hideMark/>
          </w:tcPr>
          <w:p w14:paraId="2B8B9BC2"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r w:rsidRPr="00D52747">
              <w:rPr>
                <w:rFonts w:ascii="Calibri" w:eastAsia="Times New Roman" w:hAnsi="Calibri" w:cs="Calibri"/>
                <w:color w:val="000000"/>
                <w:sz w:val="18"/>
                <w:szCs w:val="18"/>
                <w:lang w:eastAsia="en-AU"/>
              </w:rPr>
              <w:t>Finance for equity stake/s of national and perhaps provincial governments</w:t>
            </w:r>
          </w:p>
        </w:tc>
        <w:tc>
          <w:tcPr>
            <w:tcW w:w="1985" w:type="dxa"/>
            <w:tcBorders>
              <w:top w:val="nil"/>
              <w:left w:val="nil"/>
              <w:bottom w:val="nil"/>
              <w:right w:val="nil"/>
            </w:tcBorders>
            <w:shd w:val="clear" w:color="auto" w:fill="auto"/>
            <w:hideMark/>
          </w:tcPr>
          <w:p w14:paraId="25E33D1E"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r w:rsidRPr="00D52747">
              <w:rPr>
                <w:rFonts w:ascii="Calibri" w:eastAsia="Times New Roman" w:hAnsi="Calibri" w:cs="Calibri"/>
                <w:color w:val="000000"/>
                <w:sz w:val="18"/>
                <w:szCs w:val="18"/>
                <w:lang w:eastAsia="en-AU"/>
              </w:rPr>
              <w:t xml:space="preserve">Loan, perhaps at commercial rate but with long tenor </w:t>
            </w:r>
          </w:p>
        </w:tc>
        <w:tc>
          <w:tcPr>
            <w:tcW w:w="1275" w:type="dxa"/>
            <w:tcBorders>
              <w:top w:val="nil"/>
              <w:left w:val="nil"/>
              <w:bottom w:val="nil"/>
              <w:right w:val="nil"/>
            </w:tcBorders>
            <w:shd w:val="clear" w:color="000000" w:fill="DBDBDB"/>
            <w:hideMark/>
          </w:tcPr>
          <w:p w14:paraId="19AC60FF"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proofErr w:type="spellStart"/>
            <w:r w:rsidRPr="00D52747">
              <w:rPr>
                <w:rFonts w:ascii="Calibri" w:eastAsia="Times New Roman" w:hAnsi="Calibri" w:cs="Calibri"/>
                <w:color w:val="000000"/>
                <w:sz w:val="18"/>
                <w:szCs w:val="18"/>
                <w:lang w:eastAsia="en-AU"/>
              </w:rPr>
              <w:t>Trukai</w:t>
            </w:r>
            <w:proofErr w:type="spellEnd"/>
            <w:r w:rsidRPr="00D52747">
              <w:rPr>
                <w:rFonts w:ascii="Calibri" w:eastAsia="Times New Roman" w:hAnsi="Calibri" w:cs="Calibri"/>
                <w:color w:val="000000"/>
                <w:sz w:val="18"/>
                <w:szCs w:val="18"/>
                <w:lang w:eastAsia="en-AU"/>
              </w:rPr>
              <w:t xml:space="preserve">, owned by </w:t>
            </w:r>
            <w:proofErr w:type="spellStart"/>
            <w:r w:rsidRPr="00D52747">
              <w:rPr>
                <w:rFonts w:ascii="Calibri" w:eastAsia="Times New Roman" w:hAnsi="Calibri" w:cs="Calibri"/>
                <w:color w:val="000000"/>
                <w:sz w:val="18"/>
                <w:szCs w:val="18"/>
                <w:lang w:eastAsia="en-AU"/>
              </w:rPr>
              <w:t>Sunrice</w:t>
            </w:r>
            <w:proofErr w:type="spellEnd"/>
            <w:r w:rsidRPr="00D52747">
              <w:rPr>
                <w:rFonts w:ascii="Calibri" w:eastAsia="Times New Roman" w:hAnsi="Calibri" w:cs="Calibri"/>
                <w:color w:val="000000"/>
                <w:sz w:val="18"/>
                <w:szCs w:val="18"/>
                <w:lang w:eastAsia="en-AU"/>
              </w:rPr>
              <w:t xml:space="preserve"> (Aust)</w:t>
            </w:r>
          </w:p>
        </w:tc>
      </w:tr>
      <w:tr w:rsidR="007E6186" w:rsidRPr="00D52747" w14:paraId="32E0D563" w14:textId="77777777" w:rsidTr="00D6282B">
        <w:trPr>
          <w:trHeight w:val="1200"/>
        </w:trPr>
        <w:tc>
          <w:tcPr>
            <w:tcW w:w="1843" w:type="dxa"/>
            <w:tcBorders>
              <w:top w:val="nil"/>
              <w:left w:val="nil"/>
              <w:bottom w:val="nil"/>
              <w:right w:val="nil"/>
            </w:tcBorders>
            <w:shd w:val="clear" w:color="000000" w:fill="BDD7EE"/>
            <w:hideMark/>
          </w:tcPr>
          <w:p w14:paraId="18DF310D"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r w:rsidRPr="00D52747">
              <w:rPr>
                <w:rFonts w:ascii="Calibri" w:eastAsia="Times New Roman" w:hAnsi="Calibri" w:cs="Calibri"/>
                <w:color w:val="000000"/>
                <w:sz w:val="18"/>
                <w:szCs w:val="18"/>
                <w:lang w:eastAsia="en-AU"/>
              </w:rPr>
              <w:t>Improving infrastructure in a range of sectors</w:t>
            </w:r>
          </w:p>
        </w:tc>
        <w:tc>
          <w:tcPr>
            <w:tcW w:w="1190" w:type="dxa"/>
            <w:tcBorders>
              <w:top w:val="nil"/>
              <w:left w:val="nil"/>
              <w:bottom w:val="nil"/>
              <w:right w:val="nil"/>
            </w:tcBorders>
            <w:shd w:val="clear" w:color="000000" w:fill="BDD7EE"/>
            <w:hideMark/>
          </w:tcPr>
          <w:p w14:paraId="456983AF"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r w:rsidRPr="00D52747">
              <w:rPr>
                <w:rFonts w:ascii="Calibri" w:eastAsia="Times New Roman" w:hAnsi="Calibri" w:cs="Calibri"/>
                <w:color w:val="000000"/>
                <w:sz w:val="18"/>
                <w:szCs w:val="18"/>
                <w:lang w:eastAsia="en-AU"/>
              </w:rPr>
              <w:t>C - Papua New Guinea</w:t>
            </w:r>
          </w:p>
        </w:tc>
        <w:tc>
          <w:tcPr>
            <w:tcW w:w="2779" w:type="dxa"/>
            <w:tcBorders>
              <w:top w:val="nil"/>
              <w:left w:val="nil"/>
              <w:bottom w:val="nil"/>
              <w:right w:val="nil"/>
            </w:tcBorders>
            <w:shd w:val="clear" w:color="000000" w:fill="BDD7EE"/>
            <w:hideMark/>
          </w:tcPr>
          <w:p w14:paraId="7BEDA0BF"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r w:rsidRPr="00D52747">
              <w:rPr>
                <w:rFonts w:ascii="Calibri" w:eastAsia="Times New Roman" w:hAnsi="Calibri" w:cs="Calibri"/>
                <w:color w:val="000000"/>
                <w:sz w:val="18"/>
                <w:szCs w:val="18"/>
                <w:lang w:eastAsia="en-AU"/>
              </w:rPr>
              <w:t>Financing support for companies in PPPs or concession arrangements with SOEs</w:t>
            </w:r>
          </w:p>
        </w:tc>
        <w:tc>
          <w:tcPr>
            <w:tcW w:w="1985" w:type="dxa"/>
            <w:tcBorders>
              <w:top w:val="nil"/>
              <w:left w:val="nil"/>
              <w:bottom w:val="nil"/>
              <w:right w:val="nil"/>
            </w:tcBorders>
            <w:shd w:val="clear" w:color="000000" w:fill="F8CBAD"/>
            <w:hideMark/>
          </w:tcPr>
          <w:p w14:paraId="663CA6DC"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r w:rsidRPr="00D52747">
              <w:rPr>
                <w:rFonts w:ascii="Calibri" w:eastAsia="Times New Roman" w:hAnsi="Calibri" w:cs="Calibri"/>
                <w:color w:val="000000"/>
                <w:sz w:val="18"/>
                <w:szCs w:val="18"/>
                <w:lang w:eastAsia="en-AU"/>
              </w:rPr>
              <w:t>Partial guarantees of offtake contracts or companies' commercial debt - still unclear</w:t>
            </w:r>
          </w:p>
        </w:tc>
        <w:tc>
          <w:tcPr>
            <w:tcW w:w="1275" w:type="dxa"/>
            <w:tcBorders>
              <w:top w:val="nil"/>
              <w:left w:val="nil"/>
              <w:bottom w:val="nil"/>
              <w:right w:val="nil"/>
            </w:tcBorders>
            <w:shd w:val="clear" w:color="auto" w:fill="auto"/>
            <w:hideMark/>
          </w:tcPr>
          <w:p w14:paraId="3FDA4048"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r w:rsidRPr="00D52747">
              <w:rPr>
                <w:rFonts w:ascii="Calibri" w:eastAsia="Times New Roman" w:hAnsi="Calibri" w:cs="Calibri"/>
                <w:color w:val="000000"/>
                <w:sz w:val="18"/>
                <w:szCs w:val="18"/>
                <w:lang w:eastAsia="en-AU"/>
              </w:rPr>
              <w:t>ADB in RE, unclear elsewhere</w:t>
            </w:r>
          </w:p>
        </w:tc>
      </w:tr>
      <w:tr w:rsidR="007E6186" w:rsidRPr="00D52747" w14:paraId="4A4DBE6F" w14:textId="77777777" w:rsidTr="00D6282B">
        <w:trPr>
          <w:trHeight w:val="900"/>
        </w:trPr>
        <w:tc>
          <w:tcPr>
            <w:tcW w:w="1843" w:type="dxa"/>
            <w:tcBorders>
              <w:top w:val="nil"/>
              <w:left w:val="nil"/>
              <w:bottom w:val="nil"/>
              <w:right w:val="nil"/>
            </w:tcBorders>
            <w:shd w:val="clear" w:color="000000" w:fill="BDD7EE"/>
            <w:hideMark/>
          </w:tcPr>
          <w:p w14:paraId="7666F886"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r w:rsidRPr="00D52747">
              <w:rPr>
                <w:rFonts w:ascii="Calibri" w:eastAsia="Times New Roman" w:hAnsi="Calibri" w:cs="Calibri"/>
                <w:color w:val="000000"/>
                <w:sz w:val="18"/>
                <w:szCs w:val="18"/>
                <w:lang w:eastAsia="en-AU"/>
              </w:rPr>
              <w:t>Increasing national income through resource extraction</w:t>
            </w:r>
          </w:p>
        </w:tc>
        <w:tc>
          <w:tcPr>
            <w:tcW w:w="1190" w:type="dxa"/>
            <w:tcBorders>
              <w:top w:val="nil"/>
              <w:left w:val="nil"/>
              <w:bottom w:val="nil"/>
              <w:right w:val="nil"/>
            </w:tcBorders>
            <w:shd w:val="clear" w:color="000000" w:fill="BDD7EE"/>
            <w:hideMark/>
          </w:tcPr>
          <w:p w14:paraId="67592A68"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r w:rsidRPr="00D52747">
              <w:rPr>
                <w:rFonts w:ascii="Calibri" w:eastAsia="Times New Roman" w:hAnsi="Calibri" w:cs="Calibri"/>
                <w:color w:val="000000"/>
                <w:sz w:val="18"/>
                <w:szCs w:val="18"/>
                <w:lang w:eastAsia="en-AU"/>
              </w:rPr>
              <w:t>C - Papua New Guinea</w:t>
            </w:r>
          </w:p>
        </w:tc>
        <w:tc>
          <w:tcPr>
            <w:tcW w:w="2779" w:type="dxa"/>
            <w:tcBorders>
              <w:top w:val="nil"/>
              <w:left w:val="nil"/>
              <w:bottom w:val="nil"/>
              <w:right w:val="nil"/>
            </w:tcBorders>
            <w:shd w:val="clear" w:color="000000" w:fill="BDD7EE"/>
            <w:hideMark/>
          </w:tcPr>
          <w:p w14:paraId="62BCD030"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r w:rsidRPr="00D52747">
              <w:rPr>
                <w:rFonts w:ascii="Calibri" w:eastAsia="Times New Roman" w:hAnsi="Calibri" w:cs="Calibri"/>
                <w:color w:val="000000"/>
                <w:sz w:val="18"/>
                <w:szCs w:val="18"/>
                <w:lang w:eastAsia="en-AU"/>
              </w:rPr>
              <w:t>LNG #2 project</w:t>
            </w:r>
          </w:p>
        </w:tc>
        <w:tc>
          <w:tcPr>
            <w:tcW w:w="1985" w:type="dxa"/>
            <w:tcBorders>
              <w:top w:val="nil"/>
              <w:left w:val="nil"/>
              <w:bottom w:val="nil"/>
              <w:right w:val="nil"/>
            </w:tcBorders>
            <w:shd w:val="clear" w:color="auto" w:fill="auto"/>
            <w:hideMark/>
          </w:tcPr>
          <w:p w14:paraId="008BBDAC"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r w:rsidRPr="00D52747">
              <w:rPr>
                <w:rFonts w:ascii="Calibri" w:eastAsia="Times New Roman" w:hAnsi="Calibri" w:cs="Calibri"/>
                <w:color w:val="000000"/>
                <w:sz w:val="18"/>
                <w:szCs w:val="18"/>
                <w:lang w:eastAsia="en-AU"/>
              </w:rPr>
              <w:t>Loan for government equity</w:t>
            </w:r>
          </w:p>
        </w:tc>
        <w:tc>
          <w:tcPr>
            <w:tcW w:w="1275" w:type="dxa"/>
            <w:tcBorders>
              <w:top w:val="nil"/>
              <w:left w:val="nil"/>
              <w:bottom w:val="nil"/>
              <w:right w:val="nil"/>
            </w:tcBorders>
            <w:shd w:val="clear" w:color="000000" w:fill="FFC7CE"/>
            <w:hideMark/>
          </w:tcPr>
          <w:p w14:paraId="0BF8291C" w14:textId="77777777" w:rsidR="007E6186" w:rsidRPr="00D52747" w:rsidRDefault="007E6186" w:rsidP="00D6282B">
            <w:pPr>
              <w:spacing w:after="0" w:line="240" w:lineRule="auto"/>
              <w:rPr>
                <w:rFonts w:ascii="Calibri" w:eastAsia="Times New Roman" w:hAnsi="Calibri" w:cs="Calibri"/>
                <w:color w:val="9C0006"/>
                <w:sz w:val="18"/>
                <w:szCs w:val="18"/>
                <w:lang w:eastAsia="en-AU"/>
              </w:rPr>
            </w:pPr>
            <w:r w:rsidRPr="00D52747">
              <w:rPr>
                <w:rFonts w:ascii="Calibri" w:eastAsia="Times New Roman" w:hAnsi="Calibri" w:cs="Calibri"/>
                <w:color w:val="9C0006"/>
                <w:sz w:val="18"/>
                <w:szCs w:val="18"/>
                <w:lang w:eastAsia="en-AU"/>
              </w:rPr>
              <w:t>Unclear</w:t>
            </w:r>
          </w:p>
        </w:tc>
      </w:tr>
      <w:tr w:rsidR="007E6186" w:rsidRPr="00D52747" w14:paraId="40BBE31A" w14:textId="77777777" w:rsidTr="00D6282B">
        <w:trPr>
          <w:trHeight w:val="900"/>
        </w:trPr>
        <w:tc>
          <w:tcPr>
            <w:tcW w:w="1843" w:type="dxa"/>
            <w:tcBorders>
              <w:top w:val="nil"/>
              <w:left w:val="nil"/>
              <w:bottom w:val="nil"/>
              <w:right w:val="nil"/>
            </w:tcBorders>
            <w:shd w:val="clear" w:color="000000" w:fill="FFEB9C"/>
            <w:hideMark/>
          </w:tcPr>
          <w:p w14:paraId="238F948F" w14:textId="77777777" w:rsidR="007E6186" w:rsidRPr="00D52747" w:rsidRDefault="007E6186" w:rsidP="00D6282B">
            <w:pPr>
              <w:spacing w:after="0" w:line="240" w:lineRule="auto"/>
              <w:rPr>
                <w:rFonts w:ascii="Calibri" w:eastAsia="Times New Roman" w:hAnsi="Calibri" w:cs="Calibri"/>
                <w:color w:val="9C5700"/>
                <w:sz w:val="18"/>
                <w:szCs w:val="18"/>
                <w:lang w:eastAsia="en-AU"/>
              </w:rPr>
            </w:pPr>
            <w:r w:rsidRPr="00D52747">
              <w:rPr>
                <w:rFonts w:ascii="Calibri" w:eastAsia="Times New Roman" w:hAnsi="Calibri" w:cs="Calibri"/>
                <w:color w:val="9C5700"/>
                <w:sz w:val="18"/>
                <w:szCs w:val="18"/>
                <w:lang w:eastAsia="en-AU"/>
              </w:rPr>
              <w:t>Improving agricultural productivity</w:t>
            </w:r>
          </w:p>
        </w:tc>
        <w:tc>
          <w:tcPr>
            <w:tcW w:w="1190" w:type="dxa"/>
            <w:tcBorders>
              <w:top w:val="nil"/>
              <w:left w:val="nil"/>
              <w:bottom w:val="nil"/>
              <w:right w:val="nil"/>
            </w:tcBorders>
            <w:shd w:val="clear" w:color="000000" w:fill="FFEB9C"/>
            <w:hideMark/>
          </w:tcPr>
          <w:p w14:paraId="56430737" w14:textId="77777777" w:rsidR="007E6186" w:rsidRPr="00D52747" w:rsidRDefault="007E6186" w:rsidP="00D6282B">
            <w:pPr>
              <w:spacing w:after="0" w:line="240" w:lineRule="auto"/>
              <w:rPr>
                <w:rFonts w:ascii="Calibri" w:eastAsia="Times New Roman" w:hAnsi="Calibri" w:cs="Calibri"/>
                <w:color w:val="9C5700"/>
                <w:sz w:val="18"/>
                <w:szCs w:val="18"/>
                <w:lang w:eastAsia="en-AU"/>
              </w:rPr>
            </w:pPr>
            <w:r w:rsidRPr="00D52747">
              <w:rPr>
                <w:rFonts w:ascii="Calibri" w:eastAsia="Times New Roman" w:hAnsi="Calibri" w:cs="Calibri"/>
                <w:color w:val="9C5700"/>
                <w:sz w:val="18"/>
                <w:szCs w:val="18"/>
                <w:lang w:eastAsia="en-AU"/>
              </w:rPr>
              <w:t>C - Samoa</w:t>
            </w:r>
          </w:p>
        </w:tc>
        <w:tc>
          <w:tcPr>
            <w:tcW w:w="2779" w:type="dxa"/>
            <w:tcBorders>
              <w:top w:val="nil"/>
              <w:left w:val="nil"/>
              <w:bottom w:val="nil"/>
              <w:right w:val="nil"/>
            </w:tcBorders>
            <w:shd w:val="clear" w:color="000000" w:fill="FFEB9C"/>
            <w:hideMark/>
          </w:tcPr>
          <w:p w14:paraId="6478BDF1" w14:textId="77777777" w:rsidR="007E6186" w:rsidRPr="00D52747" w:rsidRDefault="007E6186" w:rsidP="00D6282B">
            <w:pPr>
              <w:spacing w:after="0" w:line="240" w:lineRule="auto"/>
              <w:rPr>
                <w:rFonts w:ascii="Calibri" w:eastAsia="Times New Roman" w:hAnsi="Calibri" w:cs="Calibri"/>
                <w:color w:val="9C5700"/>
                <w:sz w:val="18"/>
                <w:szCs w:val="18"/>
                <w:lang w:eastAsia="en-AU"/>
              </w:rPr>
            </w:pPr>
            <w:r w:rsidRPr="00D52747">
              <w:rPr>
                <w:rFonts w:ascii="Calibri" w:eastAsia="Times New Roman" w:hAnsi="Calibri" w:cs="Calibri"/>
                <w:color w:val="9C5700"/>
                <w:sz w:val="18"/>
                <w:szCs w:val="18"/>
                <w:lang w:eastAsia="en-AU"/>
              </w:rPr>
              <w:t>Loss-sharing for local banks lending to designated agribusiness SMEs</w:t>
            </w:r>
          </w:p>
        </w:tc>
        <w:tc>
          <w:tcPr>
            <w:tcW w:w="1985" w:type="dxa"/>
            <w:tcBorders>
              <w:top w:val="nil"/>
              <w:left w:val="nil"/>
              <w:bottom w:val="nil"/>
              <w:right w:val="nil"/>
            </w:tcBorders>
            <w:shd w:val="clear" w:color="000000" w:fill="F8CBAD"/>
            <w:hideMark/>
          </w:tcPr>
          <w:p w14:paraId="071BB526"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r w:rsidRPr="00D52747">
              <w:rPr>
                <w:rFonts w:ascii="Calibri" w:eastAsia="Times New Roman" w:hAnsi="Calibri" w:cs="Calibri"/>
                <w:color w:val="000000"/>
                <w:sz w:val="18"/>
                <w:szCs w:val="18"/>
                <w:lang w:eastAsia="en-AU"/>
              </w:rPr>
              <w:t>Returnable grant (currently by simple grant)</w:t>
            </w:r>
          </w:p>
        </w:tc>
        <w:tc>
          <w:tcPr>
            <w:tcW w:w="1275" w:type="dxa"/>
            <w:tcBorders>
              <w:top w:val="nil"/>
              <w:left w:val="nil"/>
              <w:bottom w:val="nil"/>
              <w:right w:val="nil"/>
            </w:tcBorders>
            <w:shd w:val="clear" w:color="auto" w:fill="auto"/>
            <w:hideMark/>
          </w:tcPr>
          <w:p w14:paraId="4D012A2D"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r w:rsidRPr="00D52747">
              <w:rPr>
                <w:rFonts w:ascii="Calibri" w:eastAsia="Times New Roman" w:hAnsi="Calibri" w:cs="Calibri"/>
                <w:color w:val="000000"/>
                <w:sz w:val="18"/>
                <w:szCs w:val="18"/>
                <w:lang w:eastAsia="en-AU"/>
              </w:rPr>
              <w:t>ADB</w:t>
            </w:r>
          </w:p>
        </w:tc>
      </w:tr>
      <w:tr w:rsidR="007E6186" w:rsidRPr="00D52747" w14:paraId="2F7B859F" w14:textId="77777777" w:rsidTr="00D6282B">
        <w:trPr>
          <w:trHeight w:val="1200"/>
        </w:trPr>
        <w:tc>
          <w:tcPr>
            <w:tcW w:w="1843" w:type="dxa"/>
            <w:tcBorders>
              <w:top w:val="nil"/>
              <w:left w:val="nil"/>
              <w:bottom w:val="nil"/>
              <w:right w:val="nil"/>
            </w:tcBorders>
            <w:shd w:val="clear" w:color="000000" w:fill="BDD7EE"/>
            <w:hideMark/>
          </w:tcPr>
          <w:p w14:paraId="030445B9"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r w:rsidRPr="00D52747">
              <w:rPr>
                <w:rFonts w:ascii="Calibri" w:eastAsia="Times New Roman" w:hAnsi="Calibri" w:cs="Calibri"/>
                <w:color w:val="000000"/>
                <w:sz w:val="18"/>
                <w:szCs w:val="18"/>
                <w:lang w:eastAsia="en-AU"/>
              </w:rPr>
              <w:t>Improving agricultural productivity</w:t>
            </w:r>
          </w:p>
        </w:tc>
        <w:tc>
          <w:tcPr>
            <w:tcW w:w="1190" w:type="dxa"/>
            <w:tcBorders>
              <w:top w:val="nil"/>
              <w:left w:val="nil"/>
              <w:bottom w:val="nil"/>
              <w:right w:val="nil"/>
            </w:tcBorders>
            <w:shd w:val="clear" w:color="000000" w:fill="BDD7EE"/>
            <w:hideMark/>
          </w:tcPr>
          <w:p w14:paraId="55F3858D"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r w:rsidRPr="00D52747">
              <w:rPr>
                <w:rFonts w:ascii="Calibri" w:eastAsia="Times New Roman" w:hAnsi="Calibri" w:cs="Calibri"/>
                <w:color w:val="000000"/>
                <w:sz w:val="18"/>
                <w:szCs w:val="18"/>
                <w:lang w:eastAsia="en-AU"/>
              </w:rPr>
              <w:t>C - Samoa</w:t>
            </w:r>
          </w:p>
        </w:tc>
        <w:tc>
          <w:tcPr>
            <w:tcW w:w="2779" w:type="dxa"/>
            <w:tcBorders>
              <w:top w:val="nil"/>
              <w:left w:val="nil"/>
              <w:bottom w:val="nil"/>
              <w:right w:val="nil"/>
            </w:tcBorders>
            <w:shd w:val="clear" w:color="000000" w:fill="BDD7EE"/>
            <w:hideMark/>
          </w:tcPr>
          <w:p w14:paraId="7A5746AA"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r w:rsidRPr="00D52747">
              <w:rPr>
                <w:rFonts w:ascii="Calibri" w:eastAsia="Times New Roman" w:hAnsi="Calibri" w:cs="Calibri"/>
                <w:color w:val="000000"/>
                <w:sz w:val="18"/>
                <w:szCs w:val="18"/>
                <w:lang w:eastAsia="en-AU"/>
              </w:rPr>
              <w:t xml:space="preserve">Loan finance for smallholder farmers </w:t>
            </w:r>
          </w:p>
        </w:tc>
        <w:tc>
          <w:tcPr>
            <w:tcW w:w="1985" w:type="dxa"/>
            <w:tcBorders>
              <w:top w:val="nil"/>
              <w:left w:val="nil"/>
              <w:bottom w:val="nil"/>
              <w:right w:val="nil"/>
            </w:tcBorders>
            <w:shd w:val="clear" w:color="auto" w:fill="auto"/>
            <w:hideMark/>
          </w:tcPr>
          <w:p w14:paraId="013EF3CE"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r w:rsidRPr="00D52747">
              <w:rPr>
                <w:rFonts w:ascii="Calibri" w:eastAsia="Times New Roman" w:hAnsi="Calibri" w:cs="Calibri"/>
                <w:color w:val="000000"/>
                <w:sz w:val="18"/>
                <w:szCs w:val="18"/>
                <w:lang w:eastAsia="en-AU"/>
              </w:rPr>
              <w:t>Concessional loans - still unclear</w:t>
            </w:r>
          </w:p>
        </w:tc>
        <w:tc>
          <w:tcPr>
            <w:tcW w:w="1275" w:type="dxa"/>
            <w:tcBorders>
              <w:top w:val="nil"/>
              <w:left w:val="nil"/>
              <w:bottom w:val="nil"/>
              <w:right w:val="nil"/>
            </w:tcBorders>
            <w:shd w:val="clear" w:color="000000" w:fill="FFC7CE"/>
            <w:hideMark/>
          </w:tcPr>
          <w:p w14:paraId="671BC5AE" w14:textId="4AFA8DD2" w:rsidR="007E6186" w:rsidRPr="00D52747" w:rsidRDefault="007E6186" w:rsidP="00D6282B">
            <w:pPr>
              <w:spacing w:after="0" w:line="240" w:lineRule="auto"/>
              <w:rPr>
                <w:rFonts w:ascii="Calibri" w:eastAsia="Times New Roman" w:hAnsi="Calibri" w:cs="Calibri"/>
                <w:color w:val="9C0006"/>
                <w:sz w:val="18"/>
                <w:szCs w:val="18"/>
                <w:lang w:eastAsia="en-AU"/>
              </w:rPr>
            </w:pPr>
            <w:r w:rsidRPr="00D52747">
              <w:rPr>
                <w:rFonts w:ascii="Calibri" w:eastAsia="Times New Roman" w:hAnsi="Calibri" w:cs="Calibri"/>
                <w:color w:val="9C0006"/>
                <w:sz w:val="18"/>
                <w:szCs w:val="18"/>
                <w:lang w:eastAsia="en-AU"/>
              </w:rPr>
              <w:t xml:space="preserve">small business enterprise </w:t>
            </w:r>
            <w:proofErr w:type="spellStart"/>
            <w:r w:rsidRPr="00D52747">
              <w:rPr>
                <w:rFonts w:ascii="Calibri" w:eastAsia="Times New Roman" w:hAnsi="Calibri" w:cs="Calibri"/>
                <w:color w:val="9C0006"/>
                <w:sz w:val="18"/>
                <w:szCs w:val="18"/>
                <w:lang w:eastAsia="en-AU"/>
              </w:rPr>
              <w:t>cent</w:t>
            </w:r>
            <w:r>
              <w:rPr>
                <w:rFonts w:ascii="Calibri" w:eastAsia="Times New Roman" w:hAnsi="Calibri" w:cs="Calibri"/>
                <w:color w:val="9C0006"/>
                <w:sz w:val="18"/>
                <w:szCs w:val="18"/>
                <w:lang w:eastAsia="en-AU"/>
              </w:rPr>
              <w:t>er</w:t>
            </w:r>
            <w:proofErr w:type="spellEnd"/>
          </w:p>
        </w:tc>
      </w:tr>
      <w:tr w:rsidR="007E6186" w:rsidRPr="00D52747" w14:paraId="525E93AC" w14:textId="77777777" w:rsidTr="00D6282B">
        <w:trPr>
          <w:trHeight w:val="900"/>
        </w:trPr>
        <w:tc>
          <w:tcPr>
            <w:tcW w:w="1843" w:type="dxa"/>
            <w:tcBorders>
              <w:top w:val="nil"/>
              <w:left w:val="nil"/>
              <w:bottom w:val="nil"/>
              <w:right w:val="nil"/>
            </w:tcBorders>
            <w:shd w:val="clear" w:color="000000" w:fill="FFEB9C"/>
            <w:hideMark/>
          </w:tcPr>
          <w:p w14:paraId="30C1E8CC" w14:textId="77777777" w:rsidR="007E6186" w:rsidRPr="00D52747" w:rsidRDefault="007E6186" w:rsidP="00D6282B">
            <w:pPr>
              <w:spacing w:after="0" w:line="240" w:lineRule="auto"/>
              <w:rPr>
                <w:rFonts w:ascii="Calibri" w:eastAsia="Times New Roman" w:hAnsi="Calibri" w:cs="Calibri"/>
                <w:color w:val="9C5700"/>
                <w:sz w:val="18"/>
                <w:szCs w:val="18"/>
                <w:lang w:eastAsia="en-AU"/>
              </w:rPr>
            </w:pPr>
            <w:r w:rsidRPr="00D52747">
              <w:rPr>
                <w:rFonts w:ascii="Calibri" w:eastAsia="Times New Roman" w:hAnsi="Calibri" w:cs="Calibri"/>
                <w:color w:val="9C5700"/>
                <w:sz w:val="18"/>
                <w:szCs w:val="18"/>
                <w:lang w:eastAsia="en-AU"/>
              </w:rPr>
              <w:t>Extending access to electricity</w:t>
            </w:r>
          </w:p>
        </w:tc>
        <w:tc>
          <w:tcPr>
            <w:tcW w:w="1190" w:type="dxa"/>
            <w:tcBorders>
              <w:top w:val="nil"/>
              <w:left w:val="nil"/>
              <w:bottom w:val="nil"/>
              <w:right w:val="nil"/>
            </w:tcBorders>
            <w:shd w:val="clear" w:color="000000" w:fill="FFEB9C"/>
            <w:hideMark/>
          </w:tcPr>
          <w:p w14:paraId="1A0CB141" w14:textId="77777777" w:rsidR="007E6186" w:rsidRPr="00D52747" w:rsidRDefault="007E6186" w:rsidP="00D6282B">
            <w:pPr>
              <w:spacing w:after="0" w:line="240" w:lineRule="auto"/>
              <w:rPr>
                <w:rFonts w:ascii="Calibri" w:eastAsia="Times New Roman" w:hAnsi="Calibri" w:cs="Calibri"/>
                <w:color w:val="9C5700"/>
                <w:sz w:val="18"/>
                <w:szCs w:val="18"/>
                <w:lang w:eastAsia="en-AU"/>
              </w:rPr>
            </w:pPr>
            <w:r w:rsidRPr="00D52747">
              <w:rPr>
                <w:rFonts w:ascii="Calibri" w:eastAsia="Times New Roman" w:hAnsi="Calibri" w:cs="Calibri"/>
                <w:color w:val="9C5700"/>
                <w:sz w:val="18"/>
                <w:szCs w:val="18"/>
                <w:lang w:eastAsia="en-AU"/>
              </w:rPr>
              <w:t>C - Solomon Islands</w:t>
            </w:r>
          </w:p>
        </w:tc>
        <w:tc>
          <w:tcPr>
            <w:tcW w:w="2779" w:type="dxa"/>
            <w:tcBorders>
              <w:top w:val="nil"/>
              <w:left w:val="nil"/>
              <w:bottom w:val="nil"/>
              <w:right w:val="nil"/>
            </w:tcBorders>
            <w:shd w:val="clear" w:color="000000" w:fill="FFEB9C"/>
            <w:hideMark/>
          </w:tcPr>
          <w:p w14:paraId="73F8C79A" w14:textId="77777777" w:rsidR="007E6186" w:rsidRPr="00D52747" w:rsidRDefault="007E6186" w:rsidP="00D6282B">
            <w:pPr>
              <w:spacing w:after="0" w:line="240" w:lineRule="auto"/>
              <w:rPr>
                <w:rFonts w:ascii="Calibri" w:eastAsia="Times New Roman" w:hAnsi="Calibri" w:cs="Calibri"/>
                <w:color w:val="9C5700"/>
                <w:sz w:val="18"/>
                <w:szCs w:val="18"/>
                <w:lang w:eastAsia="en-AU"/>
              </w:rPr>
            </w:pPr>
            <w:r w:rsidRPr="00D52747">
              <w:rPr>
                <w:rFonts w:ascii="Calibri" w:eastAsia="Times New Roman" w:hAnsi="Calibri" w:cs="Calibri"/>
                <w:color w:val="9C5700"/>
                <w:sz w:val="18"/>
                <w:szCs w:val="18"/>
                <w:lang w:eastAsia="en-AU"/>
              </w:rPr>
              <w:t>Tina River Hydro Power Project</w:t>
            </w:r>
          </w:p>
        </w:tc>
        <w:tc>
          <w:tcPr>
            <w:tcW w:w="1985" w:type="dxa"/>
            <w:tcBorders>
              <w:top w:val="nil"/>
              <w:left w:val="nil"/>
              <w:bottom w:val="nil"/>
              <w:right w:val="nil"/>
            </w:tcBorders>
            <w:shd w:val="clear" w:color="000000" w:fill="F8CBAD"/>
            <w:hideMark/>
          </w:tcPr>
          <w:p w14:paraId="2A0E599B"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r w:rsidRPr="00D52747">
              <w:rPr>
                <w:rFonts w:ascii="Calibri" w:eastAsia="Times New Roman" w:hAnsi="Calibri" w:cs="Calibri"/>
                <w:color w:val="000000"/>
                <w:sz w:val="18"/>
                <w:szCs w:val="18"/>
                <w:lang w:eastAsia="en-AU"/>
              </w:rPr>
              <w:t>Guarantee of offtake contract or SIG debt</w:t>
            </w:r>
          </w:p>
        </w:tc>
        <w:tc>
          <w:tcPr>
            <w:tcW w:w="1275" w:type="dxa"/>
            <w:tcBorders>
              <w:top w:val="nil"/>
              <w:left w:val="nil"/>
              <w:bottom w:val="nil"/>
              <w:right w:val="nil"/>
            </w:tcBorders>
            <w:shd w:val="clear" w:color="000000" w:fill="DBDBDB"/>
            <w:hideMark/>
          </w:tcPr>
          <w:p w14:paraId="03905020"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r w:rsidRPr="00D52747">
              <w:rPr>
                <w:rFonts w:ascii="Calibri" w:eastAsia="Times New Roman" w:hAnsi="Calibri" w:cs="Calibri"/>
                <w:color w:val="000000"/>
                <w:sz w:val="18"/>
                <w:szCs w:val="18"/>
                <w:lang w:eastAsia="en-AU"/>
              </w:rPr>
              <w:t>Korea Water Resources Corporation</w:t>
            </w:r>
          </w:p>
        </w:tc>
      </w:tr>
      <w:tr w:rsidR="007E6186" w:rsidRPr="00D52747" w14:paraId="6FC7EB34" w14:textId="77777777" w:rsidTr="00D6282B">
        <w:trPr>
          <w:trHeight w:val="600"/>
        </w:trPr>
        <w:tc>
          <w:tcPr>
            <w:tcW w:w="1843" w:type="dxa"/>
            <w:tcBorders>
              <w:top w:val="nil"/>
              <w:left w:val="nil"/>
              <w:bottom w:val="nil"/>
              <w:right w:val="nil"/>
            </w:tcBorders>
            <w:shd w:val="clear" w:color="000000" w:fill="BDD7EE"/>
            <w:hideMark/>
          </w:tcPr>
          <w:p w14:paraId="1154023B"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r w:rsidRPr="00D52747">
              <w:rPr>
                <w:rFonts w:ascii="Calibri" w:eastAsia="Times New Roman" w:hAnsi="Calibri" w:cs="Calibri"/>
                <w:color w:val="000000"/>
                <w:sz w:val="18"/>
                <w:szCs w:val="18"/>
                <w:lang w:eastAsia="en-AU"/>
              </w:rPr>
              <w:t>Extending access to communications</w:t>
            </w:r>
          </w:p>
        </w:tc>
        <w:tc>
          <w:tcPr>
            <w:tcW w:w="1190" w:type="dxa"/>
            <w:tcBorders>
              <w:top w:val="nil"/>
              <w:left w:val="nil"/>
              <w:bottom w:val="nil"/>
              <w:right w:val="nil"/>
            </w:tcBorders>
            <w:shd w:val="clear" w:color="000000" w:fill="BDD7EE"/>
            <w:hideMark/>
          </w:tcPr>
          <w:p w14:paraId="5EE6559E"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r w:rsidRPr="00D52747">
              <w:rPr>
                <w:rFonts w:ascii="Calibri" w:eastAsia="Times New Roman" w:hAnsi="Calibri" w:cs="Calibri"/>
                <w:color w:val="000000"/>
                <w:sz w:val="18"/>
                <w:szCs w:val="18"/>
                <w:lang w:eastAsia="en-AU"/>
              </w:rPr>
              <w:t>C - Solomon Islands</w:t>
            </w:r>
          </w:p>
        </w:tc>
        <w:tc>
          <w:tcPr>
            <w:tcW w:w="2779" w:type="dxa"/>
            <w:tcBorders>
              <w:top w:val="nil"/>
              <w:left w:val="nil"/>
              <w:bottom w:val="nil"/>
              <w:right w:val="nil"/>
            </w:tcBorders>
            <w:shd w:val="clear" w:color="000000" w:fill="BDD7EE"/>
            <w:hideMark/>
          </w:tcPr>
          <w:p w14:paraId="456F737A"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r w:rsidRPr="00D52747">
              <w:rPr>
                <w:rFonts w:ascii="Calibri" w:eastAsia="Times New Roman" w:hAnsi="Calibri" w:cs="Calibri"/>
                <w:color w:val="000000"/>
                <w:sz w:val="18"/>
                <w:szCs w:val="18"/>
                <w:lang w:eastAsia="en-AU"/>
              </w:rPr>
              <w:t>Domestic cable network</w:t>
            </w:r>
          </w:p>
        </w:tc>
        <w:tc>
          <w:tcPr>
            <w:tcW w:w="1985" w:type="dxa"/>
            <w:tcBorders>
              <w:top w:val="nil"/>
              <w:left w:val="nil"/>
              <w:bottom w:val="nil"/>
              <w:right w:val="nil"/>
            </w:tcBorders>
            <w:shd w:val="clear" w:color="000000" w:fill="F8CBAD"/>
            <w:hideMark/>
          </w:tcPr>
          <w:p w14:paraId="5FADEA6E"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r w:rsidRPr="00D52747">
              <w:rPr>
                <w:rFonts w:ascii="Calibri" w:eastAsia="Times New Roman" w:hAnsi="Calibri" w:cs="Calibri"/>
                <w:color w:val="000000"/>
                <w:sz w:val="18"/>
                <w:szCs w:val="18"/>
                <w:lang w:eastAsia="en-AU"/>
              </w:rPr>
              <w:t>Guarantee of offtake contract/s or SIG debt</w:t>
            </w:r>
          </w:p>
        </w:tc>
        <w:tc>
          <w:tcPr>
            <w:tcW w:w="1275" w:type="dxa"/>
            <w:tcBorders>
              <w:top w:val="nil"/>
              <w:left w:val="nil"/>
              <w:bottom w:val="nil"/>
              <w:right w:val="nil"/>
            </w:tcBorders>
            <w:shd w:val="clear" w:color="000000" w:fill="FFC7CE"/>
            <w:hideMark/>
          </w:tcPr>
          <w:p w14:paraId="2E07795F" w14:textId="77777777" w:rsidR="007E6186" w:rsidRPr="00D52747" w:rsidRDefault="007E6186" w:rsidP="00D6282B">
            <w:pPr>
              <w:spacing w:after="0" w:line="240" w:lineRule="auto"/>
              <w:rPr>
                <w:rFonts w:ascii="Calibri" w:eastAsia="Times New Roman" w:hAnsi="Calibri" w:cs="Calibri"/>
                <w:color w:val="9C0006"/>
                <w:sz w:val="18"/>
                <w:szCs w:val="18"/>
                <w:lang w:eastAsia="en-AU"/>
              </w:rPr>
            </w:pPr>
            <w:r w:rsidRPr="00D52747">
              <w:rPr>
                <w:rFonts w:ascii="Calibri" w:eastAsia="Times New Roman" w:hAnsi="Calibri" w:cs="Calibri"/>
                <w:color w:val="9C0006"/>
                <w:sz w:val="18"/>
                <w:szCs w:val="18"/>
                <w:lang w:eastAsia="en-AU"/>
              </w:rPr>
              <w:t>Unclear</w:t>
            </w:r>
          </w:p>
        </w:tc>
      </w:tr>
      <w:tr w:rsidR="007E6186" w:rsidRPr="00D52747" w14:paraId="02321925" w14:textId="77777777" w:rsidTr="00D6282B">
        <w:trPr>
          <w:trHeight w:val="1050"/>
        </w:trPr>
        <w:tc>
          <w:tcPr>
            <w:tcW w:w="1843" w:type="dxa"/>
            <w:tcBorders>
              <w:top w:val="nil"/>
              <w:left w:val="nil"/>
              <w:bottom w:val="nil"/>
              <w:right w:val="nil"/>
            </w:tcBorders>
            <w:shd w:val="clear" w:color="000000" w:fill="FFEB9C"/>
            <w:hideMark/>
          </w:tcPr>
          <w:p w14:paraId="639724D9" w14:textId="77777777" w:rsidR="007E6186" w:rsidRPr="00D52747" w:rsidRDefault="007E6186" w:rsidP="00D6282B">
            <w:pPr>
              <w:spacing w:after="0" w:line="240" w:lineRule="auto"/>
              <w:rPr>
                <w:rFonts w:ascii="Calibri" w:eastAsia="Times New Roman" w:hAnsi="Calibri" w:cs="Calibri"/>
                <w:color w:val="9C5700"/>
                <w:sz w:val="18"/>
                <w:szCs w:val="18"/>
                <w:lang w:eastAsia="en-AU"/>
              </w:rPr>
            </w:pPr>
            <w:r w:rsidRPr="00D52747">
              <w:rPr>
                <w:rFonts w:ascii="Calibri" w:eastAsia="Times New Roman" w:hAnsi="Calibri" w:cs="Calibri"/>
                <w:color w:val="9C5700"/>
                <w:sz w:val="18"/>
                <w:szCs w:val="18"/>
                <w:lang w:eastAsia="en-AU"/>
              </w:rPr>
              <w:t>Growth through revenue and employment</w:t>
            </w:r>
          </w:p>
        </w:tc>
        <w:tc>
          <w:tcPr>
            <w:tcW w:w="1190" w:type="dxa"/>
            <w:tcBorders>
              <w:top w:val="nil"/>
              <w:left w:val="nil"/>
              <w:bottom w:val="nil"/>
              <w:right w:val="nil"/>
            </w:tcBorders>
            <w:shd w:val="clear" w:color="000000" w:fill="FFEB9C"/>
            <w:hideMark/>
          </w:tcPr>
          <w:p w14:paraId="386D7585" w14:textId="77777777" w:rsidR="007E6186" w:rsidRPr="00D52747" w:rsidRDefault="007E6186" w:rsidP="00D6282B">
            <w:pPr>
              <w:spacing w:after="0" w:line="240" w:lineRule="auto"/>
              <w:rPr>
                <w:rFonts w:ascii="Calibri" w:eastAsia="Times New Roman" w:hAnsi="Calibri" w:cs="Calibri"/>
                <w:color w:val="9C5700"/>
                <w:sz w:val="18"/>
                <w:szCs w:val="18"/>
                <w:lang w:eastAsia="en-AU"/>
              </w:rPr>
            </w:pPr>
            <w:r w:rsidRPr="00D52747">
              <w:rPr>
                <w:rFonts w:ascii="Calibri" w:eastAsia="Times New Roman" w:hAnsi="Calibri" w:cs="Calibri"/>
                <w:color w:val="9C5700"/>
                <w:sz w:val="18"/>
                <w:szCs w:val="18"/>
                <w:lang w:eastAsia="en-AU"/>
              </w:rPr>
              <w:t>C - Solomon Islands</w:t>
            </w:r>
          </w:p>
        </w:tc>
        <w:tc>
          <w:tcPr>
            <w:tcW w:w="2779" w:type="dxa"/>
            <w:tcBorders>
              <w:top w:val="nil"/>
              <w:left w:val="nil"/>
              <w:bottom w:val="nil"/>
              <w:right w:val="nil"/>
            </w:tcBorders>
            <w:shd w:val="clear" w:color="000000" w:fill="FFEB9C"/>
            <w:hideMark/>
          </w:tcPr>
          <w:p w14:paraId="5A423D3E" w14:textId="77777777" w:rsidR="007E6186" w:rsidRPr="00D52747" w:rsidRDefault="007E6186" w:rsidP="00D6282B">
            <w:pPr>
              <w:spacing w:after="0" w:line="240" w:lineRule="auto"/>
              <w:rPr>
                <w:rFonts w:ascii="Calibri" w:eastAsia="Times New Roman" w:hAnsi="Calibri" w:cs="Calibri"/>
                <w:color w:val="9C5700"/>
                <w:sz w:val="18"/>
                <w:szCs w:val="18"/>
                <w:lang w:eastAsia="en-AU"/>
              </w:rPr>
            </w:pPr>
            <w:r w:rsidRPr="00D52747">
              <w:rPr>
                <w:rFonts w:ascii="Calibri" w:eastAsia="Times New Roman" w:hAnsi="Calibri" w:cs="Calibri"/>
                <w:color w:val="9C5700"/>
                <w:sz w:val="18"/>
                <w:szCs w:val="18"/>
                <w:lang w:eastAsia="en-AU"/>
              </w:rPr>
              <w:t>Mining development at San Jorge in Isabel</w:t>
            </w:r>
          </w:p>
        </w:tc>
        <w:tc>
          <w:tcPr>
            <w:tcW w:w="1985" w:type="dxa"/>
            <w:tcBorders>
              <w:top w:val="nil"/>
              <w:left w:val="nil"/>
              <w:bottom w:val="nil"/>
              <w:right w:val="nil"/>
            </w:tcBorders>
            <w:shd w:val="clear" w:color="auto" w:fill="auto"/>
            <w:hideMark/>
          </w:tcPr>
          <w:p w14:paraId="3A3449C4"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r w:rsidRPr="00D52747">
              <w:rPr>
                <w:rFonts w:ascii="Calibri" w:eastAsia="Times New Roman" w:hAnsi="Calibri" w:cs="Calibri"/>
                <w:color w:val="000000"/>
                <w:sz w:val="18"/>
                <w:szCs w:val="18"/>
                <w:lang w:eastAsia="en-AU"/>
              </w:rPr>
              <w:t>Concessional loan for infrastructure - still unclear</w:t>
            </w:r>
          </w:p>
        </w:tc>
        <w:tc>
          <w:tcPr>
            <w:tcW w:w="1275" w:type="dxa"/>
            <w:tcBorders>
              <w:top w:val="nil"/>
              <w:left w:val="nil"/>
              <w:bottom w:val="nil"/>
              <w:right w:val="nil"/>
            </w:tcBorders>
            <w:shd w:val="clear" w:color="000000" w:fill="DBDBDB"/>
            <w:hideMark/>
          </w:tcPr>
          <w:p w14:paraId="02FEC0AB"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r w:rsidRPr="00D52747">
              <w:rPr>
                <w:rFonts w:ascii="Calibri" w:eastAsia="Times New Roman" w:hAnsi="Calibri" w:cs="Calibri"/>
                <w:color w:val="000000"/>
                <w:sz w:val="18"/>
                <w:szCs w:val="18"/>
                <w:lang w:eastAsia="en-AU"/>
              </w:rPr>
              <w:t>Axiom (Australian company)</w:t>
            </w:r>
          </w:p>
        </w:tc>
      </w:tr>
      <w:tr w:rsidR="007E6186" w:rsidRPr="00D52747" w14:paraId="4AF9B766" w14:textId="77777777" w:rsidTr="00D6282B">
        <w:trPr>
          <w:trHeight w:val="900"/>
        </w:trPr>
        <w:tc>
          <w:tcPr>
            <w:tcW w:w="1843" w:type="dxa"/>
            <w:tcBorders>
              <w:top w:val="nil"/>
              <w:left w:val="nil"/>
              <w:bottom w:val="nil"/>
              <w:right w:val="nil"/>
            </w:tcBorders>
            <w:shd w:val="clear" w:color="000000" w:fill="BDD7EE"/>
            <w:hideMark/>
          </w:tcPr>
          <w:p w14:paraId="56FB5CAF"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r w:rsidRPr="00D52747">
              <w:rPr>
                <w:rFonts w:ascii="Calibri" w:eastAsia="Times New Roman" w:hAnsi="Calibri" w:cs="Calibri"/>
                <w:color w:val="000000"/>
                <w:sz w:val="18"/>
                <w:szCs w:val="18"/>
                <w:lang w:eastAsia="en-AU"/>
              </w:rPr>
              <w:t>Improving agricultural productivity or infrastructure</w:t>
            </w:r>
          </w:p>
        </w:tc>
        <w:tc>
          <w:tcPr>
            <w:tcW w:w="1190" w:type="dxa"/>
            <w:tcBorders>
              <w:top w:val="nil"/>
              <w:left w:val="nil"/>
              <w:bottom w:val="nil"/>
              <w:right w:val="nil"/>
            </w:tcBorders>
            <w:shd w:val="clear" w:color="000000" w:fill="BDD7EE"/>
            <w:hideMark/>
          </w:tcPr>
          <w:p w14:paraId="041F97EA"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r w:rsidRPr="00D52747">
              <w:rPr>
                <w:rFonts w:ascii="Calibri" w:eastAsia="Times New Roman" w:hAnsi="Calibri" w:cs="Calibri"/>
                <w:color w:val="000000"/>
                <w:sz w:val="18"/>
                <w:szCs w:val="18"/>
                <w:lang w:eastAsia="en-AU"/>
              </w:rPr>
              <w:t>C - Vanuatu</w:t>
            </w:r>
          </w:p>
        </w:tc>
        <w:tc>
          <w:tcPr>
            <w:tcW w:w="2779" w:type="dxa"/>
            <w:tcBorders>
              <w:top w:val="nil"/>
              <w:left w:val="nil"/>
              <w:bottom w:val="nil"/>
              <w:right w:val="nil"/>
            </w:tcBorders>
            <w:shd w:val="clear" w:color="000000" w:fill="BDD7EE"/>
            <w:hideMark/>
          </w:tcPr>
          <w:p w14:paraId="4B139EE2"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r w:rsidRPr="00D52747">
              <w:rPr>
                <w:rFonts w:ascii="Calibri" w:eastAsia="Times New Roman" w:hAnsi="Calibri" w:cs="Calibri"/>
                <w:color w:val="000000"/>
                <w:sz w:val="18"/>
                <w:szCs w:val="18"/>
                <w:lang w:eastAsia="en-AU"/>
              </w:rPr>
              <w:t>Projects identified by MDBs but too small or slow-moving for them to lend</w:t>
            </w:r>
          </w:p>
        </w:tc>
        <w:tc>
          <w:tcPr>
            <w:tcW w:w="1985" w:type="dxa"/>
            <w:tcBorders>
              <w:top w:val="nil"/>
              <w:left w:val="nil"/>
              <w:bottom w:val="nil"/>
              <w:right w:val="nil"/>
            </w:tcBorders>
            <w:shd w:val="clear" w:color="auto" w:fill="auto"/>
            <w:vAlign w:val="bottom"/>
            <w:hideMark/>
          </w:tcPr>
          <w:p w14:paraId="4AC32AC1"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r w:rsidRPr="00D52747">
              <w:rPr>
                <w:rFonts w:ascii="Calibri" w:eastAsia="Times New Roman" w:hAnsi="Calibri" w:cs="Calibri"/>
                <w:color w:val="000000"/>
                <w:sz w:val="18"/>
                <w:szCs w:val="18"/>
                <w:lang w:eastAsia="en-AU"/>
              </w:rPr>
              <w:t>Loans, on commercial or concessional terms according to need</w:t>
            </w:r>
          </w:p>
        </w:tc>
        <w:tc>
          <w:tcPr>
            <w:tcW w:w="1275" w:type="dxa"/>
            <w:tcBorders>
              <w:top w:val="nil"/>
              <w:left w:val="nil"/>
              <w:bottom w:val="nil"/>
              <w:right w:val="nil"/>
            </w:tcBorders>
            <w:shd w:val="clear" w:color="auto" w:fill="auto"/>
            <w:hideMark/>
          </w:tcPr>
          <w:p w14:paraId="3C4C021C"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r w:rsidRPr="00D52747">
              <w:rPr>
                <w:rFonts w:ascii="Calibri" w:eastAsia="Times New Roman" w:hAnsi="Calibri" w:cs="Calibri"/>
                <w:color w:val="000000"/>
                <w:sz w:val="18"/>
                <w:szCs w:val="18"/>
                <w:lang w:eastAsia="en-AU"/>
              </w:rPr>
              <w:t>IFC or ADB to pre-feasibility stage</w:t>
            </w:r>
          </w:p>
        </w:tc>
      </w:tr>
      <w:tr w:rsidR="007E6186" w:rsidRPr="00D52747" w14:paraId="71DA706B" w14:textId="77777777" w:rsidTr="00D6282B">
        <w:trPr>
          <w:trHeight w:val="1200"/>
        </w:trPr>
        <w:tc>
          <w:tcPr>
            <w:tcW w:w="1843" w:type="dxa"/>
            <w:tcBorders>
              <w:top w:val="nil"/>
              <w:left w:val="nil"/>
              <w:bottom w:val="nil"/>
              <w:right w:val="nil"/>
            </w:tcBorders>
            <w:shd w:val="clear" w:color="000000" w:fill="BDD7EE"/>
            <w:hideMark/>
          </w:tcPr>
          <w:p w14:paraId="68FDABFA"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r w:rsidRPr="00D52747">
              <w:rPr>
                <w:rFonts w:ascii="Calibri" w:eastAsia="Times New Roman" w:hAnsi="Calibri" w:cs="Calibri"/>
                <w:color w:val="000000"/>
                <w:sz w:val="18"/>
                <w:szCs w:val="18"/>
                <w:lang w:eastAsia="en-AU"/>
              </w:rPr>
              <w:lastRenderedPageBreak/>
              <w:t>Improving agricultural productivity or infrastructure</w:t>
            </w:r>
          </w:p>
        </w:tc>
        <w:tc>
          <w:tcPr>
            <w:tcW w:w="1190" w:type="dxa"/>
            <w:tcBorders>
              <w:top w:val="nil"/>
              <w:left w:val="nil"/>
              <w:bottom w:val="nil"/>
              <w:right w:val="nil"/>
            </w:tcBorders>
            <w:shd w:val="clear" w:color="000000" w:fill="BDD7EE"/>
            <w:noWrap/>
            <w:hideMark/>
          </w:tcPr>
          <w:p w14:paraId="66BB938C"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r w:rsidRPr="00D52747">
              <w:rPr>
                <w:rFonts w:ascii="Calibri" w:eastAsia="Times New Roman" w:hAnsi="Calibri" w:cs="Calibri"/>
                <w:color w:val="000000"/>
                <w:sz w:val="18"/>
                <w:szCs w:val="18"/>
                <w:lang w:eastAsia="en-AU"/>
              </w:rPr>
              <w:t>C - Vanuatu</w:t>
            </w:r>
          </w:p>
        </w:tc>
        <w:tc>
          <w:tcPr>
            <w:tcW w:w="2779" w:type="dxa"/>
            <w:tcBorders>
              <w:top w:val="nil"/>
              <w:left w:val="nil"/>
              <w:bottom w:val="nil"/>
              <w:right w:val="nil"/>
            </w:tcBorders>
            <w:shd w:val="clear" w:color="000000" w:fill="BDD7EE"/>
            <w:hideMark/>
          </w:tcPr>
          <w:p w14:paraId="45185A1F"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r w:rsidRPr="00D52747">
              <w:rPr>
                <w:rFonts w:ascii="Calibri" w:eastAsia="Times New Roman" w:hAnsi="Calibri" w:cs="Calibri"/>
                <w:color w:val="000000"/>
                <w:sz w:val="18"/>
                <w:szCs w:val="18"/>
                <w:lang w:eastAsia="en-AU"/>
              </w:rPr>
              <w:t>Co-investing with National Provident Fund (NPF)</w:t>
            </w:r>
          </w:p>
        </w:tc>
        <w:tc>
          <w:tcPr>
            <w:tcW w:w="1985" w:type="dxa"/>
            <w:tcBorders>
              <w:top w:val="nil"/>
              <w:left w:val="nil"/>
              <w:bottom w:val="nil"/>
              <w:right w:val="nil"/>
            </w:tcBorders>
            <w:shd w:val="clear" w:color="000000" w:fill="F8CBAD"/>
            <w:hideMark/>
          </w:tcPr>
          <w:p w14:paraId="52461F31"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r w:rsidRPr="00D52747">
              <w:rPr>
                <w:rFonts w:ascii="Calibri" w:eastAsia="Times New Roman" w:hAnsi="Calibri" w:cs="Calibri"/>
                <w:color w:val="000000"/>
                <w:sz w:val="18"/>
                <w:szCs w:val="18"/>
                <w:lang w:eastAsia="en-AU"/>
              </w:rPr>
              <w:t>Equity co-investments through local fund</w:t>
            </w:r>
          </w:p>
        </w:tc>
        <w:tc>
          <w:tcPr>
            <w:tcW w:w="1275" w:type="dxa"/>
            <w:tcBorders>
              <w:top w:val="nil"/>
              <w:left w:val="nil"/>
              <w:bottom w:val="nil"/>
              <w:right w:val="nil"/>
            </w:tcBorders>
            <w:shd w:val="clear" w:color="000000" w:fill="DBDBDB"/>
            <w:hideMark/>
          </w:tcPr>
          <w:p w14:paraId="67278306"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r w:rsidRPr="00D52747">
              <w:rPr>
                <w:rFonts w:ascii="Calibri" w:eastAsia="Times New Roman" w:hAnsi="Calibri" w:cs="Calibri"/>
                <w:color w:val="000000"/>
                <w:sz w:val="18"/>
                <w:szCs w:val="18"/>
                <w:lang w:eastAsia="en-AU"/>
              </w:rPr>
              <w:t>National Provident Fund, if confirmed on improved path</w:t>
            </w:r>
          </w:p>
        </w:tc>
      </w:tr>
      <w:tr w:rsidR="007E6186" w:rsidRPr="00D52747" w14:paraId="6590C368" w14:textId="77777777" w:rsidTr="00D6282B">
        <w:trPr>
          <w:trHeight w:val="1200"/>
        </w:trPr>
        <w:tc>
          <w:tcPr>
            <w:tcW w:w="1843" w:type="dxa"/>
            <w:tcBorders>
              <w:top w:val="nil"/>
              <w:left w:val="nil"/>
              <w:bottom w:val="nil"/>
              <w:right w:val="nil"/>
            </w:tcBorders>
            <w:shd w:val="clear" w:color="000000" w:fill="BDD7EE"/>
            <w:hideMark/>
          </w:tcPr>
          <w:p w14:paraId="6417A0A5"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r w:rsidRPr="00D52747">
              <w:rPr>
                <w:rFonts w:ascii="Calibri" w:eastAsia="Times New Roman" w:hAnsi="Calibri" w:cs="Calibri"/>
                <w:color w:val="000000"/>
                <w:sz w:val="18"/>
                <w:szCs w:val="18"/>
                <w:lang w:eastAsia="en-AU"/>
              </w:rPr>
              <w:t xml:space="preserve">Extending access to utilities - telecoms, electricity, </w:t>
            </w:r>
            <w:proofErr w:type="gramStart"/>
            <w:r w:rsidRPr="00D52747">
              <w:rPr>
                <w:rFonts w:ascii="Calibri" w:eastAsia="Times New Roman" w:hAnsi="Calibri" w:cs="Calibri"/>
                <w:color w:val="000000"/>
                <w:sz w:val="18"/>
                <w:szCs w:val="18"/>
                <w:lang w:eastAsia="en-AU"/>
              </w:rPr>
              <w:t>water</w:t>
            </w:r>
            <w:proofErr w:type="gramEnd"/>
            <w:r w:rsidRPr="00D52747">
              <w:rPr>
                <w:rFonts w:ascii="Calibri" w:eastAsia="Times New Roman" w:hAnsi="Calibri" w:cs="Calibri"/>
                <w:color w:val="000000"/>
                <w:sz w:val="18"/>
                <w:szCs w:val="18"/>
                <w:lang w:eastAsia="en-AU"/>
              </w:rPr>
              <w:t xml:space="preserve"> or transport </w:t>
            </w:r>
          </w:p>
        </w:tc>
        <w:tc>
          <w:tcPr>
            <w:tcW w:w="1190" w:type="dxa"/>
            <w:tcBorders>
              <w:top w:val="nil"/>
              <w:left w:val="nil"/>
              <w:bottom w:val="nil"/>
              <w:right w:val="nil"/>
            </w:tcBorders>
            <w:shd w:val="clear" w:color="000000" w:fill="BDD7EE"/>
            <w:noWrap/>
            <w:hideMark/>
          </w:tcPr>
          <w:p w14:paraId="797AC9CE"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r w:rsidRPr="00D52747">
              <w:rPr>
                <w:rFonts w:ascii="Calibri" w:eastAsia="Times New Roman" w:hAnsi="Calibri" w:cs="Calibri"/>
                <w:color w:val="000000"/>
                <w:sz w:val="18"/>
                <w:szCs w:val="18"/>
                <w:lang w:eastAsia="en-AU"/>
              </w:rPr>
              <w:t>C - Vanuatu</w:t>
            </w:r>
          </w:p>
        </w:tc>
        <w:tc>
          <w:tcPr>
            <w:tcW w:w="2779" w:type="dxa"/>
            <w:tcBorders>
              <w:top w:val="nil"/>
              <w:left w:val="nil"/>
              <w:bottom w:val="nil"/>
              <w:right w:val="nil"/>
            </w:tcBorders>
            <w:shd w:val="clear" w:color="000000" w:fill="BDD7EE"/>
            <w:hideMark/>
          </w:tcPr>
          <w:p w14:paraId="769CEB4E"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r w:rsidRPr="00D52747">
              <w:rPr>
                <w:rFonts w:ascii="Calibri" w:eastAsia="Times New Roman" w:hAnsi="Calibri" w:cs="Calibri"/>
                <w:color w:val="000000"/>
                <w:sz w:val="18"/>
                <w:szCs w:val="18"/>
                <w:lang w:eastAsia="en-AU"/>
              </w:rPr>
              <w:t>Support for company-led projects to improve or expand infrastructure</w:t>
            </w:r>
          </w:p>
        </w:tc>
        <w:tc>
          <w:tcPr>
            <w:tcW w:w="1985" w:type="dxa"/>
            <w:tcBorders>
              <w:top w:val="nil"/>
              <w:left w:val="nil"/>
              <w:bottom w:val="nil"/>
              <w:right w:val="nil"/>
            </w:tcBorders>
            <w:shd w:val="clear" w:color="000000" w:fill="F8CBAD"/>
            <w:hideMark/>
          </w:tcPr>
          <w:p w14:paraId="7CFBF8C2"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r w:rsidRPr="00D52747">
              <w:rPr>
                <w:rFonts w:ascii="Calibri" w:eastAsia="Times New Roman" w:hAnsi="Calibri" w:cs="Calibri"/>
                <w:color w:val="000000"/>
                <w:sz w:val="18"/>
                <w:szCs w:val="18"/>
                <w:lang w:eastAsia="en-AU"/>
              </w:rPr>
              <w:t>Guarantee of offtake or availability payments - still unclear</w:t>
            </w:r>
          </w:p>
        </w:tc>
        <w:tc>
          <w:tcPr>
            <w:tcW w:w="1275" w:type="dxa"/>
            <w:tcBorders>
              <w:top w:val="nil"/>
              <w:left w:val="nil"/>
              <w:bottom w:val="nil"/>
              <w:right w:val="nil"/>
            </w:tcBorders>
            <w:shd w:val="clear" w:color="auto" w:fill="auto"/>
            <w:hideMark/>
          </w:tcPr>
          <w:p w14:paraId="69831A31"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r w:rsidRPr="00D52747">
              <w:rPr>
                <w:rFonts w:ascii="Calibri" w:eastAsia="Times New Roman" w:hAnsi="Calibri" w:cs="Calibri"/>
                <w:color w:val="000000"/>
                <w:sz w:val="18"/>
                <w:szCs w:val="18"/>
                <w:lang w:eastAsia="en-AU"/>
              </w:rPr>
              <w:t>IFC or ADB</w:t>
            </w:r>
          </w:p>
        </w:tc>
      </w:tr>
      <w:tr w:rsidR="007E6186" w:rsidRPr="00D52747" w14:paraId="2DC6D4F5" w14:textId="77777777" w:rsidTr="00D6282B">
        <w:trPr>
          <w:trHeight w:val="300"/>
        </w:trPr>
        <w:tc>
          <w:tcPr>
            <w:tcW w:w="1843" w:type="dxa"/>
            <w:tcBorders>
              <w:top w:val="nil"/>
              <w:left w:val="nil"/>
              <w:bottom w:val="nil"/>
              <w:right w:val="nil"/>
            </w:tcBorders>
            <w:shd w:val="clear" w:color="auto" w:fill="auto"/>
            <w:noWrap/>
            <w:vAlign w:val="bottom"/>
            <w:hideMark/>
          </w:tcPr>
          <w:p w14:paraId="7DA5656A"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p>
        </w:tc>
        <w:tc>
          <w:tcPr>
            <w:tcW w:w="1190" w:type="dxa"/>
            <w:tcBorders>
              <w:top w:val="nil"/>
              <w:left w:val="nil"/>
              <w:bottom w:val="nil"/>
              <w:right w:val="nil"/>
            </w:tcBorders>
            <w:shd w:val="clear" w:color="auto" w:fill="auto"/>
            <w:noWrap/>
            <w:vAlign w:val="bottom"/>
            <w:hideMark/>
          </w:tcPr>
          <w:p w14:paraId="4D307E48" w14:textId="77777777" w:rsidR="007E6186" w:rsidRPr="00D52747" w:rsidRDefault="007E6186" w:rsidP="00D6282B">
            <w:pPr>
              <w:spacing w:after="0" w:line="240" w:lineRule="auto"/>
              <w:rPr>
                <w:rFonts w:ascii="Times New Roman" w:eastAsia="Times New Roman" w:hAnsi="Times New Roman" w:cs="Times New Roman"/>
                <w:sz w:val="18"/>
                <w:szCs w:val="18"/>
                <w:lang w:eastAsia="en-AU"/>
              </w:rPr>
            </w:pPr>
          </w:p>
        </w:tc>
        <w:tc>
          <w:tcPr>
            <w:tcW w:w="2779" w:type="dxa"/>
            <w:tcBorders>
              <w:top w:val="nil"/>
              <w:left w:val="nil"/>
              <w:bottom w:val="nil"/>
              <w:right w:val="nil"/>
            </w:tcBorders>
            <w:shd w:val="clear" w:color="auto" w:fill="auto"/>
            <w:noWrap/>
            <w:vAlign w:val="bottom"/>
            <w:hideMark/>
          </w:tcPr>
          <w:p w14:paraId="586963DA" w14:textId="77777777" w:rsidR="007E6186" w:rsidRPr="00D52747" w:rsidRDefault="007E6186" w:rsidP="00D6282B">
            <w:pPr>
              <w:spacing w:after="0" w:line="240" w:lineRule="auto"/>
              <w:rPr>
                <w:rFonts w:ascii="Times New Roman" w:eastAsia="Times New Roman" w:hAnsi="Times New Roman" w:cs="Times New Roman"/>
                <w:sz w:val="18"/>
                <w:szCs w:val="18"/>
                <w:lang w:eastAsia="en-AU"/>
              </w:rPr>
            </w:pPr>
          </w:p>
        </w:tc>
        <w:tc>
          <w:tcPr>
            <w:tcW w:w="1985" w:type="dxa"/>
            <w:tcBorders>
              <w:top w:val="nil"/>
              <w:left w:val="nil"/>
              <w:bottom w:val="nil"/>
              <w:right w:val="nil"/>
            </w:tcBorders>
            <w:shd w:val="clear" w:color="auto" w:fill="auto"/>
            <w:noWrap/>
            <w:vAlign w:val="bottom"/>
            <w:hideMark/>
          </w:tcPr>
          <w:p w14:paraId="5E2877E9" w14:textId="77777777" w:rsidR="007E6186" w:rsidRPr="00D52747" w:rsidRDefault="007E6186" w:rsidP="00D6282B">
            <w:pPr>
              <w:spacing w:after="0" w:line="240" w:lineRule="auto"/>
              <w:rPr>
                <w:rFonts w:ascii="Times New Roman" w:eastAsia="Times New Roman" w:hAnsi="Times New Roman" w:cs="Times New Roman"/>
                <w:sz w:val="18"/>
                <w:szCs w:val="18"/>
                <w:lang w:eastAsia="en-AU"/>
              </w:rPr>
            </w:pPr>
          </w:p>
        </w:tc>
        <w:tc>
          <w:tcPr>
            <w:tcW w:w="1275" w:type="dxa"/>
            <w:tcBorders>
              <w:top w:val="nil"/>
              <w:left w:val="nil"/>
              <w:bottom w:val="nil"/>
              <w:right w:val="nil"/>
            </w:tcBorders>
            <w:shd w:val="clear" w:color="auto" w:fill="auto"/>
            <w:noWrap/>
            <w:vAlign w:val="bottom"/>
            <w:hideMark/>
          </w:tcPr>
          <w:p w14:paraId="518D1E0E" w14:textId="77777777" w:rsidR="007E6186" w:rsidRPr="00D52747" w:rsidRDefault="007E6186" w:rsidP="00D6282B">
            <w:pPr>
              <w:spacing w:after="0" w:line="240" w:lineRule="auto"/>
              <w:rPr>
                <w:rFonts w:ascii="Times New Roman" w:eastAsia="Times New Roman" w:hAnsi="Times New Roman" w:cs="Times New Roman"/>
                <w:sz w:val="18"/>
                <w:szCs w:val="18"/>
                <w:lang w:eastAsia="en-AU"/>
              </w:rPr>
            </w:pPr>
          </w:p>
        </w:tc>
      </w:tr>
      <w:tr w:rsidR="007E6186" w:rsidRPr="00D52747" w14:paraId="4853FF47" w14:textId="77777777" w:rsidTr="00D6282B">
        <w:trPr>
          <w:trHeight w:val="900"/>
        </w:trPr>
        <w:tc>
          <w:tcPr>
            <w:tcW w:w="1843" w:type="dxa"/>
            <w:tcBorders>
              <w:top w:val="nil"/>
              <w:left w:val="nil"/>
              <w:bottom w:val="nil"/>
              <w:right w:val="nil"/>
            </w:tcBorders>
            <w:shd w:val="clear" w:color="000000" w:fill="C6EFCE"/>
            <w:hideMark/>
          </w:tcPr>
          <w:p w14:paraId="3FE474A0" w14:textId="77777777" w:rsidR="007E6186" w:rsidRPr="00D52747" w:rsidRDefault="007E6186" w:rsidP="00D6282B">
            <w:pPr>
              <w:spacing w:after="0" w:line="240" w:lineRule="auto"/>
              <w:rPr>
                <w:rFonts w:ascii="Calibri" w:eastAsia="Times New Roman" w:hAnsi="Calibri" w:cs="Calibri"/>
                <w:color w:val="006100"/>
                <w:sz w:val="18"/>
                <w:szCs w:val="18"/>
                <w:lang w:eastAsia="en-AU"/>
              </w:rPr>
            </w:pPr>
            <w:r w:rsidRPr="00D52747">
              <w:rPr>
                <w:rFonts w:ascii="Calibri" w:eastAsia="Times New Roman" w:hAnsi="Calibri" w:cs="Calibri"/>
                <w:color w:val="006100"/>
                <w:sz w:val="18"/>
                <w:szCs w:val="18"/>
                <w:lang w:eastAsia="en-AU"/>
              </w:rPr>
              <w:t>Growth of women</w:t>
            </w:r>
            <w:r w:rsidRPr="00D52747">
              <w:rPr>
                <w:rFonts w:ascii="Calibri" w:eastAsia="Times New Roman" w:hAnsi="Calibri" w:cs="Calibri"/>
                <w:color w:val="006100"/>
                <w:sz w:val="18"/>
                <w:szCs w:val="18"/>
                <w:lang w:eastAsia="en-AU"/>
              </w:rPr>
              <w:noBreakHyphen/>
              <w:t>led businesses and other social enterprises</w:t>
            </w:r>
          </w:p>
        </w:tc>
        <w:tc>
          <w:tcPr>
            <w:tcW w:w="1190" w:type="dxa"/>
            <w:tcBorders>
              <w:top w:val="nil"/>
              <w:left w:val="nil"/>
              <w:bottom w:val="nil"/>
              <w:right w:val="nil"/>
            </w:tcBorders>
            <w:shd w:val="clear" w:color="000000" w:fill="C6EFCE"/>
            <w:hideMark/>
          </w:tcPr>
          <w:p w14:paraId="3A5AEBC0" w14:textId="77777777" w:rsidR="007E6186" w:rsidRPr="00D52747" w:rsidRDefault="007E6186" w:rsidP="00D6282B">
            <w:pPr>
              <w:spacing w:after="0" w:line="240" w:lineRule="auto"/>
              <w:rPr>
                <w:rFonts w:ascii="Calibri" w:eastAsia="Times New Roman" w:hAnsi="Calibri" w:cs="Calibri"/>
                <w:color w:val="006100"/>
                <w:sz w:val="18"/>
                <w:szCs w:val="18"/>
                <w:lang w:eastAsia="en-AU"/>
              </w:rPr>
            </w:pPr>
            <w:r w:rsidRPr="00D52747">
              <w:rPr>
                <w:rFonts w:ascii="Calibri" w:eastAsia="Times New Roman" w:hAnsi="Calibri" w:cs="Calibri"/>
                <w:color w:val="006100"/>
                <w:sz w:val="18"/>
                <w:szCs w:val="18"/>
                <w:lang w:eastAsia="en-AU"/>
              </w:rPr>
              <w:t xml:space="preserve">D </w:t>
            </w:r>
            <w:proofErr w:type="gramStart"/>
            <w:r w:rsidRPr="00D52747">
              <w:rPr>
                <w:rFonts w:ascii="Calibri" w:eastAsia="Times New Roman" w:hAnsi="Calibri" w:cs="Calibri"/>
                <w:color w:val="006100"/>
                <w:sz w:val="18"/>
                <w:szCs w:val="18"/>
                <w:lang w:eastAsia="en-AU"/>
              </w:rPr>
              <w:t>-  -</w:t>
            </w:r>
            <w:proofErr w:type="gramEnd"/>
            <w:r w:rsidRPr="00D52747">
              <w:rPr>
                <w:rFonts w:ascii="Calibri" w:eastAsia="Times New Roman" w:hAnsi="Calibri" w:cs="Calibri"/>
                <w:color w:val="006100"/>
                <w:sz w:val="18"/>
                <w:szCs w:val="18"/>
                <w:lang w:eastAsia="en-AU"/>
              </w:rPr>
              <w:t xml:space="preserve"> Philippines</w:t>
            </w:r>
          </w:p>
        </w:tc>
        <w:tc>
          <w:tcPr>
            <w:tcW w:w="2779" w:type="dxa"/>
            <w:tcBorders>
              <w:top w:val="nil"/>
              <w:left w:val="nil"/>
              <w:bottom w:val="nil"/>
              <w:right w:val="nil"/>
            </w:tcBorders>
            <w:shd w:val="clear" w:color="000000" w:fill="C6EFCE"/>
            <w:hideMark/>
          </w:tcPr>
          <w:p w14:paraId="4D13057B" w14:textId="77777777" w:rsidR="007E6186" w:rsidRPr="00D52747" w:rsidRDefault="007E6186" w:rsidP="00D6282B">
            <w:pPr>
              <w:spacing w:after="0" w:line="240" w:lineRule="auto"/>
              <w:rPr>
                <w:rFonts w:ascii="Calibri" w:eastAsia="Times New Roman" w:hAnsi="Calibri" w:cs="Calibri"/>
                <w:color w:val="006100"/>
                <w:sz w:val="18"/>
                <w:szCs w:val="18"/>
                <w:lang w:eastAsia="en-AU"/>
              </w:rPr>
            </w:pPr>
            <w:r w:rsidRPr="00D52747">
              <w:rPr>
                <w:rFonts w:ascii="Calibri" w:eastAsia="Times New Roman" w:hAnsi="Calibri" w:cs="Calibri"/>
                <w:color w:val="006100"/>
                <w:sz w:val="18"/>
                <w:szCs w:val="18"/>
                <w:lang w:eastAsia="en-AU"/>
              </w:rPr>
              <w:t>Scaling up Investing in Women Program and Innovation for Social Impact Partnership</w:t>
            </w:r>
          </w:p>
        </w:tc>
        <w:tc>
          <w:tcPr>
            <w:tcW w:w="1985" w:type="dxa"/>
            <w:tcBorders>
              <w:top w:val="nil"/>
              <w:left w:val="nil"/>
              <w:bottom w:val="nil"/>
              <w:right w:val="nil"/>
            </w:tcBorders>
            <w:shd w:val="clear" w:color="000000" w:fill="F8CBAD"/>
            <w:vAlign w:val="bottom"/>
            <w:hideMark/>
          </w:tcPr>
          <w:p w14:paraId="6DC62CA0"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r w:rsidRPr="00D52747">
              <w:rPr>
                <w:rFonts w:ascii="Calibri" w:eastAsia="Times New Roman" w:hAnsi="Calibri" w:cs="Calibri"/>
                <w:color w:val="000000"/>
                <w:sz w:val="18"/>
                <w:szCs w:val="18"/>
                <w:lang w:eastAsia="en-AU"/>
              </w:rPr>
              <w:t>Seed-stage capital (equity or grants convertible to equity, or loan guarantees</w:t>
            </w:r>
          </w:p>
        </w:tc>
        <w:tc>
          <w:tcPr>
            <w:tcW w:w="1275" w:type="dxa"/>
            <w:tcBorders>
              <w:top w:val="nil"/>
              <w:left w:val="nil"/>
              <w:bottom w:val="nil"/>
              <w:right w:val="nil"/>
            </w:tcBorders>
            <w:shd w:val="clear" w:color="auto" w:fill="auto"/>
            <w:hideMark/>
          </w:tcPr>
          <w:p w14:paraId="66AAFA5F"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r w:rsidRPr="00D52747">
              <w:rPr>
                <w:rFonts w:ascii="Calibri" w:eastAsia="Times New Roman" w:hAnsi="Calibri" w:cs="Calibri"/>
                <w:color w:val="000000"/>
                <w:sz w:val="18"/>
                <w:szCs w:val="18"/>
                <w:lang w:eastAsia="en-AU"/>
              </w:rPr>
              <w:t>DFAT, UNDP</w:t>
            </w:r>
          </w:p>
        </w:tc>
      </w:tr>
      <w:tr w:rsidR="007E6186" w:rsidRPr="00D52747" w14:paraId="52ED3BF3" w14:textId="77777777" w:rsidTr="00D6282B">
        <w:trPr>
          <w:trHeight w:val="960"/>
        </w:trPr>
        <w:tc>
          <w:tcPr>
            <w:tcW w:w="1843" w:type="dxa"/>
            <w:tcBorders>
              <w:top w:val="nil"/>
              <w:left w:val="nil"/>
              <w:bottom w:val="nil"/>
              <w:right w:val="nil"/>
            </w:tcBorders>
            <w:shd w:val="clear" w:color="000000" w:fill="FFEB9C"/>
            <w:hideMark/>
          </w:tcPr>
          <w:p w14:paraId="59752ECB" w14:textId="77777777" w:rsidR="007E6186" w:rsidRPr="00D52747" w:rsidRDefault="007E6186" w:rsidP="00D6282B">
            <w:pPr>
              <w:spacing w:after="0" w:line="240" w:lineRule="auto"/>
              <w:rPr>
                <w:rFonts w:ascii="Calibri" w:eastAsia="Times New Roman" w:hAnsi="Calibri" w:cs="Calibri"/>
                <w:color w:val="9C5700"/>
                <w:sz w:val="18"/>
                <w:szCs w:val="18"/>
                <w:lang w:eastAsia="en-AU"/>
              </w:rPr>
            </w:pPr>
            <w:r w:rsidRPr="00D52747">
              <w:rPr>
                <w:rFonts w:ascii="Calibri" w:eastAsia="Times New Roman" w:hAnsi="Calibri" w:cs="Calibri"/>
                <w:color w:val="9C5700"/>
                <w:sz w:val="18"/>
                <w:szCs w:val="18"/>
                <w:lang w:eastAsia="en-AU"/>
              </w:rPr>
              <w:t>Inclusive growth through fostering SMEs</w:t>
            </w:r>
          </w:p>
        </w:tc>
        <w:tc>
          <w:tcPr>
            <w:tcW w:w="1190" w:type="dxa"/>
            <w:tcBorders>
              <w:top w:val="nil"/>
              <w:left w:val="nil"/>
              <w:bottom w:val="nil"/>
              <w:right w:val="nil"/>
            </w:tcBorders>
            <w:shd w:val="clear" w:color="000000" w:fill="FFEB9C"/>
            <w:hideMark/>
          </w:tcPr>
          <w:p w14:paraId="7F910014" w14:textId="77777777" w:rsidR="007E6186" w:rsidRPr="00D52747" w:rsidRDefault="007E6186" w:rsidP="00D6282B">
            <w:pPr>
              <w:spacing w:after="0" w:line="240" w:lineRule="auto"/>
              <w:rPr>
                <w:rFonts w:ascii="Calibri" w:eastAsia="Times New Roman" w:hAnsi="Calibri" w:cs="Calibri"/>
                <w:color w:val="9C5700"/>
                <w:sz w:val="18"/>
                <w:szCs w:val="18"/>
                <w:lang w:eastAsia="en-AU"/>
              </w:rPr>
            </w:pPr>
            <w:r w:rsidRPr="00D52747">
              <w:rPr>
                <w:rFonts w:ascii="Calibri" w:eastAsia="Times New Roman" w:hAnsi="Calibri" w:cs="Calibri"/>
                <w:color w:val="9C5700"/>
                <w:sz w:val="18"/>
                <w:szCs w:val="18"/>
                <w:lang w:eastAsia="en-AU"/>
              </w:rPr>
              <w:t>D - Indonesia</w:t>
            </w:r>
          </w:p>
        </w:tc>
        <w:tc>
          <w:tcPr>
            <w:tcW w:w="2779" w:type="dxa"/>
            <w:tcBorders>
              <w:top w:val="nil"/>
              <w:left w:val="nil"/>
              <w:bottom w:val="nil"/>
              <w:right w:val="nil"/>
            </w:tcBorders>
            <w:shd w:val="clear" w:color="000000" w:fill="FFEB9C"/>
            <w:hideMark/>
          </w:tcPr>
          <w:p w14:paraId="78BCF367" w14:textId="77777777" w:rsidR="007E6186" w:rsidRPr="00D52747" w:rsidRDefault="007E6186" w:rsidP="00D6282B">
            <w:pPr>
              <w:spacing w:after="0" w:line="240" w:lineRule="auto"/>
              <w:rPr>
                <w:rFonts w:ascii="Calibri" w:eastAsia="Times New Roman" w:hAnsi="Calibri" w:cs="Calibri"/>
                <w:color w:val="9C5700"/>
                <w:sz w:val="18"/>
                <w:szCs w:val="18"/>
                <w:lang w:eastAsia="en-AU"/>
              </w:rPr>
            </w:pPr>
            <w:r w:rsidRPr="00D52747">
              <w:rPr>
                <w:rFonts w:ascii="Calibri" w:eastAsia="Times New Roman" w:hAnsi="Calibri" w:cs="Calibri"/>
                <w:color w:val="9C5700"/>
                <w:sz w:val="18"/>
                <w:szCs w:val="18"/>
                <w:lang w:eastAsia="en-AU"/>
              </w:rPr>
              <w:t>Investing in small, hi-tech businesses below the threshold of commercial borrowing</w:t>
            </w:r>
          </w:p>
        </w:tc>
        <w:tc>
          <w:tcPr>
            <w:tcW w:w="1985" w:type="dxa"/>
            <w:tcBorders>
              <w:top w:val="nil"/>
              <w:left w:val="nil"/>
              <w:bottom w:val="nil"/>
              <w:right w:val="nil"/>
            </w:tcBorders>
            <w:shd w:val="clear" w:color="000000" w:fill="F8CBAD"/>
            <w:hideMark/>
          </w:tcPr>
          <w:p w14:paraId="03D2A53E"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r w:rsidRPr="00D52747">
              <w:rPr>
                <w:rFonts w:ascii="Calibri" w:eastAsia="Times New Roman" w:hAnsi="Calibri" w:cs="Calibri"/>
                <w:color w:val="000000"/>
                <w:sz w:val="18"/>
                <w:szCs w:val="18"/>
                <w:lang w:eastAsia="en-AU"/>
              </w:rPr>
              <w:t>Equity in locally managed fund</w:t>
            </w:r>
          </w:p>
        </w:tc>
        <w:tc>
          <w:tcPr>
            <w:tcW w:w="1275" w:type="dxa"/>
            <w:tcBorders>
              <w:top w:val="nil"/>
              <w:left w:val="nil"/>
              <w:bottom w:val="nil"/>
              <w:right w:val="nil"/>
            </w:tcBorders>
            <w:shd w:val="clear" w:color="000000" w:fill="DBDBDB"/>
            <w:hideMark/>
          </w:tcPr>
          <w:p w14:paraId="4319E183"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proofErr w:type="spellStart"/>
            <w:r w:rsidRPr="00D52747">
              <w:rPr>
                <w:rFonts w:ascii="Calibri" w:eastAsia="Times New Roman" w:hAnsi="Calibri" w:cs="Calibri"/>
                <w:color w:val="000000"/>
                <w:sz w:val="18"/>
                <w:szCs w:val="18"/>
                <w:lang w:eastAsia="en-AU"/>
              </w:rPr>
              <w:t>Mekar</w:t>
            </w:r>
            <w:proofErr w:type="spellEnd"/>
          </w:p>
        </w:tc>
      </w:tr>
      <w:tr w:rsidR="007E6186" w:rsidRPr="00D52747" w14:paraId="14CC3240" w14:textId="77777777" w:rsidTr="00D6282B">
        <w:trPr>
          <w:trHeight w:val="600"/>
        </w:trPr>
        <w:tc>
          <w:tcPr>
            <w:tcW w:w="1843" w:type="dxa"/>
            <w:tcBorders>
              <w:top w:val="nil"/>
              <w:left w:val="nil"/>
              <w:bottom w:val="nil"/>
              <w:right w:val="nil"/>
            </w:tcBorders>
            <w:shd w:val="clear" w:color="000000" w:fill="FFEB9C"/>
            <w:hideMark/>
          </w:tcPr>
          <w:p w14:paraId="7221BF8D" w14:textId="77777777" w:rsidR="007E6186" w:rsidRPr="00D52747" w:rsidRDefault="007E6186" w:rsidP="00D6282B">
            <w:pPr>
              <w:spacing w:after="0" w:line="240" w:lineRule="auto"/>
              <w:rPr>
                <w:rFonts w:ascii="Calibri" w:eastAsia="Times New Roman" w:hAnsi="Calibri" w:cs="Calibri"/>
                <w:color w:val="9C5700"/>
                <w:sz w:val="18"/>
                <w:szCs w:val="18"/>
                <w:lang w:eastAsia="en-AU"/>
              </w:rPr>
            </w:pPr>
            <w:r w:rsidRPr="00D52747">
              <w:rPr>
                <w:rFonts w:ascii="Calibri" w:eastAsia="Times New Roman" w:hAnsi="Calibri" w:cs="Calibri"/>
                <w:color w:val="9C5700"/>
                <w:sz w:val="18"/>
                <w:szCs w:val="18"/>
                <w:lang w:eastAsia="en-AU"/>
              </w:rPr>
              <w:t>Inclusive growth through fostering SMEs</w:t>
            </w:r>
          </w:p>
        </w:tc>
        <w:tc>
          <w:tcPr>
            <w:tcW w:w="1190" w:type="dxa"/>
            <w:tcBorders>
              <w:top w:val="nil"/>
              <w:left w:val="nil"/>
              <w:bottom w:val="nil"/>
              <w:right w:val="nil"/>
            </w:tcBorders>
            <w:shd w:val="clear" w:color="000000" w:fill="FFEB9C"/>
            <w:hideMark/>
          </w:tcPr>
          <w:p w14:paraId="13BE821B" w14:textId="77777777" w:rsidR="007E6186" w:rsidRPr="00D52747" w:rsidRDefault="007E6186" w:rsidP="00D6282B">
            <w:pPr>
              <w:spacing w:after="0" w:line="240" w:lineRule="auto"/>
              <w:rPr>
                <w:rFonts w:ascii="Calibri" w:eastAsia="Times New Roman" w:hAnsi="Calibri" w:cs="Calibri"/>
                <w:color w:val="9C5700"/>
                <w:sz w:val="18"/>
                <w:szCs w:val="18"/>
                <w:lang w:eastAsia="en-AU"/>
              </w:rPr>
            </w:pPr>
            <w:r w:rsidRPr="00D52747">
              <w:rPr>
                <w:rFonts w:ascii="Calibri" w:eastAsia="Times New Roman" w:hAnsi="Calibri" w:cs="Calibri"/>
                <w:color w:val="9C5700"/>
                <w:sz w:val="18"/>
                <w:szCs w:val="18"/>
                <w:lang w:eastAsia="en-AU"/>
              </w:rPr>
              <w:t>D - Indonesia</w:t>
            </w:r>
          </w:p>
        </w:tc>
        <w:tc>
          <w:tcPr>
            <w:tcW w:w="2779" w:type="dxa"/>
            <w:tcBorders>
              <w:top w:val="nil"/>
              <w:left w:val="nil"/>
              <w:bottom w:val="nil"/>
              <w:right w:val="nil"/>
            </w:tcBorders>
            <w:shd w:val="clear" w:color="000000" w:fill="FFEB9C"/>
            <w:hideMark/>
          </w:tcPr>
          <w:p w14:paraId="0E91FF48" w14:textId="77777777" w:rsidR="007E6186" w:rsidRPr="00D52747" w:rsidRDefault="007E6186" w:rsidP="00D6282B">
            <w:pPr>
              <w:spacing w:after="0" w:line="240" w:lineRule="auto"/>
              <w:rPr>
                <w:rFonts w:ascii="Calibri" w:eastAsia="Times New Roman" w:hAnsi="Calibri" w:cs="Calibri"/>
                <w:color w:val="9C5700"/>
                <w:sz w:val="18"/>
                <w:szCs w:val="18"/>
                <w:lang w:eastAsia="en-AU"/>
              </w:rPr>
            </w:pPr>
            <w:r w:rsidRPr="00D52747">
              <w:rPr>
                <w:rFonts w:ascii="Calibri" w:eastAsia="Times New Roman" w:hAnsi="Calibri" w:cs="Calibri"/>
                <w:color w:val="9C5700"/>
                <w:sz w:val="18"/>
                <w:szCs w:val="18"/>
                <w:lang w:eastAsia="en-AU"/>
              </w:rPr>
              <w:t>Helping to fund well-functioning credit cooperatives</w:t>
            </w:r>
          </w:p>
        </w:tc>
        <w:tc>
          <w:tcPr>
            <w:tcW w:w="1985" w:type="dxa"/>
            <w:tcBorders>
              <w:top w:val="nil"/>
              <w:left w:val="nil"/>
              <w:bottom w:val="nil"/>
              <w:right w:val="nil"/>
            </w:tcBorders>
            <w:shd w:val="clear" w:color="auto" w:fill="auto"/>
            <w:hideMark/>
          </w:tcPr>
          <w:p w14:paraId="11FB2CD9"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r w:rsidRPr="00D52747">
              <w:rPr>
                <w:rFonts w:ascii="Calibri" w:eastAsia="Times New Roman" w:hAnsi="Calibri" w:cs="Calibri"/>
                <w:color w:val="000000"/>
                <w:sz w:val="18"/>
                <w:szCs w:val="18"/>
                <w:lang w:eastAsia="en-AU"/>
              </w:rPr>
              <w:t>Loans in term-deposit form through local platform</w:t>
            </w:r>
          </w:p>
        </w:tc>
        <w:tc>
          <w:tcPr>
            <w:tcW w:w="1275" w:type="dxa"/>
            <w:tcBorders>
              <w:top w:val="nil"/>
              <w:left w:val="nil"/>
              <w:bottom w:val="nil"/>
              <w:right w:val="nil"/>
            </w:tcBorders>
            <w:shd w:val="clear" w:color="000000" w:fill="DBDBDB"/>
            <w:hideMark/>
          </w:tcPr>
          <w:p w14:paraId="6BF44371"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proofErr w:type="spellStart"/>
            <w:r w:rsidRPr="00D52747">
              <w:rPr>
                <w:rFonts w:ascii="Calibri" w:eastAsia="Times New Roman" w:hAnsi="Calibri" w:cs="Calibri"/>
                <w:color w:val="000000"/>
                <w:sz w:val="18"/>
                <w:szCs w:val="18"/>
                <w:lang w:eastAsia="en-AU"/>
              </w:rPr>
              <w:t>Mekar</w:t>
            </w:r>
            <w:proofErr w:type="spellEnd"/>
          </w:p>
        </w:tc>
      </w:tr>
      <w:tr w:rsidR="007E6186" w:rsidRPr="00D52747" w14:paraId="2093EBC3" w14:textId="77777777" w:rsidTr="00D6282B">
        <w:trPr>
          <w:trHeight w:val="930"/>
        </w:trPr>
        <w:tc>
          <w:tcPr>
            <w:tcW w:w="1843" w:type="dxa"/>
            <w:tcBorders>
              <w:top w:val="nil"/>
              <w:left w:val="nil"/>
              <w:bottom w:val="nil"/>
              <w:right w:val="nil"/>
            </w:tcBorders>
            <w:shd w:val="clear" w:color="000000" w:fill="BDD7EE"/>
            <w:hideMark/>
          </w:tcPr>
          <w:p w14:paraId="78B07FD0"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r w:rsidRPr="00D52747">
              <w:rPr>
                <w:rFonts w:ascii="Calibri" w:eastAsia="Times New Roman" w:hAnsi="Calibri" w:cs="Calibri"/>
                <w:color w:val="000000"/>
                <w:sz w:val="18"/>
                <w:szCs w:val="18"/>
                <w:lang w:eastAsia="en-AU"/>
              </w:rPr>
              <w:t>Privately-owned infrastructure with economic and social benefit</w:t>
            </w:r>
          </w:p>
        </w:tc>
        <w:tc>
          <w:tcPr>
            <w:tcW w:w="1190" w:type="dxa"/>
            <w:tcBorders>
              <w:top w:val="nil"/>
              <w:left w:val="nil"/>
              <w:bottom w:val="nil"/>
              <w:right w:val="nil"/>
            </w:tcBorders>
            <w:shd w:val="clear" w:color="000000" w:fill="BDD7EE"/>
            <w:hideMark/>
          </w:tcPr>
          <w:p w14:paraId="2624421B"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r w:rsidRPr="00D52747">
              <w:rPr>
                <w:rFonts w:ascii="Calibri" w:eastAsia="Times New Roman" w:hAnsi="Calibri" w:cs="Calibri"/>
                <w:color w:val="000000"/>
                <w:sz w:val="18"/>
                <w:szCs w:val="18"/>
                <w:lang w:eastAsia="en-AU"/>
              </w:rPr>
              <w:t>D - Indonesia</w:t>
            </w:r>
          </w:p>
        </w:tc>
        <w:tc>
          <w:tcPr>
            <w:tcW w:w="2779" w:type="dxa"/>
            <w:tcBorders>
              <w:top w:val="nil"/>
              <w:left w:val="nil"/>
              <w:bottom w:val="nil"/>
              <w:right w:val="nil"/>
            </w:tcBorders>
            <w:shd w:val="clear" w:color="000000" w:fill="BDD7EE"/>
            <w:hideMark/>
          </w:tcPr>
          <w:p w14:paraId="5808BCE1"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r w:rsidRPr="00D52747">
              <w:rPr>
                <w:rFonts w:ascii="Calibri" w:eastAsia="Times New Roman" w:hAnsi="Calibri" w:cs="Calibri"/>
                <w:color w:val="000000"/>
                <w:sz w:val="18"/>
                <w:szCs w:val="18"/>
                <w:lang w:eastAsia="en-AU"/>
              </w:rPr>
              <w:t>Supporting path-finding PPPs or sales of infrastructure assets, especially airports and seaports</w:t>
            </w:r>
          </w:p>
        </w:tc>
        <w:tc>
          <w:tcPr>
            <w:tcW w:w="1985" w:type="dxa"/>
            <w:tcBorders>
              <w:top w:val="nil"/>
              <w:left w:val="nil"/>
              <w:bottom w:val="nil"/>
              <w:right w:val="nil"/>
            </w:tcBorders>
            <w:shd w:val="clear" w:color="auto" w:fill="auto"/>
            <w:hideMark/>
          </w:tcPr>
          <w:p w14:paraId="6242F0FB"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r w:rsidRPr="00D52747">
              <w:rPr>
                <w:rFonts w:ascii="Calibri" w:eastAsia="Times New Roman" w:hAnsi="Calibri" w:cs="Calibri"/>
                <w:color w:val="000000"/>
                <w:sz w:val="18"/>
                <w:szCs w:val="18"/>
                <w:lang w:eastAsia="en-AU"/>
              </w:rPr>
              <w:t>Subordinated loans or equity - still unclear</w:t>
            </w:r>
          </w:p>
        </w:tc>
        <w:tc>
          <w:tcPr>
            <w:tcW w:w="1275" w:type="dxa"/>
            <w:tcBorders>
              <w:top w:val="nil"/>
              <w:left w:val="nil"/>
              <w:bottom w:val="nil"/>
              <w:right w:val="nil"/>
            </w:tcBorders>
            <w:shd w:val="clear" w:color="auto" w:fill="auto"/>
            <w:hideMark/>
          </w:tcPr>
          <w:p w14:paraId="3D23C6F1"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r w:rsidRPr="00D52747">
              <w:rPr>
                <w:rFonts w:ascii="Calibri" w:eastAsia="Times New Roman" w:hAnsi="Calibri" w:cs="Calibri"/>
                <w:color w:val="000000"/>
                <w:sz w:val="18"/>
                <w:szCs w:val="18"/>
                <w:lang w:eastAsia="en-AU"/>
              </w:rPr>
              <w:t>IFC or ADB</w:t>
            </w:r>
          </w:p>
        </w:tc>
      </w:tr>
      <w:tr w:rsidR="007E6186" w:rsidRPr="00D52747" w14:paraId="3F7D7C24" w14:textId="77777777" w:rsidTr="00D6282B">
        <w:trPr>
          <w:trHeight w:val="900"/>
        </w:trPr>
        <w:tc>
          <w:tcPr>
            <w:tcW w:w="1843" w:type="dxa"/>
            <w:tcBorders>
              <w:top w:val="nil"/>
              <w:left w:val="nil"/>
              <w:bottom w:val="nil"/>
              <w:right w:val="nil"/>
            </w:tcBorders>
            <w:shd w:val="clear" w:color="000000" w:fill="C6EFCE"/>
            <w:hideMark/>
          </w:tcPr>
          <w:p w14:paraId="65C85401" w14:textId="77777777" w:rsidR="007E6186" w:rsidRPr="00D52747" w:rsidRDefault="007E6186" w:rsidP="00D6282B">
            <w:pPr>
              <w:spacing w:after="0" w:line="240" w:lineRule="auto"/>
              <w:rPr>
                <w:rFonts w:ascii="Calibri" w:eastAsia="Times New Roman" w:hAnsi="Calibri" w:cs="Calibri"/>
                <w:color w:val="006100"/>
                <w:sz w:val="18"/>
                <w:szCs w:val="18"/>
                <w:lang w:eastAsia="en-AU"/>
              </w:rPr>
            </w:pPr>
            <w:r w:rsidRPr="00D52747">
              <w:rPr>
                <w:rFonts w:ascii="Calibri" w:eastAsia="Times New Roman" w:hAnsi="Calibri" w:cs="Calibri"/>
                <w:color w:val="006100"/>
                <w:sz w:val="18"/>
                <w:szCs w:val="18"/>
                <w:lang w:eastAsia="en-AU"/>
              </w:rPr>
              <w:t>Infrastructure with economic and social benefit</w:t>
            </w:r>
          </w:p>
        </w:tc>
        <w:tc>
          <w:tcPr>
            <w:tcW w:w="1190" w:type="dxa"/>
            <w:tcBorders>
              <w:top w:val="nil"/>
              <w:left w:val="nil"/>
              <w:bottom w:val="nil"/>
              <w:right w:val="nil"/>
            </w:tcBorders>
            <w:shd w:val="clear" w:color="000000" w:fill="C6EFCE"/>
            <w:hideMark/>
          </w:tcPr>
          <w:p w14:paraId="514BA518" w14:textId="77777777" w:rsidR="007E6186" w:rsidRPr="00D52747" w:rsidRDefault="007E6186" w:rsidP="00D6282B">
            <w:pPr>
              <w:spacing w:after="0" w:line="240" w:lineRule="auto"/>
              <w:rPr>
                <w:rFonts w:ascii="Calibri" w:eastAsia="Times New Roman" w:hAnsi="Calibri" w:cs="Calibri"/>
                <w:color w:val="006100"/>
                <w:sz w:val="18"/>
                <w:szCs w:val="18"/>
                <w:lang w:eastAsia="en-AU"/>
              </w:rPr>
            </w:pPr>
            <w:r w:rsidRPr="00D52747">
              <w:rPr>
                <w:rFonts w:ascii="Calibri" w:eastAsia="Times New Roman" w:hAnsi="Calibri" w:cs="Calibri"/>
                <w:color w:val="006100"/>
                <w:sz w:val="18"/>
                <w:szCs w:val="18"/>
                <w:lang w:eastAsia="en-AU"/>
              </w:rPr>
              <w:t>D - Indonesia</w:t>
            </w:r>
          </w:p>
        </w:tc>
        <w:tc>
          <w:tcPr>
            <w:tcW w:w="2779" w:type="dxa"/>
            <w:tcBorders>
              <w:top w:val="nil"/>
              <w:left w:val="nil"/>
              <w:bottom w:val="nil"/>
              <w:right w:val="nil"/>
            </w:tcBorders>
            <w:shd w:val="clear" w:color="000000" w:fill="C6EFCE"/>
            <w:hideMark/>
          </w:tcPr>
          <w:p w14:paraId="5E0977C9" w14:textId="77777777" w:rsidR="007E6186" w:rsidRPr="00D52747" w:rsidRDefault="007E6186" w:rsidP="00D6282B">
            <w:pPr>
              <w:spacing w:after="0" w:line="240" w:lineRule="auto"/>
              <w:rPr>
                <w:rFonts w:ascii="Calibri" w:eastAsia="Times New Roman" w:hAnsi="Calibri" w:cs="Calibri"/>
                <w:color w:val="006100"/>
                <w:sz w:val="18"/>
                <w:szCs w:val="18"/>
                <w:lang w:eastAsia="en-AU"/>
              </w:rPr>
            </w:pPr>
            <w:r w:rsidRPr="00D52747">
              <w:rPr>
                <w:rFonts w:ascii="Calibri" w:eastAsia="Times New Roman" w:hAnsi="Calibri" w:cs="Calibri"/>
                <w:color w:val="006100"/>
                <w:sz w:val="18"/>
                <w:szCs w:val="18"/>
                <w:lang w:eastAsia="en-AU"/>
              </w:rPr>
              <w:t>Continue present programs of selective financing of high-impact infrastructure</w:t>
            </w:r>
          </w:p>
        </w:tc>
        <w:tc>
          <w:tcPr>
            <w:tcW w:w="1985" w:type="dxa"/>
            <w:tcBorders>
              <w:top w:val="nil"/>
              <w:left w:val="nil"/>
              <w:bottom w:val="nil"/>
              <w:right w:val="nil"/>
            </w:tcBorders>
            <w:shd w:val="clear" w:color="auto" w:fill="auto"/>
            <w:vAlign w:val="bottom"/>
            <w:hideMark/>
          </w:tcPr>
          <w:p w14:paraId="2C4553B4"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r w:rsidRPr="00D52747">
              <w:rPr>
                <w:rFonts w:ascii="Calibri" w:eastAsia="Times New Roman" w:hAnsi="Calibri" w:cs="Calibri"/>
                <w:color w:val="000000"/>
                <w:sz w:val="18"/>
                <w:szCs w:val="18"/>
                <w:lang w:eastAsia="en-AU"/>
              </w:rPr>
              <w:t>Loans at near-commercial rates with unusually long tenor</w:t>
            </w:r>
          </w:p>
        </w:tc>
        <w:tc>
          <w:tcPr>
            <w:tcW w:w="1275" w:type="dxa"/>
            <w:tcBorders>
              <w:top w:val="nil"/>
              <w:left w:val="nil"/>
              <w:bottom w:val="nil"/>
              <w:right w:val="nil"/>
            </w:tcBorders>
            <w:shd w:val="clear" w:color="auto" w:fill="auto"/>
            <w:hideMark/>
          </w:tcPr>
          <w:p w14:paraId="7AA8F9A1"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r w:rsidRPr="00D52747">
              <w:rPr>
                <w:rFonts w:ascii="Calibri" w:eastAsia="Times New Roman" w:hAnsi="Calibri" w:cs="Calibri"/>
                <w:color w:val="000000"/>
                <w:sz w:val="18"/>
                <w:szCs w:val="18"/>
                <w:lang w:eastAsia="en-AU"/>
              </w:rPr>
              <w:t xml:space="preserve">DFAT alone or </w:t>
            </w:r>
            <w:proofErr w:type="spellStart"/>
            <w:r w:rsidRPr="00D52747">
              <w:rPr>
                <w:rFonts w:ascii="Calibri" w:eastAsia="Times New Roman" w:hAnsi="Calibri" w:cs="Calibri"/>
                <w:color w:val="000000"/>
                <w:sz w:val="18"/>
                <w:szCs w:val="18"/>
                <w:lang w:eastAsia="en-AU"/>
              </w:rPr>
              <w:t>cofinancing</w:t>
            </w:r>
            <w:proofErr w:type="spellEnd"/>
            <w:r w:rsidRPr="00D52747">
              <w:rPr>
                <w:rFonts w:ascii="Calibri" w:eastAsia="Times New Roman" w:hAnsi="Calibri" w:cs="Calibri"/>
                <w:color w:val="000000"/>
                <w:sz w:val="18"/>
                <w:szCs w:val="18"/>
                <w:lang w:eastAsia="en-AU"/>
              </w:rPr>
              <w:t xml:space="preserve"> with ADB, WB</w:t>
            </w:r>
          </w:p>
        </w:tc>
      </w:tr>
      <w:tr w:rsidR="007E6186" w:rsidRPr="00D52747" w14:paraId="57D407AC" w14:textId="77777777" w:rsidTr="00D6282B">
        <w:trPr>
          <w:trHeight w:val="900"/>
        </w:trPr>
        <w:tc>
          <w:tcPr>
            <w:tcW w:w="1843" w:type="dxa"/>
            <w:tcBorders>
              <w:top w:val="nil"/>
              <w:left w:val="nil"/>
              <w:bottom w:val="nil"/>
              <w:right w:val="nil"/>
            </w:tcBorders>
            <w:shd w:val="clear" w:color="000000" w:fill="BDD7EE"/>
            <w:hideMark/>
          </w:tcPr>
          <w:p w14:paraId="4C104539"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r w:rsidRPr="00D52747">
              <w:rPr>
                <w:rFonts w:ascii="Calibri" w:eastAsia="Times New Roman" w:hAnsi="Calibri" w:cs="Calibri"/>
                <w:color w:val="000000"/>
                <w:sz w:val="18"/>
                <w:szCs w:val="18"/>
                <w:lang w:eastAsia="en-AU"/>
              </w:rPr>
              <w:t>Infrastructure with economic and social benefit</w:t>
            </w:r>
          </w:p>
        </w:tc>
        <w:tc>
          <w:tcPr>
            <w:tcW w:w="1190" w:type="dxa"/>
            <w:tcBorders>
              <w:top w:val="nil"/>
              <w:left w:val="nil"/>
              <w:bottom w:val="nil"/>
              <w:right w:val="nil"/>
            </w:tcBorders>
            <w:shd w:val="clear" w:color="000000" w:fill="BDD7EE"/>
            <w:hideMark/>
          </w:tcPr>
          <w:p w14:paraId="273C74E0"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r w:rsidRPr="00D52747">
              <w:rPr>
                <w:rFonts w:ascii="Calibri" w:eastAsia="Times New Roman" w:hAnsi="Calibri" w:cs="Calibri"/>
                <w:color w:val="000000"/>
                <w:sz w:val="18"/>
                <w:szCs w:val="18"/>
                <w:lang w:eastAsia="en-AU"/>
              </w:rPr>
              <w:t>D - Indonesia</w:t>
            </w:r>
          </w:p>
        </w:tc>
        <w:tc>
          <w:tcPr>
            <w:tcW w:w="2779" w:type="dxa"/>
            <w:tcBorders>
              <w:top w:val="nil"/>
              <w:left w:val="nil"/>
              <w:bottom w:val="nil"/>
              <w:right w:val="nil"/>
            </w:tcBorders>
            <w:shd w:val="clear" w:color="000000" w:fill="BDD7EE"/>
            <w:hideMark/>
          </w:tcPr>
          <w:p w14:paraId="555C6EB2"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r w:rsidRPr="00D52747">
              <w:rPr>
                <w:rFonts w:ascii="Calibri" w:eastAsia="Times New Roman" w:hAnsi="Calibri" w:cs="Calibri"/>
                <w:color w:val="000000"/>
                <w:sz w:val="18"/>
                <w:szCs w:val="18"/>
                <w:lang w:eastAsia="en-AU"/>
              </w:rPr>
              <w:t>Helping to improve domestic financing of local-level infrastructure and hospitals</w:t>
            </w:r>
          </w:p>
        </w:tc>
        <w:tc>
          <w:tcPr>
            <w:tcW w:w="1985" w:type="dxa"/>
            <w:tcBorders>
              <w:top w:val="nil"/>
              <w:left w:val="nil"/>
              <w:bottom w:val="nil"/>
              <w:right w:val="nil"/>
            </w:tcBorders>
            <w:shd w:val="clear" w:color="auto" w:fill="auto"/>
            <w:vAlign w:val="bottom"/>
            <w:hideMark/>
          </w:tcPr>
          <w:p w14:paraId="560F7AC7"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r w:rsidRPr="00D52747">
              <w:rPr>
                <w:rFonts w:ascii="Calibri" w:eastAsia="Times New Roman" w:hAnsi="Calibri" w:cs="Calibri"/>
                <w:color w:val="000000"/>
                <w:sz w:val="18"/>
                <w:szCs w:val="18"/>
                <w:lang w:eastAsia="en-AU"/>
              </w:rPr>
              <w:t>Subordinated loans to financing platform, or bond purchases - still unclear</w:t>
            </w:r>
          </w:p>
        </w:tc>
        <w:tc>
          <w:tcPr>
            <w:tcW w:w="1275" w:type="dxa"/>
            <w:tcBorders>
              <w:top w:val="nil"/>
              <w:left w:val="nil"/>
              <w:bottom w:val="nil"/>
              <w:right w:val="nil"/>
            </w:tcBorders>
            <w:shd w:val="clear" w:color="auto" w:fill="auto"/>
            <w:hideMark/>
          </w:tcPr>
          <w:p w14:paraId="2AE61583"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r w:rsidRPr="00D52747">
              <w:rPr>
                <w:rFonts w:ascii="Calibri" w:eastAsia="Times New Roman" w:hAnsi="Calibri" w:cs="Calibri"/>
                <w:color w:val="000000"/>
                <w:sz w:val="18"/>
                <w:szCs w:val="18"/>
                <w:lang w:eastAsia="en-AU"/>
              </w:rPr>
              <w:t>WB or ADB</w:t>
            </w:r>
          </w:p>
        </w:tc>
      </w:tr>
      <w:tr w:rsidR="007E6186" w:rsidRPr="00D52747" w14:paraId="449BAE18" w14:textId="77777777" w:rsidTr="00D6282B">
        <w:trPr>
          <w:trHeight w:val="600"/>
        </w:trPr>
        <w:tc>
          <w:tcPr>
            <w:tcW w:w="1843" w:type="dxa"/>
            <w:tcBorders>
              <w:top w:val="nil"/>
              <w:left w:val="nil"/>
              <w:bottom w:val="nil"/>
              <w:right w:val="nil"/>
            </w:tcBorders>
            <w:shd w:val="clear" w:color="000000" w:fill="BDD7EE"/>
            <w:hideMark/>
          </w:tcPr>
          <w:p w14:paraId="7C373D74"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r w:rsidRPr="00D52747">
              <w:rPr>
                <w:rFonts w:ascii="Calibri" w:eastAsia="Times New Roman" w:hAnsi="Calibri" w:cs="Calibri"/>
                <w:color w:val="000000"/>
                <w:sz w:val="18"/>
                <w:szCs w:val="18"/>
                <w:lang w:eastAsia="en-AU"/>
              </w:rPr>
              <w:t>Energy micro-grids for remote communities</w:t>
            </w:r>
          </w:p>
        </w:tc>
        <w:tc>
          <w:tcPr>
            <w:tcW w:w="1190" w:type="dxa"/>
            <w:tcBorders>
              <w:top w:val="nil"/>
              <w:left w:val="nil"/>
              <w:bottom w:val="nil"/>
              <w:right w:val="nil"/>
            </w:tcBorders>
            <w:shd w:val="clear" w:color="000000" w:fill="BDD7EE"/>
            <w:hideMark/>
          </w:tcPr>
          <w:p w14:paraId="6E3D8186"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r w:rsidRPr="00D52747">
              <w:rPr>
                <w:rFonts w:ascii="Calibri" w:eastAsia="Times New Roman" w:hAnsi="Calibri" w:cs="Calibri"/>
                <w:color w:val="000000"/>
                <w:sz w:val="18"/>
                <w:szCs w:val="18"/>
                <w:lang w:eastAsia="en-AU"/>
              </w:rPr>
              <w:t>D - Philippines</w:t>
            </w:r>
          </w:p>
        </w:tc>
        <w:tc>
          <w:tcPr>
            <w:tcW w:w="2779" w:type="dxa"/>
            <w:tcBorders>
              <w:top w:val="nil"/>
              <w:left w:val="nil"/>
              <w:bottom w:val="nil"/>
              <w:right w:val="nil"/>
            </w:tcBorders>
            <w:shd w:val="clear" w:color="000000" w:fill="BDD7EE"/>
            <w:hideMark/>
          </w:tcPr>
          <w:p w14:paraId="489EF195"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r w:rsidRPr="00D52747">
              <w:rPr>
                <w:rFonts w:ascii="Calibri" w:eastAsia="Times New Roman" w:hAnsi="Calibri" w:cs="Calibri"/>
                <w:color w:val="000000"/>
                <w:sz w:val="18"/>
                <w:szCs w:val="18"/>
                <w:lang w:eastAsia="en-AU"/>
              </w:rPr>
              <w:t>Support for businesses near to commercial viability</w:t>
            </w:r>
          </w:p>
        </w:tc>
        <w:tc>
          <w:tcPr>
            <w:tcW w:w="1985" w:type="dxa"/>
            <w:tcBorders>
              <w:top w:val="nil"/>
              <w:left w:val="nil"/>
              <w:bottom w:val="nil"/>
              <w:right w:val="nil"/>
            </w:tcBorders>
            <w:shd w:val="clear" w:color="auto" w:fill="auto"/>
            <w:vAlign w:val="bottom"/>
            <w:hideMark/>
          </w:tcPr>
          <w:p w14:paraId="14A6BD5E"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r w:rsidRPr="00D52747">
              <w:rPr>
                <w:rFonts w:ascii="Calibri" w:eastAsia="Times New Roman" w:hAnsi="Calibri" w:cs="Calibri"/>
                <w:color w:val="000000"/>
                <w:sz w:val="18"/>
                <w:szCs w:val="18"/>
                <w:lang w:eastAsia="en-AU"/>
              </w:rPr>
              <w:t>Concessional loans, through green bonds</w:t>
            </w:r>
          </w:p>
        </w:tc>
        <w:tc>
          <w:tcPr>
            <w:tcW w:w="1275" w:type="dxa"/>
            <w:tcBorders>
              <w:top w:val="nil"/>
              <w:left w:val="nil"/>
              <w:bottom w:val="nil"/>
              <w:right w:val="nil"/>
            </w:tcBorders>
            <w:shd w:val="clear" w:color="000000" w:fill="FFC7CE"/>
            <w:hideMark/>
          </w:tcPr>
          <w:p w14:paraId="5BBB89A0" w14:textId="77777777" w:rsidR="007E6186" w:rsidRPr="00D52747" w:rsidRDefault="007E6186" w:rsidP="00D6282B">
            <w:pPr>
              <w:spacing w:after="0" w:line="240" w:lineRule="auto"/>
              <w:rPr>
                <w:rFonts w:ascii="Calibri" w:eastAsia="Times New Roman" w:hAnsi="Calibri" w:cs="Calibri"/>
                <w:color w:val="9C0006"/>
                <w:sz w:val="18"/>
                <w:szCs w:val="18"/>
                <w:lang w:eastAsia="en-AU"/>
              </w:rPr>
            </w:pPr>
            <w:r w:rsidRPr="00D52747">
              <w:rPr>
                <w:rFonts w:ascii="Calibri" w:eastAsia="Times New Roman" w:hAnsi="Calibri" w:cs="Calibri"/>
                <w:color w:val="9C0006"/>
                <w:sz w:val="18"/>
                <w:szCs w:val="18"/>
                <w:lang w:eastAsia="en-AU"/>
              </w:rPr>
              <w:t>Unclear</w:t>
            </w:r>
          </w:p>
        </w:tc>
      </w:tr>
      <w:tr w:rsidR="007E6186" w:rsidRPr="00D52747" w14:paraId="2E35621B" w14:textId="77777777" w:rsidTr="00D6282B">
        <w:trPr>
          <w:trHeight w:val="600"/>
        </w:trPr>
        <w:tc>
          <w:tcPr>
            <w:tcW w:w="1843" w:type="dxa"/>
            <w:tcBorders>
              <w:top w:val="nil"/>
              <w:left w:val="nil"/>
              <w:bottom w:val="nil"/>
              <w:right w:val="nil"/>
            </w:tcBorders>
            <w:shd w:val="clear" w:color="000000" w:fill="BDD7EE"/>
            <w:hideMark/>
          </w:tcPr>
          <w:p w14:paraId="2372A8EF"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r w:rsidRPr="00D52747">
              <w:rPr>
                <w:rFonts w:ascii="Calibri" w:eastAsia="Times New Roman" w:hAnsi="Calibri" w:cs="Calibri"/>
                <w:color w:val="000000"/>
                <w:sz w:val="18"/>
                <w:szCs w:val="18"/>
                <w:lang w:eastAsia="en-AU"/>
              </w:rPr>
              <w:t>Improving agricultural productivity</w:t>
            </w:r>
          </w:p>
        </w:tc>
        <w:tc>
          <w:tcPr>
            <w:tcW w:w="1190" w:type="dxa"/>
            <w:tcBorders>
              <w:top w:val="nil"/>
              <w:left w:val="nil"/>
              <w:bottom w:val="nil"/>
              <w:right w:val="nil"/>
            </w:tcBorders>
            <w:shd w:val="clear" w:color="000000" w:fill="BDD7EE"/>
            <w:hideMark/>
          </w:tcPr>
          <w:p w14:paraId="00C7A6FB"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r w:rsidRPr="00D52747">
              <w:rPr>
                <w:rFonts w:ascii="Calibri" w:eastAsia="Times New Roman" w:hAnsi="Calibri" w:cs="Calibri"/>
                <w:color w:val="000000"/>
                <w:sz w:val="18"/>
                <w:szCs w:val="18"/>
                <w:lang w:eastAsia="en-AU"/>
              </w:rPr>
              <w:t>D - Philippines</w:t>
            </w:r>
          </w:p>
        </w:tc>
        <w:tc>
          <w:tcPr>
            <w:tcW w:w="2779" w:type="dxa"/>
            <w:tcBorders>
              <w:top w:val="nil"/>
              <w:left w:val="nil"/>
              <w:bottom w:val="nil"/>
              <w:right w:val="nil"/>
            </w:tcBorders>
            <w:shd w:val="clear" w:color="000000" w:fill="BDD7EE"/>
            <w:hideMark/>
          </w:tcPr>
          <w:p w14:paraId="065D899C"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r w:rsidRPr="00D52747">
              <w:rPr>
                <w:rFonts w:ascii="Calibri" w:eastAsia="Times New Roman" w:hAnsi="Calibri" w:cs="Calibri"/>
                <w:color w:val="000000"/>
                <w:sz w:val="18"/>
                <w:szCs w:val="18"/>
                <w:lang w:eastAsia="en-AU"/>
              </w:rPr>
              <w:t>Support for businesses near to commercial viability</w:t>
            </w:r>
          </w:p>
        </w:tc>
        <w:tc>
          <w:tcPr>
            <w:tcW w:w="1985" w:type="dxa"/>
            <w:tcBorders>
              <w:top w:val="nil"/>
              <w:left w:val="nil"/>
              <w:bottom w:val="nil"/>
              <w:right w:val="nil"/>
            </w:tcBorders>
            <w:shd w:val="clear" w:color="auto" w:fill="auto"/>
            <w:vAlign w:val="bottom"/>
            <w:hideMark/>
          </w:tcPr>
          <w:p w14:paraId="4D74CF68"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r w:rsidRPr="00D52747">
              <w:rPr>
                <w:rFonts w:ascii="Calibri" w:eastAsia="Times New Roman" w:hAnsi="Calibri" w:cs="Calibri"/>
                <w:color w:val="000000"/>
                <w:sz w:val="18"/>
                <w:szCs w:val="18"/>
                <w:lang w:eastAsia="en-AU"/>
              </w:rPr>
              <w:t>Concessional loans, through green bonds</w:t>
            </w:r>
          </w:p>
        </w:tc>
        <w:tc>
          <w:tcPr>
            <w:tcW w:w="1275" w:type="dxa"/>
            <w:tcBorders>
              <w:top w:val="nil"/>
              <w:left w:val="nil"/>
              <w:bottom w:val="nil"/>
              <w:right w:val="nil"/>
            </w:tcBorders>
            <w:shd w:val="clear" w:color="000000" w:fill="FFC7CE"/>
            <w:hideMark/>
          </w:tcPr>
          <w:p w14:paraId="1545B4CA" w14:textId="77777777" w:rsidR="007E6186" w:rsidRPr="00D52747" w:rsidRDefault="007E6186" w:rsidP="00D6282B">
            <w:pPr>
              <w:spacing w:after="0" w:line="240" w:lineRule="auto"/>
              <w:rPr>
                <w:rFonts w:ascii="Calibri" w:eastAsia="Times New Roman" w:hAnsi="Calibri" w:cs="Calibri"/>
                <w:color w:val="9C0006"/>
                <w:sz w:val="18"/>
                <w:szCs w:val="18"/>
                <w:lang w:eastAsia="en-AU"/>
              </w:rPr>
            </w:pPr>
            <w:r w:rsidRPr="00D52747">
              <w:rPr>
                <w:rFonts w:ascii="Calibri" w:eastAsia="Times New Roman" w:hAnsi="Calibri" w:cs="Calibri"/>
                <w:color w:val="9C0006"/>
                <w:sz w:val="18"/>
                <w:szCs w:val="18"/>
                <w:lang w:eastAsia="en-AU"/>
              </w:rPr>
              <w:t>Unclear</w:t>
            </w:r>
          </w:p>
        </w:tc>
      </w:tr>
      <w:tr w:rsidR="007E6186" w:rsidRPr="00D52747" w14:paraId="4074648B" w14:textId="77777777" w:rsidTr="00D6282B">
        <w:trPr>
          <w:trHeight w:val="600"/>
        </w:trPr>
        <w:tc>
          <w:tcPr>
            <w:tcW w:w="1843" w:type="dxa"/>
            <w:tcBorders>
              <w:top w:val="nil"/>
              <w:left w:val="nil"/>
              <w:bottom w:val="nil"/>
              <w:right w:val="nil"/>
            </w:tcBorders>
            <w:shd w:val="clear" w:color="000000" w:fill="BDD7EE"/>
            <w:hideMark/>
          </w:tcPr>
          <w:p w14:paraId="51016C8A"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r w:rsidRPr="00D52747">
              <w:rPr>
                <w:rFonts w:ascii="Calibri" w:eastAsia="Times New Roman" w:hAnsi="Calibri" w:cs="Calibri"/>
                <w:color w:val="000000"/>
                <w:sz w:val="18"/>
                <w:szCs w:val="18"/>
                <w:lang w:eastAsia="en-AU"/>
              </w:rPr>
              <w:t>Improving water and waste management</w:t>
            </w:r>
          </w:p>
        </w:tc>
        <w:tc>
          <w:tcPr>
            <w:tcW w:w="1190" w:type="dxa"/>
            <w:tcBorders>
              <w:top w:val="nil"/>
              <w:left w:val="nil"/>
              <w:bottom w:val="nil"/>
              <w:right w:val="nil"/>
            </w:tcBorders>
            <w:shd w:val="clear" w:color="000000" w:fill="BDD7EE"/>
            <w:hideMark/>
          </w:tcPr>
          <w:p w14:paraId="3EADD5F4"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r w:rsidRPr="00D52747">
              <w:rPr>
                <w:rFonts w:ascii="Calibri" w:eastAsia="Times New Roman" w:hAnsi="Calibri" w:cs="Calibri"/>
                <w:color w:val="000000"/>
                <w:sz w:val="18"/>
                <w:szCs w:val="18"/>
                <w:lang w:eastAsia="en-AU"/>
              </w:rPr>
              <w:t>D - Philippines</w:t>
            </w:r>
          </w:p>
        </w:tc>
        <w:tc>
          <w:tcPr>
            <w:tcW w:w="2779" w:type="dxa"/>
            <w:tcBorders>
              <w:top w:val="nil"/>
              <w:left w:val="nil"/>
              <w:bottom w:val="nil"/>
              <w:right w:val="nil"/>
            </w:tcBorders>
            <w:shd w:val="clear" w:color="000000" w:fill="BDD7EE"/>
            <w:hideMark/>
          </w:tcPr>
          <w:p w14:paraId="2DF5DA18"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r w:rsidRPr="00D52747">
              <w:rPr>
                <w:rFonts w:ascii="Calibri" w:eastAsia="Times New Roman" w:hAnsi="Calibri" w:cs="Calibri"/>
                <w:color w:val="000000"/>
                <w:sz w:val="18"/>
                <w:szCs w:val="18"/>
                <w:lang w:eastAsia="en-AU"/>
              </w:rPr>
              <w:t>Support for businesses near to commercial viability</w:t>
            </w:r>
          </w:p>
        </w:tc>
        <w:tc>
          <w:tcPr>
            <w:tcW w:w="1985" w:type="dxa"/>
            <w:tcBorders>
              <w:top w:val="nil"/>
              <w:left w:val="nil"/>
              <w:bottom w:val="nil"/>
              <w:right w:val="nil"/>
            </w:tcBorders>
            <w:shd w:val="clear" w:color="auto" w:fill="auto"/>
            <w:vAlign w:val="bottom"/>
            <w:hideMark/>
          </w:tcPr>
          <w:p w14:paraId="4BBC8623"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r w:rsidRPr="00D52747">
              <w:rPr>
                <w:rFonts w:ascii="Calibri" w:eastAsia="Times New Roman" w:hAnsi="Calibri" w:cs="Calibri"/>
                <w:color w:val="000000"/>
                <w:sz w:val="18"/>
                <w:szCs w:val="18"/>
                <w:lang w:eastAsia="en-AU"/>
              </w:rPr>
              <w:t>Concessional loans, through green bonds</w:t>
            </w:r>
          </w:p>
        </w:tc>
        <w:tc>
          <w:tcPr>
            <w:tcW w:w="1275" w:type="dxa"/>
            <w:tcBorders>
              <w:top w:val="nil"/>
              <w:left w:val="nil"/>
              <w:bottom w:val="nil"/>
              <w:right w:val="nil"/>
            </w:tcBorders>
            <w:shd w:val="clear" w:color="000000" w:fill="FFC7CE"/>
            <w:hideMark/>
          </w:tcPr>
          <w:p w14:paraId="1A72C821" w14:textId="77777777" w:rsidR="007E6186" w:rsidRPr="00D52747" w:rsidRDefault="007E6186" w:rsidP="00D6282B">
            <w:pPr>
              <w:spacing w:after="0" w:line="240" w:lineRule="auto"/>
              <w:rPr>
                <w:rFonts w:ascii="Calibri" w:eastAsia="Times New Roman" w:hAnsi="Calibri" w:cs="Calibri"/>
                <w:color w:val="9C0006"/>
                <w:sz w:val="18"/>
                <w:szCs w:val="18"/>
                <w:lang w:eastAsia="en-AU"/>
              </w:rPr>
            </w:pPr>
            <w:r w:rsidRPr="00D52747">
              <w:rPr>
                <w:rFonts w:ascii="Calibri" w:eastAsia="Times New Roman" w:hAnsi="Calibri" w:cs="Calibri"/>
                <w:color w:val="9C0006"/>
                <w:sz w:val="18"/>
                <w:szCs w:val="18"/>
                <w:lang w:eastAsia="en-AU"/>
              </w:rPr>
              <w:t>Unclear</w:t>
            </w:r>
          </w:p>
        </w:tc>
      </w:tr>
      <w:tr w:rsidR="007E6186" w:rsidRPr="00D52747" w14:paraId="1DE97871" w14:textId="77777777" w:rsidTr="00D6282B">
        <w:trPr>
          <w:trHeight w:val="900"/>
        </w:trPr>
        <w:tc>
          <w:tcPr>
            <w:tcW w:w="1843" w:type="dxa"/>
            <w:tcBorders>
              <w:top w:val="nil"/>
              <w:left w:val="nil"/>
              <w:bottom w:val="nil"/>
              <w:right w:val="nil"/>
            </w:tcBorders>
            <w:shd w:val="clear" w:color="000000" w:fill="BDD7EE"/>
            <w:hideMark/>
          </w:tcPr>
          <w:p w14:paraId="4C41F812"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r w:rsidRPr="00D52747">
              <w:rPr>
                <w:rFonts w:ascii="Calibri" w:eastAsia="Times New Roman" w:hAnsi="Calibri" w:cs="Calibri"/>
                <w:color w:val="000000"/>
                <w:sz w:val="18"/>
                <w:szCs w:val="18"/>
                <w:lang w:eastAsia="en-AU"/>
              </w:rPr>
              <w:t>Infrastructure with economic and social benefit</w:t>
            </w:r>
          </w:p>
        </w:tc>
        <w:tc>
          <w:tcPr>
            <w:tcW w:w="1190" w:type="dxa"/>
            <w:tcBorders>
              <w:top w:val="nil"/>
              <w:left w:val="nil"/>
              <w:bottom w:val="nil"/>
              <w:right w:val="nil"/>
            </w:tcBorders>
            <w:shd w:val="clear" w:color="000000" w:fill="BDD7EE"/>
            <w:hideMark/>
          </w:tcPr>
          <w:p w14:paraId="19D6A0A2"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r w:rsidRPr="00D52747">
              <w:rPr>
                <w:rFonts w:ascii="Calibri" w:eastAsia="Times New Roman" w:hAnsi="Calibri" w:cs="Calibri"/>
                <w:color w:val="000000"/>
                <w:sz w:val="18"/>
                <w:szCs w:val="18"/>
                <w:lang w:eastAsia="en-AU"/>
              </w:rPr>
              <w:t>D - Philippines</w:t>
            </w:r>
          </w:p>
        </w:tc>
        <w:tc>
          <w:tcPr>
            <w:tcW w:w="2779" w:type="dxa"/>
            <w:tcBorders>
              <w:top w:val="nil"/>
              <w:left w:val="nil"/>
              <w:bottom w:val="nil"/>
              <w:right w:val="nil"/>
            </w:tcBorders>
            <w:shd w:val="clear" w:color="000000" w:fill="BDD7EE"/>
            <w:hideMark/>
          </w:tcPr>
          <w:p w14:paraId="59DD3560"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r w:rsidRPr="00D52747">
              <w:rPr>
                <w:rFonts w:ascii="Calibri" w:eastAsia="Times New Roman" w:hAnsi="Calibri" w:cs="Calibri"/>
                <w:color w:val="000000"/>
                <w:sz w:val="18"/>
                <w:szCs w:val="18"/>
                <w:lang w:eastAsia="en-AU"/>
              </w:rPr>
              <w:t xml:space="preserve">Support for selected “flagship” infrastructure projects </w:t>
            </w:r>
          </w:p>
        </w:tc>
        <w:tc>
          <w:tcPr>
            <w:tcW w:w="1985" w:type="dxa"/>
            <w:tcBorders>
              <w:top w:val="nil"/>
              <w:left w:val="nil"/>
              <w:bottom w:val="nil"/>
              <w:right w:val="nil"/>
            </w:tcBorders>
            <w:shd w:val="clear" w:color="auto" w:fill="auto"/>
            <w:vAlign w:val="bottom"/>
            <w:hideMark/>
          </w:tcPr>
          <w:p w14:paraId="16558B81"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r w:rsidRPr="00D52747">
              <w:rPr>
                <w:rFonts w:ascii="Calibri" w:eastAsia="Times New Roman" w:hAnsi="Calibri" w:cs="Calibri"/>
                <w:color w:val="000000"/>
                <w:sz w:val="18"/>
                <w:szCs w:val="18"/>
                <w:lang w:eastAsia="en-AU"/>
              </w:rPr>
              <w:t xml:space="preserve">Loans, at commercial </w:t>
            </w:r>
            <w:proofErr w:type="gramStart"/>
            <w:r w:rsidRPr="00D52747">
              <w:rPr>
                <w:rFonts w:ascii="Calibri" w:eastAsia="Times New Roman" w:hAnsi="Calibri" w:cs="Calibri"/>
                <w:color w:val="000000"/>
                <w:sz w:val="18"/>
                <w:szCs w:val="18"/>
                <w:lang w:eastAsia="en-AU"/>
              </w:rPr>
              <w:t>rate  with</w:t>
            </w:r>
            <w:proofErr w:type="gramEnd"/>
            <w:r w:rsidRPr="00D52747">
              <w:rPr>
                <w:rFonts w:ascii="Calibri" w:eastAsia="Times New Roman" w:hAnsi="Calibri" w:cs="Calibri"/>
                <w:color w:val="000000"/>
                <w:sz w:val="18"/>
                <w:szCs w:val="18"/>
                <w:lang w:eastAsia="en-AU"/>
              </w:rPr>
              <w:t xml:space="preserve"> long tenor, or concessional</w:t>
            </w:r>
          </w:p>
        </w:tc>
        <w:tc>
          <w:tcPr>
            <w:tcW w:w="1275" w:type="dxa"/>
            <w:tcBorders>
              <w:top w:val="nil"/>
              <w:left w:val="nil"/>
              <w:bottom w:val="nil"/>
              <w:right w:val="nil"/>
            </w:tcBorders>
            <w:shd w:val="clear" w:color="auto" w:fill="auto"/>
            <w:hideMark/>
          </w:tcPr>
          <w:p w14:paraId="6AD58F5B"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r w:rsidRPr="00D52747">
              <w:rPr>
                <w:rFonts w:ascii="Calibri" w:eastAsia="Times New Roman" w:hAnsi="Calibri" w:cs="Calibri"/>
                <w:color w:val="000000"/>
                <w:sz w:val="18"/>
                <w:szCs w:val="18"/>
                <w:lang w:eastAsia="en-AU"/>
              </w:rPr>
              <w:t>WB or ADB</w:t>
            </w:r>
          </w:p>
        </w:tc>
      </w:tr>
      <w:tr w:rsidR="007E6186" w:rsidRPr="00D52747" w14:paraId="44ABAA4C" w14:textId="77777777" w:rsidTr="00D6282B">
        <w:trPr>
          <w:trHeight w:val="900"/>
        </w:trPr>
        <w:tc>
          <w:tcPr>
            <w:tcW w:w="1843" w:type="dxa"/>
            <w:tcBorders>
              <w:top w:val="nil"/>
              <w:left w:val="nil"/>
              <w:bottom w:val="nil"/>
              <w:right w:val="nil"/>
            </w:tcBorders>
            <w:shd w:val="clear" w:color="000000" w:fill="BDD7EE"/>
            <w:hideMark/>
          </w:tcPr>
          <w:p w14:paraId="20BE4D8F"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r w:rsidRPr="00D52747">
              <w:rPr>
                <w:rFonts w:ascii="Calibri" w:eastAsia="Times New Roman" w:hAnsi="Calibri" w:cs="Calibri"/>
                <w:color w:val="000000"/>
                <w:sz w:val="18"/>
                <w:szCs w:val="18"/>
                <w:lang w:eastAsia="en-AU"/>
              </w:rPr>
              <w:t>Extending access to communications</w:t>
            </w:r>
          </w:p>
        </w:tc>
        <w:tc>
          <w:tcPr>
            <w:tcW w:w="1190" w:type="dxa"/>
            <w:tcBorders>
              <w:top w:val="nil"/>
              <w:left w:val="nil"/>
              <w:bottom w:val="nil"/>
              <w:right w:val="nil"/>
            </w:tcBorders>
            <w:shd w:val="clear" w:color="000000" w:fill="BDD7EE"/>
            <w:hideMark/>
          </w:tcPr>
          <w:p w14:paraId="3FB23DDE"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r w:rsidRPr="00D52747">
              <w:rPr>
                <w:rFonts w:ascii="Calibri" w:eastAsia="Times New Roman" w:hAnsi="Calibri" w:cs="Calibri"/>
                <w:color w:val="000000"/>
                <w:sz w:val="18"/>
                <w:szCs w:val="18"/>
                <w:lang w:eastAsia="en-AU"/>
              </w:rPr>
              <w:t>D - South Asia</w:t>
            </w:r>
          </w:p>
        </w:tc>
        <w:tc>
          <w:tcPr>
            <w:tcW w:w="2779" w:type="dxa"/>
            <w:tcBorders>
              <w:top w:val="nil"/>
              <w:left w:val="nil"/>
              <w:bottom w:val="nil"/>
              <w:right w:val="nil"/>
            </w:tcBorders>
            <w:shd w:val="clear" w:color="000000" w:fill="BDD7EE"/>
            <w:hideMark/>
          </w:tcPr>
          <w:p w14:paraId="33FC3C19"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r w:rsidRPr="00D52747">
              <w:rPr>
                <w:rFonts w:ascii="Calibri" w:eastAsia="Times New Roman" w:hAnsi="Calibri" w:cs="Calibri"/>
                <w:color w:val="000000"/>
                <w:sz w:val="18"/>
                <w:szCs w:val="18"/>
                <w:lang w:eastAsia="en-AU"/>
              </w:rPr>
              <w:t>Infrastructure and Connectivity program</w:t>
            </w:r>
          </w:p>
        </w:tc>
        <w:tc>
          <w:tcPr>
            <w:tcW w:w="1985" w:type="dxa"/>
            <w:tcBorders>
              <w:top w:val="nil"/>
              <w:left w:val="nil"/>
              <w:bottom w:val="nil"/>
              <w:right w:val="nil"/>
            </w:tcBorders>
            <w:shd w:val="clear" w:color="000000" w:fill="FCE4D6"/>
            <w:hideMark/>
          </w:tcPr>
          <w:p w14:paraId="6E9A6BBD"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r w:rsidRPr="00D52747">
              <w:rPr>
                <w:rFonts w:ascii="Calibri" w:eastAsia="Times New Roman" w:hAnsi="Calibri" w:cs="Calibri"/>
                <w:color w:val="000000"/>
                <w:sz w:val="18"/>
                <w:szCs w:val="18"/>
                <w:lang w:eastAsia="en-AU"/>
              </w:rPr>
              <w:t>Equity, loans or guarantees for private companies - still unclear</w:t>
            </w:r>
          </w:p>
        </w:tc>
        <w:tc>
          <w:tcPr>
            <w:tcW w:w="1275" w:type="dxa"/>
            <w:tcBorders>
              <w:top w:val="nil"/>
              <w:left w:val="nil"/>
              <w:bottom w:val="nil"/>
              <w:right w:val="nil"/>
            </w:tcBorders>
            <w:shd w:val="clear" w:color="000000" w:fill="FFC7CE"/>
            <w:hideMark/>
          </w:tcPr>
          <w:p w14:paraId="352417A3" w14:textId="77777777" w:rsidR="007E6186" w:rsidRPr="00D52747" w:rsidRDefault="007E6186" w:rsidP="00D6282B">
            <w:pPr>
              <w:spacing w:after="0" w:line="240" w:lineRule="auto"/>
              <w:rPr>
                <w:rFonts w:ascii="Calibri" w:eastAsia="Times New Roman" w:hAnsi="Calibri" w:cs="Calibri"/>
                <w:color w:val="9C0006"/>
                <w:sz w:val="18"/>
                <w:szCs w:val="18"/>
                <w:lang w:eastAsia="en-AU"/>
              </w:rPr>
            </w:pPr>
            <w:r w:rsidRPr="00D52747">
              <w:rPr>
                <w:rFonts w:ascii="Calibri" w:eastAsia="Times New Roman" w:hAnsi="Calibri" w:cs="Calibri"/>
                <w:color w:val="9C0006"/>
                <w:sz w:val="18"/>
                <w:szCs w:val="18"/>
                <w:lang w:eastAsia="en-AU"/>
              </w:rPr>
              <w:t>Unclear</w:t>
            </w:r>
          </w:p>
        </w:tc>
      </w:tr>
      <w:tr w:rsidR="007E6186" w:rsidRPr="00D52747" w14:paraId="1071CC9B" w14:textId="77777777" w:rsidTr="00D6282B">
        <w:trPr>
          <w:trHeight w:val="975"/>
        </w:trPr>
        <w:tc>
          <w:tcPr>
            <w:tcW w:w="1843" w:type="dxa"/>
            <w:tcBorders>
              <w:top w:val="nil"/>
              <w:left w:val="nil"/>
              <w:bottom w:val="nil"/>
              <w:right w:val="nil"/>
            </w:tcBorders>
            <w:shd w:val="clear" w:color="000000" w:fill="BDD7EE"/>
            <w:hideMark/>
          </w:tcPr>
          <w:p w14:paraId="08B0F689"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r w:rsidRPr="00D52747">
              <w:rPr>
                <w:rFonts w:ascii="Calibri" w:eastAsia="Times New Roman" w:hAnsi="Calibri" w:cs="Calibri"/>
                <w:color w:val="000000"/>
                <w:sz w:val="18"/>
                <w:szCs w:val="18"/>
                <w:lang w:eastAsia="en-AU"/>
              </w:rPr>
              <w:t>Privately-owned infrastructure with economic and social benefit</w:t>
            </w:r>
          </w:p>
        </w:tc>
        <w:tc>
          <w:tcPr>
            <w:tcW w:w="1190" w:type="dxa"/>
            <w:tcBorders>
              <w:top w:val="nil"/>
              <w:left w:val="nil"/>
              <w:bottom w:val="nil"/>
              <w:right w:val="nil"/>
            </w:tcBorders>
            <w:shd w:val="clear" w:color="000000" w:fill="BDD7EE"/>
            <w:noWrap/>
            <w:hideMark/>
          </w:tcPr>
          <w:p w14:paraId="07EE9FD8"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r w:rsidRPr="00D52747">
              <w:rPr>
                <w:rFonts w:ascii="Calibri" w:eastAsia="Times New Roman" w:hAnsi="Calibri" w:cs="Calibri"/>
                <w:color w:val="000000"/>
                <w:sz w:val="18"/>
                <w:szCs w:val="18"/>
                <w:lang w:eastAsia="en-AU"/>
              </w:rPr>
              <w:t>D - Vietnam</w:t>
            </w:r>
          </w:p>
        </w:tc>
        <w:tc>
          <w:tcPr>
            <w:tcW w:w="2779" w:type="dxa"/>
            <w:tcBorders>
              <w:top w:val="nil"/>
              <w:left w:val="nil"/>
              <w:bottom w:val="nil"/>
              <w:right w:val="nil"/>
            </w:tcBorders>
            <w:shd w:val="clear" w:color="000000" w:fill="BDD7EE"/>
            <w:hideMark/>
          </w:tcPr>
          <w:p w14:paraId="6876CC2D"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r w:rsidRPr="00D52747">
              <w:rPr>
                <w:rFonts w:ascii="Calibri" w:eastAsia="Times New Roman" w:hAnsi="Calibri" w:cs="Calibri"/>
                <w:color w:val="000000"/>
                <w:sz w:val="18"/>
                <w:szCs w:val="18"/>
                <w:lang w:eastAsia="en-AU"/>
              </w:rPr>
              <w:t>PPPs to deliver major projects at provincial level</w:t>
            </w:r>
          </w:p>
        </w:tc>
        <w:tc>
          <w:tcPr>
            <w:tcW w:w="1985" w:type="dxa"/>
            <w:tcBorders>
              <w:top w:val="nil"/>
              <w:left w:val="nil"/>
              <w:bottom w:val="nil"/>
              <w:right w:val="nil"/>
            </w:tcBorders>
            <w:shd w:val="clear" w:color="000000" w:fill="FCE4D6"/>
            <w:hideMark/>
          </w:tcPr>
          <w:p w14:paraId="3083C8B8" w14:textId="77777777" w:rsidR="007E6186" w:rsidRPr="00D52747" w:rsidRDefault="007E6186" w:rsidP="00D6282B">
            <w:pPr>
              <w:spacing w:after="0" w:line="240" w:lineRule="auto"/>
              <w:rPr>
                <w:rFonts w:ascii="Calibri" w:eastAsia="Times New Roman" w:hAnsi="Calibri" w:cs="Calibri"/>
                <w:color w:val="000000"/>
                <w:sz w:val="18"/>
                <w:szCs w:val="18"/>
                <w:lang w:eastAsia="en-AU"/>
              </w:rPr>
            </w:pPr>
            <w:r w:rsidRPr="00D52747">
              <w:rPr>
                <w:rFonts w:ascii="Calibri" w:eastAsia="Times New Roman" w:hAnsi="Calibri" w:cs="Calibri"/>
                <w:color w:val="000000"/>
                <w:sz w:val="18"/>
                <w:szCs w:val="18"/>
                <w:lang w:eastAsia="en-AU"/>
              </w:rPr>
              <w:t>Subordinated loans or equity - still unclear</w:t>
            </w:r>
          </w:p>
        </w:tc>
        <w:tc>
          <w:tcPr>
            <w:tcW w:w="1275" w:type="dxa"/>
            <w:tcBorders>
              <w:top w:val="nil"/>
              <w:left w:val="nil"/>
              <w:bottom w:val="nil"/>
              <w:right w:val="nil"/>
            </w:tcBorders>
            <w:shd w:val="clear" w:color="000000" w:fill="FFC7CE"/>
            <w:noWrap/>
            <w:hideMark/>
          </w:tcPr>
          <w:p w14:paraId="4AB803AC" w14:textId="77777777" w:rsidR="007E6186" w:rsidRPr="00D52747" w:rsidRDefault="007E6186" w:rsidP="00D6282B">
            <w:pPr>
              <w:spacing w:after="0" w:line="240" w:lineRule="auto"/>
              <w:rPr>
                <w:rFonts w:ascii="Calibri" w:eastAsia="Times New Roman" w:hAnsi="Calibri" w:cs="Calibri"/>
                <w:color w:val="9C0006"/>
                <w:sz w:val="18"/>
                <w:szCs w:val="18"/>
                <w:lang w:eastAsia="en-AU"/>
              </w:rPr>
            </w:pPr>
            <w:r w:rsidRPr="00D52747">
              <w:rPr>
                <w:rFonts w:ascii="Calibri" w:eastAsia="Times New Roman" w:hAnsi="Calibri" w:cs="Calibri"/>
                <w:color w:val="9C0006"/>
                <w:sz w:val="18"/>
                <w:szCs w:val="18"/>
                <w:lang w:eastAsia="en-AU"/>
              </w:rPr>
              <w:t>Unclear</w:t>
            </w:r>
          </w:p>
        </w:tc>
      </w:tr>
    </w:tbl>
    <w:p w14:paraId="3F0E60B4" w14:textId="77777777" w:rsidR="007E6186" w:rsidRDefault="007E6186" w:rsidP="009E1360">
      <w:pPr>
        <w:spacing w:before="120" w:after="120" w:line="240" w:lineRule="auto"/>
        <w:rPr>
          <w:color w:val="002060"/>
          <w:sz w:val="24"/>
          <w:szCs w:val="24"/>
        </w:rPr>
      </w:pPr>
    </w:p>
    <w:p w14:paraId="12A63E14" w14:textId="77777777" w:rsidR="00DB15C8" w:rsidRPr="007F74B4" w:rsidRDefault="00DB15C8" w:rsidP="00E84878">
      <w:pPr>
        <w:pStyle w:val="Heading2"/>
      </w:pPr>
      <w:bookmarkStart w:id="13" w:name="_Toc531965940"/>
      <w:r w:rsidRPr="007F74B4">
        <w:lastRenderedPageBreak/>
        <w:t>Recommendations</w:t>
      </w:r>
      <w:bookmarkEnd w:id="13"/>
    </w:p>
    <w:p w14:paraId="0EA841F6" w14:textId="7C04C239" w:rsidR="00DB15C8" w:rsidRDefault="00DB15C8" w:rsidP="000F209C">
      <w:pPr>
        <w:pStyle w:val="ListParagraph"/>
        <w:numPr>
          <w:ilvl w:val="0"/>
          <w:numId w:val="29"/>
        </w:numPr>
        <w:spacing w:before="120" w:after="120" w:line="240" w:lineRule="auto"/>
        <w:ind w:left="714" w:hanging="357"/>
        <w:contextualSpacing w:val="0"/>
      </w:pPr>
      <w:r w:rsidRPr="00465AB8">
        <w:rPr>
          <w:b/>
        </w:rPr>
        <w:t xml:space="preserve">A full range of financing instruments, including both </w:t>
      </w:r>
      <w:r>
        <w:rPr>
          <w:b/>
        </w:rPr>
        <w:t>NGF</w:t>
      </w:r>
      <w:r w:rsidR="00515A7C">
        <w:rPr>
          <w:b/>
        </w:rPr>
        <w:t xml:space="preserve"> </w:t>
      </w:r>
      <w:r w:rsidRPr="00465AB8">
        <w:rPr>
          <w:b/>
        </w:rPr>
        <w:t>and innovative uses of grants, should be available for the development assistance program.</w:t>
      </w:r>
      <w:r>
        <w:t xml:space="preserve">  </w:t>
      </w:r>
      <w:r w:rsidR="00EB5272">
        <w:t>This will require a change from the present ODA cap to new budget rules relating NGF operations to appropriations for development assistance.</w:t>
      </w:r>
    </w:p>
    <w:p w14:paraId="67F732C9" w14:textId="6965FAAD" w:rsidR="00DB15C8" w:rsidRDefault="00DB15C8" w:rsidP="000F209C">
      <w:pPr>
        <w:pStyle w:val="ListParagraph"/>
        <w:numPr>
          <w:ilvl w:val="0"/>
          <w:numId w:val="29"/>
        </w:numPr>
        <w:spacing w:before="120" w:after="120" w:line="240" w:lineRule="auto"/>
        <w:ind w:left="714" w:hanging="357"/>
        <w:contextualSpacing w:val="0"/>
      </w:pPr>
      <w:r w:rsidRPr="00465AB8">
        <w:rPr>
          <w:b/>
        </w:rPr>
        <w:t>Judgements of what type of financing is most effective should be made according to the specifics of each situation in which a choice arises.</w:t>
      </w:r>
      <w:r>
        <w:t xml:space="preserve"> Assessments should be made by a specified method, and with enough specialist advice. They should also be integrated with how country and program strategies are </w:t>
      </w:r>
      <w:proofErr w:type="gramStart"/>
      <w:r>
        <w:t>determined</w:t>
      </w:r>
      <w:proofErr w:type="gramEnd"/>
      <w:r>
        <w:t xml:space="preserve"> and allocations made from the program’s budget appropriations.  </w:t>
      </w:r>
    </w:p>
    <w:p w14:paraId="1164409C" w14:textId="6CF5A0BF" w:rsidR="00DB15C8" w:rsidRDefault="00DB15C8" w:rsidP="000F209C">
      <w:pPr>
        <w:pStyle w:val="ListParagraph"/>
        <w:numPr>
          <w:ilvl w:val="0"/>
          <w:numId w:val="29"/>
        </w:numPr>
        <w:spacing w:before="120" w:after="120" w:line="240" w:lineRule="auto"/>
        <w:ind w:left="714" w:hanging="357"/>
        <w:contextualSpacing w:val="0"/>
      </w:pPr>
      <w:r w:rsidRPr="00465AB8">
        <w:rPr>
          <w:b/>
        </w:rPr>
        <w:t xml:space="preserve">There should be full flexibility about the degree of </w:t>
      </w:r>
      <w:proofErr w:type="spellStart"/>
      <w:r w:rsidRPr="00465AB8">
        <w:rPr>
          <w:b/>
        </w:rPr>
        <w:t>concessionality</w:t>
      </w:r>
      <w:proofErr w:type="spellEnd"/>
      <w:r w:rsidRPr="00465AB8">
        <w:rPr>
          <w:b/>
        </w:rPr>
        <w:t xml:space="preserve"> or financial support available to apply in each situation.</w:t>
      </w:r>
      <w:r>
        <w:t xml:space="preserve"> This </w:t>
      </w:r>
      <w:r w:rsidR="00EF34FB">
        <w:t>flexibility is</w:t>
      </w:r>
      <w:r>
        <w:t xml:space="preserve"> preferable to using bands according to countries’ income levels or other rules, but </w:t>
      </w:r>
      <w:r w:rsidR="00EF34FB">
        <w:t>it</w:t>
      </w:r>
      <w:r>
        <w:t xml:space="preserve"> should be employed as far as possible in accord with the principles and best practices used by MDBs and </w:t>
      </w:r>
      <w:r w:rsidR="007362DF">
        <w:t xml:space="preserve">development finance institutions (DFIs) </w:t>
      </w:r>
      <w:r>
        <w:t>in blended finance.</w:t>
      </w:r>
    </w:p>
    <w:p w14:paraId="4E0F5040" w14:textId="5C4FE769" w:rsidR="00DB15C8" w:rsidRDefault="00DB15C8" w:rsidP="000F209C">
      <w:pPr>
        <w:pStyle w:val="ListParagraph"/>
        <w:numPr>
          <w:ilvl w:val="0"/>
          <w:numId w:val="29"/>
        </w:numPr>
        <w:spacing w:before="120" w:after="120" w:line="240" w:lineRule="auto"/>
        <w:ind w:left="714" w:hanging="357"/>
        <w:contextualSpacing w:val="0"/>
      </w:pPr>
      <w:r w:rsidRPr="00465AB8">
        <w:rPr>
          <w:b/>
        </w:rPr>
        <w:t xml:space="preserve">Separate accounts </w:t>
      </w:r>
      <w:r w:rsidR="008E5B03">
        <w:rPr>
          <w:b/>
        </w:rPr>
        <w:t>would have to</w:t>
      </w:r>
      <w:r w:rsidRPr="00465AB8">
        <w:rPr>
          <w:b/>
        </w:rPr>
        <w:t xml:space="preserve"> be kept for the financial assets created by loans, purchases of equity or hybrid types of finance.</w:t>
      </w:r>
      <w:r>
        <w:t xml:space="preserve"> </w:t>
      </w:r>
      <w:r w:rsidR="00EF34FB">
        <w:t>While</w:t>
      </w:r>
      <w:r w:rsidRPr="00A63EC9">
        <w:t xml:space="preserve"> </w:t>
      </w:r>
      <w:r w:rsidR="008E5B03" w:rsidRPr="00A63EC9">
        <w:t xml:space="preserve">necessary for audit reasons, </w:t>
      </w:r>
      <w:r w:rsidR="00EF34FB">
        <w:t xml:space="preserve">this </w:t>
      </w:r>
      <w:r w:rsidR="008E5B03">
        <w:t xml:space="preserve">would </w:t>
      </w:r>
      <w:r w:rsidR="00EF34FB">
        <w:t xml:space="preserve">also </w:t>
      </w:r>
      <w:r w:rsidR="008E5B03">
        <w:t>provide for</w:t>
      </w:r>
      <w:r>
        <w:t xml:space="preserve"> track</w:t>
      </w:r>
      <w:r w:rsidR="008E5B03">
        <w:t>ing</w:t>
      </w:r>
      <w:r>
        <w:t xml:space="preserve"> through time the increase or decrease in value of these assets, individually and as a portfolio.</w:t>
      </w:r>
    </w:p>
    <w:p w14:paraId="3C868E34" w14:textId="13040472" w:rsidR="00DB15C8" w:rsidRDefault="00EF34FB" w:rsidP="000F209C">
      <w:pPr>
        <w:pStyle w:val="ListParagraph"/>
        <w:numPr>
          <w:ilvl w:val="0"/>
          <w:numId w:val="29"/>
        </w:numPr>
        <w:spacing w:before="120" w:after="120" w:line="240" w:lineRule="auto"/>
        <w:ind w:left="714" w:hanging="357"/>
        <w:contextualSpacing w:val="0"/>
      </w:pPr>
      <w:r>
        <w:rPr>
          <w:b/>
        </w:rPr>
        <w:t>F</w:t>
      </w:r>
      <w:r w:rsidR="00DB15C8" w:rsidRPr="00465AB8">
        <w:rPr>
          <w:b/>
        </w:rPr>
        <w:t>inancial return</w:t>
      </w:r>
      <w:r>
        <w:rPr>
          <w:b/>
        </w:rPr>
        <w:t>s</w:t>
      </w:r>
      <w:r w:rsidR="00DB15C8" w:rsidRPr="00465AB8">
        <w:rPr>
          <w:b/>
        </w:rPr>
        <w:t xml:space="preserve"> should be </w:t>
      </w:r>
      <w:r>
        <w:rPr>
          <w:b/>
        </w:rPr>
        <w:t xml:space="preserve">sought from </w:t>
      </w:r>
      <w:proofErr w:type="gramStart"/>
      <w:r w:rsidR="00DB15C8">
        <w:rPr>
          <w:b/>
        </w:rPr>
        <w:t>NGF</w:t>
      </w:r>
      <w:proofErr w:type="gramEnd"/>
      <w:r w:rsidR="00DB15C8" w:rsidRPr="00465AB8">
        <w:rPr>
          <w:b/>
        </w:rPr>
        <w:t xml:space="preserve"> or innovative grants </w:t>
      </w:r>
      <w:r>
        <w:rPr>
          <w:b/>
        </w:rPr>
        <w:t>only as far as is consistent with</w:t>
      </w:r>
      <w:r w:rsidRPr="00465AB8">
        <w:rPr>
          <w:b/>
        </w:rPr>
        <w:t xml:space="preserve"> development purposes</w:t>
      </w:r>
      <w:r w:rsidR="00DB15C8" w:rsidRPr="00465AB8">
        <w:rPr>
          <w:b/>
        </w:rPr>
        <w:t>.</w:t>
      </w:r>
      <w:r w:rsidR="00DB15C8">
        <w:t xml:space="preserve"> There should be the same insistence on upholding the full set of standards and safeguards </w:t>
      </w:r>
      <w:r>
        <w:t>in the development assistance program whatever</w:t>
      </w:r>
      <w:r w:rsidR="00DB15C8">
        <w:t xml:space="preserve"> the form of financing chosen.</w:t>
      </w:r>
    </w:p>
    <w:p w14:paraId="110A2A66" w14:textId="54DC9887" w:rsidR="00DB15C8" w:rsidRDefault="00DB15C8">
      <w:pPr>
        <w:pStyle w:val="ListParagraph"/>
        <w:numPr>
          <w:ilvl w:val="0"/>
          <w:numId w:val="29"/>
        </w:numPr>
        <w:spacing w:before="120" w:after="120" w:line="240" w:lineRule="auto"/>
        <w:ind w:left="714" w:hanging="357"/>
        <w:contextualSpacing w:val="0"/>
      </w:pPr>
      <w:r w:rsidRPr="006223AD">
        <w:rPr>
          <w:b/>
        </w:rPr>
        <w:t xml:space="preserve">Using </w:t>
      </w:r>
      <w:bookmarkStart w:id="14" w:name="_Hlk529988110"/>
      <w:r w:rsidRPr="006223AD">
        <w:rPr>
          <w:b/>
        </w:rPr>
        <w:t xml:space="preserve">NGF or innovative grants </w:t>
      </w:r>
      <w:bookmarkEnd w:id="14"/>
      <w:r w:rsidRPr="006223AD">
        <w:rPr>
          <w:b/>
        </w:rPr>
        <w:t>may in some cases mean having new, less well</w:t>
      </w:r>
      <w:r w:rsidRPr="006223AD">
        <w:rPr>
          <w:b/>
        </w:rPr>
        <w:noBreakHyphen/>
        <w:t>known counterparts as project developers, investment managers or lead financiers.</w:t>
      </w:r>
      <w:r>
        <w:t xml:space="preserve"> In these </w:t>
      </w:r>
      <w:proofErr w:type="gramStart"/>
      <w:r>
        <w:t>cases</w:t>
      </w:r>
      <w:proofErr w:type="gramEnd"/>
      <w:r>
        <w:t xml:space="preserve"> there will be an additional task to en</w:t>
      </w:r>
      <w:r w:rsidR="00FB10F6">
        <w:t>s</w:t>
      </w:r>
      <w:r>
        <w:t xml:space="preserve">ure </w:t>
      </w:r>
      <w:r w:rsidRPr="009268BB">
        <w:t xml:space="preserve">the </w:t>
      </w:r>
      <w:r w:rsidR="00FB10F6">
        <w:t>full set of</w:t>
      </w:r>
      <w:r>
        <w:t xml:space="preserve"> </w:t>
      </w:r>
      <w:r w:rsidR="00FB10F6">
        <w:t xml:space="preserve">program </w:t>
      </w:r>
      <w:r w:rsidRPr="009268BB">
        <w:t>standards and safeguards</w:t>
      </w:r>
      <w:r>
        <w:t xml:space="preserve"> </w:t>
      </w:r>
      <w:r w:rsidR="00FB10F6">
        <w:t>is</w:t>
      </w:r>
      <w:r>
        <w:t xml:space="preserve"> upheld, and additional capability will be needed</w:t>
      </w:r>
      <w:r w:rsidRPr="00164C15">
        <w:t xml:space="preserve"> </w:t>
      </w:r>
      <w:r>
        <w:t>for this.</w:t>
      </w:r>
    </w:p>
    <w:p w14:paraId="4E0945CC" w14:textId="77777777" w:rsidR="00DB15C8" w:rsidRDefault="00DB15C8" w:rsidP="000F209C">
      <w:pPr>
        <w:pStyle w:val="ListParagraph"/>
        <w:numPr>
          <w:ilvl w:val="0"/>
          <w:numId w:val="29"/>
        </w:numPr>
        <w:spacing w:before="120" w:after="120" w:line="240" w:lineRule="auto"/>
        <w:ind w:left="714" w:hanging="357"/>
        <w:contextualSpacing w:val="0"/>
      </w:pPr>
      <w:r>
        <w:rPr>
          <w:b/>
        </w:rPr>
        <w:t>Accordingly,</w:t>
      </w:r>
      <w:r w:rsidRPr="00465AB8">
        <w:rPr>
          <w:b/>
        </w:rPr>
        <w:t xml:space="preserve"> progress should be made from secondary to primary financing roles only as capability for this is developed.</w:t>
      </w:r>
      <w:r>
        <w:t xml:space="preserve"> The use of NGF</w:t>
      </w:r>
      <w:r w:rsidRPr="003F44FF">
        <w:t xml:space="preserve"> or innovative grants</w:t>
      </w:r>
      <w:r>
        <w:t xml:space="preserve"> should begin in partnerships with MDBs, DFIs or other financiers with established, largely satisfactory systems for ensuring development impact, </w:t>
      </w:r>
      <w:proofErr w:type="gramStart"/>
      <w:r>
        <w:t>standards</w:t>
      </w:r>
      <w:proofErr w:type="gramEnd"/>
      <w:r>
        <w:t xml:space="preserve"> and safeguards. </w:t>
      </w:r>
    </w:p>
    <w:p w14:paraId="54C78C88" w14:textId="7FDB025B" w:rsidR="00DB15C8" w:rsidRDefault="00DB15C8" w:rsidP="000F209C">
      <w:pPr>
        <w:pStyle w:val="ListParagraph"/>
        <w:numPr>
          <w:ilvl w:val="0"/>
          <w:numId w:val="29"/>
        </w:numPr>
        <w:spacing w:before="120" w:after="120" w:line="240" w:lineRule="auto"/>
        <w:ind w:left="714" w:hanging="357"/>
        <w:contextualSpacing w:val="0"/>
      </w:pPr>
      <w:r w:rsidRPr="00465AB8">
        <w:rPr>
          <w:rFonts w:ascii="Calibri" w:eastAsia="Times New Roman" w:hAnsi="Calibri" w:cs="Calibri"/>
          <w:b/>
          <w:bCs/>
          <w:color w:val="000000"/>
          <w:lang w:eastAsia="en-MY"/>
        </w:rPr>
        <w:t xml:space="preserve">Associations with like-minded Australian investors should be actively sought. </w:t>
      </w:r>
      <w:r>
        <w:t>Co</w:t>
      </w:r>
      <w:r>
        <w:noBreakHyphen/>
        <w:t>investors who share the development objectives of Australia’s development assistance program</w:t>
      </w:r>
      <w:r w:rsidR="00CC74BA">
        <w:t xml:space="preserve">, </w:t>
      </w:r>
      <w:r w:rsidR="00CC74BA" w:rsidRPr="00A63EC9">
        <w:t>such as social-impact investors</w:t>
      </w:r>
      <w:r w:rsidR="00CC74BA">
        <w:t>,</w:t>
      </w:r>
      <w:r>
        <w:t xml:space="preserve"> can provide opportunities to learn and build a basis for mobilising additional sources of Australian investment.</w:t>
      </w:r>
    </w:p>
    <w:p w14:paraId="06672D0E" w14:textId="4B865B20" w:rsidR="00DB15C8" w:rsidRDefault="00DB15C8" w:rsidP="000F209C">
      <w:pPr>
        <w:pStyle w:val="ListParagraph"/>
        <w:numPr>
          <w:ilvl w:val="0"/>
          <w:numId w:val="29"/>
        </w:numPr>
        <w:spacing w:before="120" w:after="120" w:line="240" w:lineRule="auto"/>
        <w:ind w:left="714" w:hanging="357"/>
        <w:contextualSpacing w:val="0"/>
      </w:pPr>
      <w:r w:rsidRPr="00465AB8">
        <w:rPr>
          <w:b/>
        </w:rPr>
        <w:t>Given limits on Australia’s ability to offer financing which competes simply by its amount and the softness of its terms, the development assistance</w:t>
      </w:r>
      <w:r>
        <w:rPr>
          <w:b/>
        </w:rPr>
        <w:t xml:space="preserve"> program </w:t>
      </w:r>
      <w:r w:rsidRPr="00465AB8">
        <w:rPr>
          <w:b/>
        </w:rPr>
        <w:t>should make the most of other positive features</w:t>
      </w:r>
      <w:r>
        <w:t xml:space="preserve">: accompanying assistance in project design, implementation and quality assurance, related assistance </w:t>
      </w:r>
      <w:proofErr w:type="gramStart"/>
      <w:r>
        <w:t>in regard to</w:t>
      </w:r>
      <w:proofErr w:type="gramEnd"/>
      <w:r>
        <w:t xml:space="preserve"> regulatory and policy context,</w:t>
      </w:r>
      <w:r w:rsidRPr="00A61828">
        <w:t xml:space="preserve"> </w:t>
      </w:r>
      <w:r>
        <w:t>or links with relevant expertise in Australian companies, utilities or research institutions.</w:t>
      </w:r>
    </w:p>
    <w:p w14:paraId="65FAAE85" w14:textId="254C1B85" w:rsidR="00DB15C8" w:rsidRPr="001929B2" w:rsidRDefault="00DB15C8" w:rsidP="00C04BA5">
      <w:pPr>
        <w:pStyle w:val="ListParagraph"/>
        <w:numPr>
          <w:ilvl w:val="0"/>
          <w:numId w:val="29"/>
        </w:numPr>
        <w:spacing w:before="120" w:after="120" w:line="240" w:lineRule="auto"/>
        <w:ind w:left="714" w:hanging="357"/>
        <w:contextualSpacing w:val="0"/>
        <w:rPr>
          <w:b/>
        </w:rPr>
      </w:pPr>
      <w:r w:rsidRPr="001929B2">
        <w:rPr>
          <w:b/>
        </w:rPr>
        <w:t>Offering a range of forms of financing would provide additional opportunities for cooperation or co</w:t>
      </w:r>
      <w:r w:rsidRPr="001929B2">
        <w:rPr>
          <w:b/>
        </w:rPr>
        <w:noBreakHyphen/>
        <w:t>financing with the MDBs</w:t>
      </w:r>
      <w:r>
        <w:t>. At the same time, there would be opportunities to finance independently of them in situations where their priorities or practices are not sufficiently aligned with those of the development assistance program.</w:t>
      </w:r>
      <w:r w:rsidRPr="001929B2">
        <w:rPr>
          <w:b/>
        </w:rPr>
        <w:br w:type="page"/>
      </w:r>
    </w:p>
    <w:p w14:paraId="2A62F047" w14:textId="73C88253" w:rsidR="006223AD" w:rsidRPr="006223AD" w:rsidRDefault="006223AD" w:rsidP="006223AD">
      <w:pPr>
        <w:numPr>
          <w:ilvl w:val="0"/>
          <w:numId w:val="29"/>
        </w:numPr>
        <w:spacing w:before="120" w:after="120" w:line="240" w:lineRule="auto"/>
        <w:ind w:left="714" w:hanging="357"/>
      </w:pPr>
      <w:r w:rsidRPr="006223AD">
        <w:rPr>
          <w:b/>
        </w:rPr>
        <w:lastRenderedPageBreak/>
        <w:t xml:space="preserve">The next decisions should be for Ministers to approve in principle the provision of NGF, </w:t>
      </w:r>
      <w:r w:rsidR="0072468D">
        <w:rPr>
          <w:b/>
        </w:rPr>
        <w:t xml:space="preserve">replace the ODA cap with new budget rules accommodating NGF, </w:t>
      </w:r>
      <w:r w:rsidRPr="006223AD">
        <w:rPr>
          <w:b/>
        </w:rPr>
        <w:t>and form a high-level working group to undertake or guide the following actions:</w:t>
      </w:r>
    </w:p>
    <w:p w14:paraId="30A89954" w14:textId="77777777" w:rsidR="006223AD" w:rsidRPr="006223AD" w:rsidRDefault="006223AD" w:rsidP="006223AD">
      <w:pPr>
        <w:numPr>
          <w:ilvl w:val="0"/>
          <w:numId w:val="28"/>
        </w:numPr>
        <w:spacing w:before="120" w:after="120" w:line="240" w:lineRule="auto"/>
        <w:ind w:left="1080"/>
      </w:pPr>
      <w:r w:rsidRPr="006223AD">
        <w:t>prepare drafting instructions for legislation to authorise DFAT to offer a full range of financing or credit</w:t>
      </w:r>
      <w:r w:rsidRPr="006223AD">
        <w:noBreakHyphen/>
        <w:t>enhancement instruments for development assistance</w:t>
      </w:r>
      <w:r w:rsidRPr="006223AD" w:rsidDel="004B1678">
        <w:t xml:space="preserve"> </w:t>
      </w:r>
    </w:p>
    <w:p w14:paraId="4F0EF492" w14:textId="77777777" w:rsidR="006223AD" w:rsidRPr="006223AD" w:rsidRDefault="006223AD" w:rsidP="006223AD">
      <w:pPr>
        <w:numPr>
          <w:ilvl w:val="0"/>
          <w:numId w:val="28"/>
        </w:numPr>
        <w:spacing w:before="120" w:after="120" w:line="240" w:lineRule="auto"/>
        <w:ind w:left="1080"/>
      </w:pPr>
      <w:r w:rsidRPr="006223AD">
        <w:t>establish within DFAT a specialist support unit for this purpose and develop its operating framework, specifying in particular:</w:t>
      </w:r>
    </w:p>
    <w:p w14:paraId="0BC962B4" w14:textId="77777777" w:rsidR="006223AD" w:rsidRPr="006223AD" w:rsidRDefault="006223AD" w:rsidP="006223AD">
      <w:pPr>
        <w:numPr>
          <w:ilvl w:val="0"/>
          <w:numId w:val="27"/>
        </w:numPr>
        <w:spacing w:before="120" w:after="120" w:line="240" w:lineRule="auto"/>
        <w:ind w:left="1803"/>
      </w:pPr>
      <w:r w:rsidRPr="006223AD">
        <w:t>methods for assessment and documentation</w:t>
      </w:r>
    </w:p>
    <w:p w14:paraId="47DC48D0" w14:textId="77777777" w:rsidR="006223AD" w:rsidRPr="006223AD" w:rsidRDefault="006223AD" w:rsidP="006223AD">
      <w:pPr>
        <w:numPr>
          <w:ilvl w:val="0"/>
          <w:numId w:val="27"/>
        </w:numPr>
        <w:spacing w:before="120" w:after="120" w:line="240" w:lineRule="auto"/>
        <w:ind w:left="1803"/>
      </w:pPr>
      <w:r w:rsidRPr="006223AD">
        <w:t>methods for determining and adjusting offsets</w:t>
      </w:r>
    </w:p>
    <w:p w14:paraId="68E240F5" w14:textId="77777777" w:rsidR="006223AD" w:rsidRPr="006223AD" w:rsidRDefault="006223AD" w:rsidP="006223AD">
      <w:pPr>
        <w:numPr>
          <w:ilvl w:val="0"/>
          <w:numId w:val="27"/>
        </w:numPr>
        <w:spacing w:before="120" w:after="120" w:line="240" w:lineRule="auto"/>
        <w:ind w:left="1803"/>
      </w:pPr>
      <w:r w:rsidRPr="006223AD">
        <w:t xml:space="preserve">a method for monitoring financial assets </w:t>
      </w:r>
    </w:p>
    <w:p w14:paraId="4AE2D856" w14:textId="77777777" w:rsidR="006223AD" w:rsidRPr="006223AD" w:rsidRDefault="006223AD" w:rsidP="006223AD">
      <w:pPr>
        <w:numPr>
          <w:ilvl w:val="0"/>
          <w:numId w:val="27"/>
        </w:numPr>
        <w:spacing w:before="120" w:after="120" w:line="240" w:lineRule="auto"/>
        <w:ind w:left="1803"/>
      </w:pPr>
      <w:r w:rsidRPr="006223AD">
        <w:t xml:space="preserve">methods of accounting for commitments, disbursements, interest, dividends, </w:t>
      </w:r>
      <w:proofErr w:type="gramStart"/>
      <w:r w:rsidRPr="006223AD">
        <w:t>repayments</w:t>
      </w:r>
      <w:proofErr w:type="gramEnd"/>
      <w:r w:rsidRPr="006223AD">
        <w:t xml:space="preserve"> and sale proceeds.</w:t>
      </w:r>
    </w:p>
    <w:p w14:paraId="7B923334" w14:textId="69E3F207" w:rsidR="006223AD" w:rsidRPr="006223AD" w:rsidRDefault="006223AD" w:rsidP="006223AD">
      <w:pPr>
        <w:numPr>
          <w:ilvl w:val="0"/>
          <w:numId w:val="28"/>
        </w:numPr>
        <w:spacing w:before="120" w:after="120" w:line="240" w:lineRule="auto"/>
        <w:ind w:left="1080"/>
      </w:pPr>
      <w:r w:rsidRPr="006223AD">
        <w:t xml:space="preserve">seek the advice of </w:t>
      </w:r>
      <w:r w:rsidR="00585B03">
        <w:t>the Infrastructure and Project Financing Agency (</w:t>
      </w:r>
      <w:r w:rsidRPr="006223AD">
        <w:t>IPFA</w:t>
      </w:r>
      <w:r w:rsidR="00585B03">
        <w:t>)</w:t>
      </w:r>
      <w:r w:rsidRPr="006223AD">
        <w:t xml:space="preserve"> on this operating framework</w:t>
      </w:r>
      <w:r w:rsidR="00585B03">
        <w:t>,</w:t>
      </w:r>
      <w:r w:rsidRPr="006223AD">
        <w:t xml:space="preserve"> and agreement to it by </w:t>
      </w:r>
      <w:r w:rsidR="00585B03">
        <w:t xml:space="preserve">the </w:t>
      </w:r>
      <w:r w:rsidRPr="006223AD">
        <w:t>coordinating departments and their Ministers</w:t>
      </w:r>
    </w:p>
    <w:p w14:paraId="32C35B89" w14:textId="77777777" w:rsidR="006223AD" w:rsidRPr="006223AD" w:rsidRDefault="006223AD" w:rsidP="006223AD">
      <w:pPr>
        <w:numPr>
          <w:ilvl w:val="0"/>
          <w:numId w:val="28"/>
        </w:numPr>
        <w:spacing w:before="120" w:after="120" w:line="240" w:lineRule="auto"/>
        <w:ind w:left="1080"/>
      </w:pPr>
      <w:r w:rsidRPr="006223AD">
        <w:t>examine in more detail, in consultation with agencies of allied and like</w:t>
      </w:r>
      <w:r w:rsidRPr="006223AD">
        <w:noBreakHyphen/>
        <w:t>minded countries and expert advisers, the scope for use of new financing methods in the development assistance program, including the scope for more joint financing</w:t>
      </w:r>
    </w:p>
    <w:p w14:paraId="0B9B642D" w14:textId="77777777" w:rsidR="006223AD" w:rsidRPr="006223AD" w:rsidRDefault="006223AD" w:rsidP="006223AD">
      <w:pPr>
        <w:numPr>
          <w:ilvl w:val="0"/>
          <w:numId w:val="28"/>
        </w:numPr>
        <w:spacing w:before="120" w:after="120" w:line="240" w:lineRule="auto"/>
        <w:ind w:left="1080"/>
      </w:pPr>
      <w:r w:rsidRPr="006223AD">
        <w:t xml:space="preserve">plan the introduction and expansion of new financing methods in the development assistance program over coming years </w:t>
      </w:r>
    </w:p>
    <w:p w14:paraId="05A98906" w14:textId="142FD78E" w:rsidR="006223AD" w:rsidRPr="00E6754C" w:rsidRDefault="006223AD" w:rsidP="00E6754C">
      <w:pPr>
        <w:numPr>
          <w:ilvl w:val="0"/>
          <w:numId w:val="28"/>
        </w:numPr>
        <w:spacing w:before="120" w:after="120" w:line="240" w:lineRule="auto"/>
        <w:ind w:left="1080"/>
      </w:pPr>
      <w:r w:rsidRPr="006223AD">
        <w:t>advise on the best institutional option for the longer term</w:t>
      </w:r>
      <w:r w:rsidR="00B23468">
        <w:t>, in the light of the envisaged amounts and types of new financing methods, the most suitable application of budget principles, and the ODA eligibility of various instruments or institutions</w:t>
      </w:r>
      <w:r w:rsidRPr="006223AD">
        <w:t>.</w:t>
      </w:r>
    </w:p>
    <w:p w14:paraId="5EB50D60" w14:textId="1DE49607" w:rsidR="005219BC" w:rsidRPr="00595E70" w:rsidRDefault="005219BC" w:rsidP="005219BC">
      <w:pPr>
        <w:numPr>
          <w:ilvl w:val="0"/>
          <w:numId w:val="29"/>
        </w:numPr>
        <w:spacing w:before="120" w:after="120" w:line="240" w:lineRule="auto"/>
        <w:ind w:left="714" w:hanging="357"/>
        <w:rPr>
          <w:b/>
        </w:rPr>
      </w:pPr>
      <w:r w:rsidRPr="00595E70">
        <w:rPr>
          <w:b/>
        </w:rPr>
        <w:t xml:space="preserve">The </w:t>
      </w:r>
      <w:r>
        <w:rPr>
          <w:b/>
        </w:rPr>
        <w:t xml:space="preserve">following </w:t>
      </w:r>
      <w:r w:rsidR="001F441A">
        <w:rPr>
          <w:b/>
        </w:rPr>
        <w:t xml:space="preserve">decisions </w:t>
      </w:r>
      <w:r>
        <w:rPr>
          <w:b/>
        </w:rPr>
        <w:t>sh</w:t>
      </w:r>
      <w:r w:rsidRPr="00595E70">
        <w:rPr>
          <w:b/>
        </w:rPr>
        <w:t xml:space="preserve">ould be </w:t>
      </w:r>
      <w:r w:rsidR="001F441A">
        <w:rPr>
          <w:b/>
        </w:rPr>
        <w:t>made</w:t>
      </w:r>
      <w:r>
        <w:rPr>
          <w:b/>
        </w:rPr>
        <w:t xml:space="preserve"> in due course</w:t>
      </w:r>
      <w:r w:rsidR="001F441A">
        <w:rPr>
          <w:b/>
        </w:rPr>
        <w:t>, to</w:t>
      </w:r>
      <w:r w:rsidRPr="00595E70">
        <w:rPr>
          <w:b/>
        </w:rPr>
        <w:t>:</w:t>
      </w:r>
    </w:p>
    <w:p w14:paraId="62CF1110" w14:textId="77777777" w:rsidR="005219BC" w:rsidRDefault="005219BC" w:rsidP="005219BC">
      <w:pPr>
        <w:numPr>
          <w:ilvl w:val="0"/>
          <w:numId w:val="99"/>
        </w:numPr>
        <w:spacing w:before="120" w:after="120" w:line="240" w:lineRule="auto"/>
      </w:pPr>
      <w:r>
        <w:t xml:space="preserve">determine </w:t>
      </w:r>
      <w:r w:rsidRPr="005A5683">
        <w:t>the best institutional option for the longer term</w:t>
      </w:r>
    </w:p>
    <w:p w14:paraId="3CCE6FF3" w14:textId="77777777" w:rsidR="005219BC" w:rsidRPr="00087EFB" w:rsidRDefault="005219BC" w:rsidP="005219BC">
      <w:pPr>
        <w:numPr>
          <w:ilvl w:val="0"/>
          <w:numId w:val="99"/>
        </w:numPr>
        <w:spacing w:before="120" w:after="120" w:line="240" w:lineRule="auto"/>
      </w:pPr>
      <w:r w:rsidRPr="00087EFB">
        <w:t xml:space="preserve">prepare drafting instructions for </w:t>
      </w:r>
      <w:r>
        <w:t>additional</w:t>
      </w:r>
      <w:r w:rsidRPr="00087EFB">
        <w:t xml:space="preserve"> authorising legislation, if necessary</w:t>
      </w:r>
    </w:p>
    <w:p w14:paraId="56A98EA6" w14:textId="77777777" w:rsidR="005219BC" w:rsidRPr="00087EFB" w:rsidRDefault="005219BC" w:rsidP="005219BC">
      <w:pPr>
        <w:numPr>
          <w:ilvl w:val="0"/>
          <w:numId w:val="99"/>
        </w:numPr>
        <w:spacing w:before="120" w:after="120" w:line="240" w:lineRule="auto"/>
      </w:pPr>
      <w:r w:rsidRPr="00087EFB">
        <w:t>appoint an external advisory panel of people with relevant expertise, to help guide the expansion of new financing methods in the development assistance program, especially where coordination among institutions is needed</w:t>
      </w:r>
    </w:p>
    <w:p w14:paraId="41D25A2F" w14:textId="77777777" w:rsidR="005219BC" w:rsidRPr="00087EFB" w:rsidRDefault="005219BC" w:rsidP="005219BC">
      <w:pPr>
        <w:numPr>
          <w:ilvl w:val="0"/>
          <w:numId w:val="99"/>
        </w:numPr>
        <w:spacing w:before="120" w:after="120" w:line="240" w:lineRule="auto"/>
      </w:pPr>
      <w:r w:rsidRPr="00087EFB">
        <w:t xml:space="preserve">publish a discussion paper to inform the interested public </w:t>
      </w:r>
      <w:r>
        <w:t>about this expansion and</w:t>
      </w:r>
      <w:r w:rsidRPr="00087EFB">
        <w:t xml:space="preserve"> the </w:t>
      </w:r>
      <w:r>
        <w:t>chosen</w:t>
      </w:r>
      <w:r w:rsidRPr="00087EFB">
        <w:t xml:space="preserve"> institutional option</w:t>
      </w:r>
      <w:r>
        <w:t>.</w:t>
      </w:r>
    </w:p>
    <w:p w14:paraId="3E5E189C" w14:textId="77777777" w:rsidR="00DB15C8" w:rsidRPr="0087315E" w:rsidRDefault="00DB15C8" w:rsidP="00DB15C8">
      <w:pPr>
        <w:spacing w:before="120" w:after="120" w:line="240" w:lineRule="auto"/>
        <w:rPr>
          <w:rFonts w:ascii="Calibri" w:eastAsia="Arial" w:hAnsi="Calibri" w:cs="Calibri"/>
          <w:lang w:eastAsia="zh-CN"/>
        </w:rPr>
      </w:pPr>
    </w:p>
    <w:p w14:paraId="3AE2E433" w14:textId="77777777" w:rsidR="00DB15C8" w:rsidRPr="0087315E" w:rsidRDefault="00DB15C8" w:rsidP="00DB15C8">
      <w:pPr>
        <w:spacing w:before="120" w:after="120" w:line="240" w:lineRule="auto"/>
        <w:rPr>
          <w:rFonts w:ascii="Calibri" w:eastAsia="Arial" w:hAnsi="Calibri" w:cs="Calibri"/>
          <w:lang w:eastAsia="zh-CN"/>
        </w:rPr>
      </w:pPr>
    </w:p>
    <w:p w14:paraId="2D5955F7" w14:textId="77777777" w:rsidR="00DB15C8" w:rsidRDefault="00DB15C8" w:rsidP="00DB15C8">
      <w:pPr>
        <w:spacing w:before="120" w:after="120" w:line="240" w:lineRule="auto"/>
      </w:pPr>
    </w:p>
    <w:p w14:paraId="34324AE4" w14:textId="77777777" w:rsidR="000514E0" w:rsidRDefault="000514E0" w:rsidP="00594341">
      <w:pPr>
        <w:pStyle w:val="Heading1"/>
        <w:spacing w:before="120" w:after="120" w:line="240" w:lineRule="auto"/>
        <w:sectPr w:rsidR="000514E0" w:rsidSect="000514E0">
          <w:headerReference w:type="even" r:id="rId8"/>
          <w:headerReference w:type="default" r:id="rId9"/>
          <w:footerReference w:type="default" r:id="rId10"/>
          <w:pgSz w:w="11906" w:h="16838"/>
          <w:pgMar w:top="1440" w:right="1440" w:bottom="1440" w:left="1440" w:header="708" w:footer="708" w:gutter="0"/>
          <w:pgNumType w:fmt="lowerRoman" w:start="1"/>
          <w:cols w:space="708"/>
          <w:titlePg/>
          <w:docGrid w:linePitch="360"/>
        </w:sectPr>
      </w:pPr>
      <w:bookmarkStart w:id="15" w:name="_Toc531965941"/>
    </w:p>
    <w:p w14:paraId="6AF03CD0" w14:textId="3E894BEB" w:rsidR="009552B9" w:rsidRPr="00195B00" w:rsidRDefault="009552B9" w:rsidP="00E84878">
      <w:pPr>
        <w:pStyle w:val="Heading2"/>
      </w:pPr>
      <w:r w:rsidRPr="00195B00">
        <w:lastRenderedPageBreak/>
        <w:t xml:space="preserve">Strategic </w:t>
      </w:r>
      <w:r>
        <w:t>implications</w:t>
      </w:r>
      <w:bookmarkEnd w:id="15"/>
    </w:p>
    <w:p w14:paraId="3A1A213B" w14:textId="6A5E92ED" w:rsidR="00A959EB" w:rsidRPr="007818B7" w:rsidRDefault="00A959EB" w:rsidP="00A959EB">
      <w:pPr>
        <w:rPr>
          <w:b/>
        </w:rPr>
      </w:pPr>
      <w:bookmarkStart w:id="16" w:name="_Hlk531884241"/>
      <w:r w:rsidRPr="007818B7">
        <w:rPr>
          <w:b/>
        </w:rPr>
        <w:t xml:space="preserve">The </w:t>
      </w:r>
      <w:r w:rsidRPr="007818B7">
        <w:rPr>
          <w:b/>
          <w:i/>
        </w:rPr>
        <w:t>Foreign Policy White Paper</w:t>
      </w:r>
      <w:r w:rsidRPr="007818B7">
        <w:rPr>
          <w:b/>
        </w:rPr>
        <w:t xml:space="preserve"> of November 2017 indicates that </w:t>
      </w:r>
      <w:bookmarkStart w:id="17" w:name="_Hlk534362581"/>
      <w:r w:rsidRPr="007818B7">
        <w:rPr>
          <w:b/>
        </w:rPr>
        <w:t xml:space="preserve">development assistance will be an essential part of </w:t>
      </w:r>
      <w:bookmarkEnd w:id="17"/>
      <w:r w:rsidRPr="007818B7">
        <w:rPr>
          <w:b/>
        </w:rPr>
        <w:t>shaping international events to Australia’s advantage.</w:t>
      </w:r>
      <w:r w:rsidR="00527E22" w:rsidRPr="007818B7">
        <w:rPr>
          <w:rStyle w:val="FootnoteReference"/>
          <w:b/>
        </w:rPr>
        <w:footnoteReference w:id="3"/>
      </w:r>
      <w:r w:rsidRPr="007818B7">
        <w:rPr>
          <w:b/>
        </w:rPr>
        <w:t xml:space="preserve"> </w:t>
      </w:r>
    </w:p>
    <w:p w14:paraId="1779AFC6" w14:textId="3911FA77" w:rsidR="00A959EB" w:rsidRPr="007818B7" w:rsidRDefault="00A959EB" w:rsidP="00A959EB">
      <w:pPr>
        <w:pStyle w:val="ListParagraph"/>
        <w:numPr>
          <w:ilvl w:val="0"/>
          <w:numId w:val="93"/>
        </w:numPr>
      </w:pPr>
      <w:r w:rsidRPr="007818B7">
        <w:t xml:space="preserve">The </w:t>
      </w:r>
      <w:r w:rsidRPr="007818B7">
        <w:rPr>
          <w:i/>
        </w:rPr>
        <w:t>White Paper</w:t>
      </w:r>
      <w:r w:rsidRPr="007818B7">
        <w:t xml:space="preserve"> describes the strategic issues arising from </w:t>
      </w:r>
      <w:r w:rsidR="00EB030E">
        <w:t>a set of</w:t>
      </w:r>
      <w:r w:rsidRPr="007818B7">
        <w:t xml:space="preserve"> disruptive forces</w:t>
      </w:r>
      <w:r w:rsidR="00EB030E">
        <w:t xml:space="preserve">, including </w:t>
      </w:r>
      <w:r w:rsidRPr="007818B7">
        <w:t xml:space="preserve">climate change </w:t>
      </w:r>
      <w:r w:rsidR="0033721E" w:rsidRPr="007818B7">
        <w:t xml:space="preserve">and </w:t>
      </w:r>
      <w:r w:rsidRPr="007818B7">
        <w:t>environmental degradation</w:t>
      </w:r>
      <w:r w:rsidR="00EB030E">
        <w:t>,</w:t>
      </w:r>
      <w:r w:rsidRPr="007818B7">
        <w:t xml:space="preserve"> </w:t>
      </w:r>
      <w:r w:rsidR="0033721E" w:rsidRPr="007818B7">
        <w:t>and</w:t>
      </w:r>
      <w:r w:rsidRPr="007818B7">
        <w:t xml:space="preserve"> higher degrees of strategic uncertainty and risk in the coming decade. </w:t>
      </w:r>
    </w:p>
    <w:p w14:paraId="32590284" w14:textId="77777777" w:rsidR="00A959EB" w:rsidRPr="007818B7" w:rsidRDefault="00A959EB" w:rsidP="00A959EB">
      <w:pPr>
        <w:pStyle w:val="ListParagraph"/>
        <w:numPr>
          <w:ilvl w:val="0"/>
          <w:numId w:val="93"/>
        </w:numPr>
      </w:pPr>
      <w:r w:rsidRPr="007818B7">
        <w:t>It contains the judgements that the security and stability of Papua New Guinea, the Pacific island states and Timor-Leste are a fundamental Australian strategic interest; and that Indonesia's success is of fundamental importance to Australia.</w:t>
      </w:r>
    </w:p>
    <w:p w14:paraId="1BC255A7" w14:textId="5D1D0796" w:rsidR="00A959EB" w:rsidRDefault="00A959EB" w:rsidP="00A959EB">
      <w:pPr>
        <w:pStyle w:val="ListParagraph"/>
        <w:numPr>
          <w:ilvl w:val="0"/>
          <w:numId w:val="93"/>
        </w:numPr>
      </w:pPr>
      <w:r w:rsidRPr="007818B7">
        <w:t xml:space="preserve">Because of this strategic situation, the </w:t>
      </w:r>
      <w:r w:rsidRPr="007818B7">
        <w:rPr>
          <w:i/>
        </w:rPr>
        <w:t>White Paper</w:t>
      </w:r>
      <w:r w:rsidRPr="007818B7">
        <w:t xml:space="preserve"> asserts that Australia will need to be more active and determined in efforts to help shape a regional balance favourable to its interests</w:t>
      </w:r>
      <w:r w:rsidR="0033721E" w:rsidRPr="007818B7">
        <w:t>,</w:t>
      </w:r>
      <w:r w:rsidRPr="007818B7">
        <w:t xml:space="preserve"> and that development assistance will be an essential part of this in conjunction with strong defence, diplomatic and national security capabilities.</w:t>
      </w:r>
    </w:p>
    <w:p w14:paraId="3DB8F968" w14:textId="591C8F32" w:rsidR="007818B7" w:rsidRPr="007818B7" w:rsidRDefault="007818B7" w:rsidP="00A959EB">
      <w:pPr>
        <w:pStyle w:val="ListParagraph"/>
        <w:numPr>
          <w:ilvl w:val="0"/>
          <w:numId w:val="93"/>
        </w:numPr>
      </w:pPr>
      <w:r>
        <w:t xml:space="preserve">The </w:t>
      </w:r>
      <w:r w:rsidRPr="007818B7">
        <w:t xml:space="preserve">crucial issues for regional stability and prosperity described in the </w:t>
      </w:r>
      <w:r w:rsidRPr="007818B7">
        <w:rPr>
          <w:i/>
        </w:rPr>
        <w:t>White Paper</w:t>
      </w:r>
      <w:r w:rsidRPr="007818B7">
        <w:t xml:space="preserve"> include infrastructure development, economic and social reform, climate preservation and food security – all of which are key components of Australia’s development assistance program</w:t>
      </w:r>
      <w:r>
        <w:t>.</w:t>
      </w:r>
    </w:p>
    <w:p w14:paraId="601D722D" w14:textId="13D0A625" w:rsidR="00346B4E" w:rsidRDefault="0081397A" w:rsidP="00346B4E">
      <w:pPr>
        <w:spacing w:before="120" w:after="120" w:line="240" w:lineRule="auto"/>
        <w:rPr>
          <w:b/>
        </w:rPr>
      </w:pPr>
      <w:r>
        <w:rPr>
          <w:b/>
        </w:rPr>
        <w:t>U</w:t>
      </w:r>
      <w:r w:rsidR="009552B9" w:rsidRPr="0070123B">
        <w:rPr>
          <w:b/>
        </w:rPr>
        <w:t xml:space="preserve">sing a broader range of financing instruments </w:t>
      </w:r>
      <w:bookmarkEnd w:id="16"/>
      <w:r w:rsidR="009552B9" w:rsidRPr="0070123B">
        <w:rPr>
          <w:b/>
        </w:rPr>
        <w:t xml:space="preserve">would make </w:t>
      </w:r>
      <w:bookmarkStart w:id="18" w:name="_Hlk531871288"/>
      <w:r w:rsidRPr="00527E22">
        <w:rPr>
          <w:b/>
        </w:rPr>
        <w:t>Australia’s development assistance</w:t>
      </w:r>
      <w:r>
        <w:rPr>
          <w:b/>
        </w:rPr>
        <w:t xml:space="preserve"> </w:t>
      </w:r>
      <w:r w:rsidR="003F7820">
        <w:rPr>
          <w:b/>
        </w:rPr>
        <w:t xml:space="preserve">program </w:t>
      </w:r>
      <w:bookmarkEnd w:id="18"/>
      <w:r w:rsidR="009552B9" w:rsidRPr="0070123B">
        <w:rPr>
          <w:b/>
        </w:rPr>
        <w:t xml:space="preserve">a more effective tool of foreign policy, as well as </w:t>
      </w:r>
      <w:r w:rsidR="00346B4E">
        <w:rPr>
          <w:b/>
        </w:rPr>
        <w:t>helping</w:t>
      </w:r>
      <w:r w:rsidR="009552B9" w:rsidRPr="0070123B">
        <w:rPr>
          <w:b/>
        </w:rPr>
        <w:t xml:space="preserve"> attain development objectives. </w:t>
      </w:r>
    </w:p>
    <w:p w14:paraId="1EF05279" w14:textId="150134F2" w:rsidR="009552B9" w:rsidRDefault="009552B9" w:rsidP="000F209C">
      <w:pPr>
        <w:pStyle w:val="ListParagraph"/>
        <w:numPr>
          <w:ilvl w:val="0"/>
          <w:numId w:val="6"/>
        </w:numPr>
        <w:spacing w:before="120" w:after="120" w:line="240" w:lineRule="auto"/>
        <w:contextualSpacing w:val="0"/>
      </w:pPr>
      <w:r>
        <w:t xml:space="preserve">Using loans, in the numerous cases where they suit the situation, and after making full provision for the attendant risks, would enable </w:t>
      </w:r>
      <w:r w:rsidRPr="00062622">
        <w:t xml:space="preserve">a multiplication of the size </w:t>
      </w:r>
      <w:r w:rsidR="003F56E7" w:rsidRPr="00315E98">
        <w:t>or number</w:t>
      </w:r>
      <w:r w:rsidR="003F56E7">
        <w:t xml:space="preserve"> </w:t>
      </w:r>
      <w:r w:rsidRPr="00062622">
        <w:t>of projects which Australia could finance</w:t>
      </w:r>
      <w:r w:rsidR="00315E98">
        <w:t xml:space="preserve"> directly</w:t>
      </w:r>
      <w:r>
        <w:t>.</w:t>
      </w:r>
      <w:r w:rsidR="00786711">
        <w:rPr>
          <w:rStyle w:val="FootnoteReference"/>
        </w:rPr>
        <w:footnoteReference w:id="4"/>
      </w:r>
      <w:r>
        <w:t xml:space="preserve"> Assuming that the cases would be carefully chosen, this would bring corresponding increases in Australia’s influence and visibility.</w:t>
      </w:r>
    </w:p>
    <w:p w14:paraId="100306A6" w14:textId="77777777" w:rsidR="00310B8F" w:rsidRDefault="009552B9" w:rsidP="000F209C">
      <w:pPr>
        <w:pStyle w:val="ListParagraph"/>
        <w:numPr>
          <w:ilvl w:val="0"/>
          <w:numId w:val="6"/>
        </w:numPr>
        <w:spacing w:before="120" w:after="120" w:line="240" w:lineRule="auto"/>
        <w:contextualSpacing w:val="0"/>
      </w:pPr>
      <w:r>
        <w:t>Using credit enhancement</w:t>
      </w:r>
      <w:r w:rsidR="00D71E1C">
        <w:t>,</w:t>
      </w:r>
      <w:r>
        <w:rPr>
          <w:rStyle w:val="FootnoteReference"/>
        </w:rPr>
        <w:footnoteReference w:id="5"/>
      </w:r>
      <w:r>
        <w:t xml:space="preserve"> again where appropriate and after providing fully for risks, has potential to be a </w:t>
      </w:r>
      <w:r w:rsidRPr="00062622">
        <w:t>more effective catalyst than grants in many private-sector projects</w:t>
      </w:r>
      <w:r>
        <w:t>, in situations where capital</w:t>
      </w:r>
      <w:r>
        <w:noBreakHyphen/>
        <w:t xml:space="preserve">market finance is available if official sources share some risk. </w:t>
      </w:r>
    </w:p>
    <w:p w14:paraId="53D2A2EE" w14:textId="7857EDC0" w:rsidR="00310B8F" w:rsidRDefault="00310B8F" w:rsidP="000F209C">
      <w:pPr>
        <w:pStyle w:val="ListParagraph"/>
        <w:numPr>
          <w:ilvl w:val="0"/>
          <w:numId w:val="6"/>
        </w:numPr>
        <w:spacing w:before="120" w:after="120" w:line="240" w:lineRule="auto"/>
        <w:contextualSpacing w:val="0"/>
      </w:pPr>
      <w:r>
        <w:t xml:space="preserve">In addition, </w:t>
      </w:r>
      <w:r w:rsidR="00AD4C7C">
        <w:t xml:space="preserve">in a few selected situations </w:t>
      </w:r>
      <w:r>
        <w:t xml:space="preserve">taking </w:t>
      </w:r>
      <w:r w:rsidRPr="001E54EA">
        <w:t>equity stakes</w:t>
      </w:r>
      <w:r>
        <w:t xml:space="preserve"> would be preferable to grants</w:t>
      </w:r>
      <w:r w:rsidR="00AD4C7C">
        <w:t>, as a means of</w:t>
      </w:r>
      <w:r>
        <w:t xml:space="preserve"> </w:t>
      </w:r>
      <w:r w:rsidRPr="00062622">
        <w:t>obtain</w:t>
      </w:r>
      <w:r w:rsidR="00AD4C7C" w:rsidRPr="00062622">
        <w:t>ing the</w:t>
      </w:r>
      <w:r w:rsidRPr="00062622">
        <w:t xml:space="preserve"> greate</w:t>
      </w:r>
      <w:r w:rsidR="00AD4C7C" w:rsidRPr="00062622">
        <w:t>st</w:t>
      </w:r>
      <w:r w:rsidRPr="00062622">
        <w:t xml:space="preserve"> influence</w:t>
      </w:r>
      <w:r>
        <w:t xml:space="preserve"> </w:t>
      </w:r>
      <w:r w:rsidR="00AD4C7C">
        <w:t xml:space="preserve">over </w:t>
      </w:r>
      <w:r w:rsidR="002A46B3">
        <w:t xml:space="preserve">key </w:t>
      </w:r>
      <w:r w:rsidR="00AD4C7C">
        <w:t>projects’ design or implementation</w:t>
      </w:r>
      <w:r>
        <w:t>.</w:t>
      </w:r>
    </w:p>
    <w:p w14:paraId="76103F71" w14:textId="28D2C1B9" w:rsidR="001E54EA" w:rsidRDefault="001E54EA" w:rsidP="00594341">
      <w:pPr>
        <w:spacing w:before="120" w:after="120" w:line="240" w:lineRule="auto"/>
        <w:rPr>
          <w:b/>
        </w:rPr>
      </w:pPr>
      <w:r>
        <w:rPr>
          <w:b/>
        </w:rPr>
        <w:t xml:space="preserve">Increasing the reach of the </w:t>
      </w:r>
      <w:r w:rsidRPr="001E54EA">
        <w:rPr>
          <w:b/>
        </w:rPr>
        <w:t xml:space="preserve">development assistance program </w:t>
      </w:r>
      <w:r>
        <w:rPr>
          <w:b/>
        </w:rPr>
        <w:t>in these</w:t>
      </w:r>
      <w:r w:rsidR="009552B9" w:rsidRPr="0070123B">
        <w:rPr>
          <w:b/>
        </w:rPr>
        <w:t xml:space="preserve"> </w:t>
      </w:r>
      <w:r w:rsidR="009552B9">
        <w:rPr>
          <w:b/>
        </w:rPr>
        <w:t>ways</w:t>
      </w:r>
      <w:r w:rsidR="009552B9" w:rsidRPr="0070123B">
        <w:rPr>
          <w:b/>
        </w:rPr>
        <w:t xml:space="preserve"> </w:t>
      </w:r>
      <w:r>
        <w:rPr>
          <w:b/>
        </w:rPr>
        <w:t xml:space="preserve">would make </w:t>
      </w:r>
      <w:r w:rsidRPr="001E54EA">
        <w:rPr>
          <w:b/>
        </w:rPr>
        <w:t xml:space="preserve">Australia’s </w:t>
      </w:r>
      <w:r>
        <w:rPr>
          <w:b/>
        </w:rPr>
        <w:t>assistance more visible</w:t>
      </w:r>
      <w:r w:rsidR="00302BDF">
        <w:rPr>
          <w:b/>
        </w:rPr>
        <w:t>, and at the same time</w:t>
      </w:r>
      <w:r>
        <w:rPr>
          <w:b/>
        </w:rPr>
        <w:t xml:space="preserve"> serve several foreign-policy and strategic objectives.</w:t>
      </w:r>
    </w:p>
    <w:p w14:paraId="41C8C04F" w14:textId="7172CDBF" w:rsidR="007912B7" w:rsidRDefault="009552B9">
      <w:pPr>
        <w:pStyle w:val="ListParagraph"/>
        <w:numPr>
          <w:ilvl w:val="0"/>
          <w:numId w:val="5"/>
        </w:numPr>
        <w:spacing w:before="120" w:after="120" w:line="240" w:lineRule="auto"/>
        <w:contextualSpacing w:val="0"/>
      </w:pPr>
      <w:bookmarkStart w:id="19" w:name="_Hlk531874949"/>
      <w:r>
        <w:t xml:space="preserve">Large projects in physical infrastructure, or large </w:t>
      </w:r>
      <w:r w:rsidR="003F7820">
        <w:t xml:space="preserve">programs </w:t>
      </w:r>
      <w:r>
        <w:t xml:space="preserve">in other sectors such as education, are vehicles for applying Australia’s policy advice, improving regulatory practice, and strengthening the state institutions which enable or implement the projects. </w:t>
      </w:r>
    </w:p>
    <w:p w14:paraId="5A72F13A" w14:textId="2018278B" w:rsidR="009552B9" w:rsidRDefault="009552B9" w:rsidP="00A63EC9">
      <w:pPr>
        <w:pStyle w:val="ListParagraph"/>
        <w:numPr>
          <w:ilvl w:val="0"/>
          <w:numId w:val="5"/>
        </w:numPr>
        <w:spacing w:before="120" w:after="120" w:line="240" w:lineRule="auto"/>
        <w:contextualSpacing w:val="0"/>
      </w:pPr>
      <w:r>
        <w:t>Private-sector projects can expand opportunities for Australian companies and service providers, help to foster competition, and make markets more open.</w:t>
      </w:r>
      <w:r w:rsidRPr="004979CC">
        <w:t xml:space="preserve"> </w:t>
      </w:r>
      <w:r>
        <w:t xml:space="preserve">They can </w:t>
      </w:r>
      <w:r w:rsidR="00DA5188">
        <w:t xml:space="preserve">also </w:t>
      </w:r>
      <w:r>
        <w:t>be ways of sharing Australian innovations across a wide range of technical fields</w:t>
      </w:r>
      <w:r w:rsidR="000D222A">
        <w:t>.</w:t>
      </w:r>
      <w:r>
        <w:t xml:space="preserve"> </w:t>
      </w:r>
    </w:p>
    <w:p w14:paraId="16F75EFC" w14:textId="50D83C1F" w:rsidR="00044496" w:rsidRPr="00A10550" w:rsidRDefault="00252892" w:rsidP="000F209C">
      <w:pPr>
        <w:pStyle w:val="ListParagraph"/>
        <w:numPr>
          <w:ilvl w:val="0"/>
          <w:numId w:val="5"/>
        </w:numPr>
        <w:spacing w:before="120" w:after="120" w:line="240" w:lineRule="auto"/>
        <w:contextualSpacing w:val="0"/>
      </w:pPr>
      <w:bookmarkStart w:id="20" w:name="_Hlk112074141"/>
      <w:r w:rsidRPr="00A10550">
        <w:lastRenderedPageBreak/>
        <w:t>H</w:t>
      </w:r>
      <w:r w:rsidR="00044496" w:rsidRPr="00A10550">
        <w:t>elping to foster private-sector investments promote</w:t>
      </w:r>
      <w:r w:rsidR="00062622" w:rsidRPr="00A10550">
        <w:t>s</w:t>
      </w:r>
      <w:r w:rsidR="00044496" w:rsidRPr="00A10550">
        <w:t xml:space="preserve"> open trade and investment policies, competition in the interests of users of public services, and a rule</w:t>
      </w:r>
      <w:r w:rsidR="00044496" w:rsidRPr="00A10550">
        <w:noBreakHyphen/>
        <w:t xml:space="preserve"> based system of conducting business rather than one of ministerial discretions. Defence of this crucial Australian interest is more urgently needed when the current US Administration is less helpful in support and China is exerting a largely contrary influence.</w:t>
      </w:r>
    </w:p>
    <w:bookmarkEnd w:id="20"/>
    <w:p w14:paraId="069D3283" w14:textId="59B1C21B" w:rsidR="009552B9" w:rsidRDefault="004141B4" w:rsidP="000F209C">
      <w:pPr>
        <w:pStyle w:val="ListParagraph"/>
        <w:numPr>
          <w:ilvl w:val="0"/>
          <w:numId w:val="5"/>
        </w:numPr>
        <w:spacing w:before="120" w:after="120" w:line="240" w:lineRule="auto"/>
        <w:contextualSpacing w:val="0"/>
      </w:pPr>
      <w:r>
        <w:t xml:space="preserve">Helping in </w:t>
      </w:r>
      <w:r w:rsidR="00BB3B3D">
        <w:t xml:space="preserve">the </w:t>
      </w:r>
      <w:r>
        <w:t xml:space="preserve">provision of blended public-private finance is a role for Australia which will have relevance and value </w:t>
      </w:r>
      <w:r w:rsidR="00BB3B3D">
        <w:t>for decades to come. The investment needs of regional countries will keep growing</w:t>
      </w:r>
      <w:r w:rsidR="009552B9">
        <w:t xml:space="preserve"> as the</w:t>
      </w:r>
      <w:r w:rsidR="00BB3B3D">
        <w:t>ir</w:t>
      </w:r>
      <w:r w:rsidR="009552B9">
        <w:t xml:space="preserve"> economies grow and their domestic financial markets develop</w:t>
      </w:r>
      <w:r w:rsidR="00BB3B3D">
        <w:t xml:space="preserve">. </w:t>
      </w:r>
      <w:proofErr w:type="gramStart"/>
      <w:r w:rsidR="002A46B3">
        <w:t>So</w:t>
      </w:r>
      <w:proofErr w:type="gramEnd"/>
      <w:r w:rsidR="00BB3B3D">
        <w:t xml:space="preserve"> a</w:t>
      </w:r>
      <w:r w:rsidR="009552B9">
        <w:t xml:space="preserve"> financing role of this kind </w:t>
      </w:r>
      <w:r w:rsidR="00BB3B3D">
        <w:t>could keep</w:t>
      </w:r>
      <w:r w:rsidR="009552B9">
        <w:t xml:space="preserve"> support</w:t>
      </w:r>
      <w:r w:rsidR="00BB3B3D">
        <w:t>ing</w:t>
      </w:r>
      <w:r w:rsidR="009552B9">
        <w:t xml:space="preserve"> relations with governments which no longer want or qualify for </w:t>
      </w:r>
      <w:r w:rsidR="00EF73D7">
        <w:t xml:space="preserve">older forms of development </w:t>
      </w:r>
      <w:r w:rsidR="009552B9">
        <w:t>assistance.</w:t>
      </w:r>
    </w:p>
    <w:p w14:paraId="6B2DD80E" w14:textId="22D12EB2" w:rsidR="00062622" w:rsidRDefault="00062622" w:rsidP="000F209C">
      <w:pPr>
        <w:pStyle w:val="ListParagraph"/>
        <w:numPr>
          <w:ilvl w:val="0"/>
          <w:numId w:val="5"/>
        </w:numPr>
        <w:spacing w:before="120" w:after="120" w:line="240" w:lineRule="auto"/>
        <w:contextualSpacing w:val="0"/>
      </w:pPr>
      <w:r>
        <w:t xml:space="preserve">Having flexibility in financing methods would make it easier for Australia to </w:t>
      </w:r>
      <w:r w:rsidRPr="00062622">
        <w:t>cooperate with other countries, especially the US and Japan</w:t>
      </w:r>
      <w:r>
        <w:t>, in financing projects of shared importance.</w:t>
      </w:r>
    </w:p>
    <w:bookmarkEnd w:id="19"/>
    <w:p w14:paraId="64775688" w14:textId="78F159A7" w:rsidR="00100B62" w:rsidRDefault="00100B62" w:rsidP="00100B62">
      <w:pPr>
        <w:spacing w:before="120" w:after="120" w:line="240" w:lineRule="auto"/>
      </w:pPr>
      <w:r>
        <w:rPr>
          <w:b/>
        </w:rPr>
        <w:t>Australia’s development assistance must take account of</w:t>
      </w:r>
      <w:r w:rsidRPr="005B4B5B">
        <w:rPr>
          <w:b/>
        </w:rPr>
        <w:t xml:space="preserve"> China’s greatly expanded role</w:t>
      </w:r>
      <w:r>
        <w:rPr>
          <w:b/>
        </w:rPr>
        <w:t xml:space="preserve"> and influence</w:t>
      </w:r>
      <w:r w:rsidRPr="005B4B5B">
        <w:rPr>
          <w:b/>
        </w:rPr>
        <w:t xml:space="preserve">. </w:t>
      </w:r>
      <w:r>
        <w:t>In part this is a vast presence as a bilateral financier, on a scale matching or exceeding the MDBs and best</w:t>
      </w:r>
      <w:r>
        <w:noBreakHyphen/>
        <w:t xml:space="preserve">resourced DFIs. In part it is a presence through </w:t>
      </w:r>
      <w:r w:rsidR="00213D42">
        <w:t>Asian Infrastructure Investment Bank (</w:t>
      </w:r>
      <w:r>
        <w:t>AIIB</w:t>
      </w:r>
      <w:r w:rsidR="00213D42">
        <w:t>)</w:t>
      </w:r>
      <w:r>
        <w:t xml:space="preserve">, accompanied by </w:t>
      </w:r>
      <w:r w:rsidR="007E4B18">
        <w:t xml:space="preserve">a </w:t>
      </w:r>
      <w:r>
        <w:t xml:space="preserve">steadily growing influence on the policies and priorities of the </w:t>
      </w:r>
      <w:r w:rsidR="00213D42">
        <w:t>MDBs</w:t>
      </w:r>
      <w:r>
        <w:t xml:space="preserve">. It is also the narrative of the Belt and Road Initiative, promising a new global system of infrastructure links, and implying not only a global system of resource supplies and market access for China, but also a system for exerting influence </w:t>
      </w:r>
      <w:proofErr w:type="gramStart"/>
      <w:r>
        <w:t>to</w:t>
      </w:r>
      <w:proofErr w:type="gramEnd"/>
      <w:r>
        <w:t xml:space="preserve"> further China’s foreign</w:t>
      </w:r>
      <w:r>
        <w:noBreakHyphen/>
        <w:t>policy and strategic interests. And throughout the Indo</w:t>
      </w:r>
      <w:r>
        <w:noBreakHyphen/>
        <w:t xml:space="preserve">Pacific region including PNG and the Pacific, it is a system for publicising China’s material contributions and </w:t>
      </w:r>
      <w:proofErr w:type="gramStart"/>
      <w:r>
        <w:t>friendship, and</w:t>
      </w:r>
      <w:proofErr w:type="gramEnd"/>
      <w:r>
        <w:t xml:space="preserve"> cultivating political leaders. </w:t>
      </w:r>
    </w:p>
    <w:p w14:paraId="73EA23A2" w14:textId="77777777" w:rsidR="00100B62" w:rsidRDefault="00100B62" w:rsidP="00100B62">
      <w:pPr>
        <w:spacing w:before="120" w:after="120" w:line="240" w:lineRule="auto"/>
      </w:pPr>
      <w:r>
        <w:rPr>
          <w:b/>
        </w:rPr>
        <w:t>This situation of formidable strategic competition makes it necessary to use d</w:t>
      </w:r>
      <w:r w:rsidRPr="001163B2">
        <w:rPr>
          <w:b/>
        </w:rPr>
        <w:t xml:space="preserve">evelopment assistance as </w:t>
      </w:r>
      <w:r>
        <w:rPr>
          <w:b/>
        </w:rPr>
        <w:t>effectively as possible</w:t>
      </w:r>
      <w:r w:rsidRPr="001163B2">
        <w:rPr>
          <w:b/>
        </w:rPr>
        <w:t xml:space="preserve"> </w:t>
      </w:r>
      <w:r>
        <w:rPr>
          <w:b/>
        </w:rPr>
        <w:t>as a form of statecraft—</w:t>
      </w:r>
      <w:r w:rsidRPr="007F169D">
        <w:t xml:space="preserve">most broadly to make Australia visible and cultivate friendship, and </w:t>
      </w:r>
      <w:r>
        <w:t>most directly</w:t>
      </w:r>
      <w:r w:rsidRPr="007F169D">
        <w:t xml:space="preserve"> as a way of fostering Australia’s cooperative relations with other governments in the Indo</w:t>
      </w:r>
      <w:r w:rsidRPr="007F169D">
        <w:noBreakHyphen/>
        <w:t>Pacific region</w:t>
      </w:r>
      <w:r>
        <w:t>.</w:t>
      </w:r>
      <w:r>
        <w:rPr>
          <w:rStyle w:val="FootnoteReference"/>
        </w:rPr>
        <w:footnoteReference w:id="6"/>
      </w:r>
      <w:r>
        <w:t xml:space="preserve"> It also supplies a reason for having enough financing flexibility to maximise the chances of securing for Australia a leading role in projects which are important for the sake of security alliances or open access to transport and communications.   </w:t>
      </w:r>
    </w:p>
    <w:p w14:paraId="57A78968" w14:textId="52BD843B" w:rsidR="009552B9" w:rsidRDefault="00100B62" w:rsidP="00100B62">
      <w:pPr>
        <w:spacing w:before="120" w:after="120" w:line="240" w:lineRule="auto"/>
      </w:pPr>
      <w:r>
        <w:rPr>
          <w:b/>
        </w:rPr>
        <w:t>U</w:t>
      </w:r>
      <w:r w:rsidR="00302BDF" w:rsidRPr="00302BDF">
        <w:rPr>
          <w:b/>
        </w:rPr>
        <w:t xml:space="preserve">sing a broader range of financing instruments </w:t>
      </w:r>
      <w:r w:rsidR="00B31568">
        <w:rPr>
          <w:b/>
        </w:rPr>
        <w:t>w</w:t>
      </w:r>
      <w:r>
        <w:rPr>
          <w:b/>
        </w:rPr>
        <w:t>ould have</w:t>
      </w:r>
      <w:r w:rsidR="009552B9" w:rsidRPr="0070123B">
        <w:rPr>
          <w:b/>
        </w:rPr>
        <w:t xml:space="preserve"> </w:t>
      </w:r>
      <w:r w:rsidRPr="00100B62">
        <w:rPr>
          <w:b/>
        </w:rPr>
        <w:t xml:space="preserve">foreign-policy and strategic </w:t>
      </w:r>
      <w:r>
        <w:rPr>
          <w:b/>
        </w:rPr>
        <w:t>benefits</w:t>
      </w:r>
      <w:r w:rsidR="009552B9" w:rsidRPr="0070123B">
        <w:rPr>
          <w:b/>
        </w:rPr>
        <w:t xml:space="preserve"> in Indonesia</w:t>
      </w:r>
      <w:r w:rsidR="009552B9">
        <w:rPr>
          <w:b/>
        </w:rPr>
        <w:t xml:space="preserve">. </w:t>
      </w:r>
      <w:r w:rsidR="009552B9" w:rsidRPr="0070123B">
        <w:t>P</w:t>
      </w:r>
      <w:r w:rsidR="009552B9">
        <w:t xml:space="preserve">art of the current amount of bilateral assistance could, in loan form, be enough for Australia to finance substantial projects, costing say </w:t>
      </w:r>
      <w:r w:rsidR="002D44B7">
        <w:t xml:space="preserve">USD </w:t>
      </w:r>
      <w:r w:rsidR="009552B9">
        <w:t xml:space="preserve">300-400 million. </w:t>
      </w:r>
      <w:r w:rsidR="00D15E71">
        <w:t xml:space="preserve">The country report in Annex </w:t>
      </w:r>
      <w:r w:rsidR="000F3CC5">
        <w:t xml:space="preserve">3 </w:t>
      </w:r>
      <w:r w:rsidR="00D15E71">
        <w:t>outlines</w:t>
      </w:r>
      <w:r w:rsidR="009552B9">
        <w:t xml:space="preserve"> </w:t>
      </w:r>
      <w:r w:rsidR="004F5D55">
        <w:t xml:space="preserve">a </w:t>
      </w:r>
      <w:r w:rsidR="009552B9">
        <w:t>range of apparent possibilities</w:t>
      </w:r>
      <w:r w:rsidR="00D15E71">
        <w:t xml:space="preserve"> there</w:t>
      </w:r>
      <w:r w:rsidR="009552B9">
        <w:t>. Already the</w:t>
      </w:r>
      <w:r w:rsidR="003F7820">
        <w:t xml:space="preserve"> </w:t>
      </w:r>
      <w:r>
        <w:t xml:space="preserve">development assistance </w:t>
      </w:r>
      <w:r w:rsidR="003F7820">
        <w:t xml:space="preserve">program </w:t>
      </w:r>
      <w:r w:rsidR="009552B9">
        <w:t xml:space="preserve">contributes advice </w:t>
      </w:r>
      <w:r w:rsidR="00870532" w:rsidRPr="00235189">
        <w:t>and capacity building</w:t>
      </w:r>
      <w:r w:rsidR="00870532">
        <w:t xml:space="preserve"> </w:t>
      </w:r>
      <w:r w:rsidR="009552B9">
        <w:t xml:space="preserve">on aspects of public policy, including finance for infrastructure, which is valued by the Government of Indonesia. Being able in selected cases to finance projects which put policy innovations into effect would add substantially to that influence. </w:t>
      </w:r>
    </w:p>
    <w:p w14:paraId="72D71030" w14:textId="095D9D33" w:rsidR="009552B9" w:rsidRDefault="00A959EB" w:rsidP="00594341">
      <w:pPr>
        <w:spacing w:before="120" w:after="120" w:line="240" w:lineRule="auto"/>
      </w:pPr>
      <w:r>
        <w:rPr>
          <w:b/>
        </w:rPr>
        <w:t>O</w:t>
      </w:r>
      <w:r w:rsidR="009552B9">
        <w:rPr>
          <w:b/>
        </w:rPr>
        <w:t>ur study has not enabled us to gather similar information about the Philippines, Vietnam or other countries of Southeast Asia,</w:t>
      </w:r>
      <w:r>
        <w:rPr>
          <w:b/>
        </w:rPr>
        <w:t xml:space="preserve"> but</w:t>
      </w:r>
      <w:r w:rsidR="009552B9">
        <w:rPr>
          <w:b/>
        </w:rPr>
        <w:t xml:space="preserve"> it is reasonable to </w:t>
      </w:r>
      <w:r w:rsidRPr="00235189">
        <w:rPr>
          <w:b/>
        </w:rPr>
        <w:t>expect</w:t>
      </w:r>
      <w:r w:rsidR="009552B9">
        <w:rPr>
          <w:b/>
        </w:rPr>
        <w:t xml:space="preserve"> comparable advantages from extending the reach of Australia’s financing to larger projects or </w:t>
      </w:r>
      <w:r w:rsidR="003F7820">
        <w:rPr>
          <w:b/>
        </w:rPr>
        <w:t xml:space="preserve">programs </w:t>
      </w:r>
      <w:r w:rsidR="009552B9">
        <w:rPr>
          <w:b/>
        </w:rPr>
        <w:t xml:space="preserve">there as well. </w:t>
      </w:r>
      <w:r w:rsidR="009552B9" w:rsidRPr="005A6F5F">
        <w:t xml:space="preserve">This is not to </w:t>
      </w:r>
      <w:r w:rsidR="00252E15">
        <w:t>detract from</w:t>
      </w:r>
      <w:r w:rsidR="009552B9" w:rsidRPr="005A6F5F">
        <w:t xml:space="preserve"> the </w:t>
      </w:r>
      <w:r w:rsidR="00252E15">
        <w:t xml:space="preserve">strategic </w:t>
      </w:r>
      <w:r w:rsidR="009552B9" w:rsidRPr="005A6F5F">
        <w:t>importance of being able to make loans for infrastructure in PNG and the Pacific</w:t>
      </w:r>
      <w:r w:rsidR="009552B9">
        <w:t xml:space="preserve">. Rather, it is to observe that the </w:t>
      </w:r>
      <w:r w:rsidR="004F0448">
        <w:t xml:space="preserve">strategic, </w:t>
      </w:r>
      <w:r w:rsidR="008D386B">
        <w:t>foreign</w:t>
      </w:r>
      <w:r w:rsidR="008D386B">
        <w:noBreakHyphen/>
        <w:t xml:space="preserve">policy and </w:t>
      </w:r>
      <w:r w:rsidR="004F0448">
        <w:t xml:space="preserve">development </w:t>
      </w:r>
      <w:r w:rsidR="009552B9">
        <w:t xml:space="preserve">opportunities in new forms of finance are </w:t>
      </w:r>
      <w:r w:rsidR="00252E15">
        <w:t xml:space="preserve">much </w:t>
      </w:r>
      <w:r w:rsidR="00B31568">
        <w:t>more extensive</w:t>
      </w:r>
      <w:r w:rsidR="009552B9">
        <w:t xml:space="preserve"> geographically. </w:t>
      </w:r>
      <w:r w:rsidR="009552B9">
        <w:br w:type="page"/>
      </w:r>
    </w:p>
    <w:p w14:paraId="4A2139B2" w14:textId="77777777" w:rsidR="00F16A17" w:rsidRPr="005D4FA1" w:rsidRDefault="00F16A17" w:rsidP="00E84878">
      <w:pPr>
        <w:pStyle w:val="Heading2"/>
        <w:rPr>
          <w:lang w:eastAsia="zh-CN"/>
        </w:rPr>
      </w:pPr>
      <w:bookmarkStart w:id="21" w:name="_Toc531965942"/>
      <w:r w:rsidRPr="005D4FA1">
        <w:rPr>
          <w:lang w:eastAsia="zh-CN"/>
        </w:rPr>
        <w:lastRenderedPageBreak/>
        <w:t xml:space="preserve">Demand </w:t>
      </w:r>
    </w:p>
    <w:p w14:paraId="77AF4B03" w14:textId="117B06F0" w:rsidR="00F16A17" w:rsidRPr="005D4FA1" w:rsidRDefault="00F16A17" w:rsidP="00F16A17">
      <w:pPr>
        <w:spacing w:before="120" w:after="120" w:line="240" w:lineRule="auto"/>
        <w:jc w:val="both"/>
        <w:rPr>
          <w:rFonts w:ascii="Calibri" w:eastAsia="Arial" w:hAnsi="Calibri" w:cs="Calibri"/>
          <w:lang w:eastAsia="zh-CN"/>
        </w:rPr>
      </w:pPr>
      <w:r w:rsidRPr="005D4FA1">
        <w:rPr>
          <w:rFonts w:ascii="Calibri" w:eastAsia="Arial" w:hAnsi="Calibri" w:cs="Calibri"/>
          <w:b/>
          <w:lang w:eastAsia="zh-CN"/>
        </w:rPr>
        <w:t>This section has been developed by Dalberg Advisors</w:t>
      </w:r>
      <w:r w:rsidRPr="005D4FA1">
        <w:rPr>
          <w:rFonts w:ascii="Calibri" w:eastAsia="Arial" w:hAnsi="Calibri" w:cs="Calibri"/>
          <w:lang w:eastAsia="zh-CN"/>
        </w:rPr>
        <w:t xml:space="preserve">, </w:t>
      </w:r>
      <w:r w:rsidRPr="005D4FA1">
        <w:rPr>
          <w:rFonts w:ascii="Calibri" w:eastAsia="Arial" w:hAnsi="Calibri" w:cs="Calibri"/>
          <w:b/>
          <w:lang w:eastAsia="zh-CN"/>
        </w:rPr>
        <w:t>and represents their independent view of the scope for including NGF in Australia’s development assistance program.</w:t>
      </w:r>
      <w:r w:rsidRPr="005D4FA1">
        <w:rPr>
          <w:rFonts w:ascii="Calibri" w:eastAsia="Arial" w:hAnsi="Calibri" w:cs="Calibri"/>
          <w:lang w:eastAsia="zh-CN"/>
        </w:rPr>
        <w:t xml:space="preserve"> The research and consultations on which it is based, including during the team’s visits to PNG, Vanuatu and Indonesia, are more fully reflected in the reports on those three countries in Annexes </w:t>
      </w:r>
      <w:r w:rsidR="000F3CC5">
        <w:rPr>
          <w:rFonts w:ascii="Calibri" w:eastAsia="Arial" w:hAnsi="Calibri" w:cs="Calibri"/>
          <w:lang w:eastAsia="zh-CN"/>
        </w:rPr>
        <w:t>3</w:t>
      </w:r>
      <w:r w:rsidRPr="005D4FA1">
        <w:rPr>
          <w:rFonts w:ascii="Calibri" w:eastAsia="Arial" w:hAnsi="Calibri" w:cs="Calibri"/>
          <w:lang w:eastAsia="zh-CN"/>
        </w:rPr>
        <w:t xml:space="preserve">, </w:t>
      </w:r>
      <w:r w:rsidR="000F3CC5">
        <w:rPr>
          <w:rFonts w:ascii="Calibri" w:eastAsia="Arial" w:hAnsi="Calibri" w:cs="Calibri"/>
          <w:lang w:eastAsia="zh-CN"/>
        </w:rPr>
        <w:t>4</w:t>
      </w:r>
      <w:r w:rsidR="000F3CC5" w:rsidRPr="005D4FA1">
        <w:rPr>
          <w:rFonts w:ascii="Calibri" w:eastAsia="Arial" w:hAnsi="Calibri" w:cs="Calibri"/>
          <w:lang w:eastAsia="zh-CN"/>
        </w:rPr>
        <w:t xml:space="preserve"> </w:t>
      </w:r>
      <w:r w:rsidRPr="005D4FA1">
        <w:rPr>
          <w:rFonts w:ascii="Calibri" w:eastAsia="Arial" w:hAnsi="Calibri" w:cs="Calibri"/>
          <w:lang w:eastAsia="zh-CN"/>
        </w:rPr>
        <w:t xml:space="preserve">and </w:t>
      </w:r>
      <w:r w:rsidR="000F3CC5">
        <w:rPr>
          <w:rFonts w:ascii="Calibri" w:eastAsia="Arial" w:hAnsi="Calibri" w:cs="Calibri"/>
          <w:lang w:eastAsia="zh-CN"/>
        </w:rPr>
        <w:t>5</w:t>
      </w:r>
      <w:r w:rsidRPr="005D4FA1">
        <w:rPr>
          <w:rFonts w:ascii="Calibri" w:eastAsia="Arial" w:hAnsi="Calibri" w:cs="Calibri"/>
          <w:lang w:eastAsia="zh-CN"/>
        </w:rPr>
        <w:t>.</w:t>
      </w:r>
    </w:p>
    <w:p w14:paraId="1ADD9AC4" w14:textId="2932F791" w:rsidR="00F16A17" w:rsidRPr="005D4FA1" w:rsidRDefault="00F16A17" w:rsidP="00F16A17">
      <w:pPr>
        <w:keepNext/>
        <w:keepLines/>
        <w:spacing w:before="120" w:after="120" w:line="240" w:lineRule="auto"/>
        <w:jc w:val="both"/>
        <w:outlineLvl w:val="2"/>
        <w:rPr>
          <w:rFonts w:ascii="Calibri" w:eastAsia="Arial" w:hAnsi="Calibri" w:cs="Calibri"/>
          <w:color w:val="000000"/>
          <w:lang w:eastAsia="zh-CN"/>
        </w:rPr>
      </w:pPr>
      <w:r w:rsidRPr="005D4FA1">
        <w:rPr>
          <w:rFonts w:ascii="Calibri" w:eastAsia="Arial" w:hAnsi="Calibri" w:cs="Calibri"/>
          <w:color w:val="000000"/>
          <w:lang w:eastAsia="zh-CN"/>
        </w:rPr>
        <w:t xml:space="preserve">Recent economic development in the Indo-Pacific region is increasing demand for development financing in forms that complement and extend beyond grants. The imperative to mobilise not just billions, but trillions of dollars to achieve the United Nations Sustainable Development Goals in the region demands the mobilisation of resources that are beyond the scope of what donors can typically achieve with grants. </w:t>
      </w:r>
    </w:p>
    <w:p w14:paraId="4287219A" w14:textId="77777777" w:rsidR="00F16A17" w:rsidRPr="005D4FA1" w:rsidRDefault="00F16A17" w:rsidP="00F16A17">
      <w:pPr>
        <w:keepNext/>
        <w:keepLines/>
        <w:spacing w:before="120" w:after="120" w:line="240" w:lineRule="auto"/>
        <w:jc w:val="both"/>
        <w:outlineLvl w:val="2"/>
        <w:rPr>
          <w:rFonts w:ascii="Calibri" w:eastAsia="Arial" w:hAnsi="Calibri" w:cs="Calibri"/>
          <w:b/>
          <w:color w:val="000000"/>
          <w:lang w:eastAsia="zh-CN"/>
        </w:rPr>
      </w:pPr>
      <w:r w:rsidRPr="005D4FA1">
        <w:rPr>
          <w:rFonts w:ascii="Calibri" w:eastAsia="Arial" w:hAnsi="Calibri" w:cs="Calibri"/>
          <w:b/>
          <w:color w:val="000000"/>
          <w:lang w:eastAsia="zh-CN"/>
        </w:rPr>
        <w:t xml:space="preserve">This section presents areas of addressable demand for NGF, as well as more innovative grant structures, that could be additional and complementary to Australia’s current development assistance program. </w:t>
      </w:r>
    </w:p>
    <w:p w14:paraId="5520E6F6" w14:textId="77777777" w:rsidR="00F16A17" w:rsidRDefault="00F16A17" w:rsidP="00E84878">
      <w:pPr>
        <w:pStyle w:val="Heading2"/>
        <w:rPr>
          <w:lang w:eastAsia="zh-CN"/>
        </w:rPr>
      </w:pPr>
      <w:r>
        <w:rPr>
          <w:lang w:eastAsia="zh-CN"/>
        </w:rPr>
        <w:t>Regional Needs for Development Finance</w:t>
      </w:r>
    </w:p>
    <w:p w14:paraId="6A495949" w14:textId="77777777" w:rsidR="00F16A17" w:rsidRPr="005D4FA1" w:rsidRDefault="00F16A17" w:rsidP="00F16A17">
      <w:pPr>
        <w:keepNext/>
        <w:keepLines/>
        <w:spacing w:before="120" w:after="120" w:line="240" w:lineRule="auto"/>
        <w:jc w:val="both"/>
        <w:outlineLvl w:val="2"/>
        <w:rPr>
          <w:rFonts w:ascii="Calibri" w:eastAsia="Arial" w:hAnsi="Calibri" w:cs="Calibri"/>
          <w:b/>
          <w:lang w:eastAsia="zh-CN"/>
        </w:rPr>
      </w:pPr>
      <w:r w:rsidRPr="005D4FA1">
        <w:rPr>
          <w:rFonts w:ascii="Calibri" w:eastAsia="Arial" w:hAnsi="Calibri" w:cs="Calibri"/>
          <w:b/>
          <w:lang w:eastAsia="zh-CN"/>
        </w:rPr>
        <w:t xml:space="preserve">Despite the diversity in economic realities across the region, there are development use cases for many types of NGF instruments throughout the entire region. </w:t>
      </w:r>
    </w:p>
    <w:p w14:paraId="1AF33145" w14:textId="77777777" w:rsidR="00F16A17" w:rsidRPr="005D4FA1" w:rsidRDefault="00F16A17" w:rsidP="00F16A17">
      <w:pPr>
        <w:numPr>
          <w:ilvl w:val="0"/>
          <w:numId w:val="82"/>
        </w:numPr>
        <w:spacing w:beforeLines="120" w:before="288" w:afterLines="120" w:after="288" w:line="240" w:lineRule="auto"/>
        <w:ind w:left="360"/>
        <w:contextualSpacing/>
        <w:jc w:val="both"/>
        <w:rPr>
          <w:rFonts w:ascii="Calibri" w:eastAsia="Arial" w:hAnsi="Calibri" w:cs="Calibri"/>
          <w:b/>
          <w:lang w:eastAsia="zh-CN"/>
        </w:rPr>
      </w:pPr>
      <w:r w:rsidRPr="005D4FA1">
        <w:rPr>
          <w:rFonts w:ascii="Calibri" w:eastAsia="Arial" w:hAnsi="Calibri" w:cs="Calibri"/>
          <w:b/>
          <w:lang w:eastAsia="zh-CN"/>
        </w:rPr>
        <w:t>Experiences of other providers of NGF would suggest that there will be some variation between countries in both the overall level of demand for NGF</w:t>
      </w:r>
      <w:r w:rsidRPr="005D4FA1">
        <w:rPr>
          <w:rFonts w:ascii="Calibri" w:eastAsia="Arial" w:hAnsi="Calibri" w:cs="Calibri"/>
          <w:lang w:eastAsia="zh-CN"/>
        </w:rPr>
        <w:t xml:space="preserve"> and the demand for various instruments. Key variables affecting this variation include a country’s risk level and income status, along with the maturity of local capital markets and the strategies of other MDBs and DFIs in the space.</w:t>
      </w:r>
      <w:r w:rsidRPr="005D4FA1">
        <w:rPr>
          <w:rFonts w:ascii="Calibri" w:eastAsia="Arial" w:hAnsi="Calibri" w:cs="Calibri"/>
          <w:b/>
          <w:lang w:eastAsia="zh-CN"/>
        </w:rPr>
        <w:t xml:space="preserve">  </w:t>
      </w:r>
    </w:p>
    <w:p w14:paraId="7EB5DF2E" w14:textId="77777777" w:rsidR="00F16A17" w:rsidRPr="005D4FA1" w:rsidRDefault="00F16A17" w:rsidP="00F16A17">
      <w:pPr>
        <w:spacing w:beforeLines="120" w:before="288" w:afterLines="120" w:after="288" w:line="240" w:lineRule="auto"/>
        <w:ind w:left="360"/>
        <w:contextualSpacing/>
        <w:jc w:val="both"/>
        <w:rPr>
          <w:rFonts w:ascii="Calibri" w:eastAsia="Arial" w:hAnsi="Calibri" w:cs="Calibri"/>
          <w:b/>
          <w:lang w:eastAsia="zh-CN"/>
        </w:rPr>
      </w:pPr>
    </w:p>
    <w:p w14:paraId="223FF3FB" w14:textId="77777777" w:rsidR="00F16A17" w:rsidRPr="005D4FA1" w:rsidRDefault="00F16A17" w:rsidP="00F16A17">
      <w:pPr>
        <w:spacing w:before="120" w:after="120" w:line="240" w:lineRule="auto"/>
        <w:ind w:left="360"/>
        <w:jc w:val="both"/>
        <w:rPr>
          <w:rFonts w:ascii="Calibri" w:eastAsia="Arial" w:hAnsi="Calibri" w:cs="Calibri"/>
          <w:lang w:eastAsia="zh-CN"/>
        </w:rPr>
      </w:pPr>
      <w:r w:rsidRPr="005D4FA1">
        <w:rPr>
          <w:rFonts w:ascii="Calibri" w:eastAsia="Arial" w:hAnsi="Calibri" w:cs="Calibri"/>
          <w:lang w:eastAsia="zh-CN"/>
        </w:rPr>
        <w:t xml:space="preserve">As income levels rise and markets deepen, private sector demand for NGF increases relative to grants. Several countries in the region have grown rapidly into middle income status, leading to development of capital markets and substantial demand for NGF relative to grants. Between now and 2024, many countries in the region are predicted to graduate out of least-developed country (LDC) status, including Bangladesh, Kiribati, Laos, Myanmar, </w:t>
      </w:r>
      <w:r w:rsidRPr="005D4FA1">
        <w:rPr>
          <w:rFonts w:ascii="Calibri" w:eastAsia="Arial" w:hAnsi="Calibri" w:cs="Calibri"/>
          <w:highlight w:val="white"/>
          <w:lang w:eastAsia="zh-CN"/>
        </w:rPr>
        <w:t>Solomon Islands, Timor-Leste, Tuvalu, and Vanuatu</w:t>
      </w:r>
      <w:r w:rsidRPr="005D4FA1">
        <w:rPr>
          <w:rFonts w:ascii="Calibri" w:eastAsia="Arial" w:hAnsi="Calibri" w:cs="Calibri"/>
          <w:lang w:eastAsia="zh-CN"/>
        </w:rPr>
        <w:t>—all of which currently receive Australian assistance.</w:t>
      </w:r>
      <w:r w:rsidRPr="005D4FA1">
        <w:rPr>
          <w:rFonts w:ascii="Calibri" w:eastAsia="Arial" w:hAnsi="Calibri" w:cs="Calibri"/>
          <w:vertAlign w:val="superscript"/>
          <w:lang w:eastAsia="zh-CN"/>
        </w:rPr>
        <w:footnoteReference w:id="7"/>
      </w:r>
      <w:r w:rsidRPr="005D4FA1">
        <w:rPr>
          <w:rFonts w:ascii="Calibri" w:eastAsia="Arial" w:hAnsi="Calibri" w:cs="Calibri"/>
          <w:lang w:eastAsia="zh-CN"/>
        </w:rPr>
        <w:t xml:space="preserve"> Non-LDC countries have continued to develop as well; for instance, from 2010 to 2017, Indonesia’s equity markets grew 2.4 times larger, with market capitalization making up 46% of the country’s gross domestic product (GDP) in 2017.</w:t>
      </w:r>
      <w:r w:rsidRPr="005D4FA1">
        <w:rPr>
          <w:rFonts w:ascii="Calibri" w:eastAsia="Arial" w:hAnsi="Calibri" w:cs="Calibri"/>
          <w:vertAlign w:val="superscript"/>
          <w:lang w:eastAsia="zh-CN"/>
        </w:rPr>
        <w:footnoteReference w:id="8"/>
      </w:r>
      <w:r w:rsidRPr="005D4FA1">
        <w:rPr>
          <w:rFonts w:ascii="Calibri" w:eastAsia="Arial" w:hAnsi="Calibri" w:cs="Calibri"/>
          <w:lang w:eastAsia="zh-CN"/>
        </w:rPr>
        <w:t xml:space="preserve"> By comparison, in 2016, the most recent year for which data is available, net ODA was negative as Indonesia repaid more development aid than it took in.</w:t>
      </w:r>
      <w:r w:rsidRPr="005D4FA1">
        <w:rPr>
          <w:rFonts w:ascii="Calibri" w:eastAsia="Arial" w:hAnsi="Calibri" w:cs="Calibri"/>
          <w:vertAlign w:val="superscript"/>
          <w:lang w:eastAsia="zh-CN"/>
        </w:rPr>
        <w:footnoteReference w:id="9"/>
      </w:r>
      <w:r w:rsidRPr="005D4FA1">
        <w:rPr>
          <w:rFonts w:ascii="Calibri" w:eastAsia="Arial" w:hAnsi="Calibri" w:cs="Calibri"/>
          <w:lang w:eastAsia="zh-CN"/>
        </w:rPr>
        <w:t xml:space="preserve"> While grants continue to play an important role in higher income countries such as Indonesia from a development perspective, demand for grants on an economic scale is dwarfed by the need for NGF financing. For lower-income countries in the region, the demand for grants is more significant on a relative basis. For instance, ODA made up 61% of gross national income in Tuvalu (and 8.7% on average for Pacific Island small states), indicating a much stronger demand for grant and concessional financing compared to less-concessional NGF financing.</w:t>
      </w:r>
      <w:r w:rsidRPr="005D4FA1">
        <w:rPr>
          <w:rFonts w:ascii="Calibri" w:eastAsia="Arial" w:hAnsi="Calibri" w:cs="Calibri"/>
          <w:vertAlign w:val="superscript"/>
          <w:lang w:eastAsia="zh-CN"/>
        </w:rPr>
        <w:footnoteReference w:id="10"/>
      </w:r>
      <w:r w:rsidRPr="005D4FA1">
        <w:rPr>
          <w:rFonts w:ascii="Calibri" w:eastAsia="Arial" w:hAnsi="Calibri" w:cs="Calibri"/>
          <w:lang w:eastAsia="zh-CN"/>
        </w:rPr>
        <w:t xml:space="preserve"> For many lower income countries, the less developed status markets imply a far smaller demand for NGF financing and non-concessional funds. For instance, data from the </w:t>
      </w:r>
      <w:proofErr w:type="spellStart"/>
      <w:r w:rsidRPr="005D4FA1">
        <w:rPr>
          <w:rFonts w:ascii="Calibri" w:eastAsia="Arial" w:hAnsi="Calibri" w:cs="Calibri"/>
          <w:lang w:eastAsia="zh-CN"/>
        </w:rPr>
        <w:t>Center</w:t>
      </w:r>
      <w:proofErr w:type="spellEnd"/>
      <w:r w:rsidRPr="005D4FA1">
        <w:rPr>
          <w:rFonts w:ascii="Calibri" w:eastAsia="Arial" w:hAnsi="Calibri" w:cs="Calibri"/>
          <w:lang w:eastAsia="zh-CN"/>
        </w:rPr>
        <w:t xml:space="preserve"> for Global Development shows that </w:t>
      </w:r>
      <w:r w:rsidRPr="005D4FA1">
        <w:rPr>
          <w:rFonts w:ascii="Calibri" w:eastAsia="Arial" w:hAnsi="Calibri" w:cs="Calibri"/>
          <w:lang w:eastAsia="zh-CN"/>
        </w:rPr>
        <w:lastRenderedPageBreak/>
        <w:t>International Finance Corporation (IFC) private sector financing is concentrated in less risky middle and upper-middle income countries that can reliably repay debt and is comparatively underweight in poorer countries with higher risk profiles.</w:t>
      </w:r>
      <w:r w:rsidRPr="005D4FA1">
        <w:rPr>
          <w:rFonts w:ascii="Calibri" w:eastAsia="Arial" w:hAnsi="Calibri" w:cs="Calibri"/>
          <w:vertAlign w:val="superscript"/>
          <w:lang w:eastAsia="zh-CN"/>
        </w:rPr>
        <w:footnoteReference w:id="11"/>
      </w:r>
      <w:r w:rsidRPr="005D4FA1">
        <w:rPr>
          <w:rFonts w:ascii="Calibri" w:eastAsia="Arial" w:hAnsi="Calibri" w:cs="Calibri"/>
          <w:lang w:eastAsia="zh-CN"/>
        </w:rPr>
        <w:t xml:space="preserve"> However, capable private companies can still demand NGF for suitable projects.</w:t>
      </w:r>
    </w:p>
    <w:p w14:paraId="0A7F98DD" w14:textId="77777777" w:rsidR="00F16A17" w:rsidRPr="005D4FA1" w:rsidRDefault="00F16A17" w:rsidP="00F16A17">
      <w:pPr>
        <w:spacing w:before="120" w:after="120" w:line="240" w:lineRule="auto"/>
        <w:ind w:left="360"/>
        <w:jc w:val="both"/>
        <w:rPr>
          <w:rFonts w:ascii="Calibri" w:eastAsia="Arial" w:hAnsi="Calibri" w:cs="Calibri"/>
          <w:lang w:eastAsia="zh-CN"/>
        </w:rPr>
      </w:pPr>
      <w:r w:rsidRPr="005D4FA1">
        <w:rPr>
          <w:rFonts w:ascii="Calibri" w:eastAsia="Arial" w:hAnsi="Calibri" w:cs="Calibri"/>
          <w:lang w:eastAsia="zh-CN"/>
        </w:rPr>
        <w:t xml:space="preserve">In the public sector, credit risk levels greatly affect the ability and demand for countries to take on debt financing for projects. The lower a country’s sovereign credit rating and the higher its level of debt distress, the less capacity it will have to take on NGF financing in the public sector due to decreased credit ability and higher market rates for debt issuances. </w:t>
      </w:r>
    </w:p>
    <w:p w14:paraId="5C17FDFF" w14:textId="77777777" w:rsidR="00F16A17" w:rsidRPr="005D4FA1" w:rsidRDefault="00F16A17" w:rsidP="00F16A17">
      <w:pPr>
        <w:numPr>
          <w:ilvl w:val="0"/>
          <w:numId w:val="82"/>
        </w:numPr>
        <w:spacing w:before="120" w:after="120" w:line="240" w:lineRule="auto"/>
        <w:ind w:left="360"/>
        <w:jc w:val="both"/>
        <w:rPr>
          <w:rFonts w:ascii="Calibri" w:eastAsia="Arial" w:hAnsi="Calibri" w:cs="Calibri"/>
          <w:lang w:eastAsia="zh-CN"/>
        </w:rPr>
      </w:pPr>
      <w:r w:rsidRPr="005D4FA1">
        <w:rPr>
          <w:rFonts w:ascii="Calibri" w:eastAsia="Arial" w:hAnsi="Calibri" w:cs="Calibri"/>
          <w:b/>
          <w:lang w:eastAsia="zh-CN"/>
        </w:rPr>
        <w:t xml:space="preserve">Our analysis revealed often complementary needs for grants and NGF across the full range of country contexts where Australia’s interests are at play. </w:t>
      </w:r>
    </w:p>
    <w:p w14:paraId="1F7803D1" w14:textId="77777777" w:rsidR="00F16A17" w:rsidRPr="005D4FA1" w:rsidRDefault="00F16A17" w:rsidP="00F16A17">
      <w:pPr>
        <w:spacing w:before="120" w:after="120" w:line="240" w:lineRule="auto"/>
        <w:ind w:left="360"/>
        <w:jc w:val="both"/>
        <w:rPr>
          <w:rFonts w:ascii="Calibri" w:eastAsia="Arial" w:hAnsi="Calibri" w:cs="Calibri"/>
          <w:b/>
          <w:lang w:eastAsia="zh-CN"/>
        </w:rPr>
      </w:pPr>
      <w:r w:rsidRPr="005D4FA1">
        <w:rPr>
          <w:rFonts w:ascii="Calibri" w:eastAsia="Arial" w:hAnsi="Calibri" w:cs="Calibri"/>
          <w:b/>
          <w:lang w:eastAsia="zh-CN"/>
        </w:rPr>
        <w:t xml:space="preserve">In the context of poorer, riskier countries </w:t>
      </w:r>
      <w:r w:rsidRPr="005D4FA1">
        <w:rPr>
          <w:rFonts w:ascii="Calibri" w:eastAsia="Arial" w:hAnsi="Calibri" w:cs="Calibri"/>
          <w:lang w:eastAsia="zh-CN"/>
        </w:rPr>
        <w:t>including many of the Pacific Islands and certain other countries such as Bangladesh</w:t>
      </w:r>
      <w:r w:rsidRPr="005D4FA1">
        <w:rPr>
          <w:rFonts w:ascii="Calibri" w:eastAsia="Arial" w:hAnsi="Calibri" w:cs="Calibri"/>
          <w:b/>
          <w:lang w:eastAsia="zh-CN"/>
        </w:rPr>
        <w:t>,</w:t>
      </w:r>
      <w:r w:rsidRPr="005D4FA1">
        <w:rPr>
          <w:rFonts w:ascii="Calibri" w:eastAsia="Arial" w:hAnsi="Calibri" w:cs="Calibri"/>
          <w:lang w:eastAsia="zh-CN"/>
        </w:rPr>
        <w:t xml:space="preserve"> while grants continue to be in high demand as sources of development assistance, offering NGF could enable Australia to participate in a few, highly strategic investment opportunities, notably in energy, information and communications technology (ICT) and transport. </w:t>
      </w:r>
      <w:r>
        <w:rPr>
          <w:rFonts w:ascii="Calibri" w:eastAsia="Arial" w:hAnsi="Calibri" w:cs="Calibri"/>
          <w:lang w:eastAsia="zh-CN"/>
        </w:rPr>
        <w:t xml:space="preserve">Especially in the Pacific, offering NGF will allow Australia to maintain and amplify its existing role as a core development partner. </w:t>
      </w:r>
      <w:r w:rsidRPr="005D4FA1">
        <w:rPr>
          <w:rFonts w:ascii="Calibri" w:eastAsia="Arial" w:hAnsi="Calibri" w:cs="Calibri"/>
          <w:lang w:eastAsia="zh-CN"/>
        </w:rPr>
        <w:t>Were Australia to have the capacity to offer loans, equity, and guarantee funding, it could increase its influence over how these strategic projects are governed and operated. While grants could certainly be used for these instances, NGF could allow Australia to participate in more and larger projects. For example, in the Solomon Islands and PNG, development loans are providing an important source of financing for hydropower projects to provide electrical access to thousands of new customers coming on to grids for the first time.</w:t>
      </w:r>
    </w:p>
    <w:p w14:paraId="5A373D25" w14:textId="678ED1FB" w:rsidR="00F16A17" w:rsidRPr="00DA09C8" w:rsidRDefault="00F16A17" w:rsidP="00F16A17">
      <w:pPr>
        <w:spacing w:before="120" w:after="120" w:line="240" w:lineRule="auto"/>
        <w:ind w:left="360"/>
        <w:jc w:val="both"/>
        <w:rPr>
          <w:rFonts w:ascii="Calibri" w:eastAsia="Arial" w:hAnsi="Calibri" w:cs="Calibri"/>
          <w:color w:val="666666"/>
          <w:lang w:eastAsia="zh-CN"/>
        </w:rPr>
      </w:pPr>
      <w:r w:rsidRPr="005D4FA1">
        <w:rPr>
          <w:rFonts w:ascii="Calibri" w:eastAsia="Arial" w:hAnsi="Calibri" w:cs="Calibri"/>
          <w:b/>
          <w:lang w:eastAsia="zh-CN"/>
        </w:rPr>
        <w:t xml:space="preserve">In middle and upper-middle income countries </w:t>
      </w:r>
      <w:r w:rsidRPr="005D4FA1">
        <w:rPr>
          <w:rFonts w:ascii="Calibri" w:eastAsia="Arial" w:hAnsi="Calibri" w:cs="Calibri"/>
          <w:lang w:eastAsia="zh-CN"/>
        </w:rPr>
        <w:t xml:space="preserve">concentrated in South and Southeast Asia and increasingly in the Pacific Islands, Australia may grow to be a major source of </w:t>
      </w:r>
      <w:r>
        <w:rPr>
          <w:rFonts w:ascii="Calibri" w:eastAsia="Arial" w:hAnsi="Calibri" w:cs="Calibri"/>
          <w:lang w:eastAsia="zh-CN"/>
        </w:rPr>
        <w:t xml:space="preserve">bilateral </w:t>
      </w:r>
      <w:r w:rsidRPr="005D4FA1">
        <w:rPr>
          <w:rFonts w:ascii="Calibri" w:eastAsia="Arial" w:hAnsi="Calibri" w:cs="Calibri"/>
          <w:lang w:eastAsia="zh-CN"/>
        </w:rPr>
        <w:t>NGF financing as these countries continue to develop the fiscal capacity to support the issuance of returnable and callable funding instruments.</w:t>
      </w:r>
      <w:r>
        <w:rPr>
          <w:rFonts w:ascii="Calibri" w:eastAsia="Arial" w:hAnsi="Calibri" w:cs="Calibri"/>
          <w:lang w:eastAsia="zh-CN"/>
        </w:rPr>
        <w:t xml:space="preserve"> For larger and richer countries, Australia must recognize that the funds it has available to deploy mean that it will play a niche role in the overall market.</w:t>
      </w:r>
      <w:r w:rsidRPr="005D4FA1">
        <w:rPr>
          <w:rFonts w:ascii="Calibri" w:eastAsia="Arial" w:hAnsi="Calibri" w:cs="Calibri"/>
          <w:lang w:eastAsia="zh-CN"/>
        </w:rPr>
        <w:t xml:space="preserve"> Grant-funded efforts will remain important to lay the groundwork for effective NGF participation, especially in sectors with higher development impact and risk, such as agriculture and micro, small and medium-size enterprise (MSME)</w:t>
      </w:r>
      <w:r w:rsidRPr="005D4FA1">
        <w:rPr>
          <w:rFonts w:ascii="Calibri" w:eastAsia="Arial" w:hAnsi="Calibri" w:cs="Calibri"/>
          <w:i/>
          <w:lang w:eastAsia="zh-CN"/>
        </w:rPr>
        <w:t xml:space="preserve"> </w:t>
      </w:r>
      <w:r w:rsidRPr="005D4FA1">
        <w:rPr>
          <w:rFonts w:ascii="Calibri" w:eastAsia="Arial" w:hAnsi="Calibri" w:cs="Calibri"/>
          <w:lang w:eastAsia="zh-CN"/>
        </w:rPr>
        <w:t xml:space="preserve">development. </w:t>
      </w:r>
      <w:r w:rsidR="001810DA">
        <w:rPr>
          <w:rFonts w:ascii="Calibri" w:eastAsia="Arial" w:hAnsi="Calibri" w:cs="Calibri"/>
          <w:lang w:eastAsia="zh-CN"/>
        </w:rPr>
        <w:t xml:space="preserve">In these countries, grants can also be useful for blending with other countries’ bilateral loans, conditional on robust procurement standards to ensure high project quality and development impact. </w:t>
      </w:r>
      <w:r w:rsidRPr="005D4FA1">
        <w:rPr>
          <w:rFonts w:ascii="Calibri" w:eastAsia="Arial" w:hAnsi="Calibri" w:cs="Calibri"/>
          <w:lang w:eastAsia="zh-CN"/>
        </w:rPr>
        <w:t xml:space="preserve">Grants will remain the </w:t>
      </w:r>
      <w:r w:rsidR="00EA0C02">
        <w:rPr>
          <w:rFonts w:ascii="Calibri" w:eastAsia="Arial" w:hAnsi="Calibri" w:cs="Calibri"/>
          <w:lang w:eastAsia="zh-CN"/>
        </w:rPr>
        <w:t>primary</w:t>
      </w:r>
      <w:r w:rsidR="00EA0C02" w:rsidRPr="005D4FA1">
        <w:rPr>
          <w:rFonts w:ascii="Calibri" w:eastAsia="Arial" w:hAnsi="Calibri" w:cs="Calibri"/>
          <w:lang w:eastAsia="zh-CN"/>
        </w:rPr>
        <w:t xml:space="preserve"> </w:t>
      </w:r>
      <w:r w:rsidRPr="005D4FA1">
        <w:rPr>
          <w:rFonts w:ascii="Calibri" w:eastAsia="Arial" w:hAnsi="Calibri" w:cs="Calibri"/>
          <w:lang w:eastAsia="zh-CN"/>
        </w:rPr>
        <w:t xml:space="preserve">mode of support for </w:t>
      </w:r>
      <w:r w:rsidR="00EA0C02">
        <w:rPr>
          <w:rFonts w:ascii="Calibri" w:eastAsia="Arial" w:hAnsi="Calibri" w:cs="Calibri"/>
          <w:lang w:eastAsia="zh-CN"/>
        </w:rPr>
        <w:t xml:space="preserve">projects that bear challenging-to-monetise development returns, such as </w:t>
      </w:r>
      <w:r w:rsidRPr="005D4FA1">
        <w:rPr>
          <w:rFonts w:ascii="Calibri" w:eastAsia="Arial" w:hAnsi="Calibri" w:cs="Calibri"/>
          <w:lang w:eastAsia="zh-CN"/>
        </w:rPr>
        <w:t xml:space="preserve">in the sectors of governance, health, and education, human capital development and institutional capacity building. </w:t>
      </w:r>
    </w:p>
    <w:p w14:paraId="14319494" w14:textId="77777777" w:rsidR="00F16A17" w:rsidRPr="005D4FA1" w:rsidRDefault="00F16A17" w:rsidP="00E84878">
      <w:pPr>
        <w:pStyle w:val="Heading2"/>
        <w:rPr>
          <w:lang w:eastAsia="zh-CN"/>
        </w:rPr>
      </w:pPr>
      <w:r>
        <w:rPr>
          <w:lang w:eastAsia="zh-CN"/>
        </w:rPr>
        <w:t>Sectoral Needs for Development Finance</w:t>
      </w:r>
    </w:p>
    <w:p w14:paraId="4D1DA6F7" w14:textId="77777777" w:rsidR="00F16A17" w:rsidRPr="005D4FA1" w:rsidRDefault="00F16A17" w:rsidP="00F16A17">
      <w:pPr>
        <w:spacing w:before="120" w:after="120" w:line="240" w:lineRule="auto"/>
        <w:jc w:val="both"/>
        <w:rPr>
          <w:rFonts w:ascii="Calibri" w:eastAsia="Arial" w:hAnsi="Calibri" w:cs="Calibri"/>
          <w:lang w:eastAsia="zh-CN"/>
        </w:rPr>
      </w:pPr>
      <w:r w:rsidRPr="005D4FA1">
        <w:rPr>
          <w:rFonts w:ascii="Calibri" w:eastAsia="Arial" w:hAnsi="Calibri" w:cs="Calibri"/>
          <w:b/>
          <w:lang w:eastAsia="zh-CN"/>
        </w:rPr>
        <w:t>Below, we present six key instances</w:t>
      </w:r>
      <w:r w:rsidRPr="005D4FA1">
        <w:rPr>
          <w:rFonts w:ascii="Calibri" w:eastAsia="Arial" w:hAnsi="Calibri" w:cs="Calibri"/>
          <w:lang w:eastAsia="zh-CN"/>
        </w:rPr>
        <w:t xml:space="preserve"> where, within the current parameters of Australia’s development assistance program, as well as the priorities articulated in the </w:t>
      </w:r>
      <w:r w:rsidRPr="003000D6">
        <w:rPr>
          <w:rFonts w:ascii="Calibri" w:eastAsia="Arial" w:hAnsi="Calibri" w:cs="Calibri"/>
          <w:i/>
          <w:lang w:eastAsia="zh-CN"/>
        </w:rPr>
        <w:t>Foreign Policy White Paper</w:t>
      </w:r>
      <w:r w:rsidRPr="005D4FA1">
        <w:rPr>
          <w:rFonts w:ascii="Calibri" w:eastAsia="Arial" w:hAnsi="Calibri" w:cs="Calibri"/>
          <w:lang w:eastAsia="zh-CN"/>
        </w:rPr>
        <w:t xml:space="preserve">, there is demand for new financing methods that complement existing grant-based approaches. </w:t>
      </w:r>
    </w:p>
    <w:p w14:paraId="059B2A3A" w14:textId="68F60B7E" w:rsidR="00F16A17" w:rsidRPr="005D4FA1" w:rsidRDefault="00F16A17" w:rsidP="00F16A17">
      <w:pPr>
        <w:numPr>
          <w:ilvl w:val="1"/>
          <w:numId w:val="83"/>
        </w:numPr>
        <w:spacing w:before="120" w:after="120" w:line="240" w:lineRule="auto"/>
        <w:ind w:left="360"/>
        <w:jc w:val="both"/>
        <w:rPr>
          <w:rFonts w:ascii="Calibri" w:eastAsia="Arial" w:hAnsi="Calibri" w:cs="Calibri"/>
          <w:lang w:eastAsia="zh-CN"/>
        </w:rPr>
      </w:pPr>
      <w:r w:rsidRPr="005D4FA1">
        <w:rPr>
          <w:rFonts w:ascii="Calibri" w:eastAsia="Arial" w:hAnsi="Calibri" w:cs="Calibri"/>
          <w:i/>
          <w:lang w:eastAsia="zh-CN"/>
        </w:rPr>
        <w:t>Financing large-scale infrastructure projects:</w:t>
      </w:r>
      <w:r w:rsidRPr="005D4FA1">
        <w:rPr>
          <w:rFonts w:ascii="Calibri" w:eastAsia="Arial" w:hAnsi="Calibri" w:cs="Calibri"/>
          <w:lang w:eastAsia="zh-CN"/>
        </w:rPr>
        <w:t xml:space="preserve"> Throughout the Indo-Pacific, financing to enable the rehabilitation, maintenance, improvement and extension of public infrastructure across sectors (specifically in telecommunications, energy, and other major utilities) are among governments’ top priorities. The scale of infrastructure demand in the region is very large: G20 Global </w:t>
      </w:r>
      <w:r w:rsidRPr="005D4FA1">
        <w:rPr>
          <w:rFonts w:ascii="Calibri" w:eastAsia="Arial" w:hAnsi="Calibri" w:cs="Calibri"/>
          <w:lang w:eastAsia="zh-CN"/>
        </w:rPr>
        <w:lastRenderedPageBreak/>
        <w:t xml:space="preserve">Infrastructure hub </w:t>
      </w:r>
      <w:r w:rsidRPr="005D4FA1">
        <w:rPr>
          <w:rFonts w:ascii="Calibri" w:eastAsia="Arial" w:hAnsi="Calibri" w:cs="Calibri"/>
          <w:bCs/>
          <w:lang w:eastAsia="zh-CN"/>
        </w:rPr>
        <w:t xml:space="preserve">forecasts a funding gap of </w:t>
      </w:r>
      <w:r w:rsidR="00800236">
        <w:rPr>
          <w:rFonts w:ascii="Calibri" w:eastAsia="Arial" w:hAnsi="Calibri" w:cs="Calibri"/>
          <w:bCs/>
          <w:lang w:eastAsia="zh-CN"/>
        </w:rPr>
        <w:t>US$</w:t>
      </w:r>
      <w:r w:rsidRPr="005D4FA1">
        <w:rPr>
          <w:rFonts w:ascii="Calibri" w:eastAsia="Arial" w:hAnsi="Calibri" w:cs="Calibri"/>
          <w:bCs/>
          <w:lang w:eastAsia="zh-CN"/>
        </w:rPr>
        <w:t xml:space="preserve"> 14.8 trillion in infrastructure investments in Asia Pacific, between today and 2040. This need is 19% higher than existing investment growth trends.</w:t>
      </w:r>
      <w:r w:rsidRPr="005D4FA1">
        <w:rPr>
          <w:rFonts w:ascii="Calibri" w:eastAsia="Arial" w:hAnsi="Calibri" w:cs="Calibri"/>
          <w:vertAlign w:val="superscript"/>
          <w:lang w:eastAsia="zh-CN"/>
        </w:rPr>
        <w:footnoteReference w:id="12"/>
      </w:r>
    </w:p>
    <w:p w14:paraId="2CAF940A" w14:textId="77777777" w:rsidR="00F16A17" w:rsidRPr="005D4FA1" w:rsidRDefault="00F16A17" w:rsidP="00F16A17">
      <w:pPr>
        <w:spacing w:before="120" w:after="120" w:line="240" w:lineRule="auto"/>
        <w:ind w:left="360"/>
        <w:jc w:val="both"/>
        <w:rPr>
          <w:rFonts w:ascii="Calibri" w:eastAsia="Arial" w:hAnsi="Calibri" w:cs="Calibri"/>
          <w:lang w:eastAsia="zh-CN"/>
        </w:rPr>
      </w:pPr>
      <w:r w:rsidRPr="005D4FA1">
        <w:rPr>
          <w:rFonts w:ascii="Calibri" w:eastAsia="Arial" w:hAnsi="Calibri" w:cs="Calibri"/>
          <w:lang w:eastAsia="zh-CN"/>
        </w:rPr>
        <w:t>Australia is already very active in responding to this demand through a range of support, including institutional strengthening, monitoring and evaluation (M&amp;E), planning, project preparation and, in select instances, grant-based financing of infrastructure projects. Most NGF instruments such as debt and equity could be introduced in a complementary fashion to existing grant-based approaches. NGF entails the repayment of capital in instalments of varying periodicity</w:t>
      </w:r>
      <w:r w:rsidRPr="005D4FA1">
        <w:rPr>
          <w:rFonts w:ascii="Calibri" w:eastAsia="Times New Roman" w:hAnsi="Calibri" w:cs="Calibri"/>
          <w:lang w:eastAsia="zh-CN"/>
        </w:rPr>
        <w:t xml:space="preserve">. </w:t>
      </w:r>
      <w:r w:rsidRPr="005D4FA1">
        <w:rPr>
          <w:rFonts w:ascii="Calibri" w:eastAsia="Arial" w:hAnsi="Calibri" w:cs="Calibri"/>
          <w:lang w:eastAsia="zh-CN"/>
        </w:rPr>
        <w:t>Given that infrastructure supports economic activity and results in increased cash flows directly through fees or indirectly through taxes, Australia can leverage infrastructure investments to generate returns that can be reinvested in other development projects</w:t>
      </w:r>
      <w:r w:rsidRPr="005D4FA1">
        <w:rPr>
          <w:rFonts w:ascii="Calibri" w:eastAsia="Calibri" w:hAnsi="Calibri" w:cs="Times New Roman"/>
        </w:rPr>
        <w:t>, revolving and multiplying the initial funding amount</w:t>
      </w:r>
      <w:r w:rsidRPr="005D4FA1">
        <w:rPr>
          <w:rFonts w:ascii="Calibri" w:eastAsia="Arial" w:hAnsi="Calibri" w:cs="Calibri"/>
          <w:lang w:eastAsia="zh-CN"/>
        </w:rPr>
        <w:t xml:space="preserve">. In doing so, Australia could participate in more and larger projects as a direct funder, and in doing so, engage in a more robust economic partnership with a country government by providing them with a fuller range of solutions to meet their specific needs. </w:t>
      </w:r>
    </w:p>
    <w:p w14:paraId="66CF1A79" w14:textId="4831F643" w:rsidR="00F16A17" w:rsidRPr="005D4FA1" w:rsidRDefault="00F16A17" w:rsidP="00F16A17">
      <w:pPr>
        <w:numPr>
          <w:ilvl w:val="1"/>
          <w:numId w:val="83"/>
        </w:numPr>
        <w:spacing w:before="120" w:after="120" w:line="240" w:lineRule="auto"/>
        <w:ind w:left="360"/>
        <w:jc w:val="both"/>
        <w:rPr>
          <w:rFonts w:ascii="Calibri" w:eastAsia="Arial" w:hAnsi="Calibri" w:cs="Calibri"/>
          <w:lang w:eastAsia="zh-CN"/>
        </w:rPr>
      </w:pPr>
      <w:r w:rsidRPr="005D4FA1">
        <w:rPr>
          <w:rFonts w:ascii="Calibri" w:eastAsia="Arial" w:hAnsi="Calibri" w:cs="Calibri"/>
          <w:i/>
          <w:lang w:eastAsia="zh-CN"/>
        </w:rPr>
        <w:t>Investing in smaller-scale infrastructure that contributes social and economic development:</w:t>
      </w:r>
      <w:r w:rsidRPr="005D4FA1">
        <w:rPr>
          <w:rFonts w:ascii="Calibri" w:eastAsia="Arial" w:hAnsi="Calibri" w:cs="Calibri"/>
          <w:lang w:eastAsia="zh-CN"/>
        </w:rPr>
        <w:t xml:space="preserve"> There is strong demand for external finance for infrastructure projects in sectors that increase access to essential services, such as renewable energy. There is also demand for financing public-private partnerships (PPPs) and the privatisation process of major infrastructure assets that play crucial roles in economic development through instruments such as equity, subordinated loans, partial credit guarantees, and offtake guarantees. In addition to the efficiency benefits indicated above, financing these opportunities through NGF can complement existing grant-based approaches. </w:t>
      </w:r>
      <w:proofErr w:type="gramStart"/>
      <w:r w:rsidRPr="005D4FA1">
        <w:rPr>
          <w:rFonts w:ascii="Calibri" w:eastAsia="Arial" w:hAnsi="Calibri" w:cs="Calibri"/>
          <w:lang w:eastAsia="zh-CN"/>
        </w:rPr>
        <w:t>Similar</w:t>
      </w:r>
      <w:r w:rsidR="00B24EC1">
        <w:rPr>
          <w:rFonts w:ascii="Calibri" w:eastAsia="Arial" w:hAnsi="Calibri" w:cs="Calibri"/>
          <w:lang w:eastAsia="zh-CN"/>
        </w:rPr>
        <w:t>ly</w:t>
      </w:r>
      <w:proofErr w:type="gramEnd"/>
      <w:r w:rsidRPr="005D4FA1">
        <w:rPr>
          <w:rFonts w:ascii="Calibri" w:eastAsia="Arial" w:hAnsi="Calibri" w:cs="Calibri"/>
          <w:lang w:eastAsia="zh-CN"/>
        </w:rPr>
        <w:t xml:space="preserve"> to well-designed grants, using returnable funds (equity and loans) or non-disbursable (guarantee) financing for these investments aligns the incentives of the private sector with the public benefits that infrastructure provides.</w:t>
      </w:r>
    </w:p>
    <w:p w14:paraId="323781CE" w14:textId="72D6F8E0" w:rsidR="00F16A17" w:rsidRPr="005D4FA1" w:rsidRDefault="00F16A17" w:rsidP="00F16A17">
      <w:pPr>
        <w:numPr>
          <w:ilvl w:val="1"/>
          <w:numId w:val="83"/>
        </w:numPr>
        <w:spacing w:before="120" w:after="120" w:line="240" w:lineRule="auto"/>
        <w:ind w:left="360"/>
        <w:jc w:val="both"/>
        <w:rPr>
          <w:rFonts w:ascii="Calibri" w:eastAsia="Arial" w:hAnsi="Calibri" w:cs="Calibri"/>
          <w:lang w:eastAsia="zh-CN"/>
        </w:rPr>
      </w:pPr>
      <w:r w:rsidRPr="005D4FA1">
        <w:rPr>
          <w:rFonts w:ascii="Calibri" w:eastAsia="Arial" w:hAnsi="Calibri" w:cs="Calibri"/>
          <w:i/>
          <w:lang w:eastAsia="zh-CN"/>
        </w:rPr>
        <w:t xml:space="preserve">Promoting inclusive growth through financing micro, small and medium-size enterprises (MSMEs): </w:t>
      </w:r>
      <w:r w:rsidRPr="005D4FA1">
        <w:rPr>
          <w:rFonts w:ascii="Calibri" w:eastAsia="Arial" w:hAnsi="Calibri" w:cs="Calibri"/>
          <w:lang w:eastAsia="zh-CN"/>
        </w:rPr>
        <w:t xml:space="preserve">Despite a supply of finance for financing for MSMEs that outstrips gaps on a regional level, there remains significant unmet demand due to misallocation. Needs are greatest for women: of the </w:t>
      </w:r>
      <w:r w:rsidR="00800236">
        <w:rPr>
          <w:rFonts w:ascii="Calibri" w:eastAsia="Arial" w:hAnsi="Calibri" w:cs="Calibri"/>
          <w:lang w:eastAsia="zh-CN"/>
        </w:rPr>
        <w:t>US$</w:t>
      </w:r>
      <w:r w:rsidRPr="005D4FA1">
        <w:rPr>
          <w:rFonts w:ascii="Calibri" w:eastAsia="Arial" w:hAnsi="Calibri" w:cs="Calibri"/>
          <w:lang w:eastAsia="zh-CN"/>
        </w:rPr>
        <w:t xml:space="preserve"> 2.6 trillion MSME financing gap in the Asia Pacific, 1.2 trillion can be attributed to the gender financing gap.</w:t>
      </w:r>
      <w:r w:rsidRPr="005D4FA1">
        <w:rPr>
          <w:rFonts w:ascii="Calibri" w:eastAsia="Arial" w:hAnsi="Calibri" w:cs="Calibri"/>
          <w:vertAlign w:val="superscript"/>
          <w:lang w:eastAsia="zh-CN"/>
        </w:rPr>
        <w:footnoteReference w:id="13"/>
      </w:r>
      <w:r w:rsidRPr="005D4FA1">
        <w:rPr>
          <w:rFonts w:ascii="Calibri" w:eastAsia="Arial" w:hAnsi="Calibri" w:cs="Calibri"/>
          <w:lang w:eastAsia="zh-CN"/>
        </w:rPr>
        <w:t xml:space="preserve"> Credit constraint is common among businesses in the region, affecting 54% of MSMEs in South Asia and 33% in East Asia and the Pacific.</w:t>
      </w:r>
      <w:r w:rsidRPr="005D4FA1">
        <w:rPr>
          <w:rFonts w:ascii="Calibri" w:eastAsia="Arial" w:hAnsi="Calibri" w:cs="Calibri"/>
          <w:vertAlign w:val="superscript"/>
          <w:lang w:eastAsia="zh-CN"/>
        </w:rPr>
        <w:footnoteReference w:id="14"/>
      </w:r>
    </w:p>
    <w:p w14:paraId="167B7A41" w14:textId="7A12DCDF" w:rsidR="00F16A17" w:rsidRPr="005D4FA1" w:rsidRDefault="00F16A17" w:rsidP="00F16A17">
      <w:pPr>
        <w:spacing w:before="120" w:after="120" w:line="240" w:lineRule="auto"/>
        <w:ind w:left="360"/>
        <w:jc w:val="both"/>
        <w:rPr>
          <w:rFonts w:ascii="Calibri" w:eastAsia="Arial" w:hAnsi="Calibri" w:cs="Calibri"/>
          <w:lang w:eastAsia="zh-CN"/>
        </w:rPr>
      </w:pPr>
      <w:r w:rsidRPr="005D4FA1">
        <w:rPr>
          <w:rFonts w:ascii="Calibri" w:eastAsia="Arial" w:hAnsi="Calibri" w:cs="Calibri"/>
          <w:lang w:eastAsia="zh-CN"/>
        </w:rPr>
        <w:t xml:space="preserve">Subordinated and term-deposit loans, equity co-invested through or managed by local funds, convertible grants, and guarantees each show promise to address this demand. Because enterprises generate returns, there are significant opportunities to build upon the grant-based modalities of technical assistance (TA) and patient capital.  The most acute demand is from financial intermediaries that are seeking to address the “missing middle” of small and medium enterprise (SME) finance, defined as debt, mezzanine and equity tranches in increments of </w:t>
      </w:r>
      <w:r w:rsidR="00800236">
        <w:rPr>
          <w:rFonts w:ascii="Calibri" w:eastAsia="Arial" w:hAnsi="Calibri" w:cs="Calibri"/>
          <w:lang w:eastAsia="zh-CN"/>
        </w:rPr>
        <w:t>US$</w:t>
      </w:r>
      <w:r w:rsidRPr="005D4FA1">
        <w:rPr>
          <w:rFonts w:ascii="Calibri" w:eastAsia="Arial" w:hAnsi="Calibri" w:cs="Calibri"/>
          <w:lang w:eastAsia="zh-CN"/>
        </w:rPr>
        <w:t xml:space="preserve"> 500,000 to </w:t>
      </w:r>
      <w:r w:rsidR="00800236">
        <w:rPr>
          <w:rFonts w:ascii="Calibri" w:eastAsia="Arial" w:hAnsi="Calibri" w:cs="Calibri"/>
          <w:lang w:eastAsia="zh-CN"/>
        </w:rPr>
        <w:t>US$</w:t>
      </w:r>
      <w:r w:rsidRPr="005D4FA1">
        <w:rPr>
          <w:rFonts w:ascii="Calibri" w:eastAsia="Arial" w:hAnsi="Calibri" w:cs="Calibri"/>
          <w:lang w:eastAsia="zh-CN"/>
        </w:rPr>
        <w:t xml:space="preserve"> 2 million to finance growth. These financial intermediaries, including banks, funds as well as new entrants like financial technology firms, require a mix of equity, loans and TA to support the development and scaling of new financing models tailored to meet the diverse needs of SMEs.</w:t>
      </w:r>
    </w:p>
    <w:p w14:paraId="1A0DCEDB" w14:textId="45262C26" w:rsidR="00F16A17" w:rsidRPr="005D4FA1" w:rsidRDefault="00F16A17" w:rsidP="00F16A17">
      <w:pPr>
        <w:numPr>
          <w:ilvl w:val="1"/>
          <w:numId w:val="83"/>
        </w:numPr>
        <w:spacing w:before="120" w:after="120" w:line="240" w:lineRule="auto"/>
        <w:ind w:left="360"/>
        <w:jc w:val="both"/>
        <w:rPr>
          <w:rFonts w:ascii="Calibri" w:eastAsia="Arial" w:hAnsi="Calibri" w:cs="Calibri"/>
          <w:lang w:eastAsia="zh-CN"/>
        </w:rPr>
      </w:pPr>
      <w:r w:rsidRPr="005D4FA1">
        <w:rPr>
          <w:rFonts w:ascii="Calibri" w:eastAsia="Arial" w:hAnsi="Calibri" w:cs="Calibri"/>
          <w:i/>
          <w:lang w:eastAsia="zh-CN"/>
        </w:rPr>
        <w:t>Improving agricultural productivity</w:t>
      </w:r>
      <w:r w:rsidRPr="005D4FA1">
        <w:rPr>
          <w:rFonts w:ascii="Calibri" w:eastAsia="Arial" w:hAnsi="Calibri" w:cs="Calibri"/>
          <w:lang w:eastAsia="zh-CN"/>
        </w:rPr>
        <w:t xml:space="preserve">: There is also a growing demand for financing for the agribusiness sector, notably to finance the formalisation and growth of agribusiness firms that link </w:t>
      </w:r>
      <w:r w:rsidRPr="005D4FA1">
        <w:rPr>
          <w:rFonts w:ascii="Calibri" w:eastAsia="Arial" w:hAnsi="Calibri" w:cs="Calibri"/>
          <w:lang w:eastAsia="zh-CN"/>
        </w:rPr>
        <w:lastRenderedPageBreak/>
        <w:t xml:space="preserve">farmers to markets, as well as from intermediaries that provide banking and other financial solutions to smallholder farmers. The financing needs in the sector are large, with the most recent estimates for smallholder farmers in South and Southeast Asia alone reaching </w:t>
      </w:r>
      <w:r w:rsidR="00800236">
        <w:rPr>
          <w:rFonts w:ascii="Calibri" w:eastAsia="Arial" w:hAnsi="Calibri" w:cs="Calibri"/>
          <w:lang w:eastAsia="zh-CN"/>
        </w:rPr>
        <w:t>US$</w:t>
      </w:r>
      <w:r w:rsidRPr="005D4FA1">
        <w:rPr>
          <w:rFonts w:ascii="Calibri" w:eastAsia="Arial" w:hAnsi="Calibri" w:cs="Calibri"/>
          <w:lang w:eastAsia="zh-CN"/>
        </w:rPr>
        <w:t xml:space="preserve"> 120 billion.</w:t>
      </w:r>
      <w:r w:rsidRPr="005D4FA1">
        <w:rPr>
          <w:rFonts w:ascii="Calibri" w:eastAsia="Arial" w:hAnsi="Calibri" w:cs="Calibri"/>
          <w:vertAlign w:val="superscript"/>
          <w:lang w:eastAsia="zh-CN"/>
        </w:rPr>
        <w:footnoteReference w:id="15"/>
      </w:r>
      <w:r w:rsidRPr="005D4FA1">
        <w:rPr>
          <w:rFonts w:ascii="Calibri" w:eastAsia="Arial" w:hAnsi="Calibri" w:cs="Calibri"/>
          <w:lang w:eastAsia="zh-CN"/>
        </w:rPr>
        <w:t xml:space="preserve"> These types of entities require a mix of commercial and concessional loans, as well as green bonds. Here, NGF can complement existing grant-based approaches by offering greater efficiency terms noted above. Grants will continue to have significant utility for non-bankable agricultural applications. Additionally, given the limited supply of arable land in many Indo-Pacific countries, the benefits that NGF offer to minimise market distortion are especially important to reinforce market mechanisms as a determinant of production.</w:t>
      </w:r>
      <w:r w:rsidRPr="005D4FA1">
        <w:rPr>
          <w:rFonts w:ascii="Calibri" w:eastAsia="Arial" w:hAnsi="Calibri" w:cs="Calibri"/>
          <w:vertAlign w:val="superscript"/>
          <w:lang w:eastAsia="zh-CN"/>
        </w:rPr>
        <w:footnoteReference w:id="16"/>
      </w:r>
      <w:r w:rsidRPr="005D4FA1">
        <w:rPr>
          <w:rFonts w:ascii="Calibri" w:eastAsia="Arial" w:hAnsi="Calibri" w:cs="Calibri"/>
          <w:lang w:eastAsia="zh-CN"/>
        </w:rPr>
        <w:t xml:space="preserve"> This helps avoid the risk that Australian resources will merely redistribute wealth rather than create it.</w:t>
      </w:r>
    </w:p>
    <w:p w14:paraId="1EC566BA" w14:textId="77777777" w:rsidR="00F16A17" w:rsidRPr="005D4FA1" w:rsidRDefault="00F16A17" w:rsidP="00F16A17">
      <w:pPr>
        <w:numPr>
          <w:ilvl w:val="1"/>
          <w:numId w:val="83"/>
        </w:numPr>
        <w:spacing w:before="120" w:after="120" w:line="240" w:lineRule="auto"/>
        <w:ind w:left="360"/>
        <w:jc w:val="both"/>
        <w:rPr>
          <w:rFonts w:ascii="Calibri" w:eastAsia="Arial" w:hAnsi="Calibri" w:cs="Calibri"/>
          <w:lang w:eastAsia="zh-CN"/>
        </w:rPr>
      </w:pPr>
      <w:r w:rsidRPr="005D4FA1">
        <w:rPr>
          <w:rFonts w:ascii="Calibri" w:eastAsia="Arial" w:hAnsi="Calibri" w:cs="Calibri"/>
          <w:i/>
          <w:lang w:eastAsia="zh-CN"/>
        </w:rPr>
        <w:t>Developing natural resource industry</w:t>
      </w:r>
      <w:r w:rsidRPr="005D4FA1">
        <w:rPr>
          <w:rFonts w:ascii="Calibri" w:eastAsia="Arial" w:hAnsi="Calibri" w:cs="Calibri"/>
          <w:lang w:eastAsia="zh-CN"/>
        </w:rPr>
        <w:t>: Demand for financing also exists from governments and firms that are seeking to generate economic growth through the extraction of natural gas and minerals. These projects seek commercial-rate loans with extended ten</w:t>
      </w:r>
      <w:r>
        <w:rPr>
          <w:rFonts w:ascii="Calibri" w:eastAsia="Arial" w:hAnsi="Calibri" w:cs="Calibri"/>
          <w:lang w:eastAsia="zh-CN"/>
        </w:rPr>
        <w:t>or</w:t>
      </w:r>
      <w:r w:rsidRPr="005D4FA1">
        <w:rPr>
          <w:rFonts w:ascii="Calibri" w:eastAsia="Arial" w:hAnsi="Calibri" w:cs="Calibri"/>
          <w:lang w:eastAsia="zh-CN"/>
        </w:rPr>
        <w:t>. Because the returns of natural resources projects depend heavily on global commodity markets, the application of grant financing runs enormous risks of subsidising inefficient production, whereas loans can offer the possibility of returns to the Australian Government while avoiding distortionary effects.</w:t>
      </w:r>
      <w:r w:rsidRPr="005D4FA1">
        <w:rPr>
          <w:rFonts w:ascii="Calibri" w:eastAsia="Arial" w:hAnsi="Calibri" w:cs="Calibri"/>
          <w:vertAlign w:val="superscript"/>
          <w:lang w:eastAsia="zh-CN"/>
        </w:rPr>
        <w:footnoteReference w:id="17"/>
      </w:r>
      <w:r w:rsidRPr="005D4FA1">
        <w:rPr>
          <w:rFonts w:ascii="Calibri" w:eastAsia="Arial" w:hAnsi="Calibri" w:cs="Calibri"/>
          <w:lang w:eastAsia="zh-CN"/>
        </w:rPr>
        <w:t xml:space="preserve"> In addition, there is enormous demand for public and private infrastructure and services to enable these large natural resource projects, including transport, power and, potentially, processing.</w:t>
      </w:r>
    </w:p>
    <w:p w14:paraId="1602A5C5" w14:textId="0323EE55" w:rsidR="00F16A17" w:rsidRPr="005D4FA1" w:rsidRDefault="00F16A17" w:rsidP="00F16A17">
      <w:pPr>
        <w:numPr>
          <w:ilvl w:val="1"/>
          <w:numId w:val="83"/>
        </w:numPr>
        <w:spacing w:before="120" w:after="120" w:line="240" w:lineRule="auto"/>
        <w:ind w:left="360"/>
        <w:jc w:val="both"/>
        <w:rPr>
          <w:rFonts w:ascii="Calibri" w:eastAsia="Arial" w:hAnsi="Calibri" w:cs="Calibri"/>
          <w:lang w:eastAsia="zh-CN"/>
        </w:rPr>
      </w:pPr>
      <w:r w:rsidRPr="005D4FA1">
        <w:rPr>
          <w:rFonts w:ascii="Calibri" w:eastAsia="Arial" w:hAnsi="Calibri" w:cs="Calibri"/>
          <w:i/>
          <w:lang w:eastAsia="zh-CN"/>
        </w:rPr>
        <w:t>Increasing access disaster risk insurance</w:t>
      </w:r>
      <w:r w:rsidRPr="005D4FA1">
        <w:rPr>
          <w:rFonts w:ascii="Calibri" w:eastAsia="Arial" w:hAnsi="Calibri" w:cs="Calibri"/>
          <w:lang w:eastAsia="zh-CN"/>
        </w:rPr>
        <w:t>: Given the vulnerability of Pac</w:t>
      </w:r>
      <w:r w:rsidR="00B24EC1">
        <w:rPr>
          <w:rFonts w:ascii="Calibri" w:eastAsia="Arial" w:hAnsi="Calibri" w:cs="Calibri"/>
          <w:lang w:eastAsia="zh-CN"/>
        </w:rPr>
        <w:t>i</w:t>
      </w:r>
      <w:r w:rsidRPr="005D4FA1">
        <w:rPr>
          <w:rFonts w:ascii="Calibri" w:eastAsia="Arial" w:hAnsi="Calibri" w:cs="Calibri"/>
          <w:lang w:eastAsia="zh-CN"/>
        </w:rPr>
        <w:t xml:space="preserve">fic infrastructure to natural disasters, there is some demand for insuring public assets and extending credit for reconstruction, most likely through concessional loans and returnable or partially returnable grants. Due to the limited capacity of many disaster-affected countries to finance reconstruction and insurance through commercial rate instruments, grant financing will likely remain the dominant form of assistance for these countries. However, in cases where there is some ability to pay, appropriately adjusting the degree of </w:t>
      </w:r>
      <w:proofErr w:type="spellStart"/>
      <w:r w:rsidRPr="005D4FA1">
        <w:rPr>
          <w:rFonts w:ascii="Calibri" w:eastAsia="Arial" w:hAnsi="Calibri" w:cs="Calibri"/>
          <w:lang w:eastAsia="zh-CN"/>
        </w:rPr>
        <w:t>concessionality</w:t>
      </w:r>
      <w:proofErr w:type="spellEnd"/>
      <w:r w:rsidRPr="005D4FA1">
        <w:rPr>
          <w:rFonts w:ascii="Calibri" w:eastAsia="Arial" w:hAnsi="Calibri" w:cs="Calibri"/>
          <w:lang w:eastAsia="zh-CN"/>
        </w:rPr>
        <w:t xml:space="preserve"> using NGF and innovative grants by identifying gaps in what MDBs and insurance companies provide will allow for Australia to more efficiently and fairly allocate limited resources to the areas of greatest need and impact.</w:t>
      </w:r>
    </w:p>
    <w:p w14:paraId="7E9E32E1" w14:textId="77777777" w:rsidR="00F16A17" w:rsidRPr="005D4FA1" w:rsidRDefault="00F16A17" w:rsidP="00F16A17">
      <w:pPr>
        <w:spacing w:before="120" w:after="120" w:line="240" w:lineRule="auto"/>
        <w:jc w:val="both"/>
        <w:rPr>
          <w:rFonts w:ascii="Calibri" w:eastAsia="Arial" w:hAnsi="Calibri" w:cs="Calibri"/>
          <w:lang w:eastAsia="zh-CN"/>
        </w:rPr>
      </w:pPr>
      <w:r w:rsidRPr="005D4FA1">
        <w:rPr>
          <w:rFonts w:ascii="Calibri" w:eastAsia="Arial" w:hAnsi="Calibri" w:cs="Calibri"/>
          <w:b/>
          <w:lang w:eastAsia="zh-CN"/>
        </w:rPr>
        <w:t>For each of the instances above, Australia’s ability to deploy NGF will be a function of the addressable pipeline of investable opportunities and the nature of the business-enabling environment.</w:t>
      </w:r>
      <w:r w:rsidRPr="005D4FA1">
        <w:rPr>
          <w:rFonts w:ascii="Calibri" w:eastAsia="Arial" w:hAnsi="Calibri" w:cs="Calibri"/>
          <w:lang w:eastAsia="zh-CN"/>
        </w:rPr>
        <w:t xml:space="preserve"> Our analysis points to a strong continued demand for the work that Australia is currently performing to increase the pipeline of investable projects and companies through grant-funded modalities. These include efforts in </w:t>
      </w:r>
      <w:r>
        <w:rPr>
          <w:rFonts w:ascii="Calibri" w:eastAsia="Arial" w:hAnsi="Calibri" w:cs="Calibri"/>
          <w:lang w:eastAsia="zh-CN"/>
        </w:rPr>
        <w:t xml:space="preserve">innovation infrastructure, </w:t>
      </w:r>
      <w:r w:rsidRPr="005D4FA1">
        <w:rPr>
          <w:rFonts w:ascii="Calibri" w:eastAsia="Arial" w:hAnsi="Calibri" w:cs="Calibri"/>
          <w:lang w:eastAsia="zh-CN"/>
        </w:rPr>
        <w:t xml:space="preserve">regulatory reform, technical advisory, and institutional capacity building. </w:t>
      </w:r>
    </w:p>
    <w:p w14:paraId="1612EA69" w14:textId="77777777" w:rsidR="00F16A17" w:rsidRPr="005D4FA1" w:rsidRDefault="00F16A17" w:rsidP="00F16A17">
      <w:pPr>
        <w:spacing w:before="120" w:after="120" w:line="240" w:lineRule="auto"/>
        <w:jc w:val="both"/>
        <w:rPr>
          <w:rFonts w:ascii="Calibri" w:eastAsia="Arial" w:hAnsi="Calibri" w:cs="Calibri"/>
          <w:lang w:eastAsia="zh-CN"/>
        </w:rPr>
      </w:pPr>
      <w:r>
        <w:rPr>
          <w:rFonts w:ascii="Calibri" w:eastAsia="Arial" w:hAnsi="Calibri" w:cs="Calibri"/>
          <w:b/>
          <w:lang w:eastAsia="zh-CN"/>
        </w:rPr>
        <w:t>T</w:t>
      </w:r>
      <w:r w:rsidRPr="005D4FA1">
        <w:rPr>
          <w:rFonts w:ascii="Calibri" w:eastAsia="Arial" w:hAnsi="Calibri" w:cs="Calibri"/>
          <w:b/>
          <w:lang w:eastAsia="zh-CN"/>
        </w:rPr>
        <w:t xml:space="preserve">able </w:t>
      </w:r>
      <w:r>
        <w:rPr>
          <w:rFonts w:ascii="Calibri" w:eastAsia="Arial" w:hAnsi="Calibri" w:cs="Calibri"/>
          <w:b/>
          <w:lang w:eastAsia="zh-CN"/>
        </w:rPr>
        <w:t>1</w:t>
      </w:r>
      <w:r w:rsidRPr="005D4FA1">
        <w:rPr>
          <w:rFonts w:ascii="Calibri" w:eastAsia="Arial" w:hAnsi="Calibri" w:cs="Calibri"/>
          <w:b/>
          <w:lang w:eastAsia="zh-CN"/>
        </w:rPr>
        <w:t xml:space="preserve"> in the Executive Summary presents illustrative examples of opportunities where NGF and innovative grants could add value.</w:t>
      </w:r>
      <w:r w:rsidRPr="005D4FA1">
        <w:rPr>
          <w:rFonts w:ascii="Calibri" w:eastAsia="Arial" w:hAnsi="Calibri" w:cs="Calibri"/>
          <w:lang w:eastAsia="zh-CN"/>
        </w:rPr>
        <w:t xml:space="preserve"> In addition to analysing the value proposition of the instrument categories detailed below, the study team took note of specific opportunities where some gains in efficiency and efficacy might be possible were the development assistance program to have access to a broader range of financing instruments including NGF and innovative grants that offer similar benefits. The table is not intended to be a set of programmatic or investment recommendations. Indeed, the examples listed vary considerably in their likelihood to be a realistic or suitable specific project for Australia. We have presented them, rather, as an illustration of the range of opportunities that Australia would be better able to consider and interrogate further, were it to have a broader range of financing instruments. </w:t>
      </w:r>
    </w:p>
    <w:p w14:paraId="6EB77D9B" w14:textId="77777777" w:rsidR="00F16A17" w:rsidRDefault="00F16A17" w:rsidP="00F16A17">
      <w:pPr>
        <w:spacing w:before="120" w:after="120" w:line="240" w:lineRule="auto"/>
        <w:jc w:val="both"/>
        <w:rPr>
          <w:rFonts w:ascii="Calibri" w:eastAsia="Arial" w:hAnsi="Calibri" w:cs="Calibri"/>
          <w:lang w:eastAsia="zh-CN"/>
        </w:rPr>
      </w:pPr>
      <w:r w:rsidRPr="005D4FA1">
        <w:rPr>
          <w:rFonts w:ascii="Calibri" w:eastAsia="Arial" w:hAnsi="Calibri" w:cs="Calibri"/>
          <w:b/>
          <w:lang w:eastAsia="zh-CN"/>
        </w:rPr>
        <w:lastRenderedPageBreak/>
        <w:t xml:space="preserve">Overwhelmingly, while many governments in the region acknowledged the need for additional </w:t>
      </w:r>
      <w:r>
        <w:rPr>
          <w:rFonts w:ascii="Calibri" w:eastAsia="Arial" w:hAnsi="Calibri" w:cs="Calibri"/>
          <w:b/>
          <w:lang w:eastAsia="zh-CN"/>
        </w:rPr>
        <w:t>NGF</w:t>
      </w:r>
      <w:r w:rsidRPr="005D4FA1">
        <w:rPr>
          <w:rFonts w:ascii="Calibri" w:eastAsia="Arial" w:hAnsi="Calibri" w:cs="Calibri"/>
          <w:b/>
          <w:lang w:eastAsia="zh-CN"/>
        </w:rPr>
        <w:t>, nearly all emphasised the continued importance of grants, where opportunities for cash flows may be relatively uncertain.</w:t>
      </w:r>
      <w:r w:rsidRPr="005D4FA1">
        <w:rPr>
          <w:rFonts w:ascii="Calibri" w:eastAsia="Arial" w:hAnsi="Calibri" w:cs="Calibri"/>
          <w:lang w:eastAsia="zh-CN"/>
        </w:rPr>
        <w:t xml:space="preserve"> Several stakeholders emphasised how for public sector recipients, innovative grants, such as convertible grants, contingent grants, or milestone-based payments, could be used to amplify impact and provide “leverage” in the same way as NGF.</w:t>
      </w:r>
    </w:p>
    <w:p w14:paraId="105A9DBF" w14:textId="77777777" w:rsidR="00F16A17" w:rsidRPr="005D4FA1" w:rsidRDefault="00F16A17" w:rsidP="00E84878">
      <w:pPr>
        <w:pStyle w:val="Heading2"/>
        <w:rPr>
          <w:lang w:eastAsia="zh-CN"/>
        </w:rPr>
      </w:pPr>
      <w:r>
        <w:rPr>
          <w:lang w:eastAsia="zh-CN"/>
        </w:rPr>
        <w:t>Demand for Innovative Grant Financing</w:t>
      </w:r>
    </w:p>
    <w:p w14:paraId="7F62545E" w14:textId="77777777" w:rsidR="00F16A17" w:rsidRPr="005D4FA1" w:rsidRDefault="00F16A17" w:rsidP="00F16A17">
      <w:pPr>
        <w:spacing w:before="120" w:after="120" w:line="240" w:lineRule="auto"/>
        <w:jc w:val="both"/>
        <w:rPr>
          <w:rFonts w:ascii="Calibri" w:eastAsia="Arial" w:hAnsi="Calibri" w:cs="Calibri"/>
          <w:lang w:eastAsia="zh-CN"/>
        </w:rPr>
      </w:pPr>
      <w:r w:rsidRPr="005D4FA1">
        <w:rPr>
          <w:rFonts w:ascii="Calibri" w:eastAsia="Arial" w:hAnsi="Calibri" w:cs="Calibri"/>
          <w:b/>
          <w:lang w:eastAsia="zh-CN"/>
        </w:rPr>
        <w:t xml:space="preserve">Using </w:t>
      </w:r>
      <w:r>
        <w:rPr>
          <w:rFonts w:ascii="Calibri" w:eastAsia="Arial" w:hAnsi="Calibri" w:cs="Calibri"/>
          <w:b/>
          <w:lang w:eastAsia="zh-CN"/>
        </w:rPr>
        <w:t>i</w:t>
      </w:r>
      <w:r w:rsidRPr="005D4FA1">
        <w:rPr>
          <w:rFonts w:ascii="Calibri" w:eastAsia="Arial" w:hAnsi="Calibri" w:cs="Calibri"/>
          <w:b/>
          <w:lang w:eastAsia="zh-CN"/>
        </w:rPr>
        <w:t xml:space="preserve">nnovative grants, defined here as </w:t>
      </w:r>
      <w:r w:rsidRPr="005D4FA1">
        <w:rPr>
          <w:rFonts w:ascii="Calibri" w:eastAsia="Arial" w:hAnsi="Calibri" w:cs="Calibri"/>
          <w:b/>
          <w:u w:val="single"/>
          <w:lang w:eastAsia="zh-CN"/>
        </w:rPr>
        <w:t xml:space="preserve">ways of using grants that play similar roles as NGF in terms of aligning incentives towards impact, </w:t>
      </w:r>
      <w:r w:rsidRPr="005D4FA1">
        <w:rPr>
          <w:rFonts w:ascii="Calibri" w:eastAsia="Arial" w:hAnsi="Calibri" w:cs="Calibri"/>
          <w:b/>
          <w:lang w:eastAsia="zh-CN"/>
        </w:rPr>
        <w:t xml:space="preserve">will allow for Australia to help its development assistance budget go further to achieve development impact. </w:t>
      </w:r>
      <w:r>
        <w:rPr>
          <w:rFonts w:ascii="Calibri" w:eastAsia="Arial" w:hAnsi="Calibri" w:cs="Calibri"/>
          <w:lang w:eastAsia="zh-CN"/>
        </w:rPr>
        <w:t xml:space="preserve">While Australia has already used grants to leverage private sector financing, notably in Sri Lanka, an expanded set of capabilities would allow Australia to do so on a greater impact scale. </w:t>
      </w:r>
      <w:r w:rsidRPr="005D4FA1">
        <w:rPr>
          <w:rFonts w:ascii="Calibri" w:eastAsia="Arial" w:hAnsi="Calibri" w:cs="Calibri"/>
          <w:lang w:eastAsia="zh-CN"/>
        </w:rPr>
        <w:t>Several innovative grant modalities, only some of which are within DFAT’s current scope of authorization, are described below:</w:t>
      </w:r>
    </w:p>
    <w:p w14:paraId="7A4B8BE3" w14:textId="77777777" w:rsidR="00F16A17" w:rsidRPr="005D4FA1" w:rsidRDefault="00F16A17" w:rsidP="00F16A17">
      <w:pPr>
        <w:numPr>
          <w:ilvl w:val="0"/>
          <w:numId w:val="84"/>
        </w:numPr>
        <w:spacing w:before="120" w:after="120" w:line="240" w:lineRule="auto"/>
        <w:ind w:left="360"/>
        <w:jc w:val="both"/>
        <w:rPr>
          <w:rFonts w:ascii="Calibri" w:eastAsia="Arial" w:hAnsi="Calibri" w:cs="Calibri"/>
          <w:lang w:eastAsia="zh-CN"/>
        </w:rPr>
      </w:pPr>
      <w:r w:rsidRPr="005D4FA1">
        <w:rPr>
          <w:rFonts w:ascii="Calibri" w:eastAsia="Arial" w:hAnsi="Calibri" w:cs="Calibri"/>
          <w:lang w:eastAsia="zh-CN"/>
        </w:rPr>
        <w:t xml:space="preserve">As defined by the IFC, a </w:t>
      </w:r>
      <w:r w:rsidRPr="005D4FA1">
        <w:rPr>
          <w:rFonts w:ascii="Calibri" w:eastAsia="Arial" w:hAnsi="Calibri" w:cs="Calibri"/>
          <w:b/>
          <w:lang w:eastAsia="zh-CN"/>
        </w:rPr>
        <w:t xml:space="preserve">results-based </w:t>
      </w:r>
      <w:r w:rsidRPr="005D4FA1">
        <w:rPr>
          <w:rFonts w:ascii="Calibri" w:eastAsia="Arial" w:hAnsi="Calibri" w:cs="Calibri"/>
          <w:lang w:eastAsia="zh-CN"/>
        </w:rPr>
        <w:t xml:space="preserve">(or </w:t>
      </w:r>
      <w:r w:rsidRPr="005D4FA1">
        <w:rPr>
          <w:rFonts w:ascii="Calibri" w:eastAsia="Arial" w:hAnsi="Calibri" w:cs="Calibri"/>
          <w:b/>
          <w:lang w:eastAsia="zh-CN"/>
        </w:rPr>
        <w:t>output-based</w:t>
      </w:r>
      <w:r w:rsidRPr="005D4FA1">
        <w:rPr>
          <w:rFonts w:ascii="Calibri" w:eastAsia="Arial" w:hAnsi="Calibri" w:cs="Calibri"/>
          <w:lang w:eastAsia="zh-CN"/>
        </w:rPr>
        <w:t xml:space="preserve">, </w:t>
      </w:r>
      <w:r w:rsidRPr="005D4FA1">
        <w:rPr>
          <w:rFonts w:ascii="Calibri" w:eastAsia="Arial" w:hAnsi="Calibri" w:cs="Calibri"/>
          <w:b/>
          <w:lang w:eastAsia="zh-CN"/>
        </w:rPr>
        <w:t>milestone-based</w:t>
      </w:r>
      <w:r w:rsidRPr="005D4FA1">
        <w:rPr>
          <w:rFonts w:ascii="Calibri" w:eastAsia="Arial" w:hAnsi="Calibri" w:cs="Calibri"/>
          <w:lang w:eastAsia="zh-CN"/>
        </w:rPr>
        <w:t xml:space="preserve">) </w:t>
      </w:r>
      <w:r w:rsidRPr="005D4FA1">
        <w:rPr>
          <w:rFonts w:ascii="Calibri" w:eastAsia="Arial" w:hAnsi="Calibri" w:cs="Calibri"/>
          <w:b/>
          <w:lang w:eastAsia="zh-CN"/>
        </w:rPr>
        <w:t xml:space="preserve">grant </w:t>
      </w:r>
      <w:r w:rsidRPr="005D4FA1">
        <w:rPr>
          <w:rFonts w:ascii="Calibri" w:eastAsia="Arial" w:hAnsi="Calibri" w:cs="Calibri"/>
          <w:lang w:eastAsia="zh-CN"/>
        </w:rPr>
        <w:t xml:space="preserve">program is one that that rewards the delivery of one or more outputs or outcomes by a financial grant incentive upon verification that the agreed-upon result has </w:t>
      </w:r>
      <w:proofErr w:type="gramStart"/>
      <w:r w:rsidRPr="005D4FA1">
        <w:rPr>
          <w:rFonts w:ascii="Calibri" w:eastAsia="Arial" w:hAnsi="Calibri" w:cs="Calibri"/>
          <w:lang w:eastAsia="zh-CN"/>
        </w:rPr>
        <w:t>actually been</w:t>
      </w:r>
      <w:proofErr w:type="gramEnd"/>
      <w:r w:rsidRPr="005D4FA1">
        <w:rPr>
          <w:rFonts w:ascii="Calibri" w:eastAsia="Arial" w:hAnsi="Calibri" w:cs="Calibri"/>
          <w:lang w:eastAsia="zh-CN"/>
        </w:rPr>
        <w:t xml:space="preserve"> delivered. DFAT has and continues to experiment with these types of grants, though consultations have revealed </w:t>
      </w:r>
      <w:r>
        <w:rPr>
          <w:rFonts w:ascii="Calibri" w:eastAsia="Arial" w:hAnsi="Calibri" w:cs="Calibri"/>
          <w:lang w:eastAsia="zh-CN"/>
        </w:rPr>
        <w:t>that the</w:t>
      </w:r>
      <w:r w:rsidRPr="005D4FA1">
        <w:rPr>
          <w:rFonts w:ascii="Calibri" w:eastAsia="Arial" w:hAnsi="Calibri" w:cs="Calibri"/>
          <w:lang w:eastAsia="zh-CN"/>
        </w:rPr>
        <w:t xml:space="preserve"> contingen</w:t>
      </w:r>
      <w:r>
        <w:rPr>
          <w:rFonts w:ascii="Calibri" w:eastAsia="Arial" w:hAnsi="Calibri" w:cs="Calibri"/>
          <w:lang w:eastAsia="zh-CN"/>
        </w:rPr>
        <w:t>t nature of these payments is not easily harmonized with DFATs budgetary practices</w:t>
      </w:r>
      <w:r w:rsidRPr="005D4FA1">
        <w:rPr>
          <w:rFonts w:ascii="Calibri" w:eastAsia="Arial" w:hAnsi="Calibri" w:cs="Calibri"/>
          <w:lang w:eastAsia="zh-CN"/>
        </w:rPr>
        <w:t>.</w:t>
      </w:r>
    </w:p>
    <w:p w14:paraId="3F42797A" w14:textId="77777777" w:rsidR="00F16A17" w:rsidRPr="005D4FA1" w:rsidRDefault="00F16A17" w:rsidP="00F16A17">
      <w:pPr>
        <w:numPr>
          <w:ilvl w:val="0"/>
          <w:numId w:val="84"/>
        </w:numPr>
        <w:spacing w:before="120" w:after="120" w:line="240" w:lineRule="auto"/>
        <w:ind w:left="360"/>
        <w:jc w:val="both"/>
        <w:rPr>
          <w:rFonts w:ascii="Calibri" w:eastAsia="Arial" w:hAnsi="Calibri" w:cs="Calibri"/>
          <w:lang w:eastAsia="zh-CN"/>
        </w:rPr>
      </w:pPr>
      <w:r w:rsidRPr="005D4FA1">
        <w:rPr>
          <w:rFonts w:ascii="Calibri" w:eastAsia="Arial" w:hAnsi="Calibri" w:cs="Calibri"/>
          <w:lang w:eastAsia="zh-CN"/>
        </w:rPr>
        <w:t xml:space="preserve">As defined by the World Economic Forum, a </w:t>
      </w:r>
      <w:r w:rsidRPr="005D4FA1">
        <w:rPr>
          <w:rFonts w:ascii="Calibri" w:eastAsia="Arial" w:hAnsi="Calibri" w:cs="Calibri"/>
          <w:b/>
          <w:lang w:eastAsia="zh-CN"/>
        </w:rPr>
        <w:t xml:space="preserve">convertible grant </w:t>
      </w:r>
      <w:r w:rsidRPr="005D4FA1">
        <w:rPr>
          <w:rFonts w:ascii="Calibri" w:eastAsia="Arial" w:hAnsi="Calibri" w:cs="Calibri"/>
          <w:lang w:eastAsia="zh-CN"/>
        </w:rPr>
        <w:t>is a financing instrument with a hybrid capital character. The funder provides the enterprise with a grant that is converted into equity under certain, predefined success conditions. Because DFAT has no capacity to hold equity, it cannot currently extend convertible grants.</w:t>
      </w:r>
    </w:p>
    <w:p w14:paraId="743B1A74" w14:textId="77777777" w:rsidR="00F16A17" w:rsidRPr="005D4FA1" w:rsidRDefault="00F16A17" w:rsidP="00F16A17">
      <w:pPr>
        <w:numPr>
          <w:ilvl w:val="0"/>
          <w:numId w:val="84"/>
        </w:numPr>
        <w:spacing w:before="120" w:after="120" w:line="240" w:lineRule="auto"/>
        <w:ind w:left="360"/>
        <w:jc w:val="both"/>
        <w:rPr>
          <w:rFonts w:ascii="Calibri" w:eastAsia="Arial" w:hAnsi="Calibri" w:cs="Calibri"/>
          <w:lang w:eastAsia="zh-CN"/>
        </w:rPr>
      </w:pPr>
      <w:r w:rsidRPr="005D4FA1">
        <w:rPr>
          <w:rFonts w:ascii="Calibri" w:eastAsia="Arial" w:hAnsi="Calibri" w:cs="Calibri"/>
          <w:lang w:eastAsia="zh-CN"/>
        </w:rPr>
        <w:t xml:space="preserve">As defined by the Global Environment Facility, a </w:t>
      </w:r>
      <w:r w:rsidRPr="005D4FA1">
        <w:rPr>
          <w:rFonts w:ascii="Calibri" w:eastAsia="Arial" w:hAnsi="Calibri" w:cs="Calibri"/>
          <w:b/>
          <w:lang w:eastAsia="zh-CN"/>
        </w:rPr>
        <w:t xml:space="preserve">contingent grant </w:t>
      </w:r>
      <w:r w:rsidRPr="005D4FA1">
        <w:rPr>
          <w:rFonts w:ascii="Calibri" w:eastAsia="Arial" w:hAnsi="Calibri" w:cs="Calibri"/>
          <w:lang w:eastAsia="zh-CN"/>
        </w:rPr>
        <w:t>is repaid to the funder if the project is successfully financed. If the project is unsuccessful, the funds that were initially extended become a grant. Because DFAT is not authorised to accept reflows, it cannot currently extend contingent grants.</w:t>
      </w:r>
    </w:p>
    <w:p w14:paraId="1A72CBE1" w14:textId="77777777" w:rsidR="00F16A17" w:rsidRPr="005D4FA1" w:rsidRDefault="00F16A17" w:rsidP="00F16A17">
      <w:pPr>
        <w:spacing w:before="120" w:after="120" w:line="240" w:lineRule="auto"/>
        <w:jc w:val="both"/>
        <w:rPr>
          <w:rFonts w:ascii="Calibri" w:eastAsia="Arial" w:hAnsi="Calibri" w:cs="Calibri"/>
          <w:lang w:eastAsia="zh-CN"/>
        </w:rPr>
      </w:pPr>
      <w:r w:rsidRPr="005D4FA1">
        <w:rPr>
          <w:rFonts w:ascii="Calibri" w:eastAsia="Arial" w:hAnsi="Calibri" w:cs="Calibri"/>
          <w:b/>
          <w:lang w:eastAsia="zh-CN"/>
        </w:rPr>
        <w:t xml:space="preserve">Broadening authorization to employ a wider array of innovative grants (especially alongside NGF) could allow Australia to better tailor its development offerings to the needs of the private and public sector. </w:t>
      </w:r>
      <w:r w:rsidRPr="005D4FA1">
        <w:rPr>
          <w:rFonts w:ascii="Calibri" w:eastAsia="Arial" w:hAnsi="Calibri" w:cs="Calibri"/>
          <w:lang w:eastAsia="zh-CN"/>
        </w:rPr>
        <w:t>Some illustrative examples of what could be possible with wider authorities are listed below:</w:t>
      </w:r>
    </w:p>
    <w:p w14:paraId="41043468" w14:textId="0CF55AD6" w:rsidR="00F16A17" w:rsidRPr="005D4FA1" w:rsidRDefault="00F16A17" w:rsidP="00F16A17">
      <w:pPr>
        <w:numPr>
          <w:ilvl w:val="0"/>
          <w:numId w:val="85"/>
        </w:numPr>
        <w:spacing w:before="120" w:after="120" w:line="240" w:lineRule="auto"/>
        <w:ind w:left="360"/>
        <w:jc w:val="both"/>
        <w:rPr>
          <w:rFonts w:ascii="Calibri" w:eastAsia="Arial" w:hAnsi="Calibri" w:cs="Calibri"/>
          <w:lang w:eastAsia="zh-CN"/>
        </w:rPr>
      </w:pPr>
      <w:r w:rsidRPr="005D4FA1">
        <w:rPr>
          <w:rFonts w:ascii="Calibri" w:eastAsia="Arial" w:hAnsi="Calibri" w:cs="Calibri"/>
          <w:lang w:eastAsia="zh-CN"/>
        </w:rPr>
        <w:t xml:space="preserve">The United States Agency for International Development (USAID) used a grant to provide the equivalent of a first-loss equity to the first energy fund of </w:t>
      </w:r>
      <w:proofErr w:type="spellStart"/>
      <w:r w:rsidRPr="005D4FA1">
        <w:rPr>
          <w:rFonts w:ascii="Calibri" w:eastAsia="Arial" w:hAnsi="Calibri" w:cs="Calibri"/>
          <w:lang w:eastAsia="zh-CN"/>
        </w:rPr>
        <w:t>CrossBoundary</w:t>
      </w:r>
      <w:proofErr w:type="spellEnd"/>
      <w:r w:rsidRPr="005D4FA1">
        <w:rPr>
          <w:rFonts w:ascii="Calibri" w:eastAsia="Arial" w:hAnsi="Calibri" w:cs="Calibri"/>
          <w:lang w:eastAsia="zh-CN"/>
        </w:rPr>
        <w:t>, a frontier market finance firm.</w:t>
      </w:r>
      <w:r w:rsidRPr="005D4FA1">
        <w:rPr>
          <w:rFonts w:ascii="Calibri" w:eastAsia="Arial" w:hAnsi="Calibri" w:cs="Calibri"/>
          <w:vertAlign w:val="superscript"/>
          <w:lang w:eastAsia="zh-CN"/>
        </w:rPr>
        <w:footnoteReference w:id="18"/>
      </w:r>
      <w:r w:rsidRPr="005D4FA1">
        <w:rPr>
          <w:rFonts w:ascii="Calibri" w:eastAsia="Arial" w:hAnsi="Calibri" w:cs="Calibri"/>
          <w:lang w:eastAsia="zh-CN"/>
        </w:rPr>
        <w:t xml:space="preserve"> USAID contributed </w:t>
      </w:r>
      <w:r w:rsidR="00800236">
        <w:rPr>
          <w:rFonts w:ascii="Calibri" w:eastAsia="Arial" w:hAnsi="Calibri" w:cs="Calibri"/>
          <w:lang w:eastAsia="zh-CN"/>
        </w:rPr>
        <w:t>US$</w:t>
      </w:r>
      <w:r w:rsidRPr="005D4FA1">
        <w:rPr>
          <w:rFonts w:ascii="Calibri" w:eastAsia="Arial" w:hAnsi="Calibri" w:cs="Calibri"/>
          <w:lang w:eastAsia="zh-CN"/>
        </w:rPr>
        <w:t xml:space="preserve"> 1.3 million in grant funding to the </w:t>
      </w:r>
      <w:proofErr w:type="spellStart"/>
      <w:r w:rsidRPr="005D4FA1">
        <w:rPr>
          <w:rFonts w:ascii="Calibri" w:eastAsia="Arial" w:hAnsi="Calibri" w:cs="Calibri"/>
          <w:lang w:eastAsia="zh-CN"/>
        </w:rPr>
        <w:t>CrossBoundary</w:t>
      </w:r>
      <w:proofErr w:type="spellEnd"/>
      <w:r w:rsidRPr="005D4FA1">
        <w:rPr>
          <w:rFonts w:ascii="Calibri" w:eastAsia="Arial" w:hAnsi="Calibri" w:cs="Calibri"/>
          <w:lang w:eastAsia="zh-CN"/>
        </w:rPr>
        <w:t xml:space="preserve"> Energy Fund as subordinated capital. The funding was used to attract </w:t>
      </w:r>
      <w:r w:rsidR="00800236">
        <w:rPr>
          <w:rFonts w:ascii="Calibri" w:eastAsia="Arial" w:hAnsi="Calibri" w:cs="Calibri"/>
          <w:lang w:eastAsia="zh-CN"/>
        </w:rPr>
        <w:t>US$</w:t>
      </w:r>
      <w:r w:rsidRPr="005D4FA1">
        <w:rPr>
          <w:rFonts w:ascii="Calibri" w:eastAsia="Arial" w:hAnsi="Calibri" w:cs="Calibri"/>
          <w:lang w:eastAsia="zh-CN"/>
        </w:rPr>
        <w:t xml:space="preserve"> 7.5 million and </w:t>
      </w:r>
      <w:r w:rsidR="00800236">
        <w:rPr>
          <w:rFonts w:ascii="Calibri" w:eastAsia="Arial" w:hAnsi="Calibri" w:cs="Calibri"/>
          <w:lang w:eastAsia="zh-CN"/>
        </w:rPr>
        <w:t>US$</w:t>
      </w:r>
      <w:r w:rsidRPr="005D4FA1">
        <w:rPr>
          <w:rFonts w:ascii="Calibri" w:eastAsia="Arial" w:hAnsi="Calibri" w:cs="Calibri"/>
          <w:lang w:eastAsia="zh-CN"/>
        </w:rPr>
        <w:t xml:space="preserve"> 10 million in private sector equity and debt, respectively. Once fund investors are paid back their principal investment in the fund, the United States government will receive the entire amount of the grant back, plus a capped return. Similar approaches could be particularly useful for infrastructure and energy projects in the Indo-Pacific, as first-loss equity is an extremely effective way of supporting early-stage and pioneer business ventures in development.</w:t>
      </w:r>
    </w:p>
    <w:p w14:paraId="595B4010" w14:textId="1EE73C9E" w:rsidR="00F16A17" w:rsidRPr="005D4FA1" w:rsidRDefault="00F16A17" w:rsidP="00F16A17">
      <w:pPr>
        <w:numPr>
          <w:ilvl w:val="0"/>
          <w:numId w:val="85"/>
        </w:numPr>
        <w:spacing w:before="120" w:after="120" w:line="240" w:lineRule="auto"/>
        <w:ind w:left="360"/>
        <w:jc w:val="both"/>
        <w:rPr>
          <w:rFonts w:ascii="Calibri" w:eastAsia="Arial" w:hAnsi="Calibri" w:cs="Calibri"/>
          <w:lang w:eastAsia="zh-CN"/>
        </w:rPr>
      </w:pPr>
      <w:r w:rsidRPr="005D4FA1">
        <w:rPr>
          <w:rFonts w:ascii="Calibri" w:eastAsia="Arial" w:hAnsi="Calibri" w:cs="Calibri"/>
          <w:lang w:eastAsia="zh-CN"/>
        </w:rPr>
        <w:t>The Inter-American Development Bank and Clean Technology Fund (CTF) have used contingent recovery grants, alongside loans, in the Geothermal Financing and Risk Transfer Facility (GFRTF) in Mexico.</w:t>
      </w:r>
      <w:r w:rsidRPr="005D4FA1">
        <w:rPr>
          <w:rFonts w:ascii="Calibri" w:eastAsia="Arial" w:hAnsi="Calibri" w:cs="Calibri"/>
          <w:vertAlign w:val="superscript"/>
          <w:lang w:eastAsia="zh-CN"/>
        </w:rPr>
        <w:footnoteReference w:id="19"/>
      </w:r>
      <w:r w:rsidRPr="005D4FA1">
        <w:rPr>
          <w:rFonts w:ascii="Calibri" w:eastAsia="Arial" w:hAnsi="Calibri" w:cs="Calibri"/>
          <w:lang w:eastAsia="zh-CN"/>
        </w:rPr>
        <w:t xml:space="preserve"> The program uses this mix to specifically target scaling up private investment in geothermal power generation projects. It provides financial mechanisms tailored to meet the specific needs of each project’s stage of development, targeted at reducing risk and thereby </w:t>
      </w:r>
      <w:r w:rsidRPr="005D4FA1">
        <w:rPr>
          <w:rFonts w:ascii="Calibri" w:eastAsia="Arial" w:hAnsi="Calibri" w:cs="Calibri"/>
          <w:lang w:eastAsia="zh-CN"/>
        </w:rPr>
        <w:lastRenderedPageBreak/>
        <w:t>removing the main barrier to investment for the private sector. Through conservative estimates, the GFRTF has had enormous development impact, with the potential to reduce carbon emissions by 1.10 million tonnes of CO2 per year. The GFRTF project demonstrates how adding additional authorisation for these types of innovative grants, alongside NGF, will allow Australia to provide financing mixes that can more closely match the needs of the private sector.</w:t>
      </w:r>
    </w:p>
    <w:p w14:paraId="1CB58E31" w14:textId="71D797E4" w:rsidR="00F16A17" w:rsidRPr="005D4FA1" w:rsidRDefault="00F16A17" w:rsidP="00F16A17">
      <w:pPr>
        <w:numPr>
          <w:ilvl w:val="0"/>
          <w:numId w:val="85"/>
        </w:numPr>
        <w:spacing w:before="120" w:after="120" w:line="240" w:lineRule="auto"/>
        <w:ind w:left="360"/>
        <w:jc w:val="both"/>
        <w:rPr>
          <w:rFonts w:ascii="Calibri" w:eastAsia="Arial" w:hAnsi="Calibri" w:cs="Calibri"/>
          <w:lang w:eastAsia="zh-CN"/>
        </w:rPr>
      </w:pPr>
      <w:r w:rsidRPr="005D4FA1">
        <w:rPr>
          <w:rFonts w:ascii="Calibri" w:eastAsia="Arial" w:hAnsi="Calibri" w:cs="Calibri"/>
          <w:lang w:eastAsia="zh-CN"/>
        </w:rPr>
        <w:t xml:space="preserve">The </w:t>
      </w:r>
      <w:r w:rsidR="00B24EC1">
        <w:rPr>
          <w:rFonts w:ascii="Calibri" w:eastAsia="Arial" w:hAnsi="Calibri" w:cs="Calibri"/>
          <w:lang w:eastAsia="zh-CN"/>
        </w:rPr>
        <w:t>Asian Development Bank (</w:t>
      </w:r>
      <w:r w:rsidRPr="005D4FA1">
        <w:rPr>
          <w:rFonts w:ascii="Calibri" w:eastAsia="Arial" w:hAnsi="Calibri" w:cs="Calibri"/>
          <w:lang w:eastAsia="zh-CN"/>
        </w:rPr>
        <w:t>ADB</w:t>
      </w:r>
      <w:r w:rsidR="00B24EC1">
        <w:rPr>
          <w:rFonts w:ascii="Calibri" w:eastAsia="Arial" w:hAnsi="Calibri" w:cs="Calibri"/>
          <w:lang w:eastAsia="zh-CN"/>
        </w:rPr>
        <w:t>)</w:t>
      </w:r>
      <w:r w:rsidRPr="005D4FA1">
        <w:rPr>
          <w:rFonts w:ascii="Calibri" w:eastAsia="Arial" w:hAnsi="Calibri" w:cs="Calibri"/>
          <w:lang w:eastAsia="zh-CN"/>
        </w:rPr>
        <w:t xml:space="preserve"> and CTF have introduced a </w:t>
      </w:r>
      <w:r w:rsidR="00800236">
        <w:rPr>
          <w:rFonts w:ascii="Calibri" w:eastAsia="Arial" w:hAnsi="Calibri" w:cs="Calibri"/>
          <w:lang w:eastAsia="zh-CN"/>
        </w:rPr>
        <w:t>US$</w:t>
      </w:r>
      <w:r w:rsidRPr="005D4FA1">
        <w:rPr>
          <w:rFonts w:ascii="Calibri" w:eastAsia="Arial" w:hAnsi="Calibri" w:cs="Calibri"/>
          <w:lang w:eastAsia="zh-CN"/>
        </w:rPr>
        <w:t xml:space="preserve"> 33 million Mezzanine Finance for Climate Change program that includes 13 Asian countries, as well as the Pacific Region.</w:t>
      </w:r>
      <w:r w:rsidRPr="005D4FA1">
        <w:rPr>
          <w:rFonts w:ascii="Calibri" w:eastAsia="Arial" w:hAnsi="Calibri" w:cs="Calibri"/>
          <w:vertAlign w:val="superscript"/>
          <w:lang w:eastAsia="zh-CN"/>
        </w:rPr>
        <w:footnoteReference w:id="20"/>
      </w:r>
      <w:r w:rsidRPr="005D4FA1">
        <w:rPr>
          <w:rFonts w:ascii="Calibri" w:eastAsia="Arial" w:hAnsi="Calibri" w:cs="Calibri"/>
          <w:lang w:eastAsia="zh-CN"/>
        </w:rPr>
        <w:t xml:space="preserve"> In terms of types of financial instruments, the program is broad, and includes the ability to deploy several types of grants, equity, and debt financing. The primary goal of the mezzanine financing facility is to bridge market gaps. The embedded flexibility within the facility is crucial to maximising its impact-for-money. In any program of this level of complexity, grants are likely to have a critical role alongside NGF, as many projects with meaningful development impact may not reach ordinary thresholds for commercially viable investment. In consultations, the ADB highlighted a need for additional funders for renewable energy projects, raising the possibility of additional Australian involvement in the projects via NGF. </w:t>
      </w:r>
    </w:p>
    <w:p w14:paraId="7C1CA23F" w14:textId="77777777" w:rsidR="00F16A17" w:rsidRDefault="00F16A17" w:rsidP="00E84878">
      <w:pPr>
        <w:pStyle w:val="Heading3"/>
        <w:rPr>
          <w:lang w:eastAsia="zh-CN"/>
        </w:rPr>
      </w:pPr>
      <w:r>
        <w:rPr>
          <w:lang w:eastAsia="zh-CN"/>
        </w:rPr>
        <w:t>Debt Issuance</w:t>
      </w:r>
    </w:p>
    <w:p w14:paraId="718950C8" w14:textId="77777777" w:rsidR="00F16A17" w:rsidRPr="005D4FA1" w:rsidRDefault="00F16A17" w:rsidP="00F16A17">
      <w:pPr>
        <w:spacing w:before="120" w:after="120" w:line="240" w:lineRule="auto"/>
        <w:jc w:val="both"/>
        <w:rPr>
          <w:rFonts w:ascii="Calibri" w:eastAsia="Arial" w:hAnsi="Calibri" w:cs="Calibri"/>
          <w:lang w:eastAsia="zh-CN"/>
        </w:rPr>
      </w:pPr>
      <w:r w:rsidRPr="005D4FA1">
        <w:rPr>
          <w:rFonts w:ascii="Calibri" w:eastAsia="Arial" w:hAnsi="Calibri" w:cs="Calibri"/>
          <w:b/>
          <w:lang w:eastAsia="zh-CN"/>
        </w:rPr>
        <w:t xml:space="preserve">Where an investment is considered for proven business models that require capital injections, loans can enable better participation in financing, especially for infrastructure. </w:t>
      </w:r>
      <w:r w:rsidRPr="005D4FA1">
        <w:rPr>
          <w:rFonts w:ascii="Calibri" w:eastAsia="Arial" w:hAnsi="Calibri" w:cs="Calibri"/>
          <w:lang w:eastAsia="zh-CN"/>
        </w:rPr>
        <w:t xml:space="preserve">Typically, governments in the region see debt financing as well suited to projects that are costly, but will provide significant, predictable cash flows or produce taxable economic activity in the long run. Here, offering loans has the potential to increase Australia’s impact for two reasons. </w:t>
      </w:r>
    </w:p>
    <w:p w14:paraId="3BECF946" w14:textId="77777777" w:rsidR="00F16A17" w:rsidRPr="005D4FA1" w:rsidRDefault="00F16A17" w:rsidP="00F16A17">
      <w:pPr>
        <w:numPr>
          <w:ilvl w:val="0"/>
          <w:numId w:val="86"/>
        </w:numPr>
        <w:spacing w:before="120" w:after="120" w:line="240" w:lineRule="auto"/>
        <w:ind w:left="360"/>
        <w:jc w:val="both"/>
        <w:rPr>
          <w:rFonts w:ascii="Calibri" w:eastAsia="Arial" w:hAnsi="Calibri" w:cs="Calibri"/>
          <w:lang w:eastAsia="zh-CN"/>
        </w:rPr>
      </w:pPr>
      <w:r w:rsidRPr="005D4FA1">
        <w:rPr>
          <w:rFonts w:ascii="Calibri" w:eastAsia="Arial" w:hAnsi="Calibri" w:cs="Calibri"/>
          <w:lang w:eastAsia="zh-CN"/>
        </w:rPr>
        <w:t xml:space="preserve">First, while Australia participates in select infrastructure projects by means of grants, there is considerable demand from regional governments for Australia to increase the amount of funds that it dedicates to infrastructure. Doing so without unsustainable increases in the development assistance budget requires the ability to reap returns from aid flows. </w:t>
      </w:r>
    </w:p>
    <w:p w14:paraId="0D23CC92" w14:textId="77777777" w:rsidR="00F16A17" w:rsidRPr="005D4FA1" w:rsidRDefault="00F16A17" w:rsidP="00F16A17">
      <w:pPr>
        <w:numPr>
          <w:ilvl w:val="0"/>
          <w:numId w:val="86"/>
        </w:numPr>
        <w:spacing w:before="120" w:after="120" w:line="240" w:lineRule="auto"/>
        <w:ind w:left="360"/>
        <w:jc w:val="both"/>
        <w:rPr>
          <w:rFonts w:ascii="Calibri" w:eastAsia="Arial" w:hAnsi="Calibri" w:cs="Calibri"/>
          <w:b/>
          <w:lang w:eastAsia="zh-CN"/>
        </w:rPr>
      </w:pPr>
      <w:r w:rsidRPr="005D4FA1">
        <w:rPr>
          <w:rFonts w:ascii="Calibri" w:eastAsia="Arial" w:hAnsi="Calibri" w:cs="Calibri"/>
          <w:lang w:eastAsia="zh-CN"/>
        </w:rPr>
        <w:t xml:space="preserve">Second, while Australia often funds the initial stages of large-scale project pipelines through grants that fund feasibility studies, planning efforts and technical advisory support and the like, unlike other funders, it lacks the means to </w:t>
      </w:r>
      <w:proofErr w:type="gramStart"/>
      <w:r w:rsidRPr="005D4FA1">
        <w:rPr>
          <w:rFonts w:ascii="Calibri" w:eastAsia="Arial" w:hAnsi="Calibri" w:cs="Calibri"/>
          <w:lang w:eastAsia="zh-CN"/>
        </w:rPr>
        <w:t>sustainably and consistently participate on equal footing</w:t>
      </w:r>
      <w:proofErr w:type="gramEnd"/>
      <w:r w:rsidRPr="005D4FA1">
        <w:rPr>
          <w:rFonts w:ascii="Calibri" w:eastAsia="Arial" w:hAnsi="Calibri" w:cs="Calibri"/>
          <w:lang w:eastAsia="zh-CN"/>
        </w:rPr>
        <w:t xml:space="preserve"> in project finance, since doing so often implies participation in projects’ SPVs and other financing mechanisms through debt or equity. In doing so, Australia misses an opportunity to build development partnerships and meaningfully support the foreign policy goals outlined in the White Paper, notably around the promotion of transparency and a rules-based approach to trade. These missed opportunities were quite explicitly highlighted in a consultation with a Pacific Island post. In this country, DFAT had sought to support an ADB loan with TA. When the ADB asked on behalf of Australia and other interested donors whether the host government would allow TA donors to participate loan steering committee meetings, the response was that they could join only “once they contributed funding.” In this case, while providing either grant or NGF would allow Australia to participate, doing so via NGF where possible would be a more efficient use of limited financial resources.</w:t>
      </w:r>
    </w:p>
    <w:p w14:paraId="316BC439" w14:textId="77777777" w:rsidR="00F16A17" w:rsidRPr="00DA09C8" w:rsidRDefault="00F16A17" w:rsidP="00E84878">
      <w:pPr>
        <w:pStyle w:val="Heading2"/>
      </w:pPr>
      <w:r>
        <w:t>Equity Investment</w:t>
      </w:r>
    </w:p>
    <w:p w14:paraId="0E53879E" w14:textId="531A1E1C" w:rsidR="00F16A17" w:rsidRDefault="00F16A17" w:rsidP="00F16A17">
      <w:pPr>
        <w:spacing w:before="120" w:after="120" w:line="240" w:lineRule="auto"/>
        <w:jc w:val="both"/>
        <w:rPr>
          <w:rFonts w:ascii="Calibri" w:eastAsia="Arial" w:hAnsi="Calibri" w:cs="Calibri"/>
          <w:lang w:eastAsia="zh-CN"/>
        </w:rPr>
      </w:pPr>
      <w:r w:rsidRPr="005D4FA1">
        <w:rPr>
          <w:rFonts w:ascii="Calibri" w:eastAsia="Arial" w:hAnsi="Calibri" w:cs="Calibri"/>
          <w:b/>
          <w:lang w:eastAsia="zh-CN"/>
        </w:rPr>
        <w:t xml:space="preserve">Where co-investing is prudent, equity can be a useful tool for promoting private sector and infrastructure development in the Indo-Pacific, especially where returns are possible but less predictable or stable. </w:t>
      </w:r>
      <w:r w:rsidRPr="005D4FA1">
        <w:rPr>
          <w:rFonts w:ascii="Calibri" w:eastAsia="Arial" w:hAnsi="Calibri" w:cs="Calibri"/>
          <w:lang w:eastAsia="zh-CN"/>
        </w:rPr>
        <w:t xml:space="preserve">In the Pacific, equity investments could form an important means of </w:t>
      </w:r>
      <w:r w:rsidRPr="005D4FA1">
        <w:rPr>
          <w:rFonts w:ascii="Calibri" w:eastAsia="Arial" w:hAnsi="Calibri" w:cs="Calibri"/>
          <w:lang w:eastAsia="zh-CN"/>
        </w:rPr>
        <w:lastRenderedPageBreak/>
        <w:t xml:space="preserve">infrastructure finance through an equity stake in a collective investment vehicle, a co-financing mechanism that would allow a consortium of funders to make direct investments in impactful infrastructure projects. Through funds or direct investment, Australia could meet these needs through equity financing alongside private and public actors that could buy into a fund, distributing risk on both the project and investment side. </w:t>
      </w:r>
      <w:r>
        <w:rPr>
          <w:rFonts w:ascii="Calibri" w:eastAsia="Arial" w:hAnsi="Calibri" w:cs="Calibri"/>
          <w:lang w:eastAsia="zh-CN"/>
        </w:rPr>
        <w:t>Equity investment is especially useful for facilitating Australia’s support of social impact ventures and start-ups whose work aligns with Australia’s development finance objectives.</w:t>
      </w:r>
    </w:p>
    <w:p w14:paraId="358661C3" w14:textId="427558E8" w:rsidR="00F16A17" w:rsidRDefault="00F16A17" w:rsidP="00F16A17">
      <w:pPr>
        <w:spacing w:before="120" w:after="120" w:line="240" w:lineRule="auto"/>
        <w:jc w:val="both"/>
        <w:rPr>
          <w:rFonts w:ascii="Calibri" w:eastAsia="Arial" w:hAnsi="Calibri" w:cs="Calibri"/>
          <w:lang w:eastAsia="zh-CN"/>
        </w:rPr>
      </w:pPr>
      <w:r w:rsidRPr="005D4FA1">
        <w:rPr>
          <w:rFonts w:ascii="Calibri" w:eastAsia="Arial" w:hAnsi="Calibri" w:cs="Calibri"/>
          <w:lang w:eastAsia="zh-CN"/>
        </w:rPr>
        <w:t xml:space="preserve">There may also be opportunities for equity instruments to allow Australia to enter into co-financing agreements with other individual national financiers, such as the Vanuatu National Provident Fund, to promote agricultural productivity development. Equity investments in local financial intermediaries may also be useful to complement existing efforts to support the growth of SMEs, with due consideration of any accompanying reputational risks or capacity to provide post-investment “hand-holding” support. Efforts such as the Investing in Women Program, and Innovation for Social Impact Partnership in the Philippines help entrepreneurs to build their capacity for growth, but critical missing ingredients in many markets are local funds and financial intermediaries that have the capacity to finance the growth of these businesses. </w:t>
      </w:r>
    </w:p>
    <w:p w14:paraId="7F613381" w14:textId="77777777" w:rsidR="00F16A17" w:rsidRPr="005D4FA1" w:rsidRDefault="00F16A17" w:rsidP="00F16A17">
      <w:pPr>
        <w:spacing w:before="120" w:after="120" w:line="240" w:lineRule="auto"/>
        <w:jc w:val="both"/>
        <w:rPr>
          <w:rFonts w:ascii="Calibri" w:eastAsia="Arial" w:hAnsi="Calibri" w:cs="Calibri"/>
          <w:lang w:eastAsia="zh-CN"/>
        </w:rPr>
      </w:pPr>
      <w:r w:rsidRPr="005D4FA1">
        <w:rPr>
          <w:rFonts w:ascii="Calibri" w:eastAsia="Arial" w:hAnsi="Calibri" w:cs="Calibri"/>
          <w:lang w:eastAsia="zh-CN"/>
        </w:rPr>
        <w:t xml:space="preserve">Instruments such as equity or mezzanine financing can complement DFAT’s current approach to working with local financial intermediaries by capitalising them to enable them to better support the growth of local entrepreneurs. While the risk of loss (including uncertain return of funds, resulting in impediments to recycling funds invested) with equity investments is comparatively large compared to guarantees and loans (but not grants), especially since the secondary market can be limited or non-existent, the differing behaviour of these assets makes them a desirable addition. This is both in terms of financial diversification and the benefits they bring to development impact by bridging funding gaps that other NGF cannot reach, and that grants alone will find insufficient to address. </w:t>
      </w:r>
      <w:r w:rsidRPr="005D4FA1">
        <w:rPr>
          <w:rFonts w:ascii="Calibri" w:eastAsia="Calibri" w:hAnsi="Calibri" w:cs="Times New Roman"/>
        </w:rPr>
        <w:t>Further, co-investing can potentially provide influence through participation in formal governance mechanisms such as boards or steering committees. This may prove worthwhile in cases where operational-level matters are of interest to DFAT, for instance in projects with high social or reputational risks.</w:t>
      </w:r>
    </w:p>
    <w:p w14:paraId="4F01C882" w14:textId="478EB108" w:rsidR="00F16A17" w:rsidRPr="005D4FA1" w:rsidRDefault="00F16A17" w:rsidP="00F16A17">
      <w:pPr>
        <w:spacing w:before="120" w:after="120" w:line="240" w:lineRule="auto"/>
        <w:jc w:val="both"/>
        <w:rPr>
          <w:rFonts w:ascii="Calibri" w:eastAsia="Arial" w:hAnsi="Calibri" w:cs="Calibri"/>
          <w:lang w:eastAsia="zh-CN"/>
        </w:rPr>
      </w:pPr>
      <w:r w:rsidRPr="005D4FA1">
        <w:rPr>
          <w:rFonts w:ascii="Calibri" w:eastAsia="Arial" w:hAnsi="Calibri" w:cs="Calibri"/>
          <w:b/>
          <w:lang w:eastAsia="zh-CN"/>
        </w:rPr>
        <w:t>Given their mobilisation effect, guarantees are best suited for critical infrastructure projects, whose risks may discourage financiers from deploying capital.</w:t>
      </w:r>
      <w:r w:rsidRPr="005D4FA1">
        <w:rPr>
          <w:rFonts w:ascii="Calibri" w:eastAsia="Arial" w:hAnsi="Calibri" w:cs="Calibri"/>
          <w:lang w:eastAsia="zh-CN"/>
        </w:rPr>
        <w:t xml:space="preserve"> Nearly half of private finance mobilised from 2012-2015 was through guarantees alone.</w:t>
      </w:r>
      <w:r w:rsidRPr="005D4FA1">
        <w:rPr>
          <w:rFonts w:ascii="Calibri" w:eastAsia="Arial" w:hAnsi="Calibri" w:cs="Calibri"/>
          <w:vertAlign w:val="superscript"/>
          <w:lang w:eastAsia="zh-CN"/>
        </w:rPr>
        <w:footnoteReference w:id="21"/>
      </w:r>
      <w:r w:rsidRPr="005D4FA1">
        <w:rPr>
          <w:rFonts w:ascii="Calibri" w:eastAsia="Arial" w:hAnsi="Calibri" w:cs="Calibri"/>
          <w:lang w:eastAsia="zh-CN"/>
        </w:rPr>
        <w:t xml:space="preserve"> In South Asia, East Asia and the Pacific, for every dollar of concessional capital invested, an average of </w:t>
      </w:r>
      <w:r w:rsidR="00800236">
        <w:rPr>
          <w:rFonts w:ascii="Calibri" w:eastAsia="Arial" w:hAnsi="Calibri" w:cs="Calibri"/>
          <w:lang w:eastAsia="zh-CN"/>
        </w:rPr>
        <w:t>US$</w:t>
      </w:r>
      <w:r w:rsidRPr="005D4FA1">
        <w:rPr>
          <w:rFonts w:ascii="Calibri" w:eastAsia="Arial" w:hAnsi="Calibri" w:cs="Calibri"/>
          <w:lang w:eastAsia="zh-CN"/>
        </w:rPr>
        <w:t xml:space="preserve"> 3.8 was raised.</w:t>
      </w:r>
      <w:r w:rsidRPr="005D4FA1">
        <w:rPr>
          <w:rFonts w:ascii="Calibri" w:eastAsia="Arial" w:hAnsi="Calibri" w:cs="Calibri"/>
          <w:vertAlign w:val="superscript"/>
          <w:lang w:eastAsia="zh-CN"/>
        </w:rPr>
        <w:footnoteReference w:id="22"/>
      </w:r>
      <w:r w:rsidRPr="005D4FA1">
        <w:rPr>
          <w:rFonts w:ascii="Calibri" w:eastAsia="Arial" w:hAnsi="Calibri" w:cs="Calibri"/>
          <w:lang w:eastAsia="zh-CN"/>
        </w:rPr>
        <w:t xml:space="preserve"> This data suggests guarantees could be a very useful instrument for Australia to use to galvanise greater amounts of private capital from existing sources, in addition to redirecting capital flows towards Pacific Island countries and other regions deemed too risky for long-term investment. Indeed, consultations</w:t>
      </w:r>
      <w:r w:rsidRPr="005D4FA1">
        <w:rPr>
          <w:rFonts w:ascii="Calibri" w:eastAsia="Times New Roman" w:hAnsi="Calibri" w:cs="Times New Roman"/>
          <w:lang w:eastAsia="en-IN"/>
        </w:rPr>
        <w:t>—</w:t>
      </w:r>
      <w:r w:rsidRPr="005D4FA1">
        <w:rPr>
          <w:rFonts w:ascii="Calibri" w:eastAsia="Arial" w:hAnsi="Calibri" w:cs="Calibri"/>
          <w:lang w:eastAsia="zh-CN"/>
        </w:rPr>
        <w:t xml:space="preserve">while not indicative of firm opportunities, and without precise references to existing guarantee products available from the Multilateral Investment Guarantee Agency (MIGA), ADB, </w:t>
      </w:r>
      <w:proofErr w:type="spellStart"/>
      <w:r w:rsidRPr="005D4FA1">
        <w:rPr>
          <w:rFonts w:ascii="Calibri" w:eastAsia="Arial" w:hAnsi="Calibri" w:cs="Calibri"/>
          <w:lang w:eastAsia="zh-CN"/>
        </w:rPr>
        <w:t>Efic</w:t>
      </w:r>
      <w:proofErr w:type="spellEnd"/>
      <w:r w:rsidRPr="005D4FA1">
        <w:rPr>
          <w:rFonts w:ascii="Calibri" w:eastAsia="Arial" w:hAnsi="Calibri" w:cs="Calibri"/>
          <w:lang w:eastAsia="zh-CN"/>
        </w:rPr>
        <w:t>, and others</w:t>
      </w:r>
      <w:r w:rsidRPr="005D4FA1">
        <w:rPr>
          <w:rFonts w:ascii="Calibri" w:eastAsia="Times New Roman" w:hAnsi="Calibri" w:cs="Times New Roman"/>
          <w:lang w:eastAsia="en-IN"/>
        </w:rPr>
        <w:t>—</w:t>
      </w:r>
      <w:r w:rsidRPr="005D4FA1">
        <w:rPr>
          <w:rFonts w:ascii="Calibri" w:eastAsia="Arial" w:hAnsi="Calibri" w:cs="Calibri"/>
          <w:lang w:eastAsia="zh-CN"/>
        </w:rPr>
        <w:t xml:space="preserve">revealed market demand for guarantees from both private and public sector actors, as well as from existing guarantors looking for co-financing partners. Conversations with potential Australian investors revealed a preference for packaged guarantees provided alongside export finance and advisory services, while governments expressed difficulties supporting the full risks of critical infrastructure projects and registered an interest in increased guarantee-based funding. </w:t>
      </w:r>
    </w:p>
    <w:p w14:paraId="12760BC1" w14:textId="77777777" w:rsidR="00F16A17" w:rsidRPr="00DA09C8" w:rsidRDefault="00F16A17" w:rsidP="00E84878">
      <w:pPr>
        <w:pStyle w:val="Heading3"/>
      </w:pPr>
      <w:r w:rsidRPr="00DA09C8">
        <w:t>Guarantee Provision</w:t>
      </w:r>
    </w:p>
    <w:p w14:paraId="55ADAD80" w14:textId="2A8FDCB4" w:rsidR="00F16A17" w:rsidRPr="005D4FA1" w:rsidRDefault="00F16A17" w:rsidP="00F16A17">
      <w:pPr>
        <w:spacing w:before="120" w:after="120" w:line="240" w:lineRule="auto"/>
        <w:jc w:val="both"/>
        <w:rPr>
          <w:rFonts w:ascii="Calibri" w:eastAsia="Arial" w:hAnsi="Calibri" w:cs="Calibri"/>
          <w:lang w:eastAsia="zh-CN"/>
        </w:rPr>
      </w:pPr>
      <w:r w:rsidRPr="005D4FA1">
        <w:rPr>
          <w:rFonts w:ascii="Calibri" w:eastAsia="Arial" w:hAnsi="Calibri" w:cs="Calibri"/>
          <w:b/>
          <w:lang w:eastAsia="zh-CN"/>
        </w:rPr>
        <w:lastRenderedPageBreak/>
        <w:t xml:space="preserve">Other established guarantors in the region present a niche for Australia to enter. </w:t>
      </w:r>
      <w:r w:rsidRPr="005D4FA1">
        <w:rPr>
          <w:rFonts w:ascii="Calibri" w:eastAsia="Arial" w:hAnsi="Calibri" w:cs="Calibri"/>
          <w:lang w:eastAsia="zh-CN"/>
        </w:rPr>
        <w:t xml:space="preserve">As of 2016, there is only </w:t>
      </w:r>
      <w:r w:rsidR="00800236">
        <w:rPr>
          <w:rFonts w:ascii="Calibri" w:eastAsia="Arial" w:hAnsi="Calibri" w:cs="Calibri"/>
          <w:lang w:eastAsia="zh-CN"/>
        </w:rPr>
        <w:t>US$</w:t>
      </w:r>
      <w:r w:rsidRPr="005D4FA1">
        <w:rPr>
          <w:rFonts w:ascii="Calibri" w:eastAsia="Arial" w:hAnsi="Calibri" w:cs="Calibri"/>
          <w:lang w:eastAsia="zh-CN"/>
        </w:rPr>
        <w:t xml:space="preserve"> 20.3 Billion in outstanding guarantees, 70% of which are provided by MIGA.</w:t>
      </w:r>
      <w:r w:rsidRPr="005D4FA1">
        <w:rPr>
          <w:rFonts w:ascii="Calibri" w:eastAsia="Arial" w:hAnsi="Calibri" w:cs="Calibri"/>
          <w:vertAlign w:val="superscript"/>
          <w:lang w:eastAsia="zh-CN"/>
        </w:rPr>
        <w:footnoteReference w:id="23"/>
      </w:r>
      <w:r w:rsidRPr="005D4FA1">
        <w:rPr>
          <w:rFonts w:ascii="Calibri" w:eastAsia="Arial" w:hAnsi="Calibri" w:cs="Calibri"/>
          <w:lang w:eastAsia="zh-CN"/>
        </w:rPr>
        <w:t xml:space="preserve"> While MIGA provides guarantee financing in the Indo-Pacific, some of these efforts have been hampered by capital accounting restrictions that lead banks to treat guarantees as identical to loans, severely limiting utilisation.</w:t>
      </w:r>
      <w:r w:rsidRPr="005D4FA1">
        <w:rPr>
          <w:rFonts w:ascii="Calibri" w:eastAsia="Arial" w:hAnsi="Calibri" w:cs="Calibri"/>
          <w:vertAlign w:val="superscript"/>
          <w:lang w:eastAsia="zh-CN"/>
        </w:rPr>
        <w:footnoteReference w:id="24"/>
      </w:r>
      <w:r w:rsidRPr="005D4FA1">
        <w:rPr>
          <w:rFonts w:ascii="Calibri" w:eastAsia="Arial" w:hAnsi="Calibri" w:cs="Calibri"/>
          <w:lang w:eastAsia="zh-CN"/>
        </w:rPr>
        <w:t xml:space="preserve"> Further, MIGA’s offerings are limited to political risk and non-honouring of financial obligation insurance, and do not include instruments such as offtake guarantees. Lastly, the diplomatic power of MIGA means that in almost all situations where any type of expropriation raises the possibility of a guarantee call, the World Bank </w:t>
      </w:r>
      <w:r w:rsidR="003F6D9E">
        <w:rPr>
          <w:rFonts w:ascii="Calibri" w:eastAsia="Arial" w:hAnsi="Calibri" w:cs="Calibri"/>
          <w:lang w:eastAsia="zh-CN"/>
        </w:rPr>
        <w:t xml:space="preserve">(WB) </w:t>
      </w:r>
      <w:r w:rsidRPr="005D4FA1">
        <w:rPr>
          <w:rFonts w:ascii="Calibri" w:eastAsia="Arial" w:hAnsi="Calibri" w:cs="Calibri"/>
          <w:lang w:eastAsia="zh-CN"/>
        </w:rPr>
        <w:t xml:space="preserve">can use its clout to resolve the issues involved: our consultations have indicated that Australia could leverage its own strategic ties in the region to offer similar guarantees. In certain countries, its assurances could be even more powerful, given its full-time diplomatic presence and government-to-government relations. Admittedly, Australia’s heightened engagement also presents a risk: Australia has a range of political and economic interests with countries in the region that it may not wish to risk through advocacy on a single project; in contrast, </w:t>
      </w:r>
      <w:r w:rsidR="003F6D9E">
        <w:rPr>
          <w:rFonts w:ascii="Calibri" w:eastAsia="Arial" w:hAnsi="Calibri" w:cs="Calibri"/>
          <w:lang w:eastAsia="zh-CN"/>
        </w:rPr>
        <w:t>WB</w:t>
      </w:r>
      <w:r w:rsidRPr="005D4FA1">
        <w:rPr>
          <w:rFonts w:ascii="Calibri" w:eastAsia="Arial" w:hAnsi="Calibri" w:cs="Calibri"/>
          <w:lang w:eastAsia="zh-CN"/>
        </w:rPr>
        <w:t xml:space="preserve"> has a narrower range of interests in-country.</w:t>
      </w:r>
    </w:p>
    <w:p w14:paraId="02E5DECC" w14:textId="77777777" w:rsidR="00F16A17" w:rsidRPr="005D4FA1" w:rsidRDefault="00F16A17" w:rsidP="00F16A17">
      <w:pPr>
        <w:spacing w:before="120" w:after="120" w:line="240" w:lineRule="auto"/>
        <w:jc w:val="both"/>
        <w:rPr>
          <w:rFonts w:ascii="Calibri" w:eastAsia="Arial" w:hAnsi="Calibri" w:cs="Calibri"/>
          <w:lang w:eastAsia="zh-CN"/>
        </w:rPr>
      </w:pPr>
      <w:r w:rsidRPr="005D4FA1">
        <w:rPr>
          <w:rFonts w:ascii="Calibri" w:eastAsia="Arial" w:hAnsi="Calibri" w:cs="Calibri"/>
          <w:lang w:eastAsia="zh-CN"/>
        </w:rPr>
        <w:t xml:space="preserve">Specific instruments for Australia to consider that could respond to demand in the market include: </w:t>
      </w:r>
    </w:p>
    <w:p w14:paraId="47A0DCAD" w14:textId="77777777" w:rsidR="00F16A17" w:rsidRPr="005D4FA1" w:rsidRDefault="00F16A17" w:rsidP="00F16A17">
      <w:pPr>
        <w:numPr>
          <w:ilvl w:val="0"/>
          <w:numId w:val="87"/>
        </w:numPr>
        <w:spacing w:before="120" w:after="120" w:line="240" w:lineRule="auto"/>
        <w:ind w:left="360"/>
        <w:jc w:val="both"/>
        <w:rPr>
          <w:rFonts w:ascii="Calibri" w:eastAsia="Arial" w:hAnsi="Calibri" w:cs="Calibri"/>
          <w:lang w:eastAsia="zh-CN"/>
        </w:rPr>
      </w:pPr>
      <w:r w:rsidRPr="005D4FA1">
        <w:rPr>
          <w:rFonts w:ascii="Calibri" w:eastAsia="Arial" w:hAnsi="Calibri" w:cs="Calibri"/>
          <w:i/>
          <w:lang w:eastAsia="zh-CN"/>
        </w:rPr>
        <w:t>Offtake guarantees</w:t>
      </w:r>
      <w:r w:rsidRPr="005D4FA1">
        <w:rPr>
          <w:rFonts w:ascii="Calibri" w:eastAsia="Arial" w:hAnsi="Calibri" w:cs="Calibri"/>
          <w:lang w:eastAsia="zh-CN"/>
        </w:rPr>
        <w:t xml:space="preserve"> typically </w:t>
      </w:r>
      <w:proofErr w:type="gramStart"/>
      <w:r w:rsidRPr="005D4FA1">
        <w:rPr>
          <w:rFonts w:ascii="Calibri" w:eastAsia="Arial" w:hAnsi="Calibri" w:cs="Calibri"/>
          <w:lang w:eastAsia="zh-CN"/>
        </w:rPr>
        <w:t>insure</w:t>
      </w:r>
      <w:proofErr w:type="gramEnd"/>
      <w:r w:rsidRPr="005D4FA1">
        <w:rPr>
          <w:rFonts w:ascii="Calibri" w:eastAsia="Arial" w:hAnsi="Calibri" w:cs="Calibri"/>
          <w:lang w:eastAsia="zh-CN"/>
        </w:rPr>
        <w:t xml:space="preserve"> agreements where a purchaser promises to buy a specific amount of future production from a producer. This type of guarantee is used in natural resource development projects, or instances where the upfront capital costs are considerable, making it crucial to assess future demand viability. For instance, there is potential need for guaranteeing offtake contracts for the expansion of domestic cable networks and the construction of a hydropower plant in Solomon Islands. Hence, these guarantees are uniquely suited to public-private partnerships, since they help to push large infrastructure projects “over the line” and attract foreign investors. </w:t>
      </w:r>
    </w:p>
    <w:p w14:paraId="013EA4E8" w14:textId="77777777" w:rsidR="00F16A17" w:rsidRPr="005D4FA1" w:rsidRDefault="00F16A17" w:rsidP="00F16A17">
      <w:pPr>
        <w:numPr>
          <w:ilvl w:val="0"/>
          <w:numId w:val="87"/>
        </w:numPr>
        <w:spacing w:before="120" w:after="120" w:line="240" w:lineRule="auto"/>
        <w:ind w:left="360"/>
        <w:jc w:val="both"/>
        <w:rPr>
          <w:rFonts w:ascii="Calibri" w:eastAsia="Arial" w:hAnsi="Calibri" w:cs="Calibri"/>
          <w:b/>
          <w:lang w:eastAsia="zh-CN"/>
        </w:rPr>
      </w:pPr>
      <w:r w:rsidRPr="005D4FA1">
        <w:rPr>
          <w:rFonts w:ascii="Calibri" w:eastAsia="Arial" w:hAnsi="Calibri" w:cs="Calibri"/>
          <w:i/>
          <w:lang w:eastAsia="zh-CN"/>
        </w:rPr>
        <w:t>Partial credit guarantees</w:t>
      </w:r>
      <w:r w:rsidRPr="005D4FA1">
        <w:rPr>
          <w:rFonts w:ascii="Calibri" w:eastAsia="Arial" w:hAnsi="Calibri" w:cs="Calibri"/>
          <w:lang w:eastAsia="zh-CN"/>
        </w:rPr>
        <w:t xml:space="preserve"> (PCGs) are a credit enhancement mechanism for debt instruments such as loans and </w:t>
      </w:r>
      <w:proofErr w:type="gramStart"/>
      <w:r w:rsidRPr="005D4FA1">
        <w:rPr>
          <w:rFonts w:ascii="Calibri" w:eastAsia="Arial" w:hAnsi="Calibri" w:cs="Calibri"/>
          <w:lang w:eastAsia="zh-CN"/>
        </w:rPr>
        <w:t>bonds, and</w:t>
      </w:r>
      <w:proofErr w:type="gramEnd"/>
      <w:r w:rsidRPr="005D4FA1">
        <w:rPr>
          <w:rFonts w:ascii="Calibri" w:eastAsia="Arial" w:hAnsi="Calibri" w:cs="Calibri"/>
          <w:lang w:eastAsia="zh-CN"/>
        </w:rPr>
        <w:t xml:space="preserve"> represent a promise by the guarantor to pay the principal and/or interest, up to a predetermined amount. </w:t>
      </w:r>
      <w:r w:rsidRPr="005D4FA1">
        <w:rPr>
          <w:rFonts w:ascii="Calibri" w:eastAsia="Arial" w:hAnsi="Calibri" w:cs="Calibri"/>
          <w:color w:val="000000"/>
          <w:shd w:val="clear" w:color="auto" w:fill="FFFFFF"/>
          <w:lang w:eastAsia="zh-CN"/>
        </w:rPr>
        <w:t xml:space="preserve">The category of PCGs includes </w:t>
      </w:r>
      <w:r w:rsidRPr="005D4FA1">
        <w:rPr>
          <w:rFonts w:ascii="Calibri" w:eastAsia="Arial" w:hAnsi="Calibri" w:cs="Calibri"/>
          <w:i/>
          <w:color w:val="000000"/>
          <w:shd w:val="clear" w:color="auto" w:fill="FFFFFF"/>
          <w:lang w:eastAsia="zh-CN"/>
        </w:rPr>
        <w:t>first-loss guarantees</w:t>
      </w:r>
      <w:r w:rsidRPr="005D4FA1">
        <w:rPr>
          <w:rFonts w:ascii="Calibri" w:eastAsia="Arial" w:hAnsi="Calibri" w:cs="Calibri"/>
          <w:color w:val="000000"/>
          <w:shd w:val="clear" w:color="auto" w:fill="FFFFFF"/>
          <w:lang w:eastAsia="zh-CN"/>
        </w:rPr>
        <w:t>, a technique used in the securitisation of assets to provide credit enhancement where a guarantor agrees to indemnify holders for a given amount or percentage of any losses from the asset pool.</w:t>
      </w:r>
      <w:r w:rsidRPr="005D4FA1">
        <w:rPr>
          <w:rFonts w:ascii="Calibri" w:eastAsia="Arial" w:hAnsi="Calibri" w:cs="Calibri"/>
          <w:lang w:eastAsia="zh-CN"/>
        </w:rPr>
        <w:t xml:space="preserve"> PCGs are particularly useful as a </w:t>
      </w:r>
      <w:proofErr w:type="gramStart"/>
      <w:r w:rsidRPr="005D4FA1">
        <w:rPr>
          <w:rFonts w:ascii="Calibri" w:eastAsia="Arial" w:hAnsi="Calibri" w:cs="Calibri"/>
          <w:lang w:eastAsia="zh-CN"/>
        </w:rPr>
        <w:t>minimally-distortive</w:t>
      </w:r>
      <w:proofErr w:type="gramEnd"/>
      <w:r w:rsidRPr="005D4FA1">
        <w:rPr>
          <w:rFonts w:ascii="Calibri" w:eastAsia="Arial" w:hAnsi="Calibri" w:cs="Calibri"/>
          <w:lang w:eastAsia="zh-CN"/>
        </w:rPr>
        <w:t xml:space="preserve"> way to extend ten</w:t>
      </w:r>
      <w:r>
        <w:rPr>
          <w:rFonts w:ascii="Calibri" w:eastAsia="Arial" w:hAnsi="Calibri" w:cs="Calibri"/>
          <w:lang w:eastAsia="zh-CN"/>
        </w:rPr>
        <w:t>or</w:t>
      </w:r>
      <w:r w:rsidRPr="005D4FA1">
        <w:rPr>
          <w:rFonts w:ascii="Calibri" w:eastAsia="Arial" w:hAnsi="Calibri" w:cs="Calibri"/>
          <w:lang w:eastAsia="zh-CN"/>
        </w:rPr>
        <w:t xml:space="preserve"> for commercial-rate loans.</w:t>
      </w:r>
      <w:r w:rsidRPr="005D4FA1">
        <w:rPr>
          <w:rFonts w:ascii="Calibri" w:eastAsia="Arial" w:hAnsi="Calibri" w:cs="Calibri"/>
          <w:vertAlign w:val="superscript"/>
          <w:lang w:eastAsia="zh-CN"/>
        </w:rPr>
        <w:footnoteReference w:id="25"/>
      </w:r>
      <w:r w:rsidRPr="005D4FA1">
        <w:rPr>
          <w:rFonts w:ascii="Calibri" w:eastAsia="Arial" w:hAnsi="Calibri" w:cs="Calibri"/>
          <w:lang w:eastAsia="zh-CN"/>
        </w:rPr>
        <w:t xml:space="preserve"> By using a PCG to effectively roll over a loan, DFIs can provide concessional funding while allowing for the utmost function of capital markets. As interest rates continue to climb globally, demand for ten</w:t>
      </w:r>
      <w:r>
        <w:rPr>
          <w:rFonts w:ascii="Calibri" w:eastAsia="Arial" w:hAnsi="Calibri" w:cs="Calibri"/>
          <w:lang w:eastAsia="zh-CN"/>
        </w:rPr>
        <w:t>or</w:t>
      </w:r>
      <w:r w:rsidRPr="005D4FA1">
        <w:rPr>
          <w:rFonts w:ascii="Calibri" w:eastAsia="Arial" w:hAnsi="Calibri" w:cs="Calibri"/>
          <w:lang w:eastAsia="zh-CN"/>
        </w:rPr>
        <w:t xml:space="preserve"> extension via PCGs will only increase. Consultations in PNG</w:t>
      </w:r>
      <w:proofErr w:type="gramStart"/>
      <w:r w:rsidRPr="005D4FA1">
        <w:rPr>
          <w:rFonts w:ascii="Calibri" w:eastAsia="Arial" w:hAnsi="Calibri" w:cs="Calibri"/>
          <w:lang w:eastAsia="zh-CN"/>
        </w:rPr>
        <w:t>, in particular, revealed</w:t>
      </w:r>
      <w:proofErr w:type="gramEnd"/>
      <w:r w:rsidRPr="005D4FA1">
        <w:rPr>
          <w:rFonts w:ascii="Calibri" w:eastAsia="Arial" w:hAnsi="Calibri" w:cs="Calibri"/>
          <w:lang w:eastAsia="zh-CN"/>
        </w:rPr>
        <w:t xml:space="preserve"> residual demand for longer ten</w:t>
      </w:r>
      <w:r>
        <w:rPr>
          <w:rFonts w:ascii="Calibri" w:eastAsia="Arial" w:hAnsi="Calibri" w:cs="Calibri"/>
          <w:lang w:eastAsia="zh-CN"/>
        </w:rPr>
        <w:t>ors</w:t>
      </w:r>
      <w:r w:rsidRPr="005D4FA1">
        <w:rPr>
          <w:rFonts w:ascii="Calibri" w:eastAsia="Arial" w:hAnsi="Calibri" w:cs="Calibri"/>
          <w:lang w:eastAsia="zh-CN"/>
        </w:rPr>
        <w:t xml:space="preserve"> that would provide more time for projects’ return to be applied to loan payment. </w:t>
      </w:r>
    </w:p>
    <w:p w14:paraId="5B490A68" w14:textId="77777777" w:rsidR="00F16A17" w:rsidRDefault="00F16A17" w:rsidP="00E84878">
      <w:pPr>
        <w:pStyle w:val="Heading2"/>
        <w:rPr>
          <w:lang w:eastAsia="zh-CN"/>
        </w:rPr>
      </w:pPr>
      <w:r>
        <w:rPr>
          <w:lang w:eastAsia="zh-CN"/>
        </w:rPr>
        <w:t xml:space="preserve">Additionality to multilateral funders </w:t>
      </w:r>
    </w:p>
    <w:p w14:paraId="1C21257B" w14:textId="77777777" w:rsidR="00F16A17" w:rsidRPr="005D4FA1" w:rsidRDefault="00F16A17" w:rsidP="00F16A17">
      <w:pPr>
        <w:spacing w:before="120" w:after="120" w:line="240" w:lineRule="auto"/>
        <w:jc w:val="both"/>
        <w:rPr>
          <w:rFonts w:ascii="Calibri" w:eastAsia="Arial" w:hAnsi="Calibri" w:cs="Calibri"/>
          <w:b/>
          <w:lang w:eastAsia="zh-CN"/>
        </w:rPr>
      </w:pPr>
      <w:r w:rsidRPr="005D4FA1">
        <w:rPr>
          <w:rFonts w:ascii="Calibri" w:eastAsia="Arial" w:hAnsi="Calibri" w:cs="Calibri"/>
          <w:b/>
          <w:lang w:eastAsia="zh-CN"/>
        </w:rPr>
        <w:t>Australia’s introduction of NGF and expansion in the use of innovative grants could be additional to MDB financing in the following ways:</w:t>
      </w:r>
    </w:p>
    <w:p w14:paraId="3EA79BA0" w14:textId="77777777" w:rsidR="00F16A17" w:rsidRPr="005D4FA1" w:rsidRDefault="00F16A17" w:rsidP="00F16A17">
      <w:pPr>
        <w:numPr>
          <w:ilvl w:val="0"/>
          <w:numId w:val="88"/>
        </w:numPr>
        <w:spacing w:before="120" w:after="120" w:line="240" w:lineRule="auto"/>
        <w:ind w:left="360"/>
        <w:jc w:val="both"/>
        <w:rPr>
          <w:rFonts w:ascii="Calibri" w:eastAsia="Arial" w:hAnsi="Calibri" w:cs="Calibri"/>
          <w:lang w:eastAsia="zh-CN"/>
        </w:rPr>
      </w:pPr>
      <w:r w:rsidRPr="005D4FA1">
        <w:rPr>
          <w:rFonts w:ascii="Calibri" w:eastAsia="Arial" w:hAnsi="Calibri" w:cs="Calibri"/>
          <w:b/>
          <w:lang w:eastAsia="zh-CN"/>
        </w:rPr>
        <w:t xml:space="preserve">Providing blended finance instruments (concessional capital, guarantees or innovative grants structured as interest rate buydowns) that could enable countries to access more and better </w:t>
      </w:r>
      <w:r w:rsidRPr="005D4FA1">
        <w:rPr>
          <w:rFonts w:ascii="Calibri" w:eastAsia="Arial" w:hAnsi="Calibri" w:cs="Calibri"/>
          <w:b/>
          <w:lang w:eastAsia="zh-CN"/>
        </w:rPr>
        <w:lastRenderedPageBreak/>
        <w:t>forms of finance.</w:t>
      </w:r>
      <w:r w:rsidRPr="005D4FA1">
        <w:rPr>
          <w:rFonts w:ascii="Calibri" w:eastAsia="Arial" w:hAnsi="Calibri" w:cs="Calibri"/>
          <w:lang w:eastAsia="zh-CN"/>
        </w:rPr>
        <w:t xml:space="preserve"> The supply of MDB financing to any specific country or sector is constrained, among many factors, by their</w:t>
      </w:r>
      <w:r>
        <w:rPr>
          <w:rFonts w:ascii="Calibri" w:eastAsia="Arial" w:hAnsi="Calibri" w:cs="Calibri"/>
          <w:lang w:eastAsia="zh-CN"/>
        </w:rPr>
        <w:t xml:space="preserve"> rigid standards for regional diversification, occasionally limited ability to support on project implementation, and highly conservative balance sheet management</w:t>
      </w:r>
      <w:r w:rsidRPr="005D4FA1">
        <w:rPr>
          <w:rFonts w:ascii="Calibri" w:eastAsia="Arial" w:hAnsi="Calibri" w:cs="Calibri"/>
          <w:lang w:eastAsia="zh-CN"/>
        </w:rPr>
        <w:t xml:space="preserve">. In practice, this means that MDBs have far less flexibility </w:t>
      </w:r>
      <w:r>
        <w:rPr>
          <w:rFonts w:ascii="Calibri" w:eastAsia="Arial" w:hAnsi="Calibri" w:cs="Calibri"/>
          <w:lang w:eastAsia="zh-CN"/>
        </w:rPr>
        <w:t>to offer the types of project finance demanded</w:t>
      </w:r>
      <w:r w:rsidRPr="005D4FA1">
        <w:rPr>
          <w:rFonts w:ascii="Calibri" w:eastAsia="Arial" w:hAnsi="Calibri" w:cs="Calibri"/>
          <w:lang w:eastAsia="zh-CN"/>
        </w:rPr>
        <w:t>. Demand from partner countries for MDB financing is constrained by concerns around debt service obligations, especially when it comes to using MDB financing in critical sectors for social outcomes such as health and education. Further, only 7% of the private sector resources mobilised by existing public development finance go to LDCs, providing an additional opportunity area for Australia, in spite of the imminent graduation of several countries from LDC status in the coming years.</w:t>
      </w:r>
      <w:r w:rsidRPr="005D4FA1">
        <w:rPr>
          <w:rFonts w:ascii="Calibri" w:eastAsia="Arial" w:hAnsi="Calibri" w:cs="Calibri"/>
          <w:vertAlign w:val="superscript"/>
          <w:lang w:eastAsia="zh-CN"/>
        </w:rPr>
        <w:footnoteReference w:id="26"/>
      </w:r>
      <w:r w:rsidRPr="005D4FA1">
        <w:rPr>
          <w:rFonts w:ascii="Calibri" w:eastAsia="Arial" w:hAnsi="Calibri" w:cs="Calibri"/>
          <w:lang w:eastAsia="zh-CN"/>
        </w:rPr>
        <w:t xml:space="preserve"> To bridge these gaps, Australia could be additional to existing MDB lending by using innovatively structured grants (such as interest rate buydowns, potentially with an output-based structure</w:t>
      </w:r>
      <w:r w:rsidRPr="005D4FA1">
        <w:rPr>
          <w:rFonts w:ascii="Calibri" w:eastAsia="Arial" w:hAnsi="Calibri" w:cs="Calibri"/>
          <w:vertAlign w:val="superscript"/>
          <w:lang w:eastAsia="zh-CN"/>
        </w:rPr>
        <w:footnoteReference w:id="27"/>
      </w:r>
      <w:r w:rsidRPr="005D4FA1">
        <w:rPr>
          <w:rFonts w:ascii="Calibri" w:eastAsia="Arial" w:hAnsi="Calibri" w:cs="Calibri"/>
          <w:lang w:eastAsia="zh-CN"/>
        </w:rPr>
        <w:t>) or deploying highly concessional capital to blend down the costs of loans from MDBs</w:t>
      </w:r>
      <w:r w:rsidRPr="005D4FA1">
        <w:rPr>
          <w:rFonts w:ascii="Calibri" w:eastAsia="Arial" w:hAnsi="Calibri" w:cs="Calibri"/>
          <w:vertAlign w:val="superscript"/>
          <w:lang w:eastAsia="zh-CN"/>
        </w:rPr>
        <w:footnoteReference w:id="28"/>
      </w:r>
      <w:r w:rsidRPr="005D4FA1">
        <w:rPr>
          <w:rFonts w:ascii="Calibri" w:eastAsia="Arial" w:hAnsi="Calibri" w:cs="Calibri"/>
          <w:lang w:eastAsia="zh-CN"/>
        </w:rPr>
        <w:t xml:space="preserve"> to make financing to sectors with lower rates of monetization but high impact (e.g., health, education) more accessible to partner countries. Another means to achieve the same goal, suggested in consultations with the IFC, could be to create a blended finance facility offering a full range of instruments, with flexible terms, to crowd in a variety of private-sector investors (including superannuation and pension funds), as well as </w:t>
      </w:r>
      <w:r>
        <w:rPr>
          <w:rFonts w:ascii="Calibri" w:eastAsia="Arial" w:hAnsi="Calibri" w:cs="Calibri"/>
          <w:lang w:eastAsia="zh-CN"/>
        </w:rPr>
        <w:t xml:space="preserve">to </w:t>
      </w:r>
      <w:r w:rsidRPr="005D4FA1">
        <w:rPr>
          <w:rFonts w:ascii="Calibri" w:eastAsia="Arial" w:hAnsi="Calibri" w:cs="Calibri"/>
          <w:lang w:eastAsia="zh-CN"/>
        </w:rPr>
        <w:t>offer DFI-style financing to private sector entities.</w:t>
      </w:r>
      <w:r w:rsidRPr="005D4FA1">
        <w:rPr>
          <w:rFonts w:ascii="Calibri" w:eastAsia="Arial" w:hAnsi="Calibri" w:cs="Calibri"/>
          <w:vertAlign w:val="superscript"/>
          <w:lang w:eastAsia="zh-CN"/>
        </w:rPr>
        <w:footnoteReference w:id="29"/>
      </w:r>
      <w:r w:rsidRPr="005D4FA1">
        <w:rPr>
          <w:rFonts w:ascii="Calibri" w:eastAsia="Arial" w:hAnsi="Calibri" w:cs="Calibri"/>
          <w:lang w:eastAsia="zh-CN"/>
        </w:rPr>
        <w:t xml:space="preserve"> </w:t>
      </w:r>
    </w:p>
    <w:p w14:paraId="3F0A2EF4" w14:textId="77777777" w:rsidR="00F16A17" w:rsidRPr="0080124B" w:rsidRDefault="00F16A17" w:rsidP="00F16A17">
      <w:pPr>
        <w:numPr>
          <w:ilvl w:val="0"/>
          <w:numId w:val="88"/>
        </w:numPr>
        <w:spacing w:before="120" w:after="120" w:line="240" w:lineRule="auto"/>
        <w:ind w:left="360"/>
        <w:jc w:val="both"/>
        <w:rPr>
          <w:rFonts w:ascii="Calibri" w:eastAsia="Arial" w:hAnsi="Calibri" w:cs="Calibri"/>
          <w:lang w:eastAsia="zh-CN"/>
        </w:rPr>
      </w:pPr>
      <w:r w:rsidRPr="005D4FA1">
        <w:rPr>
          <w:rFonts w:ascii="Calibri" w:eastAsia="Arial" w:hAnsi="Calibri" w:cs="Calibri"/>
          <w:b/>
          <w:lang w:eastAsia="zh-CN"/>
        </w:rPr>
        <w:t xml:space="preserve">Augmenting investment in critical sectors and countries of higher priority to Australia than the MDBs. </w:t>
      </w:r>
      <w:r w:rsidRPr="005D4FA1">
        <w:rPr>
          <w:rFonts w:ascii="Calibri" w:eastAsia="Arial" w:hAnsi="Calibri" w:cs="Calibri"/>
          <w:lang w:eastAsia="zh-CN"/>
        </w:rPr>
        <w:t xml:space="preserve">The size and scale of MDB operations in various Indo-Pacific countries are constrained by internal policies that determine eligibility and allocation formulae, as well as the pipeline of viable projects. MDBs and other financing vehicles typically have specific investment strategies for each country that involve investing in specific sectors or regions within a country, often to the exclusion of others with equal or greater funding needs. More broadly, the priorities of MDBs do not always align with Australia’s, </w:t>
      </w:r>
      <w:proofErr w:type="gramStart"/>
      <w:r w:rsidRPr="005D4FA1">
        <w:rPr>
          <w:rFonts w:ascii="Calibri" w:eastAsia="Arial" w:hAnsi="Calibri" w:cs="Calibri"/>
          <w:lang w:eastAsia="zh-CN"/>
        </w:rPr>
        <w:t>in spite of</w:t>
      </w:r>
      <w:proofErr w:type="gramEnd"/>
      <w:r w:rsidRPr="005D4FA1">
        <w:rPr>
          <w:rFonts w:ascii="Calibri" w:eastAsia="Arial" w:hAnsi="Calibri" w:cs="Calibri"/>
          <w:lang w:eastAsia="zh-CN"/>
        </w:rPr>
        <w:t xml:space="preserve"> active engagement by Australia as a shareholder in various MDBs.</w:t>
      </w:r>
      <w:r w:rsidRPr="005D4FA1">
        <w:rPr>
          <w:rFonts w:ascii="Calibri" w:eastAsia="Arial" w:hAnsi="Calibri" w:cs="Calibri"/>
          <w:vertAlign w:val="superscript"/>
          <w:lang w:eastAsia="zh-CN"/>
        </w:rPr>
        <w:footnoteReference w:id="30"/>
      </w:r>
      <w:r w:rsidRPr="005D4FA1">
        <w:rPr>
          <w:rFonts w:ascii="Calibri" w:eastAsia="Arial" w:hAnsi="Calibri" w:cs="Calibri"/>
          <w:lang w:eastAsia="zh-CN"/>
        </w:rPr>
        <w:t xml:space="preserve"> While the scale of MDB operations in various Indo-Pacific region countries is increasing, consultations with the World Bank, ADB, and IFC revealed consensus that the scale of the external financing needs in most countries in the Indo-Pacific far exceeds their existing ability to service those needs. Each of these institutions expressed strong demand for Australia to participate in transactions as a co-investor to increase the scale of current operations, or in sectors or regions of the country where they are not active. </w:t>
      </w:r>
      <w:r>
        <w:rPr>
          <w:rFonts w:ascii="Calibri" w:eastAsia="Arial" w:hAnsi="Calibri" w:cs="Calibri"/>
          <w:lang w:eastAsia="zh-CN"/>
        </w:rPr>
        <w:t xml:space="preserve">Specifically, many MDBs pass over projects that are too small-scale, too labour-intensive, or just a touch below the bankable threshold. Tactical Australian intervention via NGF and innovative grants could make these projects viable and attractive to MDB funders. In these circumstances, Australia can also be socially additional to MDBs by leveraging its </w:t>
      </w:r>
      <w:r>
        <w:rPr>
          <w:rFonts w:ascii="Calibri" w:eastAsia="Arial" w:hAnsi="Calibri" w:cs="Calibri"/>
          <w:lang w:eastAsia="zh-CN"/>
        </w:rPr>
        <w:lastRenderedPageBreak/>
        <w:t>credible leadership in gender issues commitment to gender lens investing through targeted finance that supports gender equality.</w:t>
      </w:r>
    </w:p>
    <w:p w14:paraId="04B81AB7" w14:textId="77777777" w:rsidR="00F16A17" w:rsidRPr="005D4FA1" w:rsidRDefault="00F16A17" w:rsidP="00F16A17">
      <w:pPr>
        <w:numPr>
          <w:ilvl w:val="0"/>
          <w:numId w:val="88"/>
        </w:numPr>
        <w:spacing w:before="120" w:after="120" w:line="240" w:lineRule="auto"/>
        <w:ind w:left="360"/>
        <w:jc w:val="both"/>
        <w:rPr>
          <w:rFonts w:ascii="Calibri" w:eastAsia="Arial" w:hAnsi="Calibri" w:cs="Calibri"/>
          <w:b/>
          <w:lang w:eastAsia="zh-CN"/>
        </w:rPr>
      </w:pPr>
      <w:r w:rsidRPr="005D4FA1">
        <w:rPr>
          <w:rFonts w:ascii="Calibri" w:eastAsia="Arial" w:hAnsi="Calibri" w:cs="Calibri"/>
          <w:b/>
          <w:lang w:eastAsia="zh-CN"/>
        </w:rPr>
        <w:t xml:space="preserve">Consultations and independent analysis revealed local-currency lending and innovative guarantee funding as two areas of unmet demand </w:t>
      </w:r>
      <w:r>
        <w:rPr>
          <w:rFonts w:ascii="Calibri" w:eastAsia="Arial" w:hAnsi="Calibri" w:cs="Calibri"/>
          <w:b/>
          <w:lang w:eastAsia="zh-CN"/>
        </w:rPr>
        <w:t xml:space="preserve">potentially </w:t>
      </w:r>
      <w:r w:rsidRPr="005D4FA1">
        <w:rPr>
          <w:rFonts w:ascii="Calibri" w:eastAsia="Arial" w:hAnsi="Calibri" w:cs="Calibri"/>
          <w:b/>
          <w:lang w:eastAsia="zh-CN"/>
        </w:rPr>
        <w:t xml:space="preserve">worthy of future exploration, but unlikely to be appropriate for Australia to operationalise in the near term. </w:t>
      </w:r>
    </w:p>
    <w:p w14:paraId="25E58A51" w14:textId="1622E5D5" w:rsidR="00F16A17" w:rsidRPr="005D4FA1" w:rsidRDefault="00F16A17" w:rsidP="00F16A17">
      <w:pPr>
        <w:spacing w:before="120" w:after="120" w:line="240" w:lineRule="auto"/>
        <w:ind w:left="360"/>
        <w:jc w:val="both"/>
        <w:rPr>
          <w:rFonts w:ascii="Calibri" w:eastAsia="Arial" w:hAnsi="Calibri" w:cs="Calibri"/>
          <w:b/>
          <w:lang w:eastAsia="zh-CN"/>
        </w:rPr>
      </w:pPr>
      <w:r w:rsidRPr="005D4FA1">
        <w:rPr>
          <w:rFonts w:ascii="Calibri" w:eastAsia="Arial" w:hAnsi="Calibri" w:cs="Calibri"/>
          <w:lang w:eastAsia="zh-CN"/>
        </w:rPr>
        <w:t xml:space="preserve">In consultations with </w:t>
      </w:r>
      <w:r w:rsidR="003B7139">
        <w:rPr>
          <w:rFonts w:ascii="Calibri" w:eastAsia="Arial" w:hAnsi="Calibri" w:cs="Calibri"/>
          <w:lang w:eastAsia="zh-CN"/>
        </w:rPr>
        <w:t>WB</w:t>
      </w:r>
      <w:r w:rsidRPr="005D4FA1">
        <w:rPr>
          <w:rFonts w:ascii="Calibri" w:eastAsia="Arial" w:hAnsi="Calibri" w:cs="Calibri"/>
          <w:lang w:eastAsia="zh-CN"/>
        </w:rPr>
        <w:t>, AIIB, and ANZ Bank, bankers emphasised large unmet needs for lending in local currencies. While new institutions</w:t>
      </w:r>
      <w:r>
        <w:rPr>
          <w:rFonts w:ascii="Calibri" w:eastAsia="Arial" w:hAnsi="Calibri" w:cs="Calibri"/>
          <w:lang w:eastAsia="zh-CN"/>
        </w:rPr>
        <w:t xml:space="preserve"> such as</w:t>
      </w:r>
      <w:r w:rsidRPr="005D4FA1">
        <w:rPr>
          <w:rFonts w:ascii="Calibri" w:eastAsia="Arial" w:hAnsi="Calibri" w:cs="Calibri"/>
          <w:lang w:eastAsia="zh-CN"/>
        </w:rPr>
        <w:t xml:space="preserve"> TCX and some smaller-scale operations by the multilaterals have begun to bridge these gaps, there appeared to be a strong consensus that providing the ability to borrow in home currencies would enable a new set of infrastructure projects to become economically viable. Primary research revealed that even China, the donor in the region with a reputation for the greatest flexibility in lending standards, provided only 6% (by value) of its development finance in the Indo-Pacific region in local currencies.</w:t>
      </w:r>
      <w:r w:rsidRPr="005D4FA1">
        <w:rPr>
          <w:rFonts w:ascii="Calibri" w:eastAsia="Arial" w:hAnsi="Calibri" w:cs="Calibri"/>
          <w:vertAlign w:val="superscript"/>
          <w:lang w:eastAsia="zh-CN"/>
        </w:rPr>
        <w:footnoteReference w:id="31"/>
      </w:r>
      <w:r w:rsidRPr="005D4FA1">
        <w:rPr>
          <w:rFonts w:ascii="Calibri" w:eastAsia="Arial" w:hAnsi="Calibri" w:cs="Calibri"/>
          <w:lang w:eastAsia="zh-CN"/>
        </w:rPr>
        <w:t xml:space="preserve"> Given such lending practices may likely expose Australia to currency risks, and hence require expert management, </w:t>
      </w:r>
      <w:r>
        <w:rPr>
          <w:rFonts w:ascii="Calibri" w:eastAsia="Arial" w:hAnsi="Calibri" w:cs="Calibri"/>
          <w:lang w:eastAsia="zh-CN"/>
        </w:rPr>
        <w:t>local currency lending</w:t>
      </w:r>
      <w:r w:rsidRPr="005D4FA1">
        <w:rPr>
          <w:rFonts w:ascii="Calibri" w:eastAsia="Arial" w:hAnsi="Calibri" w:cs="Calibri"/>
          <w:lang w:eastAsia="zh-CN"/>
        </w:rPr>
        <w:t xml:space="preserve"> may not be pr</w:t>
      </w:r>
      <w:r>
        <w:rPr>
          <w:rFonts w:ascii="Calibri" w:eastAsia="Arial" w:hAnsi="Calibri" w:cs="Calibri"/>
          <w:lang w:eastAsia="zh-CN"/>
        </w:rPr>
        <w:t>udent for Australia, especially</w:t>
      </w:r>
      <w:r w:rsidRPr="005D4FA1">
        <w:rPr>
          <w:rFonts w:ascii="Calibri" w:eastAsia="Arial" w:hAnsi="Calibri" w:cs="Calibri"/>
          <w:lang w:eastAsia="zh-CN"/>
        </w:rPr>
        <w:t xml:space="preserve"> in the near term. However, its feasibility </w:t>
      </w:r>
      <w:r>
        <w:rPr>
          <w:rFonts w:ascii="Calibri" w:eastAsia="Arial" w:hAnsi="Calibri" w:cs="Calibri"/>
          <w:lang w:eastAsia="zh-CN"/>
        </w:rPr>
        <w:t>could</w:t>
      </w:r>
      <w:r w:rsidRPr="005D4FA1">
        <w:rPr>
          <w:rFonts w:ascii="Calibri" w:eastAsia="Arial" w:hAnsi="Calibri" w:cs="Calibri"/>
          <w:lang w:eastAsia="zh-CN"/>
        </w:rPr>
        <w:t xml:space="preserve"> be explored further, in due course, given the considerable demand observed in the region.</w:t>
      </w:r>
    </w:p>
    <w:p w14:paraId="71F802DD" w14:textId="77777777" w:rsidR="00F16A17" w:rsidRPr="005D4FA1" w:rsidRDefault="00F16A17" w:rsidP="00F16A17">
      <w:pPr>
        <w:spacing w:before="120" w:after="120" w:line="240" w:lineRule="auto"/>
        <w:ind w:left="360"/>
        <w:jc w:val="both"/>
        <w:rPr>
          <w:rFonts w:ascii="Calibri" w:eastAsia="Arial" w:hAnsi="Calibri" w:cs="Calibri"/>
          <w:lang w:eastAsia="zh-CN"/>
        </w:rPr>
      </w:pPr>
      <w:r w:rsidRPr="005D4FA1">
        <w:rPr>
          <w:rFonts w:ascii="Calibri" w:eastAsia="Arial" w:hAnsi="Calibri" w:cs="Calibri"/>
          <w:lang w:eastAsia="zh-CN"/>
        </w:rPr>
        <w:t xml:space="preserve">Consultations with the AIIB and research from the </w:t>
      </w:r>
      <w:proofErr w:type="spellStart"/>
      <w:r w:rsidRPr="005D4FA1">
        <w:rPr>
          <w:rFonts w:ascii="Calibri" w:eastAsia="Arial" w:hAnsi="Calibri" w:cs="Calibri"/>
          <w:lang w:eastAsia="zh-CN"/>
        </w:rPr>
        <w:t>Center</w:t>
      </w:r>
      <w:proofErr w:type="spellEnd"/>
      <w:r w:rsidRPr="005D4FA1">
        <w:rPr>
          <w:rFonts w:ascii="Calibri" w:eastAsia="Arial" w:hAnsi="Calibri" w:cs="Calibri"/>
          <w:lang w:eastAsia="zh-CN"/>
        </w:rPr>
        <w:t xml:space="preserve"> for Global Development</w:t>
      </w:r>
      <w:r w:rsidRPr="005D4FA1">
        <w:rPr>
          <w:rFonts w:ascii="Calibri" w:eastAsia="Arial" w:hAnsi="Calibri" w:cs="Calibri"/>
          <w:vertAlign w:val="superscript"/>
          <w:lang w:eastAsia="zh-CN"/>
        </w:rPr>
        <w:footnoteReference w:id="32"/>
      </w:r>
      <w:r w:rsidRPr="005D4FA1">
        <w:rPr>
          <w:rFonts w:ascii="Calibri" w:eastAsia="Arial" w:hAnsi="Calibri" w:cs="Calibri"/>
          <w:lang w:eastAsia="zh-CN"/>
        </w:rPr>
        <w:t xml:space="preserve"> and the Overseas Development Institute</w:t>
      </w:r>
      <w:r w:rsidRPr="005D4FA1">
        <w:rPr>
          <w:rFonts w:ascii="Calibri" w:eastAsia="Arial" w:hAnsi="Calibri" w:cs="Calibri"/>
          <w:vertAlign w:val="superscript"/>
          <w:lang w:eastAsia="zh-CN"/>
        </w:rPr>
        <w:footnoteReference w:id="33"/>
      </w:r>
      <w:r w:rsidRPr="005D4FA1">
        <w:rPr>
          <w:rFonts w:ascii="Calibri" w:eastAsia="Arial" w:hAnsi="Calibri" w:cs="Calibri"/>
          <w:lang w:eastAsia="zh-CN"/>
        </w:rPr>
        <w:t xml:space="preserve"> indicated two operational limitations on how MDBs deploy guarantees, causing the instruments to not reach their full potential for utilisation and mobilisation of private funds. First, MDBs back equivalent value loans and guarantees with the same amount of equity. Second, MDBs assess the risks of guarantee calls the same way as loan defaults. Evidence suggests that these approaches may be overly cautious, as guarantees are called significantly less frequently than loans go into default or arrears.</w:t>
      </w:r>
      <w:r w:rsidRPr="005D4FA1">
        <w:rPr>
          <w:rFonts w:ascii="Calibri" w:eastAsia="Arial" w:hAnsi="Calibri" w:cs="Calibri"/>
          <w:vertAlign w:val="superscript"/>
          <w:lang w:eastAsia="zh-CN"/>
        </w:rPr>
        <w:footnoteReference w:id="34"/>
      </w:r>
      <w:r w:rsidRPr="005D4FA1">
        <w:rPr>
          <w:rFonts w:ascii="Calibri" w:eastAsia="Arial" w:hAnsi="Calibri" w:cs="Calibri"/>
          <w:lang w:eastAsia="zh-CN"/>
        </w:rPr>
        <w:t xml:space="preserve"> Experts and practitioners alike emphasise a need for a new approach to guarantees that diverges from the </w:t>
      </w:r>
      <w:proofErr w:type="gramStart"/>
      <w:r w:rsidRPr="005D4FA1">
        <w:rPr>
          <w:rFonts w:ascii="Calibri" w:eastAsia="Arial" w:hAnsi="Calibri" w:cs="Calibri"/>
          <w:lang w:eastAsia="zh-CN"/>
        </w:rPr>
        <w:t>MDBs, and</w:t>
      </w:r>
      <w:proofErr w:type="gramEnd"/>
      <w:r w:rsidRPr="005D4FA1">
        <w:rPr>
          <w:rFonts w:ascii="Calibri" w:eastAsia="Arial" w:hAnsi="Calibri" w:cs="Calibri"/>
          <w:lang w:eastAsia="zh-CN"/>
        </w:rPr>
        <w:t xml:space="preserve"> doing so presents an opportunity for Australia to participate in the creation of a new set of best practices by formulating its own policies around equity backing, pricing, risk targeting, and product standardisation. Undertaking this effort could give Australia an opportunity to shift paradigms and greatly increase the ability and scope for guarantees to crowd in private sector investment in the Indo-Pacific. However, as with the previous suggestion, feasibility should be explored further, given the considerable demand observed in the region.</w:t>
      </w:r>
    </w:p>
    <w:p w14:paraId="5292D663" w14:textId="77777777" w:rsidR="00F16A17" w:rsidRPr="00DA09C8" w:rsidRDefault="00F16A17" w:rsidP="00E84878">
      <w:pPr>
        <w:pStyle w:val="Heading3"/>
        <w:rPr>
          <w:lang w:eastAsia="zh-CN"/>
        </w:rPr>
      </w:pPr>
      <w:r w:rsidRPr="00DA09C8">
        <w:rPr>
          <w:lang w:eastAsia="zh-CN"/>
        </w:rPr>
        <w:t>Additionality to bilateral funders</w:t>
      </w:r>
    </w:p>
    <w:p w14:paraId="663788C7" w14:textId="77777777" w:rsidR="00F16A17" w:rsidRPr="005D4FA1" w:rsidRDefault="00F16A17" w:rsidP="00F16A17">
      <w:pPr>
        <w:spacing w:before="120" w:after="120" w:line="240" w:lineRule="auto"/>
        <w:jc w:val="both"/>
        <w:rPr>
          <w:rFonts w:ascii="Calibri" w:eastAsia="Arial" w:hAnsi="Calibri" w:cs="Calibri"/>
          <w:b/>
          <w:lang w:eastAsia="zh-CN"/>
        </w:rPr>
      </w:pPr>
      <w:r w:rsidRPr="005D4FA1">
        <w:rPr>
          <w:rFonts w:ascii="Calibri" w:eastAsia="Arial" w:hAnsi="Calibri" w:cs="Calibri"/>
          <w:b/>
          <w:lang w:eastAsia="zh-CN"/>
        </w:rPr>
        <w:t xml:space="preserve">Australia could be additional to other bilateral funders in the following ways: </w:t>
      </w:r>
    </w:p>
    <w:p w14:paraId="7B871AF2" w14:textId="77777777" w:rsidR="00F16A17" w:rsidRPr="005D4FA1" w:rsidRDefault="00F16A17" w:rsidP="00F16A17">
      <w:pPr>
        <w:numPr>
          <w:ilvl w:val="0"/>
          <w:numId w:val="89"/>
        </w:numPr>
        <w:spacing w:before="120" w:after="120" w:line="240" w:lineRule="auto"/>
        <w:ind w:left="360"/>
        <w:jc w:val="both"/>
        <w:rPr>
          <w:rFonts w:ascii="Calibri" w:eastAsia="Arial" w:hAnsi="Calibri" w:cs="Calibri"/>
          <w:lang w:eastAsia="zh-CN"/>
        </w:rPr>
      </w:pPr>
      <w:r w:rsidRPr="005D4FA1">
        <w:rPr>
          <w:rFonts w:ascii="Calibri" w:eastAsia="Arial" w:hAnsi="Calibri" w:cs="Calibri"/>
          <w:b/>
          <w:lang w:eastAsia="zh-CN"/>
        </w:rPr>
        <w:t>Tak</w:t>
      </w:r>
      <w:r>
        <w:rPr>
          <w:rFonts w:ascii="Calibri" w:eastAsia="Arial" w:hAnsi="Calibri" w:cs="Calibri"/>
          <w:b/>
          <w:lang w:eastAsia="zh-CN"/>
        </w:rPr>
        <w:t>ing</w:t>
      </w:r>
      <w:r w:rsidRPr="005D4FA1">
        <w:rPr>
          <w:rFonts w:ascii="Calibri" w:eastAsia="Arial" w:hAnsi="Calibri" w:cs="Calibri"/>
          <w:b/>
          <w:lang w:eastAsia="zh-CN"/>
        </w:rPr>
        <w:t xml:space="preserve"> advantage of national areas of industry and government expertise to provide packages of Australian capabilities alongside competitive financing options.</w:t>
      </w:r>
      <w:r w:rsidRPr="005D4FA1">
        <w:rPr>
          <w:rFonts w:ascii="Calibri" w:eastAsia="Arial" w:hAnsi="Calibri" w:cs="Calibri"/>
          <w:lang w:eastAsia="zh-CN"/>
        </w:rPr>
        <w:t xml:space="preserve"> Stakeholders from developing countries in the region indicated that the major value of Australia’s partnership would primarily from the technical expertise that Australia can bring to key projects. Country governments and private sector actors already view Australia as an important partner, with this credibility earned through the deployment of long-term technical advisors across several sectors. These potential partners mentioned considerable industry expertise, notably in mining, land and maritime </w:t>
      </w:r>
      <w:r w:rsidRPr="005D4FA1">
        <w:rPr>
          <w:rFonts w:ascii="Calibri" w:eastAsia="Arial" w:hAnsi="Calibri" w:cs="Calibri"/>
          <w:lang w:eastAsia="zh-CN"/>
        </w:rPr>
        <w:lastRenderedPageBreak/>
        <w:t xml:space="preserve">transportation, agriculture, health and education, that positions Australia as an exceptionally capable partner. </w:t>
      </w:r>
      <w:r w:rsidRPr="005D4FA1">
        <w:rPr>
          <w:rFonts w:ascii="Calibri" w:eastAsia="Calibri" w:hAnsi="Calibri" w:cs="Times New Roman"/>
        </w:rPr>
        <w:t xml:space="preserve">Australia is also a leading donor when considering how to integrate gender equality and women’s empowerment into development assistance. </w:t>
      </w:r>
      <w:r w:rsidRPr="005D4FA1">
        <w:rPr>
          <w:rFonts w:ascii="Calibri" w:eastAsia="Arial" w:hAnsi="Calibri" w:cs="Calibri"/>
          <w:lang w:eastAsia="zh-CN"/>
        </w:rPr>
        <w:t xml:space="preserve">Other funders have taken advantage of their own national expertise to great effect; for instance, by capitalising on its experience with urban public transportation, </w:t>
      </w:r>
      <w:bookmarkStart w:id="23" w:name="_Hlk534999803"/>
      <w:r w:rsidRPr="005D4FA1">
        <w:rPr>
          <w:rFonts w:ascii="Calibri" w:eastAsia="Times New Roman" w:hAnsi="Calibri" w:cs="Times New Roman"/>
          <w:color w:val="000000"/>
          <w:lang w:eastAsia="en-IN"/>
        </w:rPr>
        <w:t xml:space="preserve">Japan International Cooperation Agency </w:t>
      </w:r>
      <w:bookmarkEnd w:id="23"/>
      <w:r w:rsidRPr="005D4FA1">
        <w:rPr>
          <w:rFonts w:ascii="Calibri" w:eastAsia="Times New Roman" w:hAnsi="Calibri" w:cs="Times New Roman"/>
          <w:color w:val="000000"/>
          <w:lang w:eastAsia="en-IN"/>
        </w:rPr>
        <w:t xml:space="preserve">(JICA) </w:t>
      </w:r>
      <w:r w:rsidRPr="005D4FA1">
        <w:rPr>
          <w:rFonts w:ascii="Calibri" w:eastAsia="Arial" w:hAnsi="Calibri" w:cs="Calibri"/>
          <w:lang w:eastAsia="zh-CN"/>
        </w:rPr>
        <w:t>has become the go-to funder for these projects.</w:t>
      </w:r>
      <w:r w:rsidRPr="005D4FA1">
        <w:rPr>
          <w:rFonts w:ascii="Calibri" w:eastAsia="Arial" w:hAnsi="Calibri" w:cs="Calibri"/>
          <w:vertAlign w:val="superscript"/>
          <w:lang w:eastAsia="zh-CN"/>
        </w:rPr>
        <w:footnoteReference w:id="35"/>
      </w:r>
      <w:r w:rsidRPr="005D4FA1">
        <w:rPr>
          <w:rFonts w:ascii="Calibri" w:eastAsia="Arial" w:hAnsi="Calibri" w:cs="Calibri"/>
          <w:lang w:eastAsia="zh-CN"/>
        </w:rPr>
        <w:t xml:space="preserve"> By offering funding packaged together with export assistance and TA, Australia can offer a more valuable product that provides outsize influence relative to an equal-cost amount of funding alone.</w:t>
      </w:r>
    </w:p>
    <w:p w14:paraId="0921C242" w14:textId="3FA4FA6F" w:rsidR="00F16A17" w:rsidRPr="005D4FA1" w:rsidRDefault="00F16A17" w:rsidP="00F16A17">
      <w:pPr>
        <w:numPr>
          <w:ilvl w:val="0"/>
          <w:numId w:val="89"/>
        </w:numPr>
        <w:spacing w:before="120" w:after="120" w:line="240" w:lineRule="auto"/>
        <w:ind w:left="360"/>
        <w:jc w:val="both"/>
        <w:rPr>
          <w:rFonts w:ascii="Calibri" w:eastAsia="Arial" w:hAnsi="Calibri" w:cs="Calibri"/>
          <w:lang w:eastAsia="zh-CN"/>
        </w:rPr>
      </w:pPr>
      <w:r w:rsidRPr="005D4FA1">
        <w:rPr>
          <w:rFonts w:ascii="Calibri" w:eastAsia="Arial" w:hAnsi="Calibri" w:cs="Calibri"/>
          <w:b/>
          <w:lang w:eastAsia="zh-CN"/>
        </w:rPr>
        <w:t>Us</w:t>
      </w:r>
      <w:r>
        <w:rPr>
          <w:rFonts w:ascii="Calibri" w:eastAsia="Arial" w:hAnsi="Calibri" w:cs="Calibri"/>
          <w:b/>
          <w:lang w:eastAsia="zh-CN"/>
        </w:rPr>
        <w:t>ing</w:t>
      </w:r>
      <w:r w:rsidRPr="005D4FA1">
        <w:rPr>
          <w:rFonts w:ascii="Calibri" w:eastAsia="Arial" w:hAnsi="Calibri" w:cs="Calibri"/>
          <w:b/>
          <w:lang w:eastAsia="zh-CN"/>
        </w:rPr>
        <w:t xml:space="preserve"> open procurement processes to optimise implementation quality and cost and compete with highly concessional finance. </w:t>
      </w:r>
      <w:r w:rsidRPr="005D4FA1">
        <w:rPr>
          <w:rFonts w:ascii="Calibri" w:eastAsia="Arial" w:hAnsi="Calibri" w:cs="Calibri"/>
          <w:lang w:eastAsia="zh-CN"/>
        </w:rPr>
        <w:t>Where other donors in the region offer highly concessional funding, it often comes at the cost of poor financial sustainability or rigid procurement rules, which may lead to budget and timeline overruns. While there is a strong demand for funding in the region, consultations with many multilateral and national institutions emphasised the need not only for financing, but also for open procurement and capable project management. Opening procurement, and adopting other measures focused on lowering project cost and uncertainty, will allow Australia to compete with donors that have expressed a clear willingness to freely offer highly concessional financing with tied procurement.</w:t>
      </w:r>
      <w:r w:rsidR="009B6ED9">
        <w:rPr>
          <w:rStyle w:val="FootnoteReference"/>
          <w:rFonts w:ascii="Calibri" w:eastAsia="Arial" w:hAnsi="Calibri" w:cs="Calibri"/>
          <w:lang w:eastAsia="zh-CN"/>
        </w:rPr>
        <w:footnoteReference w:id="36"/>
      </w:r>
      <w:r>
        <w:rPr>
          <w:rFonts w:ascii="Calibri" w:eastAsia="Arial" w:hAnsi="Calibri" w:cs="Calibri"/>
          <w:lang w:eastAsia="zh-CN"/>
        </w:rPr>
        <w:t xml:space="preserve"> </w:t>
      </w:r>
    </w:p>
    <w:p w14:paraId="6F2619B1" w14:textId="77777777" w:rsidR="00F16A17" w:rsidRPr="005D4FA1" w:rsidRDefault="00F16A17" w:rsidP="00F16A17">
      <w:pPr>
        <w:numPr>
          <w:ilvl w:val="0"/>
          <w:numId w:val="90"/>
        </w:numPr>
        <w:spacing w:before="120" w:after="120" w:line="240" w:lineRule="auto"/>
        <w:ind w:left="360"/>
        <w:jc w:val="both"/>
        <w:rPr>
          <w:rFonts w:ascii="Calibri" w:eastAsia="Arial" w:hAnsi="Calibri" w:cs="Calibri"/>
          <w:lang w:eastAsia="zh-CN"/>
        </w:rPr>
      </w:pPr>
      <w:r w:rsidRPr="005D4FA1">
        <w:rPr>
          <w:rFonts w:ascii="Calibri" w:eastAsia="Arial" w:hAnsi="Calibri" w:cs="Calibri"/>
          <w:b/>
          <w:lang w:eastAsia="zh-CN"/>
        </w:rPr>
        <w:t xml:space="preserve">Focusing on demand for effective project implementation, rather than seeking to compete on </w:t>
      </w:r>
      <w:proofErr w:type="spellStart"/>
      <w:r w:rsidRPr="005D4FA1">
        <w:rPr>
          <w:rFonts w:ascii="Calibri" w:eastAsia="Arial" w:hAnsi="Calibri" w:cs="Calibri"/>
          <w:b/>
          <w:lang w:eastAsia="zh-CN"/>
        </w:rPr>
        <w:t>concessionality</w:t>
      </w:r>
      <w:proofErr w:type="spellEnd"/>
      <w:r w:rsidRPr="005D4FA1">
        <w:rPr>
          <w:rFonts w:ascii="Calibri" w:eastAsia="Arial" w:hAnsi="Calibri" w:cs="Calibri"/>
          <w:b/>
          <w:lang w:eastAsia="zh-CN"/>
        </w:rPr>
        <w:t xml:space="preserve">. </w:t>
      </w:r>
      <w:r w:rsidRPr="005D4FA1">
        <w:rPr>
          <w:rFonts w:ascii="Calibri" w:eastAsia="Arial" w:hAnsi="Calibri" w:cs="Calibri"/>
          <w:lang w:eastAsia="zh-CN"/>
        </w:rPr>
        <w:t xml:space="preserve">National governments in the Indo-Pacific plan for a level of infrastructure investment that exceeds the level of external financing available. Many of the unfunded projects have the potential to be both financially viable and create positive development outcomes, notably those in power generation, transportation and water and sanitation. In consultations, stakeholders emphasised that their demand for funding wasn’t only for capital or technical expertise </w:t>
      </w:r>
      <w:r w:rsidRPr="005D4FA1">
        <w:rPr>
          <w:rFonts w:ascii="Calibri" w:eastAsia="Arial" w:hAnsi="Calibri" w:cs="Calibri"/>
          <w:i/>
          <w:lang w:eastAsia="zh-CN"/>
        </w:rPr>
        <w:t>per se</w:t>
      </w:r>
      <w:r w:rsidRPr="005D4FA1">
        <w:rPr>
          <w:rFonts w:ascii="Calibri" w:eastAsia="Arial" w:hAnsi="Calibri" w:cs="Calibri"/>
          <w:lang w:eastAsia="zh-CN"/>
        </w:rPr>
        <w:t xml:space="preserve">, but for well-designed projects implemented by capable contractors. Australia’s TA with project delivery is widely viewed as high quality and </w:t>
      </w:r>
      <w:proofErr w:type="gramStart"/>
      <w:r w:rsidRPr="005D4FA1">
        <w:rPr>
          <w:rFonts w:ascii="Calibri" w:eastAsia="Arial" w:hAnsi="Calibri" w:cs="Calibri"/>
          <w:lang w:eastAsia="zh-CN"/>
        </w:rPr>
        <w:t>relevant, and</w:t>
      </w:r>
      <w:proofErr w:type="gramEnd"/>
      <w:r w:rsidRPr="005D4FA1">
        <w:rPr>
          <w:rFonts w:ascii="Calibri" w:eastAsia="Arial" w:hAnsi="Calibri" w:cs="Calibri"/>
          <w:lang w:eastAsia="zh-CN"/>
        </w:rPr>
        <w:t xml:space="preserve"> is a critical way through which Australia has demonstrated its commitment to the long-term development of its partner countries. </w:t>
      </w:r>
    </w:p>
    <w:p w14:paraId="23B49297" w14:textId="77777777" w:rsidR="00F16A17" w:rsidRPr="005D4FA1" w:rsidRDefault="00F16A17" w:rsidP="00F16A17">
      <w:pPr>
        <w:spacing w:after="0" w:line="240" w:lineRule="auto"/>
        <w:jc w:val="both"/>
        <w:rPr>
          <w:rFonts w:ascii="Times New Roman" w:eastAsia="Calibri" w:hAnsi="Times New Roman" w:cs="Times New Roman"/>
          <w:sz w:val="24"/>
          <w:szCs w:val="24"/>
          <w:lang w:val="en-IN" w:eastAsia="en-IN"/>
        </w:rPr>
      </w:pPr>
      <w:r w:rsidRPr="005D4FA1">
        <w:rPr>
          <w:rFonts w:ascii="Calibri" w:eastAsia="Arial" w:hAnsi="Calibri" w:cs="Calibri"/>
          <w:b/>
          <w:lang w:eastAsia="zh-CN"/>
        </w:rPr>
        <w:t>Across the region, extremely diverse and idiosyncratic funding demands require from Australia the flexibility to use a full variety of financial instruments, including both grants and NGF.</w:t>
      </w:r>
      <w:r w:rsidRPr="005D4FA1">
        <w:rPr>
          <w:rFonts w:ascii="Calibri" w:eastAsia="Arial" w:hAnsi="Calibri" w:cs="Calibri"/>
          <w:lang w:eastAsia="zh-CN"/>
        </w:rPr>
        <w:t xml:space="preserve"> Opportunities depend on </w:t>
      </w:r>
      <w:proofErr w:type="gramStart"/>
      <w:r w:rsidRPr="005D4FA1">
        <w:rPr>
          <w:rFonts w:ascii="Calibri" w:eastAsia="Arial" w:hAnsi="Calibri" w:cs="Calibri"/>
          <w:lang w:eastAsia="zh-CN"/>
        </w:rPr>
        <w:t>particular situations</w:t>
      </w:r>
      <w:proofErr w:type="gramEnd"/>
      <w:r w:rsidRPr="005D4FA1">
        <w:rPr>
          <w:rFonts w:ascii="Calibri" w:eastAsia="Arial" w:hAnsi="Calibri" w:cs="Calibri"/>
          <w:lang w:eastAsia="zh-CN"/>
        </w:rPr>
        <w:t>, each of which may be particularly suited only to a subset of the financial instruments that this report recommends for Australia’s use. Because many of the needs that NGF can meet appear across a variety of country contexts, no single variable dictates the applicability of NGF financing within those countries. The assessment of how to finance a given opportunity is more likely to reach an optimal solution, regardless of geographical context, if Australia were to offer a range of financing options including loans, equity, guarantees, and grants.</w:t>
      </w:r>
      <w:r w:rsidRPr="005D4FA1">
        <w:rPr>
          <w:rFonts w:ascii="Times New Roman" w:eastAsia="Calibri" w:hAnsi="Times New Roman" w:cs="Times New Roman"/>
          <w:sz w:val="24"/>
          <w:szCs w:val="24"/>
          <w:lang w:val="en-IN" w:eastAsia="en-IN"/>
        </w:rPr>
        <w:t xml:space="preserve"> </w:t>
      </w:r>
    </w:p>
    <w:p w14:paraId="616864EC" w14:textId="77777777" w:rsidR="00F16A17" w:rsidRPr="005D4FA1" w:rsidRDefault="00F16A17" w:rsidP="00F16A17">
      <w:pPr>
        <w:spacing w:line="254" w:lineRule="auto"/>
        <w:jc w:val="both"/>
        <w:rPr>
          <w:rFonts w:ascii="Calibri" w:eastAsia="Calibri" w:hAnsi="Calibri" w:cs="Times New Roman"/>
        </w:rPr>
      </w:pPr>
    </w:p>
    <w:p w14:paraId="1EC57A7B" w14:textId="77777777" w:rsidR="000E0565" w:rsidRPr="00201D50" w:rsidRDefault="000E0565" w:rsidP="00E84878">
      <w:pPr>
        <w:pStyle w:val="Heading2"/>
        <w:rPr>
          <w:lang w:val="en-US"/>
        </w:rPr>
      </w:pPr>
      <w:bookmarkStart w:id="24" w:name="_Toc531965946"/>
      <w:bookmarkEnd w:id="21"/>
      <w:r w:rsidRPr="00201D50">
        <w:rPr>
          <w:lang w:val="en-US"/>
        </w:rPr>
        <w:t>Development Impact</w:t>
      </w:r>
    </w:p>
    <w:p w14:paraId="18F87D27" w14:textId="37284BB1" w:rsidR="000E0565" w:rsidRPr="00201D50" w:rsidRDefault="000E0565" w:rsidP="000E0565">
      <w:pPr>
        <w:spacing w:before="120" w:after="120" w:line="240" w:lineRule="auto"/>
        <w:rPr>
          <w:rFonts w:ascii="Calibri" w:eastAsia="MS Mincho" w:hAnsi="Calibri" w:cs="Times New Roman"/>
          <w:b/>
          <w:lang w:val="en-US"/>
        </w:rPr>
      </w:pPr>
      <w:r w:rsidRPr="00AF3365">
        <w:rPr>
          <w:rFonts w:ascii="Calibri" w:eastAsia="MS Mincho" w:hAnsi="Calibri" w:cs="Times New Roman"/>
          <w:b/>
          <w:lang w:val="en-US"/>
        </w:rPr>
        <w:t xml:space="preserve">Australia has for long supported </w:t>
      </w:r>
      <w:r>
        <w:rPr>
          <w:rFonts w:ascii="Calibri" w:eastAsia="MS Mincho" w:hAnsi="Calibri" w:cs="Times New Roman"/>
          <w:b/>
          <w:lang w:val="en-US"/>
        </w:rPr>
        <w:t>the</w:t>
      </w:r>
      <w:r w:rsidRPr="00AF3365">
        <w:rPr>
          <w:rFonts w:ascii="Calibri" w:eastAsia="MS Mincho" w:hAnsi="Calibri" w:cs="Times New Roman"/>
          <w:b/>
          <w:lang w:val="en-US"/>
        </w:rPr>
        <w:t xml:space="preserve"> use</w:t>
      </w:r>
      <w:r>
        <w:rPr>
          <w:rFonts w:ascii="Calibri" w:eastAsia="MS Mincho" w:hAnsi="Calibri" w:cs="Times New Roman"/>
          <w:b/>
          <w:lang w:val="en-US"/>
        </w:rPr>
        <w:t xml:space="preserve"> of</w:t>
      </w:r>
      <w:r w:rsidRPr="00AF3365">
        <w:rPr>
          <w:rFonts w:ascii="Calibri" w:eastAsia="MS Mincho" w:hAnsi="Calibri" w:cs="Times New Roman"/>
          <w:b/>
          <w:lang w:val="en-US"/>
        </w:rPr>
        <w:t xml:space="preserve"> NGF </w:t>
      </w:r>
      <w:r w:rsidR="006B446A">
        <w:rPr>
          <w:rFonts w:ascii="Calibri" w:eastAsia="MS Mincho" w:hAnsi="Calibri" w:cs="Times New Roman"/>
          <w:b/>
          <w:lang w:val="en-US"/>
        </w:rPr>
        <w:t>among</w:t>
      </w:r>
      <w:r w:rsidRPr="00AF3365">
        <w:rPr>
          <w:rFonts w:ascii="Calibri" w:eastAsia="MS Mincho" w:hAnsi="Calibri" w:cs="Times New Roman"/>
          <w:b/>
          <w:lang w:val="en-US"/>
        </w:rPr>
        <w:t xml:space="preserve"> way</w:t>
      </w:r>
      <w:r w:rsidR="006B446A">
        <w:rPr>
          <w:rFonts w:ascii="Calibri" w:eastAsia="MS Mincho" w:hAnsi="Calibri" w:cs="Times New Roman"/>
          <w:b/>
          <w:lang w:val="en-US"/>
        </w:rPr>
        <w:t>s</w:t>
      </w:r>
      <w:r w:rsidRPr="00AF3365">
        <w:rPr>
          <w:rFonts w:ascii="Calibri" w:eastAsia="MS Mincho" w:hAnsi="Calibri" w:cs="Times New Roman"/>
          <w:b/>
          <w:lang w:val="en-US"/>
        </w:rPr>
        <w:t xml:space="preserve"> to achieve the development program’s objectives, predomina</w:t>
      </w:r>
      <w:r w:rsidR="00827244">
        <w:rPr>
          <w:rFonts w:ascii="Calibri" w:eastAsia="MS Mincho" w:hAnsi="Calibri" w:cs="Times New Roman"/>
          <w:b/>
          <w:lang w:val="en-US"/>
        </w:rPr>
        <w:t>n</w:t>
      </w:r>
      <w:r w:rsidRPr="00AF3365">
        <w:rPr>
          <w:rFonts w:ascii="Calibri" w:eastAsia="MS Mincho" w:hAnsi="Calibri" w:cs="Times New Roman"/>
          <w:b/>
          <w:lang w:val="en-US"/>
        </w:rPr>
        <w:t>tly by helping to finance MDBs and specialist intermediaries.</w:t>
      </w:r>
      <w:r w:rsidRPr="00201D50">
        <w:rPr>
          <w:rFonts w:ascii="Calibri" w:eastAsia="MS Mincho" w:hAnsi="Calibri" w:cs="Times New Roman"/>
          <w:lang w:val="en-US"/>
        </w:rPr>
        <w:t xml:space="preserve"> Examples include:</w:t>
      </w:r>
    </w:p>
    <w:p w14:paraId="0FE60B0D" w14:textId="77777777" w:rsidR="000E0565" w:rsidRPr="00201D50" w:rsidRDefault="000E0565" w:rsidP="000E0565">
      <w:pPr>
        <w:numPr>
          <w:ilvl w:val="0"/>
          <w:numId w:val="10"/>
        </w:numPr>
        <w:spacing w:before="120" w:after="120" w:line="240" w:lineRule="auto"/>
        <w:rPr>
          <w:rFonts w:ascii="Calibri" w:eastAsia="MS Mincho" w:hAnsi="Calibri" w:cs="Times New Roman"/>
          <w:lang w:val="en-US"/>
        </w:rPr>
      </w:pPr>
      <w:r w:rsidRPr="00201D50">
        <w:rPr>
          <w:rFonts w:ascii="Calibri" w:eastAsia="MS Mincho" w:hAnsi="Calibri" w:cs="Times New Roman"/>
          <w:b/>
          <w:lang w:val="en-US"/>
        </w:rPr>
        <w:lastRenderedPageBreak/>
        <w:t>Loans</w:t>
      </w:r>
      <w:r w:rsidRPr="00201D50">
        <w:rPr>
          <w:rFonts w:ascii="Calibri" w:eastAsia="MS Mincho" w:hAnsi="Calibri" w:cs="Times New Roman"/>
          <w:lang w:val="en-US"/>
        </w:rPr>
        <w:t xml:space="preserve">: </w:t>
      </w:r>
      <w:r>
        <w:rPr>
          <w:rFonts w:ascii="Calibri" w:eastAsia="MS Mincho" w:hAnsi="Calibri" w:cs="Times New Roman"/>
          <w:lang w:val="en-US"/>
        </w:rPr>
        <w:t>c</w:t>
      </w:r>
      <w:r w:rsidRPr="00201D50">
        <w:rPr>
          <w:rFonts w:ascii="Calibri" w:eastAsia="MS Mincho" w:hAnsi="Calibri" w:cs="Times New Roman"/>
          <w:lang w:val="en-US"/>
        </w:rPr>
        <w:t xml:space="preserve">ommercial and concessional loans have been made to </w:t>
      </w:r>
      <w:r>
        <w:rPr>
          <w:rFonts w:ascii="Calibri" w:eastAsia="MS Mincho" w:hAnsi="Calibri" w:cs="Times New Roman"/>
          <w:lang w:val="en-US"/>
        </w:rPr>
        <w:t>p</w:t>
      </w:r>
      <w:r w:rsidRPr="00201D50">
        <w:rPr>
          <w:rFonts w:ascii="Calibri" w:eastAsia="MS Mincho" w:hAnsi="Calibri" w:cs="Times New Roman"/>
          <w:lang w:val="en-US"/>
        </w:rPr>
        <w:t xml:space="preserve">ublic and </w:t>
      </w:r>
      <w:r>
        <w:rPr>
          <w:rFonts w:ascii="Calibri" w:eastAsia="MS Mincho" w:hAnsi="Calibri" w:cs="Times New Roman"/>
          <w:lang w:val="en-US"/>
        </w:rPr>
        <w:t>p</w:t>
      </w:r>
      <w:r w:rsidRPr="00201D50">
        <w:rPr>
          <w:rFonts w:ascii="Calibri" w:eastAsia="MS Mincho" w:hAnsi="Calibri" w:cs="Times New Roman"/>
          <w:lang w:val="en-US"/>
        </w:rPr>
        <w:t>rivate sector entities</w:t>
      </w:r>
      <w:r>
        <w:rPr>
          <w:rFonts w:ascii="Calibri" w:eastAsia="MS Mincho" w:hAnsi="Calibri" w:cs="Times New Roman"/>
          <w:lang w:val="en-US"/>
        </w:rPr>
        <w:t xml:space="preserve"> and </w:t>
      </w:r>
      <w:r w:rsidRPr="00201D50">
        <w:rPr>
          <w:rFonts w:ascii="Calibri" w:eastAsia="MS Mincho" w:hAnsi="Calibri" w:cs="Times New Roman"/>
          <w:lang w:val="en-US"/>
        </w:rPr>
        <w:t xml:space="preserve">projects, most notably through </w:t>
      </w:r>
      <w:r>
        <w:rPr>
          <w:rFonts w:ascii="Calibri" w:eastAsia="MS Mincho" w:hAnsi="Calibri" w:cs="Times New Roman"/>
          <w:lang w:val="en-US"/>
        </w:rPr>
        <w:t>WB</w:t>
      </w:r>
      <w:r w:rsidRPr="00201D50">
        <w:rPr>
          <w:rFonts w:ascii="Calibri" w:eastAsia="MS Mincho" w:hAnsi="Calibri" w:cs="Times New Roman"/>
          <w:lang w:val="en-US"/>
        </w:rPr>
        <w:t>, ADB, Green Climate Fund, Private Infrastructure Development Group (PIDG) and IFC.</w:t>
      </w:r>
    </w:p>
    <w:p w14:paraId="0742A8F3" w14:textId="77777777" w:rsidR="000E0565" w:rsidRPr="00201D50" w:rsidRDefault="000E0565" w:rsidP="000E0565">
      <w:pPr>
        <w:numPr>
          <w:ilvl w:val="0"/>
          <w:numId w:val="10"/>
        </w:numPr>
        <w:spacing w:before="120" w:after="120" w:line="240" w:lineRule="auto"/>
        <w:rPr>
          <w:rFonts w:ascii="Calibri" w:eastAsia="MS Mincho" w:hAnsi="Calibri" w:cs="Times New Roman"/>
          <w:lang w:val="en-US"/>
        </w:rPr>
      </w:pPr>
      <w:r w:rsidRPr="00201D50">
        <w:rPr>
          <w:rFonts w:ascii="Calibri" w:eastAsia="MS Mincho" w:hAnsi="Calibri" w:cs="Times New Roman"/>
          <w:b/>
          <w:lang w:val="en-US"/>
        </w:rPr>
        <w:t xml:space="preserve">Equity </w:t>
      </w:r>
      <w:r>
        <w:rPr>
          <w:rFonts w:ascii="Calibri" w:eastAsia="MS Mincho" w:hAnsi="Calibri" w:cs="Times New Roman"/>
          <w:b/>
          <w:lang w:val="en-US"/>
        </w:rPr>
        <w:t>i</w:t>
      </w:r>
      <w:r w:rsidRPr="00201D50">
        <w:rPr>
          <w:rFonts w:ascii="Calibri" w:eastAsia="MS Mincho" w:hAnsi="Calibri" w:cs="Times New Roman"/>
          <w:b/>
          <w:lang w:val="en-US"/>
        </w:rPr>
        <w:t>nvestments</w:t>
      </w:r>
      <w:r w:rsidRPr="00201D50">
        <w:rPr>
          <w:rFonts w:ascii="Calibri" w:eastAsia="MS Mincho" w:hAnsi="Calibri" w:cs="Times New Roman"/>
          <w:lang w:val="en-US"/>
        </w:rPr>
        <w:t xml:space="preserve">: </w:t>
      </w:r>
      <w:r>
        <w:rPr>
          <w:rFonts w:ascii="Calibri" w:eastAsia="MS Mincho" w:hAnsi="Calibri" w:cs="Times New Roman"/>
          <w:lang w:val="en-US"/>
        </w:rPr>
        <w:t>these</w:t>
      </w:r>
      <w:r w:rsidRPr="00201D50">
        <w:rPr>
          <w:rFonts w:ascii="Calibri" w:eastAsia="MS Mincho" w:hAnsi="Calibri" w:cs="Times New Roman"/>
          <w:lang w:val="en-US"/>
        </w:rPr>
        <w:t xml:space="preserve"> have been funded by DFAT through IFC, ADB and </w:t>
      </w:r>
      <w:proofErr w:type="spellStart"/>
      <w:r w:rsidRPr="00201D50">
        <w:rPr>
          <w:rFonts w:ascii="Calibri" w:eastAsia="MS Mincho" w:hAnsi="Calibri" w:cs="Times New Roman"/>
          <w:lang w:val="en-US"/>
        </w:rPr>
        <w:t>InfraCo</w:t>
      </w:r>
      <w:proofErr w:type="spellEnd"/>
      <w:r w:rsidRPr="00201D50">
        <w:rPr>
          <w:rFonts w:ascii="Calibri" w:eastAsia="MS Mincho" w:hAnsi="Calibri" w:cs="Times New Roman"/>
          <w:lang w:val="en-US"/>
        </w:rPr>
        <w:t xml:space="preserve"> Asia.</w:t>
      </w:r>
    </w:p>
    <w:p w14:paraId="235820BC" w14:textId="77777777" w:rsidR="000E0565" w:rsidRPr="00201D50" w:rsidRDefault="000E0565" w:rsidP="000E0565">
      <w:pPr>
        <w:numPr>
          <w:ilvl w:val="0"/>
          <w:numId w:val="10"/>
        </w:numPr>
        <w:spacing w:before="120" w:after="120" w:line="240" w:lineRule="auto"/>
        <w:rPr>
          <w:rFonts w:ascii="Calibri" w:eastAsia="MS Mincho" w:hAnsi="Calibri" w:cs="Times New Roman"/>
          <w:lang w:val="en-US"/>
        </w:rPr>
      </w:pPr>
      <w:r w:rsidRPr="00201D50">
        <w:rPr>
          <w:rFonts w:ascii="Calibri" w:eastAsia="MS Mincho" w:hAnsi="Calibri" w:cs="Times New Roman"/>
          <w:b/>
          <w:lang w:val="en-US"/>
        </w:rPr>
        <w:t xml:space="preserve">Risk </w:t>
      </w:r>
      <w:r>
        <w:rPr>
          <w:rFonts w:ascii="Calibri" w:eastAsia="MS Mincho" w:hAnsi="Calibri" w:cs="Times New Roman"/>
          <w:b/>
          <w:lang w:val="en-US"/>
        </w:rPr>
        <w:t>m</w:t>
      </w:r>
      <w:r w:rsidRPr="00201D50">
        <w:rPr>
          <w:rFonts w:ascii="Calibri" w:eastAsia="MS Mincho" w:hAnsi="Calibri" w:cs="Times New Roman"/>
          <w:b/>
          <w:lang w:val="en-US"/>
        </w:rPr>
        <w:t xml:space="preserve">itigation </w:t>
      </w:r>
      <w:proofErr w:type="gramStart"/>
      <w:r>
        <w:rPr>
          <w:rFonts w:ascii="Calibri" w:eastAsia="MS Mincho" w:hAnsi="Calibri" w:cs="Times New Roman"/>
          <w:b/>
          <w:lang w:val="en-US"/>
        </w:rPr>
        <w:t>i</w:t>
      </w:r>
      <w:r w:rsidRPr="00201D50">
        <w:rPr>
          <w:rFonts w:ascii="Calibri" w:eastAsia="MS Mincho" w:hAnsi="Calibri" w:cs="Times New Roman"/>
          <w:b/>
          <w:lang w:val="en-US"/>
        </w:rPr>
        <w:t>nstruments</w:t>
      </w:r>
      <w:r w:rsidRPr="00201D50">
        <w:rPr>
          <w:rFonts w:ascii="Calibri" w:eastAsia="MS Mincho" w:hAnsi="Calibri" w:cs="Times New Roman"/>
          <w:lang w:val="en-US"/>
        </w:rPr>
        <w:t>:</w:t>
      </w:r>
      <w:proofErr w:type="gramEnd"/>
      <w:r w:rsidRPr="00201D50">
        <w:rPr>
          <w:rFonts w:ascii="Calibri" w:eastAsia="MS Mincho" w:hAnsi="Calibri" w:cs="Times New Roman"/>
          <w:lang w:val="en-US"/>
        </w:rPr>
        <w:t xml:space="preserve"> </w:t>
      </w:r>
      <w:r>
        <w:rPr>
          <w:rFonts w:ascii="Calibri" w:eastAsia="MS Mincho" w:hAnsi="Calibri" w:cs="Times New Roman"/>
          <w:lang w:val="en-US"/>
        </w:rPr>
        <w:t>g</w:t>
      </w:r>
      <w:r w:rsidRPr="00201D50">
        <w:rPr>
          <w:rFonts w:ascii="Calibri" w:eastAsia="MS Mincho" w:hAnsi="Calibri" w:cs="Times New Roman"/>
          <w:lang w:val="en-US"/>
        </w:rPr>
        <w:t>uarantees,</w:t>
      </w:r>
      <w:r>
        <w:rPr>
          <w:rFonts w:ascii="Calibri" w:eastAsia="MS Mincho" w:hAnsi="Calibri" w:cs="Times New Roman"/>
          <w:lang w:val="en-US"/>
        </w:rPr>
        <w:t xml:space="preserve"> i</w:t>
      </w:r>
      <w:r w:rsidRPr="00201D50">
        <w:rPr>
          <w:rFonts w:ascii="Calibri" w:eastAsia="MS Mincho" w:hAnsi="Calibri" w:cs="Times New Roman"/>
          <w:lang w:val="en-US"/>
        </w:rPr>
        <w:t xml:space="preserve">nsurance (including </w:t>
      </w:r>
      <w:r>
        <w:rPr>
          <w:rFonts w:ascii="Calibri" w:eastAsia="MS Mincho" w:hAnsi="Calibri" w:cs="Times New Roman"/>
          <w:lang w:val="en-US"/>
        </w:rPr>
        <w:t>for p</w:t>
      </w:r>
      <w:r w:rsidRPr="00201D50">
        <w:rPr>
          <w:rFonts w:ascii="Calibri" w:eastAsia="MS Mincho" w:hAnsi="Calibri" w:cs="Times New Roman"/>
          <w:lang w:val="en-US"/>
        </w:rPr>
        <w:t xml:space="preserve">olitical </w:t>
      </w:r>
      <w:r>
        <w:rPr>
          <w:rFonts w:ascii="Calibri" w:eastAsia="MS Mincho" w:hAnsi="Calibri" w:cs="Times New Roman"/>
          <w:lang w:val="en-US"/>
        </w:rPr>
        <w:t>r</w:t>
      </w:r>
      <w:r w:rsidRPr="00201D50">
        <w:rPr>
          <w:rFonts w:ascii="Calibri" w:eastAsia="MS Mincho" w:hAnsi="Calibri" w:cs="Times New Roman"/>
          <w:lang w:val="en-US"/>
        </w:rPr>
        <w:t xml:space="preserve">isk), </w:t>
      </w:r>
      <w:proofErr w:type="spellStart"/>
      <w:r>
        <w:rPr>
          <w:rFonts w:ascii="Calibri" w:eastAsia="MS Mincho" w:hAnsi="Calibri" w:cs="Times New Roman"/>
          <w:lang w:val="en-US"/>
        </w:rPr>
        <w:t>s</w:t>
      </w:r>
      <w:r w:rsidRPr="00201D50">
        <w:rPr>
          <w:rFonts w:ascii="Calibri" w:eastAsia="MS Mincho" w:hAnsi="Calibri" w:cs="Times New Roman"/>
          <w:lang w:val="en-US"/>
        </w:rPr>
        <w:t>ecuritisation</w:t>
      </w:r>
      <w:proofErr w:type="spellEnd"/>
      <w:r w:rsidRPr="00201D50">
        <w:rPr>
          <w:rFonts w:ascii="Calibri" w:eastAsia="MS Mincho" w:hAnsi="Calibri" w:cs="Times New Roman"/>
          <w:lang w:val="en-US"/>
        </w:rPr>
        <w:t xml:space="preserve">, </w:t>
      </w:r>
      <w:r>
        <w:rPr>
          <w:rFonts w:ascii="Calibri" w:eastAsia="MS Mincho" w:hAnsi="Calibri" w:cs="Times New Roman"/>
          <w:lang w:val="en-US"/>
        </w:rPr>
        <w:t>c</w:t>
      </w:r>
      <w:r w:rsidRPr="00201D50">
        <w:rPr>
          <w:rFonts w:ascii="Calibri" w:eastAsia="MS Mincho" w:hAnsi="Calibri" w:cs="Times New Roman"/>
          <w:lang w:val="en-US"/>
        </w:rPr>
        <w:t xml:space="preserve">urrency </w:t>
      </w:r>
      <w:r>
        <w:rPr>
          <w:rFonts w:ascii="Calibri" w:eastAsia="MS Mincho" w:hAnsi="Calibri" w:cs="Times New Roman"/>
          <w:lang w:val="en-US"/>
        </w:rPr>
        <w:t>h</w:t>
      </w:r>
      <w:r w:rsidRPr="00201D50">
        <w:rPr>
          <w:rFonts w:ascii="Calibri" w:eastAsia="MS Mincho" w:hAnsi="Calibri" w:cs="Times New Roman"/>
          <w:lang w:val="en-US"/>
        </w:rPr>
        <w:t>edging</w:t>
      </w:r>
      <w:r>
        <w:rPr>
          <w:rFonts w:ascii="Calibri" w:eastAsia="MS Mincho" w:hAnsi="Calibri" w:cs="Times New Roman"/>
          <w:lang w:val="en-US"/>
        </w:rPr>
        <w:t xml:space="preserve"> and other instruments</w:t>
      </w:r>
      <w:r w:rsidRPr="00201D50">
        <w:rPr>
          <w:rFonts w:ascii="Calibri" w:eastAsia="MS Mincho" w:hAnsi="Calibri" w:cs="Times New Roman"/>
          <w:lang w:val="en-US"/>
        </w:rPr>
        <w:t xml:space="preserve"> have been promoted by DFAT through MIGA, </w:t>
      </w:r>
      <w:proofErr w:type="spellStart"/>
      <w:r w:rsidRPr="00201D50">
        <w:rPr>
          <w:rFonts w:ascii="Calibri" w:eastAsia="MS Mincho" w:hAnsi="Calibri" w:cs="Times New Roman"/>
          <w:lang w:val="en-US"/>
        </w:rPr>
        <w:t>GuarantCo</w:t>
      </w:r>
      <w:proofErr w:type="spellEnd"/>
      <w:r w:rsidRPr="00201D50">
        <w:rPr>
          <w:rFonts w:ascii="Calibri" w:eastAsia="MS Mincho" w:hAnsi="Calibri" w:cs="Times New Roman"/>
          <w:lang w:val="en-US"/>
        </w:rPr>
        <w:t xml:space="preserve">, </w:t>
      </w:r>
      <w:r>
        <w:rPr>
          <w:rFonts w:ascii="Calibri" w:eastAsia="MS Mincho" w:hAnsi="Calibri" w:cs="Times New Roman"/>
          <w:lang w:val="en-US"/>
        </w:rPr>
        <w:t>and Overseas Private Investment Corporation (OPIC)</w:t>
      </w:r>
      <w:r w:rsidRPr="00201D50">
        <w:rPr>
          <w:rFonts w:ascii="Calibri" w:eastAsia="MS Mincho" w:hAnsi="Calibri" w:cs="Times New Roman"/>
          <w:lang w:val="en-US"/>
        </w:rPr>
        <w:t>.</w:t>
      </w:r>
    </w:p>
    <w:p w14:paraId="06EC9774" w14:textId="77777777" w:rsidR="000E0565" w:rsidRPr="00201D50" w:rsidRDefault="000E0565" w:rsidP="000E0565">
      <w:pPr>
        <w:spacing w:before="120" w:after="120" w:line="240" w:lineRule="auto"/>
        <w:ind w:left="360"/>
        <w:rPr>
          <w:rFonts w:ascii="Calibri" w:eastAsia="MS Mincho" w:hAnsi="Calibri" w:cs="Times New Roman"/>
          <w:lang w:val="en-US"/>
        </w:rPr>
      </w:pPr>
      <w:r w:rsidRPr="00201D50">
        <w:rPr>
          <w:rFonts w:ascii="Calibri" w:eastAsia="MS Mincho" w:hAnsi="Calibri" w:cs="Times New Roman"/>
          <w:lang w:val="en-US"/>
        </w:rPr>
        <w:t xml:space="preserve">The development impacts of </w:t>
      </w:r>
      <w:r>
        <w:rPr>
          <w:rFonts w:ascii="Calibri" w:eastAsia="MS Mincho" w:hAnsi="Calibri" w:cs="Times New Roman"/>
          <w:lang w:val="en-US"/>
        </w:rPr>
        <w:t>NGF-based</w:t>
      </w:r>
      <w:r w:rsidRPr="00201D50">
        <w:rPr>
          <w:rFonts w:ascii="Calibri" w:eastAsia="MS Mincho" w:hAnsi="Calibri" w:cs="Times New Roman"/>
          <w:lang w:val="en-US"/>
        </w:rPr>
        <w:t xml:space="preserve"> </w:t>
      </w:r>
      <w:r>
        <w:rPr>
          <w:rFonts w:ascii="Calibri" w:eastAsia="MS Mincho" w:hAnsi="Calibri" w:cs="Times New Roman"/>
          <w:lang w:val="en-US"/>
        </w:rPr>
        <w:t xml:space="preserve">programs </w:t>
      </w:r>
      <w:r w:rsidRPr="00201D50">
        <w:rPr>
          <w:rFonts w:ascii="Calibri" w:eastAsia="MS Mincho" w:hAnsi="Calibri" w:cs="Times New Roman"/>
          <w:lang w:val="en-US"/>
        </w:rPr>
        <w:t>have been evaluated and validated</w:t>
      </w:r>
      <w:r>
        <w:rPr>
          <w:rFonts w:ascii="Calibri" w:eastAsia="MS Mincho" w:hAnsi="Calibri" w:cs="Times New Roman"/>
          <w:lang w:val="en-US"/>
        </w:rPr>
        <w:t>,</w:t>
      </w:r>
      <w:r w:rsidRPr="00201D50">
        <w:rPr>
          <w:rFonts w:ascii="Calibri" w:eastAsia="MS Mincho" w:hAnsi="Calibri" w:cs="Times New Roman"/>
          <w:lang w:val="en-US"/>
        </w:rPr>
        <w:t xml:space="preserve"> </w:t>
      </w:r>
      <w:r>
        <w:rPr>
          <w:rFonts w:ascii="Calibri" w:eastAsia="MS Mincho" w:hAnsi="Calibri" w:cs="Times New Roman"/>
          <w:lang w:val="en-US"/>
        </w:rPr>
        <w:t>along with the grant</w:t>
      </w:r>
      <w:r>
        <w:rPr>
          <w:rFonts w:ascii="Calibri" w:eastAsia="MS Mincho" w:hAnsi="Calibri" w:cs="Times New Roman"/>
          <w:lang w:val="en-US"/>
        </w:rPr>
        <w:noBreakHyphen/>
        <w:t>based</w:t>
      </w:r>
      <w:r w:rsidRPr="00201D50">
        <w:rPr>
          <w:rFonts w:ascii="Calibri" w:eastAsia="MS Mincho" w:hAnsi="Calibri" w:cs="Times New Roman"/>
          <w:lang w:val="en-US"/>
        </w:rPr>
        <w:t xml:space="preserve"> </w:t>
      </w:r>
      <w:r>
        <w:rPr>
          <w:rFonts w:ascii="Calibri" w:eastAsia="MS Mincho" w:hAnsi="Calibri" w:cs="Times New Roman"/>
          <w:lang w:val="en-US"/>
        </w:rPr>
        <w:t>ones in Australia’s development assistance program</w:t>
      </w:r>
      <w:r w:rsidRPr="00201D50">
        <w:rPr>
          <w:rFonts w:ascii="Calibri" w:eastAsia="MS Mincho" w:hAnsi="Calibri" w:cs="Times New Roman"/>
          <w:lang w:val="en-US"/>
        </w:rPr>
        <w:t>.</w:t>
      </w:r>
      <w:r>
        <w:rPr>
          <w:rStyle w:val="FootnoteReference"/>
          <w:rFonts w:ascii="Calibri" w:eastAsia="MS Mincho" w:hAnsi="Calibri" w:cs="Times New Roman"/>
          <w:lang w:val="en-US"/>
        </w:rPr>
        <w:footnoteReference w:id="37"/>
      </w:r>
      <w:r w:rsidRPr="00201D50">
        <w:rPr>
          <w:rFonts w:ascii="Calibri" w:eastAsia="MS Mincho" w:hAnsi="Calibri" w:cs="Times New Roman"/>
          <w:lang w:val="en-US"/>
        </w:rPr>
        <w:t xml:space="preserve"> </w:t>
      </w:r>
    </w:p>
    <w:p w14:paraId="3D7AF7BC" w14:textId="6D1A86C9" w:rsidR="000E0565" w:rsidRPr="00201D50" w:rsidRDefault="000E0565" w:rsidP="000E0565">
      <w:pPr>
        <w:spacing w:before="120" w:after="120" w:line="240" w:lineRule="auto"/>
        <w:rPr>
          <w:rFonts w:ascii="Calibri" w:eastAsia="MS Mincho" w:hAnsi="Calibri" w:cs="Times New Roman"/>
          <w:b/>
          <w:lang w:val="en-US"/>
        </w:rPr>
      </w:pPr>
      <w:r w:rsidRPr="00201D50">
        <w:rPr>
          <w:rFonts w:ascii="Calibri" w:eastAsia="MS Mincho" w:hAnsi="Calibri" w:cs="Times New Roman"/>
          <w:b/>
          <w:lang w:val="en-US"/>
        </w:rPr>
        <w:t xml:space="preserve">The implications of using </w:t>
      </w:r>
      <w:r>
        <w:rPr>
          <w:rFonts w:ascii="Calibri" w:eastAsia="MS Mincho" w:hAnsi="Calibri" w:cs="Times New Roman"/>
          <w:b/>
          <w:lang w:val="en-US"/>
        </w:rPr>
        <w:t>NGF</w:t>
      </w:r>
      <w:r w:rsidRPr="00201D50">
        <w:rPr>
          <w:rFonts w:ascii="Calibri" w:eastAsia="MS Mincho" w:hAnsi="Calibri" w:cs="Times New Roman"/>
          <w:b/>
          <w:lang w:val="en-US"/>
        </w:rPr>
        <w:t xml:space="preserve"> for development purposes </w:t>
      </w:r>
      <w:r>
        <w:rPr>
          <w:rFonts w:ascii="Calibri" w:eastAsia="MS Mincho" w:hAnsi="Calibri" w:cs="Times New Roman"/>
          <w:b/>
          <w:lang w:val="en-US"/>
        </w:rPr>
        <w:t xml:space="preserve">do not </w:t>
      </w:r>
      <w:r w:rsidRPr="00201D50">
        <w:rPr>
          <w:rFonts w:ascii="Calibri" w:eastAsia="MS Mincho" w:hAnsi="Calibri" w:cs="Times New Roman"/>
          <w:b/>
          <w:lang w:val="en-US"/>
        </w:rPr>
        <w:t xml:space="preserve">lie in the financing mechanisms themselves, but in the possibility that using </w:t>
      </w:r>
      <w:r w:rsidR="00E8643E">
        <w:rPr>
          <w:rFonts w:ascii="Calibri" w:eastAsia="MS Mincho" w:hAnsi="Calibri" w:cs="Times New Roman"/>
          <w:b/>
          <w:lang w:val="en-US"/>
        </w:rPr>
        <w:t>them</w:t>
      </w:r>
      <w:r w:rsidRPr="00201D50">
        <w:rPr>
          <w:rFonts w:ascii="Calibri" w:eastAsia="MS Mincho" w:hAnsi="Calibri" w:cs="Times New Roman"/>
          <w:b/>
          <w:lang w:val="en-US"/>
        </w:rPr>
        <w:t xml:space="preserve"> could mean working with different entities in lead role</w:t>
      </w:r>
      <w:r>
        <w:rPr>
          <w:rFonts w:ascii="Calibri" w:eastAsia="MS Mincho" w:hAnsi="Calibri" w:cs="Times New Roman"/>
          <w:b/>
          <w:lang w:val="en-US"/>
        </w:rPr>
        <w:t>s</w:t>
      </w:r>
      <w:r w:rsidRPr="00201D50">
        <w:rPr>
          <w:rFonts w:ascii="Calibri" w:eastAsia="MS Mincho" w:hAnsi="Calibri" w:cs="Times New Roman"/>
          <w:b/>
          <w:lang w:val="en-US"/>
        </w:rPr>
        <w:t xml:space="preserve"> in project development.</w:t>
      </w:r>
    </w:p>
    <w:p w14:paraId="317EC2C9" w14:textId="24FF6591" w:rsidR="000E0565" w:rsidRPr="00201D50" w:rsidRDefault="000E0565" w:rsidP="000E0565">
      <w:pPr>
        <w:spacing w:before="120" w:after="120" w:line="240" w:lineRule="auto"/>
        <w:ind w:left="360"/>
        <w:rPr>
          <w:rFonts w:ascii="Calibri" w:eastAsia="MS Mincho" w:hAnsi="Calibri" w:cs="Times New Roman"/>
          <w:lang w:val="en-US"/>
        </w:rPr>
      </w:pPr>
      <w:r w:rsidRPr="00AF3365">
        <w:rPr>
          <w:rFonts w:ascii="Calibri" w:eastAsia="MS Mincho" w:hAnsi="Calibri" w:cs="Times New Roman"/>
          <w:lang w:val="en-US"/>
        </w:rPr>
        <w:t xml:space="preserve">If Australia used NGF to finance projects that were </w:t>
      </w:r>
      <w:proofErr w:type="gramStart"/>
      <w:r w:rsidRPr="00AF3365">
        <w:rPr>
          <w:rFonts w:ascii="Calibri" w:eastAsia="MS Mincho" w:hAnsi="Calibri" w:cs="Times New Roman"/>
          <w:lang w:val="en-US"/>
        </w:rPr>
        <w:t>similar to</w:t>
      </w:r>
      <w:proofErr w:type="gramEnd"/>
      <w:r w:rsidRPr="00AF3365">
        <w:rPr>
          <w:rFonts w:ascii="Calibri" w:eastAsia="MS Mincho" w:hAnsi="Calibri" w:cs="Times New Roman"/>
          <w:lang w:val="en-US"/>
        </w:rPr>
        <w:t xml:space="preserve"> those it now finances with grants, the development impacts would be similar. </w:t>
      </w:r>
      <w:r w:rsidRPr="00201D50">
        <w:rPr>
          <w:rFonts w:ascii="Calibri" w:eastAsia="MS Mincho" w:hAnsi="Calibri" w:cs="Times New Roman"/>
          <w:lang w:val="en-US"/>
        </w:rPr>
        <w:t>For example, if ADB financed an I</w:t>
      </w:r>
      <w:r>
        <w:rPr>
          <w:rFonts w:ascii="Calibri" w:eastAsia="MS Mincho" w:hAnsi="Calibri" w:cs="Times New Roman"/>
          <w:lang w:val="en-US"/>
        </w:rPr>
        <w:t xml:space="preserve">ndependent </w:t>
      </w:r>
      <w:r w:rsidRPr="00201D50">
        <w:rPr>
          <w:rFonts w:ascii="Calibri" w:eastAsia="MS Mincho" w:hAnsi="Calibri" w:cs="Times New Roman"/>
          <w:lang w:val="en-US"/>
        </w:rPr>
        <w:t>P</w:t>
      </w:r>
      <w:r>
        <w:rPr>
          <w:rFonts w:ascii="Calibri" w:eastAsia="MS Mincho" w:hAnsi="Calibri" w:cs="Times New Roman"/>
          <w:lang w:val="en-US"/>
        </w:rPr>
        <w:t>ower Producer (IPP)</w:t>
      </w:r>
      <w:r w:rsidRPr="00201D50">
        <w:rPr>
          <w:rFonts w:ascii="Calibri" w:eastAsia="MS Mincho" w:hAnsi="Calibri" w:cs="Times New Roman"/>
          <w:lang w:val="en-US"/>
        </w:rPr>
        <w:t xml:space="preserve"> and </w:t>
      </w:r>
      <w:r>
        <w:rPr>
          <w:rFonts w:ascii="Calibri" w:eastAsia="MS Mincho" w:hAnsi="Calibri" w:cs="Times New Roman"/>
          <w:lang w:val="en-US"/>
        </w:rPr>
        <w:t>Australia</w:t>
      </w:r>
      <w:r w:rsidRPr="00201D50">
        <w:rPr>
          <w:rFonts w:ascii="Calibri" w:eastAsia="MS Mincho" w:hAnsi="Calibri" w:cs="Times New Roman"/>
          <w:lang w:val="en-US"/>
        </w:rPr>
        <w:t xml:space="preserve"> supported it with an off-take guarantee, ADB as lead financier would have the main task of ensuring </w:t>
      </w:r>
      <w:r>
        <w:rPr>
          <w:rFonts w:ascii="Calibri" w:eastAsia="MS Mincho" w:hAnsi="Calibri" w:cs="Times New Roman"/>
          <w:lang w:val="en-US"/>
        </w:rPr>
        <w:t>development impact</w:t>
      </w:r>
      <w:r w:rsidRPr="00201D50">
        <w:rPr>
          <w:rFonts w:ascii="Calibri" w:eastAsia="MS Mincho" w:hAnsi="Calibri" w:cs="Times New Roman"/>
          <w:lang w:val="en-US"/>
        </w:rPr>
        <w:t xml:space="preserve">, and </w:t>
      </w:r>
      <w:r>
        <w:rPr>
          <w:rFonts w:ascii="Calibri" w:eastAsia="MS Mincho" w:hAnsi="Calibri" w:cs="Times New Roman"/>
          <w:lang w:val="en-US"/>
        </w:rPr>
        <w:t>Australia</w:t>
      </w:r>
      <w:r w:rsidRPr="00201D50">
        <w:rPr>
          <w:rFonts w:ascii="Calibri" w:eastAsia="MS Mincho" w:hAnsi="Calibri" w:cs="Times New Roman"/>
          <w:lang w:val="en-US"/>
        </w:rPr>
        <w:t xml:space="preserve"> would assess the project as in other instances of co</w:t>
      </w:r>
      <w:r w:rsidRPr="00201D50">
        <w:rPr>
          <w:rFonts w:ascii="Calibri" w:eastAsia="MS Mincho" w:hAnsi="Calibri" w:cs="Times New Roman"/>
          <w:lang w:val="en-US"/>
        </w:rPr>
        <w:noBreakHyphen/>
        <w:t>financing with ADB, possibly supplementing with TA for M&amp;E.</w:t>
      </w:r>
    </w:p>
    <w:p w14:paraId="67036A8A" w14:textId="77777777" w:rsidR="000E0565" w:rsidRPr="00201D50" w:rsidRDefault="000E0565" w:rsidP="000E0565">
      <w:pPr>
        <w:spacing w:before="120" w:after="120" w:line="240" w:lineRule="auto"/>
        <w:ind w:left="360"/>
        <w:rPr>
          <w:rFonts w:ascii="Calibri" w:eastAsia="MS Mincho" w:hAnsi="Calibri" w:cs="Times New Roman"/>
          <w:lang w:val="en-US"/>
        </w:rPr>
      </w:pPr>
      <w:r w:rsidRPr="00201D50">
        <w:rPr>
          <w:rFonts w:ascii="Calibri" w:eastAsia="MS Mincho" w:hAnsi="Calibri" w:cs="Times New Roman"/>
          <w:lang w:val="en-US"/>
        </w:rPr>
        <w:t xml:space="preserve">As another and obvious example, if </w:t>
      </w:r>
      <w:r>
        <w:rPr>
          <w:rFonts w:ascii="Calibri" w:eastAsia="MS Mincho" w:hAnsi="Calibri" w:cs="Times New Roman"/>
          <w:lang w:val="en-US"/>
        </w:rPr>
        <w:t>Australia</w:t>
      </w:r>
      <w:r w:rsidRPr="00201D50">
        <w:rPr>
          <w:rFonts w:ascii="Calibri" w:eastAsia="MS Mincho" w:hAnsi="Calibri" w:cs="Times New Roman"/>
          <w:lang w:val="en-US"/>
        </w:rPr>
        <w:t xml:space="preserve"> financed a project to rehabilitate roads through economic corridors in </w:t>
      </w:r>
      <w:r>
        <w:rPr>
          <w:rFonts w:ascii="Calibri" w:eastAsia="MS Mincho" w:hAnsi="Calibri" w:cs="Times New Roman"/>
          <w:lang w:val="en-US"/>
        </w:rPr>
        <w:t>low-income areas of Sri Lanka</w:t>
      </w:r>
      <w:r w:rsidRPr="00201D50">
        <w:rPr>
          <w:rFonts w:ascii="Calibri" w:eastAsia="MS Mincho" w:hAnsi="Calibri" w:cs="Times New Roman"/>
          <w:lang w:val="en-US"/>
        </w:rPr>
        <w:t xml:space="preserve">, choosing to finance the project through a loan to the </w:t>
      </w:r>
      <w:r>
        <w:rPr>
          <w:rFonts w:ascii="Calibri" w:eastAsia="MS Mincho" w:hAnsi="Calibri" w:cs="Times New Roman"/>
          <w:lang w:val="en-US"/>
        </w:rPr>
        <w:t>provincial</w:t>
      </w:r>
      <w:r w:rsidRPr="00201D50">
        <w:rPr>
          <w:rFonts w:ascii="Calibri" w:eastAsia="MS Mincho" w:hAnsi="Calibri" w:cs="Times New Roman"/>
          <w:lang w:val="en-US"/>
        </w:rPr>
        <w:t xml:space="preserve"> government rather than grants, </w:t>
      </w:r>
      <w:r>
        <w:rPr>
          <w:rFonts w:ascii="Calibri" w:eastAsia="MS Mincho" w:hAnsi="Calibri" w:cs="Times New Roman"/>
          <w:lang w:val="en-US"/>
        </w:rPr>
        <w:t>Australia</w:t>
      </w:r>
      <w:r w:rsidRPr="00201D50">
        <w:rPr>
          <w:rFonts w:ascii="Calibri" w:eastAsia="MS Mincho" w:hAnsi="Calibri" w:cs="Times New Roman"/>
          <w:lang w:val="en-US"/>
        </w:rPr>
        <w:t xml:space="preserve">’s design, </w:t>
      </w:r>
      <w:proofErr w:type="gramStart"/>
      <w:r w:rsidRPr="00201D50">
        <w:rPr>
          <w:rFonts w:ascii="Calibri" w:eastAsia="MS Mincho" w:hAnsi="Calibri" w:cs="Times New Roman"/>
          <w:lang w:val="en-US"/>
        </w:rPr>
        <w:t>implementation</w:t>
      </w:r>
      <w:proofErr w:type="gramEnd"/>
      <w:r w:rsidRPr="00201D50">
        <w:rPr>
          <w:rFonts w:ascii="Calibri" w:eastAsia="MS Mincho" w:hAnsi="Calibri" w:cs="Times New Roman"/>
          <w:lang w:val="en-US"/>
        </w:rPr>
        <w:t xml:space="preserve"> and subsequent evaluation of the project would be just the same.</w:t>
      </w:r>
    </w:p>
    <w:p w14:paraId="091B21F4" w14:textId="77777777" w:rsidR="000E0565" w:rsidRPr="00201D50" w:rsidRDefault="000E0565" w:rsidP="000E0565">
      <w:pPr>
        <w:spacing w:before="120" w:after="120" w:line="240" w:lineRule="auto"/>
        <w:rPr>
          <w:rFonts w:ascii="Calibri" w:eastAsia="MS Mincho" w:hAnsi="Calibri" w:cs="Times New Roman"/>
          <w:lang w:val="en-US"/>
        </w:rPr>
      </w:pPr>
      <w:r w:rsidRPr="00201D50">
        <w:rPr>
          <w:rFonts w:ascii="Calibri" w:eastAsia="MS Mincho" w:hAnsi="Calibri" w:cs="Times New Roman"/>
          <w:b/>
          <w:lang w:val="en-US"/>
        </w:rPr>
        <w:t xml:space="preserve">If </w:t>
      </w:r>
      <w:r>
        <w:rPr>
          <w:rFonts w:ascii="Calibri" w:eastAsia="MS Mincho" w:hAnsi="Calibri" w:cs="Times New Roman"/>
          <w:b/>
          <w:lang w:val="en-US"/>
        </w:rPr>
        <w:t>Australia</w:t>
      </w:r>
      <w:r w:rsidRPr="00201D50">
        <w:rPr>
          <w:rFonts w:ascii="Calibri" w:eastAsia="MS Mincho" w:hAnsi="Calibri" w:cs="Times New Roman"/>
          <w:b/>
          <w:lang w:val="en-US"/>
        </w:rPr>
        <w:t xml:space="preserve"> participated with </w:t>
      </w:r>
      <w:r>
        <w:rPr>
          <w:rFonts w:ascii="Calibri" w:eastAsia="MS Mincho" w:hAnsi="Calibri" w:cs="Times New Roman"/>
          <w:b/>
          <w:lang w:val="en-US"/>
        </w:rPr>
        <w:t>NGF</w:t>
      </w:r>
      <w:r w:rsidRPr="00201D50">
        <w:rPr>
          <w:rFonts w:ascii="Calibri" w:eastAsia="MS Mincho" w:hAnsi="Calibri" w:cs="Times New Roman"/>
          <w:b/>
          <w:lang w:val="en-US"/>
        </w:rPr>
        <w:t xml:space="preserve"> in </w:t>
      </w:r>
      <w:r>
        <w:rPr>
          <w:rFonts w:ascii="Calibri" w:eastAsia="MS Mincho" w:hAnsi="Calibri" w:cs="Times New Roman"/>
          <w:b/>
          <w:lang w:val="en-US"/>
        </w:rPr>
        <w:t xml:space="preserve">programs </w:t>
      </w:r>
      <w:r w:rsidRPr="00201D50">
        <w:rPr>
          <w:rFonts w:ascii="Calibri" w:eastAsia="MS Mincho" w:hAnsi="Calibri" w:cs="Times New Roman"/>
          <w:b/>
          <w:lang w:val="en-US"/>
        </w:rPr>
        <w:t xml:space="preserve">with private companies, fund managers or local super/provident funds, and without an MDB as lead </w:t>
      </w:r>
      <w:r>
        <w:rPr>
          <w:rFonts w:ascii="Calibri" w:eastAsia="MS Mincho" w:hAnsi="Calibri" w:cs="Times New Roman"/>
          <w:b/>
          <w:lang w:val="en-US"/>
        </w:rPr>
        <w:t>financier</w:t>
      </w:r>
      <w:r w:rsidRPr="00201D50">
        <w:rPr>
          <w:rFonts w:ascii="Calibri" w:eastAsia="MS Mincho" w:hAnsi="Calibri" w:cs="Times New Roman"/>
          <w:b/>
          <w:lang w:val="en-US"/>
        </w:rPr>
        <w:t xml:space="preserve">, ensuring </w:t>
      </w:r>
      <w:r>
        <w:rPr>
          <w:rFonts w:ascii="Calibri" w:eastAsia="MS Mincho" w:hAnsi="Calibri" w:cs="Times New Roman"/>
          <w:b/>
          <w:lang w:val="en-US"/>
        </w:rPr>
        <w:t xml:space="preserve">development impact </w:t>
      </w:r>
      <w:r w:rsidRPr="00201D50">
        <w:rPr>
          <w:rFonts w:ascii="Calibri" w:eastAsia="MS Mincho" w:hAnsi="Calibri" w:cs="Times New Roman"/>
          <w:b/>
          <w:lang w:val="en-US"/>
        </w:rPr>
        <w:t xml:space="preserve">could involve larger tasks for </w:t>
      </w:r>
      <w:r>
        <w:rPr>
          <w:rFonts w:ascii="Calibri" w:eastAsia="MS Mincho" w:hAnsi="Calibri" w:cs="Times New Roman"/>
          <w:b/>
          <w:lang w:val="en-US"/>
        </w:rPr>
        <w:t>Australia’s development-assistance officials.</w:t>
      </w:r>
    </w:p>
    <w:p w14:paraId="70F23DBE" w14:textId="77777777" w:rsidR="000E0565" w:rsidRPr="00201D50" w:rsidRDefault="000E0565" w:rsidP="000E0565">
      <w:pPr>
        <w:spacing w:before="120" w:after="120" w:line="240" w:lineRule="auto"/>
        <w:ind w:left="360"/>
        <w:rPr>
          <w:rFonts w:ascii="Calibri" w:eastAsia="MS Mincho" w:hAnsi="Calibri" w:cs="Times New Roman"/>
          <w:lang w:val="en-US"/>
        </w:rPr>
      </w:pPr>
      <w:r>
        <w:rPr>
          <w:rFonts w:ascii="Calibri" w:eastAsia="MS Mincho" w:hAnsi="Calibri" w:cs="Times New Roman"/>
          <w:lang w:val="en-US"/>
        </w:rPr>
        <w:t>Australia’s</w:t>
      </w:r>
      <w:r w:rsidRPr="00201D50">
        <w:rPr>
          <w:rFonts w:ascii="Calibri" w:eastAsia="MS Mincho" w:hAnsi="Calibri" w:cs="Times New Roman"/>
          <w:lang w:val="en-US"/>
        </w:rPr>
        <w:t xml:space="preserve"> policies and safeguards are excellent and the envy of many of its peers, including those on the importance of gender equity, and protections around child exploitation, whistleblowing, sexual </w:t>
      </w:r>
      <w:proofErr w:type="gramStart"/>
      <w:r w:rsidRPr="00201D50">
        <w:rPr>
          <w:rFonts w:ascii="Calibri" w:eastAsia="MS Mincho" w:hAnsi="Calibri" w:cs="Times New Roman"/>
          <w:lang w:val="en-US"/>
        </w:rPr>
        <w:t>harassment</w:t>
      </w:r>
      <w:proofErr w:type="gramEnd"/>
      <w:r w:rsidRPr="00201D50">
        <w:rPr>
          <w:rFonts w:ascii="Calibri" w:eastAsia="MS Mincho" w:hAnsi="Calibri" w:cs="Times New Roman"/>
          <w:lang w:val="en-US"/>
        </w:rPr>
        <w:t xml:space="preserve"> and the environment. To ensure development impact is achieved, these principles and policies must be applied throughout </w:t>
      </w:r>
      <w:r>
        <w:rPr>
          <w:rFonts w:ascii="Calibri" w:eastAsia="MS Mincho" w:hAnsi="Calibri" w:cs="Times New Roman"/>
          <w:lang w:val="en-US"/>
        </w:rPr>
        <w:t>p</w:t>
      </w:r>
      <w:r w:rsidRPr="00201D50">
        <w:rPr>
          <w:rFonts w:ascii="Calibri" w:eastAsia="MS Mincho" w:hAnsi="Calibri" w:cs="Times New Roman"/>
          <w:lang w:val="en-US"/>
        </w:rPr>
        <w:t xml:space="preserve">roject </w:t>
      </w:r>
      <w:r>
        <w:rPr>
          <w:rFonts w:ascii="Calibri" w:eastAsia="MS Mincho" w:hAnsi="Calibri" w:cs="Times New Roman"/>
          <w:lang w:val="en-US"/>
        </w:rPr>
        <w:t>d</w:t>
      </w:r>
      <w:r w:rsidRPr="00201D50">
        <w:rPr>
          <w:rFonts w:ascii="Calibri" w:eastAsia="MS Mincho" w:hAnsi="Calibri" w:cs="Times New Roman"/>
          <w:lang w:val="en-US"/>
        </w:rPr>
        <w:t xml:space="preserve">esign, </w:t>
      </w:r>
      <w:r>
        <w:rPr>
          <w:rFonts w:ascii="Calibri" w:eastAsia="MS Mincho" w:hAnsi="Calibri" w:cs="Times New Roman"/>
          <w:lang w:val="en-US"/>
        </w:rPr>
        <w:t>p</w:t>
      </w:r>
      <w:r w:rsidRPr="00201D50">
        <w:rPr>
          <w:rFonts w:ascii="Calibri" w:eastAsia="MS Mincho" w:hAnsi="Calibri" w:cs="Times New Roman"/>
          <w:lang w:val="en-US"/>
        </w:rPr>
        <w:t xml:space="preserve">rocurement, </w:t>
      </w:r>
      <w:r>
        <w:rPr>
          <w:rFonts w:ascii="Calibri" w:eastAsia="MS Mincho" w:hAnsi="Calibri" w:cs="Times New Roman"/>
          <w:lang w:val="en-US"/>
        </w:rPr>
        <w:t>c</w:t>
      </w:r>
      <w:r w:rsidRPr="00201D50">
        <w:rPr>
          <w:rFonts w:ascii="Calibri" w:eastAsia="MS Mincho" w:hAnsi="Calibri" w:cs="Times New Roman"/>
          <w:lang w:val="en-US"/>
        </w:rPr>
        <w:t xml:space="preserve">onstruction, </w:t>
      </w:r>
      <w:r>
        <w:rPr>
          <w:rFonts w:ascii="Calibri" w:eastAsia="MS Mincho" w:hAnsi="Calibri" w:cs="Times New Roman"/>
          <w:lang w:val="en-US"/>
        </w:rPr>
        <w:t>o</w:t>
      </w:r>
      <w:r w:rsidRPr="00201D50">
        <w:rPr>
          <w:rFonts w:ascii="Calibri" w:eastAsia="MS Mincho" w:hAnsi="Calibri" w:cs="Times New Roman"/>
          <w:lang w:val="en-US"/>
        </w:rPr>
        <w:t>peration</w:t>
      </w:r>
      <w:r>
        <w:rPr>
          <w:rFonts w:ascii="Calibri" w:eastAsia="MS Mincho" w:hAnsi="Calibri" w:cs="Times New Roman"/>
          <w:lang w:val="en-US"/>
        </w:rPr>
        <w:t>,</w:t>
      </w:r>
      <w:r w:rsidRPr="00201D50">
        <w:rPr>
          <w:rFonts w:ascii="Calibri" w:eastAsia="MS Mincho" w:hAnsi="Calibri" w:cs="Times New Roman"/>
          <w:lang w:val="en-US"/>
        </w:rPr>
        <w:t xml:space="preserve"> </w:t>
      </w:r>
      <w:proofErr w:type="gramStart"/>
      <w:r>
        <w:rPr>
          <w:rFonts w:ascii="Calibri" w:eastAsia="MS Mincho" w:hAnsi="Calibri" w:cs="Times New Roman"/>
          <w:lang w:val="en-US"/>
        </w:rPr>
        <w:t>m</w:t>
      </w:r>
      <w:r w:rsidRPr="00201D50">
        <w:rPr>
          <w:rFonts w:ascii="Calibri" w:eastAsia="MS Mincho" w:hAnsi="Calibri" w:cs="Times New Roman"/>
          <w:lang w:val="en-US"/>
        </w:rPr>
        <w:t>aintenance</w:t>
      </w:r>
      <w:proofErr w:type="gramEnd"/>
      <w:r w:rsidRPr="00201D50">
        <w:rPr>
          <w:rFonts w:ascii="Calibri" w:eastAsia="MS Mincho" w:hAnsi="Calibri" w:cs="Times New Roman"/>
          <w:lang w:val="en-US"/>
        </w:rPr>
        <w:t xml:space="preserve"> and </w:t>
      </w:r>
      <w:r>
        <w:rPr>
          <w:rFonts w:ascii="Calibri" w:eastAsia="MS Mincho" w:hAnsi="Calibri" w:cs="Times New Roman"/>
          <w:lang w:val="en-US"/>
        </w:rPr>
        <w:t>M&amp;E</w:t>
      </w:r>
      <w:r w:rsidRPr="00201D50">
        <w:rPr>
          <w:rFonts w:ascii="Calibri" w:eastAsia="MS Mincho" w:hAnsi="Calibri" w:cs="Times New Roman"/>
          <w:lang w:val="en-US"/>
        </w:rPr>
        <w:t>.</w:t>
      </w:r>
      <w:r w:rsidRPr="00A94002">
        <w:rPr>
          <w:rFonts w:ascii="Calibri" w:eastAsia="MS Mincho" w:hAnsi="Calibri" w:cs="Times New Roman"/>
          <w:vertAlign w:val="superscript"/>
          <w:lang w:val="en-US"/>
        </w:rPr>
        <w:t xml:space="preserve"> </w:t>
      </w:r>
      <w:r w:rsidRPr="00201D50">
        <w:rPr>
          <w:rFonts w:ascii="Calibri" w:eastAsia="MS Mincho" w:hAnsi="Calibri" w:cs="Times New Roman"/>
          <w:vertAlign w:val="superscript"/>
          <w:lang w:val="en-US"/>
        </w:rPr>
        <w:footnoteReference w:id="38"/>
      </w:r>
    </w:p>
    <w:p w14:paraId="18379365" w14:textId="77777777" w:rsidR="000E0565" w:rsidRPr="00201D50" w:rsidRDefault="000E0565" w:rsidP="000E0565">
      <w:pPr>
        <w:spacing w:before="120" w:after="120" w:line="240" w:lineRule="auto"/>
        <w:ind w:left="360"/>
        <w:rPr>
          <w:rFonts w:ascii="Calibri" w:eastAsia="MS Mincho" w:hAnsi="Calibri" w:cs="Times New Roman"/>
          <w:lang w:val="en-US"/>
        </w:rPr>
      </w:pPr>
      <w:r w:rsidRPr="00201D50">
        <w:rPr>
          <w:rFonts w:ascii="Calibri" w:eastAsia="MS Mincho" w:hAnsi="Calibri" w:cs="Times New Roman"/>
          <w:lang w:val="en-US"/>
        </w:rPr>
        <w:t xml:space="preserve">Where </w:t>
      </w:r>
      <w:r>
        <w:rPr>
          <w:rFonts w:ascii="Calibri" w:eastAsia="MS Mincho" w:hAnsi="Calibri" w:cs="Times New Roman"/>
          <w:lang w:val="en-US"/>
        </w:rPr>
        <w:t>Australia</w:t>
      </w:r>
      <w:r w:rsidRPr="00201D50">
        <w:rPr>
          <w:rFonts w:ascii="Calibri" w:eastAsia="MS Mincho" w:hAnsi="Calibri" w:cs="Times New Roman"/>
          <w:lang w:val="en-US"/>
        </w:rPr>
        <w:t xml:space="preserve"> relie</w:t>
      </w:r>
      <w:r>
        <w:rPr>
          <w:rFonts w:ascii="Calibri" w:eastAsia="MS Mincho" w:hAnsi="Calibri" w:cs="Times New Roman"/>
          <w:lang w:val="en-US"/>
        </w:rPr>
        <w:t>d</w:t>
      </w:r>
      <w:r w:rsidRPr="00201D50">
        <w:rPr>
          <w:rFonts w:ascii="Calibri" w:eastAsia="MS Mincho" w:hAnsi="Calibri" w:cs="Times New Roman"/>
          <w:lang w:val="en-US"/>
        </w:rPr>
        <w:t xml:space="preserve"> on a project lead</w:t>
      </w:r>
      <w:r>
        <w:rPr>
          <w:rFonts w:ascii="Calibri" w:eastAsia="MS Mincho" w:hAnsi="Calibri" w:cs="Times New Roman"/>
          <w:lang w:val="en-US"/>
        </w:rPr>
        <w:t>er</w:t>
      </w:r>
      <w:r w:rsidRPr="00201D50">
        <w:rPr>
          <w:rFonts w:ascii="Calibri" w:eastAsia="MS Mincho" w:hAnsi="Calibri" w:cs="Times New Roman"/>
          <w:lang w:val="en-US"/>
        </w:rPr>
        <w:t xml:space="preserve"> that </w:t>
      </w:r>
      <w:r>
        <w:rPr>
          <w:rFonts w:ascii="Calibri" w:eastAsia="MS Mincho" w:hAnsi="Calibri" w:cs="Times New Roman"/>
          <w:lang w:val="en-US"/>
        </w:rPr>
        <w:t>wa</w:t>
      </w:r>
      <w:r w:rsidRPr="00201D50">
        <w:rPr>
          <w:rFonts w:ascii="Calibri" w:eastAsia="MS Mincho" w:hAnsi="Calibri" w:cs="Times New Roman"/>
          <w:lang w:val="en-US"/>
        </w:rPr>
        <w:t>s not a</w:t>
      </w:r>
      <w:r>
        <w:rPr>
          <w:rFonts w:ascii="Calibri" w:eastAsia="MS Mincho" w:hAnsi="Calibri" w:cs="Times New Roman"/>
          <w:lang w:val="en-US"/>
        </w:rPr>
        <w:t>n</w:t>
      </w:r>
      <w:r w:rsidRPr="00201D50">
        <w:rPr>
          <w:rFonts w:ascii="Calibri" w:eastAsia="MS Mincho" w:hAnsi="Calibri" w:cs="Times New Roman"/>
          <w:lang w:val="en-US"/>
        </w:rPr>
        <w:t xml:space="preserve"> M</w:t>
      </w:r>
      <w:r>
        <w:rPr>
          <w:rFonts w:ascii="Calibri" w:eastAsia="MS Mincho" w:hAnsi="Calibri" w:cs="Times New Roman"/>
          <w:lang w:val="en-US"/>
        </w:rPr>
        <w:t>D</w:t>
      </w:r>
      <w:r w:rsidRPr="00201D50">
        <w:rPr>
          <w:rFonts w:ascii="Calibri" w:eastAsia="MS Mincho" w:hAnsi="Calibri" w:cs="Times New Roman"/>
          <w:lang w:val="en-US"/>
        </w:rPr>
        <w:t xml:space="preserve">B or </w:t>
      </w:r>
      <w:r>
        <w:rPr>
          <w:rFonts w:ascii="Calibri" w:eastAsia="MS Mincho" w:hAnsi="Calibri" w:cs="Times New Roman"/>
          <w:lang w:val="en-US"/>
        </w:rPr>
        <w:t xml:space="preserve">a </w:t>
      </w:r>
      <w:r w:rsidRPr="00201D50">
        <w:rPr>
          <w:rFonts w:ascii="Calibri" w:eastAsia="MS Mincho" w:hAnsi="Calibri" w:cs="Times New Roman"/>
          <w:lang w:val="en-US"/>
        </w:rPr>
        <w:t xml:space="preserve">reputable multinational corporation, or where </w:t>
      </w:r>
      <w:r>
        <w:rPr>
          <w:rFonts w:ascii="Calibri" w:eastAsia="MS Mincho" w:hAnsi="Calibri" w:cs="Times New Roman"/>
          <w:lang w:val="en-US"/>
        </w:rPr>
        <w:t>Australia</w:t>
      </w:r>
      <w:r w:rsidRPr="00201D50">
        <w:rPr>
          <w:rFonts w:ascii="Calibri" w:eastAsia="MS Mincho" w:hAnsi="Calibri" w:cs="Times New Roman"/>
          <w:lang w:val="en-US"/>
        </w:rPr>
        <w:t xml:space="preserve"> </w:t>
      </w:r>
      <w:r>
        <w:rPr>
          <w:rFonts w:ascii="Calibri" w:eastAsia="MS Mincho" w:hAnsi="Calibri" w:cs="Times New Roman"/>
          <w:lang w:val="en-US"/>
        </w:rPr>
        <w:t>took</w:t>
      </w:r>
      <w:r w:rsidRPr="00201D50">
        <w:rPr>
          <w:rFonts w:ascii="Calibri" w:eastAsia="MS Mincho" w:hAnsi="Calibri" w:cs="Times New Roman"/>
          <w:lang w:val="en-US"/>
        </w:rPr>
        <w:t xml:space="preserve"> </w:t>
      </w:r>
      <w:r>
        <w:rPr>
          <w:rFonts w:ascii="Calibri" w:eastAsia="MS Mincho" w:hAnsi="Calibri" w:cs="Times New Roman"/>
          <w:lang w:val="en-US"/>
        </w:rPr>
        <w:t>the</w:t>
      </w:r>
      <w:r w:rsidRPr="00201D50">
        <w:rPr>
          <w:rFonts w:ascii="Calibri" w:eastAsia="MS Mincho" w:hAnsi="Calibri" w:cs="Times New Roman"/>
          <w:lang w:val="en-US"/>
        </w:rPr>
        <w:t xml:space="preserve"> lead role in the transaction, then the responsibility for embedding practices </w:t>
      </w:r>
      <w:r>
        <w:rPr>
          <w:rFonts w:ascii="Calibri" w:eastAsia="MS Mincho" w:hAnsi="Calibri" w:cs="Times New Roman"/>
          <w:lang w:val="en-US"/>
        </w:rPr>
        <w:t>to</w:t>
      </w:r>
      <w:r w:rsidRPr="00201D50">
        <w:rPr>
          <w:rFonts w:ascii="Calibri" w:eastAsia="MS Mincho" w:hAnsi="Calibri" w:cs="Times New Roman"/>
          <w:lang w:val="en-US"/>
        </w:rPr>
        <w:t xml:space="preserve"> ensure </w:t>
      </w:r>
      <w:r>
        <w:rPr>
          <w:rFonts w:ascii="Calibri" w:eastAsia="MS Mincho" w:hAnsi="Calibri" w:cs="Times New Roman"/>
          <w:lang w:val="en-US"/>
        </w:rPr>
        <w:t>development impact</w:t>
      </w:r>
      <w:r w:rsidRPr="00201D50">
        <w:rPr>
          <w:rFonts w:ascii="Calibri" w:eastAsia="MS Mincho" w:hAnsi="Calibri" w:cs="Times New Roman"/>
          <w:lang w:val="en-US"/>
        </w:rPr>
        <w:t xml:space="preserve"> would fall to </w:t>
      </w:r>
      <w:r>
        <w:rPr>
          <w:rFonts w:ascii="Calibri" w:eastAsia="MS Mincho" w:hAnsi="Calibri" w:cs="Times New Roman"/>
          <w:lang w:val="en-US"/>
        </w:rPr>
        <w:t>Australia</w:t>
      </w:r>
      <w:r w:rsidRPr="00201D50">
        <w:rPr>
          <w:rFonts w:ascii="Calibri" w:eastAsia="MS Mincho" w:hAnsi="Calibri" w:cs="Times New Roman"/>
          <w:lang w:val="en-US"/>
        </w:rPr>
        <w:t>, directly or through its specialist advisers.</w:t>
      </w:r>
    </w:p>
    <w:p w14:paraId="271E366D" w14:textId="77777777" w:rsidR="000E0565" w:rsidRPr="00201D50" w:rsidRDefault="000E0565" w:rsidP="000E0565">
      <w:pPr>
        <w:spacing w:before="120" w:after="120" w:line="240" w:lineRule="auto"/>
        <w:ind w:left="360"/>
        <w:rPr>
          <w:rFonts w:ascii="Calibri" w:eastAsia="MS Mincho" w:hAnsi="Calibri" w:cs="Times New Roman"/>
          <w:lang w:val="en-US"/>
        </w:rPr>
      </w:pPr>
      <w:r w:rsidRPr="00201D50">
        <w:rPr>
          <w:rFonts w:ascii="Calibri" w:eastAsia="MS Mincho" w:hAnsi="Calibri" w:cs="Times New Roman"/>
          <w:lang w:val="en-US"/>
        </w:rPr>
        <w:t xml:space="preserve">For example, if </w:t>
      </w:r>
      <w:r>
        <w:rPr>
          <w:rFonts w:ascii="Calibri" w:eastAsia="MS Mincho" w:hAnsi="Calibri" w:cs="Times New Roman"/>
          <w:lang w:val="en-US"/>
        </w:rPr>
        <w:t>Australia</w:t>
      </w:r>
      <w:r w:rsidRPr="00201D50">
        <w:rPr>
          <w:rFonts w:ascii="Calibri" w:eastAsia="MS Mincho" w:hAnsi="Calibri" w:cs="Times New Roman"/>
          <w:lang w:val="en-US"/>
        </w:rPr>
        <w:t xml:space="preserve"> were considering supporting an IPP project developed by an international company in negotiation with a government-owned utility, with the lead financier being the company’s commercial bank and other banks taking small syndications, there would be a major task for </w:t>
      </w:r>
      <w:r>
        <w:rPr>
          <w:rFonts w:ascii="Calibri" w:eastAsia="MS Mincho" w:hAnsi="Calibri" w:cs="Times New Roman"/>
          <w:lang w:val="en-US"/>
        </w:rPr>
        <w:t>Australia</w:t>
      </w:r>
      <w:r w:rsidRPr="00201D50">
        <w:rPr>
          <w:rFonts w:ascii="Calibri" w:eastAsia="MS Mincho" w:hAnsi="Calibri" w:cs="Times New Roman"/>
          <w:lang w:val="en-US"/>
        </w:rPr>
        <w:t xml:space="preserve"> in assessing the project </w:t>
      </w:r>
      <w:r w:rsidRPr="00201D50">
        <w:rPr>
          <w:rFonts w:ascii="Calibri" w:eastAsia="MS Mincho" w:hAnsi="Calibri" w:cs="Times New Roman"/>
          <w:i/>
          <w:lang w:val="en-US"/>
        </w:rPr>
        <w:t>ex ante</w:t>
      </w:r>
      <w:r w:rsidRPr="00201D50">
        <w:rPr>
          <w:rFonts w:ascii="Calibri" w:eastAsia="MS Mincho" w:hAnsi="Calibri" w:cs="Times New Roman"/>
          <w:lang w:val="en-US"/>
        </w:rPr>
        <w:t xml:space="preserve">. If </w:t>
      </w:r>
      <w:r>
        <w:rPr>
          <w:rFonts w:ascii="Calibri" w:eastAsia="MS Mincho" w:hAnsi="Calibri" w:cs="Times New Roman"/>
          <w:lang w:val="en-US"/>
        </w:rPr>
        <w:t>Australia</w:t>
      </w:r>
      <w:r w:rsidRPr="00201D50">
        <w:rPr>
          <w:rFonts w:ascii="Calibri" w:eastAsia="MS Mincho" w:hAnsi="Calibri" w:cs="Times New Roman"/>
          <w:lang w:val="en-US"/>
        </w:rPr>
        <w:t xml:space="preserve"> went ahead as, say, a part-guarantor of offtake, it would quite likely need to provide TA for M&amp;E of a kind which neither the company nor the utility would have a strong motive for undertaking.</w:t>
      </w:r>
    </w:p>
    <w:p w14:paraId="4D1AB7EF" w14:textId="58F437C3" w:rsidR="000E0565" w:rsidRPr="00201D50" w:rsidRDefault="000E0565" w:rsidP="000E0565">
      <w:pPr>
        <w:spacing w:before="120" w:after="120" w:line="240" w:lineRule="auto"/>
        <w:ind w:left="360"/>
        <w:rPr>
          <w:rFonts w:ascii="Calibri" w:eastAsia="MS Mincho" w:hAnsi="Calibri" w:cs="Times New Roman"/>
          <w:lang w:val="en-US"/>
        </w:rPr>
      </w:pPr>
      <w:r w:rsidRPr="00201D50">
        <w:rPr>
          <w:rFonts w:ascii="Calibri" w:eastAsia="MS Mincho" w:hAnsi="Calibri" w:cs="Times New Roman"/>
          <w:lang w:val="en-US"/>
        </w:rPr>
        <w:lastRenderedPageBreak/>
        <w:t xml:space="preserve">The design and procurement process for the role of Manager of </w:t>
      </w:r>
      <w:r>
        <w:rPr>
          <w:rFonts w:ascii="Calibri" w:eastAsia="MS Mincho" w:hAnsi="Calibri" w:cs="Times New Roman"/>
          <w:lang w:val="en-US"/>
        </w:rPr>
        <w:t xml:space="preserve">the </w:t>
      </w:r>
      <w:r w:rsidRPr="00201D50">
        <w:rPr>
          <w:rFonts w:ascii="Calibri" w:eastAsia="MS Mincho" w:hAnsi="Calibri" w:cs="Times New Roman"/>
          <w:lang w:val="en-US"/>
        </w:rPr>
        <w:t>E</w:t>
      </w:r>
      <w:r>
        <w:rPr>
          <w:rFonts w:ascii="Calibri" w:eastAsia="MS Mincho" w:hAnsi="Calibri" w:cs="Times New Roman"/>
          <w:lang w:val="en-US"/>
        </w:rPr>
        <w:t xml:space="preserve">merging </w:t>
      </w:r>
      <w:r w:rsidRPr="00201D50">
        <w:rPr>
          <w:rFonts w:ascii="Calibri" w:eastAsia="MS Mincho" w:hAnsi="Calibri" w:cs="Times New Roman"/>
          <w:lang w:val="en-US"/>
        </w:rPr>
        <w:t>M</w:t>
      </w:r>
      <w:r>
        <w:rPr>
          <w:rFonts w:ascii="Calibri" w:eastAsia="MS Mincho" w:hAnsi="Calibri" w:cs="Times New Roman"/>
          <w:lang w:val="en-US"/>
        </w:rPr>
        <w:t>arket</w:t>
      </w:r>
      <w:r w:rsidR="00350EDE">
        <w:rPr>
          <w:rFonts w:ascii="Calibri" w:eastAsia="MS Mincho" w:hAnsi="Calibri" w:cs="Times New Roman"/>
          <w:lang w:val="en-US"/>
        </w:rPr>
        <w:t>s</w:t>
      </w:r>
      <w:r>
        <w:rPr>
          <w:rFonts w:ascii="Calibri" w:eastAsia="MS Mincho" w:hAnsi="Calibri" w:cs="Times New Roman"/>
          <w:lang w:val="en-US"/>
        </w:rPr>
        <w:t xml:space="preserve"> </w:t>
      </w:r>
      <w:r w:rsidRPr="00201D50">
        <w:rPr>
          <w:rFonts w:ascii="Calibri" w:eastAsia="MS Mincho" w:hAnsi="Calibri" w:cs="Times New Roman"/>
          <w:lang w:val="en-US"/>
        </w:rPr>
        <w:t>I</w:t>
      </w:r>
      <w:r>
        <w:rPr>
          <w:rFonts w:ascii="Calibri" w:eastAsia="MS Mincho" w:hAnsi="Calibri" w:cs="Times New Roman"/>
          <w:lang w:val="en-US"/>
        </w:rPr>
        <w:t xml:space="preserve">mpact </w:t>
      </w:r>
      <w:r w:rsidRPr="00201D50">
        <w:rPr>
          <w:rFonts w:ascii="Calibri" w:eastAsia="MS Mincho" w:hAnsi="Calibri" w:cs="Times New Roman"/>
          <w:lang w:val="en-US"/>
        </w:rPr>
        <w:t>I</w:t>
      </w:r>
      <w:r>
        <w:rPr>
          <w:rFonts w:ascii="Calibri" w:eastAsia="MS Mincho" w:hAnsi="Calibri" w:cs="Times New Roman"/>
          <w:lang w:val="en-US"/>
        </w:rPr>
        <w:t xml:space="preserve">nvestment </w:t>
      </w:r>
      <w:r w:rsidRPr="00201D50">
        <w:rPr>
          <w:rFonts w:ascii="Calibri" w:eastAsia="MS Mincho" w:hAnsi="Calibri" w:cs="Times New Roman"/>
          <w:lang w:val="en-US"/>
        </w:rPr>
        <w:t>F</w:t>
      </w:r>
      <w:r>
        <w:rPr>
          <w:rFonts w:ascii="Calibri" w:eastAsia="MS Mincho" w:hAnsi="Calibri" w:cs="Times New Roman"/>
          <w:lang w:val="en-US"/>
        </w:rPr>
        <w:t>und (EMIIF)</w:t>
      </w:r>
      <w:r w:rsidRPr="00201D50">
        <w:rPr>
          <w:rFonts w:ascii="Calibri" w:eastAsia="MS Mincho" w:hAnsi="Calibri" w:cs="Times New Roman"/>
          <w:lang w:val="en-US"/>
        </w:rPr>
        <w:t xml:space="preserve"> has demonstrated the challenge of applying non-negotiable standards </w:t>
      </w:r>
      <w:r>
        <w:rPr>
          <w:rFonts w:ascii="Calibri" w:eastAsia="MS Mincho" w:hAnsi="Calibri" w:cs="Times New Roman"/>
          <w:lang w:val="en-US"/>
        </w:rPr>
        <w:t>to EMIIF’s investee funds where DFAT will be a minority funder</w:t>
      </w:r>
      <w:r w:rsidRPr="00201D50">
        <w:rPr>
          <w:rFonts w:ascii="Calibri" w:eastAsia="MS Mincho" w:hAnsi="Calibri" w:cs="Times New Roman"/>
          <w:lang w:val="en-US"/>
        </w:rPr>
        <w:t>. Considerable TA is likely to be needed (over and above project cost) in the form of training and M&amp;E.</w:t>
      </w:r>
    </w:p>
    <w:p w14:paraId="150F187B" w14:textId="77777777" w:rsidR="000E0565" w:rsidRPr="00201D50" w:rsidRDefault="000E0565" w:rsidP="000E0565">
      <w:pPr>
        <w:spacing w:before="120" w:after="120" w:line="240" w:lineRule="auto"/>
        <w:rPr>
          <w:rFonts w:ascii="Calibri" w:eastAsia="MS Mincho" w:hAnsi="Calibri" w:cs="Times New Roman"/>
          <w:b/>
          <w:lang w:val="en-US"/>
        </w:rPr>
      </w:pPr>
      <w:r w:rsidRPr="00201D50">
        <w:rPr>
          <w:rFonts w:ascii="Calibri" w:eastAsia="MS Mincho" w:hAnsi="Calibri" w:cs="Times New Roman"/>
          <w:b/>
          <w:lang w:val="en-US"/>
        </w:rPr>
        <w:t xml:space="preserve">But the need for additional measures to ensure </w:t>
      </w:r>
      <w:r>
        <w:rPr>
          <w:rFonts w:ascii="Calibri" w:eastAsia="MS Mincho" w:hAnsi="Calibri" w:cs="Times New Roman"/>
          <w:b/>
          <w:lang w:val="en-US"/>
        </w:rPr>
        <w:t>development impact</w:t>
      </w:r>
      <w:r w:rsidRPr="00201D50">
        <w:rPr>
          <w:rFonts w:ascii="Calibri" w:eastAsia="MS Mincho" w:hAnsi="Calibri" w:cs="Times New Roman"/>
          <w:b/>
          <w:lang w:val="en-US"/>
        </w:rPr>
        <w:t xml:space="preserve"> would vary </w:t>
      </w:r>
      <w:r>
        <w:rPr>
          <w:rFonts w:ascii="Calibri" w:eastAsia="MS Mincho" w:hAnsi="Calibri" w:cs="Times New Roman"/>
          <w:b/>
          <w:lang w:val="en-US"/>
        </w:rPr>
        <w:t>with</w:t>
      </w:r>
      <w:r w:rsidRPr="00201D50">
        <w:rPr>
          <w:rFonts w:ascii="Calibri" w:eastAsia="MS Mincho" w:hAnsi="Calibri" w:cs="Times New Roman"/>
          <w:b/>
          <w:lang w:val="en-US"/>
        </w:rPr>
        <w:t xml:space="preserve"> situation</w:t>
      </w:r>
      <w:r>
        <w:rPr>
          <w:rFonts w:ascii="Calibri" w:eastAsia="MS Mincho" w:hAnsi="Calibri" w:cs="Times New Roman"/>
          <w:b/>
          <w:lang w:val="en-US"/>
        </w:rPr>
        <w:t>s</w:t>
      </w:r>
      <w:r w:rsidRPr="00201D50">
        <w:rPr>
          <w:rFonts w:ascii="Calibri" w:eastAsia="MS Mincho" w:hAnsi="Calibri" w:cs="Times New Roman"/>
          <w:b/>
          <w:lang w:val="en-US"/>
        </w:rPr>
        <w:t xml:space="preserve">. </w:t>
      </w:r>
    </w:p>
    <w:p w14:paraId="7F2AD330" w14:textId="77777777" w:rsidR="000E0565" w:rsidRPr="00201D50" w:rsidRDefault="000E0565" w:rsidP="000E0565">
      <w:pPr>
        <w:spacing w:before="120" w:after="120" w:line="240" w:lineRule="auto"/>
        <w:ind w:left="360"/>
        <w:rPr>
          <w:rFonts w:ascii="Calibri" w:eastAsia="MS Mincho" w:hAnsi="Calibri" w:cs="Times New Roman"/>
          <w:lang w:val="en-US"/>
        </w:rPr>
      </w:pPr>
      <w:r w:rsidRPr="00201D50">
        <w:rPr>
          <w:rFonts w:ascii="Calibri" w:eastAsia="MS Mincho" w:hAnsi="Calibri" w:cs="Times New Roman"/>
          <w:lang w:val="en-US"/>
        </w:rPr>
        <w:t xml:space="preserve">For example, if a major PNG super fund wanted </w:t>
      </w:r>
      <w:r>
        <w:rPr>
          <w:rFonts w:ascii="Calibri" w:eastAsia="MS Mincho" w:hAnsi="Calibri" w:cs="Times New Roman"/>
          <w:lang w:val="en-US"/>
        </w:rPr>
        <w:t>Australia</w:t>
      </w:r>
      <w:r w:rsidRPr="00201D50">
        <w:rPr>
          <w:rFonts w:ascii="Calibri" w:eastAsia="MS Mincho" w:hAnsi="Calibri" w:cs="Times New Roman"/>
          <w:lang w:val="en-US"/>
        </w:rPr>
        <w:t xml:space="preserve"> to co-invest in an agricultural business with an excellent track record in innovative development and plans for further expansion, assessment of </w:t>
      </w:r>
      <w:r w:rsidRPr="005C37D1">
        <w:rPr>
          <w:rFonts w:ascii="Calibri" w:eastAsia="MS Mincho" w:hAnsi="Calibri" w:cs="Times New Roman"/>
          <w:lang w:val="en-US"/>
        </w:rPr>
        <w:t xml:space="preserve">development impact </w:t>
      </w:r>
      <w:r w:rsidRPr="00201D50">
        <w:rPr>
          <w:rFonts w:ascii="Calibri" w:eastAsia="MS Mincho" w:hAnsi="Calibri" w:cs="Times New Roman"/>
          <w:lang w:val="en-US"/>
        </w:rPr>
        <w:t>would be straightforward and in line with work currently done by officials at the post</w:t>
      </w:r>
      <w:r>
        <w:rPr>
          <w:rFonts w:ascii="Calibri" w:eastAsia="MS Mincho" w:hAnsi="Calibri" w:cs="Times New Roman"/>
          <w:lang w:val="en-US"/>
        </w:rPr>
        <w:t>,</w:t>
      </w:r>
      <w:r w:rsidRPr="00201D50">
        <w:rPr>
          <w:rFonts w:ascii="Calibri" w:eastAsia="MS Mincho" w:hAnsi="Calibri" w:cs="Times New Roman"/>
          <w:lang w:val="en-US"/>
        </w:rPr>
        <w:t xml:space="preserve"> although structuring the co</w:t>
      </w:r>
      <w:r w:rsidRPr="00201D50">
        <w:rPr>
          <w:rFonts w:ascii="Calibri" w:eastAsia="MS Mincho" w:hAnsi="Calibri" w:cs="Times New Roman"/>
          <w:lang w:val="en-US"/>
        </w:rPr>
        <w:noBreakHyphen/>
        <w:t xml:space="preserve">investment would be a </w:t>
      </w:r>
      <w:r>
        <w:rPr>
          <w:rFonts w:ascii="Calibri" w:eastAsia="MS Mincho" w:hAnsi="Calibri" w:cs="Times New Roman"/>
          <w:lang w:val="en-US"/>
        </w:rPr>
        <w:t>specialist task</w:t>
      </w:r>
      <w:r w:rsidRPr="00201D50">
        <w:rPr>
          <w:rFonts w:ascii="Calibri" w:eastAsia="MS Mincho" w:hAnsi="Calibri" w:cs="Times New Roman"/>
          <w:lang w:val="en-US"/>
        </w:rPr>
        <w:t>.</w:t>
      </w:r>
    </w:p>
    <w:p w14:paraId="28F4D498" w14:textId="77777777" w:rsidR="000E0565" w:rsidRPr="00201D50" w:rsidRDefault="000E0565" w:rsidP="000E0565">
      <w:pPr>
        <w:spacing w:before="120" w:after="120" w:line="240" w:lineRule="auto"/>
        <w:ind w:left="360"/>
        <w:rPr>
          <w:rFonts w:ascii="Calibri" w:eastAsia="MS Mincho" w:hAnsi="Calibri" w:cs="Times New Roman"/>
          <w:lang w:val="en-US"/>
        </w:rPr>
      </w:pPr>
      <w:r w:rsidRPr="00201D50">
        <w:rPr>
          <w:rFonts w:ascii="Calibri" w:eastAsia="MS Mincho" w:hAnsi="Calibri" w:cs="Times New Roman"/>
          <w:lang w:val="en-US"/>
        </w:rPr>
        <w:t xml:space="preserve">Again, if an international company which for some years had been operating a port in Fiji planned to expand the port’s capacity, and its commercial bank asked for a subordinated loan from </w:t>
      </w:r>
      <w:r>
        <w:rPr>
          <w:rFonts w:ascii="Calibri" w:eastAsia="MS Mincho" w:hAnsi="Calibri" w:cs="Times New Roman"/>
          <w:lang w:val="en-US"/>
        </w:rPr>
        <w:t>Australia</w:t>
      </w:r>
      <w:r w:rsidRPr="00201D50">
        <w:rPr>
          <w:rFonts w:ascii="Calibri" w:eastAsia="MS Mincho" w:hAnsi="Calibri" w:cs="Times New Roman"/>
          <w:lang w:val="en-US"/>
        </w:rPr>
        <w:t xml:space="preserve"> so that it could more readily provide the bulk of the finance through a loan with unusually long tenor, assessment of </w:t>
      </w:r>
      <w:r w:rsidRPr="00B43A77">
        <w:rPr>
          <w:rFonts w:ascii="Calibri" w:eastAsia="MS Mincho" w:hAnsi="Calibri" w:cs="Times New Roman"/>
          <w:lang w:val="en-US"/>
        </w:rPr>
        <w:t xml:space="preserve">development impact </w:t>
      </w:r>
      <w:r w:rsidRPr="00201D50">
        <w:rPr>
          <w:rFonts w:ascii="Calibri" w:eastAsia="MS Mincho" w:hAnsi="Calibri" w:cs="Times New Roman"/>
          <w:lang w:val="en-US"/>
        </w:rPr>
        <w:t xml:space="preserve">would be relatively straightforward, and might be done in conjunction with due diligence by </w:t>
      </w:r>
      <w:proofErr w:type="spellStart"/>
      <w:r w:rsidRPr="00201D50">
        <w:rPr>
          <w:rFonts w:ascii="Calibri" w:eastAsia="MS Mincho" w:hAnsi="Calibri" w:cs="Times New Roman"/>
          <w:lang w:val="en-US"/>
        </w:rPr>
        <w:t>Efic</w:t>
      </w:r>
      <w:proofErr w:type="spellEnd"/>
      <w:r w:rsidRPr="00201D50">
        <w:rPr>
          <w:rFonts w:ascii="Calibri" w:eastAsia="MS Mincho" w:hAnsi="Calibri" w:cs="Times New Roman"/>
          <w:lang w:val="en-US"/>
        </w:rPr>
        <w:t>.</w:t>
      </w:r>
    </w:p>
    <w:p w14:paraId="538CA44F" w14:textId="77777777" w:rsidR="000E0565" w:rsidRPr="00201D50" w:rsidRDefault="000E0565" w:rsidP="000E0565">
      <w:pPr>
        <w:spacing w:before="120" w:after="120" w:line="240" w:lineRule="auto"/>
        <w:ind w:left="360"/>
        <w:rPr>
          <w:rFonts w:ascii="Calibri" w:eastAsia="MS Mincho" w:hAnsi="Calibri" w:cs="Times New Roman"/>
          <w:lang w:val="en-US"/>
        </w:rPr>
      </w:pPr>
      <w:r w:rsidRPr="00201D50">
        <w:rPr>
          <w:rFonts w:ascii="Calibri" w:eastAsia="MS Mincho" w:hAnsi="Calibri" w:cs="Times New Roman"/>
          <w:lang w:val="en-US"/>
        </w:rPr>
        <w:t xml:space="preserve">Or if </w:t>
      </w:r>
      <w:r>
        <w:rPr>
          <w:rFonts w:ascii="Calibri" w:eastAsia="MS Mincho" w:hAnsi="Calibri" w:cs="Times New Roman"/>
          <w:lang w:val="en-US"/>
        </w:rPr>
        <w:t>Australia</w:t>
      </w:r>
      <w:r w:rsidRPr="00201D50">
        <w:rPr>
          <w:rFonts w:ascii="Calibri" w:eastAsia="MS Mincho" w:hAnsi="Calibri" w:cs="Times New Roman"/>
          <w:lang w:val="en-US"/>
        </w:rPr>
        <w:t xml:space="preserve"> chose to co-invest in Indonesia with a local fund </w:t>
      </w:r>
      <w:proofErr w:type="spellStart"/>
      <w:r w:rsidRPr="00201D50">
        <w:rPr>
          <w:rFonts w:ascii="Calibri" w:eastAsia="MS Mincho" w:hAnsi="Calibri" w:cs="Times New Roman"/>
          <w:lang w:val="en-US"/>
        </w:rPr>
        <w:t>speciali</w:t>
      </w:r>
      <w:r>
        <w:rPr>
          <w:rFonts w:ascii="Calibri" w:eastAsia="MS Mincho" w:hAnsi="Calibri" w:cs="Times New Roman"/>
          <w:lang w:val="en-US"/>
        </w:rPr>
        <w:t>s</w:t>
      </w:r>
      <w:r w:rsidRPr="00201D50">
        <w:rPr>
          <w:rFonts w:ascii="Calibri" w:eastAsia="MS Mincho" w:hAnsi="Calibri" w:cs="Times New Roman"/>
          <w:lang w:val="en-US"/>
        </w:rPr>
        <w:t>ing</w:t>
      </w:r>
      <w:proofErr w:type="spellEnd"/>
      <w:r w:rsidRPr="00201D50">
        <w:rPr>
          <w:rFonts w:ascii="Calibri" w:eastAsia="MS Mincho" w:hAnsi="Calibri" w:cs="Times New Roman"/>
          <w:lang w:val="en-US"/>
        </w:rPr>
        <w:t xml:space="preserve"> in “angel capital” for hi</w:t>
      </w:r>
      <w:r w:rsidRPr="00201D50">
        <w:rPr>
          <w:rFonts w:ascii="Calibri" w:eastAsia="MS Mincho" w:hAnsi="Calibri" w:cs="Times New Roman"/>
          <w:lang w:val="en-US"/>
        </w:rPr>
        <w:noBreakHyphen/>
        <w:t xml:space="preserve">tech, hi-growth businesses </w:t>
      </w:r>
      <w:r>
        <w:rPr>
          <w:rFonts w:ascii="Calibri" w:eastAsia="MS Mincho" w:hAnsi="Calibri" w:cs="Times New Roman"/>
          <w:lang w:val="en-US"/>
        </w:rPr>
        <w:t>that</w:t>
      </w:r>
      <w:r w:rsidRPr="00201D50">
        <w:rPr>
          <w:rFonts w:ascii="Calibri" w:eastAsia="MS Mincho" w:hAnsi="Calibri" w:cs="Times New Roman"/>
          <w:lang w:val="en-US"/>
        </w:rPr>
        <w:t xml:space="preserve"> were not yet eligible for commercial finance, the fund’s track record would substantiate the prospect of </w:t>
      </w:r>
      <w:r w:rsidRPr="00B43A77">
        <w:rPr>
          <w:rFonts w:ascii="Calibri" w:eastAsia="MS Mincho" w:hAnsi="Calibri" w:cs="Times New Roman"/>
          <w:lang w:val="en-US"/>
        </w:rPr>
        <w:t xml:space="preserve">development impact </w:t>
      </w:r>
      <w:r w:rsidRPr="00201D50">
        <w:rPr>
          <w:rFonts w:ascii="Calibri" w:eastAsia="MS Mincho" w:hAnsi="Calibri" w:cs="Times New Roman"/>
          <w:lang w:val="en-US"/>
        </w:rPr>
        <w:t>from co</w:t>
      </w:r>
      <w:r w:rsidRPr="00201D50">
        <w:rPr>
          <w:rFonts w:ascii="Calibri" w:eastAsia="MS Mincho" w:hAnsi="Calibri" w:cs="Times New Roman"/>
          <w:lang w:val="en-US"/>
        </w:rPr>
        <w:noBreakHyphen/>
        <w:t>invest</w:t>
      </w:r>
      <w:r>
        <w:rPr>
          <w:rFonts w:ascii="Calibri" w:eastAsia="MS Mincho" w:hAnsi="Calibri" w:cs="Times New Roman"/>
          <w:lang w:val="en-US"/>
        </w:rPr>
        <w:t>ing</w:t>
      </w:r>
      <w:r w:rsidRPr="00201D50">
        <w:rPr>
          <w:rFonts w:ascii="Calibri" w:eastAsia="MS Mincho" w:hAnsi="Calibri" w:cs="Times New Roman"/>
          <w:lang w:val="en-US"/>
        </w:rPr>
        <w:t>.</w:t>
      </w:r>
    </w:p>
    <w:p w14:paraId="5588436A" w14:textId="77777777" w:rsidR="000E0565" w:rsidRPr="00201D50" w:rsidRDefault="000E0565" w:rsidP="000E0565">
      <w:pPr>
        <w:spacing w:before="120" w:after="120" w:line="240" w:lineRule="auto"/>
        <w:rPr>
          <w:rFonts w:ascii="Calibri" w:eastAsia="MS Mincho" w:hAnsi="Calibri" w:cs="Times New Roman"/>
          <w:b/>
          <w:lang w:val="en-US"/>
        </w:rPr>
      </w:pPr>
      <w:r w:rsidRPr="00201D50">
        <w:rPr>
          <w:rFonts w:ascii="Calibri" w:eastAsia="MS Mincho" w:hAnsi="Calibri" w:cs="Times New Roman"/>
          <w:b/>
          <w:lang w:val="en-US"/>
        </w:rPr>
        <w:t xml:space="preserve">Many private companies use standard methods for assessing </w:t>
      </w:r>
      <w:r w:rsidRPr="00AF40DD">
        <w:rPr>
          <w:rFonts w:ascii="Calibri" w:eastAsia="MS Mincho" w:hAnsi="Calibri" w:cs="Times New Roman"/>
          <w:b/>
          <w:lang w:val="en-US"/>
        </w:rPr>
        <w:t>development impact</w:t>
      </w:r>
      <w:r>
        <w:rPr>
          <w:rFonts w:ascii="Calibri" w:eastAsia="MS Mincho" w:hAnsi="Calibri" w:cs="Times New Roman"/>
          <w:b/>
          <w:lang w:val="en-US"/>
        </w:rPr>
        <w:t>,</w:t>
      </w:r>
      <w:r w:rsidRPr="00AF40DD">
        <w:rPr>
          <w:rFonts w:ascii="Calibri" w:eastAsia="MS Mincho" w:hAnsi="Calibri" w:cs="Times New Roman"/>
          <w:b/>
          <w:lang w:val="en-US"/>
        </w:rPr>
        <w:t xml:space="preserve"> </w:t>
      </w:r>
      <w:r w:rsidRPr="00201D50">
        <w:rPr>
          <w:rFonts w:ascii="Calibri" w:eastAsia="MS Mincho" w:hAnsi="Calibri" w:cs="Times New Roman"/>
          <w:b/>
          <w:lang w:val="en-US"/>
        </w:rPr>
        <w:t>which would supply part of the framework needed in choosing projects for financing support.</w:t>
      </w:r>
    </w:p>
    <w:p w14:paraId="678F15BE" w14:textId="77777777" w:rsidR="000E0565" w:rsidRPr="00201D50" w:rsidRDefault="000E0565" w:rsidP="000E0565">
      <w:pPr>
        <w:spacing w:before="120" w:after="120" w:line="240" w:lineRule="auto"/>
        <w:ind w:left="360"/>
        <w:rPr>
          <w:rFonts w:ascii="Calibri" w:eastAsia="MS Mincho" w:hAnsi="Calibri" w:cs="Times New Roman"/>
          <w:lang w:val="en-US"/>
        </w:rPr>
      </w:pPr>
      <w:r w:rsidRPr="00201D50">
        <w:rPr>
          <w:rFonts w:ascii="Calibri" w:eastAsia="MS Mincho" w:hAnsi="Calibri" w:cs="Times New Roman"/>
          <w:lang w:val="en-US"/>
        </w:rPr>
        <w:t xml:space="preserve">There is a growing movement, both among </w:t>
      </w:r>
      <w:r>
        <w:rPr>
          <w:rFonts w:ascii="Calibri" w:eastAsia="MS Mincho" w:hAnsi="Calibri" w:cs="Times New Roman"/>
          <w:lang w:val="en-US"/>
        </w:rPr>
        <w:t xml:space="preserve">large </w:t>
      </w:r>
      <w:proofErr w:type="gramStart"/>
      <w:r w:rsidRPr="00201D50">
        <w:rPr>
          <w:rFonts w:ascii="Calibri" w:eastAsia="MS Mincho" w:hAnsi="Calibri" w:cs="Times New Roman"/>
          <w:lang w:val="en-US"/>
        </w:rPr>
        <w:t>internationally-operating</w:t>
      </w:r>
      <w:proofErr w:type="gramEnd"/>
      <w:r w:rsidRPr="00201D50">
        <w:rPr>
          <w:rFonts w:ascii="Calibri" w:eastAsia="MS Mincho" w:hAnsi="Calibri" w:cs="Times New Roman"/>
          <w:lang w:val="en-US"/>
        </w:rPr>
        <w:t xml:space="preserve"> companies and among the contributors to blended finance for infrastructure, to follow common methods of defining and measuring the development impacts of their investments. For example:</w:t>
      </w:r>
    </w:p>
    <w:p w14:paraId="77420ADD" w14:textId="25A871C6" w:rsidR="000E0565" w:rsidRPr="00201D50" w:rsidRDefault="000E0565" w:rsidP="000E0565">
      <w:pPr>
        <w:numPr>
          <w:ilvl w:val="0"/>
          <w:numId w:val="8"/>
        </w:numPr>
        <w:spacing w:before="120" w:after="120" w:line="240" w:lineRule="auto"/>
        <w:rPr>
          <w:rFonts w:ascii="Calibri" w:eastAsia="MS Mincho" w:hAnsi="Calibri" w:cs="Times New Roman"/>
          <w:lang w:val="en-US"/>
        </w:rPr>
      </w:pPr>
      <w:r w:rsidRPr="00201D50">
        <w:rPr>
          <w:rFonts w:ascii="Calibri" w:eastAsia="MS Mincho" w:hAnsi="Calibri" w:cs="Times New Roman"/>
          <w:lang w:val="en-US"/>
        </w:rPr>
        <w:t xml:space="preserve">The World Benchmarking Alliance promotes measures of companies’ performance in respect of </w:t>
      </w:r>
      <w:r w:rsidR="003D195D">
        <w:rPr>
          <w:rFonts w:ascii="Calibri" w:eastAsia="MS Mincho" w:hAnsi="Calibri" w:cs="Times New Roman"/>
          <w:lang w:val="en-US"/>
        </w:rPr>
        <w:t>the Sustainable Development Goals</w:t>
      </w:r>
      <w:r w:rsidRPr="00201D50">
        <w:rPr>
          <w:rFonts w:ascii="Calibri" w:eastAsia="MS Mincho" w:hAnsi="Calibri" w:cs="Times New Roman"/>
          <w:lang w:val="en-US"/>
        </w:rPr>
        <w:t>, in particular areas including climate action, gender equality and empowerment, and seafood stewardship</w:t>
      </w:r>
    </w:p>
    <w:p w14:paraId="3BA7AF41" w14:textId="77777777" w:rsidR="000E0565" w:rsidRPr="00201D50" w:rsidRDefault="000E0565" w:rsidP="000E0565">
      <w:pPr>
        <w:numPr>
          <w:ilvl w:val="0"/>
          <w:numId w:val="8"/>
        </w:numPr>
        <w:spacing w:before="120" w:after="120" w:line="240" w:lineRule="auto"/>
        <w:rPr>
          <w:rFonts w:ascii="Calibri" w:eastAsia="MS Mincho" w:hAnsi="Calibri" w:cs="Times New Roman"/>
          <w:lang w:val="en-US"/>
        </w:rPr>
      </w:pPr>
      <w:r w:rsidRPr="00201D50">
        <w:rPr>
          <w:rFonts w:ascii="Calibri" w:eastAsia="MS Mincho" w:hAnsi="Calibri" w:cs="Times New Roman"/>
          <w:lang w:val="en-US"/>
        </w:rPr>
        <w:t xml:space="preserve">The </w:t>
      </w:r>
      <w:r w:rsidRPr="00492CB7">
        <w:rPr>
          <w:rFonts w:ascii="Calibri" w:eastAsia="MS Mincho" w:hAnsi="Calibri" w:cs="Times New Roman"/>
          <w:lang w:val="en-US"/>
        </w:rPr>
        <w:t>Global Environmental Management Initiative's</w:t>
      </w:r>
      <w:r>
        <w:rPr>
          <w:rFonts w:ascii="Calibri" w:eastAsia="MS Mincho" w:hAnsi="Calibri" w:cs="Times New Roman"/>
          <w:lang w:val="en-US"/>
        </w:rPr>
        <w:t xml:space="preserve"> </w:t>
      </w:r>
      <w:r w:rsidRPr="00201D50">
        <w:rPr>
          <w:rFonts w:ascii="Calibri" w:eastAsia="MS Mincho" w:hAnsi="Calibri" w:cs="Times New Roman"/>
          <w:lang w:val="en-US"/>
        </w:rPr>
        <w:t>Metrics Navigator helps companies in rigorous specification of their non</w:t>
      </w:r>
      <w:r w:rsidRPr="00201D50">
        <w:rPr>
          <w:rFonts w:ascii="Calibri" w:eastAsia="MS Mincho" w:hAnsi="Calibri" w:cs="Times New Roman"/>
          <w:lang w:val="en-US"/>
        </w:rPr>
        <w:noBreakHyphen/>
        <w:t>financial objectives and in choosing measures of success in attaining them</w:t>
      </w:r>
    </w:p>
    <w:p w14:paraId="2AFB2AE7" w14:textId="77777777" w:rsidR="000E0565" w:rsidRPr="00201D50" w:rsidRDefault="000E0565" w:rsidP="000E0565">
      <w:pPr>
        <w:numPr>
          <w:ilvl w:val="0"/>
          <w:numId w:val="8"/>
        </w:numPr>
        <w:spacing w:before="120" w:after="120" w:line="240" w:lineRule="auto"/>
        <w:rPr>
          <w:rFonts w:ascii="Calibri" w:eastAsia="MS Mincho" w:hAnsi="Calibri" w:cs="Times New Roman"/>
          <w:lang w:val="en-US"/>
        </w:rPr>
      </w:pPr>
      <w:r w:rsidRPr="00201D50">
        <w:rPr>
          <w:rFonts w:ascii="Calibri" w:eastAsia="MS Mincho" w:hAnsi="Calibri" w:cs="Times New Roman"/>
          <w:lang w:val="en-US"/>
        </w:rPr>
        <w:t>The Measuring Impact Framework, developed by the World Business Council for Sustainable Development, helps companies understand their contribution to society and use this understanding to inform their investment decisions</w:t>
      </w:r>
    </w:p>
    <w:p w14:paraId="00A9B50A" w14:textId="77777777" w:rsidR="000E0565" w:rsidRPr="00D410C5" w:rsidRDefault="000E0565" w:rsidP="000E0565">
      <w:pPr>
        <w:numPr>
          <w:ilvl w:val="0"/>
          <w:numId w:val="8"/>
        </w:numPr>
        <w:spacing w:before="120" w:after="120" w:line="240" w:lineRule="auto"/>
        <w:rPr>
          <w:rFonts w:ascii="Calibri" w:eastAsia="MS Mincho" w:hAnsi="Calibri" w:cs="Times New Roman"/>
          <w:lang w:val="en-US"/>
        </w:rPr>
      </w:pPr>
      <w:r w:rsidRPr="00201D50">
        <w:rPr>
          <w:rFonts w:ascii="Calibri" w:eastAsia="MS Mincho" w:hAnsi="Calibri" w:cs="Times New Roman"/>
          <w:lang w:val="en-US"/>
        </w:rPr>
        <w:t>The Global Reporting Initiative</w:t>
      </w:r>
      <w:r>
        <w:rPr>
          <w:rFonts w:ascii="Calibri" w:eastAsia="MS Mincho" w:hAnsi="Calibri" w:cs="Times New Roman"/>
          <w:lang w:val="en-US"/>
        </w:rPr>
        <w:t xml:space="preserve">—a </w:t>
      </w:r>
      <w:r w:rsidRPr="00201D50">
        <w:rPr>
          <w:rFonts w:ascii="Calibri" w:eastAsia="MS Mincho" w:hAnsi="Calibri" w:cs="Times New Roman"/>
          <w:lang w:val="en-US"/>
        </w:rPr>
        <w:t xml:space="preserve">partner </w:t>
      </w:r>
      <w:r>
        <w:rPr>
          <w:rFonts w:ascii="Calibri" w:eastAsia="MS Mincho" w:hAnsi="Calibri" w:cs="Times New Roman"/>
          <w:lang w:val="en-US"/>
        </w:rPr>
        <w:t>of</w:t>
      </w:r>
      <w:r w:rsidRPr="00201D50">
        <w:rPr>
          <w:rFonts w:ascii="Calibri" w:eastAsia="MS Mincho" w:hAnsi="Calibri" w:cs="Times New Roman"/>
          <w:lang w:val="en-US"/>
        </w:rPr>
        <w:t xml:space="preserve"> DFAT since 2015</w:t>
      </w:r>
      <w:r>
        <w:rPr>
          <w:rFonts w:ascii="Calibri" w:eastAsia="MS Mincho" w:hAnsi="Calibri" w:cs="Times New Roman"/>
          <w:lang w:val="en-US"/>
        </w:rPr>
        <w:t>—</w:t>
      </w:r>
      <w:r w:rsidRPr="00201D50">
        <w:rPr>
          <w:rFonts w:ascii="Calibri" w:eastAsia="MS Mincho" w:hAnsi="Calibri" w:cs="Times New Roman"/>
          <w:lang w:val="en-US"/>
        </w:rPr>
        <w:t xml:space="preserve">encourages organizations, for example through the Corporate Reporting Dialogue, to report publicly on their economic, </w:t>
      </w:r>
      <w:proofErr w:type="gramStart"/>
      <w:r w:rsidRPr="00201D50">
        <w:rPr>
          <w:rFonts w:ascii="Calibri" w:eastAsia="MS Mincho" w:hAnsi="Calibri" w:cs="Times New Roman"/>
          <w:lang w:val="en-US"/>
        </w:rPr>
        <w:t>environmental</w:t>
      </w:r>
      <w:proofErr w:type="gramEnd"/>
      <w:r w:rsidRPr="00201D50">
        <w:rPr>
          <w:rFonts w:ascii="Calibri" w:eastAsia="MS Mincho" w:hAnsi="Calibri" w:cs="Times New Roman"/>
          <w:lang w:val="en-US"/>
        </w:rPr>
        <w:t xml:space="preserve"> and social impacts, and thereby show how they contribute towards sustainable development.</w:t>
      </w:r>
    </w:p>
    <w:p w14:paraId="0993014D" w14:textId="77777777" w:rsidR="000E0565" w:rsidRPr="00B54DE5" w:rsidRDefault="000E0565" w:rsidP="000E0565">
      <w:pPr>
        <w:spacing w:before="120" w:after="120" w:line="240" w:lineRule="auto"/>
        <w:rPr>
          <w:rFonts w:ascii="Calibri" w:eastAsia="MS Mincho" w:hAnsi="Calibri" w:cs="Times New Roman"/>
          <w:b/>
          <w:lang w:val="en-US"/>
        </w:rPr>
      </w:pPr>
      <w:r w:rsidRPr="00B54DE5">
        <w:rPr>
          <w:rFonts w:ascii="Calibri" w:eastAsia="MS Mincho" w:hAnsi="Calibri" w:cs="Times New Roman"/>
          <w:b/>
          <w:lang w:val="en-US"/>
        </w:rPr>
        <w:t>These standard methods are promoted by MDBs and DFIs in their blended finance arrangements.</w:t>
      </w:r>
    </w:p>
    <w:p w14:paraId="67A59115" w14:textId="77777777" w:rsidR="000E0565" w:rsidRDefault="000E0565" w:rsidP="000E0565">
      <w:pPr>
        <w:spacing w:before="120" w:after="120" w:line="240" w:lineRule="auto"/>
        <w:ind w:left="360"/>
        <w:rPr>
          <w:rFonts w:ascii="Calibri" w:eastAsia="MS Mincho" w:hAnsi="Calibri" w:cs="Times New Roman"/>
          <w:lang w:val="en-US"/>
        </w:rPr>
      </w:pPr>
      <w:proofErr w:type="gramStart"/>
      <w:r w:rsidRPr="00201D50">
        <w:rPr>
          <w:rFonts w:ascii="Calibri" w:eastAsia="MS Mincho" w:hAnsi="Calibri" w:cs="Times New Roman"/>
          <w:lang w:val="en-US"/>
        </w:rPr>
        <w:t>In order to</w:t>
      </w:r>
      <w:proofErr w:type="gramEnd"/>
      <w:r w:rsidRPr="00201D50">
        <w:rPr>
          <w:rFonts w:ascii="Calibri" w:eastAsia="MS Mincho" w:hAnsi="Calibri" w:cs="Times New Roman"/>
          <w:lang w:val="en-US"/>
        </w:rPr>
        <w:t xml:space="preserve"> guide DFIs and bilateral agencies selecting projects for blended finance and other private-sector operations, IFC and</w:t>
      </w:r>
      <w:r>
        <w:rPr>
          <w:rFonts w:ascii="Calibri" w:eastAsia="MS Mincho" w:hAnsi="Calibri" w:cs="Times New Roman"/>
          <w:lang w:val="en-US"/>
        </w:rPr>
        <w:t xml:space="preserve"> the</w:t>
      </w:r>
      <w:r w:rsidRPr="00201D50">
        <w:rPr>
          <w:rFonts w:ascii="Calibri" w:eastAsia="MS Mincho" w:hAnsi="Calibri" w:cs="Times New Roman"/>
          <w:lang w:val="en-US"/>
        </w:rPr>
        <w:t xml:space="preserve"> </w:t>
      </w:r>
      <w:r w:rsidRPr="008E52A9">
        <w:rPr>
          <w:rFonts w:ascii="Calibri" w:eastAsia="MS Mincho" w:hAnsi="Calibri" w:cs="Times New Roman"/>
          <w:lang w:val="en-US"/>
        </w:rPr>
        <w:t>European Bank for Reconstruction and Development</w:t>
      </w:r>
      <w:r>
        <w:rPr>
          <w:rFonts w:ascii="Calibri" w:eastAsia="MS Mincho" w:hAnsi="Calibri" w:cs="Times New Roman"/>
          <w:lang w:val="en-US"/>
        </w:rPr>
        <w:t xml:space="preserve"> </w:t>
      </w:r>
      <w:r w:rsidRPr="00201D50">
        <w:rPr>
          <w:rFonts w:ascii="Calibri" w:eastAsia="MS Mincho" w:hAnsi="Calibri" w:cs="Times New Roman"/>
          <w:lang w:val="en-US"/>
        </w:rPr>
        <w:t>led an effort which resulted in 25 different international finance institutions from around the world agreeing to the Harmoni</w:t>
      </w:r>
      <w:r>
        <w:rPr>
          <w:rFonts w:ascii="Calibri" w:eastAsia="MS Mincho" w:hAnsi="Calibri" w:cs="Times New Roman"/>
          <w:lang w:val="en-US"/>
        </w:rPr>
        <w:t>z</w:t>
      </w:r>
      <w:r w:rsidRPr="00201D50">
        <w:rPr>
          <w:rFonts w:ascii="Calibri" w:eastAsia="MS Mincho" w:hAnsi="Calibri" w:cs="Times New Roman"/>
          <w:lang w:val="en-US"/>
        </w:rPr>
        <w:t>ed Indicators for Private Sector Operations (HIPSO). There are currently 38 reporting indicators, across 15 different sectors and industries including cross</w:t>
      </w:r>
      <w:r>
        <w:rPr>
          <w:rFonts w:ascii="Calibri" w:eastAsia="MS Mincho" w:hAnsi="Calibri" w:cs="Times New Roman"/>
          <w:lang w:val="en-US"/>
        </w:rPr>
        <w:noBreakHyphen/>
      </w:r>
      <w:r w:rsidRPr="00201D50">
        <w:rPr>
          <w:rFonts w:ascii="Calibri" w:eastAsia="MS Mincho" w:hAnsi="Calibri" w:cs="Times New Roman"/>
          <w:lang w:val="en-US"/>
        </w:rPr>
        <w:t>cutting</w:t>
      </w:r>
      <w:r>
        <w:rPr>
          <w:rFonts w:ascii="Calibri" w:eastAsia="MS Mincho" w:hAnsi="Calibri" w:cs="Times New Roman"/>
          <w:lang w:val="en-US"/>
        </w:rPr>
        <w:t>.</w:t>
      </w:r>
      <w:r w:rsidRPr="00201D50">
        <w:rPr>
          <w:rFonts w:ascii="Calibri" w:eastAsia="MS Mincho" w:hAnsi="Calibri" w:cs="Times New Roman"/>
          <w:vertAlign w:val="superscript"/>
          <w:lang w:val="en-US"/>
        </w:rPr>
        <w:footnoteReference w:id="39"/>
      </w:r>
      <w:r w:rsidRPr="00201D50">
        <w:rPr>
          <w:rFonts w:ascii="Calibri" w:eastAsia="MS Mincho" w:hAnsi="Calibri" w:cs="Times New Roman"/>
          <w:lang w:val="en-US"/>
        </w:rPr>
        <w:t xml:space="preserve"> The</w:t>
      </w:r>
      <w:r>
        <w:rPr>
          <w:rFonts w:ascii="Calibri" w:eastAsia="MS Mincho" w:hAnsi="Calibri" w:cs="Times New Roman"/>
          <w:lang w:val="en-US"/>
        </w:rPr>
        <w:t xml:space="preserve"> </w:t>
      </w:r>
      <w:r>
        <w:rPr>
          <w:rFonts w:ascii="Calibri" w:eastAsia="MS Mincho" w:hAnsi="Calibri" w:cs="Times New Roman"/>
          <w:lang w:val="en-US"/>
        </w:rPr>
        <w:lastRenderedPageBreak/>
        <w:t>HIPSO</w:t>
      </w:r>
      <w:r w:rsidRPr="00201D50">
        <w:rPr>
          <w:rFonts w:ascii="Calibri" w:eastAsia="MS Mincho" w:hAnsi="Calibri" w:cs="Times New Roman"/>
          <w:lang w:val="en-US"/>
        </w:rPr>
        <w:t xml:space="preserve"> indicators have definitions agreed upon by the participating </w:t>
      </w:r>
      <w:proofErr w:type="gramStart"/>
      <w:r w:rsidRPr="00201D50">
        <w:rPr>
          <w:rFonts w:ascii="Calibri" w:eastAsia="MS Mincho" w:hAnsi="Calibri" w:cs="Times New Roman"/>
          <w:lang w:val="en-US"/>
        </w:rPr>
        <w:t>institutions, and</w:t>
      </w:r>
      <w:proofErr w:type="gramEnd"/>
      <w:r w:rsidRPr="00201D50">
        <w:rPr>
          <w:rFonts w:ascii="Calibri" w:eastAsia="MS Mincho" w:hAnsi="Calibri" w:cs="Times New Roman"/>
          <w:lang w:val="en-US"/>
        </w:rPr>
        <w:t xml:space="preserve"> are available for any entity wishing to use them. </w:t>
      </w:r>
    </w:p>
    <w:p w14:paraId="55BBBB1E" w14:textId="77777777" w:rsidR="000E0565" w:rsidRPr="00201D50" w:rsidRDefault="000E0565" w:rsidP="000E0565">
      <w:pPr>
        <w:spacing w:before="120" w:after="120" w:line="240" w:lineRule="auto"/>
        <w:ind w:left="360"/>
        <w:rPr>
          <w:rFonts w:ascii="Calibri" w:eastAsia="MS Mincho" w:hAnsi="Calibri" w:cs="Times New Roman"/>
          <w:lang w:val="en-US"/>
        </w:rPr>
      </w:pPr>
      <w:r>
        <w:rPr>
          <w:rFonts w:ascii="Calibri" w:eastAsia="MS Mincho" w:hAnsi="Calibri" w:cs="Times New Roman"/>
          <w:lang w:val="en-US"/>
        </w:rPr>
        <w:t xml:space="preserve">The Donor Committee for Enterprise Development is a network for donors to share best practices in private sector </w:t>
      </w:r>
      <w:proofErr w:type="gramStart"/>
      <w:r>
        <w:rPr>
          <w:rFonts w:ascii="Calibri" w:eastAsia="MS Mincho" w:hAnsi="Calibri" w:cs="Times New Roman"/>
          <w:lang w:val="en-US"/>
        </w:rPr>
        <w:t>development, and</w:t>
      </w:r>
      <w:proofErr w:type="gramEnd"/>
      <w:r>
        <w:rPr>
          <w:rFonts w:ascii="Calibri" w:eastAsia="MS Mincho" w:hAnsi="Calibri" w:cs="Times New Roman"/>
          <w:lang w:val="en-US"/>
        </w:rPr>
        <w:t xml:space="preserve"> has developed a standard for measuring results which is currently used in about </w:t>
      </w:r>
      <w:r w:rsidRPr="001F176A">
        <w:rPr>
          <w:rFonts w:ascii="Calibri" w:eastAsia="MS Mincho" w:hAnsi="Calibri" w:cs="Times New Roman"/>
          <w:lang w:val="en-US"/>
        </w:rPr>
        <w:t xml:space="preserve">150 donor-funded </w:t>
      </w:r>
      <w:r>
        <w:rPr>
          <w:rFonts w:ascii="Calibri" w:eastAsia="MS Mincho" w:hAnsi="Calibri" w:cs="Times New Roman"/>
          <w:lang w:val="en-US"/>
        </w:rPr>
        <w:t>programs.</w:t>
      </w:r>
      <w:r>
        <w:rPr>
          <w:rStyle w:val="FootnoteReference"/>
          <w:rFonts w:ascii="Calibri" w:eastAsia="MS Mincho" w:hAnsi="Calibri" w:cs="Times New Roman"/>
          <w:lang w:val="en-US"/>
        </w:rPr>
        <w:footnoteReference w:id="40"/>
      </w:r>
    </w:p>
    <w:p w14:paraId="1E064006" w14:textId="77777777" w:rsidR="000E0565" w:rsidRPr="00B67DEF" w:rsidRDefault="000E0565" w:rsidP="000E0565">
      <w:pPr>
        <w:spacing w:before="120" w:after="120" w:line="240" w:lineRule="auto"/>
        <w:rPr>
          <w:rFonts w:ascii="Calibri" w:eastAsia="MS Mincho" w:hAnsi="Calibri" w:cs="Times New Roman"/>
          <w:b/>
          <w:lang w:val="en-US"/>
        </w:rPr>
      </w:pPr>
      <w:r w:rsidRPr="00B67DEF">
        <w:rPr>
          <w:rFonts w:ascii="Calibri" w:eastAsia="MS Mincho" w:hAnsi="Calibri" w:cs="Times New Roman"/>
          <w:b/>
          <w:lang w:val="en-US"/>
        </w:rPr>
        <w:t>Gender lens investing has shown that building capability through working with new partners is already part of the development assistance program.</w:t>
      </w:r>
    </w:p>
    <w:p w14:paraId="70D2DCA6" w14:textId="77777777" w:rsidR="000E0565" w:rsidRDefault="000E0565" w:rsidP="000E0565">
      <w:pPr>
        <w:spacing w:before="120" w:after="120" w:line="240" w:lineRule="auto"/>
        <w:ind w:left="360"/>
        <w:rPr>
          <w:rFonts w:ascii="Calibri" w:eastAsia="MS Mincho" w:hAnsi="Calibri" w:cs="Times New Roman"/>
          <w:lang w:val="en-US"/>
        </w:rPr>
      </w:pPr>
      <w:r w:rsidRPr="00B67DEF">
        <w:rPr>
          <w:rFonts w:ascii="Calibri" w:eastAsia="MS Mincho" w:hAnsi="Calibri" w:cs="Times New Roman"/>
          <w:lang w:val="en-US"/>
        </w:rPr>
        <w:t>As impact investments have grown as an asset class, and the range of specialist advisers and funds has increased, there have been more opportunities for Australian development assistance to be channeled through investors that apply a gender lens - see Box A. Grasping these opportunities has involved a process within DFAT of learning and building capability, then increasingly taking the initiative in forming funds and programs.</w:t>
      </w:r>
    </w:p>
    <w:p w14:paraId="6467CE87" w14:textId="3546F0C0" w:rsidR="000E0565" w:rsidRDefault="000E0565" w:rsidP="000E0565">
      <w:pPr>
        <w:spacing w:before="120" w:after="120" w:line="240" w:lineRule="auto"/>
        <w:ind w:left="360"/>
        <w:rPr>
          <w:rFonts w:ascii="Calibri" w:eastAsia="MS Mincho" w:hAnsi="Calibri" w:cs="Times New Roman"/>
          <w:lang w:val="en-US"/>
        </w:rPr>
      </w:pPr>
      <w:r w:rsidRPr="00B67DEF">
        <w:rPr>
          <w:rFonts w:ascii="Calibri" w:eastAsia="MS Mincho" w:hAnsi="Calibri" w:cs="Times New Roman"/>
          <w:lang w:val="en-US"/>
        </w:rPr>
        <w:t>In a similar manner</w:t>
      </w:r>
      <w:r>
        <w:rPr>
          <w:rFonts w:ascii="Calibri" w:eastAsia="MS Mincho" w:hAnsi="Calibri" w:cs="Times New Roman"/>
          <w:lang w:val="en-US"/>
        </w:rPr>
        <w:t>,</w:t>
      </w:r>
      <w:r w:rsidRPr="00201D50">
        <w:rPr>
          <w:rFonts w:ascii="Calibri" w:eastAsia="MS Mincho" w:hAnsi="Calibri" w:cs="Times New Roman"/>
          <w:lang w:val="en-US"/>
        </w:rPr>
        <w:t xml:space="preserve"> if </w:t>
      </w:r>
      <w:r>
        <w:rPr>
          <w:rFonts w:ascii="Calibri" w:eastAsia="MS Mincho" w:hAnsi="Calibri" w:cs="Times New Roman"/>
          <w:lang w:val="en-US"/>
        </w:rPr>
        <w:t>Australia</w:t>
      </w:r>
      <w:r w:rsidRPr="00201D50">
        <w:rPr>
          <w:rFonts w:ascii="Calibri" w:eastAsia="MS Mincho" w:hAnsi="Calibri" w:cs="Times New Roman"/>
          <w:lang w:val="en-US"/>
        </w:rPr>
        <w:t xml:space="preserve"> were to have </w:t>
      </w:r>
      <w:r>
        <w:rPr>
          <w:rFonts w:ascii="Calibri" w:eastAsia="MS Mincho" w:hAnsi="Calibri" w:cs="Times New Roman"/>
          <w:lang w:val="en-US"/>
        </w:rPr>
        <w:t xml:space="preserve">NGF </w:t>
      </w:r>
      <w:r w:rsidRPr="00201D50">
        <w:rPr>
          <w:rFonts w:ascii="Calibri" w:eastAsia="MS Mincho" w:hAnsi="Calibri" w:cs="Times New Roman"/>
          <w:lang w:val="en-US"/>
        </w:rPr>
        <w:t>available for company</w:t>
      </w:r>
      <w:r w:rsidRPr="00201D50">
        <w:rPr>
          <w:rFonts w:ascii="Calibri" w:eastAsia="MS Mincho" w:hAnsi="Calibri" w:cs="Times New Roman"/>
          <w:lang w:val="en-US"/>
        </w:rPr>
        <w:noBreakHyphen/>
        <w:t xml:space="preserve">led projects, it could begin by choosing partners which use these methods, and learn </w:t>
      </w:r>
      <w:r w:rsidRPr="00B67DEF">
        <w:rPr>
          <w:rFonts w:ascii="Calibri" w:eastAsia="MS Mincho" w:hAnsi="Calibri" w:cs="Times New Roman"/>
          <w:lang w:val="en-US"/>
        </w:rPr>
        <w:t>how far they can be relied upon, and how far they need supplementing,</w:t>
      </w:r>
      <w:r w:rsidRPr="00201D50">
        <w:rPr>
          <w:rFonts w:ascii="Calibri" w:eastAsia="MS Mincho" w:hAnsi="Calibri" w:cs="Times New Roman"/>
          <w:lang w:val="en-US"/>
        </w:rPr>
        <w:t xml:space="preserve"> when there is no MDB as lead financier.</w:t>
      </w:r>
    </w:p>
    <w:p w14:paraId="7D8ED4C1" w14:textId="77777777" w:rsidR="00B46545" w:rsidRDefault="00B46545" w:rsidP="000E0565">
      <w:pPr>
        <w:spacing w:before="120" w:after="120" w:line="240" w:lineRule="auto"/>
        <w:ind w:left="360"/>
        <w:rPr>
          <w:rFonts w:ascii="Calibri" w:eastAsia="MS Mincho" w:hAnsi="Calibri" w:cs="Times New Roman"/>
          <w:lang w:val="en-US"/>
        </w:rPr>
      </w:pPr>
    </w:p>
    <w:p w14:paraId="2B711A49" w14:textId="77777777" w:rsidR="00B46545" w:rsidRPr="00201D50" w:rsidRDefault="00B46545" w:rsidP="00B46545">
      <w:pPr>
        <w:pBdr>
          <w:top w:val="single" w:sz="4" w:space="1" w:color="auto"/>
          <w:left w:val="single" w:sz="4" w:space="4" w:color="auto"/>
          <w:bottom w:val="single" w:sz="4" w:space="1" w:color="auto"/>
          <w:right w:val="single" w:sz="4" w:space="4" w:color="auto"/>
        </w:pBdr>
        <w:rPr>
          <w:rFonts w:ascii="Calibri" w:hAnsi="Calibri" w:cs="Times New Roman"/>
          <w:i/>
          <w:sz w:val="20"/>
          <w:szCs w:val="20"/>
        </w:rPr>
      </w:pPr>
      <w:r w:rsidRPr="006D4200">
        <w:rPr>
          <w:rFonts w:ascii="Calibri" w:hAnsi="Calibri" w:cs="Times New Roman"/>
          <w:i/>
          <w:sz w:val="20"/>
          <w:szCs w:val="20"/>
        </w:rPr>
        <w:t>BOX A</w:t>
      </w:r>
      <w:r>
        <w:rPr>
          <w:rFonts w:ascii="Calibri" w:hAnsi="Calibri" w:cs="Times New Roman"/>
          <w:i/>
          <w:sz w:val="20"/>
          <w:szCs w:val="20"/>
        </w:rPr>
        <w:t>—</w:t>
      </w:r>
      <w:r w:rsidRPr="00201D50">
        <w:rPr>
          <w:rFonts w:ascii="Calibri" w:hAnsi="Calibri" w:cs="Times New Roman"/>
          <w:i/>
          <w:sz w:val="20"/>
          <w:szCs w:val="20"/>
        </w:rPr>
        <w:t>GENDER EQUALITY</w:t>
      </w:r>
    </w:p>
    <w:p w14:paraId="2D0A22E2" w14:textId="77777777" w:rsidR="00B46545" w:rsidRPr="00201D50" w:rsidRDefault="00B46545" w:rsidP="00B46545">
      <w:pPr>
        <w:pBdr>
          <w:top w:val="single" w:sz="4" w:space="1" w:color="auto"/>
          <w:left w:val="single" w:sz="4" w:space="4" w:color="auto"/>
          <w:bottom w:val="single" w:sz="4" w:space="1" w:color="auto"/>
          <w:right w:val="single" w:sz="4" w:space="4" w:color="auto"/>
        </w:pBdr>
        <w:rPr>
          <w:rFonts w:ascii="Calibri" w:hAnsi="Calibri" w:cs="Times New Roman"/>
          <w:sz w:val="20"/>
          <w:szCs w:val="20"/>
        </w:rPr>
      </w:pPr>
      <w:r w:rsidRPr="00201D50">
        <w:rPr>
          <w:rFonts w:ascii="Calibri" w:hAnsi="Calibri" w:cs="Times New Roman"/>
          <w:sz w:val="20"/>
          <w:szCs w:val="20"/>
        </w:rPr>
        <w:t xml:space="preserve">Immense and persistent gender disparities exist in developing countries across nearly all outcomes the Australian </w:t>
      </w:r>
      <w:r>
        <w:rPr>
          <w:rFonts w:ascii="Calibri" w:hAnsi="Calibri" w:cs="Times New Roman"/>
          <w:sz w:val="20"/>
          <w:szCs w:val="20"/>
        </w:rPr>
        <w:t xml:space="preserve">development assistance program </w:t>
      </w:r>
      <w:r w:rsidRPr="00201D50">
        <w:rPr>
          <w:rFonts w:ascii="Calibri" w:hAnsi="Calibri" w:cs="Times New Roman"/>
          <w:sz w:val="20"/>
          <w:szCs w:val="20"/>
        </w:rPr>
        <w:t xml:space="preserve">cares about, ranging from agriculture (where female productivity is 30% less than the male equivalent) to ICT (where 25% fewer women than men have access to the internet).  </w:t>
      </w:r>
    </w:p>
    <w:p w14:paraId="78E91310" w14:textId="77777777" w:rsidR="00B46545" w:rsidRPr="00201D50" w:rsidRDefault="00B46545" w:rsidP="00B46545">
      <w:pPr>
        <w:pBdr>
          <w:top w:val="single" w:sz="4" w:space="1" w:color="auto"/>
          <w:left w:val="single" w:sz="4" w:space="4" w:color="auto"/>
          <w:bottom w:val="single" w:sz="4" w:space="1" w:color="auto"/>
          <w:right w:val="single" w:sz="4" w:space="4" w:color="auto"/>
        </w:pBdr>
        <w:rPr>
          <w:rFonts w:ascii="Calibri" w:hAnsi="Calibri" w:cs="Times New Roman"/>
          <w:sz w:val="20"/>
          <w:szCs w:val="20"/>
        </w:rPr>
      </w:pPr>
      <w:r w:rsidRPr="00201D50">
        <w:rPr>
          <w:rFonts w:ascii="Calibri" w:hAnsi="Calibri" w:cs="Times New Roman"/>
          <w:sz w:val="20"/>
          <w:szCs w:val="20"/>
        </w:rPr>
        <w:t xml:space="preserve">The McKinsey Global Institute estimates that between USD 12 and 28 trillion could be added to the global GDP by 2025, simply by advancing gender parity. Empowering women has also been shown to yield disproportionate developmental returns, resulting in greater investment towards children’s health, nutrition, and education. </w:t>
      </w:r>
    </w:p>
    <w:p w14:paraId="208D3A49" w14:textId="77777777" w:rsidR="00B46545" w:rsidRDefault="00B46545" w:rsidP="00B46545">
      <w:pPr>
        <w:pBdr>
          <w:top w:val="single" w:sz="4" w:space="1" w:color="auto"/>
          <w:left w:val="single" w:sz="4" w:space="4" w:color="auto"/>
          <w:bottom w:val="single" w:sz="4" w:space="1" w:color="auto"/>
          <w:right w:val="single" w:sz="4" w:space="4" w:color="auto"/>
        </w:pBdr>
        <w:rPr>
          <w:rFonts w:ascii="Calibri" w:hAnsi="Calibri" w:cs="Times New Roman"/>
          <w:sz w:val="20"/>
          <w:szCs w:val="20"/>
        </w:rPr>
      </w:pPr>
      <w:r w:rsidRPr="00201D50">
        <w:rPr>
          <w:rFonts w:ascii="Calibri" w:hAnsi="Calibri" w:cs="Times New Roman"/>
          <w:sz w:val="20"/>
          <w:szCs w:val="20"/>
        </w:rPr>
        <w:t xml:space="preserve">Australia recognises (and has enshrined, in documents such as the </w:t>
      </w:r>
      <w:r w:rsidRPr="00201D50">
        <w:rPr>
          <w:rFonts w:ascii="Calibri" w:hAnsi="Calibri" w:cs="Times New Roman"/>
          <w:i/>
          <w:sz w:val="20"/>
          <w:szCs w:val="20"/>
        </w:rPr>
        <w:t>Gender Equality and Women’s Empowerment Strategy</w:t>
      </w:r>
      <w:r w:rsidRPr="00201D50">
        <w:rPr>
          <w:rFonts w:ascii="Calibri" w:hAnsi="Calibri" w:cs="Times New Roman"/>
          <w:sz w:val="20"/>
          <w:szCs w:val="20"/>
        </w:rPr>
        <w:t xml:space="preserve"> 2016</w:t>
      </w:r>
      <w:r>
        <w:rPr>
          <w:rFonts w:ascii="Calibri" w:hAnsi="Calibri" w:cs="Times New Roman"/>
          <w:sz w:val="20"/>
          <w:szCs w:val="20"/>
        </w:rPr>
        <w:t xml:space="preserve"> </w:t>
      </w:r>
      <w:r w:rsidRPr="00201D50">
        <w:rPr>
          <w:rFonts w:ascii="Calibri" w:hAnsi="Calibri" w:cs="Times New Roman"/>
          <w:sz w:val="20"/>
          <w:szCs w:val="20"/>
        </w:rPr>
        <w:t xml:space="preserve">and the </w:t>
      </w:r>
      <w:r w:rsidRPr="00201D50">
        <w:rPr>
          <w:rFonts w:ascii="Calibri" w:hAnsi="Calibri" w:cs="Times New Roman"/>
          <w:i/>
          <w:sz w:val="20"/>
          <w:szCs w:val="20"/>
        </w:rPr>
        <w:t>Foreign Policy White</w:t>
      </w:r>
      <w:r>
        <w:rPr>
          <w:rFonts w:ascii="Calibri" w:hAnsi="Calibri" w:cs="Times New Roman"/>
          <w:i/>
          <w:sz w:val="20"/>
          <w:szCs w:val="20"/>
        </w:rPr>
        <w:t xml:space="preserve"> </w:t>
      </w:r>
      <w:r w:rsidRPr="00201D50">
        <w:rPr>
          <w:rFonts w:ascii="Calibri" w:hAnsi="Calibri" w:cs="Times New Roman"/>
          <w:i/>
          <w:sz w:val="20"/>
          <w:szCs w:val="20"/>
        </w:rPr>
        <w:t>Paper</w:t>
      </w:r>
      <w:r w:rsidRPr="00201D50">
        <w:rPr>
          <w:rFonts w:ascii="Calibri" w:hAnsi="Calibri" w:cs="Times New Roman"/>
          <w:sz w:val="20"/>
          <w:szCs w:val="20"/>
        </w:rPr>
        <w:t xml:space="preserve"> 2017) the importance of women’s empowerment, as a valuable end </w:t>
      </w:r>
      <w:proofErr w:type="gramStart"/>
      <w:r w:rsidRPr="00201D50">
        <w:rPr>
          <w:rFonts w:ascii="Calibri" w:hAnsi="Calibri" w:cs="Times New Roman"/>
          <w:sz w:val="20"/>
          <w:szCs w:val="20"/>
        </w:rPr>
        <w:t>in itself as well as</w:t>
      </w:r>
      <w:proofErr w:type="gramEnd"/>
      <w:r w:rsidRPr="00201D50">
        <w:rPr>
          <w:rFonts w:ascii="Calibri" w:hAnsi="Calibri" w:cs="Times New Roman"/>
          <w:sz w:val="20"/>
          <w:szCs w:val="20"/>
        </w:rPr>
        <w:t xml:space="preserve"> in achieving inclusive and sustainable development. It has prioritised its international assistance to support initiatives that improve gender </w:t>
      </w:r>
      <w:proofErr w:type="gramStart"/>
      <w:r w:rsidRPr="00201D50">
        <w:rPr>
          <w:rFonts w:ascii="Calibri" w:hAnsi="Calibri" w:cs="Times New Roman"/>
          <w:sz w:val="20"/>
          <w:szCs w:val="20"/>
        </w:rPr>
        <w:t>equality, and</w:t>
      </w:r>
      <w:proofErr w:type="gramEnd"/>
      <w:r w:rsidRPr="00201D50">
        <w:rPr>
          <w:rFonts w:ascii="Calibri" w:hAnsi="Calibri" w:cs="Times New Roman"/>
          <w:sz w:val="20"/>
          <w:szCs w:val="20"/>
        </w:rPr>
        <w:t xml:space="preserve"> has substantially tied its aid performance targets to the realisation of gender outcomes.</w:t>
      </w:r>
      <w:r>
        <w:rPr>
          <w:rFonts w:ascii="Calibri" w:hAnsi="Calibri" w:cs="Times New Roman"/>
          <w:sz w:val="20"/>
          <w:szCs w:val="20"/>
        </w:rPr>
        <w:t xml:space="preserve"> </w:t>
      </w:r>
      <w:r w:rsidRPr="00B67DEF">
        <w:rPr>
          <w:rFonts w:ascii="Calibri" w:hAnsi="Calibri" w:cs="Times New Roman"/>
          <w:sz w:val="20"/>
          <w:szCs w:val="20"/>
        </w:rPr>
        <w:t xml:space="preserve">The programs of gender lens investment which DFAT supports involve partnerships with several fund managers </w:t>
      </w:r>
      <w:r>
        <w:rPr>
          <w:rFonts w:ascii="Calibri" w:hAnsi="Calibri" w:cs="Times New Roman"/>
          <w:sz w:val="20"/>
          <w:szCs w:val="20"/>
        </w:rPr>
        <w:t>with best-practice systems for</w:t>
      </w:r>
      <w:r w:rsidRPr="00B67DEF">
        <w:rPr>
          <w:rFonts w:ascii="Calibri" w:hAnsi="Calibri" w:cs="Times New Roman"/>
          <w:sz w:val="20"/>
          <w:szCs w:val="20"/>
        </w:rPr>
        <w:t xml:space="preserve"> incorporating a gender lens in their investments – Patamar Capital, SEAF, IIX Asia and Women’s World Banking Capital Partners</w:t>
      </w:r>
      <w:r>
        <w:rPr>
          <w:rFonts w:ascii="Calibri" w:hAnsi="Calibri" w:cs="Times New Roman"/>
          <w:sz w:val="20"/>
          <w:szCs w:val="20"/>
        </w:rPr>
        <w:t xml:space="preserve"> – and with contributing think-tanks such as </w:t>
      </w:r>
      <w:r w:rsidRPr="00AF3365">
        <w:rPr>
          <w:rFonts w:ascii="Calibri" w:hAnsi="Calibri" w:cs="Times New Roman"/>
          <w:sz w:val="20"/>
          <w:szCs w:val="20"/>
        </w:rPr>
        <w:t>Criterion Institute</w:t>
      </w:r>
      <w:r>
        <w:rPr>
          <w:rFonts w:ascii="Calibri" w:hAnsi="Calibri" w:cs="Times New Roman"/>
          <w:sz w:val="20"/>
          <w:szCs w:val="20"/>
        </w:rPr>
        <w:t>.</w:t>
      </w:r>
    </w:p>
    <w:p w14:paraId="4AA94D87" w14:textId="6D2EBF7C" w:rsidR="000E0565" w:rsidRDefault="00B46545" w:rsidP="00B46545">
      <w:pPr>
        <w:pBdr>
          <w:top w:val="single" w:sz="4" w:space="1" w:color="auto"/>
          <w:left w:val="single" w:sz="4" w:space="4" w:color="auto"/>
          <w:bottom w:val="single" w:sz="4" w:space="1" w:color="auto"/>
          <w:right w:val="single" w:sz="4" w:space="4" w:color="auto"/>
        </w:pBdr>
        <w:rPr>
          <w:rFonts w:ascii="Calibri" w:eastAsia="MS Mincho" w:hAnsi="Calibri" w:cs="Times New Roman"/>
          <w:lang w:val="en-US"/>
        </w:rPr>
      </w:pPr>
      <w:r w:rsidRPr="00B67DEF">
        <w:rPr>
          <w:rFonts w:ascii="Calibri" w:hAnsi="Calibri" w:cs="Times New Roman"/>
          <w:sz w:val="20"/>
          <w:szCs w:val="20"/>
        </w:rPr>
        <w:t>With the benefit of these partnerships and growing in</w:t>
      </w:r>
      <w:r w:rsidRPr="00B67DEF">
        <w:rPr>
          <w:rFonts w:ascii="Calibri" w:hAnsi="Calibri" w:cs="Times New Roman"/>
          <w:sz w:val="20"/>
          <w:szCs w:val="20"/>
        </w:rPr>
        <w:noBreakHyphen/>
        <w:t>house expertise, DFAT has increas</w:t>
      </w:r>
      <w:r>
        <w:rPr>
          <w:rFonts w:ascii="Calibri" w:hAnsi="Calibri" w:cs="Times New Roman"/>
          <w:sz w:val="20"/>
          <w:szCs w:val="20"/>
        </w:rPr>
        <w:t>ed its</w:t>
      </w:r>
      <w:r w:rsidRPr="00B67DEF">
        <w:rPr>
          <w:rFonts w:ascii="Calibri" w:hAnsi="Calibri" w:cs="Times New Roman"/>
          <w:sz w:val="20"/>
          <w:szCs w:val="20"/>
        </w:rPr>
        <w:t xml:space="preserve"> roles in design and management of recent programs, including the </w:t>
      </w:r>
      <w:r>
        <w:rPr>
          <w:rFonts w:ascii="Calibri" w:hAnsi="Calibri" w:cs="Times New Roman"/>
          <w:sz w:val="20"/>
          <w:szCs w:val="20"/>
        </w:rPr>
        <w:t>EMIIF</w:t>
      </w:r>
      <w:r w:rsidRPr="00B67DEF">
        <w:rPr>
          <w:rFonts w:ascii="Calibri" w:hAnsi="Calibri" w:cs="Times New Roman"/>
          <w:sz w:val="20"/>
          <w:szCs w:val="20"/>
        </w:rPr>
        <w:t xml:space="preserve"> and the Scaling Frontier Innovation Program</w:t>
      </w:r>
    </w:p>
    <w:p w14:paraId="30234520" w14:textId="77777777" w:rsidR="000E0565" w:rsidRDefault="000E0565" w:rsidP="000E0565">
      <w:pPr>
        <w:spacing w:before="120" w:after="120" w:line="240" w:lineRule="auto"/>
        <w:ind w:left="360"/>
        <w:rPr>
          <w:rFonts w:ascii="Calibri" w:eastAsia="MS Mincho" w:hAnsi="Calibri" w:cs="Times New Roman"/>
          <w:lang w:val="en-US"/>
        </w:rPr>
      </w:pPr>
    </w:p>
    <w:p w14:paraId="541FAA2D" w14:textId="77777777" w:rsidR="000E0565" w:rsidRPr="00201D50" w:rsidRDefault="000E0565" w:rsidP="000E0565">
      <w:pPr>
        <w:spacing w:before="120" w:after="120" w:line="240" w:lineRule="auto"/>
        <w:rPr>
          <w:rFonts w:ascii="Calibri" w:eastAsia="MS Mincho" w:hAnsi="Calibri" w:cs="Times New Roman"/>
          <w:b/>
          <w:lang w:val="en-US"/>
        </w:rPr>
      </w:pPr>
      <w:r w:rsidRPr="00201D50">
        <w:rPr>
          <w:rFonts w:ascii="Calibri" w:eastAsia="MS Mincho" w:hAnsi="Calibri" w:cs="Times New Roman"/>
          <w:b/>
          <w:lang w:val="en-US"/>
        </w:rPr>
        <w:t>Some high-priority objectives of Australia’s present</w:t>
      </w:r>
      <w:r>
        <w:rPr>
          <w:rFonts w:ascii="Calibri" w:eastAsia="MS Mincho" w:hAnsi="Calibri" w:cs="Times New Roman"/>
          <w:b/>
          <w:lang w:val="en-US"/>
        </w:rPr>
        <w:t xml:space="preserve"> program </w:t>
      </w:r>
      <w:r w:rsidRPr="00201D50">
        <w:rPr>
          <w:rFonts w:ascii="Calibri" w:eastAsia="MS Mincho" w:hAnsi="Calibri" w:cs="Times New Roman"/>
          <w:b/>
          <w:lang w:val="en-US"/>
        </w:rPr>
        <w:t xml:space="preserve">are being met through funds or intermediaries </w:t>
      </w:r>
      <w:r>
        <w:rPr>
          <w:rFonts w:ascii="Calibri" w:eastAsia="MS Mincho" w:hAnsi="Calibri" w:cs="Times New Roman"/>
          <w:b/>
          <w:lang w:val="en-US"/>
        </w:rPr>
        <w:t>that</w:t>
      </w:r>
      <w:r w:rsidRPr="00201D50">
        <w:rPr>
          <w:rFonts w:ascii="Calibri" w:eastAsia="MS Mincho" w:hAnsi="Calibri" w:cs="Times New Roman"/>
          <w:b/>
          <w:lang w:val="en-US"/>
        </w:rPr>
        <w:t xml:space="preserve"> employ flexible financing methods. They might welcome contributions in matching forms such as equity shares and loans, rather than grants.</w:t>
      </w:r>
    </w:p>
    <w:p w14:paraId="5DD05A1C" w14:textId="77777777" w:rsidR="000E0565" w:rsidRDefault="000E0565" w:rsidP="000E0565">
      <w:pPr>
        <w:spacing w:before="120" w:after="120" w:line="240" w:lineRule="auto"/>
        <w:ind w:left="360"/>
        <w:rPr>
          <w:rFonts w:ascii="Calibri" w:eastAsia="MS Mincho" w:hAnsi="Calibri" w:cs="Times New Roman"/>
          <w:lang w:val="en-US"/>
        </w:rPr>
      </w:pPr>
      <w:r w:rsidRPr="00B67DEF">
        <w:rPr>
          <w:rFonts w:ascii="Calibri" w:eastAsia="MS Mincho" w:hAnsi="Calibri" w:cs="Times New Roman"/>
          <w:lang w:val="en-US"/>
        </w:rPr>
        <w:t>Especially in pursuit of its objectives of gender equality and private sector development</w:t>
      </w:r>
      <w:r>
        <w:rPr>
          <w:rFonts w:ascii="Calibri" w:eastAsia="MS Mincho" w:hAnsi="Calibri" w:cs="Times New Roman"/>
          <w:lang w:val="en-US"/>
        </w:rPr>
        <w:t xml:space="preserve"> (including incubators and accelerators)</w:t>
      </w:r>
      <w:r w:rsidRPr="00B67DEF">
        <w:rPr>
          <w:rFonts w:ascii="Calibri" w:eastAsia="MS Mincho" w:hAnsi="Calibri" w:cs="Times New Roman"/>
          <w:lang w:val="en-US"/>
        </w:rPr>
        <w:t xml:space="preserve">, DFAT currently uses grants to support programs that provide flexible financing for enterprises, including equity and concessional loans.  It seems likely </w:t>
      </w:r>
      <w:r w:rsidRPr="00B67DEF">
        <w:rPr>
          <w:rFonts w:ascii="Calibri" w:eastAsia="MS Mincho" w:hAnsi="Calibri" w:cs="Times New Roman"/>
          <w:lang w:val="en-US"/>
        </w:rPr>
        <w:lastRenderedPageBreak/>
        <w:t>that in at least some of these programs, Australian financing would be more efficient in forms other than grants, and this would be accepted by those agencies and fund managers.</w:t>
      </w:r>
    </w:p>
    <w:p w14:paraId="1D1DD53E" w14:textId="77777777" w:rsidR="000E0565" w:rsidRPr="00201D50" w:rsidRDefault="000E0565" w:rsidP="000E0565">
      <w:pPr>
        <w:spacing w:before="120" w:after="120" w:line="240" w:lineRule="auto"/>
        <w:rPr>
          <w:rFonts w:ascii="Calibri" w:eastAsia="MS Mincho" w:hAnsi="Calibri" w:cs="Times New Roman"/>
          <w:b/>
          <w:lang w:val="en-US"/>
        </w:rPr>
      </w:pPr>
      <w:r w:rsidRPr="00201D50">
        <w:rPr>
          <w:rFonts w:ascii="Calibri" w:eastAsia="MS Mincho" w:hAnsi="Calibri" w:cs="Times New Roman"/>
          <w:b/>
          <w:lang w:val="en-US"/>
        </w:rPr>
        <w:t xml:space="preserve">The use of loans or equity can be positively helpful for </w:t>
      </w:r>
      <w:r w:rsidRPr="006D4200">
        <w:rPr>
          <w:rFonts w:ascii="Calibri" w:eastAsia="MS Mincho" w:hAnsi="Calibri" w:cs="Times New Roman"/>
          <w:b/>
          <w:lang w:val="en-US"/>
        </w:rPr>
        <w:t>development impact</w:t>
      </w:r>
      <w:r w:rsidRPr="00201D50">
        <w:rPr>
          <w:rFonts w:ascii="Calibri" w:eastAsia="MS Mincho" w:hAnsi="Calibri" w:cs="Times New Roman"/>
          <w:b/>
          <w:lang w:val="en-US"/>
        </w:rPr>
        <w:t>, compared with grants, by building business discipline and independence</w:t>
      </w:r>
      <w:r>
        <w:rPr>
          <w:rFonts w:ascii="Calibri" w:eastAsia="MS Mincho" w:hAnsi="Calibri" w:cs="Times New Roman"/>
          <w:b/>
          <w:lang w:val="en-US"/>
        </w:rPr>
        <w:t xml:space="preserve"> and by aligning incentives.</w:t>
      </w:r>
    </w:p>
    <w:p w14:paraId="1C8A62AC" w14:textId="77777777" w:rsidR="000E0565" w:rsidRPr="00201D50" w:rsidRDefault="000E0565" w:rsidP="000E0565">
      <w:pPr>
        <w:spacing w:before="120" w:after="120" w:line="240" w:lineRule="auto"/>
        <w:ind w:left="360"/>
        <w:rPr>
          <w:rFonts w:ascii="Calibri" w:eastAsia="MS Mincho" w:hAnsi="Calibri" w:cs="Times New Roman"/>
          <w:lang w:val="en-US"/>
        </w:rPr>
      </w:pPr>
      <w:r w:rsidRPr="00201D50">
        <w:rPr>
          <w:rFonts w:ascii="Calibri" w:eastAsia="MS Mincho" w:hAnsi="Calibri" w:cs="Times New Roman"/>
          <w:lang w:val="en-US"/>
        </w:rPr>
        <w:t>Loans to SMEs or equity in them (rather than grants) can build financial muscle and the discipline necessary to repay the funds, service the customer, or expand operations. Wh</w:t>
      </w:r>
      <w:r>
        <w:rPr>
          <w:rFonts w:ascii="Calibri" w:eastAsia="MS Mincho" w:hAnsi="Calibri" w:cs="Times New Roman"/>
          <w:lang w:val="en-US"/>
        </w:rPr>
        <w:t>il</w:t>
      </w:r>
      <w:r w:rsidRPr="00201D50">
        <w:rPr>
          <w:rFonts w:ascii="Calibri" w:eastAsia="MS Mincho" w:hAnsi="Calibri" w:cs="Times New Roman"/>
          <w:lang w:val="en-US"/>
        </w:rPr>
        <w:t>e grants can foster dependence</w:t>
      </w:r>
      <w:r>
        <w:rPr>
          <w:rFonts w:ascii="Calibri" w:eastAsia="MS Mincho" w:hAnsi="Calibri" w:cs="Times New Roman"/>
          <w:lang w:val="en-US"/>
        </w:rPr>
        <w:t>,</w:t>
      </w:r>
      <w:r w:rsidRPr="00201D50">
        <w:rPr>
          <w:rFonts w:ascii="Calibri" w:eastAsia="MS Mincho" w:hAnsi="Calibri" w:cs="Times New Roman"/>
          <w:vertAlign w:val="superscript"/>
          <w:lang w:val="en-US"/>
        </w:rPr>
        <w:footnoteReference w:id="41"/>
      </w:r>
      <w:r w:rsidRPr="00201D50">
        <w:rPr>
          <w:rFonts w:ascii="Calibri" w:eastAsia="MS Mincho" w:hAnsi="Calibri" w:cs="Times New Roman"/>
          <w:lang w:val="en-US"/>
        </w:rPr>
        <w:t xml:space="preserve"> investment builds management capacity and market-readiness in investee companies. </w:t>
      </w:r>
      <w:r>
        <w:rPr>
          <w:rFonts w:ascii="Calibri" w:eastAsia="MS Mincho" w:hAnsi="Calibri" w:cs="Times New Roman"/>
          <w:lang w:val="en-US"/>
        </w:rPr>
        <w:t>Participating in emerging businesses through patient or capped equity could provide their other owners with added incentives for achieving development objectives.</w:t>
      </w:r>
    </w:p>
    <w:p w14:paraId="03F82E57" w14:textId="77777777" w:rsidR="000E0565" w:rsidRPr="00201D50" w:rsidRDefault="000E0565" w:rsidP="000E0565">
      <w:pPr>
        <w:spacing w:before="120" w:after="120" w:line="240" w:lineRule="auto"/>
        <w:ind w:left="360"/>
        <w:rPr>
          <w:rFonts w:ascii="Calibri" w:eastAsia="MS Mincho" w:hAnsi="Calibri" w:cs="Times New Roman"/>
          <w:lang w:val="en-US"/>
        </w:rPr>
      </w:pPr>
      <w:r w:rsidRPr="00201D50">
        <w:rPr>
          <w:rFonts w:ascii="Calibri" w:eastAsia="MS Mincho" w:hAnsi="Calibri" w:cs="Times New Roman"/>
          <w:lang w:val="en-US"/>
        </w:rPr>
        <w:t>Microfinance practitioners have found that charging interest on funds provided by donors or investors to microfinance institutions (MFIs) can increase efficiency in terms of numbers of loans and thereby borrowers’ welfare, compared to grant or concessionary funding.</w:t>
      </w:r>
      <w:r w:rsidRPr="00201D50">
        <w:rPr>
          <w:rFonts w:ascii="Calibri" w:eastAsia="MS Mincho" w:hAnsi="Calibri" w:cs="Times New Roman"/>
          <w:vertAlign w:val="superscript"/>
          <w:lang w:val="en-US"/>
        </w:rPr>
        <w:footnoteReference w:id="42"/>
      </w:r>
      <w:r w:rsidRPr="00201D50">
        <w:rPr>
          <w:rFonts w:ascii="Calibri" w:eastAsia="MS Mincho" w:hAnsi="Calibri" w:cs="Times New Roman"/>
          <w:lang w:val="en-US"/>
        </w:rPr>
        <w:t xml:space="preserve"> Pricing loanable funds strengthens the MFIs' incentives to put effort in credit administration or monitoring and/or reduce overhead costs. This brings them closer to being able to sustain similar lending from their own sources of funds.</w:t>
      </w:r>
    </w:p>
    <w:p w14:paraId="63166884" w14:textId="77777777" w:rsidR="000E0565" w:rsidRDefault="000E0565" w:rsidP="000E0565">
      <w:pPr>
        <w:spacing w:before="120" w:after="120" w:line="240" w:lineRule="auto"/>
        <w:ind w:left="360"/>
        <w:rPr>
          <w:rFonts w:ascii="Calibri" w:eastAsia="MS Mincho" w:hAnsi="Calibri" w:cs="Times New Roman"/>
          <w:lang w:val="en-US"/>
        </w:rPr>
      </w:pPr>
      <w:r w:rsidRPr="0071004E">
        <w:rPr>
          <w:rFonts w:ascii="Calibri" w:eastAsia="MS Mincho" w:hAnsi="Calibri" w:cs="Times New Roman"/>
          <w:lang w:val="en-US"/>
        </w:rPr>
        <w:t xml:space="preserve">It </w:t>
      </w:r>
      <w:r>
        <w:rPr>
          <w:rFonts w:ascii="Calibri" w:eastAsia="MS Mincho" w:hAnsi="Calibri" w:cs="Times New Roman"/>
          <w:lang w:val="en-US"/>
        </w:rPr>
        <w:t>may also</w:t>
      </w:r>
      <w:r w:rsidRPr="0071004E">
        <w:rPr>
          <w:rFonts w:ascii="Calibri" w:eastAsia="MS Mincho" w:hAnsi="Calibri" w:cs="Times New Roman"/>
          <w:lang w:val="en-US"/>
        </w:rPr>
        <w:t xml:space="preserve"> </w:t>
      </w:r>
      <w:r>
        <w:rPr>
          <w:rFonts w:ascii="Calibri" w:eastAsia="MS Mincho" w:hAnsi="Calibri" w:cs="Times New Roman"/>
          <w:lang w:val="en-US"/>
        </w:rPr>
        <w:t xml:space="preserve">be </w:t>
      </w:r>
      <w:r w:rsidRPr="0071004E">
        <w:rPr>
          <w:rFonts w:ascii="Calibri" w:eastAsia="MS Mincho" w:hAnsi="Calibri" w:cs="Times New Roman"/>
          <w:lang w:val="en-US"/>
        </w:rPr>
        <w:t>more generally defensible</w:t>
      </w:r>
      <w:r>
        <w:rPr>
          <w:rFonts w:ascii="Calibri" w:eastAsia="MS Mincho" w:hAnsi="Calibri" w:cs="Times New Roman"/>
          <w:lang w:val="en-US"/>
        </w:rPr>
        <w:t>, when</w:t>
      </w:r>
      <w:r w:rsidRPr="0071004E">
        <w:rPr>
          <w:rFonts w:ascii="Calibri" w:eastAsia="MS Mincho" w:hAnsi="Calibri" w:cs="Times New Roman"/>
          <w:lang w:val="en-US"/>
        </w:rPr>
        <w:t xml:space="preserve"> development assistance </w:t>
      </w:r>
      <w:r>
        <w:rPr>
          <w:rFonts w:ascii="Calibri" w:eastAsia="MS Mincho" w:hAnsi="Calibri" w:cs="Times New Roman"/>
          <w:lang w:val="en-US"/>
        </w:rPr>
        <w:t xml:space="preserve">is </w:t>
      </w:r>
      <w:r w:rsidRPr="0071004E">
        <w:rPr>
          <w:rFonts w:ascii="Calibri" w:eastAsia="MS Mincho" w:hAnsi="Calibri" w:cs="Times New Roman"/>
          <w:lang w:val="en-US"/>
        </w:rPr>
        <w:t>provided to for-profit companies</w:t>
      </w:r>
      <w:r>
        <w:rPr>
          <w:rFonts w:ascii="Calibri" w:eastAsia="MS Mincho" w:hAnsi="Calibri" w:cs="Times New Roman"/>
          <w:lang w:val="en-US"/>
        </w:rPr>
        <w:t>, for it</w:t>
      </w:r>
      <w:r w:rsidRPr="0071004E">
        <w:rPr>
          <w:rFonts w:ascii="Calibri" w:eastAsia="MS Mincho" w:hAnsi="Calibri" w:cs="Times New Roman"/>
          <w:lang w:val="en-US"/>
        </w:rPr>
        <w:t xml:space="preserve"> to be in the form of NGF rather than grants.</w:t>
      </w:r>
    </w:p>
    <w:p w14:paraId="6DB47089" w14:textId="77777777" w:rsidR="000E0565" w:rsidRPr="00201D50" w:rsidRDefault="000E0565" w:rsidP="000E0565">
      <w:pPr>
        <w:spacing w:before="120" w:after="120" w:line="240" w:lineRule="auto"/>
        <w:rPr>
          <w:rFonts w:ascii="Calibri" w:eastAsia="MS Mincho" w:hAnsi="Calibri" w:cs="Times New Roman"/>
          <w:b/>
          <w:lang w:val="en-US"/>
        </w:rPr>
      </w:pPr>
      <w:r w:rsidRPr="00FC35BA">
        <w:rPr>
          <w:rFonts w:ascii="Calibri" w:eastAsia="MS Mincho" w:hAnsi="Calibri" w:cs="Times New Roman"/>
          <w:b/>
          <w:lang w:val="en-US"/>
        </w:rPr>
        <w:t>Equity stakes can provide a means of influencing</w:t>
      </w:r>
      <w:r w:rsidRPr="00201D50">
        <w:rPr>
          <w:rFonts w:ascii="Calibri" w:eastAsia="MS Mincho" w:hAnsi="Calibri" w:cs="Times New Roman"/>
          <w:b/>
          <w:lang w:val="en-US"/>
        </w:rPr>
        <w:t xml:space="preserve"> development impact at Board level</w:t>
      </w:r>
    </w:p>
    <w:p w14:paraId="3E4E16C7" w14:textId="1FEC9733" w:rsidR="000E0565" w:rsidRPr="00201D50" w:rsidRDefault="000E0565" w:rsidP="000E0565">
      <w:pPr>
        <w:spacing w:before="120" w:after="120" w:line="240" w:lineRule="auto"/>
        <w:ind w:left="360"/>
        <w:rPr>
          <w:rFonts w:ascii="Calibri" w:eastAsia="MS Mincho" w:hAnsi="Calibri" w:cs="Times New Roman"/>
          <w:lang w:val="en-US"/>
        </w:rPr>
      </w:pPr>
      <w:r w:rsidRPr="00201D50">
        <w:rPr>
          <w:rFonts w:ascii="Calibri" w:eastAsia="MS Mincho" w:hAnsi="Calibri" w:cs="Times New Roman"/>
          <w:lang w:val="en-US"/>
        </w:rPr>
        <w:t>The rights that accompany an ownership share allow access to critical documentation and influence on decision-making for as long as the equity stake is held. These rights could be used, for example, to ensure proper procurement process, to encourage hiring and training of local employees</w:t>
      </w:r>
      <w:r w:rsidR="00E8643E">
        <w:rPr>
          <w:rFonts w:ascii="Calibri" w:eastAsia="MS Mincho" w:hAnsi="Calibri" w:cs="Times New Roman"/>
          <w:lang w:val="en-US"/>
        </w:rPr>
        <w:t xml:space="preserve"> with gender equality</w:t>
      </w:r>
      <w:r w:rsidR="00B7461C">
        <w:rPr>
          <w:rFonts w:ascii="Calibri" w:eastAsia="MS Mincho" w:hAnsi="Calibri" w:cs="Times New Roman"/>
          <w:lang w:val="en-US"/>
        </w:rPr>
        <w:t xml:space="preserve"> and inclusion of </w:t>
      </w:r>
      <w:r w:rsidR="00C407F7">
        <w:rPr>
          <w:rFonts w:ascii="Calibri" w:eastAsia="MS Mincho" w:hAnsi="Calibri" w:cs="Times New Roman"/>
          <w:lang w:val="en-US"/>
        </w:rPr>
        <w:t xml:space="preserve">people </w:t>
      </w:r>
      <w:r w:rsidR="00B7461C">
        <w:rPr>
          <w:rFonts w:ascii="Calibri" w:eastAsia="MS Mincho" w:hAnsi="Calibri" w:cs="Times New Roman"/>
          <w:lang w:val="en-US"/>
        </w:rPr>
        <w:t>with disabilities</w:t>
      </w:r>
      <w:r w:rsidRPr="00201D50">
        <w:rPr>
          <w:rFonts w:ascii="Calibri" w:eastAsia="MS Mincho" w:hAnsi="Calibri" w:cs="Times New Roman"/>
          <w:lang w:val="en-US"/>
        </w:rPr>
        <w:t>, to ensure maintenance in due course, and to promote good governance of the business</w:t>
      </w:r>
      <w:r>
        <w:rPr>
          <w:rFonts w:ascii="Calibri" w:eastAsia="MS Mincho" w:hAnsi="Calibri" w:cs="Times New Roman"/>
          <w:lang w:val="en-US"/>
        </w:rPr>
        <w:t>—</w:t>
      </w:r>
      <w:r w:rsidRPr="00201D50">
        <w:rPr>
          <w:rFonts w:ascii="Calibri" w:eastAsia="MS Mincho" w:hAnsi="Calibri" w:cs="Times New Roman"/>
          <w:lang w:val="en-US"/>
        </w:rPr>
        <w:t>all of which enhance development impact.</w:t>
      </w:r>
    </w:p>
    <w:p w14:paraId="54CCB66B" w14:textId="77777777" w:rsidR="000E0565" w:rsidRPr="00201D50" w:rsidRDefault="000E0565" w:rsidP="000E0565">
      <w:pPr>
        <w:spacing w:before="120" w:after="120" w:line="240" w:lineRule="auto"/>
        <w:ind w:left="360"/>
        <w:rPr>
          <w:rFonts w:ascii="Calibri" w:eastAsia="MS Mincho" w:hAnsi="Calibri" w:cs="Times New Roman"/>
          <w:lang w:val="en-US"/>
        </w:rPr>
      </w:pPr>
      <w:r w:rsidRPr="00201D50">
        <w:rPr>
          <w:rFonts w:ascii="Calibri" w:eastAsia="MS Mincho" w:hAnsi="Calibri" w:cs="Times New Roman"/>
          <w:lang w:val="en-US"/>
        </w:rPr>
        <w:t>In businesses which are prominent in the economies of Pacific island countries, regular involvement as an equity holder (for example at monthly management or board meetings) would offer a long</w:t>
      </w:r>
      <w:r w:rsidRPr="00201D50">
        <w:rPr>
          <w:rFonts w:ascii="Calibri" w:eastAsia="MS Mincho" w:hAnsi="Calibri" w:cs="Times New Roman"/>
          <w:lang w:val="en-US"/>
        </w:rPr>
        <w:noBreakHyphen/>
        <w:t>term opportunity for relationship development</w:t>
      </w:r>
      <w:r>
        <w:rPr>
          <w:rFonts w:ascii="Calibri" w:eastAsia="MS Mincho" w:hAnsi="Calibri" w:cs="Times New Roman"/>
          <w:lang w:val="en-US"/>
        </w:rPr>
        <w:t>—</w:t>
      </w:r>
      <w:r w:rsidRPr="00201D50">
        <w:rPr>
          <w:rFonts w:ascii="Calibri" w:eastAsia="MS Mincho" w:hAnsi="Calibri" w:cs="Times New Roman"/>
          <w:lang w:val="en-US"/>
        </w:rPr>
        <w:t xml:space="preserve">and so for influence more broadly than on the business itself. It would also make </w:t>
      </w:r>
      <w:r>
        <w:rPr>
          <w:rFonts w:ascii="Calibri" w:eastAsia="MS Mincho" w:hAnsi="Calibri" w:cs="Times New Roman"/>
          <w:lang w:val="en-US"/>
        </w:rPr>
        <w:t>Australia</w:t>
      </w:r>
      <w:r w:rsidRPr="00201D50">
        <w:rPr>
          <w:rFonts w:ascii="Calibri" w:eastAsia="MS Mincho" w:hAnsi="Calibri" w:cs="Times New Roman"/>
          <w:lang w:val="en-US"/>
        </w:rPr>
        <w:t xml:space="preserve">’s contribution continually visible. </w:t>
      </w:r>
    </w:p>
    <w:p w14:paraId="4C7F16D0" w14:textId="77777777" w:rsidR="000E0565" w:rsidRPr="00201D50" w:rsidRDefault="000E0565" w:rsidP="000E0565">
      <w:pPr>
        <w:spacing w:before="120" w:after="120" w:line="240" w:lineRule="auto"/>
        <w:rPr>
          <w:rFonts w:ascii="Calibri" w:eastAsia="MS Mincho" w:hAnsi="Calibri" w:cs="Times New Roman"/>
          <w:b/>
          <w:lang w:val="en-US"/>
        </w:rPr>
      </w:pPr>
      <w:r w:rsidRPr="00201D50">
        <w:rPr>
          <w:rFonts w:ascii="Calibri" w:eastAsia="MS Mincho" w:hAnsi="Calibri" w:cs="Times New Roman"/>
          <w:b/>
          <w:lang w:val="en-US"/>
        </w:rPr>
        <w:t xml:space="preserve">However, being an active equity investor is costly in terms of </w:t>
      </w:r>
      <w:proofErr w:type="gramStart"/>
      <w:r w:rsidRPr="00201D50">
        <w:rPr>
          <w:rFonts w:ascii="Calibri" w:eastAsia="MS Mincho" w:hAnsi="Calibri" w:cs="Times New Roman"/>
          <w:b/>
          <w:lang w:val="en-US"/>
        </w:rPr>
        <w:t>resources, and</w:t>
      </w:r>
      <w:proofErr w:type="gramEnd"/>
      <w:r w:rsidRPr="00201D50">
        <w:rPr>
          <w:rFonts w:ascii="Calibri" w:eastAsia="MS Mincho" w:hAnsi="Calibri" w:cs="Times New Roman"/>
          <w:b/>
          <w:lang w:val="en-US"/>
        </w:rPr>
        <w:t xml:space="preserve"> involves more reputational risk than being a financier. </w:t>
      </w:r>
    </w:p>
    <w:p w14:paraId="429B11A3" w14:textId="77777777" w:rsidR="000E0565" w:rsidRPr="00201D50" w:rsidRDefault="000E0565" w:rsidP="000E0565">
      <w:pPr>
        <w:spacing w:before="120" w:after="120" w:line="240" w:lineRule="auto"/>
        <w:ind w:left="360"/>
        <w:rPr>
          <w:rFonts w:ascii="Calibri" w:eastAsia="MS Mincho" w:hAnsi="Calibri" w:cs="Times New Roman"/>
          <w:lang w:val="en-US"/>
        </w:rPr>
      </w:pPr>
      <w:r w:rsidRPr="00201D50">
        <w:rPr>
          <w:rFonts w:ascii="Calibri" w:eastAsia="MS Mincho" w:hAnsi="Calibri" w:cs="Times New Roman"/>
          <w:lang w:val="en-US"/>
        </w:rPr>
        <w:t xml:space="preserve">Such a role should be chosen only selectively, either through funds or in companies. In general, the additional resourcing and risk involved are likely to be justified only where </w:t>
      </w:r>
      <w:r>
        <w:rPr>
          <w:rFonts w:ascii="Calibri" w:eastAsia="MS Mincho" w:hAnsi="Calibri" w:cs="Times New Roman"/>
          <w:lang w:val="en-US"/>
        </w:rPr>
        <w:t>Australia</w:t>
      </w:r>
      <w:r w:rsidRPr="00201D50">
        <w:rPr>
          <w:rFonts w:ascii="Calibri" w:eastAsia="MS Mincho" w:hAnsi="Calibri" w:cs="Times New Roman"/>
          <w:lang w:val="en-US"/>
        </w:rPr>
        <w:t xml:space="preserve"> envisages, for whatever mix of development and foreign</w:t>
      </w:r>
      <w:r w:rsidRPr="00201D50">
        <w:rPr>
          <w:rFonts w:ascii="Calibri" w:eastAsia="MS Mincho" w:hAnsi="Calibri" w:cs="Times New Roman"/>
          <w:lang w:val="en-US"/>
        </w:rPr>
        <w:noBreakHyphen/>
        <w:t>policy purposes, to maintain for at least some years a close relationship with the entity involved, and any government agency which figures in its business environment.</w:t>
      </w:r>
    </w:p>
    <w:p w14:paraId="52007F84" w14:textId="77777777" w:rsidR="000E0565" w:rsidRPr="00201D50" w:rsidRDefault="000E0565" w:rsidP="000E0565">
      <w:pPr>
        <w:spacing w:before="120" w:after="120" w:line="240" w:lineRule="auto"/>
        <w:rPr>
          <w:rFonts w:ascii="Calibri" w:eastAsia="MS Mincho" w:hAnsi="Calibri" w:cs="Times New Roman"/>
          <w:b/>
          <w:lang w:val="en-US"/>
        </w:rPr>
      </w:pPr>
      <w:r>
        <w:rPr>
          <w:rFonts w:ascii="Calibri" w:eastAsia="MS Mincho" w:hAnsi="Calibri" w:cs="Times New Roman"/>
          <w:b/>
          <w:lang w:val="en-US"/>
        </w:rPr>
        <w:t>NGF</w:t>
      </w:r>
      <w:r w:rsidRPr="00201D50">
        <w:rPr>
          <w:rFonts w:ascii="Calibri" w:eastAsia="MS Mincho" w:hAnsi="Calibri" w:cs="Times New Roman"/>
          <w:b/>
          <w:lang w:val="en-US"/>
        </w:rPr>
        <w:t xml:space="preserve"> can magnify the development impact from each dollar of assistance by </w:t>
      </w:r>
      <w:r>
        <w:rPr>
          <w:rFonts w:ascii="Calibri" w:eastAsia="MS Mincho" w:hAnsi="Calibri" w:cs="Times New Roman"/>
          <w:b/>
          <w:lang w:val="en-US"/>
        </w:rPr>
        <w:t>catalyzing and crowding in</w:t>
      </w:r>
      <w:r w:rsidRPr="00201D50">
        <w:rPr>
          <w:rFonts w:ascii="Calibri" w:eastAsia="MS Mincho" w:hAnsi="Calibri" w:cs="Times New Roman"/>
          <w:b/>
          <w:lang w:val="en-US"/>
        </w:rPr>
        <w:t xml:space="preserve"> other investment</w:t>
      </w:r>
    </w:p>
    <w:p w14:paraId="7828DAF8" w14:textId="3645CF58" w:rsidR="000E0565" w:rsidRPr="00201D50" w:rsidRDefault="000E0565" w:rsidP="000E0565">
      <w:pPr>
        <w:spacing w:before="120" w:after="120" w:line="240" w:lineRule="auto"/>
        <w:ind w:left="360"/>
        <w:rPr>
          <w:rFonts w:ascii="Calibri" w:eastAsia="MS Mincho" w:hAnsi="Calibri" w:cs="Times New Roman"/>
          <w:lang w:val="en-US"/>
        </w:rPr>
      </w:pPr>
      <w:proofErr w:type="spellStart"/>
      <w:r w:rsidRPr="00201D50">
        <w:rPr>
          <w:rFonts w:ascii="Calibri" w:eastAsia="MS Mincho" w:hAnsi="Calibri" w:cs="Times New Roman"/>
          <w:lang w:val="en-US"/>
        </w:rPr>
        <w:t>GuarantCo</w:t>
      </w:r>
      <w:proofErr w:type="spellEnd"/>
      <w:r w:rsidRPr="00201D50">
        <w:rPr>
          <w:rFonts w:ascii="Calibri" w:eastAsia="MS Mincho" w:hAnsi="Calibri" w:cs="Times New Roman"/>
          <w:lang w:val="en-US"/>
        </w:rPr>
        <w:t xml:space="preserve"> provides local currency guarantees for infrastructure financing and dollar</w:t>
      </w:r>
      <w:r w:rsidRPr="00201D50">
        <w:rPr>
          <w:rFonts w:ascii="Calibri" w:eastAsia="MS Mincho" w:hAnsi="Calibri" w:cs="Times New Roman"/>
          <w:lang w:val="en-US"/>
        </w:rPr>
        <w:noBreakHyphen/>
        <w:t xml:space="preserve">denominated guarantees in fragile and conflict-affected countries. Over </w:t>
      </w:r>
      <w:r>
        <w:rPr>
          <w:rFonts w:ascii="Calibri" w:eastAsia="MS Mincho" w:hAnsi="Calibri" w:cs="Times New Roman"/>
          <w:lang w:val="en-US"/>
        </w:rPr>
        <w:t>ten</w:t>
      </w:r>
      <w:r w:rsidRPr="00201D50">
        <w:rPr>
          <w:rFonts w:ascii="Calibri" w:eastAsia="MS Mincho" w:hAnsi="Calibri" w:cs="Times New Roman"/>
          <w:lang w:val="en-US"/>
        </w:rPr>
        <w:t xml:space="preserve"> years, its</w:t>
      </w:r>
      <w:r>
        <w:rPr>
          <w:rFonts w:ascii="Calibri" w:eastAsia="MS Mincho" w:hAnsi="Calibri" w:cs="Times New Roman"/>
          <w:lang w:val="en-US"/>
        </w:rPr>
        <w:t xml:space="preserve"> </w:t>
      </w:r>
      <w:r w:rsidR="00800236">
        <w:rPr>
          <w:rFonts w:ascii="Calibri" w:eastAsia="MS Mincho" w:hAnsi="Calibri" w:cs="Times New Roman"/>
          <w:lang w:val="en-US"/>
        </w:rPr>
        <w:lastRenderedPageBreak/>
        <w:t>US$</w:t>
      </w:r>
      <w:r>
        <w:rPr>
          <w:rFonts w:ascii="Calibri" w:eastAsia="MS Mincho" w:hAnsi="Calibri" w:cs="Times New Roman"/>
          <w:lang w:val="en-US"/>
        </w:rPr>
        <w:t> </w:t>
      </w:r>
      <w:r w:rsidRPr="00201D50">
        <w:rPr>
          <w:rFonts w:ascii="Calibri" w:eastAsia="MS Mincho" w:hAnsi="Calibri" w:cs="Times New Roman"/>
          <w:lang w:val="en-US"/>
        </w:rPr>
        <w:t xml:space="preserve">300 million in funding has </w:t>
      </w:r>
      <w:proofErr w:type="spellStart"/>
      <w:r w:rsidRPr="00201D50">
        <w:rPr>
          <w:rFonts w:ascii="Calibri" w:eastAsia="MS Mincho" w:hAnsi="Calibri" w:cs="Times New Roman"/>
          <w:lang w:val="en-US"/>
        </w:rPr>
        <w:t>catalysed</w:t>
      </w:r>
      <w:proofErr w:type="spellEnd"/>
      <w:r w:rsidRPr="00201D50">
        <w:rPr>
          <w:rFonts w:ascii="Calibri" w:eastAsia="MS Mincho" w:hAnsi="Calibri" w:cs="Times New Roman"/>
          <w:lang w:val="en-US"/>
        </w:rPr>
        <w:t xml:space="preserve"> investment commitment of </w:t>
      </w:r>
      <w:r w:rsidR="00800236">
        <w:rPr>
          <w:rFonts w:ascii="Calibri" w:eastAsia="MS Mincho" w:hAnsi="Calibri" w:cs="Times New Roman"/>
          <w:lang w:val="en-US"/>
        </w:rPr>
        <w:t>US$</w:t>
      </w:r>
      <w:r>
        <w:rPr>
          <w:rFonts w:ascii="Calibri" w:eastAsia="MS Mincho" w:hAnsi="Calibri" w:cs="Times New Roman"/>
          <w:lang w:val="en-US"/>
        </w:rPr>
        <w:t xml:space="preserve"> </w:t>
      </w:r>
      <w:r w:rsidRPr="00201D50">
        <w:rPr>
          <w:rFonts w:ascii="Calibri" w:eastAsia="MS Mincho" w:hAnsi="Calibri" w:cs="Times New Roman"/>
          <w:lang w:val="en-US"/>
        </w:rPr>
        <w:t xml:space="preserve">4.7 billion, of which </w:t>
      </w:r>
      <w:r w:rsidR="00800236">
        <w:rPr>
          <w:rFonts w:ascii="Calibri" w:eastAsia="MS Mincho" w:hAnsi="Calibri" w:cs="Times New Roman"/>
          <w:lang w:val="en-US"/>
        </w:rPr>
        <w:t>US$</w:t>
      </w:r>
      <w:r>
        <w:rPr>
          <w:rFonts w:ascii="Calibri" w:eastAsia="MS Mincho" w:hAnsi="Calibri" w:cs="Times New Roman"/>
          <w:lang w:val="en-US"/>
        </w:rPr>
        <w:t xml:space="preserve"> </w:t>
      </w:r>
      <w:r w:rsidRPr="00201D50">
        <w:rPr>
          <w:rFonts w:ascii="Calibri" w:eastAsia="MS Mincho" w:hAnsi="Calibri" w:cs="Times New Roman"/>
          <w:lang w:val="en-US"/>
        </w:rPr>
        <w:t>3.8 billion is private sector.</w:t>
      </w:r>
      <w:r>
        <w:rPr>
          <w:rStyle w:val="FootnoteReference"/>
          <w:rFonts w:ascii="Calibri" w:eastAsia="MS Mincho" w:hAnsi="Calibri" w:cs="Times New Roman"/>
          <w:lang w:val="en-US"/>
        </w:rPr>
        <w:footnoteReference w:id="43"/>
      </w:r>
    </w:p>
    <w:p w14:paraId="52654B23" w14:textId="348B0334" w:rsidR="000E0565" w:rsidRPr="00201D50" w:rsidRDefault="000E0565" w:rsidP="000E0565">
      <w:pPr>
        <w:spacing w:before="120" w:after="120" w:line="240" w:lineRule="auto"/>
        <w:ind w:left="360"/>
        <w:rPr>
          <w:rFonts w:ascii="Calibri" w:eastAsia="MS Mincho" w:hAnsi="Calibri" w:cs="Times New Roman"/>
          <w:lang w:val="en-US"/>
        </w:rPr>
      </w:pPr>
      <w:r w:rsidRPr="00201D50">
        <w:rPr>
          <w:rFonts w:ascii="Calibri" w:eastAsia="MS Mincho" w:hAnsi="Calibri" w:cs="Times New Roman"/>
          <w:lang w:val="en-US"/>
        </w:rPr>
        <w:t xml:space="preserve">Small amounts of first-loss cover, or partial guarantees, can release significant multiples of capital for investments that generate </w:t>
      </w:r>
      <w:r w:rsidRPr="006D4200">
        <w:rPr>
          <w:rFonts w:ascii="Calibri" w:eastAsia="MS Mincho" w:hAnsi="Calibri" w:cs="Times New Roman"/>
          <w:lang w:val="en-US"/>
        </w:rPr>
        <w:t>development impact</w:t>
      </w:r>
      <w:r w:rsidRPr="00201D50">
        <w:rPr>
          <w:rFonts w:ascii="Calibri" w:eastAsia="MS Mincho" w:hAnsi="Calibri" w:cs="Times New Roman"/>
          <w:lang w:val="en-US"/>
        </w:rPr>
        <w:t xml:space="preserve">. For example, the IIX Women’s Livelihood Bond, raised </w:t>
      </w:r>
      <w:r w:rsidR="00800236">
        <w:rPr>
          <w:rFonts w:ascii="Calibri" w:eastAsia="MS Mincho" w:hAnsi="Calibri" w:cs="Times New Roman"/>
          <w:lang w:val="en-US"/>
        </w:rPr>
        <w:t>US$</w:t>
      </w:r>
      <w:r>
        <w:rPr>
          <w:rFonts w:ascii="Calibri" w:eastAsia="MS Mincho" w:hAnsi="Calibri" w:cs="Times New Roman"/>
          <w:lang w:val="en-US"/>
        </w:rPr>
        <w:t xml:space="preserve"> </w:t>
      </w:r>
      <w:r w:rsidRPr="00201D50">
        <w:rPr>
          <w:rFonts w:ascii="Calibri" w:eastAsia="MS Mincho" w:hAnsi="Calibri" w:cs="Times New Roman"/>
          <w:lang w:val="en-US"/>
        </w:rPr>
        <w:t>7.5</w:t>
      </w:r>
      <w:r>
        <w:rPr>
          <w:rFonts w:ascii="Calibri" w:eastAsia="MS Mincho" w:hAnsi="Calibri" w:cs="Times New Roman"/>
          <w:lang w:val="en-US"/>
        </w:rPr>
        <w:t xml:space="preserve"> million</w:t>
      </w:r>
      <w:r w:rsidRPr="00201D50">
        <w:rPr>
          <w:rFonts w:ascii="Calibri" w:eastAsia="MS Mincho" w:hAnsi="Calibri" w:cs="Times New Roman"/>
          <w:lang w:val="en-US"/>
        </w:rPr>
        <w:t xml:space="preserve"> using a </w:t>
      </w:r>
      <w:r w:rsidR="00800236">
        <w:rPr>
          <w:rFonts w:ascii="Calibri" w:eastAsia="MS Mincho" w:hAnsi="Calibri" w:cs="Times New Roman"/>
          <w:lang w:val="en-US"/>
        </w:rPr>
        <w:t>US$</w:t>
      </w:r>
      <w:r>
        <w:rPr>
          <w:rFonts w:ascii="Calibri" w:eastAsia="MS Mincho" w:hAnsi="Calibri" w:cs="Times New Roman"/>
          <w:lang w:val="en-US"/>
        </w:rPr>
        <w:t xml:space="preserve"> </w:t>
      </w:r>
      <w:r w:rsidRPr="00201D50">
        <w:rPr>
          <w:rFonts w:ascii="Calibri" w:eastAsia="MS Mincho" w:hAnsi="Calibri" w:cs="Times New Roman"/>
          <w:lang w:val="en-US"/>
        </w:rPr>
        <w:t>500,000 first loss piece and a 50% partial guarantee from USAID and DFAT.</w:t>
      </w:r>
    </w:p>
    <w:p w14:paraId="13005F0D" w14:textId="77777777" w:rsidR="000E0565" w:rsidRDefault="000E0565" w:rsidP="000E0565">
      <w:pPr>
        <w:spacing w:before="120" w:after="120" w:line="240" w:lineRule="auto"/>
        <w:ind w:left="360"/>
        <w:rPr>
          <w:rFonts w:ascii="Calibri" w:eastAsia="MS Mincho" w:hAnsi="Calibri" w:cs="Times New Roman"/>
          <w:lang w:val="en-US"/>
        </w:rPr>
      </w:pPr>
      <w:r w:rsidRPr="00201D50">
        <w:rPr>
          <w:rFonts w:ascii="Calibri" w:eastAsia="MS Mincho" w:hAnsi="Calibri" w:cs="Times New Roman"/>
          <w:lang w:val="en-US"/>
        </w:rPr>
        <w:t xml:space="preserve">For this reason, first-loss cover is a tool now in widespread use through cooperation between MDBs and donors, to reduce an obstacle for local </w:t>
      </w:r>
      <w:r w:rsidRPr="005635F3">
        <w:rPr>
          <w:rFonts w:ascii="Calibri" w:eastAsia="MS Mincho" w:hAnsi="Calibri" w:cs="Times New Roman"/>
          <w:lang w:val="en-US"/>
        </w:rPr>
        <w:t xml:space="preserve">financial institutions </w:t>
      </w:r>
      <w:r>
        <w:rPr>
          <w:rFonts w:ascii="Calibri" w:eastAsia="MS Mincho" w:hAnsi="Calibri" w:cs="Times New Roman"/>
          <w:lang w:val="en-US"/>
        </w:rPr>
        <w:t>(</w:t>
      </w:r>
      <w:r w:rsidRPr="00201D50">
        <w:rPr>
          <w:rFonts w:ascii="Calibri" w:eastAsia="MS Mincho" w:hAnsi="Calibri" w:cs="Times New Roman"/>
          <w:lang w:val="en-US"/>
        </w:rPr>
        <w:t>FIs</w:t>
      </w:r>
      <w:r>
        <w:rPr>
          <w:rFonts w:ascii="Calibri" w:eastAsia="MS Mincho" w:hAnsi="Calibri" w:cs="Times New Roman"/>
          <w:lang w:val="en-US"/>
        </w:rPr>
        <w:t>)</w:t>
      </w:r>
      <w:r w:rsidRPr="00201D50">
        <w:rPr>
          <w:rFonts w:ascii="Calibri" w:eastAsia="MS Mincho" w:hAnsi="Calibri" w:cs="Times New Roman"/>
          <w:lang w:val="en-US"/>
        </w:rPr>
        <w:t xml:space="preserve"> to extend their lending in ways that serve development</w:t>
      </w:r>
      <w:r>
        <w:rPr>
          <w:rFonts w:ascii="Calibri" w:eastAsia="MS Mincho" w:hAnsi="Calibri" w:cs="Times New Roman"/>
          <w:lang w:val="en-US"/>
        </w:rPr>
        <w:t>—</w:t>
      </w:r>
      <w:r w:rsidRPr="00201D50">
        <w:rPr>
          <w:rFonts w:ascii="Calibri" w:eastAsia="MS Mincho" w:hAnsi="Calibri" w:cs="Times New Roman"/>
          <w:lang w:val="en-US"/>
        </w:rPr>
        <w:t xml:space="preserve">that is, to groups targeted for the sake of social inclusion, fostering employment or reducing </w:t>
      </w:r>
      <w:r>
        <w:rPr>
          <w:rFonts w:ascii="Calibri" w:eastAsia="MS Mincho" w:hAnsi="Calibri" w:cs="Times New Roman"/>
          <w:lang w:val="en-US"/>
        </w:rPr>
        <w:t>greenhouse gas</w:t>
      </w:r>
      <w:r w:rsidRPr="00201D50">
        <w:rPr>
          <w:rFonts w:ascii="Calibri" w:eastAsia="MS Mincho" w:hAnsi="Calibri" w:cs="Times New Roman"/>
          <w:lang w:val="en-US"/>
        </w:rPr>
        <w:t xml:space="preserve"> emissions</w:t>
      </w:r>
      <w:r>
        <w:rPr>
          <w:rFonts w:ascii="Calibri" w:eastAsia="MS Mincho" w:hAnsi="Calibri" w:cs="Times New Roman"/>
          <w:lang w:val="en-US"/>
        </w:rPr>
        <w:t>.</w:t>
      </w:r>
      <w:r w:rsidRPr="00201D50">
        <w:rPr>
          <w:rFonts w:ascii="Calibri" w:eastAsia="MS Mincho" w:hAnsi="Calibri" w:cs="Times New Roman"/>
          <w:vertAlign w:val="superscript"/>
          <w:lang w:val="en-US"/>
        </w:rPr>
        <w:footnoteReference w:id="44"/>
      </w:r>
      <w:r w:rsidRPr="00201D50">
        <w:rPr>
          <w:rFonts w:ascii="Calibri" w:eastAsia="MS Mincho" w:hAnsi="Calibri" w:cs="Times New Roman"/>
          <w:lang w:val="en-US"/>
        </w:rPr>
        <w:t xml:space="preserve"> Donors usually provide support in grant form, but repayable grants can serve the same purpose, and for </w:t>
      </w:r>
      <w:r>
        <w:rPr>
          <w:rFonts w:ascii="Calibri" w:eastAsia="MS Mincho" w:hAnsi="Calibri" w:cs="Times New Roman"/>
          <w:lang w:val="en-US"/>
        </w:rPr>
        <w:t>Australia</w:t>
      </w:r>
      <w:r w:rsidRPr="00201D50">
        <w:rPr>
          <w:rFonts w:ascii="Calibri" w:eastAsia="MS Mincho" w:hAnsi="Calibri" w:cs="Times New Roman"/>
          <w:lang w:val="en-US"/>
        </w:rPr>
        <w:t xml:space="preserve"> could represent more efficient use of funds. </w:t>
      </w:r>
    </w:p>
    <w:p w14:paraId="104B2754" w14:textId="77777777" w:rsidR="000E0565" w:rsidRPr="00201D50" w:rsidRDefault="000E0565" w:rsidP="000E0565">
      <w:pPr>
        <w:spacing w:before="120" w:after="120" w:line="240" w:lineRule="auto"/>
        <w:ind w:left="360"/>
        <w:rPr>
          <w:rFonts w:ascii="Calibri" w:eastAsia="MS Mincho" w:hAnsi="Calibri" w:cs="Times New Roman"/>
          <w:lang w:val="en-US"/>
        </w:rPr>
      </w:pPr>
      <w:r w:rsidRPr="00421A20">
        <w:rPr>
          <w:rFonts w:ascii="Calibri" w:eastAsia="MS Mincho" w:hAnsi="Calibri" w:cs="Times New Roman"/>
          <w:lang w:val="en-US"/>
        </w:rPr>
        <w:t>Social impact investing</w:t>
      </w:r>
      <w:r w:rsidRPr="00B75A76">
        <w:rPr>
          <w:rFonts w:ascii="Calibri" w:eastAsia="MS Mincho" w:hAnsi="Calibri" w:cs="Times New Roman"/>
          <w:lang w:val="en-US"/>
        </w:rPr>
        <w:t xml:space="preserve"> </w:t>
      </w:r>
      <w:r>
        <w:rPr>
          <w:rFonts w:ascii="Calibri" w:eastAsia="MS Mincho" w:hAnsi="Calibri" w:cs="Times New Roman"/>
          <w:lang w:val="en-US"/>
        </w:rPr>
        <w:t>can, as well as</w:t>
      </w:r>
      <w:r w:rsidRPr="00421A20">
        <w:rPr>
          <w:rFonts w:ascii="Calibri" w:eastAsia="MS Mincho" w:hAnsi="Calibri" w:cs="Times New Roman"/>
          <w:lang w:val="en-US"/>
        </w:rPr>
        <w:t xml:space="preserve"> leverag</w:t>
      </w:r>
      <w:r>
        <w:rPr>
          <w:rFonts w:ascii="Calibri" w:eastAsia="MS Mincho" w:hAnsi="Calibri" w:cs="Times New Roman"/>
          <w:lang w:val="en-US"/>
        </w:rPr>
        <w:t>ing</w:t>
      </w:r>
      <w:r w:rsidRPr="00421A20">
        <w:rPr>
          <w:rFonts w:ascii="Calibri" w:eastAsia="MS Mincho" w:hAnsi="Calibri" w:cs="Times New Roman"/>
          <w:lang w:val="en-US"/>
        </w:rPr>
        <w:t xml:space="preserve"> private funding</w:t>
      </w:r>
      <w:r>
        <w:rPr>
          <w:rFonts w:ascii="Calibri" w:eastAsia="MS Mincho" w:hAnsi="Calibri" w:cs="Times New Roman"/>
          <w:lang w:val="en-US"/>
        </w:rPr>
        <w:t>, bring</w:t>
      </w:r>
      <w:r w:rsidRPr="00421A20">
        <w:rPr>
          <w:rFonts w:ascii="Calibri" w:eastAsia="MS Mincho" w:hAnsi="Calibri" w:cs="Times New Roman"/>
          <w:lang w:val="en-US"/>
        </w:rPr>
        <w:t xml:space="preserve"> private</w:t>
      </w:r>
      <w:r>
        <w:rPr>
          <w:rFonts w:ascii="Calibri" w:eastAsia="MS Mincho" w:hAnsi="Calibri" w:cs="Times New Roman"/>
          <w:lang w:val="en-US"/>
        </w:rPr>
        <w:t>-</w:t>
      </w:r>
      <w:r w:rsidRPr="00421A20">
        <w:rPr>
          <w:rFonts w:ascii="Calibri" w:eastAsia="MS Mincho" w:hAnsi="Calibri" w:cs="Times New Roman"/>
          <w:lang w:val="en-US"/>
        </w:rPr>
        <w:t xml:space="preserve">sector </w:t>
      </w:r>
      <w:r>
        <w:rPr>
          <w:rFonts w:ascii="Calibri" w:eastAsia="MS Mincho" w:hAnsi="Calibri" w:cs="Times New Roman"/>
          <w:lang w:val="en-US"/>
        </w:rPr>
        <w:t>know-how</w:t>
      </w:r>
      <w:r w:rsidRPr="00421A20">
        <w:rPr>
          <w:rFonts w:ascii="Calibri" w:eastAsia="MS Mincho" w:hAnsi="Calibri" w:cs="Times New Roman"/>
          <w:lang w:val="en-US"/>
        </w:rPr>
        <w:t xml:space="preserve"> </w:t>
      </w:r>
      <w:r>
        <w:rPr>
          <w:rFonts w:ascii="Calibri" w:eastAsia="MS Mincho" w:hAnsi="Calibri" w:cs="Times New Roman"/>
          <w:lang w:val="en-US"/>
        </w:rPr>
        <w:t>to help</w:t>
      </w:r>
      <w:r w:rsidRPr="00421A20">
        <w:rPr>
          <w:rFonts w:ascii="Calibri" w:eastAsia="MS Mincho" w:hAnsi="Calibri" w:cs="Times New Roman"/>
          <w:lang w:val="en-US"/>
        </w:rPr>
        <w:t xml:space="preserve"> </w:t>
      </w:r>
      <w:r>
        <w:rPr>
          <w:rFonts w:ascii="Calibri" w:eastAsia="MS Mincho" w:hAnsi="Calibri" w:cs="Times New Roman"/>
          <w:lang w:val="en-US"/>
        </w:rPr>
        <w:t xml:space="preserve">emerging </w:t>
      </w:r>
      <w:r w:rsidRPr="00421A20">
        <w:rPr>
          <w:rFonts w:ascii="Calibri" w:eastAsia="MS Mincho" w:hAnsi="Calibri" w:cs="Times New Roman"/>
          <w:lang w:val="en-US"/>
        </w:rPr>
        <w:t>business</w:t>
      </w:r>
      <w:r>
        <w:rPr>
          <w:rFonts w:ascii="Calibri" w:eastAsia="MS Mincho" w:hAnsi="Calibri" w:cs="Times New Roman"/>
          <w:lang w:val="en-US"/>
        </w:rPr>
        <w:t xml:space="preserve">es </w:t>
      </w:r>
      <w:r w:rsidRPr="00421A20">
        <w:rPr>
          <w:rFonts w:ascii="Calibri" w:eastAsia="MS Mincho" w:hAnsi="Calibri" w:cs="Times New Roman"/>
          <w:lang w:val="en-US"/>
        </w:rPr>
        <w:t xml:space="preserve">develop </w:t>
      </w:r>
      <w:r>
        <w:rPr>
          <w:rFonts w:ascii="Calibri" w:eastAsia="MS Mincho" w:hAnsi="Calibri" w:cs="Times New Roman"/>
          <w:lang w:val="en-US"/>
        </w:rPr>
        <w:t>into ones</w:t>
      </w:r>
      <w:r w:rsidRPr="00421A20">
        <w:rPr>
          <w:rFonts w:ascii="Calibri" w:eastAsia="MS Mincho" w:hAnsi="Calibri" w:cs="Times New Roman"/>
          <w:lang w:val="en-US"/>
        </w:rPr>
        <w:t xml:space="preserve"> that provide revenue, </w:t>
      </w:r>
      <w:proofErr w:type="gramStart"/>
      <w:r w:rsidRPr="00421A20">
        <w:rPr>
          <w:rFonts w:ascii="Calibri" w:eastAsia="MS Mincho" w:hAnsi="Calibri" w:cs="Times New Roman"/>
          <w:lang w:val="en-US"/>
        </w:rPr>
        <w:t>jobs</w:t>
      </w:r>
      <w:proofErr w:type="gramEnd"/>
      <w:r w:rsidRPr="00421A20">
        <w:rPr>
          <w:rFonts w:ascii="Calibri" w:eastAsia="MS Mincho" w:hAnsi="Calibri" w:cs="Times New Roman"/>
          <w:lang w:val="en-US"/>
        </w:rPr>
        <w:t xml:space="preserve"> and income</w:t>
      </w:r>
      <w:r>
        <w:rPr>
          <w:rFonts w:ascii="Calibri" w:eastAsia="MS Mincho" w:hAnsi="Calibri" w:cs="Times New Roman"/>
          <w:lang w:val="en-US"/>
        </w:rPr>
        <w:t>.</w:t>
      </w:r>
    </w:p>
    <w:p w14:paraId="2E307E6F" w14:textId="77777777" w:rsidR="000E0565" w:rsidRPr="00201D50" w:rsidRDefault="000E0565" w:rsidP="000E0565">
      <w:pPr>
        <w:spacing w:before="120" w:after="120" w:line="240" w:lineRule="auto"/>
        <w:rPr>
          <w:rFonts w:ascii="Calibri" w:eastAsia="MS Mincho" w:hAnsi="Calibri" w:cs="Times New Roman"/>
          <w:b/>
          <w:lang w:val="en-US"/>
        </w:rPr>
      </w:pPr>
      <w:r w:rsidRPr="00201D50">
        <w:rPr>
          <w:rFonts w:ascii="Calibri" w:eastAsia="MS Mincho" w:hAnsi="Calibri" w:cs="Times New Roman"/>
          <w:b/>
          <w:lang w:val="en-US"/>
        </w:rPr>
        <w:t>Loans and equities would produce reflows, at least in large part, of the amounts originally invested, enabling them to be “recycled” in new investments.</w:t>
      </w:r>
    </w:p>
    <w:p w14:paraId="156F35A7" w14:textId="506049F5" w:rsidR="000E0565" w:rsidRPr="00201D50" w:rsidRDefault="000E0565" w:rsidP="000E0565">
      <w:pPr>
        <w:spacing w:before="120" w:after="120" w:line="240" w:lineRule="auto"/>
        <w:ind w:left="360"/>
        <w:rPr>
          <w:rFonts w:ascii="Calibri" w:eastAsia="MS Mincho" w:hAnsi="Calibri" w:cs="Times New Roman"/>
          <w:lang w:val="en-US"/>
        </w:rPr>
      </w:pPr>
      <w:r w:rsidRPr="00201D50">
        <w:rPr>
          <w:rFonts w:ascii="Calibri" w:eastAsia="MS Mincho" w:hAnsi="Calibri" w:cs="Times New Roman"/>
          <w:lang w:val="en-US"/>
        </w:rPr>
        <w:t xml:space="preserve">Loans and equity investments made for purposes of development impact should, unlike commercial investing, be expected overall only to break even, or perhaps to incur some small loss. </w:t>
      </w:r>
      <w:r>
        <w:rPr>
          <w:rFonts w:ascii="Calibri" w:eastAsia="MS Mincho" w:hAnsi="Calibri" w:cs="Times New Roman"/>
          <w:lang w:val="en-US"/>
        </w:rPr>
        <w:t>In other words</w:t>
      </w:r>
      <w:r w:rsidR="003603FB">
        <w:rPr>
          <w:rFonts w:ascii="Calibri" w:eastAsia="MS Mincho" w:hAnsi="Calibri" w:cs="Times New Roman"/>
          <w:lang w:val="en-US"/>
        </w:rPr>
        <w:t>,</w:t>
      </w:r>
      <w:r w:rsidRPr="00201D50">
        <w:rPr>
          <w:rFonts w:ascii="Calibri" w:eastAsia="MS Mincho" w:hAnsi="Calibri" w:cs="Times New Roman"/>
          <w:lang w:val="en-US"/>
        </w:rPr>
        <w:t xml:space="preserve"> most rather than </w:t>
      </w:r>
      <w:proofErr w:type="gramStart"/>
      <w:r w:rsidRPr="00201D50">
        <w:rPr>
          <w:rFonts w:ascii="Calibri" w:eastAsia="MS Mincho" w:hAnsi="Calibri" w:cs="Times New Roman"/>
          <w:lang w:val="en-US"/>
        </w:rPr>
        <w:t>all of</w:t>
      </w:r>
      <w:proofErr w:type="gramEnd"/>
      <w:r w:rsidRPr="00201D50">
        <w:rPr>
          <w:rFonts w:ascii="Calibri" w:eastAsia="MS Mincho" w:hAnsi="Calibri" w:cs="Times New Roman"/>
          <w:lang w:val="en-US"/>
        </w:rPr>
        <w:t xml:space="preserve"> the original investments could be expected to flow back and be available to re-invest</w:t>
      </w:r>
      <w:r>
        <w:rPr>
          <w:rFonts w:ascii="Calibri" w:eastAsia="MS Mincho" w:hAnsi="Calibri" w:cs="Times New Roman"/>
          <w:lang w:val="en-US"/>
        </w:rPr>
        <w:t xml:space="preserve"> in the long term.</w:t>
      </w:r>
      <w:r w:rsidR="00275C84">
        <w:rPr>
          <w:rStyle w:val="FootnoteReference"/>
          <w:rFonts w:ascii="Calibri" w:eastAsia="MS Mincho" w:hAnsi="Calibri" w:cs="Times New Roman"/>
          <w:lang w:val="en-US"/>
        </w:rPr>
        <w:footnoteReference w:id="45"/>
      </w:r>
    </w:p>
    <w:p w14:paraId="666A0C86" w14:textId="224BC556" w:rsidR="000E0565" w:rsidRPr="00201D50" w:rsidRDefault="000E0565" w:rsidP="000E0565">
      <w:pPr>
        <w:spacing w:before="120" w:after="120" w:line="240" w:lineRule="auto"/>
        <w:ind w:left="360"/>
        <w:rPr>
          <w:rFonts w:ascii="Calibri" w:eastAsia="MS Mincho" w:hAnsi="Calibri" w:cs="Times New Roman"/>
          <w:lang w:val="en-US"/>
        </w:rPr>
      </w:pPr>
      <w:r w:rsidRPr="00201D50">
        <w:rPr>
          <w:rFonts w:ascii="Calibri" w:eastAsia="MS Mincho" w:hAnsi="Calibri" w:cs="Times New Roman"/>
          <w:lang w:val="en-US"/>
        </w:rPr>
        <w:t>In the case of guarantees, there would be no possibility of recycling</w:t>
      </w:r>
      <w:r>
        <w:rPr>
          <w:rFonts w:ascii="Calibri" w:eastAsia="MS Mincho" w:hAnsi="Calibri" w:cs="Times New Roman"/>
          <w:lang w:val="en-US"/>
        </w:rPr>
        <w:t>;</w:t>
      </w:r>
      <w:r w:rsidRPr="00201D50">
        <w:rPr>
          <w:rFonts w:ascii="Calibri" w:eastAsia="MS Mincho" w:hAnsi="Calibri" w:cs="Times New Roman"/>
          <w:lang w:val="en-US"/>
        </w:rPr>
        <w:t xml:space="preserve"> and since for the sake of </w:t>
      </w:r>
      <w:proofErr w:type="spellStart"/>
      <w:r w:rsidRPr="00201D50">
        <w:rPr>
          <w:rFonts w:ascii="Calibri" w:eastAsia="MS Mincho" w:hAnsi="Calibri" w:cs="Times New Roman"/>
          <w:lang w:val="en-US"/>
        </w:rPr>
        <w:t>maximi</w:t>
      </w:r>
      <w:r>
        <w:rPr>
          <w:rFonts w:ascii="Calibri" w:eastAsia="MS Mincho" w:hAnsi="Calibri" w:cs="Times New Roman"/>
          <w:lang w:val="en-US"/>
        </w:rPr>
        <w:t>s</w:t>
      </w:r>
      <w:r w:rsidRPr="00201D50">
        <w:rPr>
          <w:rFonts w:ascii="Calibri" w:eastAsia="MS Mincho" w:hAnsi="Calibri" w:cs="Times New Roman"/>
          <w:lang w:val="en-US"/>
        </w:rPr>
        <w:t>ing</w:t>
      </w:r>
      <w:proofErr w:type="spellEnd"/>
      <w:r w:rsidRPr="00201D50">
        <w:rPr>
          <w:rFonts w:ascii="Calibri" w:eastAsia="MS Mincho" w:hAnsi="Calibri" w:cs="Times New Roman"/>
          <w:lang w:val="en-US"/>
        </w:rPr>
        <w:t xml:space="preserve"> development impact the guarantee fees charged would </w:t>
      </w:r>
      <w:r w:rsidR="00E8643E">
        <w:rPr>
          <w:rFonts w:ascii="Calibri" w:eastAsia="MS Mincho" w:hAnsi="Calibri" w:cs="Times New Roman"/>
          <w:lang w:val="en-US"/>
        </w:rPr>
        <w:t xml:space="preserve">often </w:t>
      </w:r>
      <w:r w:rsidRPr="00201D50">
        <w:rPr>
          <w:rFonts w:ascii="Calibri" w:eastAsia="MS Mincho" w:hAnsi="Calibri" w:cs="Times New Roman"/>
          <w:lang w:val="en-US"/>
        </w:rPr>
        <w:t>be sub</w:t>
      </w:r>
      <w:r w:rsidRPr="00201D50">
        <w:rPr>
          <w:rFonts w:ascii="Calibri" w:eastAsia="MS Mincho" w:hAnsi="Calibri" w:cs="Times New Roman"/>
          <w:lang w:val="en-US"/>
        </w:rPr>
        <w:noBreakHyphen/>
        <w:t>commercial</w:t>
      </w:r>
      <w:r>
        <w:rPr>
          <w:rFonts w:ascii="Calibri" w:eastAsia="MS Mincho" w:hAnsi="Calibri" w:cs="Times New Roman"/>
          <w:lang w:val="en-US"/>
        </w:rPr>
        <w:t>,</w:t>
      </w:r>
      <w:r w:rsidRPr="00201D50">
        <w:rPr>
          <w:rFonts w:ascii="Calibri" w:eastAsia="MS Mincho" w:hAnsi="Calibri" w:cs="Times New Roman"/>
          <w:lang w:val="en-US"/>
        </w:rPr>
        <w:t xml:space="preserve"> </w:t>
      </w:r>
      <w:r>
        <w:rPr>
          <w:rFonts w:ascii="Calibri" w:eastAsia="MS Mincho" w:hAnsi="Calibri" w:cs="Times New Roman"/>
          <w:lang w:val="en-US"/>
        </w:rPr>
        <w:t>there could be</w:t>
      </w:r>
      <w:r w:rsidRPr="00201D50">
        <w:rPr>
          <w:rFonts w:ascii="Calibri" w:eastAsia="MS Mincho" w:hAnsi="Calibri" w:cs="Times New Roman"/>
          <w:lang w:val="en-US"/>
        </w:rPr>
        <w:t xml:space="preserve"> losses </w:t>
      </w:r>
      <w:r>
        <w:rPr>
          <w:rFonts w:ascii="Calibri" w:eastAsia="MS Mincho" w:hAnsi="Calibri" w:cs="Times New Roman"/>
          <w:lang w:val="en-US"/>
        </w:rPr>
        <w:t>at the portfolio level in the long term</w:t>
      </w:r>
      <w:r w:rsidRPr="00201D50">
        <w:rPr>
          <w:rFonts w:ascii="Calibri" w:eastAsia="MS Mincho" w:hAnsi="Calibri" w:cs="Times New Roman"/>
          <w:lang w:val="en-US"/>
        </w:rPr>
        <w:t>.</w:t>
      </w:r>
    </w:p>
    <w:p w14:paraId="0D6F6E1D" w14:textId="77777777" w:rsidR="000E0565" w:rsidRPr="00201D50" w:rsidRDefault="000E0565" w:rsidP="000E0565">
      <w:pPr>
        <w:spacing w:before="120" w:after="120" w:line="240" w:lineRule="auto"/>
        <w:rPr>
          <w:rFonts w:ascii="Calibri" w:eastAsia="MS Mincho" w:hAnsi="Calibri" w:cs="Times New Roman"/>
          <w:b/>
          <w:lang w:val="en-US"/>
        </w:rPr>
      </w:pPr>
      <w:r w:rsidRPr="00201D50">
        <w:rPr>
          <w:rFonts w:ascii="Calibri" w:eastAsia="MS Mincho" w:hAnsi="Calibri" w:cs="Times New Roman"/>
          <w:b/>
          <w:lang w:val="en-US"/>
        </w:rPr>
        <w:t xml:space="preserve">There are well-established means of ensuring that offering loans for development assistance would be consistent with sustainable management of debt </w:t>
      </w:r>
    </w:p>
    <w:p w14:paraId="06E00490" w14:textId="77777777" w:rsidR="000E0565" w:rsidRDefault="000E0565" w:rsidP="000E0565">
      <w:pPr>
        <w:spacing w:before="120" w:after="120" w:line="240" w:lineRule="auto"/>
        <w:ind w:left="360"/>
        <w:rPr>
          <w:rFonts w:ascii="Calibri" w:eastAsia="MS Mincho" w:hAnsi="Calibri" w:cs="Times New Roman"/>
          <w:lang w:val="en-US"/>
        </w:rPr>
      </w:pPr>
      <w:r w:rsidRPr="00201D50">
        <w:rPr>
          <w:rFonts w:ascii="Calibri" w:eastAsia="MS Mincho" w:hAnsi="Calibri" w:cs="Times New Roman"/>
          <w:lang w:val="en-US"/>
        </w:rPr>
        <w:t xml:space="preserve">Debt sustainability analysis has been used since 2002 by the </w:t>
      </w:r>
      <w:r>
        <w:rPr>
          <w:rFonts w:ascii="Calibri" w:eastAsia="MS Mincho" w:hAnsi="Calibri" w:cs="Times New Roman"/>
          <w:lang w:val="en-US"/>
        </w:rPr>
        <w:t>International Monetary Fund (</w:t>
      </w:r>
      <w:r w:rsidRPr="00201D50">
        <w:rPr>
          <w:rFonts w:ascii="Calibri" w:eastAsia="MS Mincho" w:hAnsi="Calibri" w:cs="Times New Roman"/>
          <w:lang w:val="en-US"/>
        </w:rPr>
        <w:t>IMF</w:t>
      </w:r>
      <w:r>
        <w:rPr>
          <w:rFonts w:ascii="Calibri" w:eastAsia="MS Mincho" w:hAnsi="Calibri" w:cs="Times New Roman"/>
          <w:lang w:val="en-US"/>
        </w:rPr>
        <w:t>)</w:t>
      </w:r>
      <w:r w:rsidRPr="00201D50">
        <w:rPr>
          <w:rFonts w:ascii="Calibri" w:eastAsia="MS Mincho" w:hAnsi="Calibri" w:cs="Times New Roman"/>
          <w:lang w:val="en-US"/>
        </w:rPr>
        <w:t xml:space="preserve">, WB, ADB and other institutions to guide assessments of how well countries’ governments can afford to service the amounts of external debt they have incurred. </w:t>
      </w:r>
    </w:p>
    <w:p w14:paraId="5B1BBA5D" w14:textId="52714775" w:rsidR="000E0565" w:rsidRDefault="000E0565" w:rsidP="000E0565">
      <w:pPr>
        <w:spacing w:before="120" w:after="120" w:line="240" w:lineRule="auto"/>
        <w:ind w:left="360"/>
        <w:rPr>
          <w:rFonts w:ascii="Calibri" w:eastAsia="MS Mincho" w:hAnsi="Calibri" w:cs="Times New Roman"/>
          <w:lang w:val="en-US"/>
        </w:rPr>
      </w:pPr>
      <w:r w:rsidRPr="00310087">
        <w:rPr>
          <w:rFonts w:ascii="Calibri" w:eastAsia="MS Mincho" w:hAnsi="Calibri" w:cs="Times New Roman"/>
          <w:lang w:val="en-US"/>
        </w:rPr>
        <w:t>According to assessments made in 2017 or 2018</w:t>
      </w:r>
      <w:r w:rsidRPr="0072611D">
        <w:rPr>
          <w:rFonts w:ascii="Calibri" w:eastAsia="MS Mincho" w:hAnsi="Calibri" w:cs="Times New Roman"/>
          <w:lang w:val="en-US"/>
        </w:rPr>
        <w:t xml:space="preserve"> </w:t>
      </w:r>
      <w:r>
        <w:rPr>
          <w:rFonts w:ascii="Calibri" w:eastAsia="MS Mincho" w:hAnsi="Calibri" w:cs="Times New Roman"/>
          <w:lang w:val="en-US"/>
        </w:rPr>
        <w:t>for countries to which Australia provides development assistance</w:t>
      </w:r>
      <w:r w:rsidRPr="00310087">
        <w:rPr>
          <w:rFonts w:ascii="Calibri" w:eastAsia="MS Mincho" w:hAnsi="Calibri" w:cs="Times New Roman"/>
          <w:lang w:val="en-US"/>
        </w:rPr>
        <w:t xml:space="preserve">, </w:t>
      </w:r>
      <w:r>
        <w:rPr>
          <w:rFonts w:ascii="Calibri" w:eastAsia="MS Mincho" w:hAnsi="Calibri" w:cs="Times New Roman"/>
          <w:lang w:val="en-US"/>
        </w:rPr>
        <w:t>and which are shown in full in Annex </w:t>
      </w:r>
      <w:r w:rsidR="000F3CC5">
        <w:rPr>
          <w:rFonts w:ascii="Calibri" w:eastAsia="MS Mincho" w:hAnsi="Calibri" w:cs="Times New Roman"/>
          <w:lang w:val="en-US"/>
        </w:rPr>
        <w:t>8</w:t>
      </w:r>
      <w:r>
        <w:rPr>
          <w:rFonts w:ascii="Calibri" w:eastAsia="MS Mincho" w:hAnsi="Calibri" w:cs="Times New Roman"/>
          <w:lang w:val="en-US"/>
        </w:rPr>
        <w:t>:</w:t>
      </w:r>
    </w:p>
    <w:p w14:paraId="51C96883" w14:textId="77777777" w:rsidR="000E0565" w:rsidRDefault="000E0565" w:rsidP="000E0565">
      <w:pPr>
        <w:pStyle w:val="ListParagraph"/>
        <w:numPr>
          <w:ilvl w:val="0"/>
          <w:numId w:val="81"/>
        </w:numPr>
        <w:spacing w:before="120" w:after="120" w:line="240" w:lineRule="auto"/>
        <w:rPr>
          <w:rFonts w:ascii="Calibri" w:eastAsia="MS Mincho" w:hAnsi="Calibri" w:cs="Times New Roman"/>
          <w:lang w:val="en-US"/>
        </w:rPr>
      </w:pPr>
      <w:r>
        <w:rPr>
          <w:rFonts w:ascii="Calibri" w:eastAsia="MS Mincho" w:hAnsi="Calibri" w:cs="Times New Roman"/>
          <w:lang w:val="en-US"/>
        </w:rPr>
        <w:t xml:space="preserve">in the immediate region, </w:t>
      </w:r>
      <w:r w:rsidRPr="00D41D64">
        <w:rPr>
          <w:rFonts w:ascii="Calibri" w:eastAsia="MS Mincho" w:hAnsi="Calibri" w:cs="Times New Roman"/>
          <w:lang w:val="en-US"/>
        </w:rPr>
        <w:t xml:space="preserve">Kiribati, Marshall Islands, Micronesia, Samoa, </w:t>
      </w:r>
      <w:proofErr w:type="gramStart"/>
      <w:r w:rsidRPr="00D41D64">
        <w:rPr>
          <w:rFonts w:ascii="Calibri" w:eastAsia="MS Mincho" w:hAnsi="Calibri" w:cs="Times New Roman"/>
          <w:lang w:val="en-US"/>
        </w:rPr>
        <w:t>Tonga</w:t>
      </w:r>
      <w:proofErr w:type="gramEnd"/>
      <w:r w:rsidRPr="00D41D64">
        <w:rPr>
          <w:rFonts w:ascii="Calibri" w:eastAsia="MS Mincho" w:hAnsi="Calibri" w:cs="Times New Roman"/>
          <w:lang w:val="en-US"/>
        </w:rPr>
        <w:t xml:space="preserve"> and Tuvalu are at high risk of debt distress, while PNG, Solomon Islands, Timor-Leste and Vanuatu are at moderate risk</w:t>
      </w:r>
    </w:p>
    <w:p w14:paraId="36BB448E" w14:textId="77777777" w:rsidR="000E0565" w:rsidRDefault="000E0565" w:rsidP="000E0565">
      <w:pPr>
        <w:pStyle w:val="ListParagraph"/>
        <w:numPr>
          <w:ilvl w:val="0"/>
          <w:numId w:val="81"/>
        </w:numPr>
        <w:spacing w:before="120" w:after="120" w:line="240" w:lineRule="auto"/>
        <w:rPr>
          <w:rFonts w:ascii="Calibri" w:eastAsia="MS Mincho" w:hAnsi="Calibri" w:cs="Times New Roman"/>
          <w:lang w:val="en-US"/>
        </w:rPr>
      </w:pPr>
      <w:r>
        <w:rPr>
          <w:rFonts w:ascii="Calibri" w:eastAsia="MS Mincho" w:hAnsi="Calibri" w:cs="Times New Roman"/>
          <w:lang w:val="en-US"/>
        </w:rPr>
        <w:t>in Southeast Asia, Laos is at high risk</w:t>
      </w:r>
    </w:p>
    <w:p w14:paraId="4941C2B1" w14:textId="77777777" w:rsidR="000E0565" w:rsidRDefault="000E0565" w:rsidP="000E0565">
      <w:pPr>
        <w:pStyle w:val="ListParagraph"/>
        <w:numPr>
          <w:ilvl w:val="0"/>
          <w:numId w:val="81"/>
        </w:numPr>
        <w:spacing w:before="120" w:after="120" w:line="240" w:lineRule="auto"/>
        <w:rPr>
          <w:rFonts w:ascii="Calibri" w:eastAsia="MS Mincho" w:hAnsi="Calibri" w:cs="Times New Roman"/>
          <w:lang w:val="en-US"/>
        </w:rPr>
      </w:pPr>
      <w:r>
        <w:rPr>
          <w:rFonts w:ascii="Calibri" w:eastAsia="MS Mincho" w:hAnsi="Calibri" w:cs="Times New Roman"/>
          <w:lang w:val="en-US"/>
        </w:rPr>
        <w:t>in South and West Asia, Afghanistan and Maldives are at high risk, and Bhutan is at moderate risk.</w:t>
      </w:r>
    </w:p>
    <w:p w14:paraId="7AD6E899" w14:textId="4F1422F5" w:rsidR="000E0565" w:rsidRPr="00201D50" w:rsidRDefault="000E0565" w:rsidP="000E0565">
      <w:pPr>
        <w:spacing w:before="120" w:after="120" w:line="240" w:lineRule="auto"/>
        <w:ind w:left="360"/>
        <w:rPr>
          <w:rFonts w:ascii="Calibri" w:eastAsia="MS Mincho" w:hAnsi="Calibri" w:cs="Times New Roman"/>
          <w:lang w:val="en-US"/>
        </w:rPr>
      </w:pPr>
      <w:proofErr w:type="gramStart"/>
      <w:r w:rsidRPr="00201D50">
        <w:rPr>
          <w:rFonts w:ascii="Calibri" w:eastAsia="MS Mincho" w:hAnsi="Calibri" w:cs="Times New Roman"/>
          <w:lang w:val="en-US"/>
        </w:rPr>
        <w:lastRenderedPageBreak/>
        <w:t>In order to</w:t>
      </w:r>
      <w:proofErr w:type="gramEnd"/>
      <w:r w:rsidRPr="00201D50">
        <w:rPr>
          <w:rFonts w:ascii="Calibri" w:eastAsia="MS Mincho" w:hAnsi="Calibri" w:cs="Times New Roman"/>
          <w:lang w:val="en-US"/>
        </w:rPr>
        <w:t xml:space="preserve"> help some of its member countries avoid unsustainable amounts of debt, ADB offers them grants from the Asian Development Fund instead of concessional loans or in combination with them. ADB is currently providing 100% grants to seven of the smallest Pacific island countries, 50% grants to two others, and concessional financing to three that are not eligible for grant financing.</w:t>
      </w:r>
      <w:r>
        <w:rPr>
          <w:rStyle w:val="FootnoteReference"/>
          <w:rFonts w:ascii="Calibri" w:eastAsia="MS Mincho" w:hAnsi="Calibri" w:cs="Times New Roman"/>
          <w:lang w:val="en-US"/>
        </w:rPr>
        <w:footnoteReference w:id="46"/>
      </w:r>
      <w:r w:rsidRPr="00201D50">
        <w:rPr>
          <w:rFonts w:ascii="Calibri" w:eastAsia="MS Mincho" w:hAnsi="Calibri" w:cs="Times New Roman"/>
          <w:lang w:val="en-US"/>
        </w:rPr>
        <w:t xml:space="preserve">  </w:t>
      </w:r>
    </w:p>
    <w:p w14:paraId="21A62FCB" w14:textId="77777777" w:rsidR="000E0565" w:rsidRPr="00201D50" w:rsidRDefault="000E0565" w:rsidP="000E0565">
      <w:pPr>
        <w:spacing w:before="120" w:after="120" w:line="240" w:lineRule="auto"/>
        <w:ind w:left="360"/>
        <w:rPr>
          <w:rFonts w:ascii="Calibri" w:eastAsia="MS Mincho" w:hAnsi="Calibri" w:cs="Times New Roman"/>
          <w:lang w:val="en-US"/>
        </w:rPr>
      </w:pPr>
      <w:proofErr w:type="gramStart"/>
      <w:r w:rsidRPr="00201D50">
        <w:rPr>
          <w:rFonts w:ascii="Calibri" w:eastAsia="MS Mincho" w:hAnsi="Calibri" w:cs="Times New Roman"/>
          <w:lang w:val="en-US"/>
        </w:rPr>
        <w:t>It is clear that if</w:t>
      </w:r>
      <w:proofErr w:type="gramEnd"/>
      <w:r w:rsidRPr="00201D50">
        <w:rPr>
          <w:rFonts w:ascii="Calibri" w:eastAsia="MS Mincho" w:hAnsi="Calibri" w:cs="Times New Roman"/>
          <w:lang w:val="en-US"/>
        </w:rPr>
        <w:t xml:space="preserve"> Australia’s development assistance</w:t>
      </w:r>
      <w:r>
        <w:rPr>
          <w:rFonts w:ascii="Calibri" w:eastAsia="MS Mincho" w:hAnsi="Calibri" w:cs="Times New Roman"/>
          <w:lang w:val="en-US"/>
        </w:rPr>
        <w:t xml:space="preserve"> program </w:t>
      </w:r>
      <w:r w:rsidRPr="00201D50">
        <w:rPr>
          <w:rFonts w:ascii="Calibri" w:eastAsia="MS Mincho" w:hAnsi="Calibri" w:cs="Times New Roman"/>
          <w:lang w:val="en-US"/>
        </w:rPr>
        <w:t>were to include loans for governments or government-guaranteed entities, it should be a policy tenet that such loans could be offered only where they would not add materially to risks of debt distress. Grants, or combinations of loans and grants, would have to be used instead to take account of the relevant government’s debt-service capacity.</w:t>
      </w:r>
    </w:p>
    <w:p w14:paraId="7F843C1C" w14:textId="77777777" w:rsidR="000E0565" w:rsidRPr="00201D50" w:rsidRDefault="000E0565" w:rsidP="000E0565">
      <w:pPr>
        <w:spacing w:before="120" w:after="120" w:line="240" w:lineRule="auto"/>
        <w:ind w:left="360"/>
        <w:rPr>
          <w:rFonts w:ascii="Calibri" w:eastAsia="MS Mincho" w:hAnsi="Calibri" w:cs="Times New Roman"/>
          <w:lang w:val="en-US"/>
        </w:rPr>
      </w:pPr>
      <w:r w:rsidRPr="00201D50">
        <w:rPr>
          <w:rFonts w:ascii="Calibri" w:eastAsia="MS Mincho" w:hAnsi="Calibri" w:cs="Times New Roman"/>
          <w:lang w:val="en-US"/>
        </w:rPr>
        <w:t>This would leave open the possibility of loans to private companies or non</w:t>
      </w:r>
      <w:r w:rsidRPr="00201D50">
        <w:rPr>
          <w:rFonts w:ascii="Calibri" w:eastAsia="MS Mincho" w:hAnsi="Calibri" w:cs="Times New Roman"/>
          <w:lang w:val="en-US"/>
        </w:rPr>
        <w:noBreakHyphen/>
        <w:t xml:space="preserve">guaranteed </w:t>
      </w:r>
      <w:r>
        <w:rPr>
          <w:rFonts w:ascii="Calibri" w:eastAsia="MS Mincho" w:hAnsi="Calibri" w:cs="Times New Roman"/>
          <w:lang w:val="en-US"/>
        </w:rPr>
        <w:t>state enterprise</w:t>
      </w:r>
      <w:r w:rsidRPr="00201D50">
        <w:rPr>
          <w:rFonts w:ascii="Calibri" w:eastAsia="MS Mincho" w:hAnsi="Calibri" w:cs="Times New Roman"/>
          <w:lang w:val="en-US"/>
        </w:rPr>
        <w:t>s</w:t>
      </w:r>
      <w:r>
        <w:rPr>
          <w:rFonts w:ascii="Calibri" w:eastAsia="MS Mincho" w:hAnsi="Calibri" w:cs="Times New Roman"/>
          <w:lang w:val="en-US"/>
        </w:rPr>
        <w:t xml:space="preserve"> </w:t>
      </w:r>
      <w:r w:rsidRPr="00201D50">
        <w:rPr>
          <w:rFonts w:ascii="Calibri" w:eastAsia="MS Mincho" w:hAnsi="Calibri" w:cs="Times New Roman"/>
          <w:lang w:val="en-US"/>
        </w:rPr>
        <w:t>provided they, as distinct from their governments, were credit</w:t>
      </w:r>
      <w:r w:rsidRPr="00201D50">
        <w:rPr>
          <w:rFonts w:ascii="Calibri" w:eastAsia="MS Mincho" w:hAnsi="Calibri" w:cs="Times New Roman"/>
          <w:lang w:val="en-US"/>
        </w:rPr>
        <w:noBreakHyphen/>
        <w:t>worthy.</w:t>
      </w:r>
    </w:p>
    <w:p w14:paraId="0F02F550" w14:textId="77777777" w:rsidR="000E0565" w:rsidRPr="00201D50" w:rsidRDefault="000E0565" w:rsidP="000E0565">
      <w:pPr>
        <w:spacing w:before="120" w:after="120" w:line="240" w:lineRule="auto"/>
        <w:rPr>
          <w:rFonts w:ascii="Calibri" w:eastAsia="MS Mincho" w:hAnsi="Calibri" w:cs="Times New Roman"/>
          <w:b/>
          <w:lang w:val="en-US"/>
        </w:rPr>
      </w:pPr>
      <w:r w:rsidRPr="00201D50">
        <w:rPr>
          <w:rFonts w:ascii="Calibri" w:eastAsia="MS Mincho" w:hAnsi="Calibri" w:cs="Times New Roman"/>
          <w:b/>
          <w:lang w:val="en-US"/>
        </w:rPr>
        <w:t>Equity investments, and loans to non-guaranteed private companies, would not increase governments’ indebtedness and could contribute in time to tax or other revenue.</w:t>
      </w:r>
    </w:p>
    <w:p w14:paraId="7F89AA57" w14:textId="77777777" w:rsidR="000E0565" w:rsidRPr="00201D50" w:rsidRDefault="000E0565" w:rsidP="000E0565">
      <w:pPr>
        <w:spacing w:before="120" w:after="120" w:line="240" w:lineRule="auto"/>
        <w:ind w:left="360"/>
        <w:rPr>
          <w:rFonts w:ascii="Calibri" w:eastAsia="MS Mincho" w:hAnsi="Calibri" w:cs="Times New Roman"/>
          <w:lang w:val="en-US"/>
        </w:rPr>
      </w:pPr>
      <w:r w:rsidRPr="00201D50">
        <w:rPr>
          <w:rFonts w:ascii="Calibri" w:eastAsia="MS Mincho" w:hAnsi="Calibri" w:cs="Times New Roman"/>
          <w:lang w:val="en-US"/>
        </w:rPr>
        <w:t>Private-sector projects assist in building economic activity and raising tax revenues, increasing the ability of host governments to meet debt-service obligations.</w:t>
      </w:r>
    </w:p>
    <w:p w14:paraId="5F58D938" w14:textId="77777777" w:rsidR="000E0565" w:rsidRPr="00201D50" w:rsidRDefault="000E0565" w:rsidP="000E0565">
      <w:pPr>
        <w:spacing w:before="120" w:after="120" w:line="240" w:lineRule="auto"/>
        <w:rPr>
          <w:rFonts w:ascii="Calibri" w:eastAsia="MS Mincho" w:hAnsi="Calibri" w:cs="Times New Roman"/>
          <w:b/>
          <w:lang w:val="en-US"/>
        </w:rPr>
      </w:pPr>
      <w:r w:rsidRPr="00201D50">
        <w:rPr>
          <w:rFonts w:ascii="Calibri" w:eastAsia="MS Mincho" w:hAnsi="Calibri" w:cs="Times New Roman"/>
          <w:b/>
          <w:lang w:val="en-US"/>
        </w:rPr>
        <w:t>Similarly, the use of guarantees and other risk-sharing instruments would not increase governments’ indebtedness.</w:t>
      </w:r>
    </w:p>
    <w:p w14:paraId="6E921EDE" w14:textId="77777777" w:rsidR="000E0565" w:rsidRPr="00201D50" w:rsidRDefault="000E0565" w:rsidP="000E0565">
      <w:pPr>
        <w:spacing w:before="120" w:after="120" w:line="240" w:lineRule="auto"/>
        <w:ind w:left="360"/>
        <w:rPr>
          <w:rFonts w:ascii="Calibri" w:eastAsia="MS Mincho" w:hAnsi="Calibri" w:cs="Times New Roman"/>
          <w:lang w:val="en-US"/>
        </w:rPr>
      </w:pPr>
      <w:r w:rsidRPr="00201D50">
        <w:rPr>
          <w:rFonts w:ascii="Calibri" w:eastAsia="MS Mincho" w:hAnsi="Calibri" w:cs="Times New Roman"/>
          <w:lang w:val="en-US"/>
        </w:rPr>
        <w:t>Use of these instruments incurs fees rather than debts, and projects which they help to finance could contribute in time to tax or other revenue.</w:t>
      </w:r>
    </w:p>
    <w:p w14:paraId="76B72F91" w14:textId="77777777" w:rsidR="000E0565" w:rsidRPr="00201D50" w:rsidRDefault="000E0565" w:rsidP="000E0565">
      <w:pPr>
        <w:spacing w:before="120" w:after="120" w:line="240" w:lineRule="auto"/>
        <w:rPr>
          <w:rFonts w:ascii="Calibri" w:eastAsia="MS Mincho" w:hAnsi="Calibri" w:cs="Times New Roman"/>
          <w:b/>
          <w:lang w:val="en-US"/>
        </w:rPr>
      </w:pPr>
      <w:r w:rsidRPr="00201D50">
        <w:rPr>
          <w:rFonts w:ascii="Calibri" w:eastAsia="MS Mincho" w:hAnsi="Calibri" w:cs="Times New Roman"/>
          <w:b/>
          <w:lang w:val="en-US"/>
        </w:rPr>
        <w:t xml:space="preserve">The implications of using </w:t>
      </w:r>
      <w:r>
        <w:rPr>
          <w:rFonts w:ascii="Calibri" w:eastAsia="MS Mincho" w:hAnsi="Calibri" w:cs="Times New Roman"/>
          <w:b/>
          <w:lang w:val="en-US"/>
        </w:rPr>
        <w:t>NGF</w:t>
      </w:r>
      <w:r w:rsidRPr="00201D50">
        <w:rPr>
          <w:rFonts w:ascii="Calibri" w:eastAsia="MS Mincho" w:hAnsi="Calibri" w:cs="Times New Roman"/>
          <w:b/>
          <w:lang w:val="en-US"/>
        </w:rPr>
        <w:t xml:space="preserve"> for measurement of development impact are much as was noted at the beginning of this section: the issue lies not in financing by itself, but in the practice and commitment of the lead sponsor.</w:t>
      </w:r>
    </w:p>
    <w:p w14:paraId="6CA8D6DE" w14:textId="20DCA98A" w:rsidR="000E0565" w:rsidRPr="00201D50" w:rsidRDefault="000E0565" w:rsidP="000E0565">
      <w:pPr>
        <w:spacing w:before="120" w:after="120" w:line="240" w:lineRule="auto"/>
        <w:ind w:left="360"/>
        <w:rPr>
          <w:rFonts w:ascii="Calibri" w:eastAsia="MS Mincho" w:hAnsi="Calibri" w:cs="Times New Roman"/>
          <w:lang w:val="en-US"/>
        </w:rPr>
      </w:pPr>
      <w:r w:rsidRPr="00201D50">
        <w:rPr>
          <w:rFonts w:ascii="Calibri" w:eastAsia="MS Mincho" w:hAnsi="Calibri" w:cs="Times New Roman"/>
          <w:lang w:val="en-US"/>
        </w:rPr>
        <w:t xml:space="preserve">In the example above </w:t>
      </w:r>
      <w:r w:rsidR="00A5214E">
        <w:rPr>
          <w:rFonts w:ascii="Calibri" w:eastAsia="MS Mincho" w:hAnsi="Calibri" w:cs="Times New Roman"/>
          <w:lang w:val="en-US"/>
        </w:rPr>
        <w:t xml:space="preserve">(p14) </w:t>
      </w:r>
      <w:r w:rsidRPr="00201D50">
        <w:rPr>
          <w:rFonts w:ascii="Calibri" w:eastAsia="MS Mincho" w:hAnsi="Calibri" w:cs="Times New Roman"/>
          <w:lang w:val="en-US"/>
        </w:rPr>
        <w:t xml:space="preserve">of ADB financing an IPP and </w:t>
      </w:r>
      <w:r>
        <w:rPr>
          <w:rFonts w:ascii="Calibri" w:eastAsia="MS Mincho" w:hAnsi="Calibri" w:cs="Times New Roman"/>
          <w:lang w:val="en-US"/>
        </w:rPr>
        <w:t>Australia</w:t>
      </w:r>
      <w:r w:rsidRPr="00201D50">
        <w:rPr>
          <w:rFonts w:ascii="Calibri" w:eastAsia="MS Mincho" w:hAnsi="Calibri" w:cs="Times New Roman"/>
          <w:lang w:val="en-US"/>
        </w:rPr>
        <w:t xml:space="preserve"> supporting it with an offtake guarantee, ADB as lead financier would have the main task of ensuring the measurement at least of outcomes, as part of the usual completion report and subsequent evaluation. Whether or not </w:t>
      </w:r>
      <w:r>
        <w:rPr>
          <w:rFonts w:ascii="Calibri" w:eastAsia="MS Mincho" w:hAnsi="Calibri" w:cs="Times New Roman"/>
          <w:lang w:val="en-US"/>
        </w:rPr>
        <w:t>Australia</w:t>
      </w:r>
      <w:r w:rsidRPr="00201D50">
        <w:rPr>
          <w:rFonts w:ascii="Calibri" w:eastAsia="MS Mincho" w:hAnsi="Calibri" w:cs="Times New Roman"/>
          <w:lang w:val="en-US"/>
        </w:rPr>
        <w:t xml:space="preserve"> had chosen to supplement the project with TA for M&amp;E, its shared responsibility for impact measurement would be a familiar one.</w:t>
      </w:r>
    </w:p>
    <w:p w14:paraId="2447F2F8" w14:textId="77777777" w:rsidR="000E0565" w:rsidRDefault="000E0565" w:rsidP="000E0565">
      <w:pPr>
        <w:spacing w:before="120" w:after="120" w:line="240" w:lineRule="auto"/>
        <w:ind w:left="360"/>
        <w:rPr>
          <w:rFonts w:ascii="Calibri" w:eastAsia="MS Mincho" w:hAnsi="Calibri" w:cs="Times New Roman"/>
          <w:lang w:val="en-US"/>
        </w:rPr>
      </w:pPr>
      <w:r w:rsidRPr="00B17737">
        <w:rPr>
          <w:rFonts w:ascii="Calibri" w:eastAsia="MS Mincho" w:hAnsi="Calibri" w:cs="Times New Roman"/>
          <w:lang w:val="en-US"/>
        </w:rPr>
        <w:t xml:space="preserve">Taking an equity stake in a company-led project </w:t>
      </w:r>
      <w:r w:rsidRPr="00201D50">
        <w:rPr>
          <w:rFonts w:ascii="Calibri" w:eastAsia="MS Mincho" w:hAnsi="Calibri" w:cs="Times New Roman"/>
          <w:lang w:val="en-US"/>
        </w:rPr>
        <w:t>would provide strong leverage for ensuring that adequate provisions for impact measurement were built into the project.</w:t>
      </w:r>
    </w:p>
    <w:p w14:paraId="7740D25B" w14:textId="77777777" w:rsidR="000E0565" w:rsidRPr="00990088" w:rsidRDefault="000E0565" w:rsidP="000E0565">
      <w:pPr>
        <w:spacing w:before="120" w:after="120" w:line="240" w:lineRule="auto"/>
        <w:rPr>
          <w:rFonts w:ascii="Calibri" w:eastAsia="MS Mincho" w:hAnsi="Calibri" w:cs="Times New Roman"/>
          <w:b/>
          <w:lang w:val="en-US"/>
        </w:rPr>
      </w:pPr>
      <w:r w:rsidRPr="00990088">
        <w:rPr>
          <w:rFonts w:ascii="Calibri" w:eastAsia="MS Mincho" w:hAnsi="Calibri" w:cs="Times New Roman"/>
          <w:b/>
          <w:lang w:val="en-US"/>
        </w:rPr>
        <w:t xml:space="preserve">There are widely adopted methods for measuring the impact of </w:t>
      </w:r>
      <w:r>
        <w:rPr>
          <w:rFonts w:ascii="Calibri" w:eastAsia="MS Mincho" w:hAnsi="Calibri" w:cs="Times New Roman"/>
          <w:b/>
          <w:lang w:val="en-US"/>
        </w:rPr>
        <w:t xml:space="preserve">private-sector </w:t>
      </w:r>
      <w:r w:rsidRPr="00990088">
        <w:rPr>
          <w:rFonts w:ascii="Calibri" w:eastAsia="MS Mincho" w:hAnsi="Calibri" w:cs="Times New Roman"/>
          <w:b/>
          <w:lang w:val="en-US"/>
        </w:rPr>
        <w:t>investments.</w:t>
      </w:r>
    </w:p>
    <w:p w14:paraId="0CD2EB17" w14:textId="2E09DDB1" w:rsidR="000E0565" w:rsidRPr="00201D50" w:rsidRDefault="000E0565" w:rsidP="000E0565">
      <w:pPr>
        <w:spacing w:before="120" w:after="120" w:line="240" w:lineRule="auto"/>
        <w:ind w:left="360"/>
        <w:rPr>
          <w:rFonts w:ascii="Calibri" w:eastAsia="MS Mincho" w:hAnsi="Calibri" w:cs="Times New Roman"/>
          <w:lang w:val="en-US"/>
        </w:rPr>
      </w:pPr>
      <w:r w:rsidRPr="00201D50">
        <w:rPr>
          <w:rFonts w:ascii="Calibri" w:eastAsia="MS Mincho" w:hAnsi="Calibri" w:cs="Times New Roman"/>
          <w:lang w:val="en-US"/>
        </w:rPr>
        <w:t>Many large international companies operating in emerging markets adhere to international standards for measuring the impact of their projects, or at least their outcomes, as was described above</w:t>
      </w:r>
      <w:r w:rsidR="00A5214E">
        <w:rPr>
          <w:rFonts w:ascii="Calibri" w:eastAsia="MS Mincho" w:hAnsi="Calibri" w:cs="Times New Roman"/>
          <w:lang w:val="en-US"/>
        </w:rPr>
        <w:t xml:space="preserve"> (p15)</w:t>
      </w:r>
      <w:r w:rsidRPr="00201D50">
        <w:rPr>
          <w:rFonts w:ascii="Calibri" w:eastAsia="MS Mincho" w:hAnsi="Calibri" w:cs="Times New Roman"/>
          <w:lang w:val="en-US"/>
        </w:rPr>
        <w:t>. Choosing such companies to work with would reduce, although probably not fulfil</w:t>
      </w:r>
      <w:r>
        <w:rPr>
          <w:rFonts w:ascii="Calibri" w:eastAsia="MS Mincho" w:hAnsi="Calibri" w:cs="Times New Roman"/>
          <w:lang w:val="en-US"/>
        </w:rPr>
        <w:t>l</w:t>
      </w:r>
      <w:r w:rsidRPr="00201D50">
        <w:rPr>
          <w:rFonts w:ascii="Calibri" w:eastAsia="MS Mincho" w:hAnsi="Calibri" w:cs="Times New Roman"/>
          <w:lang w:val="en-US"/>
        </w:rPr>
        <w:t xml:space="preserve">, </w:t>
      </w:r>
      <w:r>
        <w:rPr>
          <w:rFonts w:ascii="Calibri" w:eastAsia="MS Mincho" w:hAnsi="Calibri" w:cs="Times New Roman"/>
          <w:lang w:val="en-US"/>
        </w:rPr>
        <w:t>Australia</w:t>
      </w:r>
      <w:r w:rsidRPr="00201D50">
        <w:rPr>
          <w:rFonts w:ascii="Calibri" w:eastAsia="MS Mincho" w:hAnsi="Calibri" w:cs="Times New Roman"/>
          <w:lang w:val="en-US"/>
        </w:rPr>
        <w:t>’s task in ensuring adequate M&amp;E.</w:t>
      </w:r>
    </w:p>
    <w:p w14:paraId="129198EA" w14:textId="77777777" w:rsidR="000E0565" w:rsidRPr="00201D50" w:rsidRDefault="000E0565" w:rsidP="000E0565">
      <w:pPr>
        <w:spacing w:before="120" w:after="120" w:line="240" w:lineRule="auto"/>
        <w:ind w:left="360"/>
        <w:rPr>
          <w:rFonts w:ascii="Calibri" w:eastAsia="MS Mincho" w:hAnsi="Calibri" w:cs="Times New Roman"/>
          <w:lang w:val="en-US"/>
        </w:rPr>
      </w:pPr>
      <w:r>
        <w:t>One measurement system is</w:t>
      </w:r>
      <w:r w:rsidRPr="00201D50">
        <w:rPr>
          <w:rFonts w:ascii="Calibri" w:eastAsia="MS Mincho" w:hAnsi="Calibri" w:cs="Times New Roman"/>
          <w:lang w:val="en-US"/>
        </w:rPr>
        <w:t xml:space="preserve"> IRIS (see </w:t>
      </w:r>
      <w:r w:rsidRPr="00ED0973">
        <w:rPr>
          <w:rFonts w:ascii="Calibri" w:eastAsia="MS Mincho" w:hAnsi="Calibri" w:cs="Times New Roman"/>
          <w:lang w:val="en-US"/>
        </w:rPr>
        <w:t>Box B</w:t>
      </w:r>
      <w:r w:rsidRPr="00201D50">
        <w:rPr>
          <w:rFonts w:ascii="Calibri" w:eastAsia="MS Mincho" w:hAnsi="Calibri" w:cs="Times New Roman"/>
          <w:lang w:val="en-US"/>
        </w:rPr>
        <w:t>)</w:t>
      </w:r>
      <w:r>
        <w:rPr>
          <w:rFonts w:ascii="Calibri" w:eastAsia="MS Mincho" w:hAnsi="Calibri" w:cs="Times New Roman"/>
          <w:lang w:val="en-US"/>
        </w:rPr>
        <w:t>. It is a</w:t>
      </w:r>
      <w:r w:rsidRPr="00201D50">
        <w:rPr>
          <w:rFonts w:ascii="Calibri" w:eastAsia="MS Mincho" w:hAnsi="Calibri" w:cs="Times New Roman"/>
          <w:lang w:val="en-US"/>
        </w:rPr>
        <w:t>n initiative of the </w:t>
      </w:r>
      <w:hyperlink r:id="rId11" w:history="1">
        <w:r w:rsidRPr="00201D50">
          <w:rPr>
            <w:rFonts w:ascii="Calibri" w:eastAsia="MS Mincho" w:hAnsi="Calibri" w:cs="Times New Roman"/>
            <w:lang w:val="en-US"/>
          </w:rPr>
          <w:t>Global Impact Investing Network</w:t>
        </w:r>
      </w:hyperlink>
      <w:r w:rsidRPr="00201D50">
        <w:rPr>
          <w:rFonts w:ascii="Calibri" w:eastAsia="MS Mincho" w:hAnsi="Calibri" w:cs="Times New Roman"/>
          <w:lang w:val="en-US"/>
        </w:rPr>
        <w:t>, a non</w:t>
      </w:r>
      <w:r>
        <w:rPr>
          <w:rFonts w:ascii="Calibri" w:eastAsia="MS Mincho" w:hAnsi="Calibri" w:cs="Times New Roman"/>
          <w:lang w:val="en-US"/>
        </w:rPr>
        <w:noBreakHyphen/>
      </w:r>
      <w:r w:rsidRPr="00201D50">
        <w:rPr>
          <w:rFonts w:ascii="Calibri" w:eastAsia="MS Mincho" w:hAnsi="Calibri" w:cs="Times New Roman"/>
          <w:lang w:val="en-US"/>
        </w:rPr>
        <w:t xml:space="preserve">profit organization dedicated to increasing the scale and effectiveness of impact </w:t>
      </w:r>
      <w:r w:rsidRPr="00201D50">
        <w:rPr>
          <w:rFonts w:ascii="Calibri" w:eastAsia="MS Mincho" w:hAnsi="Calibri" w:cs="Times New Roman"/>
          <w:lang w:val="en-US"/>
        </w:rPr>
        <w:lastRenderedPageBreak/>
        <w:t>investing</w:t>
      </w:r>
      <w:r>
        <w:rPr>
          <w:rFonts w:ascii="Calibri" w:eastAsia="MS Mincho" w:hAnsi="Calibri" w:cs="Times New Roman"/>
          <w:lang w:val="en-US"/>
        </w:rPr>
        <w:t>—</w:t>
      </w:r>
      <w:r w:rsidRPr="00201D50">
        <w:rPr>
          <w:rFonts w:ascii="Calibri" w:eastAsia="MS Mincho" w:hAnsi="Calibri" w:cs="Times New Roman"/>
          <w:lang w:val="en-US"/>
        </w:rPr>
        <w:t>investments made into companies, organizations, and funds with the intention to generate social and environmental impact alongside a financial return</w:t>
      </w:r>
      <w:r>
        <w:rPr>
          <w:rFonts w:ascii="Calibri" w:eastAsia="MS Mincho" w:hAnsi="Calibri" w:cs="Times New Roman"/>
          <w:lang w:val="en-US"/>
        </w:rPr>
        <w:t>.</w:t>
      </w:r>
      <w:r w:rsidRPr="00201D50">
        <w:rPr>
          <w:rFonts w:ascii="Calibri" w:eastAsia="MS Mincho" w:hAnsi="Calibri" w:cs="Times New Roman"/>
          <w:vertAlign w:val="superscript"/>
          <w:lang w:val="en-US"/>
        </w:rPr>
        <w:footnoteReference w:id="47"/>
      </w:r>
    </w:p>
    <w:p w14:paraId="76A40E63" w14:textId="5ECF3BBA" w:rsidR="000E0565" w:rsidRDefault="000E0565" w:rsidP="000E0565">
      <w:pPr>
        <w:spacing w:before="120" w:after="120" w:line="240" w:lineRule="auto"/>
        <w:ind w:left="360"/>
        <w:rPr>
          <w:rFonts w:ascii="Calibri" w:eastAsia="MS Mincho" w:hAnsi="Calibri" w:cs="Times New Roman"/>
          <w:lang w:val="en-US"/>
        </w:rPr>
      </w:pPr>
      <w:r>
        <w:t xml:space="preserve">Other examples are the methods promoted by </w:t>
      </w:r>
      <w:r w:rsidRPr="007E7AA6">
        <w:t>Benchmarking Alliance</w:t>
      </w:r>
      <w:r>
        <w:t xml:space="preserve">, and the standard indicators of development results used by </w:t>
      </w:r>
      <w:r>
        <w:rPr>
          <w:rFonts w:ascii="Calibri" w:eastAsia="MS Mincho" w:hAnsi="Calibri" w:cs="Times New Roman"/>
          <w:lang w:val="en-US"/>
        </w:rPr>
        <w:t xml:space="preserve">PIDG, </w:t>
      </w:r>
      <w:r w:rsidRPr="00201D50">
        <w:rPr>
          <w:rFonts w:ascii="Calibri" w:eastAsia="MS Mincho" w:hAnsi="Calibri" w:cs="Times New Roman"/>
          <w:lang w:val="en-US"/>
        </w:rPr>
        <w:t>which DFAT has supported since its inception, for projects which it develops</w:t>
      </w:r>
      <w:r>
        <w:rPr>
          <w:rFonts w:ascii="Calibri" w:eastAsia="MS Mincho" w:hAnsi="Calibri" w:cs="Times New Roman"/>
          <w:lang w:val="en-US"/>
        </w:rPr>
        <w:t>: they are</w:t>
      </w:r>
      <w:r w:rsidRPr="00201D50">
        <w:rPr>
          <w:rFonts w:ascii="Calibri" w:eastAsia="MS Mincho" w:hAnsi="Calibri" w:cs="Times New Roman"/>
          <w:lang w:val="en-US"/>
        </w:rPr>
        <w:t xml:space="preserve"> </w:t>
      </w:r>
      <w:r w:rsidRPr="002F5665">
        <w:rPr>
          <w:rFonts w:ascii="Calibri" w:eastAsia="MS Mincho" w:hAnsi="Calibri" w:cs="Times New Roman"/>
          <w:lang w:val="en-US"/>
        </w:rPr>
        <w:t>shown in Annex </w:t>
      </w:r>
      <w:r w:rsidR="000F3CC5">
        <w:rPr>
          <w:rFonts w:ascii="Calibri" w:eastAsia="MS Mincho" w:hAnsi="Calibri" w:cs="Times New Roman"/>
          <w:lang w:val="en-US"/>
        </w:rPr>
        <w:t>9</w:t>
      </w:r>
      <w:r w:rsidRPr="002F5665">
        <w:rPr>
          <w:rFonts w:ascii="Calibri" w:eastAsia="MS Mincho" w:hAnsi="Calibri" w:cs="Times New Roman"/>
          <w:lang w:val="en-US"/>
        </w:rPr>
        <w:t>.</w:t>
      </w:r>
    </w:p>
    <w:p w14:paraId="0EC8F3D0" w14:textId="77777777" w:rsidR="000E0565" w:rsidRDefault="000E0565" w:rsidP="000E0565">
      <w:pPr>
        <w:spacing w:before="120" w:after="120" w:line="240" w:lineRule="auto"/>
        <w:rPr>
          <w:rFonts w:ascii="Calibri" w:eastAsia="MS Mincho" w:hAnsi="Calibri" w:cs="Times New Roman"/>
          <w:b/>
          <w:lang w:val="en-US"/>
        </w:rPr>
      </w:pPr>
      <w:r w:rsidRPr="002F5665">
        <w:rPr>
          <w:noProof/>
          <w:lang w:eastAsia="en-AU"/>
        </w:rPr>
        <w:drawing>
          <wp:inline distT="0" distB="0" distL="0" distR="0" wp14:anchorId="2656F21C" wp14:editId="159ABE99">
            <wp:extent cx="6123408" cy="3062176"/>
            <wp:effectExtent l="0" t="0" r="0" b="0"/>
            <wp:docPr id="8" name="Picture 8" descr="Image is of two boxes that give examples of IRIS Social Impact Objectives. It includes things like: access to clean water and sanitation. the full list is available from the Global Impact Investing Network (GIIN) https://iris.thegiin.org/about-iri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mage is of two boxes that give examples of IRIS Social Impact Objectives. It includes things like: access to clean water and sanitation. the full list is available from the Global Impact Investing Network (GIIN) https://iris.thegiin.org/about-iris&#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42098" cy="3071523"/>
                    </a:xfrm>
                    <a:prstGeom prst="rect">
                      <a:avLst/>
                    </a:prstGeom>
                    <a:noFill/>
                    <a:ln>
                      <a:noFill/>
                    </a:ln>
                  </pic:spPr>
                </pic:pic>
              </a:graphicData>
            </a:graphic>
          </wp:inline>
        </w:drawing>
      </w:r>
    </w:p>
    <w:p w14:paraId="4E3E322D" w14:textId="1D74739D" w:rsidR="000E0565" w:rsidRDefault="000E0565" w:rsidP="000E0565">
      <w:pPr>
        <w:spacing w:before="120" w:after="120" w:line="240" w:lineRule="auto"/>
        <w:ind w:left="360"/>
        <w:rPr>
          <w:rFonts w:ascii="Calibri" w:eastAsia="MS Mincho" w:hAnsi="Calibri" w:cs="Times New Roman"/>
          <w:lang w:val="en-US"/>
        </w:rPr>
      </w:pPr>
      <w:r>
        <w:rPr>
          <w:rFonts w:ascii="Calibri" w:eastAsia="MS Mincho" w:hAnsi="Calibri" w:cs="Times New Roman"/>
          <w:lang w:val="en-US"/>
        </w:rPr>
        <w:t>A further</w:t>
      </w:r>
      <w:r w:rsidRPr="00201D50">
        <w:rPr>
          <w:rFonts w:ascii="Calibri" w:eastAsia="MS Mincho" w:hAnsi="Calibri" w:cs="Times New Roman"/>
          <w:lang w:val="en-US"/>
        </w:rPr>
        <w:t xml:space="preserve"> example</w:t>
      </w:r>
      <w:r>
        <w:rPr>
          <w:rFonts w:ascii="Calibri" w:eastAsia="MS Mincho" w:hAnsi="Calibri" w:cs="Times New Roman"/>
          <w:lang w:val="en-US"/>
        </w:rPr>
        <w:t xml:space="preserve"> is</w:t>
      </w:r>
      <w:r w:rsidRPr="00201D50">
        <w:rPr>
          <w:rFonts w:ascii="Calibri" w:eastAsia="MS Mincho" w:hAnsi="Calibri" w:cs="Times New Roman"/>
          <w:lang w:val="en-US"/>
        </w:rPr>
        <w:t xml:space="preserve"> </w:t>
      </w:r>
      <w:proofErr w:type="spellStart"/>
      <w:r w:rsidRPr="00201D50">
        <w:rPr>
          <w:rFonts w:ascii="Calibri" w:eastAsia="MS Mincho" w:hAnsi="Calibri" w:cs="Times New Roman"/>
          <w:lang w:val="en-US"/>
        </w:rPr>
        <w:t>LeapFrog</w:t>
      </w:r>
      <w:proofErr w:type="spellEnd"/>
      <w:r w:rsidRPr="00201D50">
        <w:rPr>
          <w:rFonts w:ascii="Calibri" w:eastAsia="MS Mincho" w:hAnsi="Calibri" w:cs="Times New Roman"/>
          <w:lang w:val="en-US"/>
        </w:rPr>
        <w:t xml:space="preserve"> Investments, a Sydney-based investment firm</w:t>
      </w:r>
      <w:r>
        <w:rPr>
          <w:rFonts w:ascii="Calibri" w:eastAsia="MS Mincho" w:hAnsi="Calibri" w:cs="Times New Roman"/>
          <w:lang w:val="en-US"/>
        </w:rPr>
        <w:t>. It</w:t>
      </w:r>
      <w:r w:rsidRPr="00201D50">
        <w:rPr>
          <w:rFonts w:ascii="Calibri" w:eastAsia="MS Mincho" w:hAnsi="Calibri" w:cs="Times New Roman"/>
          <w:lang w:val="en-US"/>
        </w:rPr>
        <w:t xml:space="preserve"> has invested </w:t>
      </w:r>
      <w:r>
        <w:rPr>
          <w:rFonts w:ascii="Calibri" w:eastAsia="MS Mincho" w:hAnsi="Calibri" w:cs="Times New Roman"/>
          <w:lang w:val="en-US"/>
        </w:rPr>
        <w:t xml:space="preserve">around </w:t>
      </w:r>
      <w:r w:rsidR="00800236">
        <w:rPr>
          <w:rFonts w:ascii="Calibri" w:eastAsia="MS Mincho" w:hAnsi="Calibri" w:cs="Times New Roman"/>
          <w:lang w:val="en-US"/>
        </w:rPr>
        <w:t>US$</w:t>
      </w:r>
      <w:r>
        <w:rPr>
          <w:rFonts w:ascii="Calibri" w:eastAsia="MS Mincho" w:hAnsi="Calibri" w:cs="Times New Roman"/>
          <w:lang w:val="en-US"/>
        </w:rPr>
        <w:t xml:space="preserve"> </w:t>
      </w:r>
      <w:r w:rsidRPr="00201D50">
        <w:rPr>
          <w:rFonts w:ascii="Calibri" w:eastAsia="MS Mincho" w:hAnsi="Calibri" w:cs="Times New Roman"/>
          <w:lang w:val="en-US"/>
        </w:rPr>
        <w:t>1 billion in financial services, insurance and healthcare across Africa and Asia. It reaches some 140</w:t>
      </w:r>
      <w:r>
        <w:rPr>
          <w:rFonts w:ascii="Calibri" w:eastAsia="MS Mincho" w:hAnsi="Calibri" w:cs="Times New Roman"/>
          <w:lang w:val="en-US"/>
        </w:rPr>
        <w:t xml:space="preserve"> million</w:t>
      </w:r>
      <w:r w:rsidRPr="00201D50">
        <w:rPr>
          <w:rFonts w:ascii="Calibri" w:eastAsia="MS Mincho" w:hAnsi="Calibri" w:cs="Times New Roman"/>
          <w:lang w:val="en-US"/>
        </w:rPr>
        <w:t xml:space="preserve"> people in 33 emerging markets, of which 117</w:t>
      </w:r>
      <w:r>
        <w:rPr>
          <w:rFonts w:ascii="Calibri" w:eastAsia="MS Mincho" w:hAnsi="Calibri" w:cs="Times New Roman"/>
          <w:lang w:val="en-US"/>
        </w:rPr>
        <w:t xml:space="preserve"> million</w:t>
      </w:r>
      <w:r w:rsidRPr="00201D50">
        <w:rPr>
          <w:rFonts w:ascii="Calibri" w:eastAsia="MS Mincho" w:hAnsi="Calibri" w:cs="Times New Roman"/>
          <w:lang w:val="en-US"/>
        </w:rPr>
        <w:t xml:space="preserve"> are low-income consumers. To drive profit-with-purpose performance</w:t>
      </w:r>
      <w:r>
        <w:rPr>
          <w:rFonts w:ascii="Calibri" w:eastAsia="MS Mincho" w:hAnsi="Calibri" w:cs="Times New Roman"/>
          <w:lang w:val="en-US"/>
        </w:rPr>
        <w:t>,</w:t>
      </w:r>
      <w:r w:rsidRPr="00201D50">
        <w:rPr>
          <w:rFonts w:ascii="Calibri" w:eastAsia="MS Mincho" w:hAnsi="Calibri" w:cs="Times New Roman"/>
          <w:lang w:val="en-US"/>
        </w:rPr>
        <w:t xml:space="preserve"> </w:t>
      </w:r>
      <w:proofErr w:type="spellStart"/>
      <w:r w:rsidRPr="00201D50">
        <w:rPr>
          <w:rFonts w:ascii="Calibri" w:eastAsia="MS Mincho" w:hAnsi="Calibri" w:cs="Times New Roman"/>
          <w:lang w:val="en-US"/>
        </w:rPr>
        <w:t>LeapFrog</w:t>
      </w:r>
      <w:proofErr w:type="spellEnd"/>
      <w:r w:rsidRPr="00201D50">
        <w:rPr>
          <w:rFonts w:ascii="Calibri" w:eastAsia="MS Mincho" w:hAnsi="Calibri" w:cs="Times New Roman"/>
          <w:lang w:val="en-US"/>
        </w:rPr>
        <w:t xml:space="preserve"> developed a proprietary in</w:t>
      </w:r>
      <w:r>
        <w:rPr>
          <w:rFonts w:ascii="Calibri" w:eastAsia="MS Mincho" w:hAnsi="Calibri" w:cs="Times New Roman"/>
          <w:lang w:val="en-US"/>
        </w:rPr>
        <w:noBreakHyphen/>
      </w:r>
      <w:r w:rsidRPr="00201D50">
        <w:rPr>
          <w:rFonts w:ascii="Calibri" w:eastAsia="MS Mincho" w:hAnsi="Calibri" w:cs="Times New Roman"/>
          <w:lang w:val="en-US"/>
        </w:rPr>
        <w:t xml:space="preserve">house measurement framework called FIIRM, which encompasses financial, impact, </w:t>
      </w:r>
      <w:proofErr w:type="gramStart"/>
      <w:r w:rsidRPr="00201D50">
        <w:rPr>
          <w:rFonts w:ascii="Calibri" w:eastAsia="MS Mincho" w:hAnsi="Calibri" w:cs="Times New Roman"/>
          <w:lang w:val="en-US"/>
        </w:rPr>
        <w:t>innovation</w:t>
      </w:r>
      <w:proofErr w:type="gramEnd"/>
      <w:r w:rsidRPr="00201D50">
        <w:rPr>
          <w:rFonts w:ascii="Calibri" w:eastAsia="MS Mincho" w:hAnsi="Calibri" w:cs="Times New Roman"/>
          <w:lang w:val="en-US"/>
        </w:rPr>
        <w:t xml:space="preserve"> and risk management factors. FIIRM is used to rate investments prior to investment, and embedded in the company as a management tool, making impact and operational measurement readily available in real time.</w:t>
      </w:r>
    </w:p>
    <w:p w14:paraId="4317CA5B" w14:textId="5DF34F45" w:rsidR="000E0565" w:rsidRPr="00201D50" w:rsidRDefault="000E0565" w:rsidP="000E0565">
      <w:pPr>
        <w:spacing w:before="120" w:after="120" w:line="240" w:lineRule="auto"/>
        <w:ind w:left="360"/>
        <w:rPr>
          <w:rFonts w:ascii="Calibri" w:eastAsia="MS Mincho" w:hAnsi="Calibri" w:cs="Times New Roman"/>
          <w:lang w:val="en-US"/>
        </w:rPr>
      </w:pPr>
      <w:r>
        <w:rPr>
          <w:rFonts w:ascii="Calibri" w:eastAsia="MS Mincho" w:hAnsi="Calibri" w:cs="Times New Roman"/>
          <w:lang w:val="en-US"/>
        </w:rPr>
        <w:t>Experimenting and learning about new ways to generate and measure development impact in challenging contexts is already part of Australia’s development assistance program, for example through partnership with the Global Innovation Fund</w:t>
      </w:r>
      <w:r w:rsidR="005F101D">
        <w:rPr>
          <w:rFonts w:ascii="Calibri" w:eastAsia="MS Mincho" w:hAnsi="Calibri" w:cs="Times New Roman"/>
          <w:lang w:val="en-US"/>
        </w:rPr>
        <w:t>, and through the</w:t>
      </w:r>
      <w:r w:rsidR="005F101D" w:rsidRPr="005F101D">
        <w:t xml:space="preserve"> </w:t>
      </w:r>
      <w:proofErr w:type="spellStart"/>
      <w:r w:rsidR="005F101D" w:rsidRPr="005F101D">
        <w:rPr>
          <w:rFonts w:ascii="Calibri" w:eastAsia="MS Mincho" w:hAnsi="Calibri" w:cs="Times New Roman"/>
          <w:lang w:val="en-US"/>
        </w:rPr>
        <w:t>innovationXchange</w:t>
      </w:r>
      <w:proofErr w:type="spellEnd"/>
      <w:r>
        <w:rPr>
          <w:rFonts w:ascii="Calibri" w:eastAsia="MS Mincho" w:hAnsi="Calibri" w:cs="Times New Roman"/>
          <w:lang w:val="en-US"/>
        </w:rPr>
        <w:t>.</w:t>
      </w:r>
    </w:p>
    <w:p w14:paraId="2324EE80" w14:textId="31C7C863" w:rsidR="00AF6A2E" w:rsidRDefault="000E0565" w:rsidP="00D6354C">
      <w:pPr>
        <w:pStyle w:val="Heading1"/>
        <w:spacing w:before="120" w:after="120" w:line="240" w:lineRule="auto"/>
      </w:pPr>
      <w:r>
        <w:br w:type="page"/>
      </w:r>
      <w:bookmarkEnd w:id="24"/>
    </w:p>
    <w:p w14:paraId="01CA5797" w14:textId="2957AA17" w:rsidR="0082510E" w:rsidRPr="00EE12C3" w:rsidRDefault="0082510E" w:rsidP="00E84878">
      <w:pPr>
        <w:pStyle w:val="Heading2"/>
      </w:pPr>
      <w:bookmarkStart w:id="26" w:name="_Toc531965947"/>
      <w:r w:rsidRPr="00EE12C3">
        <w:lastRenderedPageBreak/>
        <w:t>Budget and ODA-eligibility considerations</w:t>
      </w:r>
      <w:bookmarkEnd w:id="26"/>
      <w:r w:rsidRPr="00EE12C3">
        <w:t xml:space="preserve"> </w:t>
      </w:r>
    </w:p>
    <w:p w14:paraId="50911F1A" w14:textId="2B295A09" w:rsidR="0082510E" w:rsidRPr="00E84878" w:rsidRDefault="0082510E" w:rsidP="00E84878">
      <w:pPr>
        <w:pStyle w:val="Heading3"/>
        <w:rPr>
          <w:color w:val="2F5496"/>
          <w:sz w:val="26"/>
          <w:szCs w:val="26"/>
        </w:rPr>
      </w:pPr>
      <w:r w:rsidRPr="00E84878">
        <w:rPr>
          <w:color w:val="2F5496"/>
          <w:sz w:val="26"/>
          <w:szCs w:val="26"/>
        </w:rPr>
        <w:t>Budget</w:t>
      </w:r>
    </w:p>
    <w:p w14:paraId="6A630A13" w14:textId="67F3A92A" w:rsidR="0082510E" w:rsidRPr="0082510E" w:rsidRDefault="0082510E" w:rsidP="00594341">
      <w:pPr>
        <w:spacing w:before="120" w:after="120" w:line="240" w:lineRule="auto"/>
      </w:pPr>
      <w:r w:rsidRPr="0082510E">
        <w:t xml:space="preserve">Our suggested principles for the budget treatment of </w:t>
      </w:r>
      <w:r w:rsidR="00186117">
        <w:t>NGF</w:t>
      </w:r>
      <w:r w:rsidRPr="0082510E">
        <w:t xml:space="preserve"> instruments</w:t>
      </w:r>
      <w:r w:rsidR="00BD4331">
        <w:t xml:space="preserve"> </w:t>
      </w:r>
      <w:r w:rsidRPr="0082510E">
        <w:t>are as follows.</w:t>
      </w:r>
      <w:r w:rsidR="00BD4331">
        <w:t xml:space="preserve"> The basis for these suggestions is </w:t>
      </w:r>
      <w:r w:rsidR="00C04BA5">
        <w:t xml:space="preserve">to reflect </w:t>
      </w:r>
      <w:r w:rsidR="00BD4331">
        <w:t xml:space="preserve">the Government’s present budget principles, and </w:t>
      </w:r>
      <w:r w:rsidR="00C04BA5">
        <w:t>to</w:t>
      </w:r>
      <w:r w:rsidR="00BD4331">
        <w:t xml:space="preserve"> minimis</w:t>
      </w:r>
      <w:r w:rsidR="00C04BA5">
        <w:t>e</w:t>
      </w:r>
      <w:r w:rsidR="00BD4331">
        <w:t xml:space="preserve"> the impact of </w:t>
      </w:r>
      <w:r w:rsidR="00C04BA5">
        <w:t xml:space="preserve">using </w:t>
      </w:r>
      <w:r w:rsidR="00BD4331">
        <w:t xml:space="preserve">NGF on allocations of appropriations to other development assistance. </w:t>
      </w:r>
    </w:p>
    <w:p w14:paraId="645341D1" w14:textId="7641F774" w:rsidR="0082510E" w:rsidRPr="0082510E" w:rsidRDefault="0082510E">
      <w:pPr>
        <w:numPr>
          <w:ilvl w:val="0"/>
          <w:numId w:val="23"/>
        </w:numPr>
        <w:spacing w:before="120" w:after="120" w:line="240" w:lineRule="auto"/>
      </w:pPr>
      <w:r w:rsidRPr="0082510E">
        <w:t xml:space="preserve">Funds which create financial assets (loans or equities) should come from the Consolidated Revenue Account (CRA) </w:t>
      </w:r>
      <w:r w:rsidR="006C5935">
        <w:t>by</w:t>
      </w:r>
      <w:r w:rsidR="006C5935" w:rsidRPr="0082510E">
        <w:t xml:space="preserve"> </w:t>
      </w:r>
      <w:r w:rsidRPr="0082510E">
        <w:t xml:space="preserve">a special appropriation, </w:t>
      </w:r>
      <w:r w:rsidR="00F27418">
        <w:t xml:space="preserve">without affecting </w:t>
      </w:r>
      <w:r w:rsidRPr="0082510E">
        <w:t xml:space="preserve">appropriations for </w:t>
      </w:r>
      <w:r w:rsidR="006C5935">
        <w:t>other</w:t>
      </w:r>
      <w:r w:rsidR="006C5935" w:rsidRPr="0082510E">
        <w:t xml:space="preserve"> </w:t>
      </w:r>
      <w:r w:rsidRPr="0082510E">
        <w:t>development assistance.</w:t>
      </w:r>
      <w:r w:rsidR="00F27418">
        <w:t xml:space="preserve"> Similarly, r</w:t>
      </w:r>
      <w:r w:rsidRPr="0082510E">
        <w:t>eflows from assets (loan repayments and proceeds from sales of equities) should go to CRA and not affect appropriations for development assistance.</w:t>
      </w:r>
    </w:p>
    <w:p w14:paraId="6910E430" w14:textId="63E73A7F" w:rsidR="0082510E" w:rsidRPr="0082510E" w:rsidRDefault="0082510E" w:rsidP="000F209C">
      <w:pPr>
        <w:numPr>
          <w:ilvl w:val="0"/>
          <w:numId w:val="23"/>
        </w:numPr>
        <w:spacing w:before="120" w:after="120" w:line="240" w:lineRule="auto"/>
      </w:pPr>
      <w:r w:rsidRPr="0082510E">
        <w:t xml:space="preserve">Receipts of loan interest and equity dividends should go to CRA, with offsets for net cost in Public Debt Interest </w:t>
      </w:r>
      <w:bookmarkStart w:id="27" w:name="_Hlk530852246"/>
      <w:r w:rsidRPr="0082510E">
        <w:t>deducted from appropriations for development assistanc</w:t>
      </w:r>
      <w:bookmarkEnd w:id="27"/>
      <w:r w:rsidRPr="0082510E">
        <w:t>e.</w:t>
      </w:r>
    </w:p>
    <w:p w14:paraId="480EE98B" w14:textId="6D6B3429" w:rsidR="0082510E" w:rsidRPr="0082510E" w:rsidRDefault="0082510E" w:rsidP="000F209C">
      <w:pPr>
        <w:numPr>
          <w:ilvl w:val="0"/>
          <w:numId w:val="23"/>
        </w:numPr>
        <w:spacing w:before="120" w:after="120" w:line="240" w:lineRule="auto"/>
      </w:pPr>
      <w:r w:rsidRPr="0082510E">
        <w:t xml:space="preserve">Creation of each new financial asset should be accompanied by deduction of a Financial Risk offset from appropriations for development assistance. Although this would be a single amount rather than an annual one, the asset’s risk level should be reviewed at least annually and the FR offset adjusted if </w:t>
      </w:r>
      <w:proofErr w:type="gramStart"/>
      <w:r w:rsidRPr="0082510E">
        <w:t>necessary</w:t>
      </w:r>
      <w:proofErr w:type="gramEnd"/>
      <w:r w:rsidRPr="0082510E">
        <w:t xml:space="preserve"> by an increment, positive or negative</w:t>
      </w:r>
      <w:r w:rsidR="00BD5908">
        <w:t>.</w:t>
      </w:r>
      <w:r w:rsidR="00001A7B">
        <w:rPr>
          <w:rStyle w:val="FootnoteReference"/>
        </w:rPr>
        <w:footnoteReference w:id="48"/>
      </w:r>
    </w:p>
    <w:p w14:paraId="7F2246BE" w14:textId="27E706F9" w:rsidR="0082510E" w:rsidRPr="0082510E" w:rsidRDefault="0082510E" w:rsidP="000F209C">
      <w:pPr>
        <w:numPr>
          <w:ilvl w:val="0"/>
          <w:numId w:val="23"/>
        </w:numPr>
        <w:spacing w:before="120" w:after="120" w:line="240" w:lineRule="auto"/>
      </w:pPr>
      <w:r w:rsidRPr="0082510E">
        <w:t xml:space="preserve">Creation of contingent liabilities through guaranteeing financial obligations of other parties, or by offering insurance, should similarly be accompanied by deductions of FR offsets from appropriations for development assistance. These would be </w:t>
      </w:r>
      <w:proofErr w:type="gramStart"/>
      <w:r w:rsidRPr="0082510E">
        <w:t>in the nature of provisions</w:t>
      </w:r>
      <w:proofErr w:type="gramEnd"/>
      <w:r w:rsidRPr="0082510E">
        <w:t xml:space="preserve"> against possibilities of later obligations to make payouts from CRA. If fees were </w:t>
      </w:r>
      <w:r w:rsidR="002C2F5A">
        <w:t>charg</w:t>
      </w:r>
      <w:r w:rsidR="002C2F5A" w:rsidRPr="0082510E">
        <w:t xml:space="preserve">ed </w:t>
      </w:r>
      <w:r w:rsidRPr="0082510E">
        <w:t>for such guarantees or insurance, they should be paid to CRA and the relevant FR offsets adjusted.</w:t>
      </w:r>
    </w:p>
    <w:p w14:paraId="6100F1A4" w14:textId="7C22CAFD" w:rsidR="0082510E" w:rsidRPr="0082510E" w:rsidRDefault="0082510E" w:rsidP="000F209C">
      <w:pPr>
        <w:numPr>
          <w:ilvl w:val="0"/>
          <w:numId w:val="23"/>
        </w:numPr>
        <w:spacing w:before="120" w:after="120" w:line="240" w:lineRule="auto"/>
      </w:pPr>
      <w:r w:rsidRPr="0082510E">
        <w:t xml:space="preserve">If a guarantee contracted for development assistance purposes were to be enlivened and trigger a payout, or an insurance payout be required, it </w:t>
      </w:r>
      <w:r w:rsidR="002C2F5A">
        <w:t>sh</w:t>
      </w:r>
      <w:r w:rsidR="002C2F5A" w:rsidRPr="0082510E">
        <w:t xml:space="preserve">ould </w:t>
      </w:r>
      <w:r w:rsidRPr="0082510E">
        <w:t xml:space="preserve">be paid from CRA </w:t>
      </w:r>
      <w:r w:rsidR="002C2F5A">
        <w:t>by a</w:t>
      </w:r>
      <w:r w:rsidRPr="0082510E">
        <w:t xml:space="preserve"> special appropriation</w:t>
      </w:r>
      <w:r w:rsidR="002C2F5A">
        <w:t>, with the proceeds of any subsequent realisation of security being repaid to CRA</w:t>
      </w:r>
      <w:r w:rsidRPr="0082510E">
        <w:t>.</w:t>
      </w:r>
    </w:p>
    <w:p w14:paraId="7C42FBEA" w14:textId="33AAE828" w:rsidR="0082510E" w:rsidRPr="0082510E" w:rsidRDefault="0082510E" w:rsidP="000F209C">
      <w:pPr>
        <w:numPr>
          <w:ilvl w:val="0"/>
          <w:numId w:val="23"/>
        </w:numPr>
        <w:spacing w:before="120" w:after="120" w:line="240" w:lineRule="auto"/>
      </w:pPr>
      <w:r w:rsidRPr="0082510E">
        <w:t>Scope for creating financial assets as part of the development assistance</w:t>
      </w:r>
      <w:r w:rsidR="003F7820">
        <w:t xml:space="preserve"> program </w:t>
      </w:r>
      <w:r w:rsidRPr="0082510E">
        <w:t>should be subject to a ceiling set by a decision of Cabinet or senior Ministers. The scope for creating contingent liabilities through guarantees or insurance should be subject to a separate ceiling, set similarly. In conjunction with these ceilings, a limit should be set for single exposures, with reference to assets and contingent liabilities combined.</w:t>
      </w:r>
    </w:p>
    <w:p w14:paraId="30C729F5" w14:textId="3E992085" w:rsidR="0082510E" w:rsidRPr="0082510E" w:rsidRDefault="0082510E" w:rsidP="000F209C">
      <w:pPr>
        <w:numPr>
          <w:ilvl w:val="0"/>
          <w:numId w:val="23"/>
        </w:numPr>
        <w:spacing w:before="120" w:after="120" w:line="240" w:lineRule="auto"/>
      </w:pPr>
      <w:r w:rsidRPr="0082510E">
        <w:t>If small grants were made in repayable form as part of the development assistance program, the amounts involved should be found from appropriations for development assistance, and any repayments should be added back to those appropriations.</w:t>
      </w:r>
    </w:p>
    <w:p w14:paraId="63A16FD9" w14:textId="44BD014E" w:rsidR="0082510E" w:rsidRPr="0082510E" w:rsidRDefault="0082510E" w:rsidP="000F209C">
      <w:pPr>
        <w:numPr>
          <w:ilvl w:val="0"/>
          <w:numId w:val="23"/>
        </w:numPr>
        <w:spacing w:before="120" w:after="120" w:line="240" w:lineRule="auto"/>
      </w:pPr>
      <w:r w:rsidRPr="0082510E">
        <w:t xml:space="preserve">The offsets mentioned </w:t>
      </w:r>
      <w:r w:rsidR="00A5214E">
        <w:t xml:space="preserve">in 2 and 3 </w:t>
      </w:r>
      <w:r w:rsidRPr="0082510E">
        <w:t xml:space="preserve">above should be seen as uses of part of appropriations for development assistance, to be weighed against other uses within the development assistance program. </w:t>
      </w:r>
      <w:r w:rsidR="0092322E">
        <w:t>While it is desirable that these offsets should be eligible for inclusion as</w:t>
      </w:r>
      <w:r w:rsidRPr="0082510E">
        <w:t xml:space="preserve"> ODA</w:t>
      </w:r>
      <w:r w:rsidR="0092322E">
        <w:t>,</w:t>
      </w:r>
      <w:r w:rsidRPr="0082510E">
        <w:t xml:space="preserve"> </w:t>
      </w:r>
      <w:r w:rsidR="0092322E">
        <w:t>this should not be regarded as essential</w:t>
      </w:r>
      <w:r w:rsidRPr="0082510E">
        <w:t xml:space="preserve"> (see </w:t>
      </w:r>
      <w:r w:rsidR="009F0CDB">
        <w:t>next page</w:t>
      </w:r>
      <w:r w:rsidRPr="0082510E">
        <w:t>).</w:t>
      </w:r>
    </w:p>
    <w:p w14:paraId="434CBB7D" w14:textId="35DB4680" w:rsidR="0082510E" w:rsidRPr="0082510E" w:rsidRDefault="0082510E" w:rsidP="00594341">
      <w:pPr>
        <w:spacing w:before="120" w:after="120" w:line="240" w:lineRule="auto"/>
      </w:pPr>
      <w:r w:rsidRPr="0082510E">
        <w:t xml:space="preserve">Several options for institutional arrangements will be described </w:t>
      </w:r>
      <w:r w:rsidR="00125EA6">
        <w:t xml:space="preserve">on </w:t>
      </w:r>
      <w:r w:rsidR="00AF3DDF">
        <w:t xml:space="preserve">pages </w:t>
      </w:r>
      <w:r w:rsidR="00125EA6">
        <w:t>23-26</w:t>
      </w:r>
      <w:r w:rsidRPr="0082510E">
        <w:t xml:space="preserve">. They involve having financing transactions of new kinds made by DFAT in Option 1, </w:t>
      </w:r>
      <w:proofErr w:type="spellStart"/>
      <w:r w:rsidRPr="0082510E">
        <w:t>Efic</w:t>
      </w:r>
      <w:proofErr w:type="spellEnd"/>
      <w:r w:rsidRPr="0082510E">
        <w:t xml:space="preserve"> </w:t>
      </w:r>
      <w:r w:rsidR="007963F9">
        <w:t>in partnership with</w:t>
      </w:r>
      <w:r w:rsidRPr="0082510E">
        <w:t xml:space="preserve"> DFAT in Option 2, a new entity in the same portfolio in Option 3</w:t>
      </w:r>
      <w:r w:rsidR="009967AD">
        <w:t>, or a mixture</w:t>
      </w:r>
      <w:r w:rsidR="00990CD7">
        <w:t xml:space="preserve"> of these</w:t>
      </w:r>
      <w:r w:rsidR="009967AD">
        <w:t xml:space="preserve"> in Option 4</w:t>
      </w:r>
      <w:r w:rsidRPr="0082510E">
        <w:t xml:space="preserve">. </w:t>
      </w:r>
      <w:r w:rsidR="00C6469A">
        <w:t>It will be noted in that section how</w:t>
      </w:r>
      <w:r w:rsidRPr="0082510E">
        <w:t xml:space="preserve"> the suggested budget principles </w:t>
      </w:r>
      <w:r w:rsidR="00C6469A">
        <w:t>sh</w:t>
      </w:r>
      <w:r w:rsidR="00C6469A" w:rsidRPr="0082510E">
        <w:t xml:space="preserve">ould </w:t>
      </w:r>
      <w:r w:rsidR="00C6469A">
        <w:t>be applied</w:t>
      </w:r>
      <w:r w:rsidRPr="0082510E">
        <w:t xml:space="preserve"> in the latter options.</w:t>
      </w:r>
    </w:p>
    <w:p w14:paraId="71C17436" w14:textId="77777777" w:rsidR="0082510E" w:rsidRPr="00E84878" w:rsidRDefault="0082510E" w:rsidP="00E84878">
      <w:pPr>
        <w:pStyle w:val="Heading3"/>
        <w:rPr>
          <w:color w:val="2F5496"/>
          <w:sz w:val="26"/>
          <w:szCs w:val="26"/>
        </w:rPr>
      </w:pPr>
      <w:r w:rsidRPr="00E84878">
        <w:rPr>
          <w:color w:val="2F5496"/>
          <w:sz w:val="26"/>
          <w:szCs w:val="26"/>
        </w:rPr>
        <w:lastRenderedPageBreak/>
        <w:t>ODA eligibility</w:t>
      </w:r>
    </w:p>
    <w:p w14:paraId="1AB572EF" w14:textId="20BA8E12" w:rsidR="00CD3D15" w:rsidRDefault="00E84FB2" w:rsidP="00594341">
      <w:pPr>
        <w:spacing w:before="120" w:after="120" w:line="240" w:lineRule="auto"/>
      </w:pPr>
      <w:r w:rsidRPr="00E84FB2">
        <w:t xml:space="preserve">Many </w:t>
      </w:r>
      <w:r w:rsidR="00634CC7">
        <w:t xml:space="preserve">countries in </w:t>
      </w:r>
      <w:r w:rsidR="00634CC7" w:rsidRPr="0082510E">
        <w:t xml:space="preserve">the Development Assistance Committee </w:t>
      </w:r>
      <w:r w:rsidR="00634CC7">
        <w:t>of the Organisation for Economic Cooperation and Development (OECD-</w:t>
      </w:r>
      <w:r w:rsidR="00634CC7" w:rsidRPr="0082510E">
        <w:t xml:space="preserve">DAC) </w:t>
      </w:r>
      <w:r w:rsidR="009C4D49">
        <w:t>use</w:t>
      </w:r>
      <w:r w:rsidR="009C4D49" w:rsidRPr="00E84FB2">
        <w:t xml:space="preserve"> </w:t>
      </w:r>
      <w:r w:rsidRPr="00E84FB2">
        <w:t xml:space="preserve">DFIs, investment funds and other </w:t>
      </w:r>
      <w:r w:rsidR="00934963">
        <w:t>vehicles</w:t>
      </w:r>
      <w:r w:rsidR="00C04BA5" w:rsidRPr="00E84FB2">
        <w:t xml:space="preserve"> </w:t>
      </w:r>
      <w:r w:rsidR="009C4D49">
        <w:t>to</w:t>
      </w:r>
      <w:r w:rsidR="009C4D49" w:rsidRPr="00E84FB2">
        <w:t xml:space="preserve"> </w:t>
      </w:r>
      <w:r w:rsidRPr="00E84FB2">
        <w:t>finance private</w:t>
      </w:r>
      <w:r>
        <w:t>-</w:t>
      </w:r>
      <w:r w:rsidRPr="00E84FB2">
        <w:t>sector entities in developing countries</w:t>
      </w:r>
      <w:r>
        <w:t>,</w:t>
      </w:r>
      <w:r w:rsidRPr="00E84FB2">
        <w:t xml:space="preserve"> employ</w:t>
      </w:r>
      <w:r>
        <w:t>ing</w:t>
      </w:r>
      <w:r w:rsidRPr="00E84FB2">
        <w:t xml:space="preserve"> </w:t>
      </w:r>
      <w:r>
        <w:t>NGF</w:t>
      </w:r>
      <w:r w:rsidRPr="00E84FB2">
        <w:t xml:space="preserve">. </w:t>
      </w:r>
      <w:r w:rsidR="00CD3D15">
        <w:t>OECD</w:t>
      </w:r>
      <w:r w:rsidR="00CD3D15">
        <w:noBreakHyphen/>
        <w:t>DAC members</w:t>
      </w:r>
      <w:r w:rsidR="0039605E" w:rsidRPr="009F3BFE">
        <w:t xml:space="preserve"> agree</w:t>
      </w:r>
      <w:r w:rsidR="009F3BFE" w:rsidRPr="009F3BFE">
        <w:t>d</w:t>
      </w:r>
      <w:r w:rsidR="002D63D8" w:rsidRPr="009F3BFE">
        <w:t xml:space="preserve"> in 2016 that</w:t>
      </w:r>
      <w:r w:rsidRPr="009F3BFE">
        <w:t xml:space="preserve"> the guidelines for ODA eligibility </w:t>
      </w:r>
      <w:r w:rsidR="002D63D8" w:rsidRPr="009F3BFE">
        <w:t>should</w:t>
      </w:r>
      <w:r w:rsidRPr="009F3BFE">
        <w:t xml:space="preserve"> </w:t>
      </w:r>
      <w:r w:rsidR="002D63D8" w:rsidRPr="009F3BFE">
        <w:t>reflect donors’</w:t>
      </w:r>
      <w:r w:rsidRPr="009F3BFE">
        <w:t xml:space="preserve"> </w:t>
      </w:r>
      <w:r w:rsidR="00CD3D15">
        <w:t>efforts</w:t>
      </w:r>
      <w:r w:rsidR="00CD3D15" w:rsidRPr="009F3BFE">
        <w:t xml:space="preserve"> </w:t>
      </w:r>
      <w:r w:rsidR="002D63D8" w:rsidRPr="009F3BFE">
        <w:t>in private</w:t>
      </w:r>
      <w:r w:rsidR="002D63D8" w:rsidRPr="009F3BFE">
        <w:noBreakHyphen/>
        <w:t xml:space="preserve">sector financing </w:t>
      </w:r>
      <w:r w:rsidR="00CD3D15">
        <w:t xml:space="preserve">for development purposes. </w:t>
      </w:r>
      <w:r w:rsidR="00634CC7">
        <w:t xml:space="preserve">Provisional </w:t>
      </w:r>
      <w:r w:rsidR="00634CC7" w:rsidRPr="0082510E">
        <w:t xml:space="preserve">guidelines </w:t>
      </w:r>
      <w:r w:rsidR="00CD3D15">
        <w:t>were</w:t>
      </w:r>
      <w:r w:rsidR="00634CC7">
        <w:t xml:space="preserve"> agreed and </w:t>
      </w:r>
      <w:r w:rsidR="00634CC7" w:rsidRPr="0082510E">
        <w:t xml:space="preserve">published </w:t>
      </w:r>
      <w:r w:rsidR="00634CC7">
        <w:t>in December 2018</w:t>
      </w:r>
      <w:r w:rsidR="00CD3D15" w:rsidRPr="00CD3D15">
        <w:t xml:space="preserve"> that outline an </w:t>
      </w:r>
      <w:r w:rsidR="00CD3D15" w:rsidRPr="001F441A">
        <w:rPr>
          <w:i/>
        </w:rPr>
        <w:t>institutions-based</w:t>
      </w:r>
      <w:r w:rsidR="00CD3D15" w:rsidRPr="00CD3D15">
        <w:t xml:space="preserve"> and an </w:t>
      </w:r>
      <w:r w:rsidR="00CD3D15" w:rsidRPr="001F441A">
        <w:rPr>
          <w:i/>
        </w:rPr>
        <w:t>instruments-based</w:t>
      </w:r>
      <w:r w:rsidR="00CD3D15" w:rsidRPr="00CD3D15">
        <w:t xml:space="preserve"> approach to calculating ODA</w:t>
      </w:r>
      <w:r>
        <w:t>.</w:t>
      </w:r>
      <w:r w:rsidR="00B30150">
        <w:rPr>
          <w:rStyle w:val="FootnoteReference"/>
        </w:rPr>
        <w:footnoteReference w:id="49"/>
      </w:r>
      <w:r>
        <w:t xml:space="preserve"> </w:t>
      </w:r>
    </w:p>
    <w:p w14:paraId="0EBA8BDC" w14:textId="4D794F64" w:rsidR="00CD3D15" w:rsidRDefault="00CD3D15" w:rsidP="00CD3D15">
      <w:pPr>
        <w:spacing w:before="120" w:after="120" w:line="240" w:lineRule="auto"/>
      </w:pPr>
      <w:r>
        <w:t xml:space="preserve">The OECD-DAC guidelines for the </w:t>
      </w:r>
      <w:r w:rsidRPr="001F441A">
        <w:rPr>
          <w:i/>
        </w:rPr>
        <w:t>institutions-based</w:t>
      </w:r>
      <w:r>
        <w:t xml:space="preserve"> approach mean that contributions to a DFI or other vehicle for private-sector finance can be </w:t>
      </w:r>
      <w:r w:rsidR="006F79FA">
        <w:t>counted</w:t>
      </w:r>
      <w:r>
        <w:t xml:space="preserve"> as ODA, either in full or in proportion to </w:t>
      </w:r>
      <w:r w:rsidRPr="00030E5F">
        <w:t>the share of ODA</w:t>
      </w:r>
      <w:r>
        <w:noBreakHyphen/>
      </w:r>
      <w:r w:rsidRPr="00030E5F">
        <w:t xml:space="preserve">eligible activities in the </w:t>
      </w:r>
      <w:r>
        <w:t>vehicle’s</w:t>
      </w:r>
      <w:r w:rsidRPr="00030E5F">
        <w:t xml:space="preserve"> portfolio</w:t>
      </w:r>
      <w:r>
        <w:t>, and with a</w:t>
      </w:r>
      <w:r w:rsidRPr="00CD3D15">
        <w:t>ny reflows (including profits) count</w:t>
      </w:r>
      <w:r>
        <w:t>ed</w:t>
      </w:r>
      <w:r w:rsidRPr="00CD3D15">
        <w:t xml:space="preserve"> as negative ODA</w:t>
      </w:r>
      <w:r>
        <w:t>.</w:t>
      </w:r>
      <w:r w:rsidRPr="00030E5F">
        <w:rPr>
          <w:rStyle w:val="FootnoteReference"/>
        </w:rPr>
        <w:t xml:space="preserve"> </w:t>
      </w:r>
      <w:r>
        <w:t xml:space="preserve"> The application of the OECD</w:t>
      </w:r>
      <w:r>
        <w:noBreakHyphen/>
        <w:t>DAC guidelines to the institutional options described on pages 23</w:t>
      </w:r>
      <w:r>
        <w:noBreakHyphen/>
        <w:t xml:space="preserve">26 remains to be determined </w:t>
      </w:r>
      <w:r w:rsidR="00EA59FA">
        <w:t>definitively</w:t>
      </w:r>
      <w:r>
        <w:t>, but it appears:</w:t>
      </w:r>
    </w:p>
    <w:p w14:paraId="3E3A131A" w14:textId="77777777" w:rsidR="00CD3D15" w:rsidRDefault="00CD3D15" w:rsidP="00CD3D15">
      <w:pPr>
        <w:pStyle w:val="ListParagraph"/>
        <w:numPr>
          <w:ilvl w:val="0"/>
          <w:numId w:val="104"/>
        </w:numPr>
        <w:spacing w:before="120" w:after="120" w:line="240" w:lineRule="auto"/>
      </w:pPr>
      <w:r>
        <w:t>that contributing to a development</w:t>
      </w:r>
      <w:r>
        <w:noBreakHyphen/>
        <w:t xml:space="preserve">finance fund within DFAT, as in </w:t>
      </w:r>
      <w:proofErr w:type="gramStart"/>
      <w:r>
        <w:t>all of</w:t>
      </w:r>
      <w:proofErr w:type="gramEnd"/>
      <w:r>
        <w:t xml:space="preserve"> those options, might be eligible as ODA, but DFAT would need to clarify this with OECD</w:t>
      </w:r>
      <w:r>
        <w:noBreakHyphen/>
        <w:t>DAC; and</w:t>
      </w:r>
    </w:p>
    <w:p w14:paraId="54FB95E0" w14:textId="77777777" w:rsidR="00CD3D15" w:rsidRDefault="00CD3D15" w:rsidP="00CD3D15">
      <w:pPr>
        <w:pStyle w:val="ListParagraph"/>
        <w:numPr>
          <w:ilvl w:val="0"/>
          <w:numId w:val="104"/>
        </w:numPr>
        <w:spacing w:before="120" w:after="120" w:line="240" w:lineRule="auto"/>
      </w:pPr>
      <w:r>
        <w:t>that contributing capital or operating expenses for a new development</w:t>
      </w:r>
      <w:r>
        <w:noBreakHyphen/>
        <w:t>finance entity, as in two of those options, could be eligible as ODA, at least in some proportion.</w:t>
      </w:r>
      <w:r>
        <w:rPr>
          <w:rStyle w:val="FootnoteReference"/>
        </w:rPr>
        <w:footnoteReference w:id="50"/>
      </w:r>
    </w:p>
    <w:p w14:paraId="36E9D4C6" w14:textId="41917206" w:rsidR="00E84FB2" w:rsidRDefault="00321EB8" w:rsidP="00594341">
      <w:pPr>
        <w:spacing w:before="120" w:after="120" w:line="240" w:lineRule="auto"/>
      </w:pPr>
      <w:r w:rsidRPr="00726C5E">
        <w:t>Table 2</w:t>
      </w:r>
      <w:r w:rsidRPr="0082510E">
        <w:t xml:space="preserve"> below </w:t>
      </w:r>
      <w:r w:rsidR="00634CC7">
        <w:t xml:space="preserve">shows </w:t>
      </w:r>
      <w:r w:rsidR="005D46E1">
        <w:t xml:space="preserve">how </w:t>
      </w:r>
      <w:r w:rsidR="00634CC7">
        <w:t>the</w:t>
      </w:r>
      <w:r w:rsidR="00EA59FA">
        <w:t xml:space="preserve"> </w:t>
      </w:r>
      <w:r w:rsidR="0052014A">
        <w:t xml:space="preserve">provisional </w:t>
      </w:r>
      <w:r w:rsidR="00EA59FA">
        <w:t>guidelines</w:t>
      </w:r>
      <w:r w:rsidR="00EA59FA" w:rsidRPr="00E84FB2">
        <w:t xml:space="preserve"> </w:t>
      </w:r>
      <w:r w:rsidR="00EA59FA">
        <w:t xml:space="preserve">for an </w:t>
      </w:r>
      <w:r w:rsidR="00EA59FA" w:rsidRPr="001F441A">
        <w:rPr>
          <w:i/>
        </w:rPr>
        <w:t>instruments-based</w:t>
      </w:r>
      <w:r w:rsidR="00EA59FA">
        <w:t xml:space="preserve"> approach</w:t>
      </w:r>
      <w:r w:rsidR="00E84FB2" w:rsidRPr="00E84FB2">
        <w:t xml:space="preserve"> </w:t>
      </w:r>
      <w:r w:rsidR="00EA59FA">
        <w:t xml:space="preserve">would </w:t>
      </w:r>
      <w:r w:rsidR="005D46E1">
        <w:t>apply</w:t>
      </w:r>
      <w:r w:rsidR="00E84FB2" w:rsidRPr="00E84FB2">
        <w:t>.</w:t>
      </w:r>
    </w:p>
    <w:p w14:paraId="424C1E86" w14:textId="2EC28C0B" w:rsidR="0082510E" w:rsidRPr="00726C5E" w:rsidRDefault="0082510E" w:rsidP="00594341">
      <w:pPr>
        <w:spacing w:before="120" w:after="120" w:line="240" w:lineRule="auto"/>
        <w:rPr>
          <w:color w:val="002060"/>
          <w:sz w:val="24"/>
          <w:szCs w:val="24"/>
        </w:rPr>
      </w:pPr>
      <w:r w:rsidRPr="00726C5E">
        <w:rPr>
          <w:color w:val="002060"/>
          <w:sz w:val="24"/>
          <w:szCs w:val="24"/>
        </w:rPr>
        <w:t>Table </w:t>
      </w:r>
      <w:r w:rsidR="00726C5E">
        <w:rPr>
          <w:color w:val="002060"/>
          <w:sz w:val="24"/>
          <w:szCs w:val="24"/>
        </w:rPr>
        <w:t>2</w:t>
      </w:r>
      <w:r w:rsidR="0071103E" w:rsidRPr="00726C5E">
        <w:rPr>
          <w:color w:val="002060"/>
          <w:sz w:val="24"/>
          <w:szCs w:val="24"/>
        </w:rPr>
        <w:t>—</w:t>
      </w:r>
      <w:r w:rsidRPr="00726C5E">
        <w:rPr>
          <w:color w:val="002060"/>
          <w:sz w:val="24"/>
          <w:szCs w:val="24"/>
        </w:rPr>
        <w:t xml:space="preserve">Provisional </w:t>
      </w:r>
      <w:r w:rsidR="001D6895">
        <w:rPr>
          <w:color w:val="002060"/>
          <w:sz w:val="24"/>
          <w:szCs w:val="24"/>
        </w:rPr>
        <w:t>guidelines</w:t>
      </w:r>
      <w:r w:rsidR="001D6895" w:rsidRPr="00726C5E">
        <w:rPr>
          <w:color w:val="002060"/>
          <w:sz w:val="24"/>
          <w:szCs w:val="24"/>
        </w:rPr>
        <w:t xml:space="preserve"> </w:t>
      </w:r>
      <w:r w:rsidRPr="00726C5E">
        <w:rPr>
          <w:color w:val="002060"/>
          <w:sz w:val="24"/>
          <w:szCs w:val="24"/>
        </w:rPr>
        <w:t>f</w:t>
      </w:r>
      <w:r w:rsidR="001D6895">
        <w:rPr>
          <w:color w:val="002060"/>
          <w:sz w:val="24"/>
          <w:szCs w:val="24"/>
        </w:rPr>
        <w:t>or</w:t>
      </w:r>
      <w:r w:rsidRPr="00726C5E">
        <w:rPr>
          <w:color w:val="002060"/>
          <w:sz w:val="24"/>
          <w:szCs w:val="24"/>
        </w:rPr>
        <w:t xml:space="preserve"> ODA </w:t>
      </w:r>
      <w:r w:rsidR="00027C83">
        <w:rPr>
          <w:color w:val="002060"/>
          <w:sz w:val="24"/>
          <w:szCs w:val="24"/>
        </w:rPr>
        <w:t>measurement</w:t>
      </w:r>
      <w:r w:rsidR="00027C83" w:rsidRPr="00726C5E">
        <w:rPr>
          <w:color w:val="002060"/>
          <w:sz w:val="24"/>
          <w:szCs w:val="24"/>
        </w:rPr>
        <w:t xml:space="preserve"> </w:t>
      </w:r>
      <w:r w:rsidRPr="00726C5E">
        <w:rPr>
          <w:color w:val="002060"/>
          <w:sz w:val="24"/>
          <w:szCs w:val="24"/>
        </w:rPr>
        <w:t>by financial instrument</w:t>
      </w:r>
    </w:p>
    <w:tbl>
      <w:tblPr>
        <w:tblStyle w:val="TableGrid1"/>
        <w:tblW w:w="0" w:type="auto"/>
        <w:tblLook w:val="04A0" w:firstRow="1" w:lastRow="0" w:firstColumn="1" w:lastColumn="0" w:noHBand="0" w:noVBand="1"/>
      </w:tblPr>
      <w:tblGrid>
        <w:gridCol w:w="3539"/>
        <w:gridCol w:w="5477"/>
      </w:tblGrid>
      <w:tr w:rsidR="0082510E" w:rsidRPr="0082510E" w14:paraId="0E7F9209" w14:textId="77777777" w:rsidTr="00C04BA5">
        <w:tc>
          <w:tcPr>
            <w:tcW w:w="3539" w:type="dxa"/>
          </w:tcPr>
          <w:p w14:paraId="7912FDFB" w14:textId="2F8BC6E0" w:rsidR="0082510E" w:rsidRPr="0082510E" w:rsidRDefault="0082510E" w:rsidP="003C5883">
            <w:pPr>
              <w:spacing w:before="40" w:after="40"/>
            </w:pPr>
            <w:bookmarkStart w:id="29" w:name="_Hlk531968567"/>
            <w:r w:rsidRPr="0082510E">
              <w:t>Loans</w:t>
            </w:r>
            <w:r w:rsidR="00634CC7">
              <w:t xml:space="preserve"> to </w:t>
            </w:r>
            <w:r w:rsidR="003023AE">
              <w:t>private</w:t>
            </w:r>
            <w:r w:rsidR="00A67179">
              <w:t>-sector</w:t>
            </w:r>
            <w:r w:rsidR="003023AE">
              <w:t xml:space="preserve"> entities</w:t>
            </w:r>
            <w:r w:rsidR="003023AE" w:rsidRPr="0082510E" w:rsidDel="003023AE">
              <w:t xml:space="preserve"> </w:t>
            </w:r>
          </w:p>
        </w:tc>
        <w:tc>
          <w:tcPr>
            <w:tcW w:w="5477" w:type="dxa"/>
          </w:tcPr>
          <w:p w14:paraId="75CE82DF" w14:textId="24F5ABBF" w:rsidR="00B8617F" w:rsidRPr="0082510E" w:rsidRDefault="006A416E">
            <w:pPr>
              <w:spacing w:before="40" w:after="40"/>
            </w:pPr>
            <w:r>
              <w:t>Eligible to be measured</w:t>
            </w:r>
            <w:r w:rsidR="003E7F2D">
              <w:t xml:space="preserve"> on a cash-flow basis </w:t>
            </w:r>
            <w:r>
              <w:t>if</w:t>
            </w:r>
            <w:r w:rsidR="003E7F2D">
              <w:t xml:space="preserve"> they have</w:t>
            </w:r>
            <w:r w:rsidR="00634CC7">
              <w:t xml:space="preserve"> sufficient</w:t>
            </w:r>
            <w:r w:rsidR="00AA6EF9">
              <w:t xml:space="preserve"> </w:t>
            </w:r>
            <w:proofErr w:type="spellStart"/>
            <w:r w:rsidR="00AA6EF9">
              <w:t>concessionality</w:t>
            </w:r>
            <w:proofErr w:type="spellEnd"/>
            <w:r w:rsidR="003E7F2D">
              <w:t>, namely</w:t>
            </w:r>
            <w:r w:rsidR="00634CC7">
              <w:t xml:space="preserve"> a</w:t>
            </w:r>
            <w:r w:rsidR="00DD1CC9">
              <w:t xml:space="preserve"> </w:t>
            </w:r>
            <w:r w:rsidR="00AA6EF9">
              <w:t>grant equivalent of at least 25%</w:t>
            </w:r>
            <w:r w:rsidR="00DD1CC9">
              <w:t xml:space="preserve"> when </w:t>
            </w:r>
            <w:r w:rsidR="00634CC7">
              <w:t xml:space="preserve">the </w:t>
            </w:r>
            <w:r w:rsidR="00DD1CC9">
              <w:t xml:space="preserve">present value of obligations is calculated </w:t>
            </w:r>
            <w:r w:rsidR="00DD1CC9" w:rsidRPr="00DD1CC9">
              <w:t>using a discount rate of 10%</w:t>
            </w:r>
            <w:r w:rsidR="003E7F2D">
              <w:t xml:space="preserve">; </w:t>
            </w:r>
            <w:r>
              <w:t xml:space="preserve">if so, </w:t>
            </w:r>
            <w:r w:rsidR="003E7F2D">
              <w:t xml:space="preserve">repayments </w:t>
            </w:r>
            <w:r>
              <w:t>are</w:t>
            </w:r>
            <w:r w:rsidR="003E7F2D">
              <w:t xml:space="preserve"> </w:t>
            </w:r>
            <w:r>
              <w:t xml:space="preserve">measured as </w:t>
            </w:r>
            <w:r w:rsidR="003E7F2D">
              <w:t>negative ODA</w:t>
            </w:r>
          </w:p>
        </w:tc>
      </w:tr>
      <w:tr w:rsidR="0082510E" w:rsidRPr="004B20AE" w14:paraId="0AB814A1" w14:textId="77777777" w:rsidTr="00C04BA5">
        <w:trPr>
          <w:trHeight w:val="740"/>
        </w:trPr>
        <w:tc>
          <w:tcPr>
            <w:tcW w:w="3539" w:type="dxa"/>
          </w:tcPr>
          <w:p w14:paraId="699C3C3E" w14:textId="43F83566" w:rsidR="0082510E" w:rsidRPr="004B20AE" w:rsidRDefault="0082510E" w:rsidP="00AA6EF9">
            <w:pPr>
              <w:spacing w:before="40" w:after="40"/>
            </w:pPr>
            <w:r w:rsidRPr="004B20AE">
              <w:t xml:space="preserve">Purchases of </w:t>
            </w:r>
            <w:r w:rsidR="00BE6E17" w:rsidRPr="004B20AE">
              <w:t>e</w:t>
            </w:r>
            <w:r w:rsidRPr="004B20AE">
              <w:t>quity</w:t>
            </w:r>
            <w:r w:rsidR="00AA6EF9" w:rsidRPr="004B20AE">
              <w:t xml:space="preserve">, including </w:t>
            </w:r>
            <w:r w:rsidR="00AF6BA7" w:rsidRPr="004B20AE">
              <w:t>first-loss equity</w:t>
            </w:r>
            <w:r w:rsidR="00634CC7">
              <w:t xml:space="preserve">, in </w:t>
            </w:r>
            <w:r w:rsidR="00A67179">
              <w:t xml:space="preserve">private-sector </w:t>
            </w:r>
            <w:r w:rsidR="00634CC7">
              <w:t>entities</w:t>
            </w:r>
          </w:p>
        </w:tc>
        <w:tc>
          <w:tcPr>
            <w:tcW w:w="5477" w:type="dxa"/>
          </w:tcPr>
          <w:p w14:paraId="4700F4B1" w14:textId="22666243" w:rsidR="0082510E" w:rsidRPr="004B20AE" w:rsidRDefault="006A416E" w:rsidP="00AA6EF9">
            <w:pPr>
              <w:spacing w:before="40" w:after="40"/>
            </w:pPr>
            <w:r>
              <w:t>Eligible to be measured</w:t>
            </w:r>
            <w:r w:rsidR="00DC168D" w:rsidRPr="004B20AE">
              <w:t xml:space="preserve"> </w:t>
            </w:r>
            <w:r w:rsidR="00A67179" w:rsidRPr="00A67179">
              <w:t>on a cash-flow basis</w:t>
            </w:r>
            <w:r w:rsidR="00A67179">
              <w:t>,</w:t>
            </w:r>
            <w:r w:rsidR="00A67179" w:rsidRPr="00A67179" w:rsidDel="00634CC7">
              <w:t xml:space="preserve"> </w:t>
            </w:r>
            <w:r w:rsidR="00DC168D" w:rsidRPr="004B20AE">
              <w:t xml:space="preserve">with subsequent sale proceeds </w:t>
            </w:r>
            <w:r>
              <w:t>measured as</w:t>
            </w:r>
            <w:r w:rsidR="00DC168D" w:rsidRPr="004B20AE">
              <w:t xml:space="preserve"> negative ODA</w:t>
            </w:r>
          </w:p>
        </w:tc>
      </w:tr>
      <w:tr w:rsidR="00DC168D" w:rsidRPr="0082510E" w14:paraId="73783549" w14:textId="77777777" w:rsidTr="00C04BA5">
        <w:trPr>
          <w:trHeight w:val="413"/>
        </w:trPr>
        <w:tc>
          <w:tcPr>
            <w:tcW w:w="3539" w:type="dxa"/>
          </w:tcPr>
          <w:p w14:paraId="23FD4D82" w14:textId="3BC50727" w:rsidR="00DC168D" w:rsidRPr="00971D7B" w:rsidRDefault="004512EE" w:rsidP="00AA6EF9">
            <w:pPr>
              <w:spacing w:before="40" w:after="40"/>
            </w:pPr>
            <w:r w:rsidRPr="00971D7B">
              <w:t xml:space="preserve">Mezzanine </w:t>
            </w:r>
            <w:r w:rsidR="002D63D8" w:rsidRPr="00971D7B">
              <w:t>finance</w:t>
            </w:r>
            <w:r w:rsidR="003023AE">
              <w:t xml:space="preserve"> for </w:t>
            </w:r>
            <w:r w:rsidR="00A67179" w:rsidRPr="00A67179">
              <w:t>private</w:t>
            </w:r>
            <w:r w:rsidR="00A67179">
              <w:noBreakHyphen/>
            </w:r>
            <w:r w:rsidR="00A67179" w:rsidRPr="00A67179">
              <w:t xml:space="preserve">sector </w:t>
            </w:r>
            <w:r w:rsidR="003023AE">
              <w:t>entities</w:t>
            </w:r>
          </w:p>
        </w:tc>
        <w:tc>
          <w:tcPr>
            <w:tcW w:w="5477" w:type="dxa"/>
          </w:tcPr>
          <w:p w14:paraId="47932827" w14:textId="0B78A4BC" w:rsidR="00DC168D" w:rsidRPr="004B20AE" w:rsidRDefault="006A416E" w:rsidP="00AA6EF9">
            <w:pPr>
              <w:spacing w:before="40" w:after="40"/>
            </w:pPr>
            <w:r>
              <w:t>Purchases are</w:t>
            </w:r>
            <w:r w:rsidRPr="00971D7B">
              <w:t xml:space="preserve"> </w:t>
            </w:r>
            <w:r w:rsidR="004512EE" w:rsidRPr="00971D7B">
              <w:t xml:space="preserve">ineligible, </w:t>
            </w:r>
            <w:r w:rsidR="00047A67" w:rsidRPr="00971D7B">
              <w:t>while accounting treatment is disagreed</w:t>
            </w:r>
          </w:p>
        </w:tc>
      </w:tr>
      <w:tr w:rsidR="0082510E" w:rsidRPr="0082510E" w14:paraId="49DD72D8" w14:textId="77777777" w:rsidTr="00C04BA5">
        <w:tc>
          <w:tcPr>
            <w:tcW w:w="3539" w:type="dxa"/>
          </w:tcPr>
          <w:p w14:paraId="5BC83B71" w14:textId="2AD4BE97" w:rsidR="0082510E" w:rsidRPr="0082510E" w:rsidRDefault="0082510E" w:rsidP="003C5883">
            <w:pPr>
              <w:spacing w:before="40" w:after="40"/>
            </w:pPr>
            <w:r w:rsidRPr="0082510E">
              <w:t>Guarantee</w:t>
            </w:r>
            <w:r w:rsidR="005447FE">
              <w:t>s</w:t>
            </w:r>
            <w:r w:rsidRPr="0082510E">
              <w:t xml:space="preserve"> </w:t>
            </w:r>
            <w:r w:rsidR="00BE6E17">
              <w:t xml:space="preserve">and insurance </w:t>
            </w:r>
            <w:r w:rsidR="005447FE">
              <w:t>extended to</w:t>
            </w:r>
            <w:r w:rsidR="00BE6E17" w:rsidRPr="0082510E">
              <w:t xml:space="preserve"> </w:t>
            </w:r>
            <w:r w:rsidR="00A67179" w:rsidRPr="00A67179">
              <w:t xml:space="preserve">private-sector </w:t>
            </w:r>
            <w:r w:rsidR="003023AE">
              <w:t>entities</w:t>
            </w:r>
          </w:p>
        </w:tc>
        <w:tc>
          <w:tcPr>
            <w:tcW w:w="5477" w:type="dxa"/>
          </w:tcPr>
          <w:p w14:paraId="2B9D3A97" w14:textId="2E54871B" w:rsidR="0082510E" w:rsidRPr="0082510E" w:rsidRDefault="006A416E" w:rsidP="003C5883">
            <w:pPr>
              <w:spacing w:before="40" w:after="40"/>
            </w:pPr>
            <w:r>
              <w:t xml:space="preserve">Provision of these is </w:t>
            </w:r>
            <w:r w:rsidR="00B545F7" w:rsidRPr="00971D7B">
              <w:t>ineligible, while accounting treatment is disagreed</w:t>
            </w:r>
            <w:r>
              <w:t xml:space="preserve">; but payouts of </w:t>
            </w:r>
            <w:r w:rsidRPr="006A416E">
              <w:t xml:space="preserve">guarantees or insurance </w:t>
            </w:r>
            <w:r>
              <w:t>obligations are eligible, measured on a cash-flow basis</w:t>
            </w:r>
          </w:p>
        </w:tc>
      </w:tr>
    </w:tbl>
    <w:bookmarkEnd w:id="29"/>
    <w:p w14:paraId="43530711" w14:textId="32F4A9BB" w:rsidR="003C5883" w:rsidRPr="0015258D" w:rsidRDefault="00F74C99" w:rsidP="00DB495C">
      <w:pPr>
        <w:spacing w:before="120" w:after="120" w:line="240" w:lineRule="auto"/>
      </w:pPr>
      <w:r>
        <w:t xml:space="preserve">Offering NGF in Australia’s program of development assistance </w:t>
      </w:r>
      <w:r w:rsidR="002355E0">
        <w:t xml:space="preserve">would </w:t>
      </w:r>
      <w:r>
        <w:t xml:space="preserve">require dispensing with the </w:t>
      </w:r>
      <w:r w:rsidR="004671C2">
        <w:t xml:space="preserve">ODA cap – that is, the </w:t>
      </w:r>
      <w:r>
        <w:t xml:space="preserve">policy of identifying appropriations for development assistance with what is eligible to classify as ODA.  </w:t>
      </w:r>
      <w:r w:rsidR="00362979">
        <w:t xml:space="preserve">This is for two reasons: </w:t>
      </w:r>
      <w:r w:rsidR="003A4C79">
        <w:t xml:space="preserve">first, </w:t>
      </w:r>
      <w:r w:rsidR="00362979">
        <w:t xml:space="preserve">the size of asset-creating flows and reflows, and unpredictable timing of some of them, </w:t>
      </w:r>
      <w:r w:rsidR="00736888">
        <w:t>are</w:t>
      </w:r>
      <w:r w:rsidR="00362979">
        <w:t xml:space="preserve"> incompatible with stab</w:t>
      </w:r>
      <w:r w:rsidR="002355E0">
        <w:t>ility</w:t>
      </w:r>
      <w:r w:rsidR="00362979">
        <w:t xml:space="preserve"> </w:t>
      </w:r>
      <w:r w:rsidR="002355E0">
        <w:t>from year to year</w:t>
      </w:r>
      <w:r w:rsidR="00362979">
        <w:t xml:space="preserve"> </w:t>
      </w:r>
      <w:r w:rsidR="002355E0">
        <w:t>in</w:t>
      </w:r>
      <w:r w:rsidR="00362979">
        <w:t xml:space="preserve"> forward estimates and appropriations</w:t>
      </w:r>
      <w:r w:rsidR="00C927A5">
        <w:t>; and</w:t>
      </w:r>
      <w:r w:rsidR="003A4C79">
        <w:t xml:space="preserve"> second, </w:t>
      </w:r>
      <w:r w:rsidR="00362979">
        <w:t xml:space="preserve">the budget principles </w:t>
      </w:r>
      <w:r w:rsidR="00736888">
        <w:t>which</w:t>
      </w:r>
      <w:r w:rsidR="00362979">
        <w:t xml:space="preserve"> </w:t>
      </w:r>
      <w:r w:rsidR="00A07EB6">
        <w:t xml:space="preserve">we suggest </w:t>
      </w:r>
      <w:r w:rsidR="00362979">
        <w:t>apply</w:t>
      </w:r>
      <w:r w:rsidR="00956F4C">
        <w:t>ing</w:t>
      </w:r>
      <w:r w:rsidR="00362979">
        <w:t xml:space="preserve"> to NGF</w:t>
      </w:r>
      <w:r w:rsidR="001F77B4">
        <w:t xml:space="preserve"> would</w:t>
      </w:r>
      <w:r w:rsidR="00362979">
        <w:t xml:space="preserve"> </w:t>
      </w:r>
      <w:r w:rsidR="004B1455">
        <w:t>lead to</w:t>
      </w:r>
      <w:r w:rsidR="001F77B4">
        <w:t xml:space="preserve"> </w:t>
      </w:r>
      <w:r w:rsidR="00362979" w:rsidRPr="00362979">
        <w:t xml:space="preserve">development assistance appropriations </w:t>
      </w:r>
      <w:r w:rsidR="001F77B4">
        <w:t>differing from O</w:t>
      </w:r>
      <w:r w:rsidR="00362979">
        <w:t>DA</w:t>
      </w:r>
      <w:r w:rsidR="00E60EB8">
        <w:t>-</w:t>
      </w:r>
      <w:r w:rsidR="00362979">
        <w:t>eligib</w:t>
      </w:r>
      <w:r w:rsidR="00E60EB8">
        <w:t>le amounts</w:t>
      </w:r>
      <w:r w:rsidR="00736888">
        <w:t>.</w:t>
      </w:r>
      <w:r w:rsidR="007C756B">
        <w:rPr>
          <w:rStyle w:val="FootnoteReference"/>
        </w:rPr>
        <w:footnoteReference w:id="51"/>
      </w:r>
      <w:r w:rsidR="003C5883">
        <w:br w:type="page"/>
      </w:r>
    </w:p>
    <w:p w14:paraId="4AA841E2" w14:textId="2FE2E9FD" w:rsidR="0082510E" w:rsidRPr="0082510E" w:rsidRDefault="0082510E" w:rsidP="00E84878">
      <w:pPr>
        <w:pStyle w:val="Heading2"/>
      </w:pPr>
      <w:bookmarkStart w:id="30" w:name="_Toc531965948"/>
      <w:r w:rsidRPr="0082510E">
        <w:lastRenderedPageBreak/>
        <w:t>Institutional, capacity</w:t>
      </w:r>
      <w:r w:rsidR="00F8455B">
        <w:t>,</w:t>
      </w:r>
      <w:r w:rsidRPr="0082510E">
        <w:t xml:space="preserve"> financing </w:t>
      </w:r>
      <w:r w:rsidR="00F8455B" w:rsidRPr="0082510E">
        <w:t xml:space="preserve">and </w:t>
      </w:r>
      <w:r w:rsidR="00F8455B">
        <w:t xml:space="preserve">risk-management </w:t>
      </w:r>
      <w:r w:rsidRPr="0082510E">
        <w:t>requirements</w:t>
      </w:r>
      <w:bookmarkEnd w:id="30"/>
    </w:p>
    <w:p w14:paraId="33F45158" w14:textId="07F6B7D6" w:rsidR="0082510E" w:rsidRPr="0082510E" w:rsidRDefault="0082510E" w:rsidP="00594341">
      <w:pPr>
        <w:spacing w:before="120" w:after="120" w:line="240" w:lineRule="auto"/>
      </w:pPr>
      <w:proofErr w:type="gramStart"/>
      <w:r w:rsidRPr="0082510E">
        <w:t>In order to</w:t>
      </w:r>
      <w:proofErr w:type="gramEnd"/>
      <w:r w:rsidRPr="0082510E">
        <w:t xml:space="preserve"> offer and administer </w:t>
      </w:r>
      <w:r w:rsidR="00186117">
        <w:t>NGF</w:t>
      </w:r>
      <w:r w:rsidRPr="0082510E">
        <w:t xml:space="preserve"> on even a modest scale, a step-up in specialised capability would be needed, </w:t>
      </w:r>
      <w:r w:rsidR="00F8455B">
        <w:t>and there would be</w:t>
      </w:r>
      <w:r w:rsidRPr="0082510E">
        <w:t xml:space="preserve"> an additional task of coordinating the use of new financing forms with grant</w:t>
      </w:r>
      <w:r w:rsidRPr="0082510E">
        <w:noBreakHyphen/>
        <w:t xml:space="preserve">form assistance. </w:t>
      </w:r>
    </w:p>
    <w:p w14:paraId="3EE1796E" w14:textId="77777777" w:rsidR="0082510E" w:rsidRPr="00E84878" w:rsidRDefault="0082510E" w:rsidP="00E84878">
      <w:pPr>
        <w:pStyle w:val="Heading3"/>
        <w:rPr>
          <w:color w:val="2F5496"/>
          <w:sz w:val="26"/>
          <w:szCs w:val="26"/>
        </w:rPr>
      </w:pPr>
      <w:r w:rsidRPr="00E84878">
        <w:rPr>
          <w:color w:val="2F5496"/>
          <w:sz w:val="26"/>
          <w:szCs w:val="26"/>
        </w:rPr>
        <w:t>Institutional options</w:t>
      </w:r>
    </w:p>
    <w:p w14:paraId="6044C2A3" w14:textId="14BB79D6" w:rsidR="0082510E" w:rsidRPr="0082510E" w:rsidRDefault="008B2D9A" w:rsidP="00594341">
      <w:pPr>
        <w:spacing w:before="120" w:after="120" w:line="240" w:lineRule="auto"/>
      </w:pPr>
      <w:bookmarkStart w:id="31" w:name="_Hlk531434557"/>
      <w:r w:rsidRPr="00221C2C">
        <w:t>The</w:t>
      </w:r>
      <w:r w:rsidR="0082510E" w:rsidRPr="00221C2C">
        <w:t xml:space="preserve"> </w:t>
      </w:r>
      <w:r w:rsidR="0082510E" w:rsidRPr="0082510E">
        <w:t xml:space="preserve">first </w:t>
      </w:r>
      <w:r w:rsidR="00464156">
        <w:t xml:space="preserve">institutional </w:t>
      </w:r>
      <w:r w:rsidR="0082510E" w:rsidRPr="0082510E">
        <w:t xml:space="preserve">question is whether a new development-financing function should remain within DFAT, for the sake of the closest integration with its foreign-policy </w:t>
      </w:r>
      <w:r w:rsidR="00464156">
        <w:t xml:space="preserve">and economic </w:t>
      </w:r>
      <w:r w:rsidR="0082510E" w:rsidRPr="0082510E">
        <w:t xml:space="preserve">roles, or whether it </w:t>
      </w:r>
      <w:r w:rsidR="00464156">
        <w:t>would</w:t>
      </w:r>
      <w:r w:rsidR="00464156" w:rsidRPr="0082510E">
        <w:t xml:space="preserve"> </w:t>
      </w:r>
      <w:r w:rsidR="0082510E" w:rsidRPr="0082510E">
        <w:t xml:space="preserve">be better performed in a separate entity for the sake of having transparent operating policies, concentrating the necessary expertise, and developing a distinctive work culture. </w:t>
      </w:r>
    </w:p>
    <w:p w14:paraId="48EBCE2B" w14:textId="773DC767" w:rsidR="0082510E" w:rsidRPr="0082510E" w:rsidRDefault="0082510E" w:rsidP="00594341">
      <w:pPr>
        <w:spacing w:before="120" w:after="120" w:line="240" w:lineRule="auto"/>
      </w:pPr>
      <w:r w:rsidRPr="0082510E">
        <w:t>If the choice is to have a separate, specialis</w:t>
      </w:r>
      <w:r w:rsidR="00C30CBB">
        <w:t>ed</w:t>
      </w:r>
      <w:r w:rsidRPr="0082510E">
        <w:t xml:space="preserve"> entity, there is then the question of whether to combine the development-financing function with the functions of </w:t>
      </w:r>
      <w:proofErr w:type="spellStart"/>
      <w:r w:rsidRPr="0082510E">
        <w:t>Efic</w:t>
      </w:r>
      <w:proofErr w:type="spellEnd"/>
      <w:r w:rsidRPr="0082510E">
        <w:t xml:space="preserve">, enlarged as </w:t>
      </w:r>
      <w:r w:rsidR="00F37F69">
        <w:t>planned</w:t>
      </w:r>
      <w:r w:rsidRPr="0082510E">
        <w:t xml:space="preserve">, or keep it distinct </w:t>
      </w:r>
      <w:r w:rsidR="00F8455B">
        <w:t xml:space="preserve">from </w:t>
      </w:r>
      <w:proofErr w:type="spellStart"/>
      <w:r w:rsidR="00F8455B">
        <w:t>Efic</w:t>
      </w:r>
      <w:proofErr w:type="spellEnd"/>
      <w:r w:rsidR="00F8455B">
        <w:t xml:space="preserve"> </w:t>
      </w:r>
      <w:r w:rsidRPr="0082510E">
        <w:t>in a new entity within the portfolio of the Minister for Foreign Affairs.</w:t>
      </w:r>
    </w:p>
    <w:p w14:paraId="19511121" w14:textId="5FF7E7BF" w:rsidR="0082510E" w:rsidRPr="0082510E" w:rsidRDefault="0082510E" w:rsidP="00594341">
      <w:pPr>
        <w:spacing w:before="120" w:after="120" w:line="240" w:lineRule="auto"/>
      </w:pPr>
      <w:r w:rsidRPr="0082510E">
        <w:t>Th</w:t>
      </w:r>
      <w:r w:rsidR="00C30CBB">
        <w:t>es</w:t>
      </w:r>
      <w:r w:rsidRPr="0082510E">
        <w:t xml:space="preserve">e </w:t>
      </w:r>
      <w:r w:rsidR="00C30CBB">
        <w:t>two questions lead to</w:t>
      </w:r>
      <w:r w:rsidR="00464156" w:rsidRPr="0082510E">
        <w:t xml:space="preserve"> three institutional options which could be satisfactory as ways of adding </w:t>
      </w:r>
      <w:r w:rsidR="00464156">
        <w:t>NGF</w:t>
      </w:r>
      <w:r w:rsidR="00464156" w:rsidRPr="0082510E">
        <w:t xml:space="preserve"> to the development assistance program</w:t>
      </w:r>
      <w:r w:rsidR="00C30CBB">
        <w:t>,</w:t>
      </w:r>
      <w:r w:rsidRPr="0082510E">
        <w:t xml:space="preserve"> as follows.</w:t>
      </w:r>
      <w:bookmarkEnd w:id="31"/>
    </w:p>
    <w:p w14:paraId="560AD9BB" w14:textId="0D003EED" w:rsidR="0082510E" w:rsidRPr="0082510E" w:rsidRDefault="0082510E" w:rsidP="00594341">
      <w:pPr>
        <w:spacing w:before="120" w:after="120" w:line="240" w:lineRule="auto"/>
        <w:rPr>
          <w:b/>
        </w:rPr>
      </w:pPr>
      <w:bookmarkStart w:id="32" w:name="_Hlk528743410"/>
      <w:r w:rsidRPr="0082510E">
        <w:rPr>
          <w:b/>
        </w:rPr>
        <w:t>Option 1</w:t>
      </w:r>
      <w:r w:rsidR="0071103E">
        <w:rPr>
          <w:b/>
        </w:rPr>
        <w:t>—</w:t>
      </w:r>
      <w:r w:rsidRPr="0082510E">
        <w:rPr>
          <w:b/>
        </w:rPr>
        <w:t>DFAT with authorisation and capacity to manage a development finance fund</w:t>
      </w:r>
    </w:p>
    <w:bookmarkEnd w:id="32"/>
    <w:p w14:paraId="63E429EB" w14:textId="0BFFF6B9" w:rsidR="00722932" w:rsidRPr="0082510E" w:rsidRDefault="0082510E" w:rsidP="00594341">
      <w:pPr>
        <w:spacing w:before="120" w:after="120" w:line="240" w:lineRule="auto"/>
      </w:pPr>
      <w:r w:rsidRPr="0082510E">
        <w:t>DFAT would be authorised</w:t>
      </w:r>
      <w:r w:rsidRPr="0082510E">
        <w:rPr>
          <w:b/>
        </w:rPr>
        <w:t xml:space="preserve"> </w:t>
      </w:r>
      <w:r w:rsidRPr="0082510E">
        <w:t xml:space="preserve">to provide development finance in asset-creating forms, and to provide guarantees or insurance related to development finance. </w:t>
      </w:r>
    </w:p>
    <w:p w14:paraId="0A96EE11" w14:textId="77777777" w:rsidR="00722932" w:rsidRDefault="0082510E" w:rsidP="00594341">
      <w:pPr>
        <w:spacing w:before="120" w:after="120" w:line="240" w:lineRule="auto"/>
      </w:pPr>
      <w:r w:rsidRPr="0082510E">
        <w:t>DFAT would need to form a specialist unit to initiate and manage development-finance investments. This would require new skills in structuring or examining financing arrangements, and in financial negotiation and contracting. Special arrangements would be needed for remuneration and continuity in the unit, so that fully capable staff could be recruited and retained. Secondments from other departments or agencies</w:t>
      </w:r>
      <w:r w:rsidR="00722932" w:rsidRPr="00722932">
        <w:t xml:space="preserve"> </w:t>
      </w:r>
      <w:r w:rsidR="00722932" w:rsidRPr="0082510E">
        <w:t>might be helpful at least in the initial years.</w:t>
      </w:r>
    </w:p>
    <w:p w14:paraId="44CFB3BE" w14:textId="02D4657E" w:rsidR="0082510E" w:rsidRPr="0082510E" w:rsidRDefault="0082510E" w:rsidP="00594341">
      <w:pPr>
        <w:spacing w:before="120" w:after="120" w:line="240" w:lineRule="auto"/>
      </w:pPr>
      <w:r w:rsidRPr="0082510E">
        <w:t xml:space="preserve">This option would </w:t>
      </w:r>
      <w:r w:rsidR="00722932">
        <w:t>work better</w:t>
      </w:r>
      <w:r w:rsidRPr="0082510E">
        <w:t xml:space="preserve"> if </w:t>
      </w:r>
      <w:proofErr w:type="spellStart"/>
      <w:r w:rsidRPr="0082510E">
        <w:t>Efic</w:t>
      </w:r>
      <w:proofErr w:type="spellEnd"/>
      <w:r w:rsidRPr="0082510E">
        <w:t xml:space="preserve"> could provide </w:t>
      </w:r>
      <w:r w:rsidR="00236AD9" w:rsidRPr="0082510E">
        <w:t>(with cost recovery)</w:t>
      </w:r>
      <w:r w:rsidR="00236AD9">
        <w:t xml:space="preserve"> both</w:t>
      </w:r>
      <w:r w:rsidR="00236AD9" w:rsidRPr="0082510E">
        <w:t xml:space="preserve"> </w:t>
      </w:r>
      <w:r w:rsidR="00236AD9">
        <w:t>advisory</w:t>
      </w:r>
      <w:r w:rsidR="00236AD9" w:rsidRPr="0082510E">
        <w:t xml:space="preserve"> </w:t>
      </w:r>
      <w:r w:rsidRPr="0082510E">
        <w:t xml:space="preserve">support </w:t>
      </w:r>
      <w:r w:rsidR="00236AD9">
        <w:t>and a</w:t>
      </w:r>
      <w:r w:rsidR="00236AD9" w:rsidRPr="0082510E">
        <w:t xml:space="preserve"> back-office function </w:t>
      </w:r>
      <w:r w:rsidR="00236AD9">
        <w:t>for</w:t>
      </w:r>
      <w:r w:rsidR="00236AD9" w:rsidRPr="0082510E">
        <w:t xml:space="preserve"> </w:t>
      </w:r>
      <w:r w:rsidRPr="0082510E">
        <w:t xml:space="preserve">DFAT. However, DFAT </w:t>
      </w:r>
      <w:r w:rsidR="00722932">
        <w:t>could need</w:t>
      </w:r>
      <w:r w:rsidRPr="0082510E">
        <w:t xml:space="preserve"> </w:t>
      </w:r>
      <w:r w:rsidR="00722932">
        <w:t xml:space="preserve">itself </w:t>
      </w:r>
      <w:r w:rsidRPr="0082510E">
        <w:t xml:space="preserve">the ability to act as a project sponsor dealing with </w:t>
      </w:r>
      <w:proofErr w:type="spellStart"/>
      <w:r w:rsidRPr="0082510E">
        <w:t>Efic</w:t>
      </w:r>
      <w:proofErr w:type="spellEnd"/>
      <w:r w:rsidRPr="0082510E">
        <w:t xml:space="preserve"> </w:t>
      </w:r>
      <w:r w:rsidR="00722932">
        <w:t>at arm’s length</w:t>
      </w:r>
      <w:r w:rsidRPr="0082510E">
        <w:t xml:space="preserve">. </w:t>
      </w:r>
      <w:r w:rsidR="00722932">
        <w:t xml:space="preserve">It </w:t>
      </w:r>
      <w:r w:rsidRPr="0082510E">
        <w:t xml:space="preserve">would </w:t>
      </w:r>
      <w:r w:rsidR="00722932">
        <w:t xml:space="preserve">help </w:t>
      </w:r>
      <w:r w:rsidRPr="0082510E">
        <w:t xml:space="preserve">if </w:t>
      </w:r>
      <w:r w:rsidR="00722932">
        <w:t xml:space="preserve">IPFA </w:t>
      </w:r>
      <w:r w:rsidRPr="0082510E">
        <w:t xml:space="preserve">could </w:t>
      </w:r>
      <w:r w:rsidR="00722932" w:rsidRPr="0082510E">
        <w:t xml:space="preserve">also </w:t>
      </w:r>
      <w:r w:rsidRPr="0082510E">
        <w:t xml:space="preserve">provide </w:t>
      </w:r>
      <w:r w:rsidR="00722932">
        <w:t>support</w:t>
      </w:r>
      <w:r w:rsidR="00722932" w:rsidRPr="0082510E">
        <w:t xml:space="preserve"> </w:t>
      </w:r>
      <w:r w:rsidRPr="0082510E">
        <w:t>to DFAT (with cost recovery).</w:t>
      </w:r>
    </w:p>
    <w:p w14:paraId="6F2F5D62" w14:textId="3C83BF07" w:rsidR="0082510E" w:rsidRPr="0082510E" w:rsidRDefault="0082510E" w:rsidP="00594341">
      <w:pPr>
        <w:spacing w:before="120" w:after="120" w:line="240" w:lineRule="auto"/>
      </w:pPr>
      <w:r w:rsidRPr="0082510E">
        <w:rPr>
          <w:b/>
        </w:rPr>
        <w:t>Option 2</w:t>
      </w:r>
      <w:r w:rsidR="0071103E">
        <w:rPr>
          <w:b/>
        </w:rPr>
        <w:t>—</w:t>
      </w:r>
      <w:r w:rsidR="00BD16D3" w:rsidRPr="004B6D25">
        <w:rPr>
          <w:b/>
        </w:rPr>
        <w:t>partnership with</w:t>
      </w:r>
      <w:r w:rsidRPr="004B6D25">
        <w:rPr>
          <w:b/>
        </w:rPr>
        <w:t xml:space="preserve"> </w:t>
      </w:r>
      <w:proofErr w:type="spellStart"/>
      <w:r w:rsidRPr="004B6D25">
        <w:rPr>
          <w:b/>
        </w:rPr>
        <w:t>Efic</w:t>
      </w:r>
      <w:proofErr w:type="spellEnd"/>
      <w:r w:rsidR="004B6D25">
        <w:rPr>
          <w:b/>
        </w:rPr>
        <w:t>, which would be</w:t>
      </w:r>
      <w:r w:rsidRPr="0082510E">
        <w:rPr>
          <w:b/>
        </w:rPr>
        <w:t xml:space="preserve"> authorised to operate, when directed by its Minister, to provide foreign development finance of benefit to Australia</w:t>
      </w:r>
      <w:r w:rsidR="00871A98">
        <w:rPr>
          <w:rStyle w:val="FootnoteReference"/>
          <w:b/>
        </w:rPr>
        <w:footnoteReference w:id="52"/>
      </w:r>
    </w:p>
    <w:p w14:paraId="071E5EE2" w14:textId="77777777" w:rsidR="0082510E" w:rsidRPr="0082510E" w:rsidRDefault="0082510E" w:rsidP="00594341">
      <w:pPr>
        <w:spacing w:before="120" w:after="120" w:line="240" w:lineRule="auto"/>
      </w:pPr>
      <w:r w:rsidRPr="0082510E">
        <w:t xml:space="preserve">This option is separate from the proposal recently decided upon by Ministers for broadening the scope of </w:t>
      </w:r>
      <w:proofErr w:type="spellStart"/>
      <w:r w:rsidRPr="0082510E">
        <w:t>Efic’s</w:t>
      </w:r>
      <w:proofErr w:type="spellEnd"/>
      <w:r w:rsidRPr="0082510E">
        <w:t xml:space="preserve"> commercial operations in respect of infrastructure. It is concerned instead with operations for purposes of development assistance which would be the object of DFAT advice and directions to </w:t>
      </w:r>
      <w:proofErr w:type="spellStart"/>
      <w:r w:rsidRPr="0082510E">
        <w:t>Efic</w:t>
      </w:r>
      <w:proofErr w:type="spellEnd"/>
      <w:r w:rsidRPr="0082510E">
        <w:t xml:space="preserve"> from the Minister for Trade. </w:t>
      </w:r>
    </w:p>
    <w:p w14:paraId="795A8191" w14:textId="4DA02049" w:rsidR="0082510E" w:rsidRPr="0082510E" w:rsidRDefault="002C4CE2" w:rsidP="00CA4549">
      <w:pPr>
        <w:spacing w:before="120" w:after="120" w:line="240" w:lineRule="auto"/>
      </w:pPr>
      <w:r>
        <w:t xml:space="preserve">In line with present policies of the development assistance program, </w:t>
      </w:r>
      <w:proofErr w:type="spellStart"/>
      <w:r w:rsidR="0082510E" w:rsidRPr="0082510E">
        <w:t>Efic</w:t>
      </w:r>
      <w:proofErr w:type="spellEnd"/>
      <w:r w:rsidR="0082510E" w:rsidRPr="0082510E">
        <w:t xml:space="preserve"> when operating in this additional mode would </w:t>
      </w:r>
      <w:r>
        <w:t>n</w:t>
      </w:r>
      <w:r w:rsidR="0082510E" w:rsidRPr="0082510E">
        <w:t>ot require projects to source procurement from Australia,</w:t>
      </w:r>
      <w:r>
        <w:t xml:space="preserve"> </w:t>
      </w:r>
      <w:r w:rsidR="0082510E" w:rsidRPr="0082510E">
        <w:t>no</w:t>
      </w:r>
      <w:r>
        <w:t>r</w:t>
      </w:r>
      <w:r w:rsidR="0082510E" w:rsidRPr="0082510E">
        <w:t xml:space="preserve"> require </w:t>
      </w:r>
      <w:r w:rsidR="0082510E" w:rsidRPr="0082510E">
        <w:lastRenderedPageBreak/>
        <w:t>project sponsors to be Australian companies</w:t>
      </w:r>
      <w:r>
        <w:t xml:space="preserve">. It would </w:t>
      </w:r>
      <w:r w:rsidR="0082510E" w:rsidRPr="0082510E">
        <w:t xml:space="preserve">put part or all of such transactions on the National Interest Account as </w:t>
      </w:r>
      <w:proofErr w:type="gramStart"/>
      <w:r w:rsidR="0082510E" w:rsidRPr="0082510E">
        <w:t>necessary</w:t>
      </w:r>
      <w:r w:rsidR="00D71E1C">
        <w:t>,</w:t>
      </w:r>
      <w:r w:rsidR="0082510E" w:rsidRPr="0082510E">
        <w:rPr>
          <w:b/>
        </w:rPr>
        <w:t xml:space="preserve"> </w:t>
      </w:r>
      <w:r w:rsidR="0082510E" w:rsidRPr="0082510E">
        <w:t>and</w:t>
      </w:r>
      <w:proofErr w:type="gramEnd"/>
      <w:r>
        <w:t xml:space="preserve"> </w:t>
      </w:r>
      <w:r w:rsidR="0082510E" w:rsidRPr="0082510E">
        <w:t>remain subject to OECD rules for export credit.</w:t>
      </w:r>
    </w:p>
    <w:p w14:paraId="20298500" w14:textId="5F5B0F6D" w:rsidR="0082510E" w:rsidRPr="0082510E" w:rsidRDefault="0082510E" w:rsidP="00594341">
      <w:pPr>
        <w:spacing w:before="120" w:after="120" w:line="240" w:lineRule="auto"/>
      </w:pPr>
      <w:r w:rsidRPr="0082510E">
        <w:t xml:space="preserve">While the bulk of the work of examining and structuring proposals for development-related financing and of conducting transactions would be done in </w:t>
      </w:r>
      <w:proofErr w:type="spellStart"/>
      <w:r w:rsidRPr="0082510E">
        <w:t>Efic</w:t>
      </w:r>
      <w:proofErr w:type="spellEnd"/>
      <w:r w:rsidRPr="0082510E">
        <w:t xml:space="preserve">, it would still be necessary for DFAT to </w:t>
      </w:r>
      <w:r w:rsidR="00AC7350">
        <w:t>have</w:t>
      </w:r>
      <w:r w:rsidR="00AC7350" w:rsidRPr="0082510E">
        <w:t xml:space="preserve"> </w:t>
      </w:r>
      <w:r w:rsidRPr="0082510E">
        <w:t>a specialist unit to manage its part, for two reasons in particular:</w:t>
      </w:r>
    </w:p>
    <w:p w14:paraId="73E00513" w14:textId="77777777" w:rsidR="0082510E" w:rsidRPr="0082510E" w:rsidRDefault="0082510E" w:rsidP="000F209C">
      <w:pPr>
        <w:numPr>
          <w:ilvl w:val="0"/>
          <w:numId w:val="14"/>
        </w:numPr>
        <w:spacing w:before="120" w:after="120" w:line="240" w:lineRule="auto"/>
      </w:pPr>
      <w:r w:rsidRPr="0082510E">
        <w:t xml:space="preserve">for reasons of ODA eligibility, it would be best for DFAT to have the ability to provide finance directly to project sponsors or contractors; and </w:t>
      </w:r>
    </w:p>
    <w:p w14:paraId="742F8CF4" w14:textId="5F1F18DF" w:rsidR="0082510E" w:rsidRPr="0082510E" w:rsidRDefault="0082510E" w:rsidP="000F209C">
      <w:pPr>
        <w:numPr>
          <w:ilvl w:val="0"/>
          <w:numId w:val="14"/>
        </w:numPr>
        <w:spacing w:before="120" w:after="120" w:line="240" w:lineRule="auto"/>
      </w:pPr>
      <w:r w:rsidRPr="0082510E">
        <w:t xml:space="preserve">in developing proposals initiated internally, DFAT could need to negotiate with </w:t>
      </w:r>
      <w:proofErr w:type="spellStart"/>
      <w:r w:rsidRPr="0082510E">
        <w:t>Efic</w:t>
      </w:r>
      <w:proofErr w:type="spellEnd"/>
      <w:r w:rsidRPr="0082510E">
        <w:t xml:space="preserve"> as a separate party to transactions</w:t>
      </w:r>
      <w:r w:rsidR="00053BD8">
        <w:t xml:space="preserve">, so that </w:t>
      </w:r>
      <w:proofErr w:type="spellStart"/>
      <w:r w:rsidR="00053BD8">
        <w:t>Efic</w:t>
      </w:r>
      <w:proofErr w:type="spellEnd"/>
      <w:r w:rsidR="00053BD8">
        <w:t xml:space="preserve"> could avoid conflicts of interest</w:t>
      </w:r>
      <w:r w:rsidRPr="0082510E">
        <w:t xml:space="preserve">. </w:t>
      </w:r>
    </w:p>
    <w:p w14:paraId="5F3F71F0" w14:textId="436BC19B" w:rsidR="0082510E" w:rsidRPr="0082510E" w:rsidRDefault="0082510E" w:rsidP="00594341">
      <w:pPr>
        <w:spacing w:before="120" w:after="120" w:line="240" w:lineRule="auto"/>
      </w:pPr>
      <w:r w:rsidRPr="0082510E">
        <w:t xml:space="preserve">This option </w:t>
      </w:r>
      <w:r w:rsidR="00053BD8">
        <w:t xml:space="preserve">too </w:t>
      </w:r>
      <w:r w:rsidRPr="0082510E">
        <w:t>would be assisted if IPFA could provide advice to DFAT (with cost recovery).</w:t>
      </w:r>
    </w:p>
    <w:p w14:paraId="09DF9956" w14:textId="62F11909" w:rsidR="0082510E" w:rsidRPr="0082510E" w:rsidRDefault="0082510E" w:rsidP="00594341">
      <w:pPr>
        <w:spacing w:before="120" w:after="120" w:line="240" w:lineRule="auto"/>
      </w:pPr>
      <w:bookmarkStart w:id="33" w:name="_Hlk528743769"/>
      <w:r w:rsidRPr="0082510E">
        <w:rPr>
          <w:b/>
        </w:rPr>
        <w:t>Option 3</w:t>
      </w:r>
      <w:r w:rsidR="0071103E">
        <w:rPr>
          <w:b/>
        </w:rPr>
        <w:t>—</w:t>
      </w:r>
      <w:r w:rsidRPr="0082510E">
        <w:rPr>
          <w:b/>
        </w:rPr>
        <w:t xml:space="preserve">a new development finance </w:t>
      </w:r>
      <w:r w:rsidR="009554F0">
        <w:rPr>
          <w:b/>
        </w:rPr>
        <w:t>entity</w:t>
      </w:r>
      <w:r w:rsidR="002D03C6">
        <w:rPr>
          <w:rStyle w:val="FootnoteReference"/>
          <w:b/>
        </w:rPr>
        <w:footnoteReference w:id="53"/>
      </w:r>
    </w:p>
    <w:bookmarkEnd w:id="33"/>
    <w:p w14:paraId="620A4079" w14:textId="26FBF842" w:rsidR="0082510E" w:rsidRPr="0082510E" w:rsidRDefault="0082510E" w:rsidP="00594341">
      <w:pPr>
        <w:spacing w:before="120" w:after="120" w:line="240" w:lineRule="auto"/>
      </w:pPr>
      <w:r w:rsidRPr="0082510E">
        <w:t xml:space="preserve">This would be a new Commonwealth entity in the portfolio of the Minister for Foreign Affairs. It would </w:t>
      </w:r>
      <w:r w:rsidR="005F0914" w:rsidRPr="0082510E">
        <w:t xml:space="preserve">be established by legislation </w:t>
      </w:r>
      <w:r w:rsidR="005F0914">
        <w:t>and</w:t>
      </w:r>
      <w:r w:rsidRPr="0082510E">
        <w:t xml:space="preserve"> meet the legal and institutional requirements for such entities, including </w:t>
      </w:r>
      <w:r w:rsidR="005F0914">
        <w:t xml:space="preserve">by </w:t>
      </w:r>
      <w:r w:rsidRPr="0082510E">
        <w:t xml:space="preserve">having its own governance, policies on investment and internal matters, and staff. </w:t>
      </w:r>
      <w:r w:rsidR="005F0914">
        <w:t xml:space="preserve">These requirements </w:t>
      </w:r>
      <w:r w:rsidR="00153F47">
        <w:t>ar</w:t>
      </w:r>
      <w:r w:rsidR="005F0914">
        <w:t>e less extensive for non</w:t>
      </w:r>
      <w:r w:rsidR="005F0914">
        <w:noBreakHyphen/>
        <w:t>corporate entit</w:t>
      </w:r>
      <w:r w:rsidR="00153F47">
        <w:t>ies</w:t>
      </w:r>
      <w:r w:rsidR="005F0914">
        <w:t xml:space="preserve"> than </w:t>
      </w:r>
      <w:r w:rsidR="00153F47">
        <w:t>for</w:t>
      </w:r>
      <w:r w:rsidR="005F0914">
        <w:t xml:space="preserve"> corporate one</w:t>
      </w:r>
      <w:r w:rsidR="00153F47">
        <w:t>s</w:t>
      </w:r>
      <w:r w:rsidR="005F0914">
        <w:t>.</w:t>
      </w:r>
    </w:p>
    <w:p w14:paraId="724B2AC2" w14:textId="2B6FBEAA" w:rsidR="003D6BF7" w:rsidRDefault="0082510E" w:rsidP="00594341">
      <w:pPr>
        <w:spacing w:before="120" w:after="120" w:line="240" w:lineRule="auto"/>
      </w:pPr>
      <w:bookmarkStart w:id="34" w:name="_Hlk529528785"/>
      <w:r w:rsidRPr="0082510E">
        <w:t xml:space="preserve">Careful consideration </w:t>
      </w:r>
      <w:r w:rsidR="003D6BF7">
        <w:t>would be</w:t>
      </w:r>
      <w:r w:rsidR="003D6BF7" w:rsidRPr="0082510E">
        <w:t xml:space="preserve"> </w:t>
      </w:r>
      <w:r w:rsidRPr="0082510E">
        <w:t xml:space="preserve">needed of what functions to group in a new entity, for the sake of clear direction in its operations, and of developing and maintaining expertise among its staff. </w:t>
      </w:r>
    </w:p>
    <w:p w14:paraId="3E583FB1" w14:textId="281455D9" w:rsidR="0082510E" w:rsidRPr="0082510E" w:rsidRDefault="0082510E" w:rsidP="00CA4549">
      <w:pPr>
        <w:pStyle w:val="ListParagraph"/>
        <w:numPr>
          <w:ilvl w:val="0"/>
          <w:numId w:val="97"/>
        </w:numPr>
        <w:spacing w:before="120" w:after="120" w:line="240" w:lineRule="auto"/>
      </w:pPr>
      <w:r w:rsidRPr="0082510E">
        <w:t xml:space="preserve">The new entity </w:t>
      </w:r>
      <w:r w:rsidR="00CD00A9">
        <w:t>might</w:t>
      </w:r>
      <w:r w:rsidR="00CD00A9" w:rsidRPr="0082510E">
        <w:t xml:space="preserve"> </w:t>
      </w:r>
      <w:r w:rsidRPr="0082510E">
        <w:t xml:space="preserve">be most effective if </w:t>
      </w:r>
      <w:r w:rsidR="00CD00A9">
        <w:t xml:space="preserve">it </w:t>
      </w:r>
      <w:r w:rsidRPr="0082510E">
        <w:t xml:space="preserve">focused on </w:t>
      </w:r>
      <w:r w:rsidRPr="003D6BF7">
        <w:rPr>
          <w:i/>
        </w:rPr>
        <w:t>infrastructure projects with development benefit</w:t>
      </w:r>
      <w:r w:rsidRPr="0082510E">
        <w:t xml:space="preserve">, rather than the whole range of </w:t>
      </w:r>
      <w:r w:rsidR="00CD00A9" w:rsidRPr="0082510E">
        <w:t xml:space="preserve">development </w:t>
      </w:r>
      <w:r w:rsidR="003F7820">
        <w:t>program</w:t>
      </w:r>
      <w:r w:rsidR="00CD00A9">
        <w:t>s</w:t>
      </w:r>
      <w:r w:rsidR="003F7820">
        <w:t xml:space="preserve"> </w:t>
      </w:r>
      <w:r w:rsidRPr="0082510E">
        <w:t xml:space="preserve">in which </w:t>
      </w:r>
      <w:r w:rsidR="00186117">
        <w:t>NGF</w:t>
      </w:r>
      <w:r w:rsidRPr="0082510E">
        <w:t xml:space="preserve"> </w:t>
      </w:r>
      <w:r w:rsidR="00CD00A9">
        <w:t>c</w:t>
      </w:r>
      <w:r w:rsidR="00CD00A9" w:rsidRPr="0082510E">
        <w:t xml:space="preserve">ould </w:t>
      </w:r>
      <w:r w:rsidRPr="0082510E">
        <w:t xml:space="preserve">be used. </w:t>
      </w:r>
      <w:r w:rsidR="00856351" w:rsidRPr="0082510E">
        <w:t>Th</w:t>
      </w:r>
      <w:r w:rsidR="00856351">
        <w:t>is</w:t>
      </w:r>
      <w:r w:rsidR="00856351" w:rsidRPr="0082510E">
        <w:t xml:space="preserve"> </w:t>
      </w:r>
      <w:r w:rsidRPr="0082510E">
        <w:t xml:space="preserve">would mean leaving with DFAT the </w:t>
      </w:r>
      <w:r w:rsidR="00CD00A9">
        <w:t>management</w:t>
      </w:r>
      <w:r w:rsidRPr="0082510E">
        <w:t xml:space="preserve"> of </w:t>
      </w:r>
      <w:r w:rsidR="00CD00A9">
        <w:t>NGF</w:t>
      </w:r>
      <w:r w:rsidRPr="0082510E">
        <w:t xml:space="preserve"> for </w:t>
      </w:r>
      <w:r w:rsidR="00CD00A9" w:rsidRPr="0082510E">
        <w:t xml:space="preserve">other </w:t>
      </w:r>
      <w:r w:rsidR="00CD00A9">
        <w:t xml:space="preserve">development </w:t>
      </w:r>
      <w:r w:rsidR="003F7820">
        <w:t>programs</w:t>
      </w:r>
      <w:r w:rsidRPr="0082510E">
        <w:t>.</w:t>
      </w:r>
    </w:p>
    <w:bookmarkEnd w:id="34"/>
    <w:p w14:paraId="45DA0EB9" w14:textId="571B0279" w:rsidR="003D6BF7" w:rsidRDefault="0082510E" w:rsidP="00CA4549">
      <w:pPr>
        <w:pStyle w:val="ListParagraph"/>
        <w:numPr>
          <w:ilvl w:val="0"/>
          <w:numId w:val="97"/>
        </w:numPr>
        <w:spacing w:before="120" w:after="120" w:line="240" w:lineRule="auto"/>
      </w:pPr>
      <w:r w:rsidRPr="0082510E">
        <w:t xml:space="preserve">Alternatively, the new entity </w:t>
      </w:r>
      <w:r w:rsidR="00CD00A9">
        <w:t>might</w:t>
      </w:r>
      <w:r w:rsidR="00CD00A9" w:rsidRPr="0082510E">
        <w:t xml:space="preserve"> </w:t>
      </w:r>
      <w:r w:rsidRPr="0082510E">
        <w:t xml:space="preserve">be most effective </w:t>
      </w:r>
      <w:r w:rsidR="00CD00A9">
        <w:t>if it</w:t>
      </w:r>
      <w:r w:rsidRPr="0082510E">
        <w:t xml:space="preserve"> focused on infrastructure projects with development benefit, </w:t>
      </w:r>
      <w:r w:rsidR="00CD00A9" w:rsidRPr="00856351">
        <w:rPr>
          <w:i/>
        </w:rPr>
        <w:t>plus</w:t>
      </w:r>
      <w:r w:rsidRPr="00856351">
        <w:rPr>
          <w:i/>
        </w:rPr>
        <w:t xml:space="preserve"> other development finance </w:t>
      </w:r>
      <w:r w:rsidR="00CD00A9" w:rsidRPr="00856351">
        <w:rPr>
          <w:i/>
        </w:rPr>
        <w:t xml:space="preserve">with </w:t>
      </w:r>
      <w:r w:rsidRPr="00856351">
        <w:rPr>
          <w:i/>
        </w:rPr>
        <w:t>private-sector project leaders or private-sector finance</w:t>
      </w:r>
      <w:r w:rsidRPr="0082510E">
        <w:t xml:space="preserve">. This broader range of operations could include blended finance in </w:t>
      </w:r>
      <w:r w:rsidR="00856351">
        <w:t xml:space="preserve">other sectors – </w:t>
      </w:r>
      <w:r w:rsidRPr="0082510E">
        <w:t>health, education, agriculture or local-level services</w:t>
      </w:r>
      <w:r w:rsidR="00856351">
        <w:t xml:space="preserve"> – and NGF</w:t>
      </w:r>
      <w:r w:rsidRPr="0082510E">
        <w:t xml:space="preserve"> for MSMEs. This would mean leaving with DFAT </w:t>
      </w:r>
      <w:r w:rsidR="00856351">
        <w:t>the management of NGF for</w:t>
      </w:r>
      <w:r w:rsidRPr="0082510E">
        <w:t xml:space="preserve"> public-sector counterparts. </w:t>
      </w:r>
    </w:p>
    <w:p w14:paraId="5A904C0E" w14:textId="644E42E5" w:rsidR="0082510E" w:rsidRPr="0082510E" w:rsidRDefault="0082510E">
      <w:pPr>
        <w:spacing w:before="120" w:after="120" w:line="240" w:lineRule="auto"/>
      </w:pPr>
      <w:r w:rsidRPr="0082510E">
        <w:t xml:space="preserve">It would be best to have DFAT, as well as the new entity, authorised and equipped with capacity to </w:t>
      </w:r>
      <w:r w:rsidR="00856351">
        <w:t>manage</w:t>
      </w:r>
      <w:r w:rsidRPr="0082510E">
        <w:t xml:space="preserve"> </w:t>
      </w:r>
      <w:r w:rsidR="00186117">
        <w:t>NGF</w:t>
      </w:r>
      <w:r w:rsidRPr="0082510E">
        <w:t xml:space="preserve"> where this was judged most appropriate</w:t>
      </w:r>
      <w:r w:rsidR="0071103E">
        <w:t>—</w:t>
      </w:r>
      <w:r w:rsidRPr="0082510E">
        <w:t>but not to offer guarantees</w:t>
      </w:r>
      <w:r w:rsidR="00856351">
        <w:t>,</w:t>
      </w:r>
      <w:r w:rsidRPr="0082510E">
        <w:t xml:space="preserve"> or insurance for finance from other sources</w:t>
      </w:r>
      <w:r w:rsidR="00856351">
        <w:t>, because of the more specialised financial capabilities this requires</w:t>
      </w:r>
      <w:r w:rsidRPr="0082510E">
        <w:t xml:space="preserve">. </w:t>
      </w:r>
    </w:p>
    <w:p w14:paraId="6EDC767A" w14:textId="3DE3BBB2" w:rsidR="0082510E" w:rsidRDefault="000965C7" w:rsidP="00594341">
      <w:pPr>
        <w:spacing w:before="120" w:after="120" w:line="240" w:lineRule="auto"/>
      </w:pPr>
      <w:bookmarkStart w:id="35" w:name="_Hlk531434692"/>
      <w:r>
        <w:t>Th</w:t>
      </w:r>
      <w:r w:rsidR="00871A98">
        <w:t>es</w:t>
      </w:r>
      <w:r>
        <w:t xml:space="preserve">e </w:t>
      </w:r>
      <w:r w:rsidR="00871A98">
        <w:t xml:space="preserve">three </w:t>
      </w:r>
      <w:r>
        <w:t xml:space="preserve">institutional options </w:t>
      </w:r>
      <w:r w:rsidR="0082510E" w:rsidRPr="0082510E">
        <w:t xml:space="preserve">can be compared in terms of their respective strengths, weaknesses, opportunities and threats, as shown in </w:t>
      </w:r>
      <w:r w:rsidR="0082510E" w:rsidRPr="00726C5E">
        <w:t>Table </w:t>
      </w:r>
      <w:r w:rsidR="00726C5E" w:rsidRPr="00726C5E">
        <w:t>3</w:t>
      </w:r>
      <w:r w:rsidR="0082510E" w:rsidRPr="0082510E">
        <w:t xml:space="preserve"> below</w:t>
      </w:r>
      <w:bookmarkEnd w:id="35"/>
      <w:r w:rsidR="0082510E" w:rsidRPr="0082510E">
        <w:t>.</w:t>
      </w:r>
    </w:p>
    <w:p w14:paraId="79768DE8" w14:textId="09AC6A31" w:rsidR="003C5883" w:rsidRPr="00726C5E" w:rsidRDefault="00726C5E" w:rsidP="00726C5E">
      <w:pPr>
        <w:rPr>
          <w:color w:val="002060"/>
          <w:sz w:val="24"/>
          <w:szCs w:val="24"/>
        </w:rPr>
      </w:pPr>
      <w:r w:rsidRPr="00726C5E">
        <w:rPr>
          <w:color w:val="002060"/>
          <w:sz w:val="24"/>
          <w:szCs w:val="24"/>
        </w:rPr>
        <w:lastRenderedPageBreak/>
        <w:t>Table 3</w:t>
      </w:r>
      <w:r w:rsidR="003C5883" w:rsidRPr="00726C5E">
        <w:rPr>
          <w:color w:val="002060"/>
          <w:sz w:val="24"/>
          <w:szCs w:val="24"/>
        </w:rPr>
        <w:t>—C</w:t>
      </w:r>
      <w:r w:rsidRPr="00726C5E">
        <w:rPr>
          <w:color w:val="002060"/>
          <w:sz w:val="24"/>
          <w:szCs w:val="24"/>
        </w:rPr>
        <w:t>omparison of institutional options</w:t>
      </w:r>
    </w:p>
    <w:tbl>
      <w:tblPr>
        <w:tblStyle w:val="TableGrid1"/>
        <w:tblW w:w="9163" w:type="dxa"/>
        <w:tblInd w:w="-147" w:type="dxa"/>
        <w:tblLook w:val="04A0" w:firstRow="1" w:lastRow="0" w:firstColumn="1" w:lastColumn="0" w:noHBand="0" w:noVBand="1"/>
      </w:tblPr>
      <w:tblGrid>
        <w:gridCol w:w="568"/>
        <w:gridCol w:w="2693"/>
        <w:gridCol w:w="2977"/>
        <w:gridCol w:w="2925"/>
      </w:tblGrid>
      <w:tr w:rsidR="003C5883" w:rsidRPr="00EE12C3" w14:paraId="5C15E6D9" w14:textId="77777777" w:rsidTr="00CA4549">
        <w:trPr>
          <w:trHeight w:val="85"/>
        </w:trPr>
        <w:tc>
          <w:tcPr>
            <w:tcW w:w="568" w:type="dxa"/>
          </w:tcPr>
          <w:p w14:paraId="36AD8A5E" w14:textId="77777777" w:rsidR="003C5883" w:rsidRPr="00EE12C3" w:rsidRDefault="003C5883" w:rsidP="00DB15C8">
            <w:pPr>
              <w:spacing w:before="40" w:after="40"/>
              <w:jc w:val="right"/>
              <w:rPr>
                <w:sz w:val="20"/>
                <w:szCs w:val="20"/>
              </w:rPr>
            </w:pPr>
          </w:p>
        </w:tc>
        <w:tc>
          <w:tcPr>
            <w:tcW w:w="2693" w:type="dxa"/>
            <w:shd w:val="clear" w:color="auto" w:fill="D9E2F3" w:themeFill="accent1" w:themeFillTint="33"/>
          </w:tcPr>
          <w:p w14:paraId="3AA20F84" w14:textId="77777777" w:rsidR="003C5883" w:rsidRPr="00EE12C3" w:rsidRDefault="003C5883" w:rsidP="00DB15C8">
            <w:pPr>
              <w:spacing w:before="40" w:after="40"/>
              <w:rPr>
                <w:sz w:val="20"/>
                <w:szCs w:val="20"/>
              </w:rPr>
            </w:pPr>
            <w:r w:rsidRPr="00EE12C3">
              <w:rPr>
                <w:sz w:val="20"/>
                <w:szCs w:val="20"/>
              </w:rPr>
              <w:t>Option 1 – DFAT alone</w:t>
            </w:r>
          </w:p>
        </w:tc>
        <w:tc>
          <w:tcPr>
            <w:tcW w:w="2977" w:type="dxa"/>
            <w:shd w:val="clear" w:color="auto" w:fill="D9E2F3" w:themeFill="accent1" w:themeFillTint="33"/>
          </w:tcPr>
          <w:p w14:paraId="763A0CD9" w14:textId="3ADDCFFE" w:rsidR="003C5883" w:rsidRPr="00EE12C3" w:rsidRDefault="003C5883" w:rsidP="00DB15C8">
            <w:pPr>
              <w:spacing w:before="40" w:after="40"/>
              <w:rPr>
                <w:sz w:val="20"/>
                <w:szCs w:val="20"/>
              </w:rPr>
            </w:pPr>
            <w:r w:rsidRPr="00EE12C3">
              <w:rPr>
                <w:sz w:val="20"/>
                <w:szCs w:val="20"/>
              </w:rPr>
              <w:t xml:space="preserve">Option 2 – </w:t>
            </w:r>
            <w:r w:rsidR="00BD16D3" w:rsidRPr="00DA0E37">
              <w:rPr>
                <w:sz w:val="20"/>
                <w:szCs w:val="20"/>
              </w:rPr>
              <w:t>partne</w:t>
            </w:r>
            <w:r w:rsidRPr="00DA0E37">
              <w:rPr>
                <w:sz w:val="20"/>
                <w:szCs w:val="20"/>
              </w:rPr>
              <w:t>r</w:t>
            </w:r>
            <w:r w:rsidR="00BD16D3" w:rsidRPr="00DA0E37">
              <w:rPr>
                <w:sz w:val="20"/>
                <w:szCs w:val="20"/>
              </w:rPr>
              <w:t>ship with</w:t>
            </w:r>
            <w:r w:rsidRPr="00EE12C3">
              <w:rPr>
                <w:sz w:val="20"/>
                <w:szCs w:val="20"/>
              </w:rPr>
              <w:t xml:space="preserve"> </w:t>
            </w:r>
            <w:proofErr w:type="spellStart"/>
            <w:r w:rsidRPr="00EE12C3">
              <w:rPr>
                <w:sz w:val="20"/>
                <w:szCs w:val="20"/>
              </w:rPr>
              <w:t>Efic</w:t>
            </w:r>
            <w:proofErr w:type="spellEnd"/>
            <w:r w:rsidRPr="00EE12C3">
              <w:rPr>
                <w:sz w:val="20"/>
                <w:szCs w:val="20"/>
              </w:rPr>
              <w:t xml:space="preserve"> </w:t>
            </w:r>
          </w:p>
        </w:tc>
        <w:tc>
          <w:tcPr>
            <w:tcW w:w="2925" w:type="dxa"/>
            <w:shd w:val="clear" w:color="auto" w:fill="D9E2F3" w:themeFill="accent1" w:themeFillTint="33"/>
          </w:tcPr>
          <w:p w14:paraId="2C0BCF21" w14:textId="77777777" w:rsidR="003C5883" w:rsidRPr="00EE12C3" w:rsidRDefault="003C5883" w:rsidP="00DB15C8">
            <w:pPr>
              <w:spacing w:before="40" w:after="40"/>
              <w:rPr>
                <w:sz w:val="20"/>
                <w:szCs w:val="20"/>
              </w:rPr>
            </w:pPr>
            <w:r w:rsidRPr="00EE12C3">
              <w:rPr>
                <w:sz w:val="20"/>
                <w:szCs w:val="20"/>
              </w:rPr>
              <w:t>Option 3 – new entity</w:t>
            </w:r>
          </w:p>
        </w:tc>
      </w:tr>
      <w:tr w:rsidR="003C5883" w:rsidRPr="00EE12C3" w14:paraId="546AC12E" w14:textId="77777777" w:rsidTr="00CA4549">
        <w:tc>
          <w:tcPr>
            <w:tcW w:w="568" w:type="dxa"/>
            <w:textDirection w:val="btLr"/>
          </w:tcPr>
          <w:p w14:paraId="4F460612" w14:textId="77777777" w:rsidR="003C5883" w:rsidRPr="00EE12C3" w:rsidRDefault="003C5883" w:rsidP="00DB15C8">
            <w:pPr>
              <w:spacing w:before="40" w:after="40"/>
              <w:jc w:val="right"/>
              <w:rPr>
                <w:sz w:val="20"/>
                <w:szCs w:val="20"/>
              </w:rPr>
            </w:pPr>
            <w:r w:rsidRPr="00EE12C3">
              <w:rPr>
                <w:b/>
                <w:sz w:val="20"/>
                <w:szCs w:val="20"/>
              </w:rPr>
              <w:t>STRENGTHS</w:t>
            </w:r>
          </w:p>
        </w:tc>
        <w:tc>
          <w:tcPr>
            <w:tcW w:w="2693" w:type="dxa"/>
          </w:tcPr>
          <w:p w14:paraId="4C63C850" w14:textId="77777777" w:rsidR="003C5883" w:rsidRPr="00EE12C3" w:rsidRDefault="003C5883" w:rsidP="00DB15C8">
            <w:pPr>
              <w:spacing w:before="40" w:after="40"/>
              <w:rPr>
                <w:sz w:val="20"/>
                <w:szCs w:val="20"/>
              </w:rPr>
            </w:pPr>
            <w:r w:rsidRPr="00EE12C3">
              <w:rPr>
                <w:sz w:val="20"/>
                <w:szCs w:val="20"/>
              </w:rPr>
              <w:t>Assured of being responsive to foreign</w:t>
            </w:r>
            <w:r w:rsidRPr="00EE12C3">
              <w:rPr>
                <w:sz w:val="20"/>
                <w:szCs w:val="20"/>
              </w:rPr>
              <w:noBreakHyphen/>
              <w:t>policy interests</w:t>
            </w:r>
          </w:p>
          <w:p w14:paraId="2B0894DB" w14:textId="77777777" w:rsidR="003C5883" w:rsidRPr="00EE12C3" w:rsidRDefault="003C5883" w:rsidP="00DB15C8">
            <w:pPr>
              <w:spacing w:before="40" w:after="40"/>
              <w:rPr>
                <w:sz w:val="20"/>
                <w:szCs w:val="20"/>
              </w:rPr>
            </w:pPr>
            <w:r w:rsidRPr="00EE12C3">
              <w:rPr>
                <w:sz w:val="20"/>
                <w:szCs w:val="20"/>
              </w:rPr>
              <w:t>Assured of integrating the selection and implementation of new forms of financing with the rest of the development assistance program</w:t>
            </w:r>
          </w:p>
          <w:p w14:paraId="03436FB4" w14:textId="77777777" w:rsidR="003C5883" w:rsidRPr="00EE12C3" w:rsidRDefault="003C5883" w:rsidP="00DB15C8">
            <w:pPr>
              <w:spacing w:before="40" w:after="40"/>
              <w:rPr>
                <w:sz w:val="20"/>
                <w:szCs w:val="20"/>
              </w:rPr>
            </w:pPr>
            <w:r w:rsidRPr="00EE12C3">
              <w:rPr>
                <w:sz w:val="20"/>
                <w:szCs w:val="20"/>
              </w:rPr>
              <w:t>Readiest use of network of posts for identifying opportunities</w:t>
            </w:r>
          </w:p>
        </w:tc>
        <w:tc>
          <w:tcPr>
            <w:tcW w:w="2977" w:type="dxa"/>
          </w:tcPr>
          <w:p w14:paraId="4D20ED35" w14:textId="77777777" w:rsidR="003C5883" w:rsidRPr="00EE12C3" w:rsidRDefault="003C5883" w:rsidP="00DB15C8">
            <w:pPr>
              <w:spacing w:before="40" w:after="40"/>
              <w:rPr>
                <w:sz w:val="20"/>
                <w:szCs w:val="20"/>
              </w:rPr>
            </w:pPr>
            <w:proofErr w:type="spellStart"/>
            <w:r w:rsidRPr="00EE12C3">
              <w:rPr>
                <w:sz w:val="20"/>
                <w:szCs w:val="20"/>
              </w:rPr>
              <w:t>Efic</w:t>
            </w:r>
            <w:proofErr w:type="spellEnd"/>
            <w:r w:rsidRPr="00EE12C3">
              <w:rPr>
                <w:sz w:val="20"/>
                <w:szCs w:val="20"/>
              </w:rPr>
              <w:t xml:space="preserve"> has much of the needed technical capacity</w:t>
            </w:r>
          </w:p>
          <w:p w14:paraId="0338F987" w14:textId="77777777" w:rsidR="003C5883" w:rsidRPr="00EE12C3" w:rsidRDefault="003C5883" w:rsidP="00DB15C8">
            <w:pPr>
              <w:spacing w:before="40" w:after="40"/>
              <w:rPr>
                <w:sz w:val="20"/>
                <w:szCs w:val="20"/>
              </w:rPr>
            </w:pPr>
            <w:proofErr w:type="spellStart"/>
            <w:r w:rsidRPr="00EE12C3">
              <w:rPr>
                <w:sz w:val="20"/>
                <w:szCs w:val="20"/>
              </w:rPr>
              <w:t>Efic</w:t>
            </w:r>
            <w:proofErr w:type="spellEnd"/>
            <w:r w:rsidRPr="00EE12C3">
              <w:rPr>
                <w:sz w:val="20"/>
                <w:szCs w:val="20"/>
              </w:rPr>
              <w:t xml:space="preserve"> already has a Board, management and staff focused on finance</w:t>
            </w:r>
          </w:p>
          <w:p w14:paraId="3BC97068" w14:textId="77777777" w:rsidR="003C5883" w:rsidRPr="00EE12C3" w:rsidRDefault="003C5883" w:rsidP="00DB15C8">
            <w:pPr>
              <w:spacing w:before="40" w:after="40"/>
              <w:rPr>
                <w:sz w:val="20"/>
                <w:szCs w:val="20"/>
              </w:rPr>
            </w:pPr>
            <w:proofErr w:type="spellStart"/>
            <w:r w:rsidRPr="00EE12C3">
              <w:rPr>
                <w:sz w:val="20"/>
                <w:szCs w:val="20"/>
              </w:rPr>
              <w:t>Efic</w:t>
            </w:r>
            <w:proofErr w:type="spellEnd"/>
            <w:r w:rsidRPr="00EE12C3">
              <w:rPr>
                <w:sz w:val="20"/>
                <w:szCs w:val="20"/>
              </w:rPr>
              <w:t xml:space="preserve"> would present a distinct face to clients and the public as official provider of large items of development finance</w:t>
            </w:r>
          </w:p>
          <w:p w14:paraId="39EA20BF" w14:textId="77777777" w:rsidR="003C5883" w:rsidRPr="00EE12C3" w:rsidRDefault="003C5883" w:rsidP="00DB15C8">
            <w:pPr>
              <w:spacing w:before="40" w:after="40"/>
              <w:rPr>
                <w:sz w:val="20"/>
                <w:szCs w:val="20"/>
              </w:rPr>
            </w:pPr>
            <w:proofErr w:type="spellStart"/>
            <w:r w:rsidRPr="00EE12C3">
              <w:rPr>
                <w:sz w:val="20"/>
                <w:szCs w:val="20"/>
              </w:rPr>
              <w:t>Efic</w:t>
            </w:r>
            <w:proofErr w:type="spellEnd"/>
            <w:r w:rsidRPr="00EE12C3">
              <w:rPr>
                <w:sz w:val="20"/>
                <w:szCs w:val="20"/>
              </w:rPr>
              <w:t xml:space="preserve"> can lend in foreign currency, subject to its own risk management</w:t>
            </w:r>
          </w:p>
        </w:tc>
        <w:tc>
          <w:tcPr>
            <w:tcW w:w="2925" w:type="dxa"/>
          </w:tcPr>
          <w:p w14:paraId="65F71D7F" w14:textId="77777777" w:rsidR="003C5883" w:rsidRPr="00EE12C3" w:rsidRDefault="003C5883" w:rsidP="00DB15C8">
            <w:pPr>
              <w:spacing w:before="40" w:after="40"/>
              <w:rPr>
                <w:sz w:val="20"/>
                <w:szCs w:val="20"/>
              </w:rPr>
            </w:pPr>
            <w:r w:rsidRPr="00EE12C3">
              <w:rPr>
                <w:sz w:val="20"/>
                <w:szCs w:val="20"/>
              </w:rPr>
              <w:t xml:space="preserve">Would have a single, clear focus, and could develop its own corporate culture based on expertise in development finance and closeness to private financiers </w:t>
            </w:r>
          </w:p>
          <w:p w14:paraId="5433705F" w14:textId="77777777" w:rsidR="003C5883" w:rsidRPr="00EE12C3" w:rsidRDefault="003C5883" w:rsidP="00DB15C8">
            <w:pPr>
              <w:spacing w:before="40" w:after="40"/>
              <w:rPr>
                <w:sz w:val="20"/>
                <w:szCs w:val="20"/>
              </w:rPr>
            </w:pPr>
            <w:r w:rsidRPr="00EE12C3">
              <w:rPr>
                <w:sz w:val="20"/>
                <w:szCs w:val="20"/>
              </w:rPr>
              <w:t>Would acquire its own standing among other countries’ development finance institutions, and thereby be able readily to co-finance with them</w:t>
            </w:r>
          </w:p>
        </w:tc>
      </w:tr>
      <w:tr w:rsidR="003C5883" w:rsidRPr="00EE12C3" w14:paraId="436CD18B" w14:textId="77777777" w:rsidTr="00CA4549">
        <w:tc>
          <w:tcPr>
            <w:tcW w:w="568" w:type="dxa"/>
            <w:textDirection w:val="btLr"/>
          </w:tcPr>
          <w:p w14:paraId="1E81E54B" w14:textId="77777777" w:rsidR="003C5883" w:rsidRPr="00EE12C3" w:rsidRDefault="003C5883" w:rsidP="00DB15C8">
            <w:pPr>
              <w:spacing w:before="40" w:after="40"/>
              <w:jc w:val="right"/>
              <w:rPr>
                <w:sz w:val="20"/>
                <w:szCs w:val="20"/>
              </w:rPr>
            </w:pPr>
            <w:r w:rsidRPr="00EE12C3">
              <w:rPr>
                <w:b/>
                <w:sz w:val="20"/>
                <w:szCs w:val="20"/>
              </w:rPr>
              <w:t>WEAKNESSES</w:t>
            </w:r>
          </w:p>
        </w:tc>
        <w:tc>
          <w:tcPr>
            <w:tcW w:w="2693" w:type="dxa"/>
          </w:tcPr>
          <w:p w14:paraId="78463114" w14:textId="77777777" w:rsidR="003C5883" w:rsidRPr="00EE12C3" w:rsidRDefault="003C5883" w:rsidP="00DB15C8">
            <w:pPr>
              <w:spacing w:before="40" w:after="40"/>
              <w:rPr>
                <w:sz w:val="20"/>
                <w:szCs w:val="20"/>
              </w:rPr>
            </w:pPr>
            <w:r w:rsidRPr="00EE12C3">
              <w:rPr>
                <w:sz w:val="20"/>
                <w:szCs w:val="20"/>
              </w:rPr>
              <w:t>Specialist capacity would need to be established, with an initial period of reliance on contracted expertise</w:t>
            </w:r>
          </w:p>
          <w:p w14:paraId="37D5CD5E" w14:textId="77777777" w:rsidR="003C5883" w:rsidRPr="00EE12C3" w:rsidRDefault="003C5883" w:rsidP="00DB15C8">
            <w:pPr>
              <w:spacing w:before="40" w:after="40"/>
              <w:rPr>
                <w:sz w:val="20"/>
                <w:szCs w:val="20"/>
              </w:rPr>
            </w:pPr>
            <w:r w:rsidRPr="00EE12C3">
              <w:rPr>
                <w:sz w:val="20"/>
                <w:szCs w:val="20"/>
              </w:rPr>
              <w:t xml:space="preserve">DFAT’s systems – in particular, for handling appropriations, making and managing contracts, and keeping accounts – would need modification to handle new forms of financing </w:t>
            </w:r>
          </w:p>
          <w:p w14:paraId="203467CA" w14:textId="77777777" w:rsidR="003C5883" w:rsidRPr="00EE12C3" w:rsidRDefault="003C5883" w:rsidP="00DB15C8">
            <w:pPr>
              <w:spacing w:before="40" w:after="40"/>
              <w:rPr>
                <w:sz w:val="20"/>
                <w:szCs w:val="20"/>
              </w:rPr>
            </w:pPr>
          </w:p>
        </w:tc>
        <w:tc>
          <w:tcPr>
            <w:tcW w:w="2977" w:type="dxa"/>
          </w:tcPr>
          <w:p w14:paraId="157E85A7" w14:textId="77777777" w:rsidR="003C5883" w:rsidRPr="00EE12C3" w:rsidRDefault="003C5883" w:rsidP="00DB15C8">
            <w:pPr>
              <w:spacing w:before="40" w:after="40"/>
              <w:rPr>
                <w:sz w:val="20"/>
                <w:szCs w:val="20"/>
              </w:rPr>
            </w:pPr>
            <w:proofErr w:type="spellStart"/>
            <w:r w:rsidRPr="00EE12C3">
              <w:rPr>
                <w:sz w:val="20"/>
                <w:szCs w:val="20"/>
              </w:rPr>
              <w:t>Efic</w:t>
            </w:r>
            <w:proofErr w:type="spellEnd"/>
            <w:r w:rsidRPr="00EE12C3">
              <w:rPr>
                <w:sz w:val="20"/>
                <w:szCs w:val="20"/>
              </w:rPr>
              <w:t xml:space="preserve"> has at present no capability for making equity investments</w:t>
            </w:r>
          </w:p>
          <w:p w14:paraId="31DA2645" w14:textId="77777777" w:rsidR="003C5883" w:rsidRPr="00EE12C3" w:rsidRDefault="003C5883" w:rsidP="00DB15C8">
            <w:pPr>
              <w:spacing w:before="40" w:after="40"/>
              <w:rPr>
                <w:sz w:val="20"/>
                <w:szCs w:val="20"/>
              </w:rPr>
            </w:pPr>
            <w:proofErr w:type="spellStart"/>
            <w:r w:rsidRPr="00EE12C3">
              <w:rPr>
                <w:sz w:val="20"/>
                <w:szCs w:val="20"/>
              </w:rPr>
              <w:t>Efic</w:t>
            </w:r>
            <w:proofErr w:type="spellEnd"/>
            <w:r w:rsidRPr="00EE12C3">
              <w:rPr>
                <w:sz w:val="20"/>
                <w:szCs w:val="20"/>
              </w:rPr>
              <w:t xml:space="preserve"> has slightly higher cost of funding than Commonwealth </w:t>
            </w:r>
          </w:p>
          <w:p w14:paraId="6D6E5A58" w14:textId="77777777" w:rsidR="003C5883" w:rsidRPr="00EE12C3" w:rsidRDefault="003C5883" w:rsidP="00DB15C8">
            <w:pPr>
              <w:spacing w:before="40" w:after="40"/>
              <w:rPr>
                <w:sz w:val="20"/>
                <w:szCs w:val="20"/>
              </w:rPr>
            </w:pPr>
            <w:r w:rsidRPr="00EE12C3">
              <w:rPr>
                <w:sz w:val="20"/>
                <w:szCs w:val="20"/>
              </w:rPr>
              <w:t>Arrangements would be needed for coordination with the rest of DFAT’s development assistance</w:t>
            </w:r>
          </w:p>
          <w:p w14:paraId="3D8CC4BA" w14:textId="77777777" w:rsidR="003C5883" w:rsidRPr="00EE12C3" w:rsidRDefault="003C5883" w:rsidP="00DB15C8">
            <w:pPr>
              <w:spacing w:before="40" w:after="40"/>
              <w:rPr>
                <w:sz w:val="20"/>
                <w:szCs w:val="20"/>
              </w:rPr>
            </w:pPr>
            <w:r w:rsidRPr="00EE12C3">
              <w:rPr>
                <w:sz w:val="20"/>
                <w:szCs w:val="20"/>
              </w:rPr>
              <w:t>DFAT would have little in</w:t>
            </w:r>
            <w:r w:rsidRPr="00EE12C3">
              <w:rPr>
                <w:sz w:val="20"/>
                <w:szCs w:val="20"/>
              </w:rPr>
              <w:noBreakHyphen/>
              <w:t>house capacity to provide other development finance in non</w:t>
            </w:r>
            <w:r w:rsidRPr="00EE12C3">
              <w:rPr>
                <w:sz w:val="20"/>
                <w:szCs w:val="20"/>
              </w:rPr>
              <w:noBreakHyphen/>
              <w:t xml:space="preserve">grant forms </w:t>
            </w:r>
          </w:p>
        </w:tc>
        <w:tc>
          <w:tcPr>
            <w:tcW w:w="2925" w:type="dxa"/>
          </w:tcPr>
          <w:p w14:paraId="5C63D6A1" w14:textId="77777777" w:rsidR="003C5883" w:rsidRPr="00EE12C3" w:rsidRDefault="003C5883" w:rsidP="00DB15C8">
            <w:pPr>
              <w:spacing w:before="40" w:after="40"/>
              <w:rPr>
                <w:sz w:val="20"/>
                <w:szCs w:val="20"/>
              </w:rPr>
            </w:pPr>
            <w:r w:rsidRPr="00EE12C3">
              <w:rPr>
                <w:sz w:val="20"/>
                <w:szCs w:val="20"/>
              </w:rPr>
              <w:t>Probably more than 18 months would be needed for establishing the new entity’s governance, staff, systems and in</w:t>
            </w:r>
            <w:r w:rsidRPr="00EE12C3">
              <w:rPr>
                <w:sz w:val="20"/>
                <w:szCs w:val="20"/>
              </w:rPr>
              <w:noBreakHyphen/>
              <w:t>house technical capacity</w:t>
            </w:r>
          </w:p>
          <w:p w14:paraId="7D2DCE21" w14:textId="77777777" w:rsidR="003C5883" w:rsidRPr="00EE12C3" w:rsidRDefault="003C5883" w:rsidP="00DB15C8">
            <w:pPr>
              <w:spacing w:before="40" w:after="40"/>
              <w:rPr>
                <w:sz w:val="20"/>
                <w:szCs w:val="20"/>
              </w:rPr>
            </w:pPr>
            <w:r w:rsidRPr="00EE12C3">
              <w:rPr>
                <w:sz w:val="20"/>
                <w:szCs w:val="20"/>
              </w:rPr>
              <w:t xml:space="preserve">It would be likely to involve significant additional cost to run </w:t>
            </w:r>
          </w:p>
          <w:p w14:paraId="6149BA8D" w14:textId="77777777" w:rsidR="003C5883" w:rsidRPr="00EE12C3" w:rsidRDefault="003C5883" w:rsidP="00DB15C8">
            <w:pPr>
              <w:spacing w:before="40" w:after="40"/>
              <w:rPr>
                <w:sz w:val="20"/>
                <w:szCs w:val="20"/>
              </w:rPr>
            </w:pPr>
            <w:r w:rsidRPr="00EE12C3">
              <w:rPr>
                <w:sz w:val="20"/>
                <w:szCs w:val="20"/>
              </w:rPr>
              <w:t xml:space="preserve">Mandate would overlap considerably with that of </w:t>
            </w:r>
            <w:proofErr w:type="spellStart"/>
            <w:r w:rsidRPr="00EE12C3">
              <w:rPr>
                <w:sz w:val="20"/>
                <w:szCs w:val="20"/>
              </w:rPr>
              <w:t>Efic</w:t>
            </w:r>
            <w:proofErr w:type="spellEnd"/>
            <w:r w:rsidRPr="00EE12C3">
              <w:rPr>
                <w:sz w:val="20"/>
                <w:szCs w:val="20"/>
              </w:rPr>
              <w:t xml:space="preserve"> when the latter is extended as planned</w:t>
            </w:r>
          </w:p>
          <w:p w14:paraId="6486A915" w14:textId="77777777" w:rsidR="003C5883" w:rsidRPr="00EE12C3" w:rsidRDefault="003C5883" w:rsidP="00DB15C8">
            <w:pPr>
              <w:spacing w:before="40" w:after="40"/>
              <w:rPr>
                <w:sz w:val="20"/>
                <w:szCs w:val="20"/>
              </w:rPr>
            </w:pPr>
            <w:r w:rsidRPr="00EE12C3">
              <w:rPr>
                <w:sz w:val="20"/>
                <w:szCs w:val="20"/>
              </w:rPr>
              <w:t>Arrangements would be needed for coordination with the rest of DFAT’s development assistance</w:t>
            </w:r>
          </w:p>
          <w:p w14:paraId="1D11801E" w14:textId="77777777" w:rsidR="003C5883" w:rsidRPr="00EE12C3" w:rsidRDefault="003C5883" w:rsidP="00DB15C8">
            <w:pPr>
              <w:spacing w:before="40" w:after="40"/>
              <w:rPr>
                <w:sz w:val="20"/>
                <w:szCs w:val="20"/>
              </w:rPr>
            </w:pPr>
            <w:r w:rsidRPr="00EE12C3">
              <w:rPr>
                <w:sz w:val="20"/>
                <w:szCs w:val="20"/>
              </w:rPr>
              <w:t>As a separate entity, it would lack DFAT’s close links with intelligence agencies</w:t>
            </w:r>
          </w:p>
        </w:tc>
      </w:tr>
      <w:tr w:rsidR="003C5883" w:rsidRPr="00EE12C3" w14:paraId="5F685108" w14:textId="77777777" w:rsidTr="00CA4549">
        <w:tc>
          <w:tcPr>
            <w:tcW w:w="568" w:type="dxa"/>
            <w:textDirection w:val="btLr"/>
          </w:tcPr>
          <w:p w14:paraId="40AFA8BF" w14:textId="77777777" w:rsidR="003C5883" w:rsidRPr="00EE12C3" w:rsidRDefault="003C5883" w:rsidP="00DB15C8">
            <w:pPr>
              <w:spacing w:before="40" w:after="40"/>
              <w:jc w:val="right"/>
              <w:rPr>
                <w:sz w:val="20"/>
                <w:szCs w:val="20"/>
              </w:rPr>
            </w:pPr>
            <w:r w:rsidRPr="00EE12C3">
              <w:rPr>
                <w:b/>
                <w:sz w:val="20"/>
                <w:szCs w:val="20"/>
              </w:rPr>
              <w:t>OPPORTUNITIES</w:t>
            </w:r>
          </w:p>
        </w:tc>
        <w:tc>
          <w:tcPr>
            <w:tcW w:w="2693" w:type="dxa"/>
          </w:tcPr>
          <w:p w14:paraId="2DE98CC4" w14:textId="72BACA86" w:rsidR="003C5883" w:rsidRPr="00EE12C3" w:rsidRDefault="003C5883" w:rsidP="00DB15C8">
            <w:pPr>
              <w:spacing w:before="40" w:after="40"/>
              <w:rPr>
                <w:sz w:val="20"/>
                <w:szCs w:val="20"/>
              </w:rPr>
            </w:pPr>
            <w:r w:rsidRPr="00EE12C3">
              <w:rPr>
                <w:sz w:val="20"/>
                <w:szCs w:val="20"/>
              </w:rPr>
              <w:t>Would most readily fit with reconfiguring the development</w:t>
            </w:r>
            <w:r w:rsidR="003B0139">
              <w:rPr>
                <w:sz w:val="20"/>
                <w:szCs w:val="20"/>
              </w:rPr>
              <w:t xml:space="preserve"> </w:t>
            </w:r>
            <w:r w:rsidRPr="00EE12C3">
              <w:rPr>
                <w:sz w:val="20"/>
                <w:szCs w:val="20"/>
              </w:rPr>
              <w:t xml:space="preserve">assistance program to build economic partnerships with countries graduating from previous forms of assistance  </w:t>
            </w:r>
          </w:p>
        </w:tc>
        <w:tc>
          <w:tcPr>
            <w:tcW w:w="2977" w:type="dxa"/>
          </w:tcPr>
          <w:p w14:paraId="73CA0BD3" w14:textId="77777777" w:rsidR="003C5883" w:rsidRPr="00EE12C3" w:rsidRDefault="003C5883" w:rsidP="00DB15C8">
            <w:pPr>
              <w:spacing w:before="40" w:after="40"/>
              <w:rPr>
                <w:sz w:val="20"/>
                <w:szCs w:val="20"/>
              </w:rPr>
            </w:pPr>
            <w:proofErr w:type="spellStart"/>
            <w:r w:rsidRPr="00EE12C3">
              <w:rPr>
                <w:sz w:val="20"/>
                <w:szCs w:val="20"/>
              </w:rPr>
              <w:t>Efic</w:t>
            </w:r>
            <w:proofErr w:type="spellEnd"/>
            <w:r w:rsidRPr="00EE12C3">
              <w:rPr>
                <w:sz w:val="20"/>
                <w:szCs w:val="20"/>
              </w:rPr>
              <w:t xml:space="preserve"> could enhance its links with other countries’ export credit agencies, capable Australian companies and investment banks</w:t>
            </w:r>
          </w:p>
        </w:tc>
        <w:tc>
          <w:tcPr>
            <w:tcW w:w="2925" w:type="dxa"/>
          </w:tcPr>
          <w:p w14:paraId="29348894" w14:textId="71395C21" w:rsidR="003C5883" w:rsidRPr="00EE12C3" w:rsidRDefault="003C5883" w:rsidP="00DB15C8">
            <w:pPr>
              <w:spacing w:before="40" w:after="40"/>
              <w:rPr>
                <w:sz w:val="20"/>
                <w:szCs w:val="20"/>
              </w:rPr>
            </w:pPr>
            <w:r w:rsidRPr="00EE12C3">
              <w:rPr>
                <w:sz w:val="20"/>
                <w:szCs w:val="20"/>
              </w:rPr>
              <w:t xml:space="preserve">Might </w:t>
            </w:r>
            <w:r w:rsidR="00CA1657" w:rsidRPr="00DA0E37">
              <w:rPr>
                <w:sz w:val="20"/>
                <w:szCs w:val="20"/>
              </w:rPr>
              <w:t>help to</w:t>
            </w:r>
            <w:r w:rsidR="00FD1823" w:rsidRPr="00DA0E37">
              <w:rPr>
                <w:sz w:val="20"/>
                <w:szCs w:val="20"/>
              </w:rPr>
              <w:t xml:space="preserve"> </w:t>
            </w:r>
            <w:r w:rsidR="00CA1657" w:rsidRPr="00DA0E37">
              <w:rPr>
                <w:sz w:val="20"/>
                <w:szCs w:val="20"/>
              </w:rPr>
              <w:t>bring about</w:t>
            </w:r>
            <w:r w:rsidRPr="00EE12C3">
              <w:rPr>
                <w:sz w:val="20"/>
                <w:szCs w:val="20"/>
              </w:rPr>
              <w:t xml:space="preserve"> a more integrated approach to Australia’s participation in multilateral banks, development funds and investment platforms</w:t>
            </w:r>
          </w:p>
        </w:tc>
      </w:tr>
      <w:tr w:rsidR="003C5883" w:rsidRPr="00EE12C3" w14:paraId="22FBF965" w14:textId="77777777" w:rsidTr="00CA4549">
        <w:tc>
          <w:tcPr>
            <w:tcW w:w="568" w:type="dxa"/>
            <w:textDirection w:val="btLr"/>
          </w:tcPr>
          <w:p w14:paraId="3FF993BF" w14:textId="77777777" w:rsidR="003C5883" w:rsidRPr="00EE12C3" w:rsidRDefault="003C5883" w:rsidP="00DB15C8">
            <w:pPr>
              <w:spacing w:before="40" w:after="40"/>
              <w:jc w:val="right"/>
              <w:rPr>
                <w:sz w:val="20"/>
                <w:szCs w:val="20"/>
              </w:rPr>
            </w:pPr>
            <w:r w:rsidRPr="00EE12C3">
              <w:rPr>
                <w:b/>
                <w:sz w:val="20"/>
                <w:szCs w:val="20"/>
              </w:rPr>
              <w:t>THREATS</w:t>
            </w:r>
          </w:p>
        </w:tc>
        <w:tc>
          <w:tcPr>
            <w:tcW w:w="2693" w:type="dxa"/>
          </w:tcPr>
          <w:p w14:paraId="64A5D92E" w14:textId="08D0E36F" w:rsidR="003C5883" w:rsidRPr="00EE12C3" w:rsidRDefault="003C5883" w:rsidP="00DB15C8">
            <w:pPr>
              <w:spacing w:before="40" w:after="40"/>
              <w:rPr>
                <w:sz w:val="20"/>
                <w:szCs w:val="20"/>
              </w:rPr>
            </w:pPr>
            <w:r w:rsidRPr="00EE12C3">
              <w:rPr>
                <w:sz w:val="20"/>
                <w:szCs w:val="20"/>
              </w:rPr>
              <w:t>Recruiting and retaining specialist staff with sufficient capability could be undermined by subordination to DFAT’s practices in remunerating and reallocating staff</w:t>
            </w:r>
          </w:p>
          <w:p w14:paraId="4989AEE6" w14:textId="230A7798" w:rsidR="003C5883" w:rsidRPr="00EE12C3" w:rsidRDefault="00F34850" w:rsidP="00DB15C8">
            <w:pPr>
              <w:spacing w:before="40" w:after="40"/>
              <w:rPr>
                <w:sz w:val="20"/>
                <w:szCs w:val="20"/>
              </w:rPr>
            </w:pPr>
            <w:r>
              <w:rPr>
                <w:sz w:val="20"/>
                <w:szCs w:val="20"/>
              </w:rPr>
              <w:t>Contains the</w:t>
            </w:r>
            <w:r w:rsidR="003C5883" w:rsidRPr="00EE12C3">
              <w:rPr>
                <w:sz w:val="20"/>
                <w:szCs w:val="20"/>
              </w:rPr>
              <w:t xml:space="preserve"> </w:t>
            </w:r>
            <w:r>
              <w:rPr>
                <w:sz w:val="20"/>
                <w:szCs w:val="20"/>
              </w:rPr>
              <w:t>risk</w:t>
            </w:r>
            <w:r w:rsidR="003C5883" w:rsidRPr="00EE12C3">
              <w:rPr>
                <w:sz w:val="20"/>
                <w:szCs w:val="20"/>
              </w:rPr>
              <w:t xml:space="preserve"> th</w:t>
            </w:r>
            <w:r>
              <w:rPr>
                <w:sz w:val="20"/>
                <w:szCs w:val="20"/>
              </w:rPr>
              <w:t>at</w:t>
            </w:r>
            <w:r w:rsidR="003C5883" w:rsidRPr="00EE12C3">
              <w:rPr>
                <w:sz w:val="20"/>
                <w:szCs w:val="20"/>
              </w:rPr>
              <w:t xml:space="preserve"> development objectives </w:t>
            </w:r>
            <w:r>
              <w:rPr>
                <w:sz w:val="20"/>
                <w:szCs w:val="20"/>
              </w:rPr>
              <w:t>would be</w:t>
            </w:r>
            <w:r w:rsidR="003C5883" w:rsidRPr="00EE12C3">
              <w:rPr>
                <w:sz w:val="20"/>
                <w:szCs w:val="20"/>
              </w:rPr>
              <w:t xml:space="preserve"> </w:t>
            </w:r>
            <w:r w:rsidRPr="00EE12C3">
              <w:rPr>
                <w:sz w:val="20"/>
                <w:szCs w:val="20"/>
              </w:rPr>
              <w:t>undu</w:t>
            </w:r>
            <w:r>
              <w:rPr>
                <w:sz w:val="20"/>
                <w:szCs w:val="20"/>
              </w:rPr>
              <w:t>ly</w:t>
            </w:r>
            <w:r w:rsidRPr="00EE12C3">
              <w:rPr>
                <w:sz w:val="20"/>
                <w:szCs w:val="20"/>
              </w:rPr>
              <w:t xml:space="preserve"> subordinat</w:t>
            </w:r>
            <w:r>
              <w:rPr>
                <w:sz w:val="20"/>
                <w:szCs w:val="20"/>
              </w:rPr>
              <w:t>ed</w:t>
            </w:r>
            <w:r w:rsidRPr="00EE12C3">
              <w:rPr>
                <w:sz w:val="20"/>
                <w:szCs w:val="20"/>
              </w:rPr>
              <w:t xml:space="preserve"> </w:t>
            </w:r>
            <w:r w:rsidR="003C5883" w:rsidRPr="00EE12C3">
              <w:rPr>
                <w:sz w:val="20"/>
                <w:szCs w:val="20"/>
              </w:rPr>
              <w:t>to foreign</w:t>
            </w:r>
            <w:r w:rsidR="003C5883" w:rsidRPr="00EE12C3">
              <w:rPr>
                <w:sz w:val="20"/>
                <w:szCs w:val="20"/>
              </w:rPr>
              <w:noBreakHyphen/>
              <w:t>policy priorities</w:t>
            </w:r>
          </w:p>
        </w:tc>
        <w:tc>
          <w:tcPr>
            <w:tcW w:w="2977" w:type="dxa"/>
          </w:tcPr>
          <w:p w14:paraId="42078AB1" w14:textId="77777777" w:rsidR="003C5883" w:rsidRPr="00EE12C3" w:rsidRDefault="003C5883" w:rsidP="00DB15C8">
            <w:pPr>
              <w:spacing w:before="40" w:after="40"/>
              <w:rPr>
                <w:sz w:val="20"/>
                <w:szCs w:val="20"/>
              </w:rPr>
            </w:pPr>
            <w:r w:rsidRPr="00EE12C3">
              <w:rPr>
                <w:sz w:val="20"/>
                <w:szCs w:val="20"/>
              </w:rPr>
              <w:t xml:space="preserve">Legislative change might encounter resistance from </w:t>
            </w:r>
            <w:proofErr w:type="spellStart"/>
            <w:r w:rsidRPr="00EE12C3">
              <w:rPr>
                <w:sz w:val="20"/>
                <w:szCs w:val="20"/>
              </w:rPr>
              <w:t>Efic</w:t>
            </w:r>
            <w:proofErr w:type="spellEnd"/>
            <w:r w:rsidRPr="00EE12C3">
              <w:rPr>
                <w:sz w:val="20"/>
                <w:szCs w:val="20"/>
              </w:rPr>
              <w:t xml:space="preserve"> stakeholders concerned at weakening its function of assisting Australian businesses and employment</w:t>
            </w:r>
          </w:p>
          <w:p w14:paraId="366079AC" w14:textId="77777777" w:rsidR="003C5883" w:rsidRPr="00EE12C3" w:rsidRDefault="003C5883" w:rsidP="00DB15C8">
            <w:pPr>
              <w:spacing w:before="40" w:after="40"/>
              <w:rPr>
                <w:sz w:val="20"/>
                <w:szCs w:val="20"/>
              </w:rPr>
            </w:pPr>
            <w:r w:rsidRPr="00EE12C3">
              <w:rPr>
                <w:sz w:val="20"/>
                <w:szCs w:val="20"/>
              </w:rPr>
              <w:t xml:space="preserve">Might appear as DFAT subsidising </w:t>
            </w:r>
            <w:proofErr w:type="spellStart"/>
            <w:r w:rsidRPr="00EE12C3">
              <w:rPr>
                <w:sz w:val="20"/>
                <w:szCs w:val="20"/>
              </w:rPr>
              <w:t>Efic’s</w:t>
            </w:r>
            <w:proofErr w:type="spellEnd"/>
            <w:r w:rsidRPr="00EE12C3">
              <w:rPr>
                <w:sz w:val="20"/>
                <w:szCs w:val="20"/>
              </w:rPr>
              <w:t xml:space="preserve"> operations </w:t>
            </w:r>
          </w:p>
          <w:p w14:paraId="2E289F5D" w14:textId="77777777" w:rsidR="003C5883" w:rsidRPr="00EE12C3" w:rsidRDefault="003C5883" w:rsidP="00DB15C8">
            <w:pPr>
              <w:spacing w:before="40" w:after="40"/>
              <w:rPr>
                <w:sz w:val="20"/>
                <w:szCs w:val="20"/>
              </w:rPr>
            </w:pPr>
            <w:r w:rsidRPr="00EE12C3">
              <w:rPr>
                <w:sz w:val="20"/>
                <w:szCs w:val="20"/>
              </w:rPr>
              <w:t>Might lead to preponderance of commercial objectives over development or foreign</w:t>
            </w:r>
            <w:r w:rsidRPr="00EE12C3">
              <w:rPr>
                <w:sz w:val="20"/>
                <w:szCs w:val="20"/>
              </w:rPr>
              <w:noBreakHyphen/>
              <w:t>policy objectives</w:t>
            </w:r>
          </w:p>
        </w:tc>
        <w:tc>
          <w:tcPr>
            <w:tcW w:w="2925" w:type="dxa"/>
          </w:tcPr>
          <w:p w14:paraId="6776917E" w14:textId="77777777" w:rsidR="003C5883" w:rsidRPr="00EE12C3" w:rsidRDefault="003C5883" w:rsidP="00DB15C8">
            <w:pPr>
              <w:spacing w:before="40" w:after="40"/>
              <w:rPr>
                <w:sz w:val="20"/>
                <w:szCs w:val="20"/>
              </w:rPr>
            </w:pPr>
            <w:r w:rsidRPr="00EE12C3">
              <w:rPr>
                <w:sz w:val="20"/>
                <w:szCs w:val="20"/>
              </w:rPr>
              <w:t>Would create expectations of its soon operating on a substantial scale, which unless fulfilled could lead to criticism and embarrassment for the Government</w:t>
            </w:r>
          </w:p>
          <w:p w14:paraId="4AB87F64" w14:textId="03A7CC92" w:rsidR="003C5883" w:rsidRPr="00EE12C3" w:rsidRDefault="003C5883" w:rsidP="00DB15C8">
            <w:pPr>
              <w:spacing w:before="40" w:after="40"/>
              <w:rPr>
                <w:sz w:val="20"/>
                <w:szCs w:val="20"/>
              </w:rPr>
            </w:pPr>
            <w:r w:rsidRPr="00EE12C3">
              <w:rPr>
                <w:sz w:val="20"/>
                <w:szCs w:val="20"/>
              </w:rPr>
              <w:t xml:space="preserve">Other agencies with related functions, especially DFAT and </w:t>
            </w:r>
            <w:proofErr w:type="spellStart"/>
            <w:r w:rsidR="008265C4" w:rsidRPr="00EE12C3">
              <w:rPr>
                <w:sz w:val="20"/>
                <w:szCs w:val="20"/>
              </w:rPr>
              <w:t>E</w:t>
            </w:r>
            <w:r w:rsidR="008265C4">
              <w:rPr>
                <w:sz w:val="20"/>
                <w:szCs w:val="20"/>
              </w:rPr>
              <w:t>fic</w:t>
            </w:r>
            <w:proofErr w:type="spellEnd"/>
            <w:r w:rsidRPr="00EE12C3">
              <w:rPr>
                <w:sz w:val="20"/>
                <w:szCs w:val="20"/>
              </w:rPr>
              <w:t>, could compete with the entity and make coordination problems outweigh its benefits</w:t>
            </w:r>
          </w:p>
        </w:tc>
      </w:tr>
    </w:tbl>
    <w:p w14:paraId="7670C899" w14:textId="575FBBE7" w:rsidR="00895A80" w:rsidRPr="00E84878" w:rsidRDefault="00676891" w:rsidP="00E84878">
      <w:pPr>
        <w:pStyle w:val="Heading3"/>
        <w:rPr>
          <w:color w:val="2F5496"/>
          <w:sz w:val="26"/>
          <w:szCs w:val="26"/>
        </w:rPr>
      </w:pPr>
      <w:r w:rsidRPr="00E84878">
        <w:rPr>
          <w:color w:val="2F5496"/>
          <w:sz w:val="26"/>
          <w:szCs w:val="26"/>
        </w:rPr>
        <w:lastRenderedPageBreak/>
        <w:t>M</w:t>
      </w:r>
      <w:r w:rsidR="001345F9" w:rsidRPr="00E84878">
        <w:rPr>
          <w:color w:val="2F5496"/>
          <w:sz w:val="26"/>
          <w:szCs w:val="26"/>
        </w:rPr>
        <w:t>ulti-institution</w:t>
      </w:r>
      <w:r w:rsidR="002468E0" w:rsidRPr="00E84878">
        <w:rPr>
          <w:color w:val="2F5496"/>
          <w:sz w:val="26"/>
          <w:szCs w:val="26"/>
        </w:rPr>
        <w:t>al</w:t>
      </w:r>
      <w:r w:rsidR="001345F9" w:rsidRPr="00E84878">
        <w:rPr>
          <w:color w:val="2F5496"/>
          <w:sz w:val="26"/>
          <w:szCs w:val="26"/>
        </w:rPr>
        <w:t xml:space="preserve"> </w:t>
      </w:r>
      <w:r w:rsidR="00E02B1E" w:rsidRPr="00E84878">
        <w:rPr>
          <w:color w:val="2F5496"/>
          <w:sz w:val="26"/>
          <w:szCs w:val="26"/>
        </w:rPr>
        <w:t>O</w:t>
      </w:r>
      <w:r w:rsidR="001345F9" w:rsidRPr="00E84878">
        <w:rPr>
          <w:color w:val="2F5496"/>
          <w:sz w:val="26"/>
          <w:szCs w:val="26"/>
        </w:rPr>
        <w:t>ption</w:t>
      </w:r>
      <w:r w:rsidR="00E02B1E" w:rsidRPr="00E84878">
        <w:rPr>
          <w:color w:val="2F5496"/>
          <w:sz w:val="26"/>
          <w:szCs w:val="26"/>
        </w:rPr>
        <w:t xml:space="preserve"> 4</w:t>
      </w:r>
    </w:p>
    <w:p w14:paraId="5FCC7A22" w14:textId="7BCDE7F4" w:rsidR="00895A80" w:rsidRDefault="001345F9" w:rsidP="00895A80">
      <w:pPr>
        <w:spacing w:before="120" w:after="120" w:line="240" w:lineRule="auto"/>
      </w:pPr>
      <w:r>
        <w:t>An external reviewer of our draft report has suggested that because the different instruments of NGF correspond to differ</w:t>
      </w:r>
      <w:r w:rsidR="005745D0">
        <w:t>ent</w:t>
      </w:r>
      <w:r>
        <w:t xml:space="preserve"> purposes and counterparts, the best institutional arrangement could be to </w:t>
      </w:r>
      <w:r w:rsidR="00251B76">
        <w:t xml:space="preserve">distribute responsibilities for </w:t>
      </w:r>
      <w:r w:rsidR="00871A98">
        <w:t>them</w:t>
      </w:r>
      <w:r w:rsidR="00251B76">
        <w:t xml:space="preserve"> among </w:t>
      </w:r>
      <w:r>
        <w:t xml:space="preserve">DFAT, </w:t>
      </w:r>
      <w:proofErr w:type="spellStart"/>
      <w:r>
        <w:t>Efic</w:t>
      </w:r>
      <w:proofErr w:type="spellEnd"/>
      <w:r>
        <w:t xml:space="preserve"> and a new entity. We </w:t>
      </w:r>
      <w:r w:rsidR="001D10A8">
        <w:t>a</w:t>
      </w:r>
      <w:r w:rsidR="004141F7">
        <w:t>ccept</w:t>
      </w:r>
      <w:r>
        <w:t xml:space="preserve"> that such an arrangement </w:t>
      </w:r>
      <w:r w:rsidR="00251B76">
        <w:t>sh</w:t>
      </w:r>
      <w:r>
        <w:t xml:space="preserve">ould also be considered, and </w:t>
      </w:r>
      <w:r w:rsidR="001E774E">
        <w:t>that</w:t>
      </w:r>
      <w:r w:rsidR="00251B76">
        <w:t xml:space="preserve"> the following</w:t>
      </w:r>
      <w:r w:rsidR="00A4063F">
        <w:t xml:space="preserve"> </w:t>
      </w:r>
      <w:r w:rsidR="001E774E">
        <w:t xml:space="preserve">allocation </w:t>
      </w:r>
      <w:r w:rsidR="00A4063F">
        <w:t>could also be satisfactory</w:t>
      </w:r>
      <w:r w:rsidR="00251B76">
        <w:t>.</w:t>
      </w:r>
    </w:p>
    <w:tbl>
      <w:tblPr>
        <w:tblStyle w:val="TableGrid4"/>
        <w:tblW w:w="9214" w:type="dxa"/>
        <w:tblInd w:w="-147" w:type="dxa"/>
        <w:tblLook w:val="0420" w:firstRow="1" w:lastRow="0" w:firstColumn="0" w:lastColumn="0" w:noHBand="0" w:noVBand="1"/>
      </w:tblPr>
      <w:tblGrid>
        <w:gridCol w:w="3544"/>
        <w:gridCol w:w="5670"/>
      </w:tblGrid>
      <w:tr w:rsidR="00A4063F" w:rsidRPr="00A4063F" w14:paraId="678FCE82" w14:textId="77777777" w:rsidTr="00B46545">
        <w:trPr>
          <w:tblHeader/>
        </w:trPr>
        <w:tc>
          <w:tcPr>
            <w:tcW w:w="3544" w:type="dxa"/>
          </w:tcPr>
          <w:p w14:paraId="4932D7FB" w14:textId="77777777" w:rsidR="00A4063F" w:rsidRPr="00A4063F" w:rsidRDefault="00A4063F" w:rsidP="00A4063F">
            <w:pPr>
              <w:rPr>
                <w:b/>
                <w:sz w:val="20"/>
                <w:szCs w:val="20"/>
              </w:rPr>
            </w:pPr>
            <w:r w:rsidRPr="00A4063F">
              <w:rPr>
                <w:b/>
                <w:sz w:val="20"/>
                <w:szCs w:val="20"/>
              </w:rPr>
              <w:t>Instrument</w:t>
            </w:r>
          </w:p>
        </w:tc>
        <w:tc>
          <w:tcPr>
            <w:tcW w:w="5670" w:type="dxa"/>
          </w:tcPr>
          <w:p w14:paraId="3E94A522" w14:textId="071DE515" w:rsidR="00A4063F" w:rsidRPr="00A4063F" w:rsidRDefault="00A4063F" w:rsidP="00A4063F">
            <w:pPr>
              <w:rPr>
                <w:b/>
                <w:sz w:val="20"/>
                <w:szCs w:val="20"/>
              </w:rPr>
            </w:pPr>
            <w:r w:rsidRPr="00A4063F">
              <w:rPr>
                <w:b/>
                <w:sz w:val="20"/>
                <w:szCs w:val="20"/>
              </w:rPr>
              <w:t xml:space="preserve">Best institutional </w:t>
            </w:r>
            <w:r w:rsidR="001E774E">
              <w:rPr>
                <w:b/>
                <w:sz w:val="20"/>
                <w:szCs w:val="20"/>
              </w:rPr>
              <w:t>fit</w:t>
            </w:r>
          </w:p>
        </w:tc>
      </w:tr>
      <w:tr w:rsidR="00A4063F" w:rsidRPr="00A4063F" w14:paraId="44977B98" w14:textId="77777777" w:rsidTr="00B46545">
        <w:tc>
          <w:tcPr>
            <w:tcW w:w="3544" w:type="dxa"/>
          </w:tcPr>
          <w:p w14:paraId="12F2442B" w14:textId="43C446D1" w:rsidR="00A4063F" w:rsidRPr="00A4063F" w:rsidRDefault="00A4063F" w:rsidP="00A4063F">
            <w:pPr>
              <w:rPr>
                <w:sz w:val="20"/>
                <w:szCs w:val="20"/>
              </w:rPr>
            </w:pPr>
            <w:r w:rsidRPr="00A4063F">
              <w:rPr>
                <w:sz w:val="20"/>
                <w:szCs w:val="20"/>
              </w:rPr>
              <w:t>Loans – concessional, subordinated, commercial or in local currency – if to a government or state-</w:t>
            </w:r>
            <w:r w:rsidR="00213D42">
              <w:rPr>
                <w:sz w:val="20"/>
                <w:szCs w:val="20"/>
              </w:rPr>
              <w:t>owned entity</w:t>
            </w:r>
            <w:r w:rsidRPr="00A4063F">
              <w:rPr>
                <w:sz w:val="20"/>
                <w:szCs w:val="20"/>
              </w:rPr>
              <w:t xml:space="preserve"> </w:t>
            </w:r>
          </w:p>
        </w:tc>
        <w:tc>
          <w:tcPr>
            <w:tcW w:w="5670" w:type="dxa"/>
          </w:tcPr>
          <w:p w14:paraId="732DF185" w14:textId="5C4245D8" w:rsidR="00A4063F" w:rsidRPr="00A4063F" w:rsidRDefault="00A4063F" w:rsidP="00A4063F">
            <w:pPr>
              <w:rPr>
                <w:sz w:val="20"/>
                <w:szCs w:val="20"/>
              </w:rPr>
            </w:pPr>
            <w:r w:rsidRPr="00A4063F">
              <w:rPr>
                <w:b/>
                <w:sz w:val="20"/>
                <w:szCs w:val="20"/>
              </w:rPr>
              <w:t>DFAT</w:t>
            </w:r>
            <w:r w:rsidRPr="00A4063F">
              <w:rPr>
                <w:sz w:val="20"/>
                <w:szCs w:val="20"/>
              </w:rPr>
              <w:t xml:space="preserve"> – because it should handle the associated relationships with governments</w:t>
            </w:r>
            <w:r w:rsidR="00213D42">
              <w:rPr>
                <w:sz w:val="20"/>
                <w:szCs w:val="20"/>
              </w:rPr>
              <w:t>,</w:t>
            </w:r>
            <w:r w:rsidRPr="00A4063F">
              <w:rPr>
                <w:sz w:val="20"/>
                <w:szCs w:val="20"/>
              </w:rPr>
              <w:t xml:space="preserve"> their </w:t>
            </w:r>
            <w:r w:rsidR="00213D42">
              <w:rPr>
                <w:sz w:val="20"/>
                <w:szCs w:val="20"/>
              </w:rPr>
              <w:t xml:space="preserve">agencies, state owned enterprises (SOEs) </w:t>
            </w:r>
            <w:r w:rsidR="00213D42" w:rsidRPr="00A4063F">
              <w:rPr>
                <w:sz w:val="20"/>
                <w:szCs w:val="20"/>
              </w:rPr>
              <w:t>and</w:t>
            </w:r>
            <w:r w:rsidR="00213D42">
              <w:rPr>
                <w:sz w:val="20"/>
                <w:szCs w:val="20"/>
              </w:rPr>
              <w:t xml:space="preserve"> state-controlled joint ventures</w:t>
            </w:r>
          </w:p>
        </w:tc>
      </w:tr>
      <w:tr w:rsidR="00A4063F" w:rsidRPr="00A4063F" w14:paraId="138DDD68" w14:textId="77777777" w:rsidTr="00B46545">
        <w:tc>
          <w:tcPr>
            <w:tcW w:w="3544" w:type="dxa"/>
          </w:tcPr>
          <w:p w14:paraId="026D4EDD" w14:textId="77777777" w:rsidR="00A4063F" w:rsidRPr="00A4063F" w:rsidRDefault="00A4063F" w:rsidP="00A4063F">
            <w:pPr>
              <w:rPr>
                <w:sz w:val="20"/>
                <w:szCs w:val="20"/>
              </w:rPr>
            </w:pPr>
            <w:r w:rsidRPr="00A4063F">
              <w:rPr>
                <w:sz w:val="20"/>
                <w:szCs w:val="20"/>
              </w:rPr>
              <w:t>Loans to private entities, including JVs with minority state equity</w:t>
            </w:r>
          </w:p>
        </w:tc>
        <w:tc>
          <w:tcPr>
            <w:tcW w:w="5670" w:type="dxa"/>
          </w:tcPr>
          <w:p w14:paraId="36772331" w14:textId="77777777" w:rsidR="00A4063F" w:rsidRPr="00A4063F" w:rsidRDefault="00A4063F" w:rsidP="00A4063F">
            <w:pPr>
              <w:rPr>
                <w:sz w:val="20"/>
                <w:szCs w:val="20"/>
              </w:rPr>
            </w:pPr>
            <w:r w:rsidRPr="00A4063F">
              <w:rPr>
                <w:b/>
                <w:sz w:val="20"/>
                <w:szCs w:val="20"/>
              </w:rPr>
              <w:t xml:space="preserve">A new entity, separate from </w:t>
            </w:r>
            <w:proofErr w:type="spellStart"/>
            <w:r w:rsidRPr="00A4063F">
              <w:rPr>
                <w:b/>
                <w:sz w:val="20"/>
                <w:szCs w:val="20"/>
              </w:rPr>
              <w:t>Efic</w:t>
            </w:r>
            <w:proofErr w:type="spellEnd"/>
            <w:r w:rsidRPr="00A4063F">
              <w:rPr>
                <w:sz w:val="20"/>
                <w:szCs w:val="20"/>
              </w:rPr>
              <w:t>, and specialising in finance for private-sector investments with high development value</w:t>
            </w:r>
          </w:p>
        </w:tc>
      </w:tr>
      <w:tr w:rsidR="00A4063F" w:rsidRPr="00A4063F" w14:paraId="5498E4D2" w14:textId="77777777" w:rsidTr="00B46545">
        <w:tc>
          <w:tcPr>
            <w:tcW w:w="3544" w:type="dxa"/>
          </w:tcPr>
          <w:p w14:paraId="447397A7" w14:textId="77777777" w:rsidR="00A4063F" w:rsidRPr="00A4063F" w:rsidRDefault="00A4063F" w:rsidP="00A4063F">
            <w:pPr>
              <w:rPr>
                <w:sz w:val="20"/>
                <w:szCs w:val="20"/>
              </w:rPr>
            </w:pPr>
            <w:r w:rsidRPr="00A4063F">
              <w:rPr>
                <w:sz w:val="20"/>
                <w:szCs w:val="20"/>
              </w:rPr>
              <w:t>Equity</w:t>
            </w:r>
          </w:p>
        </w:tc>
        <w:tc>
          <w:tcPr>
            <w:tcW w:w="5670" w:type="dxa"/>
          </w:tcPr>
          <w:p w14:paraId="218DB657" w14:textId="77F2D2D8" w:rsidR="00A4063F" w:rsidRPr="00A4063F" w:rsidRDefault="00A4063F" w:rsidP="00A4063F">
            <w:pPr>
              <w:rPr>
                <w:sz w:val="20"/>
                <w:szCs w:val="20"/>
              </w:rPr>
            </w:pPr>
            <w:r w:rsidRPr="00A4063F">
              <w:rPr>
                <w:b/>
                <w:sz w:val="20"/>
                <w:szCs w:val="20"/>
              </w:rPr>
              <w:t>Mainly for the new entity -</w:t>
            </w:r>
            <w:r w:rsidRPr="00A4063F">
              <w:rPr>
                <w:sz w:val="20"/>
                <w:szCs w:val="20"/>
              </w:rPr>
              <w:t xml:space="preserve"> although DFAT should keep EMIIF and </w:t>
            </w:r>
            <w:r>
              <w:rPr>
                <w:sz w:val="20"/>
                <w:szCs w:val="20"/>
              </w:rPr>
              <w:t>other</w:t>
            </w:r>
            <w:r w:rsidRPr="00A4063F">
              <w:rPr>
                <w:sz w:val="20"/>
                <w:szCs w:val="20"/>
              </w:rPr>
              <w:t xml:space="preserve"> </w:t>
            </w:r>
            <w:r>
              <w:rPr>
                <w:sz w:val="20"/>
                <w:szCs w:val="20"/>
              </w:rPr>
              <w:t>shares</w:t>
            </w:r>
            <w:r w:rsidRPr="00A4063F">
              <w:rPr>
                <w:sz w:val="20"/>
                <w:szCs w:val="20"/>
              </w:rPr>
              <w:t xml:space="preserve"> in small, high-social-impact funds, until they mature</w:t>
            </w:r>
          </w:p>
        </w:tc>
      </w:tr>
      <w:tr w:rsidR="00A4063F" w:rsidRPr="00A4063F" w14:paraId="2361A55F" w14:textId="77777777" w:rsidTr="00B46545">
        <w:tc>
          <w:tcPr>
            <w:tcW w:w="3544" w:type="dxa"/>
          </w:tcPr>
          <w:p w14:paraId="088F357E" w14:textId="77777777" w:rsidR="00A4063F" w:rsidRPr="00A4063F" w:rsidRDefault="00A4063F" w:rsidP="00A4063F">
            <w:pPr>
              <w:rPr>
                <w:sz w:val="20"/>
                <w:szCs w:val="20"/>
              </w:rPr>
            </w:pPr>
            <w:r w:rsidRPr="00A4063F">
              <w:rPr>
                <w:sz w:val="20"/>
                <w:szCs w:val="20"/>
              </w:rPr>
              <w:t>Loss-sharing by repayable grants</w:t>
            </w:r>
          </w:p>
        </w:tc>
        <w:tc>
          <w:tcPr>
            <w:tcW w:w="5670" w:type="dxa"/>
          </w:tcPr>
          <w:p w14:paraId="7903D725" w14:textId="19C64ED1" w:rsidR="00A4063F" w:rsidRPr="00A4063F" w:rsidRDefault="00A4063F" w:rsidP="00A4063F">
            <w:pPr>
              <w:rPr>
                <w:sz w:val="20"/>
                <w:szCs w:val="20"/>
              </w:rPr>
            </w:pPr>
            <w:r w:rsidRPr="00A4063F">
              <w:rPr>
                <w:b/>
                <w:sz w:val="20"/>
                <w:szCs w:val="20"/>
              </w:rPr>
              <w:t>The new entity</w:t>
            </w:r>
            <w:r w:rsidRPr="00A4063F">
              <w:rPr>
                <w:sz w:val="20"/>
                <w:szCs w:val="20"/>
              </w:rPr>
              <w:t xml:space="preserve">, because these rely on expertise in how local FIs and investment funds </w:t>
            </w:r>
            <w:proofErr w:type="gramStart"/>
            <w:r w:rsidRPr="00A4063F">
              <w:rPr>
                <w:sz w:val="20"/>
                <w:szCs w:val="20"/>
              </w:rPr>
              <w:t>operate;</w:t>
            </w:r>
            <w:proofErr w:type="gramEnd"/>
            <w:r w:rsidRPr="00A4063F">
              <w:rPr>
                <w:sz w:val="20"/>
                <w:szCs w:val="20"/>
              </w:rPr>
              <w:t xml:space="preserve"> including arrange</w:t>
            </w:r>
            <w:r>
              <w:rPr>
                <w:sz w:val="20"/>
                <w:szCs w:val="20"/>
              </w:rPr>
              <w:t>ments</w:t>
            </w:r>
            <w:r w:rsidRPr="00A4063F">
              <w:rPr>
                <w:sz w:val="20"/>
                <w:szCs w:val="20"/>
              </w:rPr>
              <w:t xml:space="preserve"> with MDBs</w:t>
            </w:r>
          </w:p>
        </w:tc>
      </w:tr>
      <w:tr w:rsidR="00A4063F" w:rsidRPr="00A4063F" w14:paraId="0BC0E54F" w14:textId="77777777" w:rsidTr="00B46545">
        <w:tc>
          <w:tcPr>
            <w:tcW w:w="3544" w:type="dxa"/>
          </w:tcPr>
          <w:p w14:paraId="7411FBF5" w14:textId="77777777" w:rsidR="00A4063F" w:rsidRPr="00A4063F" w:rsidRDefault="00A4063F" w:rsidP="00A4063F">
            <w:pPr>
              <w:rPr>
                <w:sz w:val="20"/>
                <w:szCs w:val="20"/>
              </w:rPr>
            </w:pPr>
            <w:r w:rsidRPr="00A4063F">
              <w:rPr>
                <w:sz w:val="20"/>
                <w:szCs w:val="20"/>
              </w:rPr>
              <w:t>Insurances for foreign exchange</w:t>
            </w:r>
          </w:p>
        </w:tc>
        <w:tc>
          <w:tcPr>
            <w:tcW w:w="5670" w:type="dxa"/>
          </w:tcPr>
          <w:p w14:paraId="70FBED06" w14:textId="689864A1" w:rsidR="00A4063F" w:rsidRPr="00A4063F" w:rsidRDefault="00A4063F" w:rsidP="00A4063F">
            <w:pPr>
              <w:rPr>
                <w:sz w:val="20"/>
                <w:szCs w:val="20"/>
              </w:rPr>
            </w:pPr>
            <w:r w:rsidRPr="00A4063F">
              <w:rPr>
                <w:b/>
                <w:sz w:val="20"/>
                <w:szCs w:val="20"/>
              </w:rPr>
              <w:t>The new entity</w:t>
            </w:r>
            <w:r w:rsidRPr="00A4063F">
              <w:rPr>
                <w:sz w:val="20"/>
                <w:szCs w:val="20"/>
              </w:rPr>
              <w:t xml:space="preserve">, because these rely on relations with local FIs and their central </w:t>
            </w:r>
            <w:proofErr w:type="gramStart"/>
            <w:r w:rsidRPr="00A4063F">
              <w:rPr>
                <w:sz w:val="20"/>
                <w:szCs w:val="20"/>
              </w:rPr>
              <w:t>banks;</w:t>
            </w:r>
            <w:proofErr w:type="gramEnd"/>
            <w:r w:rsidRPr="00A4063F">
              <w:rPr>
                <w:sz w:val="20"/>
                <w:szCs w:val="20"/>
              </w:rPr>
              <w:t xml:space="preserve"> including arrange</w:t>
            </w:r>
            <w:r>
              <w:rPr>
                <w:sz w:val="20"/>
                <w:szCs w:val="20"/>
              </w:rPr>
              <w:t>ments</w:t>
            </w:r>
            <w:r w:rsidRPr="00A4063F">
              <w:rPr>
                <w:sz w:val="20"/>
                <w:szCs w:val="20"/>
              </w:rPr>
              <w:t xml:space="preserve"> with MDBs </w:t>
            </w:r>
          </w:p>
        </w:tc>
      </w:tr>
      <w:tr w:rsidR="00A4063F" w:rsidRPr="00A4063F" w14:paraId="1DB7A268" w14:textId="77777777" w:rsidTr="00B46545">
        <w:tc>
          <w:tcPr>
            <w:tcW w:w="3544" w:type="dxa"/>
          </w:tcPr>
          <w:p w14:paraId="0229D15C" w14:textId="77777777" w:rsidR="00A4063F" w:rsidRPr="00A4063F" w:rsidRDefault="00A4063F" w:rsidP="00A4063F">
            <w:pPr>
              <w:rPr>
                <w:sz w:val="20"/>
                <w:szCs w:val="20"/>
              </w:rPr>
            </w:pPr>
            <w:r w:rsidRPr="00A4063F">
              <w:rPr>
                <w:sz w:val="20"/>
                <w:szCs w:val="20"/>
              </w:rPr>
              <w:t>Guarantees</w:t>
            </w:r>
          </w:p>
        </w:tc>
        <w:tc>
          <w:tcPr>
            <w:tcW w:w="5670" w:type="dxa"/>
          </w:tcPr>
          <w:p w14:paraId="195158BE" w14:textId="77777777" w:rsidR="00A4063F" w:rsidRPr="00A4063F" w:rsidRDefault="00A4063F" w:rsidP="00A4063F">
            <w:pPr>
              <w:rPr>
                <w:b/>
                <w:sz w:val="20"/>
                <w:szCs w:val="20"/>
              </w:rPr>
            </w:pPr>
            <w:r w:rsidRPr="00A4063F">
              <w:rPr>
                <w:b/>
                <w:sz w:val="20"/>
                <w:szCs w:val="20"/>
              </w:rPr>
              <w:t xml:space="preserve">Partnership with </w:t>
            </w:r>
            <w:proofErr w:type="spellStart"/>
            <w:r w:rsidRPr="00A4063F">
              <w:rPr>
                <w:b/>
                <w:sz w:val="20"/>
                <w:szCs w:val="20"/>
              </w:rPr>
              <w:t>Efic</w:t>
            </w:r>
            <w:proofErr w:type="spellEnd"/>
            <w:r w:rsidRPr="00A4063F">
              <w:rPr>
                <w:b/>
                <w:sz w:val="20"/>
                <w:szCs w:val="20"/>
              </w:rPr>
              <w:t xml:space="preserve"> </w:t>
            </w:r>
          </w:p>
          <w:p w14:paraId="60C62BD8" w14:textId="77777777" w:rsidR="00A4063F" w:rsidRPr="00A4063F" w:rsidRDefault="00A4063F" w:rsidP="00A4063F">
            <w:pPr>
              <w:numPr>
                <w:ilvl w:val="0"/>
                <w:numId w:val="98"/>
              </w:numPr>
              <w:rPr>
                <w:sz w:val="20"/>
                <w:szCs w:val="20"/>
              </w:rPr>
            </w:pPr>
            <w:r w:rsidRPr="00A4063F">
              <w:rPr>
                <w:sz w:val="20"/>
                <w:szCs w:val="20"/>
              </w:rPr>
              <w:t xml:space="preserve">would fit with </w:t>
            </w:r>
            <w:proofErr w:type="spellStart"/>
            <w:r w:rsidRPr="00A4063F">
              <w:rPr>
                <w:sz w:val="20"/>
                <w:szCs w:val="20"/>
              </w:rPr>
              <w:t>Efic’s</w:t>
            </w:r>
            <w:proofErr w:type="spellEnd"/>
            <w:r w:rsidRPr="00A4063F">
              <w:rPr>
                <w:sz w:val="20"/>
                <w:szCs w:val="20"/>
              </w:rPr>
              <w:t xml:space="preserve"> expertise and its expanded mandate</w:t>
            </w:r>
          </w:p>
          <w:p w14:paraId="2D8CDE81" w14:textId="77777777" w:rsidR="00A4063F" w:rsidRPr="00A4063F" w:rsidRDefault="00A4063F" w:rsidP="00A4063F">
            <w:pPr>
              <w:numPr>
                <w:ilvl w:val="0"/>
                <w:numId w:val="98"/>
              </w:numPr>
              <w:rPr>
                <w:sz w:val="20"/>
                <w:szCs w:val="20"/>
              </w:rPr>
            </w:pPr>
            <w:r w:rsidRPr="00A4063F">
              <w:rPr>
                <w:sz w:val="20"/>
                <w:szCs w:val="20"/>
              </w:rPr>
              <w:t xml:space="preserve">perhaps </w:t>
            </w:r>
            <w:proofErr w:type="spellStart"/>
            <w:r w:rsidRPr="00A4063F">
              <w:rPr>
                <w:sz w:val="20"/>
                <w:szCs w:val="20"/>
              </w:rPr>
              <w:t>Efic</w:t>
            </w:r>
            <w:proofErr w:type="spellEnd"/>
            <w:r w:rsidRPr="00A4063F">
              <w:rPr>
                <w:sz w:val="20"/>
                <w:szCs w:val="20"/>
              </w:rPr>
              <w:t xml:space="preserve"> could charge normal fees, and DFAT pay them on behalf of counterparts</w:t>
            </w:r>
          </w:p>
          <w:p w14:paraId="1040B6F6" w14:textId="77777777" w:rsidR="00A4063F" w:rsidRPr="00A4063F" w:rsidRDefault="00A4063F" w:rsidP="00A4063F">
            <w:pPr>
              <w:numPr>
                <w:ilvl w:val="0"/>
                <w:numId w:val="98"/>
              </w:numPr>
              <w:rPr>
                <w:sz w:val="20"/>
                <w:szCs w:val="20"/>
              </w:rPr>
            </w:pPr>
            <w:r w:rsidRPr="00A4063F">
              <w:rPr>
                <w:sz w:val="20"/>
                <w:szCs w:val="20"/>
              </w:rPr>
              <w:t xml:space="preserve">if DFAT paid counterparts who then paid </w:t>
            </w:r>
            <w:proofErr w:type="spellStart"/>
            <w:r w:rsidRPr="00A4063F">
              <w:rPr>
                <w:sz w:val="20"/>
                <w:szCs w:val="20"/>
              </w:rPr>
              <w:t>Efic</w:t>
            </w:r>
            <w:proofErr w:type="spellEnd"/>
            <w:r w:rsidRPr="00A4063F">
              <w:rPr>
                <w:sz w:val="20"/>
                <w:szCs w:val="20"/>
              </w:rPr>
              <w:t xml:space="preserve">, this might still be ODA-eligible </w:t>
            </w:r>
          </w:p>
        </w:tc>
      </w:tr>
      <w:tr w:rsidR="00A4063F" w:rsidRPr="00A4063F" w14:paraId="03E8642A" w14:textId="77777777" w:rsidTr="00B46545">
        <w:tc>
          <w:tcPr>
            <w:tcW w:w="3544" w:type="dxa"/>
          </w:tcPr>
          <w:p w14:paraId="28DE3B9C" w14:textId="77777777" w:rsidR="00A4063F" w:rsidRPr="00A4063F" w:rsidRDefault="00A4063F" w:rsidP="00A4063F">
            <w:pPr>
              <w:rPr>
                <w:sz w:val="20"/>
                <w:szCs w:val="20"/>
              </w:rPr>
            </w:pPr>
            <w:r w:rsidRPr="00A4063F">
              <w:rPr>
                <w:sz w:val="20"/>
                <w:szCs w:val="20"/>
              </w:rPr>
              <w:t>Insurance for natural disasters</w:t>
            </w:r>
          </w:p>
        </w:tc>
        <w:tc>
          <w:tcPr>
            <w:tcW w:w="5670" w:type="dxa"/>
          </w:tcPr>
          <w:p w14:paraId="70A1A29D" w14:textId="77777777" w:rsidR="00A4063F" w:rsidRPr="00A4063F" w:rsidRDefault="00A4063F" w:rsidP="00A4063F">
            <w:pPr>
              <w:rPr>
                <w:sz w:val="20"/>
                <w:szCs w:val="20"/>
              </w:rPr>
            </w:pPr>
            <w:r w:rsidRPr="00A4063F">
              <w:rPr>
                <w:b/>
                <w:sz w:val="20"/>
                <w:szCs w:val="20"/>
              </w:rPr>
              <w:t>Split between DFAT and the new entity</w:t>
            </w:r>
            <w:r w:rsidRPr="00A4063F">
              <w:rPr>
                <w:sz w:val="20"/>
                <w:szCs w:val="20"/>
              </w:rPr>
              <w:t xml:space="preserve"> depending whether counterparts are governments and SOEs (DFAT) or private entities and MDBs (new entity)</w:t>
            </w:r>
          </w:p>
        </w:tc>
      </w:tr>
    </w:tbl>
    <w:p w14:paraId="7E0AE100" w14:textId="413529F4" w:rsidR="00AF26BF" w:rsidRDefault="00AF26BF" w:rsidP="00895A80">
      <w:pPr>
        <w:spacing w:before="120" w:after="120" w:line="240" w:lineRule="auto"/>
      </w:pPr>
      <w:r>
        <w:t xml:space="preserve">This would have the advantage of a more suitable allocation of specialised capacities, but </w:t>
      </w:r>
      <w:r w:rsidR="001E774E">
        <w:t xml:space="preserve">it would have </w:t>
      </w:r>
      <w:r>
        <w:t xml:space="preserve">the disadvantage of adding to the challenge of coordination. </w:t>
      </w:r>
    </w:p>
    <w:p w14:paraId="02332D8A" w14:textId="70F0B947" w:rsidR="00AF26BF" w:rsidRPr="0082510E" w:rsidRDefault="00AF26BF" w:rsidP="00895A80">
      <w:pPr>
        <w:spacing w:before="120" w:after="120" w:line="240" w:lineRule="auto"/>
      </w:pPr>
      <w:r>
        <w:t>If decisions are made to add NGF and innovative grants to the development assistance program, careful consideration will be needed of how best to balance the factors described in Table </w:t>
      </w:r>
      <w:proofErr w:type="gramStart"/>
      <w:r>
        <w:t>3</w:t>
      </w:r>
      <w:r w:rsidR="008C5B4F">
        <w:t>,</w:t>
      </w:r>
      <w:r>
        <w:t xml:space="preserve"> and</w:t>
      </w:r>
      <w:proofErr w:type="gramEnd"/>
      <w:r>
        <w:t xml:space="preserve"> </w:t>
      </w:r>
      <w:r w:rsidR="008C5B4F">
        <w:t>involved also</w:t>
      </w:r>
      <w:r>
        <w:t xml:space="preserve"> in </w:t>
      </w:r>
      <w:r w:rsidR="008C5B4F">
        <w:t>the</w:t>
      </w:r>
      <w:r>
        <w:t xml:space="preserve"> multi-institution</w:t>
      </w:r>
      <w:r w:rsidR="008265C4">
        <w:t>al</w:t>
      </w:r>
      <w:r>
        <w:t xml:space="preserve"> </w:t>
      </w:r>
      <w:r w:rsidR="008C5B4F">
        <w:t>O</w:t>
      </w:r>
      <w:r>
        <w:t xml:space="preserve">ption 4. </w:t>
      </w:r>
      <w:r w:rsidRPr="00E6754C">
        <w:t>For this purpose, the study</w:t>
      </w:r>
      <w:r w:rsidRPr="00E6754C">
        <w:noBreakHyphen/>
        <w:t>team members from Dalberg Advisors have prepared a table of DFI benchmarks in the region</w:t>
      </w:r>
      <w:r w:rsidR="00C3750D" w:rsidRPr="00E6754C">
        <w:t>, which is in Annex </w:t>
      </w:r>
      <w:r w:rsidR="000F3CC5">
        <w:t>10</w:t>
      </w:r>
      <w:r w:rsidR="00C3750D" w:rsidRPr="00E6754C">
        <w:t>.</w:t>
      </w:r>
    </w:p>
    <w:p w14:paraId="00756488" w14:textId="77777777" w:rsidR="0082510E" w:rsidRPr="00E84878" w:rsidRDefault="0082510E" w:rsidP="00E84878">
      <w:pPr>
        <w:pStyle w:val="Heading3"/>
        <w:rPr>
          <w:color w:val="2F5496"/>
          <w:sz w:val="26"/>
          <w:szCs w:val="26"/>
        </w:rPr>
      </w:pPr>
      <w:r w:rsidRPr="00E84878">
        <w:rPr>
          <w:color w:val="2F5496"/>
          <w:sz w:val="26"/>
          <w:szCs w:val="26"/>
        </w:rPr>
        <w:t>Capacity requirements</w:t>
      </w:r>
    </w:p>
    <w:p w14:paraId="6602A949" w14:textId="1200BBC5" w:rsidR="0082510E" w:rsidRPr="0082510E" w:rsidRDefault="0082510E" w:rsidP="00594341">
      <w:pPr>
        <w:spacing w:before="120" w:after="120" w:line="240" w:lineRule="auto"/>
      </w:pPr>
      <w:bookmarkStart w:id="36" w:name="_Hlk531435372"/>
      <w:r w:rsidRPr="0082510E">
        <w:t xml:space="preserve">All </w:t>
      </w:r>
      <w:r w:rsidR="00DC4462">
        <w:t>the</w:t>
      </w:r>
      <w:r w:rsidR="00DC4462" w:rsidRPr="0082510E">
        <w:t xml:space="preserve"> </w:t>
      </w:r>
      <w:r w:rsidRPr="0082510E">
        <w:t xml:space="preserve">institutional options </w:t>
      </w:r>
      <w:r w:rsidR="00DC4462">
        <w:t xml:space="preserve">above </w:t>
      </w:r>
      <w:r w:rsidR="00C74194">
        <w:t>would require</w:t>
      </w:r>
      <w:r w:rsidR="00C74194" w:rsidRPr="0082510E">
        <w:t xml:space="preserve"> </w:t>
      </w:r>
      <w:r w:rsidRPr="0082510E">
        <w:t xml:space="preserve">a specialist support unit </w:t>
      </w:r>
      <w:r w:rsidR="00C74194">
        <w:t xml:space="preserve">to </w:t>
      </w:r>
      <w:r w:rsidRPr="0082510E">
        <w:t>be created</w:t>
      </w:r>
      <w:r w:rsidR="004B0F13">
        <w:t xml:space="preserve">, either wholly in DFAT or as a collaboration between DFAT and a new </w:t>
      </w:r>
      <w:r w:rsidR="00EB2691">
        <w:t xml:space="preserve">financing </w:t>
      </w:r>
      <w:r w:rsidR="004B0F13">
        <w:t>entity</w:t>
      </w:r>
      <w:r w:rsidR="00F375E2">
        <w:t xml:space="preserve">. </w:t>
      </w:r>
      <w:r w:rsidR="00EB2691">
        <w:t>This unit</w:t>
      </w:r>
      <w:r w:rsidR="00F375E2">
        <w:t xml:space="preserve"> would have</w:t>
      </w:r>
      <w:r w:rsidR="00DC4462">
        <w:t xml:space="preserve"> th</w:t>
      </w:r>
      <w:r w:rsidR="00C74194">
        <w:t>e</w:t>
      </w:r>
      <w:r w:rsidRPr="0082510E">
        <w:t xml:space="preserve"> core function</w:t>
      </w:r>
      <w:r w:rsidR="00F375E2">
        <w:t>, in respect of investments</w:t>
      </w:r>
      <w:r w:rsidR="00F375E2" w:rsidRPr="0082510E">
        <w:t xml:space="preserve"> proposed for </w:t>
      </w:r>
      <w:r w:rsidR="00F375E2">
        <w:t>inclusion in</w:t>
      </w:r>
      <w:r w:rsidR="00F375E2" w:rsidRPr="0082510E">
        <w:t xml:space="preserve"> the development</w:t>
      </w:r>
      <w:r w:rsidR="003B0139">
        <w:t xml:space="preserve"> </w:t>
      </w:r>
      <w:r w:rsidR="00F375E2" w:rsidRPr="0082510E">
        <w:t xml:space="preserve">assistance program, </w:t>
      </w:r>
      <w:r w:rsidR="00F375E2">
        <w:t xml:space="preserve">of </w:t>
      </w:r>
      <w:r w:rsidR="00212A56">
        <w:t>assessing</w:t>
      </w:r>
      <w:r w:rsidRPr="0082510E">
        <w:t xml:space="preserve"> how they could be financed with the most effective and economical use, actual or contingent, of Australian funds. </w:t>
      </w:r>
      <w:bookmarkStart w:id="37" w:name="_Hlk531435438"/>
      <w:bookmarkEnd w:id="36"/>
      <w:r w:rsidRPr="0082510E">
        <w:t xml:space="preserve">The unit’s assessments should be made using specified methods, to ensure that they have enough scope, enough transparency, and enough attention to risks. </w:t>
      </w:r>
      <w:bookmarkEnd w:id="37"/>
      <w:r w:rsidRPr="0082510E">
        <w:t>This assessment method for any proposal would need to include –</w:t>
      </w:r>
    </w:p>
    <w:p w14:paraId="0F255101" w14:textId="77777777" w:rsidR="0082510E" w:rsidRPr="0082510E" w:rsidRDefault="0082510E" w:rsidP="000F209C">
      <w:pPr>
        <w:numPr>
          <w:ilvl w:val="0"/>
          <w:numId w:val="20"/>
        </w:numPr>
        <w:spacing w:before="120" w:after="120" w:line="240" w:lineRule="auto"/>
      </w:pPr>
      <w:bookmarkStart w:id="38" w:name="_Hlk530228537"/>
      <w:r w:rsidRPr="0082510E">
        <w:t>cost-benefit analysis, relating the proposal to the host country’s public investment program</w:t>
      </w:r>
    </w:p>
    <w:p w14:paraId="25A15407" w14:textId="6F257642" w:rsidR="0082510E" w:rsidRPr="0082510E" w:rsidRDefault="00EE5E7E" w:rsidP="000F209C">
      <w:pPr>
        <w:numPr>
          <w:ilvl w:val="0"/>
          <w:numId w:val="20"/>
        </w:numPr>
        <w:spacing w:before="120" w:after="120" w:line="240" w:lineRule="auto"/>
      </w:pPr>
      <w:r w:rsidRPr="00DA0E37">
        <w:t>(</w:t>
      </w:r>
      <w:r w:rsidR="00985AAF" w:rsidRPr="00DA0E37">
        <w:t>i</w:t>
      </w:r>
      <w:r w:rsidRPr="00DA0E37">
        <w:t>f</w:t>
      </w:r>
      <w:r w:rsidR="00985AAF" w:rsidRPr="00DA0E37">
        <w:t xml:space="preserve"> </w:t>
      </w:r>
      <w:r w:rsidRPr="00DA0E37">
        <w:t>considering</w:t>
      </w:r>
      <w:r w:rsidR="00985AAF" w:rsidRPr="00DA0E37">
        <w:t xml:space="preserve"> loans</w:t>
      </w:r>
      <w:r w:rsidRPr="00DA0E37">
        <w:t>)</w:t>
      </w:r>
      <w:r w:rsidR="00985AAF">
        <w:t xml:space="preserve"> </w:t>
      </w:r>
      <w:r w:rsidR="0082510E" w:rsidRPr="0082510E">
        <w:t xml:space="preserve">forecasting debt sustainability in the host country’s public sector </w:t>
      </w:r>
    </w:p>
    <w:p w14:paraId="39216104" w14:textId="77777777" w:rsidR="0082510E" w:rsidRPr="0082510E" w:rsidRDefault="0082510E" w:rsidP="000F209C">
      <w:pPr>
        <w:numPr>
          <w:ilvl w:val="0"/>
          <w:numId w:val="20"/>
        </w:numPr>
        <w:spacing w:before="120" w:after="120" w:line="240" w:lineRule="auto"/>
      </w:pPr>
      <w:r w:rsidRPr="0082510E">
        <w:t xml:space="preserve">assessing any business case or pre-feasibility study </w:t>
      </w:r>
    </w:p>
    <w:p w14:paraId="5093B370" w14:textId="34F64DC7" w:rsidR="0082510E" w:rsidRPr="0082510E" w:rsidRDefault="0082510E" w:rsidP="000F209C">
      <w:pPr>
        <w:numPr>
          <w:ilvl w:val="0"/>
          <w:numId w:val="20"/>
        </w:numPr>
        <w:spacing w:before="120" w:after="120" w:line="240" w:lineRule="auto"/>
      </w:pPr>
      <w:bookmarkStart w:id="39" w:name="_Hlk529448767"/>
      <w:bookmarkEnd w:id="38"/>
      <w:r w:rsidRPr="0082510E">
        <w:t xml:space="preserve">identifying </w:t>
      </w:r>
      <w:r w:rsidR="00BF7AE0">
        <w:t xml:space="preserve">how </w:t>
      </w:r>
      <w:r w:rsidRPr="0082510E">
        <w:t xml:space="preserve">the proposal relates to Australian trade and investment interests </w:t>
      </w:r>
    </w:p>
    <w:bookmarkEnd w:id="39"/>
    <w:p w14:paraId="4D57B97C" w14:textId="77777777" w:rsidR="0082510E" w:rsidRPr="0082510E" w:rsidRDefault="0082510E" w:rsidP="000F209C">
      <w:pPr>
        <w:numPr>
          <w:ilvl w:val="0"/>
          <w:numId w:val="20"/>
        </w:numPr>
        <w:spacing w:before="120" w:after="120" w:line="240" w:lineRule="auto"/>
      </w:pPr>
      <w:r w:rsidRPr="0082510E">
        <w:t>identifying how the proposal relates to Australian foreign-policy and strategic interests</w:t>
      </w:r>
    </w:p>
    <w:p w14:paraId="3973B62B" w14:textId="77777777" w:rsidR="0082510E" w:rsidRPr="0082510E" w:rsidRDefault="0082510E" w:rsidP="000F209C">
      <w:pPr>
        <w:numPr>
          <w:ilvl w:val="0"/>
          <w:numId w:val="20"/>
        </w:numPr>
        <w:spacing w:before="120" w:after="120" w:line="240" w:lineRule="auto"/>
      </w:pPr>
      <w:r w:rsidRPr="0082510E">
        <w:lastRenderedPageBreak/>
        <w:t>examining the proposal’s design quality, in terms of prospective development benefits, social inclusion, gender aspects and environmental protection</w:t>
      </w:r>
    </w:p>
    <w:p w14:paraId="27206D95" w14:textId="77777777" w:rsidR="0082510E" w:rsidRPr="0082510E" w:rsidRDefault="0082510E" w:rsidP="000F209C">
      <w:pPr>
        <w:numPr>
          <w:ilvl w:val="0"/>
          <w:numId w:val="20"/>
        </w:numPr>
        <w:spacing w:before="120" w:after="120" w:line="240" w:lineRule="auto"/>
      </w:pPr>
      <w:r w:rsidRPr="0082510E">
        <w:t xml:space="preserve">examining the proposal’s management, in terms of procurement, supervision, prevention of corruption or fraud, other legal compliance and monitoring of outcomes </w:t>
      </w:r>
    </w:p>
    <w:p w14:paraId="2218BE6E" w14:textId="1405DA5C" w:rsidR="0082510E" w:rsidRPr="0082510E" w:rsidRDefault="0082510E" w:rsidP="000F209C">
      <w:pPr>
        <w:numPr>
          <w:ilvl w:val="0"/>
          <w:numId w:val="20"/>
        </w:numPr>
        <w:spacing w:before="120" w:after="120" w:line="240" w:lineRule="auto"/>
      </w:pPr>
      <w:r w:rsidRPr="0082510E">
        <w:t>identification of risks</w:t>
      </w:r>
      <w:r w:rsidR="0071103E">
        <w:t>—</w:t>
      </w:r>
      <w:r w:rsidRPr="0082510E">
        <w:t>operational, financial, reputational and political</w:t>
      </w:r>
      <w:r w:rsidR="0071103E">
        <w:t>—</w:t>
      </w:r>
      <w:r w:rsidRPr="0082510E">
        <w:t>and planning methods for managing them.</w:t>
      </w:r>
    </w:p>
    <w:p w14:paraId="2A4E3883" w14:textId="2BCB015F" w:rsidR="0082510E" w:rsidRPr="0082510E" w:rsidRDefault="0082510E" w:rsidP="00594341">
      <w:pPr>
        <w:spacing w:before="120" w:after="120" w:line="240" w:lineRule="auto"/>
      </w:pPr>
      <w:r w:rsidRPr="0082510E">
        <w:t xml:space="preserve">It follows from this that certain types of capability would </w:t>
      </w:r>
      <w:r w:rsidR="00605114">
        <w:t xml:space="preserve">have to </w:t>
      </w:r>
      <w:r w:rsidRPr="0082510E">
        <w:t xml:space="preserve">be </w:t>
      </w:r>
      <w:r w:rsidR="00605114">
        <w:t xml:space="preserve">added to what DFAT has already among its staff. </w:t>
      </w:r>
      <w:bookmarkStart w:id="40" w:name="_Hlk531435484"/>
      <w:r w:rsidRPr="0082510E">
        <w:t>The types of experts in the specialist support unit, either as core staff or available to be contracted quickly to add to them</w:t>
      </w:r>
      <w:bookmarkEnd w:id="40"/>
      <w:r w:rsidRPr="0082510E">
        <w:t>, should include –</w:t>
      </w:r>
    </w:p>
    <w:p w14:paraId="15DAB60F" w14:textId="5E00C463" w:rsidR="0082510E" w:rsidRPr="0082510E" w:rsidRDefault="0082510E" w:rsidP="000F209C">
      <w:pPr>
        <w:numPr>
          <w:ilvl w:val="0"/>
          <w:numId w:val="21"/>
        </w:numPr>
        <w:spacing w:before="120" w:after="120" w:line="240" w:lineRule="auto"/>
      </w:pPr>
      <w:r w:rsidRPr="0082510E">
        <w:t xml:space="preserve">economists with knowledge of cost-benefit analysis, public investment </w:t>
      </w:r>
      <w:r w:rsidR="009779AD">
        <w:t>programs,</w:t>
      </w:r>
      <w:r w:rsidRPr="0082510E">
        <w:t xml:space="preserve"> debt sustainability forecasts and pre-feasibility studies</w:t>
      </w:r>
    </w:p>
    <w:p w14:paraId="02872755" w14:textId="77777777" w:rsidR="0082510E" w:rsidRPr="0082510E" w:rsidRDefault="0082510E" w:rsidP="000F209C">
      <w:pPr>
        <w:numPr>
          <w:ilvl w:val="0"/>
          <w:numId w:val="21"/>
        </w:numPr>
        <w:spacing w:before="120" w:after="120" w:line="240" w:lineRule="auto"/>
      </w:pPr>
      <w:r w:rsidRPr="0082510E">
        <w:t>specialists in infrastructure of each type being proposed for finance</w:t>
      </w:r>
    </w:p>
    <w:p w14:paraId="15FC9F1B" w14:textId="77777777" w:rsidR="0082510E" w:rsidRPr="0082510E" w:rsidRDefault="0082510E" w:rsidP="000F209C">
      <w:pPr>
        <w:numPr>
          <w:ilvl w:val="0"/>
          <w:numId w:val="21"/>
        </w:numPr>
        <w:spacing w:before="120" w:after="120" w:line="240" w:lineRule="auto"/>
      </w:pPr>
      <w:r w:rsidRPr="0082510E">
        <w:t>specialists in types of investments other than infrastructure, such as agribusiness, natural resources, microcredit, support for SMEs and women-led businesses, renewable energy, energy efficiency, financial sector, logistics and tourism</w:t>
      </w:r>
    </w:p>
    <w:p w14:paraId="17707D45" w14:textId="77777777" w:rsidR="0082510E" w:rsidRPr="0082510E" w:rsidRDefault="0082510E" w:rsidP="000F209C">
      <w:pPr>
        <w:numPr>
          <w:ilvl w:val="0"/>
          <w:numId w:val="21"/>
        </w:numPr>
        <w:spacing w:before="120" w:after="120" w:line="240" w:lineRule="auto"/>
      </w:pPr>
      <w:r w:rsidRPr="0082510E">
        <w:t>advisers on structuring and finance</w:t>
      </w:r>
    </w:p>
    <w:p w14:paraId="51827BDC" w14:textId="77777777" w:rsidR="0082510E" w:rsidRPr="0082510E" w:rsidRDefault="0082510E" w:rsidP="000F209C">
      <w:pPr>
        <w:numPr>
          <w:ilvl w:val="0"/>
          <w:numId w:val="21"/>
        </w:numPr>
        <w:spacing w:before="120" w:after="120" w:line="240" w:lineRule="auto"/>
      </w:pPr>
      <w:r w:rsidRPr="0082510E">
        <w:t>financial lawyers</w:t>
      </w:r>
    </w:p>
    <w:p w14:paraId="15D67ED1" w14:textId="21D7EA57" w:rsidR="0082510E" w:rsidRPr="0082510E" w:rsidRDefault="0082510E" w:rsidP="000F209C">
      <w:pPr>
        <w:numPr>
          <w:ilvl w:val="0"/>
          <w:numId w:val="21"/>
        </w:numPr>
        <w:spacing w:before="120" w:after="120" w:line="240" w:lineRule="auto"/>
      </w:pPr>
      <w:r w:rsidRPr="0082510E">
        <w:t xml:space="preserve">specialists in after-care, such as managing hands-on investments (equities, accompanying </w:t>
      </w:r>
      <w:r w:rsidR="00280E0D">
        <w:rPr>
          <w:rFonts w:ascii="Calibri" w:eastAsia="Arial" w:hAnsi="Calibri" w:cs="Calibri"/>
          <w:lang w:eastAsia="zh-CN"/>
        </w:rPr>
        <w:t>TA</w:t>
      </w:r>
      <w:r w:rsidRPr="0082510E">
        <w:t>, equity exits), asset management including maintenance, and sovereign debt management, including rescheduling as and when necessary.</w:t>
      </w:r>
    </w:p>
    <w:p w14:paraId="106208B0" w14:textId="77777777" w:rsidR="00554C0B" w:rsidRDefault="00554C0B" w:rsidP="00594341">
      <w:pPr>
        <w:spacing w:before="120" w:after="120" w:line="240" w:lineRule="auto"/>
      </w:pPr>
      <w:r>
        <w:t xml:space="preserve">It would be necessary also to equip with additional capacity the posts which would share responsibility for the financial aspects of projects or programs with NGF. </w:t>
      </w:r>
    </w:p>
    <w:p w14:paraId="60CBCDDF" w14:textId="5E7B03DF" w:rsidR="0082510E" w:rsidRPr="0082510E" w:rsidRDefault="0082510E" w:rsidP="00594341">
      <w:pPr>
        <w:spacing w:before="120" w:after="120" w:line="240" w:lineRule="auto"/>
      </w:pPr>
      <w:r w:rsidRPr="0082510E">
        <w:t xml:space="preserve">A full matrix of the specialties likely to be needed for </w:t>
      </w:r>
      <w:r w:rsidR="00186117">
        <w:t>NGF</w:t>
      </w:r>
      <w:r w:rsidRPr="0082510E">
        <w:t xml:space="preserve"> is in </w:t>
      </w:r>
      <w:r w:rsidRPr="00DA0E37">
        <w:t>Annex </w:t>
      </w:r>
      <w:r w:rsidR="00BF7AE0" w:rsidRPr="00DA0E37">
        <w:t>1</w:t>
      </w:r>
      <w:r w:rsidR="000F3CC5">
        <w:t>1</w:t>
      </w:r>
      <w:r w:rsidRPr="00BF7AE0">
        <w:t>.</w:t>
      </w:r>
      <w:r w:rsidRPr="0082510E">
        <w:rPr>
          <w:highlight w:val="lightGray"/>
        </w:rPr>
        <w:t xml:space="preserve">  </w:t>
      </w:r>
    </w:p>
    <w:p w14:paraId="05A5DBD3" w14:textId="07FB1070" w:rsidR="0082510E" w:rsidRPr="00E84878" w:rsidRDefault="0082510E" w:rsidP="00E84878">
      <w:pPr>
        <w:pStyle w:val="Heading3"/>
        <w:rPr>
          <w:color w:val="2F5496"/>
          <w:sz w:val="26"/>
          <w:szCs w:val="26"/>
        </w:rPr>
      </w:pPr>
      <w:r w:rsidRPr="00E84878">
        <w:rPr>
          <w:color w:val="2F5496"/>
          <w:sz w:val="26"/>
          <w:szCs w:val="26"/>
        </w:rPr>
        <w:t>Timelines for developing capa</w:t>
      </w:r>
      <w:r w:rsidR="00285926" w:rsidRPr="00E84878">
        <w:rPr>
          <w:color w:val="2F5496"/>
          <w:sz w:val="26"/>
          <w:szCs w:val="26"/>
        </w:rPr>
        <w:t>c</w:t>
      </w:r>
      <w:r w:rsidRPr="00E84878">
        <w:rPr>
          <w:color w:val="2F5496"/>
          <w:sz w:val="26"/>
          <w:szCs w:val="26"/>
        </w:rPr>
        <w:t>ity</w:t>
      </w:r>
    </w:p>
    <w:p w14:paraId="46EEF223" w14:textId="2F670163" w:rsidR="0082510E" w:rsidRPr="0082510E" w:rsidRDefault="0082510E" w:rsidP="00594341">
      <w:pPr>
        <w:spacing w:before="120" w:after="120" w:line="240" w:lineRule="auto"/>
      </w:pPr>
      <w:r w:rsidRPr="0082510E">
        <w:rPr>
          <w:i/>
        </w:rPr>
        <w:t>Option 1</w:t>
      </w:r>
      <w:r w:rsidR="0071103E">
        <w:rPr>
          <w:i/>
        </w:rPr>
        <w:t>—</w:t>
      </w:r>
      <w:r w:rsidRPr="0082510E">
        <w:rPr>
          <w:i/>
        </w:rPr>
        <w:t>DFAT with authorisation and capacity to manage a development finance fund</w:t>
      </w:r>
      <w:r w:rsidR="0071103E">
        <w:t>—</w:t>
      </w:r>
      <w:r w:rsidRPr="0082510E">
        <w:t xml:space="preserve">essential arrangements to begin offering new forms of financing could be made within much the same period as would be required </w:t>
      </w:r>
      <w:bookmarkStart w:id="41" w:name="_Hlk531435754"/>
      <w:r w:rsidRPr="0082510E">
        <w:t>for drafting, consultation and consideration by Parliament of amending legislation</w:t>
      </w:r>
      <w:bookmarkEnd w:id="41"/>
      <w:r w:rsidR="0071103E">
        <w:t>—</w:t>
      </w:r>
      <w:r w:rsidRPr="0082510E">
        <w:t xml:space="preserve">that is, </w:t>
      </w:r>
      <w:bookmarkStart w:id="42" w:name="_Hlk528743667"/>
      <w:r w:rsidRPr="0082510E">
        <w:rPr>
          <w:i/>
        </w:rPr>
        <w:t>at best six months</w:t>
      </w:r>
      <w:bookmarkEnd w:id="42"/>
      <w:r w:rsidRPr="0082510E">
        <w:t>.</w:t>
      </w:r>
    </w:p>
    <w:p w14:paraId="57CC034D" w14:textId="652B2E73" w:rsidR="0082510E" w:rsidRPr="0082510E" w:rsidRDefault="0082510E" w:rsidP="00594341">
      <w:pPr>
        <w:spacing w:before="120" w:after="120" w:line="240" w:lineRule="auto"/>
        <w:rPr>
          <w:i/>
        </w:rPr>
      </w:pPr>
      <w:r w:rsidRPr="0082510E">
        <w:rPr>
          <w:i/>
        </w:rPr>
        <w:t>Option 2</w:t>
      </w:r>
      <w:r w:rsidR="0071103E">
        <w:rPr>
          <w:i/>
        </w:rPr>
        <w:t>—</w:t>
      </w:r>
      <w:r w:rsidR="00BD16D3">
        <w:rPr>
          <w:i/>
        </w:rPr>
        <w:t>partnership with</w:t>
      </w:r>
      <w:r w:rsidRPr="0082510E">
        <w:rPr>
          <w:i/>
        </w:rPr>
        <w:t xml:space="preserve"> </w:t>
      </w:r>
      <w:proofErr w:type="spellStart"/>
      <w:r w:rsidRPr="0082510E">
        <w:rPr>
          <w:i/>
        </w:rPr>
        <w:t>Efic</w:t>
      </w:r>
      <w:proofErr w:type="spellEnd"/>
      <w:r w:rsidRPr="0082510E">
        <w:rPr>
          <w:i/>
        </w:rPr>
        <w:t xml:space="preserve"> authorised to operate, when directed by its Minister, to provide foreign development finance of benefit to Australia</w:t>
      </w:r>
      <w:r w:rsidR="0071103E">
        <w:t>—</w:t>
      </w:r>
      <w:r w:rsidRPr="0082510E">
        <w:t xml:space="preserve">the </w:t>
      </w:r>
      <w:bookmarkStart w:id="43" w:name="_Hlk531435883"/>
      <w:r w:rsidRPr="0082510E">
        <w:t xml:space="preserve">policy and operational frameworks, including risk management processes, to be developed and implemented under this option would be more complex </w:t>
      </w:r>
      <w:bookmarkEnd w:id="43"/>
      <w:r w:rsidRPr="0082510E">
        <w:t>than for Option 1</w:t>
      </w:r>
      <w:r w:rsidR="0071103E">
        <w:t>—</w:t>
      </w:r>
      <w:r w:rsidRPr="0082510E">
        <w:rPr>
          <w:i/>
        </w:rPr>
        <w:t>at best twelve months.</w:t>
      </w:r>
    </w:p>
    <w:p w14:paraId="48A791F7" w14:textId="47E1B52D" w:rsidR="0082510E" w:rsidRDefault="0082510E" w:rsidP="00594341">
      <w:pPr>
        <w:spacing w:before="120" w:after="120" w:line="240" w:lineRule="auto"/>
      </w:pPr>
      <w:r w:rsidRPr="0082510E">
        <w:rPr>
          <w:i/>
        </w:rPr>
        <w:t>Option 3</w:t>
      </w:r>
      <w:bookmarkStart w:id="44" w:name="_Hlk534829145"/>
      <w:r w:rsidR="0071103E">
        <w:rPr>
          <w:i/>
        </w:rPr>
        <w:t>—</w:t>
      </w:r>
      <w:bookmarkEnd w:id="44"/>
      <w:r w:rsidRPr="0082510E">
        <w:rPr>
          <w:i/>
        </w:rPr>
        <w:t xml:space="preserve">a new development finance </w:t>
      </w:r>
      <w:r w:rsidR="00365350">
        <w:rPr>
          <w:i/>
        </w:rPr>
        <w:t>entity</w:t>
      </w:r>
      <w:r w:rsidR="0071103E">
        <w:t>—</w:t>
      </w:r>
      <w:r w:rsidRPr="0082510E">
        <w:t>establishing the new entity’s governance, staff and systems, and building enough in-house technical capacity, would require considerably more time than preparation and passage of amending legislation</w:t>
      </w:r>
      <w:bookmarkStart w:id="45" w:name="_Hlk534829129"/>
      <w:r w:rsidR="0071103E">
        <w:t>—</w:t>
      </w:r>
      <w:r w:rsidRPr="0082510E">
        <w:rPr>
          <w:i/>
        </w:rPr>
        <w:t>at least eighteen months</w:t>
      </w:r>
      <w:r w:rsidRPr="0082510E">
        <w:t>.</w:t>
      </w:r>
      <w:bookmarkEnd w:id="45"/>
    </w:p>
    <w:p w14:paraId="38F06CAC" w14:textId="361ABE9C" w:rsidR="008C5B4F" w:rsidRPr="0082510E" w:rsidRDefault="008C5B4F" w:rsidP="00594341">
      <w:pPr>
        <w:spacing w:before="120" w:after="120" w:line="240" w:lineRule="auto"/>
      </w:pPr>
      <w:r>
        <w:t>Option 4</w:t>
      </w:r>
      <w:r>
        <w:rPr>
          <w:i/>
        </w:rPr>
        <w:t>—</w:t>
      </w:r>
      <w:r w:rsidRPr="00CA4549">
        <w:rPr>
          <w:i/>
        </w:rPr>
        <w:t>a multi-institution arrangement</w:t>
      </w:r>
      <w:r w:rsidR="003C2701">
        <w:t>—parts</w:t>
      </w:r>
      <w:r w:rsidR="003C2701" w:rsidRPr="003C2701">
        <w:t xml:space="preserve"> of </w:t>
      </w:r>
      <w:r w:rsidR="003C2701">
        <w:t>this</w:t>
      </w:r>
      <w:r w:rsidR="003C2701" w:rsidRPr="003C2701">
        <w:t xml:space="preserve"> </w:t>
      </w:r>
      <w:r w:rsidR="003C2701">
        <w:t xml:space="preserve">involving DFAT’s provision of loans and </w:t>
      </w:r>
      <w:proofErr w:type="spellStart"/>
      <w:r w:rsidR="003C2701" w:rsidRPr="003C2701">
        <w:t>Efic</w:t>
      </w:r>
      <w:r w:rsidR="003C2701">
        <w:t>’s</w:t>
      </w:r>
      <w:proofErr w:type="spellEnd"/>
      <w:r w:rsidR="003C2701">
        <w:t xml:space="preserve"> provision of additional guarantees</w:t>
      </w:r>
      <w:r w:rsidR="003C2701" w:rsidRPr="003C2701">
        <w:t xml:space="preserve"> could be </w:t>
      </w:r>
      <w:r w:rsidR="003C2701">
        <w:t xml:space="preserve">authorised and established in a similar period as Option 1, </w:t>
      </w:r>
      <w:r w:rsidR="003C2701" w:rsidRPr="0082510E">
        <w:rPr>
          <w:i/>
        </w:rPr>
        <w:t>at best six months</w:t>
      </w:r>
      <w:r w:rsidR="003C2701" w:rsidRPr="003C2701">
        <w:t>, while th</w:t>
      </w:r>
      <w:r w:rsidR="003C2701">
        <w:t>os</w:t>
      </w:r>
      <w:r w:rsidR="003C2701" w:rsidRPr="003C2701">
        <w:t xml:space="preserve">e </w:t>
      </w:r>
      <w:r w:rsidR="003C2701">
        <w:t>involving a new</w:t>
      </w:r>
      <w:r w:rsidR="003C2701" w:rsidRPr="003C2701">
        <w:t xml:space="preserve"> entity would </w:t>
      </w:r>
      <w:proofErr w:type="gramStart"/>
      <w:r w:rsidR="003C2701">
        <w:t xml:space="preserve">as long </w:t>
      </w:r>
      <w:r>
        <w:t>as</w:t>
      </w:r>
      <w:proofErr w:type="gramEnd"/>
      <w:r>
        <w:t xml:space="preserve"> Option 3—</w:t>
      </w:r>
      <w:r w:rsidRPr="0082510E">
        <w:rPr>
          <w:i/>
        </w:rPr>
        <w:t>at least eighteen months</w:t>
      </w:r>
      <w:r w:rsidRPr="0082510E">
        <w:t>.</w:t>
      </w:r>
      <w:r>
        <w:t xml:space="preserve"> </w:t>
      </w:r>
    </w:p>
    <w:p w14:paraId="5F978745" w14:textId="679222B1" w:rsidR="0082510E" w:rsidRPr="00E84878" w:rsidRDefault="0082510E" w:rsidP="00E84878">
      <w:pPr>
        <w:pStyle w:val="Heading3"/>
        <w:rPr>
          <w:color w:val="2F5496"/>
          <w:sz w:val="26"/>
          <w:szCs w:val="26"/>
        </w:rPr>
      </w:pPr>
      <w:r w:rsidRPr="00E84878">
        <w:rPr>
          <w:color w:val="2F5496"/>
          <w:sz w:val="26"/>
          <w:szCs w:val="26"/>
        </w:rPr>
        <w:lastRenderedPageBreak/>
        <w:t>Financing requirements</w:t>
      </w:r>
      <w:r w:rsidR="00786D81" w:rsidRPr="00E84878">
        <w:rPr>
          <w:rStyle w:val="FootnoteReference"/>
          <w:color w:val="2F5496"/>
          <w:sz w:val="26"/>
          <w:szCs w:val="26"/>
        </w:rPr>
        <w:footnoteReference w:id="54"/>
      </w:r>
    </w:p>
    <w:p w14:paraId="532D5A67" w14:textId="5F2E9996" w:rsidR="0082510E" w:rsidRPr="0082510E" w:rsidRDefault="00841E01" w:rsidP="00594341">
      <w:pPr>
        <w:spacing w:before="120" w:after="120" w:line="240" w:lineRule="auto"/>
      </w:pPr>
      <w:r>
        <w:t>T</w:t>
      </w:r>
      <w:r w:rsidR="0082510E" w:rsidRPr="0082510E">
        <w:t xml:space="preserve">he establishment costs of pursuing any of the institutional options above would </w:t>
      </w:r>
      <w:r>
        <w:t>be mainly in</w:t>
      </w:r>
      <w:r w:rsidR="0082510E" w:rsidRPr="0082510E">
        <w:t xml:space="preserve"> DFAT staff time</w:t>
      </w:r>
      <w:r w:rsidR="00BF2B8E">
        <w:t xml:space="preserve">: </w:t>
      </w:r>
      <w:r>
        <w:t xml:space="preserve">perhaps </w:t>
      </w:r>
      <w:r w:rsidR="0082510E" w:rsidRPr="0082510E">
        <w:t xml:space="preserve">the equivalent of </w:t>
      </w:r>
      <w:r w:rsidR="00BF2B8E" w:rsidRPr="00E6754C">
        <w:t xml:space="preserve">20 </w:t>
      </w:r>
      <w:r w:rsidR="0082510E" w:rsidRPr="00E6754C">
        <w:t>full</w:t>
      </w:r>
      <w:r w:rsidR="00605114" w:rsidRPr="00E6754C">
        <w:noBreakHyphen/>
      </w:r>
      <w:r w:rsidR="0082510E" w:rsidRPr="00E6754C">
        <w:t>time staff</w:t>
      </w:r>
      <w:r w:rsidR="00BF2B8E" w:rsidRPr="00E6754C">
        <w:t xml:space="preserve"> </w:t>
      </w:r>
      <w:r w:rsidR="0082510E" w:rsidRPr="00E6754C">
        <w:t>for a year (</w:t>
      </w:r>
      <w:r w:rsidR="00BF2B8E" w:rsidRPr="00E6754C">
        <w:t>20 </w:t>
      </w:r>
      <w:r w:rsidR="0082510E" w:rsidRPr="00E6754C">
        <w:t xml:space="preserve">FTE) </w:t>
      </w:r>
      <w:r w:rsidR="00BF2B8E" w:rsidRPr="00E6754C">
        <w:t xml:space="preserve">at a range of levels </w:t>
      </w:r>
      <w:r w:rsidR="0082510E" w:rsidRPr="00E6754C">
        <w:t xml:space="preserve">for Option 1, </w:t>
      </w:r>
      <w:r w:rsidR="00BF2B8E" w:rsidRPr="00E6754C">
        <w:t xml:space="preserve">10-15 </w:t>
      </w:r>
      <w:r w:rsidR="0082510E" w:rsidRPr="00E6754C">
        <w:t xml:space="preserve">FTE for Option 2, and </w:t>
      </w:r>
      <w:r w:rsidR="00BF2B8E" w:rsidRPr="00E6754C">
        <w:t xml:space="preserve">20-30 </w:t>
      </w:r>
      <w:r w:rsidR="0082510E" w:rsidRPr="00E6754C">
        <w:t>FTE for Option</w:t>
      </w:r>
      <w:r w:rsidR="009C6E41" w:rsidRPr="00E6754C">
        <w:t>s</w:t>
      </w:r>
      <w:r w:rsidR="0082510E" w:rsidRPr="00E6754C">
        <w:t> 3</w:t>
      </w:r>
      <w:r w:rsidR="009C6E41" w:rsidRPr="00E6754C">
        <w:t xml:space="preserve"> </w:t>
      </w:r>
      <w:r w:rsidR="00BF2B8E">
        <w:t>or</w:t>
      </w:r>
      <w:r w:rsidR="00BF2B8E" w:rsidRPr="00E6754C">
        <w:t xml:space="preserve"> </w:t>
      </w:r>
      <w:r w:rsidR="009C6E41" w:rsidRPr="00E6754C">
        <w:t>4</w:t>
      </w:r>
      <w:r w:rsidR="0082510E" w:rsidRPr="0082510E">
        <w:t xml:space="preserve">. There would </w:t>
      </w:r>
      <w:r>
        <w:t xml:space="preserve">also </w:t>
      </w:r>
      <w:r w:rsidR="0082510E" w:rsidRPr="0082510E">
        <w:t>be a cost in fees for AGS to prepare drafting instructions and related advice</w:t>
      </w:r>
      <w:r>
        <w:t>,</w:t>
      </w:r>
      <w:r w:rsidR="00BF2B8E">
        <w:t xml:space="preserve"> of </w:t>
      </w:r>
      <w:r w:rsidR="0071103E">
        <w:t>around</w:t>
      </w:r>
      <w:r w:rsidR="0071103E" w:rsidRPr="0082510E">
        <w:t xml:space="preserve"> </w:t>
      </w:r>
      <w:r w:rsidR="00BF2B8E">
        <w:t>$1 </w:t>
      </w:r>
      <w:r w:rsidR="0082510E" w:rsidRPr="0082510E">
        <w:t>million</w:t>
      </w:r>
      <w:r w:rsidR="00BF2B8E">
        <w:t>, and costs</w:t>
      </w:r>
      <w:r w:rsidR="0082510E" w:rsidRPr="0082510E">
        <w:t xml:space="preserve"> </w:t>
      </w:r>
      <w:r w:rsidR="00BF2B8E" w:rsidRPr="0082510E">
        <w:t>which we have not estimated</w:t>
      </w:r>
      <w:r w:rsidR="00BF2B8E">
        <w:t xml:space="preserve"> – in fees for </w:t>
      </w:r>
      <w:r w:rsidR="0082510E" w:rsidRPr="0082510E">
        <w:t>IPFA if it provided advice on the operating framework</w:t>
      </w:r>
      <w:r w:rsidR="00BF2B8E">
        <w:t xml:space="preserve">, and </w:t>
      </w:r>
      <w:r w:rsidR="0082510E" w:rsidRPr="0082510E">
        <w:t>in other departments.</w:t>
      </w:r>
    </w:p>
    <w:p w14:paraId="159D3788" w14:textId="25839121" w:rsidR="0082510E" w:rsidRPr="0082510E" w:rsidRDefault="0082510E" w:rsidP="00594341">
      <w:pPr>
        <w:spacing w:before="120" w:after="120" w:line="240" w:lineRule="auto"/>
      </w:pPr>
      <w:r w:rsidRPr="0082510E">
        <w:t xml:space="preserve">As for operational costs, offering new forms of financing </w:t>
      </w:r>
      <w:r w:rsidR="00935262">
        <w:t>at a</w:t>
      </w:r>
      <w:r w:rsidR="0045778C">
        <w:t>n</w:t>
      </w:r>
      <w:r w:rsidR="00935262">
        <w:t xml:space="preserve"> </w:t>
      </w:r>
      <w:r w:rsidR="0045778C" w:rsidRPr="0082510E">
        <w:t xml:space="preserve">initial </w:t>
      </w:r>
      <w:r w:rsidR="00935262">
        <w:t>level</w:t>
      </w:r>
      <w:r w:rsidR="0045778C">
        <w:t xml:space="preserve"> of</w:t>
      </w:r>
      <w:bookmarkStart w:id="46" w:name="_Hlk528744551"/>
      <w:r w:rsidR="00F577DB" w:rsidRPr="0082510E">
        <w:t xml:space="preserve"> several new loans each year </w:t>
      </w:r>
      <w:r w:rsidR="00935262">
        <w:t>with</w:t>
      </w:r>
      <w:r w:rsidR="00935262" w:rsidRPr="0082510E">
        <w:t xml:space="preserve"> </w:t>
      </w:r>
      <w:r w:rsidR="00F577DB" w:rsidRPr="0082510E">
        <w:t>asset</w:t>
      </w:r>
      <w:r w:rsidR="00F577DB">
        <w:noBreakHyphen/>
      </w:r>
      <w:r w:rsidR="00F577DB" w:rsidRPr="0082510E">
        <w:t>creating flows of</w:t>
      </w:r>
      <w:r w:rsidR="0045778C">
        <w:t>, say,</w:t>
      </w:r>
      <w:r w:rsidR="00F577DB" w:rsidRPr="0082510E">
        <w:t xml:space="preserve"> </w:t>
      </w:r>
      <w:r w:rsidR="00ED0F45">
        <w:t>$4</w:t>
      </w:r>
      <w:r w:rsidR="00ED0F45" w:rsidRPr="0082510E">
        <w:t>00 </w:t>
      </w:r>
      <w:r w:rsidR="00F577DB" w:rsidRPr="0082510E">
        <w:t>million each year</w:t>
      </w:r>
      <w:bookmarkEnd w:id="46"/>
      <w:r w:rsidR="0045778C">
        <w:t xml:space="preserve"> </w:t>
      </w:r>
      <w:r w:rsidR="0045778C" w:rsidRPr="0082510E">
        <w:t>would</w:t>
      </w:r>
      <w:r w:rsidR="0045778C">
        <w:t>, we estimate,</w:t>
      </w:r>
      <w:r w:rsidR="0045778C" w:rsidRPr="0082510E">
        <w:t xml:space="preserve"> probably </w:t>
      </w:r>
      <w:r w:rsidRPr="0082510E">
        <w:t xml:space="preserve">involve additional internal costs of around </w:t>
      </w:r>
      <w:r w:rsidR="00ED0F45">
        <w:t>$2.5 m</w:t>
      </w:r>
      <w:r w:rsidRPr="0082510E">
        <w:t xml:space="preserve">illion in a full financial year. Offering new forms of financing on a more substantial scale </w:t>
      </w:r>
      <w:r w:rsidR="00ED0F45">
        <w:t xml:space="preserve">– </w:t>
      </w:r>
      <w:r w:rsidRPr="0082510E">
        <w:t xml:space="preserve">say, ten new financing transactions each year, creating </w:t>
      </w:r>
      <w:r w:rsidR="00ED0F45" w:rsidRPr="0082510E">
        <w:t xml:space="preserve">each year </w:t>
      </w:r>
      <w:r w:rsidRPr="0082510E">
        <w:t xml:space="preserve">up to </w:t>
      </w:r>
      <w:r w:rsidR="00ED0F45">
        <w:t>$</w:t>
      </w:r>
      <w:r w:rsidRPr="0082510E">
        <w:t xml:space="preserve">1 billion of new assets and up to </w:t>
      </w:r>
      <w:r w:rsidR="00ED0F45">
        <w:t>$</w:t>
      </w:r>
      <w:r w:rsidRPr="0082510E">
        <w:t xml:space="preserve">500 million of contingent liabilities, would probably involve additional internal costs of around </w:t>
      </w:r>
      <w:r w:rsidR="00ED0F45">
        <w:t>$10 </w:t>
      </w:r>
      <w:r w:rsidRPr="0082510E">
        <w:t>million a year.</w:t>
      </w:r>
    </w:p>
    <w:p w14:paraId="611794FF" w14:textId="0CA0F076" w:rsidR="00EE12C3" w:rsidRDefault="00EE12C3" w:rsidP="002E6822">
      <w:pPr>
        <w:rPr>
          <w:rFonts w:asciiTheme="majorHAnsi" w:eastAsiaTheme="majorEastAsia" w:hAnsiTheme="majorHAnsi" w:cstheme="majorBidi"/>
          <w:color w:val="2F5496" w:themeColor="accent1" w:themeShade="BF"/>
          <w:sz w:val="32"/>
          <w:szCs w:val="32"/>
        </w:rPr>
      </w:pPr>
      <w:r>
        <w:br w:type="page"/>
      </w:r>
    </w:p>
    <w:p w14:paraId="4B6829A8" w14:textId="6D4A93DE" w:rsidR="0082510E" w:rsidRPr="0082510E" w:rsidRDefault="0082510E" w:rsidP="00E84878">
      <w:pPr>
        <w:pStyle w:val="Heading2"/>
      </w:pPr>
      <w:bookmarkStart w:id="47" w:name="_Toc531965949"/>
      <w:r w:rsidRPr="0082510E">
        <w:lastRenderedPageBreak/>
        <w:t>Regulatory and legislative arrangements</w:t>
      </w:r>
      <w:bookmarkEnd w:id="47"/>
      <w:r w:rsidRPr="0082510E">
        <w:t xml:space="preserve"> </w:t>
      </w:r>
    </w:p>
    <w:p w14:paraId="7612F648" w14:textId="283C0517" w:rsidR="0082510E" w:rsidRPr="00E84878" w:rsidRDefault="0082510E" w:rsidP="00E84878">
      <w:pPr>
        <w:pStyle w:val="Heading3"/>
        <w:rPr>
          <w:color w:val="2F5496"/>
          <w:sz w:val="26"/>
          <w:szCs w:val="26"/>
        </w:rPr>
      </w:pPr>
      <w:bookmarkStart w:id="48" w:name="_Hlk531249960"/>
      <w:r w:rsidRPr="00E84878">
        <w:rPr>
          <w:color w:val="2F5496"/>
          <w:sz w:val="26"/>
          <w:szCs w:val="26"/>
        </w:rPr>
        <w:t>Regulatory</w:t>
      </w:r>
    </w:p>
    <w:p w14:paraId="507F29B5" w14:textId="2498B885" w:rsidR="0082510E" w:rsidRPr="0082510E" w:rsidRDefault="0082510E" w:rsidP="00594341">
      <w:pPr>
        <w:spacing w:before="120" w:after="120" w:line="240" w:lineRule="auto"/>
      </w:pPr>
      <w:bookmarkStart w:id="49" w:name="_Hlk531436111"/>
      <w:bookmarkEnd w:id="48"/>
      <w:r w:rsidRPr="0082510E">
        <w:t xml:space="preserve">Because of the novelty of </w:t>
      </w:r>
      <w:r w:rsidR="00186117">
        <w:t>NGF</w:t>
      </w:r>
      <w:r w:rsidRPr="0082510E">
        <w:t xml:space="preserve"> and its additional financial aspects and risks, it seems necessary for an IDC representing the coordinating departments and DFAT to have the initial task of formulating a framework in which proposals for </w:t>
      </w:r>
      <w:r w:rsidR="00186117">
        <w:t>NGF</w:t>
      </w:r>
      <w:r w:rsidRPr="0082510E">
        <w:t xml:space="preserve"> would be assesse</w:t>
      </w:r>
      <w:bookmarkEnd w:id="49"/>
      <w:r w:rsidRPr="0082510E">
        <w:t>d, including:</w:t>
      </w:r>
    </w:p>
    <w:p w14:paraId="396FE0D7" w14:textId="3A6ED5A4" w:rsidR="0082510E" w:rsidRPr="0082510E" w:rsidRDefault="0082510E" w:rsidP="000F209C">
      <w:pPr>
        <w:numPr>
          <w:ilvl w:val="0"/>
          <w:numId w:val="26"/>
        </w:numPr>
        <w:spacing w:before="120" w:after="120" w:line="240" w:lineRule="auto"/>
      </w:pPr>
      <w:r w:rsidRPr="0082510E">
        <w:t>a method for choosing the best type of financing</w:t>
      </w:r>
      <w:r w:rsidR="00041458">
        <w:t xml:space="preserve"> </w:t>
      </w:r>
      <w:r w:rsidR="00041458" w:rsidRPr="00742C2F">
        <w:t xml:space="preserve">for each project or </w:t>
      </w:r>
      <w:proofErr w:type="gramStart"/>
      <w:r w:rsidR="00041458" w:rsidRPr="00742C2F">
        <w:t>program</w:t>
      </w:r>
      <w:r w:rsidRPr="0082510E">
        <w:t>;</w:t>
      </w:r>
      <w:proofErr w:type="gramEnd"/>
    </w:p>
    <w:p w14:paraId="14117B04" w14:textId="0DC4FA1F" w:rsidR="0082510E" w:rsidRPr="0082510E" w:rsidRDefault="0082510E" w:rsidP="000F209C">
      <w:pPr>
        <w:numPr>
          <w:ilvl w:val="0"/>
          <w:numId w:val="26"/>
        </w:numPr>
        <w:spacing w:before="120" w:after="120" w:line="240" w:lineRule="auto"/>
      </w:pPr>
      <w:r w:rsidRPr="0082510E">
        <w:t xml:space="preserve">a method for determining </w:t>
      </w:r>
      <w:r w:rsidR="00FE7DB5">
        <w:t>Public Debt Interest</w:t>
      </w:r>
      <w:r w:rsidRPr="0082510E">
        <w:t xml:space="preserve"> and </w:t>
      </w:r>
      <w:r w:rsidR="00FE7DB5">
        <w:t>Financial Risk</w:t>
      </w:r>
      <w:r w:rsidRPr="0082510E">
        <w:t xml:space="preserve"> </w:t>
      </w:r>
      <w:proofErr w:type="gramStart"/>
      <w:r w:rsidRPr="0082510E">
        <w:t>offsets;</w:t>
      </w:r>
      <w:proofErr w:type="gramEnd"/>
    </w:p>
    <w:p w14:paraId="7DA8F2EF" w14:textId="77777777" w:rsidR="0082510E" w:rsidRPr="0082510E" w:rsidRDefault="0082510E" w:rsidP="000F209C">
      <w:pPr>
        <w:numPr>
          <w:ilvl w:val="0"/>
          <w:numId w:val="26"/>
        </w:numPr>
        <w:spacing w:before="120" w:after="120" w:line="240" w:lineRule="auto"/>
      </w:pPr>
      <w:r w:rsidRPr="0082510E">
        <w:t xml:space="preserve">recommendations of separate ceilings to apply to </w:t>
      </w:r>
      <w:bookmarkStart w:id="50" w:name="_Hlk530851559"/>
      <w:r w:rsidRPr="0082510E">
        <w:t>financial assets and contingent liabilities</w:t>
      </w:r>
      <w:bookmarkEnd w:id="50"/>
      <w:r w:rsidRPr="0082510E">
        <w:t xml:space="preserve">, and a single-exposure limit to apply to financial assets and contingent liabilities </w:t>
      </w:r>
      <w:proofErr w:type="gramStart"/>
      <w:r w:rsidRPr="0082510E">
        <w:t>combined;</w:t>
      </w:r>
      <w:proofErr w:type="gramEnd"/>
    </w:p>
    <w:p w14:paraId="557CBAA7" w14:textId="77777777" w:rsidR="0082510E" w:rsidRPr="0082510E" w:rsidRDefault="0082510E" w:rsidP="000F209C">
      <w:pPr>
        <w:numPr>
          <w:ilvl w:val="0"/>
          <w:numId w:val="26"/>
        </w:numPr>
        <w:spacing w:before="120" w:after="120" w:line="240" w:lineRule="auto"/>
      </w:pPr>
      <w:r w:rsidRPr="0082510E">
        <w:t>standard forms of documentation for proposals being adopted, including identification of risks and plans for managing them; and</w:t>
      </w:r>
    </w:p>
    <w:p w14:paraId="2D116E03" w14:textId="61C841CD" w:rsidR="0082510E" w:rsidRPr="0082510E" w:rsidRDefault="0082510E" w:rsidP="000F209C">
      <w:pPr>
        <w:numPr>
          <w:ilvl w:val="0"/>
          <w:numId w:val="26"/>
        </w:numPr>
        <w:spacing w:before="120" w:after="120" w:line="240" w:lineRule="auto"/>
      </w:pPr>
      <w:r w:rsidRPr="0082510E">
        <w:t xml:space="preserve">accounting treatments for individual </w:t>
      </w:r>
      <w:r w:rsidR="00552F2C">
        <w:rPr>
          <w:rFonts w:ascii="Calibri" w:eastAsia="Arial" w:hAnsi="Calibri" w:cs="Calibri"/>
          <w:lang w:eastAsia="zh-CN"/>
        </w:rPr>
        <w:t>NGF</w:t>
      </w:r>
      <w:r w:rsidR="00552F2C" w:rsidRPr="0082510E">
        <w:t xml:space="preserve"> </w:t>
      </w:r>
      <w:r w:rsidRPr="0082510E">
        <w:t xml:space="preserve">transactions, as well as the resulting portfolio of assets, </w:t>
      </w:r>
      <w:proofErr w:type="gramStart"/>
      <w:r w:rsidRPr="0082510E">
        <w:t>in order to</w:t>
      </w:r>
      <w:proofErr w:type="gramEnd"/>
      <w:r w:rsidRPr="0082510E">
        <w:t xml:space="preserve"> provide a basis for later determination of net gains or losses.</w:t>
      </w:r>
    </w:p>
    <w:p w14:paraId="10B63EA9" w14:textId="1ED31F6F" w:rsidR="0082510E" w:rsidRPr="0082510E" w:rsidRDefault="0082510E" w:rsidP="00594341">
      <w:pPr>
        <w:spacing w:before="120" w:after="120" w:line="240" w:lineRule="auto"/>
      </w:pPr>
      <w:r w:rsidRPr="0082510E">
        <w:t xml:space="preserve">It would be helpful if IPFA could also participate in formulating this framework. </w:t>
      </w:r>
      <w:r w:rsidR="0018460E">
        <w:t>B</w:t>
      </w:r>
      <w:r w:rsidR="0018460E" w:rsidRPr="0082510E">
        <w:t xml:space="preserve">efore the framework is put into use </w:t>
      </w:r>
      <w:r w:rsidR="0018460E">
        <w:t>it</w:t>
      </w:r>
      <w:r w:rsidRPr="0082510E">
        <w:t xml:space="preserve"> </w:t>
      </w:r>
      <w:bookmarkStart w:id="51" w:name="_Hlk531436163"/>
      <w:r w:rsidRPr="0082510E">
        <w:t xml:space="preserve">should be submitted for approval by the Treasurer and Minister for Finance, as well as the Minister for Foreign Affairs. </w:t>
      </w:r>
      <w:bookmarkEnd w:id="51"/>
      <w:r w:rsidRPr="0082510E">
        <w:t>Ministers’ decision should include setting separate ceilings for financial assets and contingent liabilities, and single-exposure limits.</w:t>
      </w:r>
    </w:p>
    <w:p w14:paraId="3A8E9D81" w14:textId="77777777" w:rsidR="0082510E" w:rsidRPr="0082510E" w:rsidRDefault="0082510E" w:rsidP="00594341">
      <w:pPr>
        <w:spacing w:before="120" w:after="120" w:line="240" w:lineRule="auto"/>
        <w:rPr>
          <w:highlight w:val="lightGray"/>
        </w:rPr>
      </w:pPr>
      <w:r w:rsidRPr="0082510E">
        <w:t xml:space="preserve">This IDC should remain in being for a “running in” period of at least a year. During that period, documentation of proposals being adopted should be sent by DFAT, </w:t>
      </w:r>
      <w:proofErr w:type="spellStart"/>
      <w:r w:rsidRPr="0082510E">
        <w:t>Efic</w:t>
      </w:r>
      <w:proofErr w:type="spellEnd"/>
      <w:r w:rsidRPr="0082510E">
        <w:t xml:space="preserve"> or the new entity to IDC members, to give them an opportunity to convene and to refer issues to Ministers if any of them </w:t>
      </w:r>
      <w:proofErr w:type="gramStart"/>
      <w:r w:rsidRPr="0082510E">
        <w:t>wish, before</w:t>
      </w:r>
      <w:proofErr w:type="gramEnd"/>
      <w:r w:rsidRPr="0082510E">
        <w:t xml:space="preserve"> the proposals are implemented. </w:t>
      </w:r>
    </w:p>
    <w:p w14:paraId="0C3D3BFA" w14:textId="7FD43F62" w:rsidR="0082510E" w:rsidRPr="0082510E" w:rsidRDefault="0082510E" w:rsidP="00594341">
      <w:pPr>
        <w:spacing w:before="120" w:after="120" w:line="240" w:lineRule="auto"/>
      </w:pPr>
      <w:r w:rsidRPr="0082510E">
        <w:t xml:space="preserve">At intervals of six months during the “running in” period, and thereafter annually, there should be reports to the IDC on the overall progress of </w:t>
      </w:r>
      <w:r w:rsidR="00186117">
        <w:t>NGF</w:t>
      </w:r>
      <w:r w:rsidRPr="0082510E">
        <w:t xml:space="preserve"> and the state of the asset portfolio. These would be the basis for reviews of the financial risk offsets which had been made in respect of portfolio assets. When members consider the IDC is no longer needed, these reviews should continue through bilateral arrangements with the Department of Finance. </w:t>
      </w:r>
    </w:p>
    <w:p w14:paraId="24329EB1" w14:textId="77E314D7" w:rsidR="0082510E" w:rsidRPr="00E84878" w:rsidRDefault="0082510E" w:rsidP="00E84878">
      <w:pPr>
        <w:pStyle w:val="Heading3"/>
        <w:rPr>
          <w:color w:val="2F5496"/>
          <w:sz w:val="26"/>
          <w:szCs w:val="26"/>
        </w:rPr>
      </w:pPr>
      <w:r w:rsidRPr="00E84878">
        <w:rPr>
          <w:color w:val="2F5496"/>
          <w:sz w:val="26"/>
          <w:szCs w:val="26"/>
        </w:rPr>
        <w:t>Legislative</w:t>
      </w:r>
    </w:p>
    <w:p w14:paraId="44FEC0F8" w14:textId="15359472" w:rsidR="0082510E" w:rsidRPr="0082510E" w:rsidRDefault="0082510E" w:rsidP="00594341">
      <w:pPr>
        <w:spacing w:before="120" w:after="120" w:line="240" w:lineRule="auto"/>
      </w:pPr>
      <w:r w:rsidRPr="0082510E">
        <w:t xml:space="preserve">The study team has had the benefit of advice provided by AGS in draft form early in our work, and subsequently finalised, about questions of constitutional power and legislative authority for use by DFAT of </w:t>
      </w:r>
      <w:r w:rsidR="00552F2C">
        <w:rPr>
          <w:rFonts w:ascii="Calibri" w:eastAsia="Arial" w:hAnsi="Calibri" w:cs="Calibri"/>
          <w:lang w:eastAsia="zh-CN"/>
        </w:rPr>
        <w:t>NGF</w:t>
      </w:r>
      <w:r w:rsidR="00552F2C" w:rsidRPr="0082510E">
        <w:t xml:space="preserve"> </w:t>
      </w:r>
      <w:r w:rsidRPr="0082510E">
        <w:t>in the development assistance program. Here the advice received from AGS is summarised in concise terms</w:t>
      </w:r>
      <w:r w:rsidR="00F12DBA">
        <w:t>.</w:t>
      </w:r>
      <w:r w:rsidR="00F12DBA">
        <w:rPr>
          <w:rStyle w:val="FootnoteReference"/>
        </w:rPr>
        <w:footnoteReference w:id="55"/>
      </w:r>
      <w:r w:rsidR="00F12DBA">
        <w:t xml:space="preserve"> </w:t>
      </w:r>
      <w:r w:rsidRPr="0082510E">
        <w:t xml:space="preserve"> </w:t>
      </w:r>
      <w:r w:rsidR="00CA2164">
        <w:t>I</w:t>
      </w:r>
      <w:r w:rsidRPr="0082510E">
        <w:t xml:space="preserve">n </w:t>
      </w:r>
      <w:r w:rsidRPr="00742C2F">
        <w:t xml:space="preserve">Annex </w:t>
      </w:r>
      <w:r w:rsidR="008C42F0" w:rsidRPr="00742C2F">
        <w:t>1</w:t>
      </w:r>
      <w:r w:rsidR="00105CF3">
        <w:t>2</w:t>
      </w:r>
      <w:r w:rsidRPr="0082510E">
        <w:t xml:space="preserve"> there is a more detailed summary. The full AGS advice </w:t>
      </w:r>
      <w:r w:rsidR="00CA2164">
        <w:t>has been</w:t>
      </w:r>
      <w:r w:rsidRPr="0082510E">
        <w:t xml:space="preserve"> circulated separately and should be read in conjunction with this report. </w:t>
      </w:r>
    </w:p>
    <w:p w14:paraId="7C3DCDAC" w14:textId="6AC263AB" w:rsidR="0082510E" w:rsidRPr="0082510E" w:rsidRDefault="0082510E" w:rsidP="00594341">
      <w:pPr>
        <w:spacing w:before="120" w:after="120" w:line="240" w:lineRule="auto"/>
      </w:pPr>
      <w:r w:rsidRPr="0082510E">
        <w:rPr>
          <w:i/>
        </w:rPr>
        <w:t>For equity or quasi-equity</w:t>
      </w:r>
      <w:r w:rsidR="0071103E">
        <w:t>—</w:t>
      </w:r>
      <w:r w:rsidRPr="0082510E">
        <w:t xml:space="preserve">there is authority in s 58 of the </w:t>
      </w:r>
      <w:r w:rsidRPr="0082510E">
        <w:rPr>
          <w:i/>
        </w:rPr>
        <w:t>Public Governance, Performance and Accountability Act 2013</w:t>
      </w:r>
      <w:r w:rsidRPr="0082510E">
        <w:t xml:space="preserve"> (PGPA Act</w:t>
      </w:r>
      <w:r w:rsidR="00315595">
        <w:t>)</w:t>
      </w:r>
      <w:r w:rsidRPr="0082510E">
        <w:t xml:space="preserve"> for making equity investments with the main purpose of obtaining a profitable return; but since this would not be the case in aid contexts, authority could be established with low risk </w:t>
      </w:r>
      <w:r w:rsidR="00315595">
        <w:t>of</w:t>
      </w:r>
      <w:r w:rsidRPr="0082510E">
        <w:t xml:space="preserve"> a legal challenge be</w:t>
      </w:r>
      <w:r w:rsidR="00315595">
        <w:t>ing</w:t>
      </w:r>
      <w:r w:rsidRPr="0082510E">
        <w:t xml:space="preserve"> upheld only by enacting new primary legislation.</w:t>
      </w:r>
    </w:p>
    <w:p w14:paraId="6A0828AE" w14:textId="4D04DE8E" w:rsidR="0082510E" w:rsidRPr="0082510E" w:rsidRDefault="0082510E" w:rsidP="00594341">
      <w:pPr>
        <w:spacing w:before="120" w:after="120" w:line="240" w:lineRule="auto"/>
      </w:pPr>
      <w:r w:rsidRPr="0082510E">
        <w:rPr>
          <w:i/>
        </w:rPr>
        <w:t>For loans</w:t>
      </w:r>
      <w:r w:rsidR="00A3640D">
        <w:rPr>
          <w:i/>
        </w:rPr>
        <w:t xml:space="preserve"> </w:t>
      </w:r>
      <w:r w:rsidR="00DB673F">
        <w:rPr>
          <w:i/>
        </w:rPr>
        <w:t xml:space="preserve">that </w:t>
      </w:r>
      <w:r w:rsidR="00A3640D">
        <w:rPr>
          <w:i/>
        </w:rPr>
        <w:t>includ</w:t>
      </w:r>
      <w:r w:rsidR="00DB673F">
        <w:rPr>
          <w:i/>
        </w:rPr>
        <w:t>e</w:t>
      </w:r>
      <w:r w:rsidRPr="0082510E">
        <w:rPr>
          <w:i/>
        </w:rPr>
        <w:t xml:space="preserve"> concessional </w:t>
      </w:r>
      <w:r w:rsidR="00CF3CDC">
        <w:rPr>
          <w:i/>
        </w:rPr>
        <w:t>ones</w:t>
      </w:r>
      <w:r w:rsidR="0071103E">
        <w:rPr>
          <w:i/>
        </w:rPr>
        <w:t>—</w:t>
      </w:r>
      <w:r w:rsidRPr="0082510E">
        <w:t xml:space="preserve">authority could be established with low risk of a legal challenge being upheld either by inserting a new item in Schedule 1AB to the </w:t>
      </w:r>
      <w:r w:rsidRPr="0082510E">
        <w:rPr>
          <w:i/>
        </w:rPr>
        <w:t xml:space="preserve">Financial Framework </w:t>
      </w:r>
      <w:r w:rsidRPr="0082510E">
        <w:rPr>
          <w:i/>
        </w:rPr>
        <w:lastRenderedPageBreak/>
        <w:t xml:space="preserve">(Supplementary Powers) Regulations 1997 </w:t>
      </w:r>
      <w:bookmarkStart w:id="52" w:name="_Hlk528743339"/>
      <w:r w:rsidRPr="0082510E">
        <w:t>(FFSP Regulations</w:t>
      </w:r>
      <w:bookmarkEnd w:id="52"/>
      <w:r w:rsidRPr="0082510E">
        <w:rPr>
          <w:i/>
        </w:rPr>
        <w:t>)</w:t>
      </w:r>
      <w:r w:rsidRPr="0082510E">
        <w:t>, or by enacting new primary legislation.</w:t>
      </w:r>
    </w:p>
    <w:p w14:paraId="560D9C50" w14:textId="2DC18C0E" w:rsidR="0082510E" w:rsidRPr="0082510E" w:rsidRDefault="0082510E" w:rsidP="00594341">
      <w:pPr>
        <w:spacing w:before="120" w:after="120" w:line="240" w:lineRule="auto"/>
      </w:pPr>
      <w:r w:rsidRPr="00742C2F">
        <w:rPr>
          <w:i/>
        </w:rPr>
        <w:t>For guarantees</w:t>
      </w:r>
      <w:r w:rsidR="0071103E" w:rsidRPr="00742C2F">
        <w:t>—</w:t>
      </w:r>
      <w:r w:rsidR="00315595" w:rsidRPr="00742C2F">
        <w:t xml:space="preserve"> legislative authority could be established with low risk of a legal challenge being upheld only by enacting new primary legislation. At present the PGPA Act confers only on the Minister for Finance the power to grant guarantees of the kind likely to be useful for development assistance. </w:t>
      </w:r>
      <w:r w:rsidR="002F1F38" w:rsidRPr="00742C2F">
        <w:t>I</w:t>
      </w:r>
      <w:r w:rsidR="00315595" w:rsidRPr="00742C2F">
        <w:t xml:space="preserve">t would be </w:t>
      </w:r>
      <w:r w:rsidR="002F1F38" w:rsidRPr="00742C2F">
        <w:t>a substantial policy issue whether,</w:t>
      </w:r>
      <w:r w:rsidR="00315595" w:rsidRPr="00742C2F">
        <w:t xml:space="preserve"> </w:t>
      </w:r>
      <w:r w:rsidR="002F1F38" w:rsidRPr="00742C2F">
        <w:t xml:space="preserve">and with what conditions, </w:t>
      </w:r>
      <w:r w:rsidR="00315595" w:rsidRPr="00742C2F">
        <w:t xml:space="preserve">to </w:t>
      </w:r>
      <w:r w:rsidR="002F1F38" w:rsidRPr="00742C2F">
        <w:t>enable</w:t>
      </w:r>
      <w:r w:rsidR="00315595" w:rsidRPr="00742C2F">
        <w:t xml:space="preserve"> the </w:t>
      </w:r>
      <w:r w:rsidR="002F1F38" w:rsidRPr="00742C2F">
        <w:t xml:space="preserve">Minister for </w:t>
      </w:r>
      <w:r w:rsidR="00315595" w:rsidRPr="00742C2F">
        <w:t xml:space="preserve">Foreign </w:t>
      </w:r>
      <w:r w:rsidR="002F1F38" w:rsidRPr="00742C2F">
        <w:t xml:space="preserve">Affairs or DFAT </w:t>
      </w:r>
      <w:r w:rsidR="00315595" w:rsidRPr="00742C2F">
        <w:t xml:space="preserve">to grant </w:t>
      </w:r>
      <w:r w:rsidR="002F1F38" w:rsidRPr="00742C2F">
        <w:t>guarantees for purposes of development assistance</w:t>
      </w:r>
      <w:r w:rsidR="00315595" w:rsidRPr="00742C2F">
        <w:t>.</w:t>
      </w:r>
      <w:r w:rsidR="00315595" w:rsidRPr="00315595">
        <w:t xml:space="preserve"> </w:t>
      </w:r>
    </w:p>
    <w:p w14:paraId="633281A0" w14:textId="2A8B6F2A" w:rsidR="0082510E" w:rsidRPr="0082510E" w:rsidRDefault="0082510E" w:rsidP="00594341">
      <w:pPr>
        <w:spacing w:before="120" w:after="120" w:line="240" w:lineRule="auto"/>
      </w:pPr>
      <w:r w:rsidRPr="0082510E">
        <w:rPr>
          <w:i/>
        </w:rPr>
        <w:t>For insurance</w:t>
      </w:r>
      <w:r w:rsidR="0071103E">
        <w:t>—</w:t>
      </w:r>
      <w:r w:rsidR="008422D5" w:rsidRPr="008422D5">
        <w:t xml:space="preserve"> </w:t>
      </w:r>
      <w:r w:rsidR="008422D5" w:rsidRPr="00742C2F">
        <w:t>Legislative authority could be established with low risk of a legal challenge being upheld by amending Schedule 1AB of the FFSP Regulations or by enacting new primary legislation.</w:t>
      </w:r>
      <w:r w:rsidR="008422D5" w:rsidRPr="008422D5">
        <w:t xml:space="preserve"> </w:t>
      </w:r>
      <w:r w:rsidRPr="0082510E">
        <w:t xml:space="preserve">This legislation could </w:t>
      </w:r>
      <w:r w:rsidR="00365802">
        <w:t xml:space="preserve">also </w:t>
      </w:r>
      <w:r w:rsidRPr="0082510E">
        <w:t xml:space="preserve">put beyond doubt non-application of the </w:t>
      </w:r>
      <w:r w:rsidRPr="0082510E">
        <w:rPr>
          <w:i/>
        </w:rPr>
        <w:t>Insurance Contracts Act 1984</w:t>
      </w:r>
      <w:r w:rsidRPr="0082510E">
        <w:t>.</w:t>
      </w:r>
      <w:r w:rsidR="00C10238">
        <w:rPr>
          <w:rStyle w:val="FootnoteReference"/>
        </w:rPr>
        <w:footnoteReference w:id="56"/>
      </w:r>
    </w:p>
    <w:p w14:paraId="23A3CBCA" w14:textId="21CFBAA4" w:rsidR="0082510E" w:rsidRPr="00E84878" w:rsidRDefault="00431C3B" w:rsidP="00E84878">
      <w:pPr>
        <w:pStyle w:val="Heading3"/>
        <w:rPr>
          <w:color w:val="2F5496"/>
          <w:sz w:val="26"/>
          <w:szCs w:val="26"/>
        </w:rPr>
      </w:pPr>
      <w:r w:rsidRPr="00E84878">
        <w:rPr>
          <w:color w:val="2F5496"/>
          <w:sz w:val="26"/>
          <w:szCs w:val="26"/>
        </w:rPr>
        <w:t>Next steps for</w:t>
      </w:r>
      <w:r w:rsidR="0082510E" w:rsidRPr="00E84878">
        <w:rPr>
          <w:color w:val="2F5496"/>
          <w:sz w:val="26"/>
          <w:szCs w:val="26"/>
        </w:rPr>
        <w:t xml:space="preserve"> Ministers</w:t>
      </w:r>
    </w:p>
    <w:p w14:paraId="5DCDD71A" w14:textId="06DA8723" w:rsidR="0082510E" w:rsidRPr="0082510E" w:rsidRDefault="0082510E" w:rsidP="00594341">
      <w:pPr>
        <w:spacing w:before="120" w:after="120" w:line="240" w:lineRule="auto"/>
      </w:pPr>
      <w:r w:rsidRPr="0082510E">
        <w:t xml:space="preserve">Because of the difficulty of estimating the scope for offering new forms of finance without a more detailed reconnaissance, we </w:t>
      </w:r>
      <w:r w:rsidR="00BC28AF">
        <w:t>suggest</w:t>
      </w:r>
      <w:r w:rsidRPr="0082510E">
        <w:t xml:space="preserve"> that Ministerial decisions </w:t>
      </w:r>
      <w:r w:rsidR="00BC28AF">
        <w:t xml:space="preserve">about the matters in this study </w:t>
      </w:r>
      <w:r w:rsidRPr="0082510E">
        <w:t>be in two groups, with the intervening period used both for preparing a legislative proposal and consulting on it, and for undertaking one or several missions for detailed reconnaissance of financing prospects.</w:t>
      </w:r>
    </w:p>
    <w:p w14:paraId="3CC1EEAA" w14:textId="77777777" w:rsidR="0082510E" w:rsidRPr="0082510E" w:rsidRDefault="0082510E" w:rsidP="00594341">
      <w:pPr>
        <w:spacing w:before="120" w:after="120" w:line="240" w:lineRule="auto"/>
      </w:pPr>
      <w:r w:rsidRPr="0082510E">
        <w:t xml:space="preserve">That would enable a second set of decisions to be better informed by an estimate of the likely scope and scale of the use of new forms of development finance, and by more extensive consideration of how this new set of operations would relate to the Government’s most relevant institutions. </w:t>
      </w:r>
    </w:p>
    <w:p w14:paraId="76EDD103" w14:textId="438C8805" w:rsidR="0082510E" w:rsidRPr="0082510E" w:rsidRDefault="00122B49" w:rsidP="00594341">
      <w:pPr>
        <w:spacing w:before="120" w:after="120" w:line="240" w:lineRule="auto"/>
      </w:pPr>
      <w:bookmarkStart w:id="53" w:name="_Hlk531436648"/>
      <w:r>
        <w:t xml:space="preserve">This is reflected in our recommendations on </w:t>
      </w:r>
      <w:r w:rsidR="002B1939">
        <w:t xml:space="preserve">pages </w:t>
      </w:r>
      <w:r>
        <w:t>xi-xii above. In brief terms, w</w:t>
      </w:r>
      <w:r w:rsidR="00BC28AF">
        <w:t>e suggest t</w:t>
      </w:r>
      <w:r w:rsidR="0082510E" w:rsidRPr="0082510E">
        <w:t xml:space="preserve">he next Ministerial decisions </w:t>
      </w:r>
      <w:bookmarkEnd w:id="53"/>
      <w:r>
        <w:t>sh</w:t>
      </w:r>
      <w:r w:rsidR="0082510E" w:rsidRPr="0082510E">
        <w:t>ould be to</w:t>
      </w:r>
      <w:r w:rsidR="00BC28AF">
        <w:t>:</w:t>
      </w:r>
    </w:p>
    <w:p w14:paraId="760DD5A5" w14:textId="0015DCC3" w:rsidR="002D5DCA" w:rsidRDefault="002D5DCA" w:rsidP="002D5DCA">
      <w:pPr>
        <w:numPr>
          <w:ilvl w:val="0"/>
          <w:numId w:val="103"/>
        </w:numPr>
        <w:spacing w:before="120" w:after="120" w:line="240" w:lineRule="auto"/>
      </w:pPr>
      <w:bookmarkStart w:id="54" w:name="_Hlk535512683"/>
      <w:r>
        <w:t>agree on offering NGF and innovative grants as additional elements of Australia’s development assistance, and replacing the ODA cap with budget rules accommodating NGF</w:t>
      </w:r>
    </w:p>
    <w:bookmarkEnd w:id="54"/>
    <w:p w14:paraId="44FC2ED9" w14:textId="64AAA373" w:rsidR="0082510E" w:rsidRPr="0082510E" w:rsidRDefault="002D5DCA">
      <w:pPr>
        <w:numPr>
          <w:ilvl w:val="0"/>
          <w:numId w:val="103"/>
        </w:numPr>
        <w:spacing w:before="120" w:after="120" w:line="240" w:lineRule="auto"/>
      </w:pPr>
      <w:r w:rsidRPr="0082510E">
        <w:t xml:space="preserve">establish </w:t>
      </w:r>
      <w:r>
        <w:t>a high-level</w:t>
      </w:r>
      <w:r w:rsidRPr="0082510E">
        <w:t xml:space="preserve"> working group </w:t>
      </w:r>
      <w:r>
        <w:t>to guide the formation of</w:t>
      </w:r>
      <w:r w:rsidR="0082510E" w:rsidRPr="0082510E">
        <w:t xml:space="preserve"> a specialist support unit </w:t>
      </w:r>
      <w:r w:rsidR="00A5214E">
        <w:t>and its operating framework</w:t>
      </w:r>
      <w:r>
        <w:t xml:space="preserve">, to </w:t>
      </w:r>
      <w:r w:rsidRPr="0082510E">
        <w:t>prepare drafting instructions for legislation to authorise financing in new forms</w:t>
      </w:r>
      <w:r>
        <w:t>,</w:t>
      </w:r>
      <w:r w:rsidRPr="002D5DCA">
        <w:t xml:space="preserve"> </w:t>
      </w:r>
      <w:r>
        <w:t xml:space="preserve">and to </w:t>
      </w:r>
      <w:r w:rsidR="00A5214E" w:rsidRPr="00A5214E">
        <w:t xml:space="preserve">examine in </w:t>
      </w:r>
      <w:r w:rsidR="00A5214E">
        <w:t xml:space="preserve">more </w:t>
      </w:r>
      <w:r w:rsidR="00A5214E" w:rsidRPr="00A5214E">
        <w:t>detail</w:t>
      </w:r>
      <w:r w:rsidR="00A5214E">
        <w:t xml:space="preserve"> </w:t>
      </w:r>
      <w:r w:rsidR="00A5214E" w:rsidRPr="00A5214E">
        <w:t xml:space="preserve">the scope for use of </w:t>
      </w:r>
      <w:r w:rsidR="00A5214E">
        <w:t>NGF,</w:t>
      </w:r>
      <w:r w:rsidR="00A5214E" w:rsidRPr="00A5214E">
        <w:t xml:space="preserve"> including </w:t>
      </w:r>
      <w:r w:rsidR="00A5214E">
        <w:t xml:space="preserve">in </w:t>
      </w:r>
      <w:r w:rsidR="00A5214E" w:rsidRPr="00A5214E">
        <w:t>joint financing</w:t>
      </w:r>
      <w:r w:rsidR="00122B49">
        <w:t>, and plan its introduction and expansion</w:t>
      </w:r>
      <w:r>
        <w:t>.</w:t>
      </w:r>
      <w:r w:rsidR="00122B49">
        <w:t xml:space="preserve"> </w:t>
      </w:r>
    </w:p>
    <w:p w14:paraId="5FE523A8" w14:textId="616A6E9D" w:rsidR="0082510E" w:rsidRPr="0082510E" w:rsidRDefault="002D5DCA" w:rsidP="00594341">
      <w:pPr>
        <w:spacing w:before="120" w:after="120" w:line="240" w:lineRule="auto"/>
      </w:pPr>
      <w:r>
        <w:t>A</w:t>
      </w:r>
      <w:r w:rsidR="0082510E" w:rsidRPr="0082510E">
        <w:t xml:space="preserve"> second</w:t>
      </w:r>
      <w:r>
        <w:t>, later</w:t>
      </w:r>
      <w:r w:rsidR="0082510E" w:rsidRPr="0082510E">
        <w:t xml:space="preserve"> set of Ministerial decisions </w:t>
      </w:r>
      <w:r w:rsidR="00122B49">
        <w:t>sh</w:t>
      </w:r>
      <w:r w:rsidR="0082510E" w:rsidRPr="0082510E">
        <w:t>ould be to</w:t>
      </w:r>
      <w:r w:rsidR="00BC28AF">
        <w:t>:</w:t>
      </w:r>
    </w:p>
    <w:p w14:paraId="27C15162" w14:textId="77777777" w:rsidR="00122B49" w:rsidRDefault="00122B49" w:rsidP="00122B49">
      <w:pPr>
        <w:numPr>
          <w:ilvl w:val="0"/>
          <w:numId w:val="103"/>
        </w:numPr>
        <w:spacing w:before="120" w:after="120" w:line="240" w:lineRule="auto"/>
      </w:pPr>
      <w:r>
        <w:t xml:space="preserve">determine </w:t>
      </w:r>
      <w:r w:rsidRPr="005A5683">
        <w:t>the best institutional option for the longer term</w:t>
      </w:r>
    </w:p>
    <w:p w14:paraId="3E5BD4CC" w14:textId="77777777" w:rsidR="00122B49" w:rsidRPr="00087EFB" w:rsidRDefault="00122B49" w:rsidP="00122B49">
      <w:pPr>
        <w:numPr>
          <w:ilvl w:val="0"/>
          <w:numId w:val="103"/>
        </w:numPr>
        <w:spacing w:before="120" w:after="120" w:line="240" w:lineRule="auto"/>
      </w:pPr>
      <w:r w:rsidRPr="00087EFB">
        <w:t xml:space="preserve">prepare drafting instructions for </w:t>
      </w:r>
      <w:r>
        <w:t>additional</w:t>
      </w:r>
      <w:r w:rsidRPr="00087EFB">
        <w:t xml:space="preserve"> authorising legislation, if necessary</w:t>
      </w:r>
    </w:p>
    <w:p w14:paraId="63FF78CA" w14:textId="2013BD28" w:rsidR="00122B49" w:rsidRPr="00087EFB" w:rsidRDefault="00122B49" w:rsidP="00122B49">
      <w:pPr>
        <w:numPr>
          <w:ilvl w:val="0"/>
          <w:numId w:val="103"/>
        </w:numPr>
        <w:spacing w:before="120" w:after="120" w:line="240" w:lineRule="auto"/>
      </w:pPr>
      <w:r w:rsidRPr="00087EFB">
        <w:t>appoint an external advisory panel</w:t>
      </w:r>
      <w:r>
        <w:t>, especially to guide</w:t>
      </w:r>
      <w:r w:rsidRPr="00122B49">
        <w:t xml:space="preserve"> coordination among institutions</w:t>
      </w:r>
    </w:p>
    <w:p w14:paraId="5AC9BFB0" w14:textId="608C2E99" w:rsidR="00122B49" w:rsidRPr="00087EFB" w:rsidRDefault="00122B49" w:rsidP="00122B49">
      <w:pPr>
        <w:numPr>
          <w:ilvl w:val="0"/>
          <w:numId w:val="103"/>
        </w:numPr>
        <w:spacing w:before="120" w:after="120" w:line="240" w:lineRule="auto"/>
      </w:pPr>
      <w:r w:rsidRPr="00087EFB">
        <w:t>publish a discussion paper</w:t>
      </w:r>
      <w:r w:rsidRPr="00122B49">
        <w:t xml:space="preserve"> to inform the interested public</w:t>
      </w:r>
      <w:r>
        <w:t>.</w:t>
      </w:r>
    </w:p>
    <w:p w14:paraId="5779197A" w14:textId="61FEB477" w:rsidR="00E54295" w:rsidRDefault="00E54295" w:rsidP="00594341">
      <w:pPr>
        <w:spacing w:before="120" w:after="120" w:line="240" w:lineRule="auto"/>
        <w:rPr>
          <w:rFonts w:ascii="Calibri" w:eastAsia="Arial" w:hAnsi="Calibri" w:cs="Calibri"/>
          <w:lang w:eastAsia="zh-CN"/>
        </w:rPr>
      </w:pPr>
    </w:p>
    <w:p w14:paraId="252F9E68" w14:textId="77777777" w:rsidR="00B23BF7" w:rsidRDefault="00B23BF7">
      <w:pPr>
        <w:rPr>
          <w:sz w:val="28"/>
          <w:szCs w:val="28"/>
        </w:rPr>
      </w:pPr>
      <w:r>
        <w:rPr>
          <w:sz w:val="28"/>
          <w:szCs w:val="28"/>
        </w:rPr>
        <w:br w:type="page"/>
      </w:r>
    </w:p>
    <w:p w14:paraId="2EDCBDF2" w14:textId="03E23DAE" w:rsidR="00B23BF7" w:rsidRPr="006020E4" w:rsidRDefault="00B23BF7" w:rsidP="00E84878">
      <w:pPr>
        <w:pStyle w:val="Heading2"/>
      </w:pPr>
      <w:r w:rsidRPr="006020E4">
        <w:lastRenderedPageBreak/>
        <w:t>Risk</w:t>
      </w:r>
      <w:r w:rsidR="00327106">
        <w:t xml:space="preserve">s and their </w:t>
      </w:r>
      <w:r w:rsidRPr="006020E4">
        <w:t xml:space="preserve">management </w:t>
      </w:r>
    </w:p>
    <w:p w14:paraId="656FAF4C" w14:textId="5279AB85" w:rsidR="00B23BF7" w:rsidRDefault="00B23BF7" w:rsidP="00B23BF7">
      <w:r>
        <w:t>This summarises only the main risks added through NGF. A risk-management matrix is in Annex </w:t>
      </w:r>
      <w:r w:rsidR="001B7745">
        <w:t>2</w:t>
      </w:r>
      <w:r>
        <w:t>.</w:t>
      </w:r>
    </w:p>
    <w:p w14:paraId="20FA9773" w14:textId="77777777" w:rsidR="000D56A0" w:rsidRPr="006020E4" w:rsidRDefault="000D56A0" w:rsidP="000D56A0">
      <w:r>
        <w:rPr>
          <w:b/>
        </w:rPr>
        <w:t>Political</w:t>
      </w:r>
      <w:r w:rsidRPr="006020E4">
        <w:rPr>
          <w:b/>
        </w:rPr>
        <w:t xml:space="preserve"> risks</w:t>
      </w:r>
      <w:r w:rsidRPr="006020E4">
        <w:t xml:space="preserve"> might arise if other government</w:t>
      </w:r>
      <w:r>
        <w:t>s or their</w:t>
      </w:r>
      <w:r w:rsidRPr="006020E4">
        <w:t xml:space="preserve"> agencies </w:t>
      </w:r>
      <w:r>
        <w:t>resisted directly</w:t>
      </w:r>
      <w:r w:rsidRPr="006020E4">
        <w:t xml:space="preserve">, or </w:t>
      </w:r>
      <w:r>
        <w:t>critici</w:t>
      </w:r>
      <w:r w:rsidRPr="006020E4">
        <w:t xml:space="preserve">sed </w:t>
      </w:r>
      <w:r>
        <w:t>publicly</w:t>
      </w:r>
      <w:r w:rsidRPr="006020E4">
        <w:t xml:space="preserve">, actions needed to protect the value of investments, for example to realise security assets in the event of guarantee or insurance enlivenments. The methods we suggest for managing these </w:t>
      </w:r>
      <w:r>
        <w:t>political</w:t>
      </w:r>
      <w:r w:rsidRPr="006020E4">
        <w:t xml:space="preserve"> risks are those DFAT uses when host governments resist </w:t>
      </w:r>
      <w:r>
        <w:t xml:space="preserve">or criticise </w:t>
      </w:r>
      <w:r w:rsidRPr="006020E4">
        <w:t xml:space="preserve">actions </w:t>
      </w:r>
      <w:r>
        <w:t>needed</w:t>
      </w:r>
      <w:r w:rsidRPr="006020E4">
        <w:t xml:space="preserve"> to protect the purposes or standards of investments</w:t>
      </w:r>
      <w:r w:rsidRPr="00C6184D">
        <w:t xml:space="preserve"> </w:t>
      </w:r>
      <w:r>
        <w:t xml:space="preserve">in the development assistance </w:t>
      </w:r>
      <w:r w:rsidRPr="006020E4">
        <w:t xml:space="preserve">program. Choices of NGF as financing methods should include </w:t>
      </w:r>
      <w:r>
        <w:t xml:space="preserve">recognising </w:t>
      </w:r>
      <w:r w:rsidRPr="006020E4">
        <w:t>such risks</w:t>
      </w:r>
      <w:r>
        <w:t xml:space="preserve"> and providing for</w:t>
      </w:r>
      <w:r w:rsidRPr="006020E4">
        <w:t xml:space="preserve"> manag</w:t>
      </w:r>
      <w:r>
        <w:t xml:space="preserve">ing them. </w:t>
      </w:r>
    </w:p>
    <w:p w14:paraId="57FE1803" w14:textId="77777777" w:rsidR="000D56A0" w:rsidRDefault="000D56A0" w:rsidP="000D56A0">
      <w:r w:rsidRPr="006020E4">
        <w:rPr>
          <w:b/>
        </w:rPr>
        <w:t>Reputational risks</w:t>
      </w:r>
      <w:r w:rsidRPr="006020E4">
        <w:t xml:space="preserve"> are not necessarily associated with any form of NGF: they would arise only if choices of NGF involved </w:t>
      </w:r>
      <w:r>
        <w:t xml:space="preserve">association with unfamiliar project sponsors or financiers </w:t>
      </w:r>
      <w:r w:rsidRPr="006020E4">
        <w:t xml:space="preserve">which </w:t>
      </w:r>
      <w:r>
        <w:t>were not committed to meeting</w:t>
      </w:r>
      <w:r w:rsidRPr="006020E4">
        <w:t xml:space="preserve"> the aid program’s standards and safeguards, </w:t>
      </w:r>
      <w:r>
        <w:t xml:space="preserve">and </w:t>
      </w:r>
      <w:r w:rsidRPr="006020E4">
        <w:t xml:space="preserve">without having </w:t>
      </w:r>
      <w:r>
        <w:t>sufficient</w:t>
      </w:r>
      <w:r w:rsidRPr="006020E4">
        <w:t xml:space="preserve"> means of influence on them. The method we suggest for managing these reputational risks is, in using NGF, to work initially with known, reputable partners and learn from them, before adopting financing roles involving greater reliance on new corporate or fund-manager partners.</w:t>
      </w:r>
    </w:p>
    <w:p w14:paraId="08A4F445" w14:textId="190A9B5D" w:rsidR="00B23BF7" w:rsidRPr="006020E4" w:rsidRDefault="00B23BF7" w:rsidP="000D56A0">
      <w:r w:rsidRPr="006020E4">
        <w:t>The</w:t>
      </w:r>
      <w:r w:rsidRPr="006020E4">
        <w:rPr>
          <w:b/>
        </w:rPr>
        <w:t xml:space="preserve"> financial risks</w:t>
      </w:r>
      <w:r w:rsidRPr="006020E4">
        <w:t xml:space="preserve"> arising from use of NGF are of incomplete recovery of sums lent or invested through </w:t>
      </w:r>
      <w:r>
        <w:t>various</w:t>
      </w:r>
      <w:r w:rsidRPr="006020E4">
        <w:t xml:space="preserve"> possibilities of defaults on loan repayments, losses in value of equity investments, or reductions in $A value of repayments or sales denominated in foreign currency. The methods we suggest for managing these financial risks are additional capability in a specialist support unit, a structured approach to choosing financing methods, deductions from aid appropriations of </w:t>
      </w:r>
      <w:r w:rsidR="00365BAA">
        <w:t>FR </w:t>
      </w:r>
      <w:r w:rsidRPr="006020E4">
        <w:t>offsets, and a decision-making framework including limits on financial risks.</w:t>
      </w:r>
    </w:p>
    <w:p w14:paraId="64A8E2D8" w14:textId="3F1B457C" w:rsidR="00122B49" w:rsidRDefault="00B23BF7" w:rsidP="00B23BF7">
      <w:pPr>
        <w:rPr>
          <w:sz w:val="28"/>
          <w:szCs w:val="28"/>
        </w:rPr>
      </w:pPr>
      <w:r w:rsidRPr="006020E4">
        <w:t xml:space="preserve">Addressing financial risks, while necessary, itself contains a risk of getting them out of proportion. Risks of incomplete recovery should be assessed in comparison with the complete non-recovery of sums outlaid as grants; and uses of NGF should be primarily for development purposes, and </w:t>
      </w:r>
      <w:r>
        <w:t>so not</w:t>
      </w:r>
      <w:r w:rsidRPr="006020E4">
        <w:t xml:space="preserve"> </w:t>
      </w:r>
      <w:r>
        <w:t>prim</w:t>
      </w:r>
      <w:r w:rsidRPr="006020E4">
        <w:t xml:space="preserve">arily for obtaining financial returns. The need to keep financial objectives in proportion is our main reason for recommending integration of decision-making about NGF in DFAT’s existing management of the </w:t>
      </w:r>
      <w:r>
        <w:t>development assistance</w:t>
      </w:r>
      <w:r w:rsidRPr="006020E4">
        <w:t xml:space="preserve"> program, at least for a</w:t>
      </w:r>
      <w:r>
        <w:t>n initial</w:t>
      </w:r>
      <w:r w:rsidRPr="006020E4">
        <w:t xml:space="preserve"> period. </w:t>
      </w:r>
      <w:r w:rsidR="00122B49">
        <w:rPr>
          <w:sz w:val="28"/>
          <w:szCs w:val="28"/>
        </w:rPr>
        <w:br w:type="page"/>
      </w:r>
    </w:p>
    <w:p w14:paraId="77A133AB" w14:textId="0E761FA6" w:rsidR="00F41B95" w:rsidRPr="0003026F" w:rsidRDefault="007C354F" w:rsidP="00594341">
      <w:pPr>
        <w:spacing w:before="120" w:after="120" w:line="240" w:lineRule="auto"/>
        <w:rPr>
          <w:sz w:val="28"/>
          <w:szCs w:val="28"/>
        </w:rPr>
      </w:pPr>
      <w:r w:rsidRPr="0003026F">
        <w:rPr>
          <w:sz w:val="28"/>
          <w:szCs w:val="28"/>
        </w:rPr>
        <w:lastRenderedPageBreak/>
        <w:t>ANNEX 1</w:t>
      </w:r>
      <w:r w:rsidR="0071103E">
        <w:rPr>
          <w:sz w:val="28"/>
          <w:szCs w:val="28"/>
        </w:rPr>
        <w:t>—</w:t>
      </w:r>
      <w:r w:rsidRPr="0003026F">
        <w:rPr>
          <w:sz w:val="28"/>
          <w:szCs w:val="28"/>
        </w:rPr>
        <w:t>TERMS OF REFERENCE OF FEASIBILITY STUDY</w:t>
      </w:r>
    </w:p>
    <w:p w14:paraId="28B2F4FF" w14:textId="53B56EF6" w:rsidR="00D76799" w:rsidRPr="00D76799" w:rsidRDefault="00D76799" w:rsidP="00594341">
      <w:pPr>
        <w:spacing w:before="120" w:after="120" w:line="240" w:lineRule="auto"/>
        <w:rPr>
          <w:rFonts w:ascii="Calibri" w:eastAsia="Calibri" w:hAnsi="Calibri" w:cs="Times New Roman"/>
          <w:b/>
        </w:rPr>
      </w:pPr>
      <w:r w:rsidRPr="00D76799">
        <w:rPr>
          <w:rFonts w:ascii="Calibri" w:eastAsia="Calibri" w:hAnsi="Calibri" w:cs="Times New Roman"/>
          <w:lang w:val="en-US"/>
        </w:rPr>
        <w:t>The Feasibility Study</w:t>
      </w:r>
      <w:r w:rsidR="00E30871">
        <w:rPr>
          <w:rFonts w:ascii="Calibri" w:eastAsia="Calibri" w:hAnsi="Calibri" w:cs="Times New Roman"/>
          <w:lang w:val="en-US"/>
        </w:rPr>
        <w:t xml:space="preserve"> </w:t>
      </w:r>
      <w:r w:rsidRPr="00D76799">
        <w:rPr>
          <w:rFonts w:ascii="Calibri" w:eastAsia="Calibri" w:hAnsi="Calibri" w:cs="Times New Roman"/>
          <w:lang w:val="en-US"/>
        </w:rPr>
        <w:t xml:space="preserve">will address opportunities, </w:t>
      </w:r>
      <w:proofErr w:type="gramStart"/>
      <w:r w:rsidRPr="00D76799">
        <w:rPr>
          <w:rFonts w:ascii="Calibri" w:eastAsia="Calibri" w:hAnsi="Calibri" w:cs="Times New Roman"/>
          <w:lang w:val="en-US"/>
        </w:rPr>
        <w:t>challenges</w:t>
      </w:r>
      <w:proofErr w:type="gramEnd"/>
      <w:r w:rsidRPr="00D76799">
        <w:rPr>
          <w:rFonts w:ascii="Calibri" w:eastAsia="Calibri" w:hAnsi="Calibri" w:cs="Times New Roman"/>
          <w:lang w:val="en-US"/>
        </w:rPr>
        <w:t xml:space="preserve"> and risks in relation to the following: </w:t>
      </w:r>
    </w:p>
    <w:p w14:paraId="746DAC9B" w14:textId="6B4C6633" w:rsidR="00D76799" w:rsidRPr="00D76799" w:rsidRDefault="00D76799" w:rsidP="000F209C">
      <w:pPr>
        <w:numPr>
          <w:ilvl w:val="0"/>
          <w:numId w:val="30"/>
        </w:numPr>
        <w:spacing w:before="120" w:after="120" w:line="240" w:lineRule="auto"/>
        <w:rPr>
          <w:rFonts w:ascii="Calibri" w:eastAsia="Calibri" w:hAnsi="Calibri" w:cs="Times New Roman"/>
        </w:rPr>
      </w:pPr>
      <w:r w:rsidRPr="00D76799">
        <w:rPr>
          <w:rFonts w:ascii="Calibri" w:eastAsia="Calibri" w:hAnsi="Calibri" w:cs="Times New Roman"/>
          <w:b/>
        </w:rPr>
        <w:t>Strategic Implications.</w:t>
      </w:r>
      <w:r w:rsidRPr="00D76799">
        <w:rPr>
          <w:rFonts w:ascii="Calibri" w:eastAsia="Calibri" w:hAnsi="Calibri" w:cs="Times New Roman"/>
        </w:rPr>
        <w:t xml:space="preserve"> In the context of growing geostrategic competition, the degree to which use of a broader range </w:t>
      </w:r>
      <w:r w:rsidR="00263BD0" w:rsidRPr="00D76799">
        <w:rPr>
          <w:rFonts w:ascii="Calibri" w:eastAsia="Calibri" w:hAnsi="Calibri" w:cs="Times New Roman"/>
        </w:rPr>
        <w:t>of financing</w:t>
      </w:r>
      <w:r w:rsidRPr="00D76799">
        <w:rPr>
          <w:rFonts w:ascii="Calibri" w:eastAsia="Calibri" w:hAnsi="Calibri" w:cs="Times New Roman"/>
        </w:rPr>
        <w:t xml:space="preserve"> instruments in the aid</w:t>
      </w:r>
      <w:r w:rsidR="003F7820">
        <w:rPr>
          <w:rFonts w:ascii="Calibri" w:eastAsia="Calibri" w:hAnsi="Calibri" w:cs="Times New Roman"/>
        </w:rPr>
        <w:t xml:space="preserve"> program </w:t>
      </w:r>
      <w:r w:rsidRPr="00D76799">
        <w:rPr>
          <w:rFonts w:ascii="Calibri" w:eastAsia="Calibri" w:hAnsi="Calibri" w:cs="Times New Roman"/>
        </w:rPr>
        <w:t>would:</w:t>
      </w:r>
    </w:p>
    <w:p w14:paraId="2E83AB93" w14:textId="189008C4" w:rsidR="00D76799" w:rsidRPr="00D76799" w:rsidRDefault="00D76799" w:rsidP="000F209C">
      <w:pPr>
        <w:numPr>
          <w:ilvl w:val="1"/>
          <w:numId w:val="30"/>
        </w:numPr>
        <w:spacing w:before="120" w:after="120" w:line="240" w:lineRule="auto"/>
        <w:rPr>
          <w:rFonts w:ascii="Calibri" w:eastAsia="Calibri" w:hAnsi="Calibri" w:cs="Times New Roman"/>
        </w:rPr>
      </w:pPr>
      <w:r w:rsidRPr="00D76799">
        <w:rPr>
          <w:rFonts w:ascii="Calibri" w:eastAsia="Calibri" w:hAnsi="Calibri" w:cs="Times New Roman"/>
        </w:rPr>
        <w:t xml:space="preserve">improve capacity to deliver on Australia’s </w:t>
      </w:r>
      <w:r w:rsidRPr="00CC3F16">
        <w:rPr>
          <w:rFonts w:ascii="Calibri" w:eastAsia="Calibri" w:hAnsi="Calibri" w:cs="Times New Roman"/>
          <w:i/>
        </w:rPr>
        <w:t>Foreign Policy White Paper</w:t>
      </w:r>
      <w:r w:rsidRPr="00D76799">
        <w:rPr>
          <w:rFonts w:ascii="Calibri" w:eastAsia="Calibri" w:hAnsi="Calibri" w:cs="Times New Roman"/>
        </w:rPr>
        <w:t xml:space="preserve"> priorities relative to a </w:t>
      </w:r>
      <w:r w:rsidR="00CC3F16">
        <w:rPr>
          <w:rFonts w:ascii="Calibri" w:eastAsia="Calibri" w:hAnsi="Calibri" w:cs="Times New Roman"/>
        </w:rPr>
        <w:t>“</w:t>
      </w:r>
      <w:r w:rsidRPr="00D76799">
        <w:rPr>
          <w:rFonts w:ascii="Calibri" w:eastAsia="Calibri" w:hAnsi="Calibri" w:cs="Times New Roman"/>
        </w:rPr>
        <w:t xml:space="preserve">business as usual” approach </w:t>
      </w:r>
    </w:p>
    <w:p w14:paraId="12BE9279" w14:textId="77777777" w:rsidR="007E28FA" w:rsidRDefault="00D76799" w:rsidP="007E28FA">
      <w:pPr>
        <w:numPr>
          <w:ilvl w:val="1"/>
          <w:numId w:val="30"/>
        </w:numPr>
        <w:spacing w:before="120" w:after="120" w:line="240" w:lineRule="auto"/>
        <w:rPr>
          <w:rFonts w:ascii="Calibri" w:eastAsia="Calibri" w:hAnsi="Calibri" w:cs="Times New Roman"/>
        </w:rPr>
      </w:pPr>
      <w:r w:rsidRPr="00D76799">
        <w:rPr>
          <w:rFonts w:ascii="Calibri" w:eastAsia="Calibri" w:hAnsi="Calibri" w:cs="Times New Roman"/>
        </w:rPr>
        <w:t>enhance Australia’s influence in promoting open markets and regional economic integration in the Indo-Pacific</w:t>
      </w:r>
      <w:r w:rsidR="000C22D6">
        <w:rPr>
          <w:rFonts w:ascii="Calibri" w:eastAsia="Calibri" w:hAnsi="Calibri" w:cs="Times New Roman"/>
        </w:rPr>
        <w:t>.</w:t>
      </w:r>
    </w:p>
    <w:p w14:paraId="59F88FF3" w14:textId="77777777" w:rsidR="007E28FA" w:rsidRDefault="00D76799" w:rsidP="007E28FA">
      <w:pPr>
        <w:numPr>
          <w:ilvl w:val="1"/>
          <w:numId w:val="30"/>
        </w:numPr>
        <w:spacing w:before="120" w:after="120" w:line="240" w:lineRule="auto"/>
        <w:rPr>
          <w:rFonts w:ascii="Calibri" w:eastAsia="Calibri" w:hAnsi="Calibri" w:cs="Times New Roman"/>
        </w:rPr>
      </w:pPr>
      <w:r w:rsidRPr="007E28FA">
        <w:rPr>
          <w:rFonts w:ascii="Calibri" w:eastAsia="Calibri" w:hAnsi="Calibri" w:cs="Times New Roman"/>
          <w:vanish/>
        </w:rPr>
        <w:t xml:space="preserve">enable Australia to </w:t>
      </w:r>
      <w:proofErr w:type="gramStart"/>
      <w:r w:rsidRPr="007E28FA">
        <w:rPr>
          <w:rFonts w:ascii="Calibri" w:eastAsia="Calibri" w:hAnsi="Calibri" w:cs="Times New Roman"/>
          <w:vanish/>
        </w:rPr>
        <w:t>more smoothly transition aid relationships</w:t>
      </w:r>
      <w:proofErr w:type="gramEnd"/>
      <w:r w:rsidRPr="007E28FA">
        <w:rPr>
          <w:rFonts w:ascii="Calibri" w:eastAsia="Calibri" w:hAnsi="Calibri" w:cs="Times New Roman"/>
          <w:vanish/>
        </w:rPr>
        <w:t xml:space="preserve"> to economic partnerships </w:t>
      </w:r>
    </w:p>
    <w:p w14:paraId="2DBC810E" w14:textId="21E143F3" w:rsidR="00D76799" w:rsidRPr="007E28FA" w:rsidRDefault="00D76799" w:rsidP="007E28FA">
      <w:pPr>
        <w:numPr>
          <w:ilvl w:val="0"/>
          <w:numId w:val="30"/>
        </w:numPr>
        <w:spacing w:before="120" w:after="120" w:line="240" w:lineRule="auto"/>
        <w:rPr>
          <w:rFonts w:ascii="Calibri" w:eastAsia="Calibri" w:hAnsi="Calibri" w:cs="Times New Roman"/>
        </w:rPr>
      </w:pPr>
      <w:r w:rsidRPr="007E28FA">
        <w:rPr>
          <w:rFonts w:ascii="Calibri" w:eastAsia="Calibri" w:hAnsi="Calibri" w:cs="Times New Roman"/>
          <w:b/>
        </w:rPr>
        <w:t xml:space="preserve">Demand. </w:t>
      </w:r>
      <w:r w:rsidRPr="007E28FA">
        <w:rPr>
          <w:rFonts w:ascii="Calibri" w:eastAsia="Calibri" w:hAnsi="Calibri" w:cs="Times New Roman"/>
        </w:rPr>
        <w:t>The degree to which the use of a broader range of financing instruments in the aid</w:t>
      </w:r>
      <w:r w:rsidR="003F7820" w:rsidRPr="007E28FA">
        <w:rPr>
          <w:rFonts w:ascii="Calibri" w:eastAsia="Calibri" w:hAnsi="Calibri" w:cs="Times New Roman"/>
        </w:rPr>
        <w:t xml:space="preserve"> program </w:t>
      </w:r>
      <w:r w:rsidRPr="007E28FA">
        <w:rPr>
          <w:rFonts w:ascii="Calibri" w:eastAsia="Calibri" w:hAnsi="Calibri" w:cs="Times New Roman"/>
        </w:rPr>
        <w:t>would:</w:t>
      </w:r>
      <w:r w:rsidRPr="007E28FA">
        <w:rPr>
          <w:rFonts w:ascii="Calibri" w:eastAsia="Calibri" w:hAnsi="Calibri" w:cs="Times New Roman"/>
          <w:b/>
        </w:rPr>
        <w:t xml:space="preserve"> </w:t>
      </w:r>
    </w:p>
    <w:p w14:paraId="33AFAF2F" w14:textId="66A0044A" w:rsidR="00D76799" w:rsidRPr="00D76799" w:rsidRDefault="00D76799" w:rsidP="000F209C">
      <w:pPr>
        <w:numPr>
          <w:ilvl w:val="1"/>
          <w:numId w:val="30"/>
        </w:numPr>
        <w:spacing w:before="120" w:after="120" w:line="240" w:lineRule="auto"/>
        <w:rPr>
          <w:rFonts w:ascii="Calibri" w:eastAsia="Calibri" w:hAnsi="Calibri" w:cs="Times New Roman"/>
        </w:rPr>
      </w:pPr>
      <w:r w:rsidRPr="00D76799">
        <w:rPr>
          <w:rFonts w:ascii="Calibri" w:eastAsia="Calibri" w:hAnsi="Calibri" w:cs="Times New Roman"/>
        </w:rPr>
        <w:t xml:space="preserve">add value above and beyond what is available from other multilateral and bilateral donors in the areas of geographic and sectoral priority for Australia’s aid </w:t>
      </w:r>
      <w:r w:rsidR="00263BD0" w:rsidRPr="00D76799">
        <w:rPr>
          <w:rFonts w:ascii="Calibri" w:eastAsia="Calibri" w:hAnsi="Calibri" w:cs="Times New Roman"/>
        </w:rPr>
        <w:t>program,</w:t>
      </w:r>
      <w:r w:rsidRPr="00D76799">
        <w:rPr>
          <w:rFonts w:ascii="Calibri" w:eastAsia="Calibri" w:hAnsi="Calibri" w:cs="Times New Roman"/>
        </w:rPr>
        <w:t xml:space="preserve"> noting the limited absorptive capacity of many Pacific island countries </w:t>
      </w:r>
    </w:p>
    <w:p w14:paraId="75E06148" w14:textId="77777777" w:rsidR="00D76799" w:rsidRPr="00D76799" w:rsidRDefault="00D76799" w:rsidP="000F209C">
      <w:pPr>
        <w:numPr>
          <w:ilvl w:val="1"/>
          <w:numId w:val="30"/>
        </w:numPr>
        <w:spacing w:before="120" w:after="120" w:line="240" w:lineRule="auto"/>
        <w:rPr>
          <w:rFonts w:ascii="Calibri" w:eastAsia="Calibri" w:hAnsi="Calibri" w:cs="Times New Roman"/>
        </w:rPr>
      </w:pPr>
      <w:r w:rsidRPr="00D76799">
        <w:rPr>
          <w:rFonts w:ascii="Calibri" w:eastAsia="Calibri" w:hAnsi="Calibri" w:cs="Times New Roman"/>
        </w:rPr>
        <w:t>address unmet demand from developing country governments or private sector entities in the Indo-Pacific region</w:t>
      </w:r>
    </w:p>
    <w:p w14:paraId="0E1F8AA0" w14:textId="49CBD41D" w:rsidR="00D76799" w:rsidRPr="00E800A4" w:rsidRDefault="00D76799" w:rsidP="00E800A4">
      <w:pPr>
        <w:numPr>
          <w:ilvl w:val="1"/>
          <w:numId w:val="30"/>
        </w:numPr>
        <w:spacing w:before="120" w:after="120" w:line="240" w:lineRule="auto"/>
        <w:rPr>
          <w:rFonts w:ascii="Calibri" w:eastAsia="Calibri" w:hAnsi="Calibri" w:cs="Times New Roman"/>
        </w:rPr>
      </w:pPr>
      <w:r w:rsidRPr="00E800A4">
        <w:rPr>
          <w:rFonts w:ascii="Calibri" w:eastAsia="Calibri" w:hAnsi="Calibri" w:cs="Times New Roman"/>
        </w:rPr>
        <w:t xml:space="preserve">enable instruments to be tailored to the </w:t>
      </w:r>
      <w:proofErr w:type="gramStart"/>
      <w:r w:rsidRPr="00E800A4">
        <w:rPr>
          <w:rFonts w:ascii="Calibri" w:eastAsia="Calibri" w:hAnsi="Calibri" w:cs="Times New Roman"/>
        </w:rPr>
        <w:t>particular needs</w:t>
      </w:r>
      <w:proofErr w:type="gramEnd"/>
      <w:r w:rsidRPr="00E800A4">
        <w:rPr>
          <w:rFonts w:ascii="Calibri" w:eastAsia="Calibri" w:hAnsi="Calibri" w:cs="Times New Roman"/>
        </w:rPr>
        <w:t xml:space="preserve"> of the private sector entities interested in investing in development projects in developing countries</w:t>
      </w:r>
      <w:r w:rsidR="000C22D6" w:rsidRPr="00E800A4">
        <w:rPr>
          <w:rFonts w:ascii="Calibri" w:eastAsia="Calibri" w:hAnsi="Calibri" w:cs="Times New Roman"/>
        </w:rPr>
        <w:t xml:space="preserve">, </w:t>
      </w:r>
      <w:r w:rsidRPr="00E800A4">
        <w:rPr>
          <w:rFonts w:ascii="Calibri" w:eastAsia="Calibri" w:hAnsi="Calibri" w:cs="Times New Roman"/>
        </w:rPr>
        <w:t xml:space="preserve">including but not limited to Australian companies </w:t>
      </w:r>
    </w:p>
    <w:p w14:paraId="6B15C5EF" w14:textId="77777777" w:rsidR="00D76799" w:rsidRPr="00D76799" w:rsidRDefault="00D76799" w:rsidP="000F209C">
      <w:pPr>
        <w:numPr>
          <w:ilvl w:val="1"/>
          <w:numId w:val="30"/>
        </w:numPr>
        <w:spacing w:before="120" w:after="120" w:line="240" w:lineRule="auto"/>
        <w:rPr>
          <w:rFonts w:ascii="Calibri" w:eastAsia="Calibri" w:hAnsi="Calibri" w:cs="Times New Roman"/>
        </w:rPr>
      </w:pPr>
      <w:r w:rsidRPr="00D76799">
        <w:rPr>
          <w:rFonts w:ascii="Calibri" w:eastAsia="Calibri" w:hAnsi="Calibri" w:cs="Times New Roman"/>
        </w:rPr>
        <w:t xml:space="preserve">be able to compete with other sources of finance given the high degree of </w:t>
      </w:r>
      <w:proofErr w:type="spellStart"/>
      <w:r w:rsidRPr="00D76799">
        <w:rPr>
          <w:rFonts w:ascii="Calibri" w:eastAsia="Calibri" w:hAnsi="Calibri" w:cs="Times New Roman"/>
        </w:rPr>
        <w:t>concessionality</w:t>
      </w:r>
      <w:proofErr w:type="spellEnd"/>
      <w:r w:rsidRPr="00D76799">
        <w:rPr>
          <w:rFonts w:ascii="Calibri" w:eastAsia="Calibri" w:hAnsi="Calibri" w:cs="Times New Roman"/>
        </w:rPr>
        <w:t xml:space="preserve"> (and other benefits) from some parties. </w:t>
      </w:r>
    </w:p>
    <w:p w14:paraId="3D57494D" w14:textId="79DB5BA0" w:rsidR="00D76799" w:rsidRPr="00D76799" w:rsidRDefault="00D76799" w:rsidP="000F209C">
      <w:pPr>
        <w:numPr>
          <w:ilvl w:val="1"/>
          <w:numId w:val="30"/>
        </w:numPr>
        <w:spacing w:before="120" w:after="120" w:line="240" w:lineRule="auto"/>
        <w:rPr>
          <w:rFonts w:ascii="Calibri" w:eastAsia="Calibri" w:hAnsi="Calibri" w:cs="Times New Roman"/>
        </w:rPr>
      </w:pPr>
      <w:r w:rsidRPr="00D76799">
        <w:rPr>
          <w:rFonts w:ascii="Calibri" w:eastAsia="Calibri" w:hAnsi="Calibri" w:cs="Times New Roman"/>
        </w:rPr>
        <w:t>address the different financing needs of small island states in the Pacific and emerging economies in South and South East Asia</w:t>
      </w:r>
      <w:r w:rsidR="000C22D6">
        <w:rPr>
          <w:rFonts w:ascii="Calibri" w:eastAsia="Calibri" w:hAnsi="Calibri" w:cs="Times New Roman"/>
        </w:rPr>
        <w:t>.</w:t>
      </w:r>
    </w:p>
    <w:p w14:paraId="58A3E2F7" w14:textId="03664CAB" w:rsidR="00D76799" w:rsidRPr="00D76799" w:rsidRDefault="00D76799" w:rsidP="000F209C">
      <w:pPr>
        <w:numPr>
          <w:ilvl w:val="0"/>
          <w:numId w:val="30"/>
        </w:numPr>
        <w:spacing w:before="120" w:after="120" w:line="240" w:lineRule="auto"/>
        <w:rPr>
          <w:rFonts w:ascii="Calibri" w:eastAsia="Calibri" w:hAnsi="Calibri" w:cs="Times New Roman"/>
        </w:rPr>
      </w:pPr>
      <w:r w:rsidRPr="00D76799">
        <w:rPr>
          <w:rFonts w:ascii="Calibri" w:eastAsia="Calibri" w:hAnsi="Calibri" w:cs="Times New Roman"/>
          <w:b/>
        </w:rPr>
        <w:t>Development Impact</w:t>
      </w:r>
      <w:r w:rsidRPr="00D76799">
        <w:rPr>
          <w:rFonts w:ascii="Calibri" w:eastAsia="Calibri" w:hAnsi="Calibri" w:cs="Times New Roman"/>
        </w:rPr>
        <w:t xml:space="preserve">. Provide evidence (where available) of the degree to which financing instruments such as </w:t>
      </w:r>
      <w:r w:rsidR="00263BD0" w:rsidRPr="00D76799">
        <w:rPr>
          <w:rFonts w:ascii="Calibri" w:eastAsia="Calibri" w:hAnsi="Calibri" w:cs="Times New Roman"/>
        </w:rPr>
        <w:t>loans,</w:t>
      </w:r>
      <w:r w:rsidRPr="00D76799">
        <w:rPr>
          <w:rFonts w:ascii="Calibri" w:eastAsia="Calibri" w:hAnsi="Calibri" w:cs="Times New Roman"/>
        </w:rPr>
        <w:t xml:space="preserve"> equity investments, guarantees and insurance </w:t>
      </w:r>
      <w:r w:rsidR="00263BD0" w:rsidRPr="00D76799">
        <w:rPr>
          <w:rFonts w:ascii="Calibri" w:eastAsia="Calibri" w:hAnsi="Calibri" w:cs="Times New Roman"/>
        </w:rPr>
        <w:t>products:</w:t>
      </w:r>
    </w:p>
    <w:p w14:paraId="22470F53" w14:textId="77777777" w:rsidR="00D76799" w:rsidRPr="00D76799" w:rsidRDefault="00D76799" w:rsidP="000F209C">
      <w:pPr>
        <w:numPr>
          <w:ilvl w:val="1"/>
          <w:numId w:val="30"/>
        </w:numPr>
        <w:spacing w:before="120" w:after="120" w:line="240" w:lineRule="auto"/>
        <w:rPr>
          <w:rFonts w:ascii="Calibri" w:eastAsia="Calibri" w:hAnsi="Calibri" w:cs="Times New Roman"/>
        </w:rPr>
      </w:pPr>
      <w:r w:rsidRPr="00D76799">
        <w:rPr>
          <w:rFonts w:ascii="Calibri" w:eastAsia="Calibri" w:hAnsi="Calibri" w:cs="Times New Roman"/>
        </w:rPr>
        <w:t>have demonstrated development impact, including relative to grant aid</w:t>
      </w:r>
    </w:p>
    <w:p w14:paraId="1B23A4B8" w14:textId="77777777" w:rsidR="00D76799" w:rsidRPr="00D76799" w:rsidRDefault="00D76799" w:rsidP="000F209C">
      <w:pPr>
        <w:numPr>
          <w:ilvl w:val="1"/>
          <w:numId w:val="30"/>
        </w:numPr>
        <w:spacing w:before="120" w:after="120" w:line="240" w:lineRule="auto"/>
        <w:rPr>
          <w:rFonts w:ascii="Calibri" w:eastAsia="Calibri" w:hAnsi="Calibri" w:cs="Times New Roman"/>
        </w:rPr>
      </w:pPr>
      <w:r w:rsidRPr="00D76799">
        <w:rPr>
          <w:rFonts w:ascii="Calibri" w:eastAsia="Calibri" w:hAnsi="Calibri" w:cs="Times New Roman"/>
        </w:rPr>
        <w:t>have development impact beyond the immediate investment, including through catalysing other investment and recycling funds</w:t>
      </w:r>
    </w:p>
    <w:p w14:paraId="4172D7D9" w14:textId="2B954805" w:rsidR="00D76799" w:rsidRPr="00D76799" w:rsidRDefault="00D76799" w:rsidP="000F209C">
      <w:pPr>
        <w:numPr>
          <w:ilvl w:val="1"/>
          <w:numId w:val="30"/>
        </w:numPr>
        <w:spacing w:before="120" w:after="120" w:line="240" w:lineRule="auto"/>
        <w:rPr>
          <w:rFonts w:ascii="Calibri" w:eastAsia="Calibri" w:hAnsi="Calibri" w:cs="Times New Roman"/>
        </w:rPr>
      </w:pPr>
      <w:r w:rsidRPr="00D76799">
        <w:rPr>
          <w:rFonts w:ascii="Calibri" w:eastAsia="Calibri" w:hAnsi="Calibri" w:cs="Times New Roman"/>
        </w:rPr>
        <w:t>are consistent with sustainable debt management in partner countries</w:t>
      </w:r>
    </w:p>
    <w:p w14:paraId="6DCF71BA" w14:textId="6F570128" w:rsidR="00D76799" w:rsidRPr="00D76799" w:rsidRDefault="00D76799" w:rsidP="000F209C">
      <w:pPr>
        <w:numPr>
          <w:ilvl w:val="1"/>
          <w:numId w:val="30"/>
        </w:numPr>
        <w:spacing w:before="120" w:after="120" w:line="240" w:lineRule="auto"/>
        <w:rPr>
          <w:rFonts w:ascii="Calibri" w:eastAsia="Calibri" w:hAnsi="Calibri" w:cs="Times New Roman"/>
        </w:rPr>
      </w:pPr>
      <w:r w:rsidRPr="00D76799">
        <w:rPr>
          <w:rFonts w:ascii="Calibri" w:eastAsia="Calibri" w:hAnsi="Calibri" w:cs="Times New Roman"/>
        </w:rPr>
        <w:t>enable measurement of development impact</w:t>
      </w:r>
      <w:r w:rsidR="000C22D6">
        <w:rPr>
          <w:rFonts w:ascii="Calibri" w:eastAsia="Calibri" w:hAnsi="Calibri" w:cs="Times New Roman"/>
        </w:rPr>
        <w:t>.</w:t>
      </w:r>
      <w:r w:rsidRPr="00D76799">
        <w:rPr>
          <w:rFonts w:ascii="Calibri" w:eastAsia="Calibri" w:hAnsi="Calibri" w:cs="Times New Roman"/>
        </w:rPr>
        <w:t xml:space="preserve"> </w:t>
      </w:r>
    </w:p>
    <w:p w14:paraId="4A4ADADD" w14:textId="0CCCDDE6" w:rsidR="00D76799" w:rsidRPr="00D76799" w:rsidRDefault="00D76799" w:rsidP="000F209C">
      <w:pPr>
        <w:numPr>
          <w:ilvl w:val="0"/>
          <w:numId w:val="30"/>
        </w:numPr>
        <w:spacing w:before="120" w:after="120" w:line="240" w:lineRule="auto"/>
        <w:rPr>
          <w:rFonts w:ascii="Calibri" w:eastAsia="Calibri" w:hAnsi="Calibri" w:cs="Times New Roman"/>
        </w:rPr>
      </w:pPr>
      <w:r w:rsidRPr="00D76799">
        <w:rPr>
          <w:rFonts w:ascii="Calibri" w:eastAsia="Calibri" w:hAnsi="Calibri" w:cs="Times New Roman"/>
          <w:b/>
        </w:rPr>
        <w:t xml:space="preserve">Budget and ODA-eligibility considerations. </w:t>
      </w:r>
      <w:r w:rsidRPr="00D76799">
        <w:rPr>
          <w:rFonts w:ascii="Calibri" w:eastAsia="Calibri" w:hAnsi="Calibri" w:cs="Times New Roman"/>
        </w:rPr>
        <w:t xml:space="preserve">Identify and consider the options for managing the Australian budget </w:t>
      </w:r>
      <w:r w:rsidR="00263BD0" w:rsidRPr="00D76799">
        <w:rPr>
          <w:rFonts w:ascii="Calibri" w:eastAsia="Calibri" w:hAnsi="Calibri" w:cs="Times New Roman"/>
        </w:rPr>
        <w:t>treatment of</w:t>
      </w:r>
      <w:r w:rsidRPr="00D76799">
        <w:rPr>
          <w:rFonts w:ascii="Calibri" w:eastAsia="Calibri" w:hAnsi="Calibri" w:cs="Times New Roman"/>
        </w:rPr>
        <w:t xml:space="preserve"> different financial instruments (including on the balance sheet) and the ODA eligibility of </w:t>
      </w:r>
    </w:p>
    <w:p w14:paraId="34BB3883" w14:textId="77777777" w:rsidR="00D76799" w:rsidRPr="00D76799" w:rsidRDefault="00D76799" w:rsidP="000F209C">
      <w:pPr>
        <w:numPr>
          <w:ilvl w:val="1"/>
          <w:numId w:val="30"/>
        </w:numPr>
        <w:spacing w:before="120" w:after="120" w:line="240" w:lineRule="auto"/>
        <w:rPr>
          <w:rFonts w:ascii="Calibri" w:eastAsia="Calibri" w:hAnsi="Calibri" w:cs="Times New Roman"/>
        </w:rPr>
      </w:pPr>
      <w:r w:rsidRPr="00D76799">
        <w:rPr>
          <w:rFonts w:ascii="Calibri" w:eastAsia="Calibri" w:hAnsi="Calibri" w:cs="Times New Roman"/>
        </w:rPr>
        <w:t>the start-up phase, including any initial capital injection</w:t>
      </w:r>
    </w:p>
    <w:p w14:paraId="0D73C678" w14:textId="77777777" w:rsidR="00D76799" w:rsidRPr="00D76799" w:rsidRDefault="00D76799" w:rsidP="000F209C">
      <w:pPr>
        <w:numPr>
          <w:ilvl w:val="1"/>
          <w:numId w:val="30"/>
        </w:numPr>
        <w:spacing w:before="120" w:after="120" w:line="240" w:lineRule="auto"/>
        <w:rPr>
          <w:rFonts w:ascii="Calibri" w:eastAsia="Calibri" w:hAnsi="Calibri" w:cs="Times New Roman"/>
        </w:rPr>
      </w:pPr>
      <w:r w:rsidRPr="00D76799">
        <w:rPr>
          <w:rFonts w:ascii="Calibri" w:eastAsia="Calibri" w:hAnsi="Calibri" w:cs="Times New Roman"/>
        </w:rPr>
        <w:t>ongoing operations</w:t>
      </w:r>
    </w:p>
    <w:p w14:paraId="2D91AB02" w14:textId="391CAE1C" w:rsidR="00D76799" w:rsidRPr="00D76799" w:rsidRDefault="00D76799" w:rsidP="000F209C">
      <w:pPr>
        <w:numPr>
          <w:ilvl w:val="1"/>
          <w:numId w:val="30"/>
        </w:numPr>
        <w:spacing w:before="120" w:after="120" w:line="240" w:lineRule="auto"/>
        <w:rPr>
          <w:rFonts w:ascii="Calibri" w:eastAsia="Calibri" w:hAnsi="Calibri" w:cs="Times New Roman"/>
        </w:rPr>
      </w:pPr>
      <w:r w:rsidRPr="00D76799">
        <w:rPr>
          <w:rFonts w:ascii="Calibri" w:eastAsia="Calibri" w:hAnsi="Calibri" w:cs="Times New Roman"/>
        </w:rPr>
        <w:t xml:space="preserve">financial reflows generated from grant and </w:t>
      </w:r>
      <w:r w:rsidR="00186117">
        <w:rPr>
          <w:rFonts w:ascii="Calibri" w:eastAsia="Calibri" w:hAnsi="Calibri" w:cs="Times New Roman"/>
        </w:rPr>
        <w:t>NGF</w:t>
      </w:r>
    </w:p>
    <w:p w14:paraId="485A3528" w14:textId="77777777" w:rsidR="00D76799" w:rsidRPr="00D76799" w:rsidRDefault="00D76799" w:rsidP="000F209C">
      <w:pPr>
        <w:numPr>
          <w:ilvl w:val="1"/>
          <w:numId w:val="30"/>
        </w:numPr>
        <w:spacing w:before="120" w:after="120" w:line="240" w:lineRule="auto"/>
        <w:rPr>
          <w:rFonts w:ascii="Calibri" w:eastAsia="Calibri" w:hAnsi="Calibri" w:cs="Times New Roman"/>
        </w:rPr>
      </w:pPr>
      <w:r w:rsidRPr="00D76799">
        <w:rPr>
          <w:rFonts w:ascii="Calibri" w:eastAsia="Calibri" w:hAnsi="Calibri" w:cs="Times New Roman"/>
        </w:rPr>
        <w:t>closure of operations</w:t>
      </w:r>
    </w:p>
    <w:p w14:paraId="47B619AB" w14:textId="18F8AD21" w:rsidR="00D76799" w:rsidRPr="00D76799" w:rsidRDefault="00D76799" w:rsidP="000F209C">
      <w:pPr>
        <w:numPr>
          <w:ilvl w:val="1"/>
          <w:numId w:val="30"/>
        </w:numPr>
        <w:spacing w:before="120" w:after="120" w:line="240" w:lineRule="auto"/>
        <w:rPr>
          <w:rFonts w:ascii="Calibri" w:eastAsia="Calibri" w:hAnsi="Calibri" w:cs="Times New Roman"/>
        </w:rPr>
      </w:pPr>
      <w:r w:rsidRPr="00D76799">
        <w:rPr>
          <w:rFonts w:ascii="Calibri" w:eastAsia="Calibri" w:hAnsi="Calibri" w:cs="Times New Roman"/>
        </w:rPr>
        <w:t>financial losses from defaults, restructuring or guarantee calls</w:t>
      </w:r>
      <w:r w:rsidR="000C22D6">
        <w:rPr>
          <w:rFonts w:ascii="Calibri" w:eastAsia="Calibri" w:hAnsi="Calibri" w:cs="Times New Roman"/>
        </w:rPr>
        <w:t>.</w:t>
      </w:r>
    </w:p>
    <w:p w14:paraId="3003A2AB" w14:textId="77777777" w:rsidR="00D76799" w:rsidRPr="00D76799" w:rsidRDefault="00D76799" w:rsidP="000F209C">
      <w:pPr>
        <w:numPr>
          <w:ilvl w:val="0"/>
          <w:numId w:val="31"/>
        </w:numPr>
        <w:spacing w:before="120" w:after="120" w:line="240" w:lineRule="auto"/>
        <w:rPr>
          <w:rFonts w:ascii="Calibri" w:eastAsia="Calibri" w:hAnsi="Calibri" w:cs="Times New Roman"/>
        </w:rPr>
      </w:pPr>
      <w:r w:rsidRPr="00D76799">
        <w:rPr>
          <w:rFonts w:ascii="Calibri" w:eastAsia="Calibri" w:hAnsi="Calibri" w:cs="Times New Roman"/>
          <w:b/>
          <w:lang w:val="en-GB"/>
        </w:rPr>
        <w:lastRenderedPageBreak/>
        <w:t xml:space="preserve">Institutional, capacity and financing requirements. </w:t>
      </w:r>
      <w:r w:rsidRPr="00D76799">
        <w:rPr>
          <w:rFonts w:ascii="Calibri" w:eastAsia="Calibri" w:hAnsi="Calibri" w:cs="Times New Roman"/>
          <w:lang w:val="en-GB"/>
        </w:rPr>
        <w:t xml:space="preserve">Present a range of options for institutional arrangements, analysing the strengths, weaknesses, </w:t>
      </w:r>
      <w:proofErr w:type="gramStart"/>
      <w:r w:rsidRPr="00D76799">
        <w:rPr>
          <w:rFonts w:ascii="Calibri" w:eastAsia="Calibri" w:hAnsi="Calibri" w:cs="Times New Roman"/>
          <w:lang w:val="en-GB"/>
        </w:rPr>
        <w:t>opportunities</w:t>
      </w:r>
      <w:proofErr w:type="gramEnd"/>
      <w:r w:rsidRPr="00D76799">
        <w:rPr>
          <w:rFonts w:ascii="Calibri" w:eastAsia="Calibri" w:hAnsi="Calibri" w:cs="Times New Roman"/>
          <w:lang w:val="en-GB"/>
        </w:rPr>
        <w:t xml:space="preserve"> and risks of each, including with regard to:</w:t>
      </w:r>
    </w:p>
    <w:p w14:paraId="16844307" w14:textId="77777777" w:rsidR="00D76799" w:rsidRPr="00D76799" w:rsidRDefault="00D76799" w:rsidP="000F209C">
      <w:pPr>
        <w:numPr>
          <w:ilvl w:val="1"/>
          <w:numId w:val="30"/>
        </w:numPr>
        <w:spacing w:before="120" w:after="120" w:line="240" w:lineRule="auto"/>
        <w:rPr>
          <w:rFonts w:ascii="Calibri" w:eastAsia="Calibri" w:hAnsi="Calibri" w:cs="Times New Roman"/>
        </w:rPr>
      </w:pPr>
      <w:r w:rsidRPr="00D76799">
        <w:rPr>
          <w:rFonts w:ascii="Calibri" w:eastAsia="Calibri" w:hAnsi="Calibri" w:cs="Times New Roman"/>
          <w:lang w:val="en-GB"/>
        </w:rPr>
        <w:t>effectiveness in delivering strategic and development objectives</w:t>
      </w:r>
    </w:p>
    <w:p w14:paraId="6B0C3344" w14:textId="77777777" w:rsidR="00D76799" w:rsidRPr="00D76799" w:rsidRDefault="00D76799" w:rsidP="000F209C">
      <w:pPr>
        <w:numPr>
          <w:ilvl w:val="1"/>
          <w:numId w:val="30"/>
        </w:numPr>
        <w:spacing w:before="120" w:after="120" w:line="240" w:lineRule="auto"/>
        <w:rPr>
          <w:rFonts w:ascii="Calibri" w:eastAsia="Calibri" w:hAnsi="Calibri" w:cs="Times New Roman"/>
        </w:rPr>
      </w:pPr>
      <w:r w:rsidRPr="00D76799">
        <w:rPr>
          <w:rFonts w:ascii="Calibri" w:eastAsia="Calibri" w:hAnsi="Calibri" w:cs="Times New Roman"/>
          <w:lang w:val="en-GB"/>
        </w:rPr>
        <w:t xml:space="preserve">time, </w:t>
      </w:r>
      <w:proofErr w:type="gramStart"/>
      <w:r w:rsidRPr="00D76799">
        <w:rPr>
          <w:rFonts w:ascii="Calibri" w:eastAsia="Calibri" w:hAnsi="Calibri" w:cs="Times New Roman"/>
          <w:lang w:val="en-GB"/>
        </w:rPr>
        <w:t>cost</w:t>
      </w:r>
      <w:proofErr w:type="gramEnd"/>
      <w:r w:rsidRPr="00D76799">
        <w:rPr>
          <w:rFonts w:ascii="Calibri" w:eastAsia="Calibri" w:hAnsi="Calibri" w:cs="Times New Roman"/>
          <w:lang w:val="en-GB"/>
        </w:rPr>
        <w:t xml:space="preserve"> and feasibility of developing or recruiting the necessary capability </w:t>
      </w:r>
    </w:p>
    <w:p w14:paraId="4E179BBB" w14:textId="77777777" w:rsidR="00D76799" w:rsidRPr="00D76799" w:rsidRDefault="00D76799" w:rsidP="000F209C">
      <w:pPr>
        <w:numPr>
          <w:ilvl w:val="1"/>
          <w:numId w:val="30"/>
        </w:numPr>
        <w:spacing w:before="120" w:after="120" w:line="240" w:lineRule="auto"/>
        <w:rPr>
          <w:rFonts w:ascii="Calibri" w:eastAsia="Calibri" w:hAnsi="Calibri" w:cs="Times New Roman"/>
        </w:rPr>
      </w:pPr>
      <w:r w:rsidRPr="00D76799">
        <w:rPr>
          <w:rFonts w:ascii="Calibri" w:eastAsia="Calibri" w:hAnsi="Calibri" w:cs="Times New Roman"/>
          <w:lang w:val="en-GB"/>
        </w:rPr>
        <w:t xml:space="preserve">start-up and ongoing operational costs, including </w:t>
      </w:r>
      <w:proofErr w:type="gramStart"/>
      <w:r w:rsidRPr="00D76799">
        <w:rPr>
          <w:rFonts w:ascii="Calibri" w:eastAsia="Calibri" w:hAnsi="Calibri" w:cs="Times New Roman"/>
          <w:lang w:val="en-GB"/>
        </w:rPr>
        <w:t>with regard to</w:t>
      </w:r>
      <w:proofErr w:type="gramEnd"/>
      <w:r w:rsidRPr="00D76799">
        <w:rPr>
          <w:rFonts w:ascii="Calibri" w:eastAsia="Calibri" w:hAnsi="Calibri" w:cs="Times New Roman"/>
          <w:lang w:val="en-GB"/>
        </w:rPr>
        <w:t xml:space="preserve"> any initial capital investment</w:t>
      </w:r>
    </w:p>
    <w:p w14:paraId="7ABE41A7" w14:textId="77777777" w:rsidR="00D76799" w:rsidRPr="00D76799" w:rsidRDefault="00D76799" w:rsidP="000F209C">
      <w:pPr>
        <w:numPr>
          <w:ilvl w:val="1"/>
          <w:numId w:val="30"/>
        </w:numPr>
        <w:spacing w:before="120" w:after="120" w:line="240" w:lineRule="auto"/>
        <w:rPr>
          <w:rFonts w:ascii="Calibri" w:eastAsia="Calibri" w:hAnsi="Calibri" w:cs="Times New Roman"/>
        </w:rPr>
      </w:pPr>
      <w:r w:rsidRPr="00D76799">
        <w:rPr>
          <w:rFonts w:ascii="Calibri" w:eastAsia="Calibri" w:hAnsi="Calibri" w:cs="Times New Roman"/>
          <w:lang w:val="en-GB"/>
        </w:rPr>
        <w:t>sustainability of financing and operations</w:t>
      </w:r>
    </w:p>
    <w:p w14:paraId="6FE99302" w14:textId="77777777" w:rsidR="00D76799" w:rsidRPr="00D76799" w:rsidRDefault="00D76799" w:rsidP="000F209C">
      <w:pPr>
        <w:numPr>
          <w:ilvl w:val="1"/>
          <w:numId w:val="30"/>
        </w:numPr>
        <w:spacing w:before="120" w:after="120" w:line="240" w:lineRule="auto"/>
        <w:rPr>
          <w:rFonts w:ascii="Calibri" w:eastAsia="Calibri" w:hAnsi="Calibri" w:cs="Times New Roman"/>
        </w:rPr>
      </w:pPr>
      <w:r w:rsidRPr="00D76799">
        <w:rPr>
          <w:rFonts w:ascii="Calibri" w:eastAsia="Calibri" w:hAnsi="Calibri" w:cs="Times New Roman"/>
          <w:lang w:val="en-GB"/>
        </w:rPr>
        <w:t xml:space="preserve">pricing and sale of illiquid equity investments </w:t>
      </w:r>
    </w:p>
    <w:p w14:paraId="6EB9B0EE" w14:textId="77777777" w:rsidR="00D76799" w:rsidRPr="00D76799" w:rsidRDefault="00D76799" w:rsidP="000F209C">
      <w:pPr>
        <w:numPr>
          <w:ilvl w:val="1"/>
          <w:numId w:val="30"/>
        </w:numPr>
        <w:spacing w:before="120" w:after="120" w:line="240" w:lineRule="auto"/>
        <w:rPr>
          <w:rFonts w:ascii="Calibri" w:eastAsia="Calibri" w:hAnsi="Calibri" w:cs="Times New Roman"/>
        </w:rPr>
      </w:pPr>
      <w:r w:rsidRPr="00D76799">
        <w:rPr>
          <w:rFonts w:ascii="Calibri" w:eastAsia="Calibri" w:hAnsi="Calibri" w:cs="Times New Roman"/>
          <w:lang w:val="en-GB"/>
        </w:rPr>
        <w:t xml:space="preserve">DFAT’s safeguard and policy requirements. </w:t>
      </w:r>
    </w:p>
    <w:p w14:paraId="64C58861" w14:textId="17167F24" w:rsidR="00D76799" w:rsidRPr="00D76799" w:rsidRDefault="00D76799" w:rsidP="000F209C">
      <w:pPr>
        <w:numPr>
          <w:ilvl w:val="0"/>
          <w:numId w:val="30"/>
        </w:numPr>
        <w:spacing w:before="120" w:after="120" w:line="240" w:lineRule="auto"/>
        <w:rPr>
          <w:rFonts w:ascii="Calibri" w:eastAsia="Calibri" w:hAnsi="Calibri" w:cs="Times New Roman"/>
        </w:rPr>
      </w:pPr>
      <w:r w:rsidRPr="00D76799">
        <w:rPr>
          <w:rFonts w:ascii="Calibri" w:eastAsia="Calibri" w:hAnsi="Calibri" w:cs="Times New Roman"/>
          <w:b/>
        </w:rPr>
        <w:t xml:space="preserve">Regulatory and Legislative Arrangements. </w:t>
      </w:r>
      <w:r w:rsidRPr="00D76799">
        <w:rPr>
          <w:rFonts w:ascii="Calibri" w:eastAsia="Calibri" w:hAnsi="Calibri" w:cs="Times New Roman"/>
        </w:rPr>
        <w:t>For each instrument,</w:t>
      </w:r>
      <w:r w:rsidRPr="00D76799">
        <w:rPr>
          <w:rFonts w:ascii="Calibri" w:eastAsia="Calibri" w:hAnsi="Calibri" w:cs="Times New Roman"/>
          <w:b/>
        </w:rPr>
        <w:t xml:space="preserve"> </w:t>
      </w:r>
      <w:r w:rsidRPr="00D76799">
        <w:rPr>
          <w:rFonts w:ascii="Calibri" w:eastAsia="Calibri" w:hAnsi="Calibri" w:cs="Times New Roman"/>
        </w:rPr>
        <w:t xml:space="preserve">analyse and make recommendations </w:t>
      </w:r>
      <w:proofErr w:type="gramStart"/>
      <w:r w:rsidRPr="00D76799">
        <w:rPr>
          <w:rFonts w:ascii="Calibri" w:eastAsia="Calibri" w:hAnsi="Calibri" w:cs="Times New Roman"/>
        </w:rPr>
        <w:t>with regard to</w:t>
      </w:r>
      <w:proofErr w:type="gramEnd"/>
      <w:r w:rsidRPr="00D76799">
        <w:rPr>
          <w:rFonts w:ascii="Calibri" w:eastAsia="Calibri" w:hAnsi="Calibri" w:cs="Times New Roman"/>
        </w:rPr>
        <w:t xml:space="preserve"> regulatory and legislative requirements and the associated institutional arrangements, including:</w:t>
      </w:r>
    </w:p>
    <w:p w14:paraId="090DDD10" w14:textId="344850EA" w:rsidR="00D76799" w:rsidRPr="00D76799" w:rsidRDefault="000C22D6" w:rsidP="000F209C">
      <w:pPr>
        <w:numPr>
          <w:ilvl w:val="1"/>
          <w:numId w:val="30"/>
        </w:numPr>
        <w:spacing w:before="120" w:after="120" w:line="240" w:lineRule="auto"/>
        <w:rPr>
          <w:rFonts w:ascii="Calibri" w:eastAsia="Calibri" w:hAnsi="Calibri" w:cs="Times New Roman"/>
        </w:rPr>
      </w:pPr>
      <w:r>
        <w:rPr>
          <w:rFonts w:ascii="Calibri" w:eastAsia="Calibri" w:hAnsi="Calibri" w:cs="Times New Roman"/>
        </w:rPr>
        <w:t>m</w:t>
      </w:r>
      <w:r w:rsidRPr="00D76799">
        <w:rPr>
          <w:rFonts w:ascii="Calibri" w:eastAsia="Calibri" w:hAnsi="Calibri" w:cs="Times New Roman"/>
        </w:rPr>
        <w:t xml:space="preserve">eans </w:t>
      </w:r>
      <w:r w:rsidR="00D76799" w:rsidRPr="00D76799">
        <w:rPr>
          <w:rFonts w:ascii="Calibri" w:eastAsia="Calibri" w:hAnsi="Calibri" w:cs="Times New Roman"/>
        </w:rPr>
        <w:t xml:space="preserve">of ensuring compliance with relevant existing legislation, such as the </w:t>
      </w:r>
      <w:r w:rsidR="00D76799" w:rsidRPr="00D76799">
        <w:rPr>
          <w:rFonts w:ascii="Calibri" w:eastAsia="Calibri" w:hAnsi="Calibri" w:cs="Times New Roman"/>
          <w:i/>
        </w:rPr>
        <w:t>PGPA Act</w:t>
      </w:r>
      <w:r w:rsidR="00D76799" w:rsidRPr="00D76799">
        <w:rPr>
          <w:rFonts w:ascii="Calibri" w:eastAsia="Calibri" w:hAnsi="Calibri" w:cs="Times New Roman"/>
        </w:rPr>
        <w:t xml:space="preserve"> and the </w:t>
      </w:r>
      <w:r w:rsidR="00D76799" w:rsidRPr="00D76799">
        <w:rPr>
          <w:rFonts w:ascii="Calibri" w:eastAsia="Calibri" w:hAnsi="Calibri" w:cs="Times New Roman"/>
          <w:i/>
        </w:rPr>
        <w:t>Financial Framework (Supplementary Powers</w:t>
      </w:r>
      <w:r w:rsidR="00CC3F16">
        <w:rPr>
          <w:rFonts w:ascii="Calibri" w:eastAsia="Calibri" w:hAnsi="Calibri" w:cs="Times New Roman"/>
          <w:i/>
        </w:rPr>
        <w:t>)</w:t>
      </w:r>
      <w:r w:rsidR="00D76799" w:rsidRPr="00D76799">
        <w:rPr>
          <w:rFonts w:ascii="Calibri" w:eastAsia="Calibri" w:hAnsi="Calibri" w:cs="Times New Roman"/>
          <w:i/>
        </w:rPr>
        <w:t xml:space="preserve"> Act</w:t>
      </w:r>
    </w:p>
    <w:p w14:paraId="73E670E5" w14:textId="201E6C53" w:rsidR="00D76799" w:rsidRPr="00D76799" w:rsidRDefault="000C22D6" w:rsidP="000F209C">
      <w:pPr>
        <w:numPr>
          <w:ilvl w:val="1"/>
          <w:numId w:val="30"/>
        </w:numPr>
        <w:spacing w:before="120" w:after="120" w:line="240" w:lineRule="auto"/>
        <w:rPr>
          <w:rFonts w:ascii="Calibri" w:eastAsia="Calibri" w:hAnsi="Calibri" w:cs="Times New Roman"/>
        </w:rPr>
      </w:pPr>
      <w:r>
        <w:rPr>
          <w:rFonts w:ascii="Calibri" w:eastAsia="Calibri" w:hAnsi="Calibri" w:cs="Times New Roman"/>
        </w:rPr>
        <w:t>r</w:t>
      </w:r>
      <w:r w:rsidRPr="00D76799">
        <w:rPr>
          <w:rFonts w:ascii="Calibri" w:eastAsia="Calibri" w:hAnsi="Calibri" w:cs="Times New Roman"/>
        </w:rPr>
        <w:t xml:space="preserve">equirements </w:t>
      </w:r>
      <w:r w:rsidR="00D76799" w:rsidRPr="00D76799">
        <w:rPr>
          <w:rFonts w:ascii="Calibri" w:eastAsia="Calibri" w:hAnsi="Calibri" w:cs="Times New Roman"/>
        </w:rPr>
        <w:t xml:space="preserve">for new legislation or amendments to existing legislation </w:t>
      </w:r>
    </w:p>
    <w:p w14:paraId="6A860955" w14:textId="4A2E7DC0" w:rsidR="00D76799" w:rsidRPr="00D76799" w:rsidRDefault="000C22D6" w:rsidP="000F209C">
      <w:pPr>
        <w:numPr>
          <w:ilvl w:val="1"/>
          <w:numId w:val="30"/>
        </w:numPr>
        <w:spacing w:before="120" w:after="120" w:line="240" w:lineRule="auto"/>
        <w:rPr>
          <w:rFonts w:ascii="Calibri" w:eastAsia="Calibri" w:hAnsi="Calibri" w:cs="Times New Roman"/>
        </w:rPr>
      </w:pPr>
      <w:r>
        <w:rPr>
          <w:rFonts w:ascii="Calibri" w:eastAsia="Calibri" w:hAnsi="Calibri" w:cs="Times New Roman"/>
        </w:rPr>
        <w:t>r</w:t>
      </w:r>
      <w:r w:rsidRPr="00D76799">
        <w:rPr>
          <w:rFonts w:ascii="Calibri" w:eastAsia="Calibri" w:hAnsi="Calibri" w:cs="Times New Roman"/>
        </w:rPr>
        <w:t xml:space="preserve">equirements </w:t>
      </w:r>
      <w:r w:rsidR="00D76799" w:rsidRPr="00D76799">
        <w:rPr>
          <w:rFonts w:ascii="Calibri" w:eastAsia="Calibri" w:hAnsi="Calibri" w:cs="Times New Roman"/>
        </w:rPr>
        <w:t>for new or amended regulatory arrangements</w:t>
      </w:r>
      <w:r>
        <w:rPr>
          <w:rFonts w:ascii="Calibri" w:eastAsia="Calibri" w:hAnsi="Calibri" w:cs="Times New Roman"/>
        </w:rPr>
        <w:t>.</w:t>
      </w:r>
      <w:r w:rsidR="00D76799" w:rsidRPr="00D76799">
        <w:rPr>
          <w:rFonts w:ascii="Calibri" w:eastAsia="Calibri" w:hAnsi="Calibri" w:cs="Times New Roman"/>
        </w:rPr>
        <w:t xml:space="preserve"> </w:t>
      </w:r>
    </w:p>
    <w:p w14:paraId="3696F5E2" w14:textId="77777777" w:rsidR="00D76799" w:rsidRDefault="00D76799" w:rsidP="00594341">
      <w:pPr>
        <w:spacing w:before="120" w:after="120" w:line="240" w:lineRule="auto"/>
        <w:rPr>
          <w:rFonts w:ascii="Calibri" w:eastAsia="Calibri" w:hAnsi="Calibri" w:cs="Times New Roman"/>
        </w:rPr>
      </w:pPr>
    </w:p>
    <w:p w14:paraId="7224957D" w14:textId="77777777" w:rsidR="001C5947" w:rsidRDefault="001C5947" w:rsidP="00594341">
      <w:pPr>
        <w:spacing w:before="120" w:after="120" w:line="240" w:lineRule="auto"/>
        <w:rPr>
          <w:rFonts w:ascii="Calibri" w:eastAsia="Calibri" w:hAnsi="Calibri" w:cs="Times New Roman"/>
        </w:rPr>
      </w:pPr>
    </w:p>
    <w:p w14:paraId="780A5AA3" w14:textId="77777777" w:rsidR="007F37F2" w:rsidRDefault="007F37F2" w:rsidP="00594341">
      <w:pPr>
        <w:spacing w:before="120" w:after="120" w:line="240" w:lineRule="auto"/>
        <w:rPr>
          <w:rFonts w:ascii="Calibri" w:eastAsia="Calibri" w:hAnsi="Calibri" w:cs="Times New Roman"/>
        </w:rPr>
        <w:sectPr w:rsidR="007F37F2" w:rsidSect="000514E0">
          <w:pgSz w:w="11906" w:h="16838"/>
          <w:pgMar w:top="1440" w:right="1440" w:bottom="1440" w:left="1440" w:header="708" w:footer="708" w:gutter="0"/>
          <w:pgNumType w:start="1"/>
          <w:cols w:space="708"/>
          <w:titlePg/>
          <w:docGrid w:linePitch="360"/>
        </w:sectPr>
      </w:pPr>
    </w:p>
    <w:p w14:paraId="19BE2FE0" w14:textId="1009E8FE" w:rsidR="007F37F2" w:rsidRPr="00C04BA5" w:rsidRDefault="007F37F2" w:rsidP="00C04BA5">
      <w:pPr>
        <w:rPr>
          <w:sz w:val="28"/>
          <w:szCs w:val="28"/>
        </w:rPr>
      </w:pPr>
      <w:r>
        <w:rPr>
          <w:sz w:val="28"/>
          <w:szCs w:val="28"/>
        </w:rPr>
        <w:lastRenderedPageBreak/>
        <w:t>ANNEX 2</w:t>
      </w:r>
      <w:r w:rsidRPr="00C04BA5">
        <w:rPr>
          <w:sz w:val="28"/>
          <w:szCs w:val="28"/>
        </w:rPr>
        <w:t xml:space="preserve"> - Risk-management matrix</w:t>
      </w:r>
    </w:p>
    <w:p w14:paraId="6AAD32AB" w14:textId="6CB8CB44" w:rsidR="00C951A9" w:rsidRDefault="007F37F2" w:rsidP="007F37F2">
      <w:r w:rsidRPr="004C0F8F">
        <w:t xml:space="preserve">This matrix is confined to the set of risks which would be associated with adding NGF to choices of financing methods in the development-assistance program, while maintaining the program’s present policies, safeguards and practices. It therefore addresses a small set of risks compared with those already associated with managing the program – for example, those identified and addressed recently in preparing EMIIF and the Southeast Asia Economic Governance and Infrastructure Facility. </w:t>
      </w:r>
    </w:p>
    <w:p w14:paraId="0933F6B5" w14:textId="260AFC1E" w:rsidR="007F37F2" w:rsidRPr="004C0F8F" w:rsidRDefault="007F37F2" w:rsidP="007F37F2">
      <w:r w:rsidRPr="004C0F8F">
        <w:t>Estimates of likelihood cannot at this stage be made with any precision, and so are presented in terms of bands: small = less than 10%, moderate = 10-24%, substantial = 25-49%, large = 50% or more.</w:t>
      </w:r>
    </w:p>
    <w:tbl>
      <w:tblPr>
        <w:tblStyle w:val="TableGrid6"/>
        <w:tblW w:w="0" w:type="auto"/>
        <w:tblInd w:w="-147" w:type="dxa"/>
        <w:tblLayout w:type="fixed"/>
        <w:tblLook w:val="04A0" w:firstRow="1" w:lastRow="0" w:firstColumn="1" w:lastColumn="0" w:noHBand="0" w:noVBand="1"/>
      </w:tblPr>
      <w:tblGrid>
        <w:gridCol w:w="1278"/>
        <w:gridCol w:w="2983"/>
        <w:gridCol w:w="1278"/>
        <w:gridCol w:w="1266"/>
        <w:gridCol w:w="1148"/>
        <w:gridCol w:w="3813"/>
        <w:gridCol w:w="1276"/>
        <w:gridCol w:w="1017"/>
      </w:tblGrid>
      <w:tr w:rsidR="00B43477" w:rsidRPr="004C0F8F" w14:paraId="3EAA6BFE" w14:textId="77777777" w:rsidTr="00B46545">
        <w:trPr>
          <w:trHeight w:val="893"/>
          <w:tblHeader/>
        </w:trPr>
        <w:tc>
          <w:tcPr>
            <w:tcW w:w="1278" w:type="dxa"/>
          </w:tcPr>
          <w:p w14:paraId="298C320E" w14:textId="085AE7AB" w:rsidR="007F37F2" w:rsidRPr="004C0F8F" w:rsidRDefault="007F37F2" w:rsidP="00040DE7">
            <w:pPr>
              <w:rPr>
                <w:b/>
                <w:sz w:val="20"/>
                <w:szCs w:val="20"/>
              </w:rPr>
            </w:pPr>
            <w:bookmarkStart w:id="55" w:name="_Hlk535663334"/>
            <w:r w:rsidRPr="004C0F8F">
              <w:rPr>
                <w:b/>
                <w:sz w:val="20"/>
                <w:szCs w:val="20"/>
              </w:rPr>
              <w:t>risk category</w:t>
            </w:r>
          </w:p>
          <w:p w14:paraId="026914B0" w14:textId="22763742" w:rsidR="007F37F2" w:rsidRPr="004C0F8F" w:rsidRDefault="00B43477" w:rsidP="00040DE7">
            <w:pPr>
              <w:rPr>
                <w:b/>
                <w:sz w:val="20"/>
                <w:szCs w:val="20"/>
              </w:rPr>
            </w:pPr>
            <w:r>
              <w:rPr>
                <w:b/>
                <w:sz w:val="20"/>
                <w:szCs w:val="20"/>
              </w:rPr>
              <w:t>(</w:t>
            </w:r>
            <w:r w:rsidR="007F37F2" w:rsidRPr="004C0F8F">
              <w:rPr>
                <w:b/>
                <w:sz w:val="20"/>
                <w:szCs w:val="20"/>
              </w:rPr>
              <w:t>shaded for importance</w:t>
            </w:r>
            <w:r>
              <w:rPr>
                <w:b/>
                <w:sz w:val="20"/>
                <w:szCs w:val="20"/>
              </w:rPr>
              <w:t>)</w:t>
            </w:r>
            <w:r w:rsidR="007F37F2" w:rsidRPr="004C0F8F">
              <w:rPr>
                <w:b/>
                <w:sz w:val="20"/>
                <w:szCs w:val="20"/>
              </w:rPr>
              <w:t xml:space="preserve"> </w:t>
            </w:r>
          </w:p>
        </w:tc>
        <w:tc>
          <w:tcPr>
            <w:tcW w:w="2983" w:type="dxa"/>
          </w:tcPr>
          <w:p w14:paraId="144B5000" w14:textId="77777777" w:rsidR="007F37F2" w:rsidRPr="004C0F8F" w:rsidRDefault="007F37F2" w:rsidP="00040DE7">
            <w:pPr>
              <w:rPr>
                <w:sz w:val="20"/>
                <w:szCs w:val="20"/>
              </w:rPr>
            </w:pPr>
            <w:r w:rsidRPr="004C0F8F">
              <w:rPr>
                <w:b/>
                <w:sz w:val="20"/>
                <w:szCs w:val="20"/>
              </w:rPr>
              <w:t>risk event</w:t>
            </w:r>
          </w:p>
        </w:tc>
        <w:tc>
          <w:tcPr>
            <w:tcW w:w="1278" w:type="dxa"/>
          </w:tcPr>
          <w:p w14:paraId="2848BBFD" w14:textId="77777777" w:rsidR="007F37F2" w:rsidRPr="004C0F8F" w:rsidRDefault="007F37F2" w:rsidP="00040DE7">
            <w:pPr>
              <w:rPr>
                <w:sz w:val="20"/>
                <w:szCs w:val="20"/>
              </w:rPr>
            </w:pPr>
            <w:r w:rsidRPr="004C0F8F">
              <w:rPr>
                <w:b/>
                <w:sz w:val="20"/>
                <w:szCs w:val="20"/>
              </w:rPr>
              <w:t>risk source</w:t>
            </w:r>
          </w:p>
        </w:tc>
        <w:tc>
          <w:tcPr>
            <w:tcW w:w="1266" w:type="dxa"/>
          </w:tcPr>
          <w:p w14:paraId="096094EE" w14:textId="77777777" w:rsidR="007F37F2" w:rsidRPr="004C0F8F" w:rsidRDefault="007F37F2" w:rsidP="00040DE7">
            <w:pPr>
              <w:rPr>
                <w:sz w:val="20"/>
                <w:szCs w:val="20"/>
              </w:rPr>
            </w:pPr>
            <w:r w:rsidRPr="004C0F8F">
              <w:rPr>
                <w:b/>
                <w:sz w:val="20"/>
                <w:szCs w:val="20"/>
              </w:rPr>
              <w:t>risk impact</w:t>
            </w:r>
          </w:p>
        </w:tc>
        <w:tc>
          <w:tcPr>
            <w:tcW w:w="1148" w:type="dxa"/>
          </w:tcPr>
          <w:p w14:paraId="593E34E4" w14:textId="6FC6E60C" w:rsidR="007F37F2" w:rsidRPr="004C0F8F" w:rsidRDefault="00B43477" w:rsidP="00040DE7">
            <w:pPr>
              <w:rPr>
                <w:sz w:val="20"/>
                <w:szCs w:val="20"/>
              </w:rPr>
            </w:pPr>
            <w:r w:rsidRPr="004C0F8F">
              <w:rPr>
                <w:b/>
                <w:sz w:val="20"/>
                <w:szCs w:val="20"/>
              </w:rPr>
              <w:t xml:space="preserve">likelihood </w:t>
            </w:r>
            <w:r>
              <w:rPr>
                <w:b/>
                <w:sz w:val="20"/>
                <w:szCs w:val="20"/>
              </w:rPr>
              <w:t>without treatments</w:t>
            </w:r>
          </w:p>
        </w:tc>
        <w:tc>
          <w:tcPr>
            <w:tcW w:w="3813" w:type="dxa"/>
          </w:tcPr>
          <w:p w14:paraId="42800524" w14:textId="3C74547E" w:rsidR="007F37F2" w:rsidRPr="004C0F8F" w:rsidRDefault="007F37F2" w:rsidP="00040DE7">
            <w:pPr>
              <w:rPr>
                <w:sz w:val="20"/>
                <w:szCs w:val="20"/>
              </w:rPr>
            </w:pPr>
            <w:r w:rsidRPr="004C0F8F">
              <w:rPr>
                <w:b/>
                <w:sz w:val="20"/>
                <w:szCs w:val="20"/>
              </w:rPr>
              <w:t xml:space="preserve">recommended </w:t>
            </w:r>
            <w:r w:rsidR="005A413B">
              <w:rPr>
                <w:b/>
                <w:sz w:val="20"/>
                <w:szCs w:val="20"/>
              </w:rPr>
              <w:t>treatment</w:t>
            </w:r>
            <w:r w:rsidRPr="004C0F8F">
              <w:rPr>
                <w:b/>
                <w:sz w:val="20"/>
                <w:szCs w:val="20"/>
              </w:rPr>
              <w:t>s</w:t>
            </w:r>
          </w:p>
        </w:tc>
        <w:tc>
          <w:tcPr>
            <w:tcW w:w="1276" w:type="dxa"/>
          </w:tcPr>
          <w:p w14:paraId="445208A6" w14:textId="214AF3C6" w:rsidR="007F37F2" w:rsidRPr="004C0F8F" w:rsidRDefault="005A413B" w:rsidP="00040DE7">
            <w:pPr>
              <w:rPr>
                <w:sz w:val="20"/>
                <w:szCs w:val="20"/>
              </w:rPr>
            </w:pPr>
            <w:r w:rsidRPr="004C0F8F">
              <w:rPr>
                <w:b/>
                <w:sz w:val="20"/>
                <w:szCs w:val="20"/>
              </w:rPr>
              <w:t xml:space="preserve">likelihood </w:t>
            </w:r>
            <w:r>
              <w:rPr>
                <w:b/>
                <w:sz w:val="20"/>
                <w:szCs w:val="20"/>
              </w:rPr>
              <w:t>with treatments</w:t>
            </w:r>
            <w:r w:rsidR="007F37F2" w:rsidRPr="004C0F8F">
              <w:rPr>
                <w:b/>
                <w:sz w:val="20"/>
                <w:szCs w:val="20"/>
              </w:rPr>
              <w:t xml:space="preserve"> </w:t>
            </w:r>
          </w:p>
        </w:tc>
        <w:tc>
          <w:tcPr>
            <w:tcW w:w="1017" w:type="dxa"/>
          </w:tcPr>
          <w:p w14:paraId="1A22A897" w14:textId="0A5C0FA3" w:rsidR="007F37F2" w:rsidRPr="004C0F8F" w:rsidRDefault="00B43477" w:rsidP="00040DE7">
            <w:pPr>
              <w:rPr>
                <w:sz w:val="20"/>
                <w:szCs w:val="20"/>
              </w:rPr>
            </w:pPr>
            <w:r>
              <w:rPr>
                <w:b/>
                <w:sz w:val="20"/>
                <w:szCs w:val="20"/>
              </w:rPr>
              <w:t xml:space="preserve">target </w:t>
            </w:r>
            <w:r w:rsidR="007F37F2" w:rsidRPr="004C0F8F">
              <w:rPr>
                <w:b/>
                <w:sz w:val="20"/>
                <w:szCs w:val="20"/>
              </w:rPr>
              <w:t xml:space="preserve">risk rating </w:t>
            </w:r>
          </w:p>
        </w:tc>
      </w:tr>
      <w:bookmarkEnd w:id="55"/>
      <w:tr w:rsidR="00B43477" w:rsidRPr="004C0F8F" w14:paraId="3E33E839" w14:textId="77777777" w:rsidTr="00DB495C">
        <w:trPr>
          <w:trHeight w:val="893"/>
        </w:trPr>
        <w:tc>
          <w:tcPr>
            <w:tcW w:w="1278" w:type="dxa"/>
            <w:vMerge w:val="restart"/>
            <w:shd w:val="clear" w:color="auto" w:fill="EA585D"/>
          </w:tcPr>
          <w:p w14:paraId="2AFDBF86" w14:textId="77777777" w:rsidR="007F37F2" w:rsidRPr="004C0F8F" w:rsidRDefault="007F37F2" w:rsidP="00040DE7">
            <w:pPr>
              <w:rPr>
                <w:b/>
                <w:sz w:val="20"/>
                <w:szCs w:val="20"/>
              </w:rPr>
            </w:pPr>
            <w:r w:rsidRPr="004C0F8F">
              <w:rPr>
                <w:b/>
                <w:sz w:val="20"/>
                <w:szCs w:val="20"/>
              </w:rPr>
              <w:t>political</w:t>
            </w:r>
          </w:p>
        </w:tc>
        <w:tc>
          <w:tcPr>
            <w:tcW w:w="2983" w:type="dxa"/>
          </w:tcPr>
          <w:p w14:paraId="63A93FC2" w14:textId="77777777" w:rsidR="007F37F2" w:rsidRPr="004C0F8F" w:rsidRDefault="007F37F2" w:rsidP="00040DE7">
            <w:pPr>
              <w:rPr>
                <w:sz w:val="20"/>
                <w:szCs w:val="20"/>
              </w:rPr>
            </w:pPr>
            <w:r w:rsidRPr="004C0F8F">
              <w:rPr>
                <w:sz w:val="20"/>
                <w:szCs w:val="20"/>
              </w:rPr>
              <w:t>host government, as borrower or guarantor, objects to Australian action to protect the value of investments</w:t>
            </w:r>
          </w:p>
        </w:tc>
        <w:tc>
          <w:tcPr>
            <w:tcW w:w="1278" w:type="dxa"/>
          </w:tcPr>
          <w:p w14:paraId="6EFFEBA3" w14:textId="77777777" w:rsidR="007F37F2" w:rsidRPr="004C0F8F" w:rsidRDefault="007F37F2" w:rsidP="00040DE7">
            <w:pPr>
              <w:rPr>
                <w:sz w:val="20"/>
                <w:szCs w:val="20"/>
              </w:rPr>
            </w:pPr>
            <w:r w:rsidRPr="004C0F8F">
              <w:rPr>
                <w:sz w:val="20"/>
                <w:szCs w:val="20"/>
              </w:rPr>
              <w:t>government hosting investment</w:t>
            </w:r>
          </w:p>
        </w:tc>
        <w:tc>
          <w:tcPr>
            <w:tcW w:w="1266" w:type="dxa"/>
          </w:tcPr>
          <w:p w14:paraId="6AFFB736" w14:textId="77777777" w:rsidR="007F37F2" w:rsidRPr="004C0F8F" w:rsidRDefault="007F37F2" w:rsidP="00040DE7">
            <w:pPr>
              <w:rPr>
                <w:sz w:val="20"/>
                <w:szCs w:val="20"/>
              </w:rPr>
            </w:pPr>
            <w:r w:rsidRPr="004C0F8F">
              <w:rPr>
                <w:sz w:val="20"/>
                <w:szCs w:val="20"/>
              </w:rPr>
              <w:t>damage to cooperative relations</w:t>
            </w:r>
          </w:p>
        </w:tc>
        <w:tc>
          <w:tcPr>
            <w:tcW w:w="1148" w:type="dxa"/>
          </w:tcPr>
          <w:p w14:paraId="6F247B24" w14:textId="77777777" w:rsidR="007F37F2" w:rsidRPr="004C0F8F" w:rsidRDefault="007F37F2" w:rsidP="00040DE7">
            <w:pPr>
              <w:rPr>
                <w:sz w:val="20"/>
                <w:szCs w:val="20"/>
              </w:rPr>
            </w:pPr>
            <w:r w:rsidRPr="004C0F8F">
              <w:rPr>
                <w:sz w:val="20"/>
                <w:szCs w:val="20"/>
              </w:rPr>
              <w:t>substantial</w:t>
            </w:r>
          </w:p>
        </w:tc>
        <w:tc>
          <w:tcPr>
            <w:tcW w:w="3813" w:type="dxa"/>
            <w:vMerge w:val="restart"/>
          </w:tcPr>
          <w:p w14:paraId="6594FCE7" w14:textId="77777777" w:rsidR="007F37F2" w:rsidRPr="004C0F8F" w:rsidRDefault="007F37F2" w:rsidP="00040DE7">
            <w:pPr>
              <w:numPr>
                <w:ilvl w:val="0"/>
                <w:numId w:val="101"/>
              </w:numPr>
              <w:rPr>
                <w:sz w:val="20"/>
                <w:szCs w:val="20"/>
              </w:rPr>
            </w:pPr>
            <w:r w:rsidRPr="004C0F8F">
              <w:rPr>
                <w:sz w:val="20"/>
                <w:szCs w:val="20"/>
              </w:rPr>
              <w:t xml:space="preserve">apply the same diplomacy as when host governments resist or criticise actions necessary to protect the purposes or standards of development investments </w:t>
            </w:r>
          </w:p>
          <w:p w14:paraId="1FB70841" w14:textId="77777777" w:rsidR="007F37F2" w:rsidRPr="004C0F8F" w:rsidRDefault="007F37F2" w:rsidP="00040DE7">
            <w:pPr>
              <w:numPr>
                <w:ilvl w:val="0"/>
                <w:numId w:val="101"/>
              </w:numPr>
              <w:rPr>
                <w:sz w:val="20"/>
                <w:szCs w:val="20"/>
              </w:rPr>
            </w:pPr>
            <w:r w:rsidRPr="004C0F8F">
              <w:rPr>
                <w:sz w:val="20"/>
                <w:szCs w:val="20"/>
              </w:rPr>
              <w:t>include in appraisals to advert to such risks and need for diplomatic resources to manage them</w:t>
            </w:r>
          </w:p>
          <w:p w14:paraId="4BC47363" w14:textId="77777777" w:rsidR="007F37F2" w:rsidRPr="004C0F8F" w:rsidRDefault="007F37F2" w:rsidP="00040DE7">
            <w:pPr>
              <w:numPr>
                <w:ilvl w:val="0"/>
                <w:numId w:val="101"/>
              </w:numPr>
              <w:rPr>
                <w:sz w:val="20"/>
                <w:szCs w:val="20"/>
              </w:rPr>
            </w:pPr>
            <w:r w:rsidRPr="004C0F8F">
              <w:rPr>
                <w:sz w:val="20"/>
                <w:szCs w:val="20"/>
              </w:rPr>
              <w:t>work where practicable with MDB and DFI partners</w:t>
            </w:r>
          </w:p>
        </w:tc>
        <w:tc>
          <w:tcPr>
            <w:tcW w:w="1276" w:type="dxa"/>
          </w:tcPr>
          <w:p w14:paraId="4A8B8BA2" w14:textId="77777777" w:rsidR="007F37F2" w:rsidRPr="004C0F8F" w:rsidRDefault="007F37F2" w:rsidP="00040DE7">
            <w:pPr>
              <w:rPr>
                <w:sz w:val="20"/>
                <w:szCs w:val="20"/>
              </w:rPr>
            </w:pPr>
            <w:r w:rsidRPr="004C0F8F">
              <w:rPr>
                <w:sz w:val="20"/>
                <w:szCs w:val="20"/>
              </w:rPr>
              <w:t>moderate</w:t>
            </w:r>
          </w:p>
        </w:tc>
        <w:tc>
          <w:tcPr>
            <w:tcW w:w="1017" w:type="dxa"/>
            <w:shd w:val="clear" w:color="auto" w:fill="FFD966" w:themeFill="accent4" w:themeFillTint="99"/>
          </w:tcPr>
          <w:p w14:paraId="6678AA8E" w14:textId="77777777" w:rsidR="007F37F2" w:rsidRPr="004C0F8F" w:rsidRDefault="007F37F2" w:rsidP="00040DE7">
            <w:pPr>
              <w:rPr>
                <w:sz w:val="20"/>
                <w:szCs w:val="20"/>
              </w:rPr>
            </w:pPr>
            <w:r w:rsidRPr="004C0F8F">
              <w:rPr>
                <w:sz w:val="20"/>
                <w:szCs w:val="20"/>
              </w:rPr>
              <w:t>medium</w:t>
            </w:r>
          </w:p>
        </w:tc>
      </w:tr>
      <w:tr w:rsidR="00B43477" w:rsidRPr="004C0F8F" w14:paraId="76800EB1" w14:textId="77777777" w:rsidTr="00DB495C">
        <w:trPr>
          <w:trHeight w:val="893"/>
        </w:trPr>
        <w:tc>
          <w:tcPr>
            <w:tcW w:w="1278" w:type="dxa"/>
            <w:vMerge/>
            <w:shd w:val="clear" w:color="auto" w:fill="EA585D"/>
          </w:tcPr>
          <w:p w14:paraId="686095FE" w14:textId="77777777" w:rsidR="007F37F2" w:rsidRPr="004C0F8F" w:rsidRDefault="007F37F2" w:rsidP="00040DE7">
            <w:pPr>
              <w:rPr>
                <w:b/>
                <w:sz w:val="20"/>
                <w:szCs w:val="20"/>
              </w:rPr>
            </w:pPr>
          </w:p>
        </w:tc>
        <w:tc>
          <w:tcPr>
            <w:tcW w:w="2983" w:type="dxa"/>
          </w:tcPr>
          <w:p w14:paraId="5C670F75" w14:textId="77777777" w:rsidR="007F37F2" w:rsidRPr="004C0F8F" w:rsidRDefault="007F37F2" w:rsidP="00040DE7">
            <w:pPr>
              <w:rPr>
                <w:sz w:val="20"/>
                <w:szCs w:val="20"/>
              </w:rPr>
            </w:pPr>
            <w:r w:rsidRPr="004C0F8F">
              <w:rPr>
                <w:sz w:val="20"/>
                <w:szCs w:val="20"/>
              </w:rPr>
              <w:t>host government objects, on behalf of borrower or guarantor, to Australian action to protect the value of investments</w:t>
            </w:r>
          </w:p>
        </w:tc>
        <w:tc>
          <w:tcPr>
            <w:tcW w:w="1278" w:type="dxa"/>
          </w:tcPr>
          <w:p w14:paraId="78C8E1B4" w14:textId="77777777" w:rsidR="007F37F2" w:rsidRPr="004C0F8F" w:rsidRDefault="007F37F2" w:rsidP="00040DE7">
            <w:pPr>
              <w:rPr>
                <w:sz w:val="20"/>
                <w:szCs w:val="20"/>
              </w:rPr>
            </w:pPr>
            <w:r w:rsidRPr="004C0F8F">
              <w:rPr>
                <w:sz w:val="20"/>
                <w:szCs w:val="20"/>
              </w:rPr>
              <w:t>government hosting investment</w:t>
            </w:r>
          </w:p>
        </w:tc>
        <w:tc>
          <w:tcPr>
            <w:tcW w:w="1266" w:type="dxa"/>
          </w:tcPr>
          <w:p w14:paraId="4D87AD4D" w14:textId="77777777" w:rsidR="007F37F2" w:rsidRPr="004C0F8F" w:rsidRDefault="007F37F2" w:rsidP="00040DE7">
            <w:pPr>
              <w:rPr>
                <w:sz w:val="20"/>
                <w:szCs w:val="20"/>
              </w:rPr>
            </w:pPr>
            <w:r w:rsidRPr="004C0F8F">
              <w:rPr>
                <w:sz w:val="20"/>
                <w:szCs w:val="20"/>
              </w:rPr>
              <w:t>damage to cooperative relations</w:t>
            </w:r>
          </w:p>
        </w:tc>
        <w:tc>
          <w:tcPr>
            <w:tcW w:w="1148" w:type="dxa"/>
          </w:tcPr>
          <w:p w14:paraId="69104700" w14:textId="77777777" w:rsidR="007F37F2" w:rsidRPr="004C0F8F" w:rsidRDefault="007F37F2" w:rsidP="00040DE7">
            <w:pPr>
              <w:rPr>
                <w:sz w:val="20"/>
                <w:szCs w:val="20"/>
              </w:rPr>
            </w:pPr>
            <w:r w:rsidRPr="004C0F8F">
              <w:rPr>
                <w:sz w:val="20"/>
                <w:szCs w:val="20"/>
              </w:rPr>
              <w:t>substantial</w:t>
            </w:r>
          </w:p>
        </w:tc>
        <w:tc>
          <w:tcPr>
            <w:tcW w:w="3813" w:type="dxa"/>
            <w:vMerge/>
          </w:tcPr>
          <w:p w14:paraId="3080B7A6" w14:textId="77777777" w:rsidR="007F37F2" w:rsidRPr="004C0F8F" w:rsidRDefault="007F37F2" w:rsidP="00040DE7">
            <w:pPr>
              <w:rPr>
                <w:sz w:val="20"/>
                <w:szCs w:val="20"/>
              </w:rPr>
            </w:pPr>
          </w:p>
        </w:tc>
        <w:tc>
          <w:tcPr>
            <w:tcW w:w="1276" w:type="dxa"/>
          </w:tcPr>
          <w:p w14:paraId="55121D51" w14:textId="77777777" w:rsidR="007F37F2" w:rsidRPr="004C0F8F" w:rsidRDefault="007F37F2" w:rsidP="00040DE7">
            <w:pPr>
              <w:rPr>
                <w:sz w:val="20"/>
                <w:szCs w:val="20"/>
              </w:rPr>
            </w:pPr>
            <w:r w:rsidRPr="004C0F8F">
              <w:rPr>
                <w:sz w:val="20"/>
                <w:szCs w:val="20"/>
              </w:rPr>
              <w:t>moderate</w:t>
            </w:r>
          </w:p>
        </w:tc>
        <w:tc>
          <w:tcPr>
            <w:tcW w:w="1017" w:type="dxa"/>
            <w:shd w:val="clear" w:color="auto" w:fill="FFD966" w:themeFill="accent4" w:themeFillTint="99"/>
          </w:tcPr>
          <w:p w14:paraId="32FB873D" w14:textId="77777777" w:rsidR="007F37F2" w:rsidRPr="004C0F8F" w:rsidRDefault="007F37F2" w:rsidP="00040DE7">
            <w:pPr>
              <w:rPr>
                <w:sz w:val="20"/>
                <w:szCs w:val="20"/>
              </w:rPr>
            </w:pPr>
            <w:r w:rsidRPr="004C0F8F">
              <w:rPr>
                <w:sz w:val="20"/>
                <w:szCs w:val="20"/>
              </w:rPr>
              <w:t>medium</w:t>
            </w:r>
          </w:p>
        </w:tc>
      </w:tr>
      <w:tr w:rsidR="00B43477" w:rsidRPr="004C0F8F" w14:paraId="2BAD13C5" w14:textId="77777777" w:rsidTr="00DB495C">
        <w:trPr>
          <w:trHeight w:val="893"/>
        </w:trPr>
        <w:tc>
          <w:tcPr>
            <w:tcW w:w="1278" w:type="dxa"/>
            <w:vMerge/>
            <w:shd w:val="clear" w:color="auto" w:fill="EA585D"/>
          </w:tcPr>
          <w:p w14:paraId="29C08CD8" w14:textId="77777777" w:rsidR="007F37F2" w:rsidRPr="004C0F8F" w:rsidRDefault="007F37F2" w:rsidP="00040DE7">
            <w:pPr>
              <w:rPr>
                <w:b/>
                <w:sz w:val="20"/>
                <w:szCs w:val="20"/>
              </w:rPr>
            </w:pPr>
          </w:p>
        </w:tc>
        <w:tc>
          <w:tcPr>
            <w:tcW w:w="2983" w:type="dxa"/>
          </w:tcPr>
          <w:p w14:paraId="5AE80DB6" w14:textId="77777777" w:rsidR="007F37F2" w:rsidRPr="004C0F8F" w:rsidRDefault="007F37F2" w:rsidP="00040DE7">
            <w:pPr>
              <w:rPr>
                <w:sz w:val="20"/>
                <w:szCs w:val="20"/>
              </w:rPr>
            </w:pPr>
            <w:r w:rsidRPr="004C0F8F">
              <w:rPr>
                <w:sz w:val="20"/>
                <w:szCs w:val="20"/>
              </w:rPr>
              <w:t>host government has difficulty managing tasks as borrower or guarantor added by Australia</w:t>
            </w:r>
          </w:p>
        </w:tc>
        <w:tc>
          <w:tcPr>
            <w:tcW w:w="1278" w:type="dxa"/>
          </w:tcPr>
          <w:p w14:paraId="1362F7C1" w14:textId="3E384203" w:rsidR="007F37F2" w:rsidRPr="004C0F8F" w:rsidRDefault="007B53E0" w:rsidP="00040DE7">
            <w:pPr>
              <w:rPr>
                <w:sz w:val="20"/>
                <w:szCs w:val="20"/>
              </w:rPr>
            </w:pPr>
            <w:r>
              <w:rPr>
                <w:sz w:val="20"/>
                <w:szCs w:val="20"/>
              </w:rPr>
              <w:t xml:space="preserve">extra </w:t>
            </w:r>
            <w:r w:rsidR="007F37F2" w:rsidRPr="004C0F8F">
              <w:rPr>
                <w:sz w:val="20"/>
                <w:szCs w:val="20"/>
              </w:rPr>
              <w:t>tasks associated with NGF by Australia</w:t>
            </w:r>
          </w:p>
        </w:tc>
        <w:tc>
          <w:tcPr>
            <w:tcW w:w="1266" w:type="dxa"/>
          </w:tcPr>
          <w:p w14:paraId="56C76B86" w14:textId="77777777" w:rsidR="007F37F2" w:rsidRPr="004C0F8F" w:rsidRDefault="007F37F2" w:rsidP="00040DE7">
            <w:pPr>
              <w:rPr>
                <w:sz w:val="20"/>
                <w:szCs w:val="20"/>
              </w:rPr>
            </w:pPr>
            <w:r w:rsidRPr="004C0F8F">
              <w:rPr>
                <w:sz w:val="20"/>
                <w:szCs w:val="20"/>
              </w:rPr>
              <w:t>damage to cooperative relations</w:t>
            </w:r>
          </w:p>
        </w:tc>
        <w:tc>
          <w:tcPr>
            <w:tcW w:w="1148" w:type="dxa"/>
          </w:tcPr>
          <w:p w14:paraId="3B74C74D" w14:textId="5DD6A728" w:rsidR="007F37F2" w:rsidRPr="004C0F8F" w:rsidRDefault="007F37F2" w:rsidP="00040DE7">
            <w:pPr>
              <w:rPr>
                <w:sz w:val="20"/>
                <w:szCs w:val="20"/>
              </w:rPr>
            </w:pPr>
            <w:r w:rsidRPr="004C0F8F">
              <w:rPr>
                <w:sz w:val="20"/>
                <w:szCs w:val="20"/>
              </w:rPr>
              <w:t xml:space="preserve">moderate </w:t>
            </w:r>
          </w:p>
        </w:tc>
        <w:tc>
          <w:tcPr>
            <w:tcW w:w="3813" w:type="dxa"/>
          </w:tcPr>
          <w:p w14:paraId="0A0EA3BA" w14:textId="77777777" w:rsidR="007F37F2" w:rsidRPr="004C0F8F" w:rsidRDefault="007F37F2" w:rsidP="00040DE7">
            <w:pPr>
              <w:numPr>
                <w:ilvl w:val="0"/>
                <w:numId w:val="101"/>
              </w:numPr>
              <w:rPr>
                <w:sz w:val="20"/>
                <w:szCs w:val="20"/>
              </w:rPr>
            </w:pPr>
            <w:r w:rsidRPr="004C0F8F">
              <w:rPr>
                <w:sz w:val="20"/>
                <w:szCs w:val="20"/>
              </w:rPr>
              <w:t xml:space="preserve">include in appraisal to check borrower’s loan-administration capacity </w:t>
            </w:r>
          </w:p>
          <w:p w14:paraId="6EABC65F" w14:textId="77777777" w:rsidR="007F37F2" w:rsidRPr="004C0F8F" w:rsidRDefault="007F37F2" w:rsidP="00040DE7">
            <w:pPr>
              <w:numPr>
                <w:ilvl w:val="0"/>
                <w:numId w:val="101"/>
              </w:numPr>
              <w:rPr>
                <w:sz w:val="20"/>
                <w:szCs w:val="20"/>
              </w:rPr>
            </w:pPr>
            <w:r w:rsidRPr="004C0F8F">
              <w:rPr>
                <w:sz w:val="20"/>
                <w:szCs w:val="20"/>
              </w:rPr>
              <w:t>offer additional TA if Australian creditor requirements are additional</w:t>
            </w:r>
          </w:p>
        </w:tc>
        <w:tc>
          <w:tcPr>
            <w:tcW w:w="1276" w:type="dxa"/>
          </w:tcPr>
          <w:p w14:paraId="4EE6265E" w14:textId="77777777" w:rsidR="007F37F2" w:rsidRPr="004C0F8F" w:rsidRDefault="007F37F2" w:rsidP="00040DE7">
            <w:pPr>
              <w:rPr>
                <w:sz w:val="20"/>
                <w:szCs w:val="20"/>
              </w:rPr>
            </w:pPr>
            <w:r w:rsidRPr="004C0F8F">
              <w:rPr>
                <w:sz w:val="20"/>
                <w:szCs w:val="20"/>
              </w:rPr>
              <w:t>small</w:t>
            </w:r>
          </w:p>
        </w:tc>
        <w:tc>
          <w:tcPr>
            <w:tcW w:w="1017" w:type="dxa"/>
          </w:tcPr>
          <w:p w14:paraId="6E5AC7BA" w14:textId="77777777" w:rsidR="007F37F2" w:rsidRPr="004C0F8F" w:rsidRDefault="007F37F2" w:rsidP="00040DE7">
            <w:pPr>
              <w:rPr>
                <w:sz w:val="20"/>
                <w:szCs w:val="20"/>
              </w:rPr>
            </w:pPr>
            <w:r w:rsidRPr="004C0F8F">
              <w:rPr>
                <w:sz w:val="20"/>
                <w:szCs w:val="20"/>
              </w:rPr>
              <w:t>low</w:t>
            </w:r>
          </w:p>
        </w:tc>
      </w:tr>
      <w:tr w:rsidR="00B43477" w:rsidRPr="004C0F8F" w14:paraId="34A64194" w14:textId="77777777" w:rsidTr="00DB495C">
        <w:trPr>
          <w:trHeight w:val="1022"/>
        </w:trPr>
        <w:tc>
          <w:tcPr>
            <w:tcW w:w="1278" w:type="dxa"/>
            <w:shd w:val="clear" w:color="auto" w:fill="EA585D"/>
          </w:tcPr>
          <w:p w14:paraId="29DC474E" w14:textId="77777777" w:rsidR="007F37F2" w:rsidRPr="004C0F8F" w:rsidRDefault="007F37F2" w:rsidP="00040DE7">
            <w:pPr>
              <w:rPr>
                <w:b/>
                <w:sz w:val="20"/>
                <w:szCs w:val="20"/>
              </w:rPr>
            </w:pPr>
            <w:r w:rsidRPr="004C0F8F">
              <w:rPr>
                <w:b/>
                <w:sz w:val="20"/>
                <w:szCs w:val="20"/>
              </w:rPr>
              <w:t>reputational</w:t>
            </w:r>
          </w:p>
        </w:tc>
        <w:tc>
          <w:tcPr>
            <w:tcW w:w="2983" w:type="dxa"/>
          </w:tcPr>
          <w:p w14:paraId="02A853E8" w14:textId="77777777" w:rsidR="007F37F2" w:rsidRPr="004C0F8F" w:rsidRDefault="007F37F2" w:rsidP="00040DE7">
            <w:pPr>
              <w:rPr>
                <w:sz w:val="20"/>
                <w:szCs w:val="20"/>
              </w:rPr>
            </w:pPr>
            <w:r w:rsidRPr="004C0F8F">
              <w:rPr>
                <w:sz w:val="20"/>
                <w:szCs w:val="20"/>
              </w:rPr>
              <w:t>association with project sponsor or financier not committed to fulfilling required standards and safeguards</w:t>
            </w:r>
          </w:p>
        </w:tc>
        <w:tc>
          <w:tcPr>
            <w:tcW w:w="1278" w:type="dxa"/>
          </w:tcPr>
          <w:p w14:paraId="0EA79339" w14:textId="77777777" w:rsidR="007F37F2" w:rsidRPr="004C0F8F" w:rsidRDefault="007F37F2" w:rsidP="00040DE7">
            <w:pPr>
              <w:rPr>
                <w:sz w:val="20"/>
                <w:szCs w:val="20"/>
              </w:rPr>
            </w:pPr>
            <w:r w:rsidRPr="004C0F8F">
              <w:rPr>
                <w:sz w:val="20"/>
                <w:szCs w:val="20"/>
              </w:rPr>
              <w:t>project sponsor or financier</w:t>
            </w:r>
          </w:p>
        </w:tc>
        <w:tc>
          <w:tcPr>
            <w:tcW w:w="1266" w:type="dxa"/>
          </w:tcPr>
          <w:p w14:paraId="4DC79E11" w14:textId="77777777" w:rsidR="007F37F2" w:rsidRPr="004C0F8F" w:rsidRDefault="007F37F2" w:rsidP="00040DE7">
            <w:pPr>
              <w:rPr>
                <w:sz w:val="20"/>
                <w:szCs w:val="20"/>
              </w:rPr>
            </w:pPr>
            <w:r w:rsidRPr="004C0F8F">
              <w:rPr>
                <w:sz w:val="20"/>
                <w:szCs w:val="20"/>
              </w:rPr>
              <w:t xml:space="preserve">difficulty in “crowding in” other investors </w:t>
            </w:r>
          </w:p>
        </w:tc>
        <w:tc>
          <w:tcPr>
            <w:tcW w:w="1148" w:type="dxa"/>
          </w:tcPr>
          <w:p w14:paraId="7E07D108" w14:textId="77777777" w:rsidR="007F37F2" w:rsidRPr="004C0F8F" w:rsidRDefault="007F37F2" w:rsidP="00040DE7">
            <w:pPr>
              <w:rPr>
                <w:sz w:val="20"/>
                <w:szCs w:val="20"/>
              </w:rPr>
            </w:pPr>
            <w:r w:rsidRPr="004C0F8F">
              <w:rPr>
                <w:sz w:val="20"/>
                <w:szCs w:val="20"/>
              </w:rPr>
              <w:t>substantial</w:t>
            </w:r>
          </w:p>
        </w:tc>
        <w:tc>
          <w:tcPr>
            <w:tcW w:w="3813" w:type="dxa"/>
          </w:tcPr>
          <w:p w14:paraId="0CEB1E77" w14:textId="77777777" w:rsidR="007F37F2" w:rsidRPr="004C0F8F" w:rsidRDefault="007F37F2" w:rsidP="00040DE7">
            <w:pPr>
              <w:rPr>
                <w:sz w:val="20"/>
                <w:szCs w:val="20"/>
              </w:rPr>
            </w:pPr>
            <w:r w:rsidRPr="004C0F8F">
              <w:rPr>
                <w:sz w:val="20"/>
                <w:szCs w:val="20"/>
              </w:rPr>
              <w:t xml:space="preserve">in using NGF, work initially with known, reputable partners, </w:t>
            </w:r>
            <w:proofErr w:type="gramStart"/>
            <w:r w:rsidRPr="004C0F8F">
              <w:rPr>
                <w:sz w:val="20"/>
                <w:szCs w:val="20"/>
              </w:rPr>
              <w:t>so as to</w:t>
            </w:r>
            <w:proofErr w:type="gramEnd"/>
            <w:r w:rsidRPr="004C0F8F">
              <w:rPr>
                <w:sz w:val="20"/>
                <w:szCs w:val="20"/>
              </w:rPr>
              <w:t xml:space="preserve"> learn from them before adopting financing roles involving greater reliance on new corporate or fund</w:t>
            </w:r>
            <w:r w:rsidRPr="004C0F8F">
              <w:rPr>
                <w:sz w:val="20"/>
                <w:szCs w:val="20"/>
              </w:rPr>
              <w:noBreakHyphen/>
              <w:t>manager partners</w:t>
            </w:r>
          </w:p>
        </w:tc>
        <w:tc>
          <w:tcPr>
            <w:tcW w:w="1276" w:type="dxa"/>
          </w:tcPr>
          <w:p w14:paraId="32FC66C4" w14:textId="77777777" w:rsidR="007F37F2" w:rsidRPr="004C0F8F" w:rsidRDefault="007F37F2" w:rsidP="00040DE7">
            <w:pPr>
              <w:rPr>
                <w:sz w:val="20"/>
                <w:szCs w:val="20"/>
              </w:rPr>
            </w:pPr>
            <w:r w:rsidRPr="004C0F8F">
              <w:rPr>
                <w:sz w:val="20"/>
                <w:szCs w:val="20"/>
              </w:rPr>
              <w:t>moderate</w:t>
            </w:r>
          </w:p>
        </w:tc>
        <w:tc>
          <w:tcPr>
            <w:tcW w:w="1017" w:type="dxa"/>
            <w:shd w:val="clear" w:color="auto" w:fill="FFD966" w:themeFill="accent4" w:themeFillTint="99"/>
          </w:tcPr>
          <w:p w14:paraId="17FF3523" w14:textId="77777777" w:rsidR="007F37F2" w:rsidRPr="004C0F8F" w:rsidRDefault="007F37F2" w:rsidP="00040DE7">
            <w:pPr>
              <w:rPr>
                <w:sz w:val="20"/>
                <w:szCs w:val="20"/>
              </w:rPr>
            </w:pPr>
            <w:r w:rsidRPr="004C0F8F">
              <w:rPr>
                <w:sz w:val="20"/>
                <w:szCs w:val="20"/>
              </w:rPr>
              <w:t>medium</w:t>
            </w:r>
          </w:p>
        </w:tc>
      </w:tr>
    </w:tbl>
    <w:p w14:paraId="692E97A4" w14:textId="0ED79DD3" w:rsidR="007F37F2" w:rsidRPr="004C0F8F" w:rsidRDefault="007F37F2" w:rsidP="007F37F2"/>
    <w:tbl>
      <w:tblPr>
        <w:tblStyle w:val="TableGrid6"/>
        <w:tblW w:w="0" w:type="auto"/>
        <w:tblLayout w:type="fixed"/>
        <w:tblLook w:val="04A0" w:firstRow="1" w:lastRow="0" w:firstColumn="1" w:lastColumn="0" w:noHBand="0" w:noVBand="1"/>
      </w:tblPr>
      <w:tblGrid>
        <w:gridCol w:w="1341"/>
        <w:gridCol w:w="2482"/>
        <w:gridCol w:w="1417"/>
        <w:gridCol w:w="1559"/>
        <w:gridCol w:w="1146"/>
        <w:gridCol w:w="3674"/>
        <w:gridCol w:w="1258"/>
        <w:gridCol w:w="981"/>
      </w:tblGrid>
      <w:tr w:rsidR="00B43477" w:rsidRPr="004C0F8F" w14:paraId="33E70D64" w14:textId="77777777" w:rsidTr="00B46545">
        <w:trPr>
          <w:trHeight w:val="893"/>
          <w:tblHeader/>
        </w:trPr>
        <w:tc>
          <w:tcPr>
            <w:tcW w:w="1341" w:type="dxa"/>
          </w:tcPr>
          <w:p w14:paraId="1A5E830C" w14:textId="77777777" w:rsidR="00B43477" w:rsidRPr="004C0F8F" w:rsidRDefault="00B43477" w:rsidP="00DB495C">
            <w:pPr>
              <w:rPr>
                <w:b/>
                <w:sz w:val="20"/>
                <w:szCs w:val="20"/>
              </w:rPr>
            </w:pPr>
            <w:bookmarkStart w:id="56" w:name="_Hlk535663471"/>
            <w:r w:rsidRPr="004C0F8F">
              <w:rPr>
                <w:b/>
                <w:sz w:val="20"/>
                <w:szCs w:val="20"/>
              </w:rPr>
              <w:t>risk category</w:t>
            </w:r>
          </w:p>
          <w:p w14:paraId="36D62872" w14:textId="77777777" w:rsidR="00B43477" w:rsidRPr="004C0F8F" w:rsidRDefault="00B43477" w:rsidP="00DB495C">
            <w:pPr>
              <w:rPr>
                <w:b/>
                <w:sz w:val="20"/>
                <w:szCs w:val="20"/>
              </w:rPr>
            </w:pPr>
            <w:r>
              <w:rPr>
                <w:b/>
                <w:sz w:val="20"/>
                <w:szCs w:val="20"/>
              </w:rPr>
              <w:t>(</w:t>
            </w:r>
            <w:r w:rsidRPr="004C0F8F">
              <w:rPr>
                <w:b/>
                <w:sz w:val="20"/>
                <w:szCs w:val="20"/>
              </w:rPr>
              <w:t>shaded for importance</w:t>
            </w:r>
            <w:r>
              <w:rPr>
                <w:b/>
                <w:sz w:val="20"/>
                <w:szCs w:val="20"/>
              </w:rPr>
              <w:t>)</w:t>
            </w:r>
            <w:r w:rsidRPr="004C0F8F">
              <w:rPr>
                <w:b/>
                <w:sz w:val="20"/>
                <w:szCs w:val="20"/>
              </w:rPr>
              <w:t xml:space="preserve"> </w:t>
            </w:r>
          </w:p>
        </w:tc>
        <w:tc>
          <w:tcPr>
            <w:tcW w:w="2482" w:type="dxa"/>
          </w:tcPr>
          <w:p w14:paraId="50DA6306" w14:textId="77777777" w:rsidR="00B43477" w:rsidRPr="004C0F8F" w:rsidRDefault="00B43477" w:rsidP="00DB495C">
            <w:pPr>
              <w:rPr>
                <w:sz w:val="20"/>
                <w:szCs w:val="20"/>
              </w:rPr>
            </w:pPr>
            <w:r w:rsidRPr="004C0F8F">
              <w:rPr>
                <w:b/>
                <w:sz w:val="20"/>
                <w:szCs w:val="20"/>
              </w:rPr>
              <w:t>risk event</w:t>
            </w:r>
          </w:p>
        </w:tc>
        <w:tc>
          <w:tcPr>
            <w:tcW w:w="1417" w:type="dxa"/>
          </w:tcPr>
          <w:p w14:paraId="6515AD33" w14:textId="77777777" w:rsidR="00B43477" w:rsidRPr="004C0F8F" w:rsidRDefault="00B43477" w:rsidP="00DB495C">
            <w:pPr>
              <w:rPr>
                <w:sz w:val="20"/>
                <w:szCs w:val="20"/>
              </w:rPr>
            </w:pPr>
            <w:r w:rsidRPr="004C0F8F">
              <w:rPr>
                <w:b/>
                <w:sz w:val="20"/>
                <w:szCs w:val="20"/>
              </w:rPr>
              <w:t>risk source</w:t>
            </w:r>
          </w:p>
        </w:tc>
        <w:tc>
          <w:tcPr>
            <w:tcW w:w="1559" w:type="dxa"/>
          </w:tcPr>
          <w:p w14:paraId="0BA27D6F" w14:textId="77777777" w:rsidR="00B43477" w:rsidRPr="004C0F8F" w:rsidRDefault="00B43477" w:rsidP="00DB495C">
            <w:pPr>
              <w:rPr>
                <w:sz w:val="20"/>
                <w:szCs w:val="20"/>
              </w:rPr>
            </w:pPr>
            <w:r w:rsidRPr="004C0F8F">
              <w:rPr>
                <w:b/>
                <w:sz w:val="20"/>
                <w:szCs w:val="20"/>
              </w:rPr>
              <w:t>risk impact</w:t>
            </w:r>
          </w:p>
        </w:tc>
        <w:tc>
          <w:tcPr>
            <w:tcW w:w="1146" w:type="dxa"/>
          </w:tcPr>
          <w:p w14:paraId="73B2C11F" w14:textId="1733267F" w:rsidR="00B43477" w:rsidRPr="004C0F8F" w:rsidRDefault="00B43477" w:rsidP="00DB495C">
            <w:pPr>
              <w:rPr>
                <w:sz w:val="20"/>
                <w:szCs w:val="20"/>
              </w:rPr>
            </w:pPr>
            <w:r>
              <w:rPr>
                <w:b/>
                <w:sz w:val="20"/>
                <w:szCs w:val="20"/>
              </w:rPr>
              <w:t xml:space="preserve">likelihood without treatments </w:t>
            </w:r>
          </w:p>
        </w:tc>
        <w:tc>
          <w:tcPr>
            <w:tcW w:w="3674" w:type="dxa"/>
          </w:tcPr>
          <w:p w14:paraId="2BA7AC23" w14:textId="77777777" w:rsidR="00B43477" w:rsidRPr="004C0F8F" w:rsidRDefault="00B43477" w:rsidP="00DB495C">
            <w:pPr>
              <w:rPr>
                <w:sz w:val="20"/>
                <w:szCs w:val="20"/>
              </w:rPr>
            </w:pPr>
            <w:r w:rsidRPr="004C0F8F">
              <w:rPr>
                <w:b/>
                <w:sz w:val="20"/>
                <w:szCs w:val="20"/>
              </w:rPr>
              <w:t xml:space="preserve">recommended </w:t>
            </w:r>
            <w:r>
              <w:rPr>
                <w:b/>
                <w:sz w:val="20"/>
                <w:szCs w:val="20"/>
              </w:rPr>
              <w:t>treatment</w:t>
            </w:r>
            <w:r w:rsidRPr="004C0F8F">
              <w:rPr>
                <w:b/>
                <w:sz w:val="20"/>
                <w:szCs w:val="20"/>
              </w:rPr>
              <w:t>s</w:t>
            </w:r>
          </w:p>
        </w:tc>
        <w:tc>
          <w:tcPr>
            <w:tcW w:w="1258" w:type="dxa"/>
          </w:tcPr>
          <w:p w14:paraId="5A838784" w14:textId="77777777" w:rsidR="00B43477" w:rsidRPr="004C0F8F" w:rsidRDefault="00B43477" w:rsidP="00DB495C">
            <w:pPr>
              <w:rPr>
                <w:sz w:val="20"/>
                <w:szCs w:val="20"/>
              </w:rPr>
            </w:pPr>
            <w:r w:rsidRPr="004C0F8F">
              <w:rPr>
                <w:b/>
                <w:sz w:val="20"/>
                <w:szCs w:val="20"/>
              </w:rPr>
              <w:t xml:space="preserve">likelihood </w:t>
            </w:r>
            <w:r>
              <w:rPr>
                <w:b/>
                <w:sz w:val="20"/>
                <w:szCs w:val="20"/>
              </w:rPr>
              <w:t>with treatments</w:t>
            </w:r>
            <w:r w:rsidRPr="004C0F8F">
              <w:rPr>
                <w:b/>
                <w:sz w:val="20"/>
                <w:szCs w:val="20"/>
              </w:rPr>
              <w:t xml:space="preserve"> </w:t>
            </w:r>
          </w:p>
        </w:tc>
        <w:tc>
          <w:tcPr>
            <w:tcW w:w="981" w:type="dxa"/>
          </w:tcPr>
          <w:p w14:paraId="02F2B3C4" w14:textId="77777777" w:rsidR="00B43477" w:rsidRPr="004C0F8F" w:rsidRDefault="00B43477" w:rsidP="00DB495C">
            <w:pPr>
              <w:rPr>
                <w:sz w:val="20"/>
                <w:szCs w:val="20"/>
              </w:rPr>
            </w:pPr>
            <w:r>
              <w:rPr>
                <w:b/>
                <w:sz w:val="20"/>
                <w:szCs w:val="20"/>
              </w:rPr>
              <w:t xml:space="preserve">target </w:t>
            </w:r>
            <w:r w:rsidRPr="004C0F8F">
              <w:rPr>
                <w:b/>
                <w:sz w:val="20"/>
                <w:szCs w:val="20"/>
              </w:rPr>
              <w:t xml:space="preserve">risk rating </w:t>
            </w:r>
          </w:p>
        </w:tc>
      </w:tr>
      <w:bookmarkEnd w:id="56"/>
      <w:tr w:rsidR="007F37F2" w:rsidRPr="004C0F8F" w14:paraId="1D38F89C" w14:textId="77777777" w:rsidTr="00DB495C">
        <w:tc>
          <w:tcPr>
            <w:tcW w:w="1341" w:type="dxa"/>
            <w:vMerge w:val="restart"/>
            <w:shd w:val="clear" w:color="auto" w:fill="FFD966" w:themeFill="accent4" w:themeFillTint="99"/>
          </w:tcPr>
          <w:p w14:paraId="33341ABD" w14:textId="77777777" w:rsidR="007F37F2" w:rsidRPr="004C0F8F" w:rsidRDefault="007F37F2" w:rsidP="00040DE7">
            <w:pPr>
              <w:rPr>
                <w:b/>
                <w:sz w:val="20"/>
                <w:szCs w:val="20"/>
              </w:rPr>
            </w:pPr>
            <w:r w:rsidRPr="004C0F8F">
              <w:rPr>
                <w:b/>
                <w:sz w:val="20"/>
                <w:szCs w:val="20"/>
              </w:rPr>
              <w:t>impact</w:t>
            </w:r>
          </w:p>
        </w:tc>
        <w:tc>
          <w:tcPr>
            <w:tcW w:w="2482" w:type="dxa"/>
          </w:tcPr>
          <w:p w14:paraId="70F28AB7" w14:textId="77777777" w:rsidR="007F37F2" w:rsidRPr="004C0F8F" w:rsidRDefault="007F37F2" w:rsidP="00040DE7">
            <w:pPr>
              <w:rPr>
                <w:sz w:val="20"/>
                <w:szCs w:val="20"/>
              </w:rPr>
            </w:pPr>
            <w:r w:rsidRPr="004C0F8F">
              <w:rPr>
                <w:sz w:val="20"/>
                <w:szCs w:val="20"/>
              </w:rPr>
              <w:t>failure to “crowd in” other investors</w:t>
            </w:r>
          </w:p>
        </w:tc>
        <w:tc>
          <w:tcPr>
            <w:tcW w:w="1417" w:type="dxa"/>
            <w:vMerge w:val="restart"/>
          </w:tcPr>
          <w:p w14:paraId="23C08851" w14:textId="77777777" w:rsidR="007F37F2" w:rsidRPr="004C0F8F" w:rsidRDefault="007F37F2" w:rsidP="00040DE7">
            <w:pPr>
              <w:rPr>
                <w:sz w:val="20"/>
                <w:szCs w:val="20"/>
              </w:rPr>
            </w:pPr>
            <w:r w:rsidRPr="004C0F8F">
              <w:rPr>
                <w:sz w:val="20"/>
                <w:szCs w:val="20"/>
              </w:rPr>
              <w:t>developments in local financial markets</w:t>
            </w:r>
          </w:p>
        </w:tc>
        <w:tc>
          <w:tcPr>
            <w:tcW w:w="1559" w:type="dxa"/>
            <w:vMerge w:val="restart"/>
          </w:tcPr>
          <w:p w14:paraId="2C3A4C64" w14:textId="77777777" w:rsidR="007F37F2" w:rsidRPr="004C0F8F" w:rsidRDefault="007F37F2" w:rsidP="00040DE7">
            <w:pPr>
              <w:rPr>
                <w:sz w:val="20"/>
                <w:szCs w:val="20"/>
              </w:rPr>
            </w:pPr>
            <w:r w:rsidRPr="004C0F8F">
              <w:rPr>
                <w:sz w:val="20"/>
                <w:szCs w:val="20"/>
              </w:rPr>
              <w:t>less indirect benefit from use of NGF</w:t>
            </w:r>
          </w:p>
        </w:tc>
        <w:tc>
          <w:tcPr>
            <w:tcW w:w="1146" w:type="dxa"/>
          </w:tcPr>
          <w:p w14:paraId="53915E4F" w14:textId="77777777" w:rsidR="007F37F2" w:rsidRPr="004C0F8F" w:rsidRDefault="007F37F2" w:rsidP="00040DE7">
            <w:pPr>
              <w:rPr>
                <w:sz w:val="20"/>
                <w:szCs w:val="20"/>
              </w:rPr>
            </w:pPr>
            <w:r w:rsidRPr="004C0F8F">
              <w:rPr>
                <w:sz w:val="20"/>
                <w:szCs w:val="20"/>
              </w:rPr>
              <w:t>substantial</w:t>
            </w:r>
          </w:p>
        </w:tc>
        <w:tc>
          <w:tcPr>
            <w:tcW w:w="3674" w:type="dxa"/>
            <w:vMerge w:val="restart"/>
          </w:tcPr>
          <w:p w14:paraId="0ADBEF91" w14:textId="77777777" w:rsidR="007F37F2" w:rsidRPr="004C0F8F" w:rsidRDefault="007F37F2" w:rsidP="00040DE7">
            <w:pPr>
              <w:numPr>
                <w:ilvl w:val="0"/>
                <w:numId w:val="101"/>
              </w:numPr>
              <w:rPr>
                <w:sz w:val="20"/>
                <w:szCs w:val="20"/>
              </w:rPr>
            </w:pPr>
            <w:r w:rsidRPr="004C0F8F">
              <w:rPr>
                <w:sz w:val="20"/>
                <w:szCs w:val="20"/>
              </w:rPr>
              <w:t>use specialist capability in assessing market conditions</w:t>
            </w:r>
          </w:p>
          <w:p w14:paraId="3282529C" w14:textId="77777777" w:rsidR="007F37F2" w:rsidRPr="004C0F8F" w:rsidRDefault="007F37F2" w:rsidP="00040DE7">
            <w:pPr>
              <w:numPr>
                <w:ilvl w:val="0"/>
                <w:numId w:val="101"/>
              </w:numPr>
              <w:rPr>
                <w:sz w:val="20"/>
                <w:szCs w:val="20"/>
              </w:rPr>
            </w:pPr>
            <w:r w:rsidRPr="004C0F8F">
              <w:rPr>
                <w:sz w:val="20"/>
                <w:szCs w:val="20"/>
              </w:rPr>
              <w:t>work where practicable with MDB and DFI partners</w:t>
            </w:r>
          </w:p>
        </w:tc>
        <w:tc>
          <w:tcPr>
            <w:tcW w:w="1258" w:type="dxa"/>
          </w:tcPr>
          <w:p w14:paraId="4CA808B5" w14:textId="77777777" w:rsidR="007F37F2" w:rsidRPr="004C0F8F" w:rsidRDefault="007F37F2" w:rsidP="00040DE7">
            <w:pPr>
              <w:rPr>
                <w:sz w:val="20"/>
                <w:szCs w:val="20"/>
              </w:rPr>
            </w:pPr>
            <w:r w:rsidRPr="004C0F8F">
              <w:rPr>
                <w:sz w:val="20"/>
                <w:szCs w:val="20"/>
              </w:rPr>
              <w:t>small</w:t>
            </w:r>
          </w:p>
        </w:tc>
        <w:tc>
          <w:tcPr>
            <w:tcW w:w="981" w:type="dxa"/>
          </w:tcPr>
          <w:p w14:paraId="6562E004" w14:textId="77777777" w:rsidR="007F37F2" w:rsidRPr="004C0F8F" w:rsidRDefault="007F37F2" w:rsidP="00040DE7">
            <w:pPr>
              <w:rPr>
                <w:sz w:val="20"/>
                <w:szCs w:val="20"/>
              </w:rPr>
            </w:pPr>
            <w:r w:rsidRPr="004C0F8F">
              <w:rPr>
                <w:sz w:val="20"/>
                <w:szCs w:val="20"/>
              </w:rPr>
              <w:t>low</w:t>
            </w:r>
          </w:p>
        </w:tc>
      </w:tr>
      <w:tr w:rsidR="007F37F2" w:rsidRPr="004C0F8F" w14:paraId="315ECD21" w14:textId="77777777" w:rsidTr="00DB495C">
        <w:tc>
          <w:tcPr>
            <w:tcW w:w="1341" w:type="dxa"/>
            <w:vMerge/>
            <w:shd w:val="clear" w:color="auto" w:fill="FFD966" w:themeFill="accent4" w:themeFillTint="99"/>
          </w:tcPr>
          <w:p w14:paraId="2DA63584" w14:textId="77777777" w:rsidR="007F37F2" w:rsidRPr="004C0F8F" w:rsidRDefault="007F37F2" w:rsidP="00040DE7">
            <w:pPr>
              <w:rPr>
                <w:b/>
                <w:sz w:val="20"/>
                <w:szCs w:val="20"/>
              </w:rPr>
            </w:pPr>
          </w:p>
        </w:tc>
        <w:tc>
          <w:tcPr>
            <w:tcW w:w="2482" w:type="dxa"/>
          </w:tcPr>
          <w:p w14:paraId="5C5FCF4F" w14:textId="77777777" w:rsidR="007F37F2" w:rsidRPr="004C0F8F" w:rsidRDefault="007F37F2" w:rsidP="00040DE7">
            <w:pPr>
              <w:rPr>
                <w:sz w:val="20"/>
                <w:szCs w:val="20"/>
              </w:rPr>
            </w:pPr>
            <w:r w:rsidRPr="004C0F8F">
              <w:rPr>
                <w:sz w:val="20"/>
                <w:szCs w:val="20"/>
              </w:rPr>
              <w:t>failure of supported local incubators and investment funds</w:t>
            </w:r>
          </w:p>
        </w:tc>
        <w:tc>
          <w:tcPr>
            <w:tcW w:w="1417" w:type="dxa"/>
            <w:vMerge/>
          </w:tcPr>
          <w:p w14:paraId="62A0F90A" w14:textId="77777777" w:rsidR="007F37F2" w:rsidRPr="004C0F8F" w:rsidRDefault="007F37F2" w:rsidP="00040DE7">
            <w:pPr>
              <w:rPr>
                <w:sz w:val="20"/>
                <w:szCs w:val="20"/>
              </w:rPr>
            </w:pPr>
          </w:p>
        </w:tc>
        <w:tc>
          <w:tcPr>
            <w:tcW w:w="1559" w:type="dxa"/>
            <w:vMerge/>
          </w:tcPr>
          <w:p w14:paraId="547EF1B0" w14:textId="77777777" w:rsidR="007F37F2" w:rsidRPr="004C0F8F" w:rsidRDefault="007F37F2" w:rsidP="00040DE7">
            <w:pPr>
              <w:rPr>
                <w:sz w:val="20"/>
                <w:szCs w:val="20"/>
              </w:rPr>
            </w:pPr>
          </w:p>
        </w:tc>
        <w:tc>
          <w:tcPr>
            <w:tcW w:w="1146" w:type="dxa"/>
          </w:tcPr>
          <w:p w14:paraId="250ACCD9" w14:textId="77777777" w:rsidR="007F37F2" w:rsidRPr="004C0F8F" w:rsidRDefault="007F37F2" w:rsidP="00040DE7">
            <w:pPr>
              <w:rPr>
                <w:sz w:val="20"/>
                <w:szCs w:val="20"/>
              </w:rPr>
            </w:pPr>
            <w:r w:rsidRPr="004C0F8F">
              <w:rPr>
                <w:sz w:val="20"/>
                <w:szCs w:val="20"/>
              </w:rPr>
              <w:t>substantial</w:t>
            </w:r>
          </w:p>
        </w:tc>
        <w:tc>
          <w:tcPr>
            <w:tcW w:w="3674" w:type="dxa"/>
            <w:vMerge/>
          </w:tcPr>
          <w:p w14:paraId="2A61677E" w14:textId="77777777" w:rsidR="007F37F2" w:rsidRPr="004C0F8F" w:rsidRDefault="007F37F2" w:rsidP="00040DE7">
            <w:pPr>
              <w:rPr>
                <w:sz w:val="20"/>
                <w:szCs w:val="20"/>
              </w:rPr>
            </w:pPr>
          </w:p>
        </w:tc>
        <w:tc>
          <w:tcPr>
            <w:tcW w:w="1258" w:type="dxa"/>
          </w:tcPr>
          <w:p w14:paraId="75CC0B43" w14:textId="77777777" w:rsidR="007F37F2" w:rsidRPr="004C0F8F" w:rsidRDefault="007F37F2" w:rsidP="00040DE7">
            <w:pPr>
              <w:rPr>
                <w:sz w:val="20"/>
                <w:szCs w:val="20"/>
              </w:rPr>
            </w:pPr>
            <w:r w:rsidRPr="004C0F8F">
              <w:rPr>
                <w:sz w:val="20"/>
                <w:szCs w:val="20"/>
              </w:rPr>
              <w:t>small</w:t>
            </w:r>
          </w:p>
        </w:tc>
        <w:tc>
          <w:tcPr>
            <w:tcW w:w="981" w:type="dxa"/>
          </w:tcPr>
          <w:p w14:paraId="2FD8F5EA" w14:textId="77777777" w:rsidR="007F37F2" w:rsidRPr="004C0F8F" w:rsidRDefault="007F37F2" w:rsidP="00040DE7">
            <w:pPr>
              <w:rPr>
                <w:sz w:val="20"/>
                <w:szCs w:val="20"/>
              </w:rPr>
            </w:pPr>
            <w:r w:rsidRPr="004C0F8F">
              <w:rPr>
                <w:sz w:val="20"/>
                <w:szCs w:val="20"/>
              </w:rPr>
              <w:t>low</w:t>
            </w:r>
          </w:p>
        </w:tc>
      </w:tr>
      <w:tr w:rsidR="007F37F2" w:rsidRPr="004C0F8F" w14:paraId="0D939A76" w14:textId="77777777" w:rsidTr="00DB495C">
        <w:tc>
          <w:tcPr>
            <w:tcW w:w="1341" w:type="dxa"/>
            <w:vMerge w:val="restart"/>
            <w:shd w:val="clear" w:color="auto" w:fill="FFD966" w:themeFill="accent4" w:themeFillTint="99"/>
          </w:tcPr>
          <w:p w14:paraId="1CF02A88" w14:textId="77777777" w:rsidR="007F37F2" w:rsidRPr="004C0F8F" w:rsidRDefault="007F37F2" w:rsidP="00040DE7">
            <w:pPr>
              <w:rPr>
                <w:b/>
                <w:sz w:val="20"/>
                <w:szCs w:val="20"/>
              </w:rPr>
            </w:pPr>
            <w:r w:rsidRPr="004C0F8F">
              <w:rPr>
                <w:b/>
                <w:sz w:val="20"/>
                <w:szCs w:val="20"/>
              </w:rPr>
              <w:t>generic for new DFAT activities</w:t>
            </w:r>
          </w:p>
        </w:tc>
        <w:tc>
          <w:tcPr>
            <w:tcW w:w="2482" w:type="dxa"/>
          </w:tcPr>
          <w:p w14:paraId="449C5815" w14:textId="77777777" w:rsidR="007F37F2" w:rsidRPr="004C0F8F" w:rsidRDefault="007F37F2" w:rsidP="00040DE7">
            <w:pPr>
              <w:rPr>
                <w:sz w:val="20"/>
                <w:szCs w:val="20"/>
              </w:rPr>
            </w:pPr>
            <w:r w:rsidRPr="004C0F8F">
              <w:rPr>
                <w:sz w:val="20"/>
                <w:szCs w:val="20"/>
              </w:rPr>
              <w:t>problems finding expertise</w:t>
            </w:r>
          </w:p>
        </w:tc>
        <w:tc>
          <w:tcPr>
            <w:tcW w:w="1417" w:type="dxa"/>
            <w:vMerge w:val="restart"/>
          </w:tcPr>
          <w:p w14:paraId="3CEBEBB4" w14:textId="77777777" w:rsidR="007F37F2" w:rsidRPr="004C0F8F" w:rsidRDefault="007F37F2" w:rsidP="00040DE7">
            <w:pPr>
              <w:rPr>
                <w:sz w:val="20"/>
                <w:szCs w:val="20"/>
              </w:rPr>
            </w:pPr>
            <w:r w:rsidRPr="004C0F8F">
              <w:rPr>
                <w:sz w:val="20"/>
                <w:szCs w:val="20"/>
              </w:rPr>
              <w:t>limits on pay and career expectations</w:t>
            </w:r>
          </w:p>
        </w:tc>
        <w:tc>
          <w:tcPr>
            <w:tcW w:w="1559" w:type="dxa"/>
            <w:vMerge w:val="restart"/>
          </w:tcPr>
          <w:p w14:paraId="41BE3C92" w14:textId="77777777" w:rsidR="007F37F2" w:rsidRPr="004C0F8F" w:rsidRDefault="007F37F2" w:rsidP="00040DE7">
            <w:pPr>
              <w:rPr>
                <w:sz w:val="20"/>
                <w:szCs w:val="20"/>
              </w:rPr>
            </w:pPr>
            <w:r w:rsidRPr="004C0F8F">
              <w:rPr>
                <w:sz w:val="20"/>
                <w:szCs w:val="20"/>
              </w:rPr>
              <w:t>inadequate operational expertise</w:t>
            </w:r>
          </w:p>
        </w:tc>
        <w:tc>
          <w:tcPr>
            <w:tcW w:w="1146" w:type="dxa"/>
            <w:vMerge w:val="restart"/>
          </w:tcPr>
          <w:p w14:paraId="3A268142" w14:textId="77777777" w:rsidR="007F37F2" w:rsidRPr="004C0F8F" w:rsidRDefault="007F37F2" w:rsidP="00040DE7">
            <w:pPr>
              <w:rPr>
                <w:sz w:val="20"/>
                <w:szCs w:val="20"/>
              </w:rPr>
            </w:pPr>
            <w:r w:rsidRPr="004C0F8F">
              <w:rPr>
                <w:sz w:val="20"/>
                <w:szCs w:val="20"/>
              </w:rPr>
              <w:t>large</w:t>
            </w:r>
          </w:p>
        </w:tc>
        <w:tc>
          <w:tcPr>
            <w:tcW w:w="3674" w:type="dxa"/>
            <w:vMerge w:val="restart"/>
          </w:tcPr>
          <w:p w14:paraId="7239A11B" w14:textId="77777777" w:rsidR="007F37F2" w:rsidRPr="004C0F8F" w:rsidRDefault="007F37F2" w:rsidP="00040DE7">
            <w:pPr>
              <w:rPr>
                <w:sz w:val="20"/>
                <w:szCs w:val="20"/>
              </w:rPr>
            </w:pPr>
            <w:r w:rsidRPr="004C0F8F">
              <w:rPr>
                <w:sz w:val="20"/>
                <w:szCs w:val="20"/>
              </w:rPr>
              <w:t>special arrangements for remuneration and contracting</w:t>
            </w:r>
          </w:p>
        </w:tc>
        <w:tc>
          <w:tcPr>
            <w:tcW w:w="1258" w:type="dxa"/>
            <w:vMerge w:val="restart"/>
          </w:tcPr>
          <w:p w14:paraId="27E68ABC" w14:textId="77777777" w:rsidR="007F37F2" w:rsidRPr="004C0F8F" w:rsidRDefault="007F37F2" w:rsidP="00040DE7">
            <w:pPr>
              <w:rPr>
                <w:sz w:val="20"/>
                <w:szCs w:val="20"/>
              </w:rPr>
            </w:pPr>
            <w:r w:rsidRPr="004C0F8F">
              <w:rPr>
                <w:sz w:val="20"/>
                <w:szCs w:val="20"/>
              </w:rPr>
              <w:t>small</w:t>
            </w:r>
          </w:p>
        </w:tc>
        <w:tc>
          <w:tcPr>
            <w:tcW w:w="981" w:type="dxa"/>
            <w:vMerge w:val="restart"/>
          </w:tcPr>
          <w:p w14:paraId="526526F0" w14:textId="77777777" w:rsidR="007F37F2" w:rsidRPr="004C0F8F" w:rsidRDefault="007F37F2" w:rsidP="00040DE7">
            <w:pPr>
              <w:rPr>
                <w:sz w:val="20"/>
                <w:szCs w:val="20"/>
              </w:rPr>
            </w:pPr>
            <w:r w:rsidRPr="004C0F8F">
              <w:rPr>
                <w:sz w:val="20"/>
                <w:szCs w:val="20"/>
              </w:rPr>
              <w:t>low</w:t>
            </w:r>
          </w:p>
        </w:tc>
      </w:tr>
      <w:tr w:rsidR="007F37F2" w:rsidRPr="004C0F8F" w14:paraId="4A7916E4" w14:textId="77777777" w:rsidTr="00DB495C">
        <w:tc>
          <w:tcPr>
            <w:tcW w:w="1341" w:type="dxa"/>
            <w:vMerge/>
            <w:shd w:val="clear" w:color="auto" w:fill="FFD966" w:themeFill="accent4" w:themeFillTint="99"/>
          </w:tcPr>
          <w:p w14:paraId="7299491A" w14:textId="77777777" w:rsidR="007F37F2" w:rsidRPr="004C0F8F" w:rsidRDefault="007F37F2" w:rsidP="00040DE7">
            <w:pPr>
              <w:rPr>
                <w:b/>
                <w:sz w:val="20"/>
                <w:szCs w:val="20"/>
              </w:rPr>
            </w:pPr>
          </w:p>
        </w:tc>
        <w:tc>
          <w:tcPr>
            <w:tcW w:w="2482" w:type="dxa"/>
          </w:tcPr>
          <w:p w14:paraId="7D965909" w14:textId="77777777" w:rsidR="007F37F2" w:rsidRPr="004C0F8F" w:rsidRDefault="007F37F2" w:rsidP="00040DE7">
            <w:pPr>
              <w:rPr>
                <w:sz w:val="20"/>
                <w:szCs w:val="20"/>
              </w:rPr>
            </w:pPr>
            <w:r w:rsidRPr="004C0F8F">
              <w:rPr>
                <w:sz w:val="20"/>
                <w:szCs w:val="20"/>
              </w:rPr>
              <w:t>understaffing over time</w:t>
            </w:r>
          </w:p>
        </w:tc>
        <w:tc>
          <w:tcPr>
            <w:tcW w:w="1417" w:type="dxa"/>
            <w:vMerge/>
          </w:tcPr>
          <w:p w14:paraId="0BE2B25F" w14:textId="77777777" w:rsidR="007F37F2" w:rsidRPr="004C0F8F" w:rsidRDefault="007F37F2" w:rsidP="00040DE7">
            <w:pPr>
              <w:rPr>
                <w:sz w:val="20"/>
                <w:szCs w:val="20"/>
              </w:rPr>
            </w:pPr>
          </w:p>
        </w:tc>
        <w:tc>
          <w:tcPr>
            <w:tcW w:w="1559" w:type="dxa"/>
            <w:vMerge/>
          </w:tcPr>
          <w:p w14:paraId="12E1A2FB" w14:textId="77777777" w:rsidR="007F37F2" w:rsidRPr="004C0F8F" w:rsidRDefault="007F37F2" w:rsidP="00040DE7">
            <w:pPr>
              <w:rPr>
                <w:sz w:val="20"/>
                <w:szCs w:val="20"/>
              </w:rPr>
            </w:pPr>
          </w:p>
        </w:tc>
        <w:tc>
          <w:tcPr>
            <w:tcW w:w="1146" w:type="dxa"/>
            <w:vMerge/>
          </w:tcPr>
          <w:p w14:paraId="7536410F" w14:textId="77777777" w:rsidR="007F37F2" w:rsidRPr="004C0F8F" w:rsidRDefault="007F37F2" w:rsidP="00040DE7">
            <w:pPr>
              <w:rPr>
                <w:sz w:val="20"/>
                <w:szCs w:val="20"/>
              </w:rPr>
            </w:pPr>
          </w:p>
        </w:tc>
        <w:tc>
          <w:tcPr>
            <w:tcW w:w="3674" w:type="dxa"/>
            <w:vMerge/>
          </w:tcPr>
          <w:p w14:paraId="3D6AE066" w14:textId="77777777" w:rsidR="007F37F2" w:rsidRPr="004C0F8F" w:rsidRDefault="007F37F2" w:rsidP="00040DE7">
            <w:pPr>
              <w:rPr>
                <w:sz w:val="20"/>
                <w:szCs w:val="20"/>
              </w:rPr>
            </w:pPr>
          </w:p>
        </w:tc>
        <w:tc>
          <w:tcPr>
            <w:tcW w:w="1258" w:type="dxa"/>
            <w:vMerge/>
          </w:tcPr>
          <w:p w14:paraId="482F7DF3" w14:textId="77777777" w:rsidR="007F37F2" w:rsidRPr="004C0F8F" w:rsidRDefault="007F37F2" w:rsidP="00040DE7">
            <w:pPr>
              <w:rPr>
                <w:sz w:val="20"/>
                <w:szCs w:val="20"/>
              </w:rPr>
            </w:pPr>
          </w:p>
        </w:tc>
        <w:tc>
          <w:tcPr>
            <w:tcW w:w="981" w:type="dxa"/>
            <w:vMerge/>
          </w:tcPr>
          <w:p w14:paraId="60FFA566" w14:textId="77777777" w:rsidR="007F37F2" w:rsidRPr="004C0F8F" w:rsidRDefault="007F37F2" w:rsidP="00040DE7">
            <w:pPr>
              <w:rPr>
                <w:sz w:val="20"/>
                <w:szCs w:val="20"/>
              </w:rPr>
            </w:pPr>
          </w:p>
        </w:tc>
      </w:tr>
      <w:tr w:rsidR="007F37F2" w:rsidRPr="004C0F8F" w14:paraId="4CFBF682" w14:textId="77777777" w:rsidTr="00DB495C">
        <w:tc>
          <w:tcPr>
            <w:tcW w:w="1341" w:type="dxa"/>
            <w:vMerge/>
            <w:shd w:val="clear" w:color="auto" w:fill="FFD966" w:themeFill="accent4" w:themeFillTint="99"/>
          </w:tcPr>
          <w:p w14:paraId="227004B1" w14:textId="77777777" w:rsidR="007F37F2" w:rsidRPr="004C0F8F" w:rsidRDefault="007F37F2" w:rsidP="00040DE7">
            <w:pPr>
              <w:rPr>
                <w:b/>
                <w:sz w:val="20"/>
                <w:szCs w:val="20"/>
              </w:rPr>
            </w:pPr>
          </w:p>
        </w:tc>
        <w:tc>
          <w:tcPr>
            <w:tcW w:w="2482" w:type="dxa"/>
          </w:tcPr>
          <w:p w14:paraId="3E70C84D" w14:textId="77777777" w:rsidR="007F37F2" w:rsidRPr="004C0F8F" w:rsidRDefault="007F37F2" w:rsidP="00040DE7">
            <w:pPr>
              <w:rPr>
                <w:sz w:val="20"/>
                <w:szCs w:val="20"/>
              </w:rPr>
            </w:pPr>
            <w:r w:rsidRPr="004C0F8F">
              <w:rPr>
                <w:sz w:val="20"/>
                <w:szCs w:val="20"/>
              </w:rPr>
              <w:t>counter-productive internal competition for resources</w:t>
            </w:r>
          </w:p>
        </w:tc>
        <w:tc>
          <w:tcPr>
            <w:tcW w:w="1417" w:type="dxa"/>
          </w:tcPr>
          <w:p w14:paraId="07C10F30" w14:textId="77777777" w:rsidR="007F37F2" w:rsidRPr="004C0F8F" w:rsidRDefault="007F37F2" w:rsidP="00040DE7">
            <w:pPr>
              <w:rPr>
                <w:sz w:val="20"/>
                <w:szCs w:val="20"/>
              </w:rPr>
            </w:pPr>
            <w:r w:rsidRPr="004C0F8F">
              <w:rPr>
                <w:sz w:val="20"/>
                <w:szCs w:val="20"/>
              </w:rPr>
              <w:t>management practice</w:t>
            </w:r>
          </w:p>
        </w:tc>
        <w:tc>
          <w:tcPr>
            <w:tcW w:w="1559" w:type="dxa"/>
          </w:tcPr>
          <w:p w14:paraId="1470566B" w14:textId="77777777" w:rsidR="007F37F2" w:rsidRPr="004C0F8F" w:rsidRDefault="007F37F2" w:rsidP="00040DE7">
            <w:pPr>
              <w:rPr>
                <w:sz w:val="20"/>
                <w:szCs w:val="20"/>
              </w:rPr>
            </w:pPr>
            <w:r w:rsidRPr="004C0F8F">
              <w:rPr>
                <w:sz w:val="20"/>
                <w:szCs w:val="20"/>
              </w:rPr>
              <w:t>inadequate level of operations</w:t>
            </w:r>
          </w:p>
        </w:tc>
        <w:tc>
          <w:tcPr>
            <w:tcW w:w="1146" w:type="dxa"/>
          </w:tcPr>
          <w:p w14:paraId="34B00044" w14:textId="77777777" w:rsidR="007F37F2" w:rsidRPr="004C0F8F" w:rsidRDefault="007F37F2" w:rsidP="00040DE7">
            <w:pPr>
              <w:rPr>
                <w:sz w:val="20"/>
                <w:szCs w:val="20"/>
              </w:rPr>
            </w:pPr>
            <w:r w:rsidRPr="004C0F8F">
              <w:rPr>
                <w:sz w:val="20"/>
                <w:szCs w:val="20"/>
              </w:rPr>
              <w:t>substantial</w:t>
            </w:r>
          </w:p>
        </w:tc>
        <w:tc>
          <w:tcPr>
            <w:tcW w:w="3674" w:type="dxa"/>
          </w:tcPr>
          <w:p w14:paraId="5F070FC9" w14:textId="77777777" w:rsidR="007F37F2" w:rsidRPr="004C0F8F" w:rsidRDefault="007F37F2" w:rsidP="00040DE7">
            <w:pPr>
              <w:rPr>
                <w:sz w:val="20"/>
                <w:szCs w:val="20"/>
              </w:rPr>
            </w:pPr>
            <w:r w:rsidRPr="004C0F8F">
              <w:rPr>
                <w:sz w:val="20"/>
                <w:szCs w:val="20"/>
              </w:rPr>
              <w:t>Ministerial and management commitment to developing use of NGF in long term</w:t>
            </w:r>
          </w:p>
        </w:tc>
        <w:tc>
          <w:tcPr>
            <w:tcW w:w="1258" w:type="dxa"/>
          </w:tcPr>
          <w:p w14:paraId="2CF57F1E" w14:textId="77777777" w:rsidR="007F37F2" w:rsidRPr="004C0F8F" w:rsidRDefault="007F37F2" w:rsidP="00040DE7">
            <w:pPr>
              <w:rPr>
                <w:sz w:val="20"/>
                <w:szCs w:val="20"/>
              </w:rPr>
            </w:pPr>
            <w:r w:rsidRPr="004C0F8F">
              <w:rPr>
                <w:sz w:val="20"/>
                <w:szCs w:val="20"/>
              </w:rPr>
              <w:t>small</w:t>
            </w:r>
          </w:p>
        </w:tc>
        <w:tc>
          <w:tcPr>
            <w:tcW w:w="981" w:type="dxa"/>
          </w:tcPr>
          <w:p w14:paraId="611A675B" w14:textId="77777777" w:rsidR="007F37F2" w:rsidRPr="004C0F8F" w:rsidRDefault="007F37F2" w:rsidP="00040DE7">
            <w:pPr>
              <w:rPr>
                <w:sz w:val="20"/>
                <w:szCs w:val="20"/>
              </w:rPr>
            </w:pPr>
            <w:r w:rsidRPr="004C0F8F">
              <w:rPr>
                <w:sz w:val="20"/>
                <w:szCs w:val="20"/>
              </w:rPr>
              <w:t>low</w:t>
            </w:r>
          </w:p>
        </w:tc>
      </w:tr>
      <w:tr w:rsidR="007F37F2" w:rsidRPr="004C0F8F" w14:paraId="409DE0B0" w14:textId="77777777" w:rsidTr="00DB495C">
        <w:tc>
          <w:tcPr>
            <w:tcW w:w="1341" w:type="dxa"/>
            <w:vMerge/>
            <w:shd w:val="clear" w:color="auto" w:fill="FFD966" w:themeFill="accent4" w:themeFillTint="99"/>
          </w:tcPr>
          <w:p w14:paraId="792CBB01" w14:textId="77777777" w:rsidR="007F37F2" w:rsidRPr="004C0F8F" w:rsidRDefault="007F37F2" w:rsidP="00040DE7">
            <w:pPr>
              <w:rPr>
                <w:b/>
                <w:sz w:val="20"/>
                <w:szCs w:val="20"/>
              </w:rPr>
            </w:pPr>
          </w:p>
        </w:tc>
        <w:tc>
          <w:tcPr>
            <w:tcW w:w="2482" w:type="dxa"/>
          </w:tcPr>
          <w:p w14:paraId="440F1724" w14:textId="77777777" w:rsidR="007F37F2" w:rsidRPr="004C0F8F" w:rsidRDefault="007F37F2" w:rsidP="00040DE7">
            <w:pPr>
              <w:rPr>
                <w:sz w:val="20"/>
                <w:szCs w:val="20"/>
              </w:rPr>
            </w:pPr>
            <w:r w:rsidRPr="004C0F8F">
              <w:rPr>
                <w:sz w:val="20"/>
                <w:szCs w:val="20"/>
              </w:rPr>
              <w:t>unrealistic expectations about rate of delivery</w:t>
            </w:r>
          </w:p>
        </w:tc>
        <w:tc>
          <w:tcPr>
            <w:tcW w:w="1417" w:type="dxa"/>
          </w:tcPr>
          <w:p w14:paraId="11F78AA3" w14:textId="77777777" w:rsidR="007F37F2" w:rsidRPr="004C0F8F" w:rsidRDefault="007F37F2" w:rsidP="00040DE7">
            <w:pPr>
              <w:rPr>
                <w:sz w:val="20"/>
                <w:szCs w:val="20"/>
              </w:rPr>
            </w:pPr>
            <w:r w:rsidRPr="004C0F8F">
              <w:rPr>
                <w:sz w:val="20"/>
                <w:szCs w:val="20"/>
              </w:rPr>
              <w:t>public statements, media coverage</w:t>
            </w:r>
          </w:p>
        </w:tc>
        <w:tc>
          <w:tcPr>
            <w:tcW w:w="1559" w:type="dxa"/>
          </w:tcPr>
          <w:p w14:paraId="608E386C" w14:textId="77777777" w:rsidR="007F37F2" w:rsidRPr="004C0F8F" w:rsidRDefault="007F37F2" w:rsidP="00040DE7">
            <w:pPr>
              <w:rPr>
                <w:sz w:val="20"/>
                <w:szCs w:val="20"/>
              </w:rPr>
            </w:pPr>
            <w:r w:rsidRPr="004C0F8F">
              <w:rPr>
                <w:sz w:val="20"/>
                <w:szCs w:val="20"/>
              </w:rPr>
              <w:t>embarrassment for Ministers and DFAT</w:t>
            </w:r>
          </w:p>
        </w:tc>
        <w:tc>
          <w:tcPr>
            <w:tcW w:w="1146" w:type="dxa"/>
          </w:tcPr>
          <w:p w14:paraId="4B1783B1" w14:textId="77777777" w:rsidR="007F37F2" w:rsidRPr="004C0F8F" w:rsidRDefault="007F37F2" w:rsidP="00040DE7">
            <w:pPr>
              <w:rPr>
                <w:sz w:val="20"/>
                <w:szCs w:val="20"/>
              </w:rPr>
            </w:pPr>
            <w:r w:rsidRPr="004C0F8F">
              <w:rPr>
                <w:sz w:val="20"/>
                <w:szCs w:val="20"/>
              </w:rPr>
              <w:t>large</w:t>
            </w:r>
          </w:p>
        </w:tc>
        <w:tc>
          <w:tcPr>
            <w:tcW w:w="3674" w:type="dxa"/>
          </w:tcPr>
          <w:p w14:paraId="6023EBD3" w14:textId="77777777" w:rsidR="007F37F2" w:rsidRPr="004C0F8F" w:rsidRDefault="007F37F2" w:rsidP="00040DE7">
            <w:pPr>
              <w:rPr>
                <w:sz w:val="20"/>
                <w:szCs w:val="20"/>
              </w:rPr>
            </w:pPr>
            <w:r w:rsidRPr="004C0F8F">
              <w:rPr>
                <w:sz w:val="20"/>
                <w:szCs w:val="20"/>
              </w:rPr>
              <w:t>realism in statements, responses to questions, workplans and performance measures</w:t>
            </w:r>
          </w:p>
        </w:tc>
        <w:tc>
          <w:tcPr>
            <w:tcW w:w="1258" w:type="dxa"/>
          </w:tcPr>
          <w:p w14:paraId="5D1AE547" w14:textId="77777777" w:rsidR="007F37F2" w:rsidRPr="004C0F8F" w:rsidRDefault="007F37F2" w:rsidP="00040DE7">
            <w:pPr>
              <w:rPr>
                <w:sz w:val="20"/>
                <w:szCs w:val="20"/>
              </w:rPr>
            </w:pPr>
            <w:r w:rsidRPr="004C0F8F">
              <w:rPr>
                <w:sz w:val="20"/>
                <w:szCs w:val="20"/>
              </w:rPr>
              <w:t>substantial</w:t>
            </w:r>
          </w:p>
        </w:tc>
        <w:tc>
          <w:tcPr>
            <w:tcW w:w="981" w:type="dxa"/>
            <w:shd w:val="clear" w:color="auto" w:fill="FFD966" w:themeFill="accent4" w:themeFillTint="99"/>
          </w:tcPr>
          <w:p w14:paraId="6BDAB6A6" w14:textId="77777777" w:rsidR="007F37F2" w:rsidRPr="004C0F8F" w:rsidRDefault="007F37F2" w:rsidP="00040DE7">
            <w:pPr>
              <w:rPr>
                <w:sz w:val="20"/>
                <w:szCs w:val="20"/>
              </w:rPr>
            </w:pPr>
            <w:r w:rsidRPr="004C0F8F">
              <w:rPr>
                <w:sz w:val="20"/>
                <w:szCs w:val="20"/>
              </w:rPr>
              <w:t>medium</w:t>
            </w:r>
          </w:p>
        </w:tc>
      </w:tr>
      <w:tr w:rsidR="007F37F2" w:rsidRPr="004C0F8F" w14:paraId="261BCABD" w14:textId="77777777" w:rsidTr="00DB495C">
        <w:tc>
          <w:tcPr>
            <w:tcW w:w="1341" w:type="dxa"/>
            <w:vMerge w:val="restart"/>
            <w:shd w:val="clear" w:color="auto" w:fill="FFD966" w:themeFill="accent4" w:themeFillTint="99"/>
          </w:tcPr>
          <w:p w14:paraId="03C18673" w14:textId="77777777" w:rsidR="007F37F2" w:rsidRPr="004C0F8F" w:rsidRDefault="007F37F2" w:rsidP="00040DE7">
            <w:pPr>
              <w:rPr>
                <w:b/>
                <w:sz w:val="20"/>
                <w:szCs w:val="20"/>
              </w:rPr>
            </w:pPr>
            <w:r w:rsidRPr="004C0F8F">
              <w:rPr>
                <w:b/>
                <w:sz w:val="20"/>
                <w:szCs w:val="20"/>
              </w:rPr>
              <w:t xml:space="preserve">linked with institutional </w:t>
            </w:r>
            <w:proofErr w:type="gramStart"/>
            <w:r w:rsidRPr="004C0F8F">
              <w:rPr>
                <w:b/>
                <w:sz w:val="20"/>
                <w:szCs w:val="20"/>
              </w:rPr>
              <w:t>options 2-4</w:t>
            </w:r>
            <w:proofErr w:type="gramEnd"/>
          </w:p>
        </w:tc>
        <w:tc>
          <w:tcPr>
            <w:tcW w:w="2482" w:type="dxa"/>
          </w:tcPr>
          <w:p w14:paraId="324F9A55" w14:textId="77777777" w:rsidR="007F37F2" w:rsidRPr="004C0F8F" w:rsidRDefault="007F37F2" w:rsidP="00040DE7">
            <w:pPr>
              <w:rPr>
                <w:sz w:val="20"/>
                <w:szCs w:val="20"/>
              </w:rPr>
            </w:pPr>
            <w:r w:rsidRPr="004C0F8F">
              <w:rPr>
                <w:sz w:val="20"/>
                <w:szCs w:val="20"/>
              </w:rPr>
              <w:t>failure of coordination</w:t>
            </w:r>
          </w:p>
        </w:tc>
        <w:tc>
          <w:tcPr>
            <w:tcW w:w="1417" w:type="dxa"/>
            <w:vMerge w:val="restart"/>
          </w:tcPr>
          <w:p w14:paraId="32E07D54" w14:textId="77777777" w:rsidR="007F37F2" w:rsidRPr="004C0F8F" w:rsidRDefault="007F37F2" w:rsidP="00040DE7">
            <w:pPr>
              <w:rPr>
                <w:sz w:val="20"/>
                <w:szCs w:val="20"/>
              </w:rPr>
            </w:pPr>
            <w:r w:rsidRPr="004C0F8F">
              <w:rPr>
                <w:sz w:val="20"/>
                <w:szCs w:val="20"/>
              </w:rPr>
              <w:t>managements of relevant institutions</w:t>
            </w:r>
          </w:p>
        </w:tc>
        <w:tc>
          <w:tcPr>
            <w:tcW w:w="1559" w:type="dxa"/>
            <w:vMerge w:val="restart"/>
          </w:tcPr>
          <w:p w14:paraId="6934E02C" w14:textId="77777777" w:rsidR="007F37F2" w:rsidRPr="004C0F8F" w:rsidRDefault="007F37F2" w:rsidP="00040DE7">
            <w:pPr>
              <w:rPr>
                <w:sz w:val="20"/>
                <w:szCs w:val="20"/>
              </w:rPr>
            </w:pPr>
            <w:r w:rsidRPr="004C0F8F">
              <w:rPr>
                <w:sz w:val="20"/>
                <w:szCs w:val="20"/>
              </w:rPr>
              <w:t>unsatisfactory performance of NGF operations</w:t>
            </w:r>
          </w:p>
        </w:tc>
        <w:tc>
          <w:tcPr>
            <w:tcW w:w="1146" w:type="dxa"/>
          </w:tcPr>
          <w:p w14:paraId="2C88DDF7" w14:textId="77777777" w:rsidR="007F37F2" w:rsidRPr="004C0F8F" w:rsidRDefault="007F37F2" w:rsidP="00040DE7">
            <w:pPr>
              <w:rPr>
                <w:sz w:val="20"/>
                <w:szCs w:val="20"/>
              </w:rPr>
            </w:pPr>
            <w:r w:rsidRPr="004C0F8F">
              <w:rPr>
                <w:sz w:val="20"/>
                <w:szCs w:val="20"/>
              </w:rPr>
              <w:t>substantial</w:t>
            </w:r>
          </w:p>
        </w:tc>
        <w:tc>
          <w:tcPr>
            <w:tcW w:w="3674" w:type="dxa"/>
            <w:vMerge w:val="restart"/>
          </w:tcPr>
          <w:p w14:paraId="19B80860" w14:textId="77777777" w:rsidR="007F37F2" w:rsidRPr="004C0F8F" w:rsidRDefault="007F37F2" w:rsidP="00040DE7">
            <w:pPr>
              <w:rPr>
                <w:sz w:val="20"/>
                <w:szCs w:val="20"/>
              </w:rPr>
            </w:pPr>
            <w:r w:rsidRPr="004C0F8F">
              <w:rPr>
                <w:sz w:val="20"/>
                <w:szCs w:val="20"/>
              </w:rPr>
              <w:t>Ministerial and management commitment to sustained cooperation on NGF</w:t>
            </w:r>
          </w:p>
        </w:tc>
        <w:tc>
          <w:tcPr>
            <w:tcW w:w="1258" w:type="dxa"/>
            <w:vMerge w:val="restart"/>
          </w:tcPr>
          <w:p w14:paraId="442614D4" w14:textId="77777777" w:rsidR="007F37F2" w:rsidRPr="004C0F8F" w:rsidRDefault="007F37F2" w:rsidP="00040DE7">
            <w:pPr>
              <w:rPr>
                <w:sz w:val="20"/>
                <w:szCs w:val="20"/>
              </w:rPr>
            </w:pPr>
            <w:r w:rsidRPr="004C0F8F">
              <w:rPr>
                <w:sz w:val="20"/>
                <w:szCs w:val="20"/>
              </w:rPr>
              <w:t>small</w:t>
            </w:r>
          </w:p>
        </w:tc>
        <w:tc>
          <w:tcPr>
            <w:tcW w:w="981" w:type="dxa"/>
            <w:vMerge w:val="restart"/>
          </w:tcPr>
          <w:p w14:paraId="03F9ED93" w14:textId="77777777" w:rsidR="007F37F2" w:rsidRPr="004C0F8F" w:rsidRDefault="007F37F2" w:rsidP="00040DE7">
            <w:pPr>
              <w:rPr>
                <w:sz w:val="20"/>
                <w:szCs w:val="20"/>
              </w:rPr>
            </w:pPr>
            <w:r w:rsidRPr="004C0F8F">
              <w:rPr>
                <w:sz w:val="20"/>
                <w:szCs w:val="20"/>
              </w:rPr>
              <w:t>low</w:t>
            </w:r>
          </w:p>
        </w:tc>
      </w:tr>
      <w:tr w:rsidR="007F37F2" w:rsidRPr="004C0F8F" w14:paraId="5BCEC6E8" w14:textId="77777777" w:rsidTr="00DB495C">
        <w:tc>
          <w:tcPr>
            <w:tcW w:w="1341" w:type="dxa"/>
            <w:vMerge/>
            <w:shd w:val="clear" w:color="auto" w:fill="FFD966" w:themeFill="accent4" w:themeFillTint="99"/>
          </w:tcPr>
          <w:p w14:paraId="133D8031" w14:textId="77777777" w:rsidR="007F37F2" w:rsidRPr="004C0F8F" w:rsidRDefault="007F37F2" w:rsidP="00040DE7">
            <w:pPr>
              <w:rPr>
                <w:b/>
                <w:sz w:val="20"/>
                <w:szCs w:val="20"/>
              </w:rPr>
            </w:pPr>
          </w:p>
        </w:tc>
        <w:tc>
          <w:tcPr>
            <w:tcW w:w="2482" w:type="dxa"/>
          </w:tcPr>
          <w:p w14:paraId="396B8EE0" w14:textId="77777777" w:rsidR="007F37F2" w:rsidRPr="004C0F8F" w:rsidRDefault="007F37F2" w:rsidP="00040DE7">
            <w:pPr>
              <w:rPr>
                <w:sz w:val="20"/>
                <w:szCs w:val="20"/>
              </w:rPr>
            </w:pPr>
            <w:r w:rsidRPr="004C0F8F">
              <w:rPr>
                <w:sz w:val="20"/>
                <w:szCs w:val="20"/>
              </w:rPr>
              <w:t>competition in external contacts</w:t>
            </w:r>
          </w:p>
        </w:tc>
        <w:tc>
          <w:tcPr>
            <w:tcW w:w="1417" w:type="dxa"/>
            <w:vMerge/>
          </w:tcPr>
          <w:p w14:paraId="6E54EE41" w14:textId="77777777" w:rsidR="007F37F2" w:rsidRPr="004C0F8F" w:rsidRDefault="007F37F2" w:rsidP="00040DE7">
            <w:pPr>
              <w:rPr>
                <w:sz w:val="20"/>
                <w:szCs w:val="20"/>
              </w:rPr>
            </w:pPr>
          </w:p>
        </w:tc>
        <w:tc>
          <w:tcPr>
            <w:tcW w:w="1559" w:type="dxa"/>
            <w:vMerge/>
          </w:tcPr>
          <w:p w14:paraId="4B452D5F" w14:textId="77777777" w:rsidR="007F37F2" w:rsidRPr="004C0F8F" w:rsidRDefault="007F37F2" w:rsidP="00040DE7">
            <w:pPr>
              <w:rPr>
                <w:sz w:val="20"/>
                <w:szCs w:val="20"/>
              </w:rPr>
            </w:pPr>
          </w:p>
        </w:tc>
        <w:tc>
          <w:tcPr>
            <w:tcW w:w="1146" w:type="dxa"/>
          </w:tcPr>
          <w:p w14:paraId="37EA75CC" w14:textId="77777777" w:rsidR="007F37F2" w:rsidRPr="004C0F8F" w:rsidRDefault="007F37F2" w:rsidP="00040DE7">
            <w:pPr>
              <w:rPr>
                <w:sz w:val="20"/>
                <w:szCs w:val="20"/>
              </w:rPr>
            </w:pPr>
            <w:r w:rsidRPr="004C0F8F">
              <w:rPr>
                <w:sz w:val="20"/>
                <w:szCs w:val="20"/>
              </w:rPr>
              <w:t>substantial</w:t>
            </w:r>
          </w:p>
        </w:tc>
        <w:tc>
          <w:tcPr>
            <w:tcW w:w="3674" w:type="dxa"/>
            <w:vMerge/>
          </w:tcPr>
          <w:p w14:paraId="38B5D63F" w14:textId="77777777" w:rsidR="007F37F2" w:rsidRPr="004C0F8F" w:rsidRDefault="007F37F2" w:rsidP="00040DE7">
            <w:pPr>
              <w:rPr>
                <w:sz w:val="20"/>
                <w:szCs w:val="20"/>
              </w:rPr>
            </w:pPr>
          </w:p>
        </w:tc>
        <w:tc>
          <w:tcPr>
            <w:tcW w:w="1258" w:type="dxa"/>
            <w:vMerge/>
          </w:tcPr>
          <w:p w14:paraId="32E8FF23" w14:textId="77777777" w:rsidR="007F37F2" w:rsidRPr="004C0F8F" w:rsidRDefault="007F37F2" w:rsidP="00040DE7">
            <w:pPr>
              <w:rPr>
                <w:sz w:val="20"/>
                <w:szCs w:val="20"/>
              </w:rPr>
            </w:pPr>
          </w:p>
        </w:tc>
        <w:tc>
          <w:tcPr>
            <w:tcW w:w="981" w:type="dxa"/>
            <w:vMerge/>
          </w:tcPr>
          <w:p w14:paraId="2F90A9CC" w14:textId="77777777" w:rsidR="007F37F2" w:rsidRPr="004C0F8F" w:rsidRDefault="007F37F2" w:rsidP="00040DE7">
            <w:pPr>
              <w:rPr>
                <w:sz w:val="20"/>
                <w:szCs w:val="20"/>
              </w:rPr>
            </w:pPr>
          </w:p>
        </w:tc>
      </w:tr>
      <w:tr w:rsidR="007F37F2" w:rsidRPr="004C0F8F" w14:paraId="54D45B5D" w14:textId="77777777" w:rsidTr="00DB495C">
        <w:tc>
          <w:tcPr>
            <w:tcW w:w="1341" w:type="dxa"/>
            <w:vMerge/>
            <w:shd w:val="clear" w:color="auto" w:fill="FFD966" w:themeFill="accent4" w:themeFillTint="99"/>
          </w:tcPr>
          <w:p w14:paraId="26B19D48" w14:textId="77777777" w:rsidR="007F37F2" w:rsidRPr="004C0F8F" w:rsidRDefault="007F37F2" w:rsidP="00040DE7">
            <w:pPr>
              <w:rPr>
                <w:b/>
                <w:sz w:val="20"/>
                <w:szCs w:val="20"/>
              </w:rPr>
            </w:pPr>
          </w:p>
        </w:tc>
        <w:tc>
          <w:tcPr>
            <w:tcW w:w="2482" w:type="dxa"/>
          </w:tcPr>
          <w:p w14:paraId="06EB9552" w14:textId="77777777" w:rsidR="007F37F2" w:rsidRPr="004C0F8F" w:rsidRDefault="007F37F2" w:rsidP="00040DE7">
            <w:pPr>
              <w:rPr>
                <w:sz w:val="20"/>
                <w:szCs w:val="20"/>
              </w:rPr>
            </w:pPr>
            <w:r w:rsidRPr="004C0F8F">
              <w:rPr>
                <w:sz w:val="20"/>
                <w:szCs w:val="20"/>
              </w:rPr>
              <w:t>competition for staff and funding from Budget</w:t>
            </w:r>
          </w:p>
        </w:tc>
        <w:tc>
          <w:tcPr>
            <w:tcW w:w="1417" w:type="dxa"/>
            <w:vMerge/>
          </w:tcPr>
          <w:p w14:paraId="16CC2D2E" w14:textId="77777777" w:rsidR="007F37F2" w:rsidRPr="004C0F8F" w:rsidRDefault="007F37F2" w:rsidP="00040DE7">
            <w:pPr>
              <w:rPr>
                <w:sz w:val="20"/>
                <w:szCs w:val="20"/>
              </w:rPr>
            </w:pPr>
          </w:p>
        </w:tc>
        <w:tc>
          <w:tcPr>
            <w:tcW w:w="1559" w:type="dxa"/>
            <w:vMerge/>
          </w:tcPr>
          <w:p w14:paraId="31EDEEA4" w14:textId="77777777" w:rsidR="007F37F2" w:rsidRPr="004C0F8F" w:rsidRDefault="007F37F2" w:rsidP="00040DE7">
            <w:pPr>
              <w:rPr>
                <w:sz w:val="20"/>
                <w:szCs w:val="20"/>
              </w:rPr>
            </w:pPr>
          </w:p>
        </w:tc>
        <w:tc>
          <w:tcPr>
            <w:tcW w:w="1146" w:type="dxa"/>
          </w:tcPr>
          <w:p w14:paraId="0FE8D482" w14:textId="77777777" w:rsidR="007F37F2" w:rsidRPr="004C0F8F" w:rsidRDefault="007F37F2" w:rsidP="00040DE7">
            <w:pPr>
              <w:rPr>
                <w:sz w:val="20"/>
                <w:szCs w:val="20"/>
              </w:rPr>
            </w:pPr>
            <w:r w:rsidRPr="004C0F8F">
              <w:rPr>
                <w:sz w:val="20"/>
                <w:szCs w:val="20"/>
              </w:rPr>
              <w:t>substantial</w:t>
            </w:r>
          </w:p>
        </w:tc>
        <w:tc>
          <w:tcPr>
            <w:tcW w:w="3674" w:type="dxa"/>
            <w:vMerge/>
          </w:tcPr>
          <w:p w14:paraId="722D4B47" w14:textId="77777777" w:rsidR="007F37F2" w:rsidRPr="004C0F8F" w:rsidRDefault="007F37F2" w:rsidP="00040DE7">
            <w:pPr>
              <w:rPr>
                <w:sz w:val="20"/>
                <w:szCs w:val="20"/>
              </w:rPr>
            </w:pPr>
          </w:p>
        </w:tc>
        <w:tc>
          <w:tcPr>
            <w:tcW w:w="1258" w:type="dxa"/>
            <w:vMerge/>
          </w:tcPr>
          <w:p w14:paraId="4EADCAA5" w14:textId="77777777" w:rsidR="007F37F2" w:rsidRPr="004C0F8F" w:rsidRDefault="007F37F2" w:rsidP="00040DE7">
            <w:pPr>
              <w:rPr>
                <w:sz w:val="20"/>
                <w:szCs w:val="20"/>
              </w:rPr>
            </w:pPr>
          </w:p>
        </w:tc>
        <w:tc>
          <w:tcPr>
            <w:tcW w:w="981" w:type="dxa"/>
            <w:vMerge/>
          </w:tcPr>
          <w:p w14:paraId="7C43EC7C" w14:textId="77777777" w:rsidR="007F37F2" w:rsidRPr="004C0F8F" w:rsidRDefault="007F37F2" w:rsidP="00040DE7">
            <w:pPr>
              <w:rPr>
                <w:sz w:val="20"/>
                <w:szCs w:val="20"/>
              </w:rPr>
            </w:pPr>
          </w:p>
        </w:tc>
      </w:tr>
    </w:tbl>
    <w:p w14:paraId="71C1E49C" w14:textId="77777777" w:rsidR="007F37F2" w:rsidRPr="004C0F8F" w:rsidRDefault="007F37F2" w:rsidP="007F37F2"/>
    <w:p w14:paraId="366C2F1B" w14:textId="77777777" w:rsidR="007F37F2" w:rsidRPr="004C0F8F" w:rsidRDefault="007F37F2" w:rsidP="007F37F2"/>
    <w:p w14:paraId="6F57F127" w14:textId="77777777" w:rsidR="007F37F2" w:rsidRPr="004C0F8F" w:rsidRDefault="007F37F2" w:rsidP="007F37F2">
      <w:r w:rsidRPr="004C0F8F">
        <w:br w:type="page"/>
      </w:r>
    </w:p>
    <w:tbl>
      <w:tblPr>
        <w:tblStyle w:val="TableGrid6"/>
        <w:tblW w:w="0" w:type="auto"/>
        <w:tblLayout w:type="fixed"/>
        <w:tblLook w:val="04A0" w:firstRow="1" w:lastRow="0" w:firstColumn="1" w:lastColumn="0" w:noHBand="0" w:noVBand="1"/>
      </w:tblPr>
      <w:tblGrid>
        <w:gridCol w:w="1271"/>
        <w:gridCol w:w="2693"/>
        <w:gridCol w:w="1418"/>
        <w:gridCol w:w="1417"/>
        <w:gridCol w:w="1146"/>
        <w:gridCol w:w="17"/>
        <w:gridCol w:w="3657"/>
        <w:gridCol w:w="1249"/>
        <w:gridCol w:w="9"/>
        <w:gridCol w:w="981"/>
      </w:tblGrid>
      <w:tr w:rsidR="00C951A9" w:rsidRPr="004C0F8F" w14:paraId="0274D344" w14:textId="77777777" w:rsidTr="00B46545">
        <w:trPr>
          <w:trHeight w:val="893"/>
          <w:tblHeader/>
        </w:trPr>
        <w:tc>
          <w:tcPr>
            <w:tcW w:w="1271" w:type="dxa"/>
          </w:tcPr>
          <w:p w14:paraId="5C643C6B" w14:textId="77777777" w:rsidR="00B43477" w:rsidRPr="004C0F8F" w:rsidRDefault="00B43477" w:rsidP="00DB495C">
            <w:pPr>
              <w:rPr>
                <w:b/>
                <w:sz w:val="20"/>
                <w:szCs w:val="20"/>
              </w:rPr>
            </w:pPr>
            <w:r w:rsidRPr="004C0F8F">
              <w:rPr>
                <w:b/>
                <w:sz w:val="20"/>
                <w:szCs w:val="20"/>
              </w:rPr>
              <w:lastRenderedPageBreak/>
              <w:t>risk category</w:t>
            </w:r>
          </w:p>
          <w:p w14:paraId="0C6EC92A" w14:textId="77777777" w:rsidR="00B43477" w:rsidRPr="004C0F8F" w:rsidRDefault="00B43477" w:rsidP="00DB495C">
            <w:pPr>
              <w:rPr>
                <w:b/>
                <w:sz w:val="20"/>
                <w:szCs w:val="20"/>
              </w:rPr>
            </w:pPr>
            <w:r>
              <w:rPr>
                <w:b/>
                <w:sz w:val="20"/>
                <w:szCs w:val="20"/>
              </w:rPr>
              <w:t>(</w:t>
            </w:r>
            <w:r w:rsidRPr="004C0F8F">
              <w:rPr>
                <w:b/>
                <w:sz w:val="20"/>
                <w:szCs w:val="20"/>
              </w:rPr>
              <w:t>shaded for importance</w:t>
            </w:r>
            <w:r>
              <w:rPr>
                <w:b/>
                <w:sz w:val="20"/>
                <w:szCs w:val="20"/>
              </w:rPr>
              <w:t>)</w:t>
            </w:r>
            <w:r w:rsidRPr="004C0F8F">
              <w:rPr>
                <w:b/>
                <w:sz w:val="20"/>
                <w:szCs w:val="20"/>
              </w:rPr>
              <w:t xml:space="preserve"> </w:t>
            </w:r>
          </w:p>
        </w:tc>
        <w:tc>
          <w:tcPr>
            <w:tcW w:w="2693" w:type="dxa"/>
          </w:tcPr>
          <w:p w14:paraId="11280024" w14:textId="77777777" w:rsidR="00B43477" w:rsidRPr="004C0F8F" w:rsidRDefault="00B43477" w:rsidP="00DB495C">
            <w:pPr>
              <w:rPr>
                <w:sz w:val="20"/>
                <w:szCs w:val="20"/>
              </w:rPr>
            </w:pPr>
            <w:r w:rsidRPr="004C0F8F">
              <w:rPr>
                <w:b/>
                <w:sz w:val="20"/>
                <w:szCs w:val="20"/>
              </w:rPr>
              <w:t>risk event</w:t>
            </w:r>
          </w:p>
        </w:tc>
        <w:tc>
          <w:tcPr>
            <w:tcW w:w="1418" w:type="dxa"/>
          </w:tcPr>
          <w:p w14:paraId="469A1B2D" w14:textId="77777777" w:rsidR="00B43477" w:rsidRPr="004C0F8F" w:rsidRDefault="00B43477" w:rsidP="00DB495C">
            <w:pPr>
              <w:rPr>
                <w:sz w:val="20"/>
                <w:szCs w:val="20"/>
              </w:rPr>
            </w:pPr>
            <w:r w:rsidRPr="004C0F8F">
              <w:rPr>
                <w:b/>
                <w:sz w:val="20"/>
                <w:szCs w:val="20"/>
              </w:rPr>
              <w:t>risk source</w:t>
            </w:r>
          </w:p>
        </w:tc>
        <w:tc>
          <w:tcPr>
            <w:tcW w:w="1417" w:type="dxa"/>
          </w:tcPr>
          <w:p w14:paraId="21116CBC" w14:textId="77777777" w:rsidR="00B43477" w:rsidRPr="004C0F8F" w:rsidRDefault="00B43477" w:rsidP="00DB495C">
            <w:pPr>
              <w:rPr>
                <w:sz w:val="20"/>
                <w:szCs w:val="20"/>
              </w:rPr>
            </w:pPr>
            <w:r w:rsidRPr="004C0F8F">
              <w:rPr>
                <w:b/>
                <w:sz w:val="20"/>
                <w:szCs w:val="20"/>
              </w:rPr>
              <w:t>risk impact</w:t>
            </w:r>
          </w:p>
        </w:tc>
        <w:tc>
          <w:tcPr>
            <w:tcW w:w="1146" w:type="dxa"/>
          </w:tcPr>
          <w:p w14:paraId="3485248A" w14:textId="77777777" w:rsidR="00B43477" w:rsidRPr="004C0F8F" w:rsidRDefault="00B43477" w:rsidP="00DB495C">
            <w:pPr>
              <w:rPr>
                <w:sz w:val="20"/>
                <w:szCs w:val="20"/>
              </w:rPr>
            </w:pPr>
            <w:r>
              <w:rPr>
                <w:b/>
                <w:sz w:val="20"/>
                <w:szCs w:val="20"/>
              </w:rPr>
              <w:t xml:space="preserve">likelihood without treatments </w:t>
            </w:r>
          </w:p>
        </w:tc>
        <w:tc>
          <w:tcPr>
            <w:tcW w:w="3674" w:type="dxa"/>
            <w:gridSpan w:val="2"/>
          </w:tcPr>
          <w:p w14:paraId="72D79D78" w14:textId="77777777" w:rsidR="00B43477" w:rsidRPr="004C0F8F" w:rsidRDefault="00B43477" w:rsidP="00DB495C">
            <w:pPr>
              <w:rPr>
                <w:sz w:val="20"/>
                <w:szCs w:val="20"/>
              </w:rPr>
            </w:pPr>
            <w:r w:rsidRPr="004C0F8F">
              <w:rPr>
                <w:b/>
                <w:sz w:val="20"/>
                <w:szCs w:val="20"/>
              </w:rPr>
              <w:t xml:space="preserve">recommended </w:t>
            </w:r>
            <w:r>
              <w:rPr>
                <w:b/>
                <w:sz w:val="20"/>
                <w:szCs w:val="20"/>
              </w:rPr>
              <w:t>treatment</w:t>
            </w:r>
            <w:r w:rsidRPr="004C0F8F">
              <w:rPr>
                <w:b/>
                <w:sz w:val="20"/>
                <w:szCs w:val="20"/>
              </w:rPr>
              <w:t>s</w:t>
            </w:r>
          </w:p>
        </w:tc>
        <w:tc>
          <w:tcPr>
            <w:tcW w:w="1258" w:type="dxa"/>
            <w:gridSpan w:val="2"/>
          </w:tcPr>
          <w:p w14:paraId="54C0EE8B" w14:textId="77777777" w:rsidR="00B43477" w:rsidRPr="004C0F8F" w:rsidRDefault="00B43477" w:rsidP="00DB495C">
            <w:pPr>
              <w:rPr>
                <w:sz w:val="20"/>
                <w:szCs w:val="20"/>
              </w:rPr>
            </w:pPr>
            <w:r w:rsidRPr="004C0F8F">
              <w:rPr>
                <w:b/>
                <w:sz w:val="20"/>
                <w:szCs w:val="20"/>
              </w:rPr>
              <w:t xml:space="preserve">likelihood </w:t>
            </w:r>
            <w:r>
              <w:rPr>
                <w:b/>
                <w:sz w:val="20"/>
                <w:szCs w:val="20"/>
              </w:rPr>
              <w:t>with treatments</w:t>
            </w:r>
            <w:r w:rsidRPr="004C0F8F">
              <w:rPr>
                <w:b/>
                <w:sz w:val="20"/>
                <w:szCs w:val="20"/>
              </w:rPr>
              <w:t xml:space="preserve"> </w:t>
            </w:r>
          </w:p>
        </w:tc>
        <w:tc>
          <w:tcPr>
            <w:tcW w:w="981" w:type="dxa"/>
          </w:tcPr>
          <w:p w14:paraId="088C1E58" w14:textId="77777777" w:rsidR="00B43477" w:rsidRPr="004C0F8F" w:rsidRDefault="00B43477" w:rsidP="00DB495C">
            <w:pPr>
              <w:rPr>
                <w:sz w:val="20"/>
                <w:szCs w:val="20"/>
              </w:rPr>
            </w:pPr>
            <w:r>
              <w:rPr>
                <w:b/>
                <w:sz w:val="20"/>
                <w:szCs w:val="20"/>
              </w:rPr>
              <w:t xml:space="preserve">target </w:t>
            </w:r>
            <w:r w:rsidRPr="004C0F8F">
              <w:rPr>
                <w:b/>
                <w:sz w:val="20"/>
                <w:szCs w:val="20"/>
              </w:rPr>
              <w:t xml:space="preserve">risk rating </w:t>
            </w:r>
          </w:p>
        </w:tc>
      </w:tr>
      <w:tr w:rsidR="007F37F2" w:rsidRPr="004C0F8F" w14:paraId="129985E5" w14:textId="77777777" w:rsidTr="00DB495C">
        <w:tc>
          <w:tcPr>
            <w:tcW w:w="1271" w:type="dxa"/>
            <w:vMerge w:val="restart"/>
            <w:shd w:val="clear" w:color="auto" w:fill="A8D08D" w:themeFill="accent6" w:themeFillTint="99"/>
          </w:tcPr>
          <w:p w14:paraId="319FB237" w14:textId="77777777" w:rsidR="007F37F2" w:rsidRPr="004C0F8F" w:rsidRDefault="007F37F2" w:rsidP="00040DE7">
            <w:pPr>
              <w:rPr>
                <w:sz w:val="20"/>
                <w:szCs w:val="20"/>
              </w:rPr>
            </w:pPr>
            <w:r w:rsidRPr="004C0F8F">
              <w:rPr>
                <w:sz w:val="20"/>
                <w:szCs w:val="20"/>
              </w:rPr>
              <w:t>financial</w:t>
            </w:r>
          </w:p>
        </w:tc>
        <w:tc>
          <w:tcPr>
            <w:tcW w:w="2693" w:type="dxa"/>
          </w:tcPr>
          <w:p w14:paraId="5684B501" w14:textId="77777777" w:rsidR="007F37F2" w:rsidRPr="004C0F8F" w:rsidRDefault="007F37F2" w:rsidP="00040DE7">
            <w:pPr>
              <w:rPr>
                <w:sz w:val="20"/>
                <w:szCs w:val="20"/>
              </w:rPr>
            </w:pPr>
            <w:r w:rsidRPr="004C0F8F">
              <w:rPr>
                <w:sz w:val="20"/>
                <w:szCs w:val="20"/>
              </w:rPr>
              <w:t>incomplete recovery of loan interest or principal</w:t>
            </w:r>
          </w:p>
        </w:tc>
        <w:tc>
          <w:tcPr>
            <w:tcW w:w="1418" w:type="dxa"/>
          </w:tcPr>
          <w:p w14:paraId="3C20DD14" w14:textId="77777777" w:rsidR="007F37F2" w:rsidRPr="004C0F8F" w:rsidRDefault="007F37F2" w:rsidP="00040DE7">
            <w:pPr>
              <w:rPr>
                <w:sz w:val="20"/>
                <w:szCs w:val="20"/>
              </w:rPr>
            </w:pPr>
            <w:r w:rsidRPr="004C0F8F">
              <w:rPr>
                <w:sz w:val="20"/>
                <w:szCs w:val="20"/>
              </w:rPr>
              <w:t>borrower</w:t>
            </w:r>
          </w:p>
        </w:tc>
        <w:tc>
          <w:tcPr>
            <w:tcW w:w="1417" w:type="dxa"/>
          </w:tcPr>
          <w:p w14:paraId="53CE0974" w14:textId="77777777" w:rsidR="007F37F2" w:rsidRPr="004C0F8F" w:rsidRDefault="007F37F2" w:rsidP="00040DE7">
            <w:pPr>
              <w:rPr>
                <w:sz w:val="20"/>
                <w:szCs w:val="20"/>
              </w:rPr>
            </w:pPr>
            <w:r w:rsidRPr="004C0F8F">
              <w:rPr>
                <w:sz w:val="20"/>
                <w:szCs w:val="20"/>
              </w:rPr>
              <w:t>$ cost</w:t>
            </w:r>
          </w:p>
        </w:tc>
        <w:tc>
          <w:tcPr>
            <w:tcW w:w="1163" w:type="dxa"/>
            <w:gridSpan w:val="2"/>
          </w:tcPr>
          <w:p w14:paraId="224D8208" w14:textId="77777777" w:rsidR="007F37F2" w:rsidRPr="004C0F8F" w:rsidRDefault="007F37F2" w:rsidP="00040DE7">
            <w:pPr>
              <w:rPr>
                <w:sz w:val="20"/>
                <w:szCs w:val="20"/>
              </w:rPr>
            </w:pPr>
            <w:r w:rsidRPr="004C0F8F">
              <w:rPr>
                <w:sz w:val="20"/>
                <w:szCs w:val="20"/>
              </w:rPr>
              <w:t>substantial</w:t>
            </w:r>
          </w:p>
        </w:tc>
        <w:tc>
          <w:tcPr>
            <w:tcW w:w="3657" w:type="dxa"/>
            <w:vMerge w:val="restart"/>
          </w:tcPr>
          <w:p w14:paraId="12822D0C" w14:textId="77777777" w:rsidR="007F37F2" w:rsidRPr="004C0F8F" w:rsidRDefault="007F37F2" w:rsidP="00040DE7">
            <w:pPr>
              <w:numPr>
                <w:ilvl w:val="0"/>
                <w:numId w:val="100"/>
              </w:numPr>
              <w:rPr>
                <w:sz w:val="20"/>
                <w:szCs w:val="20"/>
              </w:rPr>
            </w:pPr>
            <w:r w:rsidRPr="004C0F8F">
              <w:rPr>
                <w:sz w:val="20"/>
                <w:szCs w:val="20"/>
              </w:rPr>
              <w:t>specialist assessment capability</w:t>
            </w:r>
          </w:p>
          <w:p w14:paraId="2706EB6B" w14:textId="77777777" w:rsidR="007F37F2" w:rsidRPr="004C0F8F" w:rsidRDefault="007F37F2" w:rsidP="00040DE7">
            <w:pPr>
              <w:numPr>
                <w:ilvl w:val="0"/>
                <w:numId w:val="100"/>
              </w:numPr>
              <w:rPr>
                <w:sz w:val="20"/>
                <w:szCs w:val="20"/>
              </w:rPr>
            </w:pPr>
            <w:r w:rsidRPr="004C0F8F">
              <w:rPr>
                <w:sz w:val="20"/>
                <w:szCs w:val="20"/>
              </w:rPr>
              <w:t>structured approach to choosing financing methods</w:t>
            </w:r>
          </w:p>
          <w:p w14:paraId="4F823B57" w14:textId="77777777" w:rsidR="007F37F2" w:rsidRPr="004C0F8F" w:rsidRDefault="007F37F2" w:rsidP="00040DE7">
            <w:pPr>
              <w:numPr>
                <w:ilvl w:val="0"/>
                <w:numId w:val="100"/>
              </w:numPr>
              <w:rPr>
                <w:sz w:val="20"/>
                <w:szCs w:val="20"/>
              </w:rPr>
            </w:pPr>
            <w:r w:rsidRPr="004C0F8F">
              <w:rPr>
                <w:sz w:val="20"/>
                <w:szCs w:val="20"/>
              </w:rPr>
              <w:t>deductions from aid appropriations of offsets for financial risks</w:t>
            </w:r>
          </w:p>
          <w:p w14:paraId="522B5FC8" w14:textId="77777777" w:rsidR="007F37F2" w:rsidRPr="004C0F8F" w:rsidRDefault="007F37F2" w:rsidP="00040DE7">
            <w:pPr>
              <w:numPr>
                <w:ilvl w:val="0"/>
                <w:numId w:val="100"/>
              </w:numPr>
              <w:rPr>
                <w:sz w:val="20"/>
                <w:szCs w:val="20"/>
              </w:rPr>
            </w:pPr>
            <w:r w:rsidRPr="004C0F8F">
              <w:rPr>
                <w:sz w:val="20"/>
                <w:szCs w:val="20"/>
              </w:rPr>
              <w:t>decision-making framework including limits on financial risks</w:t>
            </w:r>
          </w:p>
          <w:p w14:paraId="65065A10" w14:textId="77777777" w:rsidR="007F37F2" w:rsidRPr="004C0F8F" w:rsidRDefault="007F37F2" w:rsidP="00040DE7">
            <w:pPr>
              <w:numPr>
                <w:ilvl w:val="0"/>
                <w:numId w:val="100"/>
              </w:numPr>
              <w:rPr>
                <w:sz w:val="20"/>
                <w:szCs w:val="20"/>
              </w:rPr>
            </w:pPr>
            <w:r w:rsidRPr="004C0F8F">
              <w:rPr>
                <w:sz w:val="20"/>
                <w:szCs w:val="20"/>
              </w:rPr>
              <w:t>taking security for guarantees wherever practicable</w:t>
            </w:r>
          </w:p>
          <w:p w14:paraId="3FBA12EC" w14:textId="77777777" w:rsidR="007F37F2" w:rsidRPr="004C0F8F" w:rsidRDefault="007F37F2" w:rsidP="00040DE7">
            <w:pPr>
              <w:numPr>
                <w:ilvl w:val="0"/>
                <w:numId w:val="100"/>
              </w:numPr>
              <w:rPr>
                <w:sz w:val="20"/>
                <w:szCs w:val="20"/>
              </w:rPr>
            </w:pPr>
            <w:r w:rsidRPr="004C0F8F">
              <w:rPr>
                <w:sz w:val="20"/>
                <w:szCs w:val="20"/>
              </w:rPr>
              <w:t>limiting exposure to exchange</w:t>
            </w:r>
            <w:r w:rsidRPr="004C0F8F">
              <w:rPr>
                <w:sz w:val="20"/>
                <w:szCs w:val="20"/>
              </w:rPr>
              <w:noBreakHyphen/>
              <w:t xml:space="preserve">rate risk to a small proportion of investments </w:t>
            </w:r>
          </w:p>
        </w:tc>
        <w:tc>
          <w:tcPr>
            <w:tcW w:w="1249" w:type="dxa"/>
          </w:tcPr>
          <w:p w14:paraId="6074ABEB" w14:textId="77777777" w:rsidR="007F37F2" w:rsidRPr="004C0F8F" w:rsidRDefault="007F37F2" w:rsidP="00040DE7">
            <w:pPr>
              <w:rPr>
                <w:sz w:val="20"/>
                <w:szCs w:val="20"/>
              </w:rPr>
            </w:pPr>
            <w:r w:rsidRPr="004C0F8F">
              <w:rPr>
                <w:sz w:val="20"/>
                <w:szCs w:val="20"/>
              </w:rPr>
              <w:t>moderate</w:t>
            </w:r>
          </w:p>
        </w:tc>
        <w:tc>
          <w:tcPr>
            <w:tcW w:w="990" w:type="dxa"/>
            <w:gridSpan w:val="2"/>
          </w:tcPr>
          <w:p w14:paraId="76F43B72" w14:textId="77777777" w:rsidR="007F37F2" w:rsidRPr="004C0F8F" w:rsidRDefault="007F37F2" w:rsidP="00040DE7">
            <w:pPr>
              <w:rPr>
                <w:sz w:val="20"/>
                <w:szCs w:val="20"/>
              </w:rPr>
            </w:pPr>
            <w:r w:rsidRPr="004C0F8F">
              <w:rPr>
                <w:sz w:val="20"/>
                <w:szCs w:val="20"/>
              </w:rPr>
              <w:t>low</w:t>
            </w:r>
          </w:p>
        </w:tc>
      </w:tr>
      <w:tr w:rsidR="007F37F2" w:rsidRPr="004C0F8F" w14:paraId="22B479E9" w14:textId="77777777" w:rsidTr="00DB495C">
        <w:tc>
          <w:tcPr>
            <w:tcW w:w="1271" w:type="dxa"/>
            <w:vMerge/>
            <w:shd w:val="clear" w:color="auto" w:fill="A8D08D" w:themeFill="accent6" w:themeFillTint="99"/>
          </w:tcPr>
          <w:p w14:paraId="26B250E0" w14:textId="77777777" w:rsidR="007F37F2" w:rsidRPr="004C0F8F" w:rsidRDefault="007F37F2" w:rsidP="00040DE7">
            <w:pPr>
              <w:rPr>
                <w:sz w:val="20"/>
                <w:szCs w:val="20"/>
              </w:rPr>
            </w:pPr>
          </w:p>
        </w:tc>
        <w:tc>
          <w:tcPr>
            <w:tcW w:w="2693" w:type="dxa"/>
          </w:tcPr>
          <w:p w14:paraId="21D55B12" w14:textId="77777777" w:rsidR="007F37F2" w:rsidRPr="004C0F8F" w:rsidRDefault="007F37F2" w:rsidP="00040DE7">
            <w:pPr>
              <w:rPr>
                <w:sz w:val="20"/>
                <w:szCs w:val="20"/>
              </w:rPr>
            </w:pPr>
            <w:r w:rsidRPr="004C0F8F">
              <w:rPr>
                <w:sz w:val="20"/>
                <w:szCs w:val="20"/>
              </w:rPr>
              <w:t>reduction in $A value of loan payments in local currencies</w:t>
            </w:r>
          </w:p>
        </w:tc>
        <w:tc>
          <w:tcPr>
            <w:tcW w:w="1418" w:type="dxa"/>
          </w:tcPr>
          <w:p w14:paraId="11139623" w14:textId="77777777" w:rsidR="007F37F2" w:rsidRPr="004C0F8F" w:rsidRDefault="007F37F2" w:rsidP="00040DE7">
            <w:pPr>
              <w:rPr>
                <w:sz w:val="20"/>
                <w:szCs w:val="20"/>
              </w:rPr>
            </w:pPr>
            <w:r w:rsidRPr="004C0F8F">
              <w:rPr>
                <w:sz w:val="20"/>
                <w:szCs w:val="20"/>
              </w:rPr>
              <w:t>foreign-exchange market</w:t>
            </w:r>
          </w:p>
        </w:tc>
        <w:tc>
          <w:tcPr>
            <w:tcW w:w="1417" w:type="dxa"/>
          </w:tcPr>
          <w:p w14:paraId="377372F7" w14:textId="77777777" w:rsidR="007F37F2" w:rsidRPr="004C0F8F" w:rsidRDefault="007F37F2" w:rsidP="00040DE7">
            <w:pPr>
              <w:rPr>
                <w:sz w:val="20"/>
                <w:szCs w:val="20"/>
              </w:rPr>
            </w:pPr>
            <w:r w:rsidRPr="004C0F8F">
              <w:rPr>
                <w:sz w:val="20"/>
                <w:szCs w:val="20"/>
              </w:rPr>
              <w:t>$ cost</w:t>
            </w:r>
          </w:p>
        </w:tc>
        <w:tc>
          <w:tcPr>
            <w:tcW w:w="1163" w:type="dxa"/>
            <w:gridSpan w:val="2"/>
            <w:shd w:val="clear" w:color="auto" w:fill="auto"/>
          </w:tcPr>
          <w:p w14:paraId="630E34B0" w14:textId="77777777" w:rsidR="007F37F2" w:rsidRPr="004C0F8F" w:rsidRDefault="007F37F2" w:rsidP="00040DE7">
            <w:pPr>
              <w:rPr>
                <w:sz w:val="20"/>
                <w:szCs w:val="20"/>
                <w:highlight w:val="green"/>
              </w:rPr>
            </w:pPr>
            <w:r w:rsidRPr="004C0F8F">
              <w:rPr>
                <w:sz w:val="20"/>
                <w:szCs w:val="20"/>
              </w:rPr>
              <w:t>substantial</w:t>
            </w:r>
          </w:p>
        </w:tc>
        <w:tc>
          <w:tcPr>
            <w:tcW w:w="3657" w:type="dxa"/>
            <w:vMerge/>
          </w:tcPr>
          <w:p w14:paraId="33081E4D" w14:textId="77777777" w:rsidR="007F37F2" w:rsidRPr="004C0F8F" w:rsidRDefault="007F37F2" w:rsidP="00040DE7">
            <w:pPr>
              <w:rPr>
                <w:sz w:val="20"/>
                <w:szCs w:val="20"/>
              </w:rPr>
            </w:pPr>
          </w:p>
        </w:tc>
        <w:tc>
          <w:tcPr>
            <w:tcW w:w="1249" w:type="dxa"/>
          </w:tcPr>
          <w:p w14:paraId="597F4C0F" w14:textId="77777777" w:rsidR="007F37F2" w:rsidRPr="004C0F8F" w:rsidRDefault="007F37F2" w:rsidP="00040DE7">
            <w:pPr>
              <w:rPr>
                <w:sz w:val="20"/>
                <w:szCs w:val="20"/>
              </w:rPr>
            </w:pPr>
            <w:r w:rsidRPr="004C0F8F">
              <w:rPr>
                <w:sz w:val="20"/>
                <w:szCs w:val="20"/>
              </w:rPr>
              <w:t>small</w:t>
            </w:r>
          </w:p>
        </w:tc>
        <w:tc>
          <w:tcPr>
            <w:tcW w:w="990" w:type="dxa"/>
            <w:gridSpan w:val="2"/>
          </w:tcPr>
          <w:p w14:paraId="0395BE5C" w14:textId="77777777" w:rsidR="007F37F2" w:rsidRPr="004C0F8F" w:rsidRDefault="007F37F2" w:rsidP="00040DE7">
            <w:pPr>
              <w:rPr>
                <w:sz w:val="20"/>
                <w:szCs w:val="20"/>
              </w:rPr>
            </w:pPr>
            <w:r w:rsidRPr="004C0F8F">
              <w:rPr>
                <w:sz w:val="20"/>
                <w:szCs w:val="20"/>
              </w:rPr>
              <w:t>low</w:t>
            </w:r>
          </w:p>
        </w:tc>
      </w:tr>
      <w:tr w:rsidR="007F37F2" w:rsidRPr="004C0F8F" w14:paraId="22FFC68D" w14:textId="77777777" w:rsidTr="00DB495C">
        <w:tc>
          <w:tcPr>
            <w:tcW w:w="1271" w:type="dxa"/>
            <w:vMerge/>
            <w:shd w:val="clear" w:color="auto" w:fill="A8D08D" w:themeFill="accent6" w:themeFillTint="99"/>
          </w:tcPr>
          <w:p w14:paraId="00B592C0" w14:textId="77777777" w:rsidR="007F37F2" w:rsidRPr="004C0F8F" w:rsidRDefault="007F37F2" w:rsidP="00040DE7">
            <w:pPr>
              <w:rPr>
                <w:sz w:val="20"/>
                <w:szCs w:val="20"/>
              </w:rPr>
            </w:pPr>
          </w:p>
        </w:tc>
        <w:tc>
          <w:tcPr>
            <w:tcW w:w="2693" w:type="dxa"/>
          </w:tcPr>
          <w:p w14:paraId="50CB7E94" w14:textId="77777777" w:rsidR="007F37F2" w:rsidRPr="004C0F8F" w:rsidRDefault="007F37F2" w:rsidP="00040DE7">
            <w:pPr>
              <w:rPr>
                <w:sz w:val="20"/>
                <w:szCs w:val="20"/>
              </w:rPr>
            </w:pPr>
            <w:r w:rsidRPr="004C0F8F">
              <w:rPr>
                <w:sz w:val="20"/>
                <w:szCs w:val="20"/>
              </w:rPr>
              <w:t>enlivenment of guarantee or insurance obligations</w:t>
            </w:r>
          </w:p>
        </w:tc>
        <w:tc>
          <w:tcPr>
            <w:tcW w:w="1418" w:type="dxa"/>
          </w:tcPr>
          <w:p w14:paraId="29C3E1C3" w14:textId="77777777" w:rsidR="007F37F2" w:rsidRPr="004C0F8F" w:rsidRDefault="007F37F2" w:rsidP="00040DE7">
            <w:pPr>
              <w:rPr>
                <w:sz w:val="20"/>
                <w:szCs w:val="20"/>
              </w:rPr>
            </w:pPr>
            <w:r w:rsidRPr="004C0F8F">
              <w:rPr>
                <w:sz w:val="20"/>
                <w:szCs w:val="20"/>
              </w:rPr>
              <w:t>entity guaranteed or insured</w:t>
            </w:r>
          </w:p>
        </w:tc>
        <w:tc>
          <w:tcPr>
            <w:tcW w:w="1417" w:type="dxa"/>
          </w:tcPr>
          <w:p w14:paraId="5AB8CDA8" w14:textId="77777777" w:rsidR="007F37F2" w:rsidRPr="004C0F8F" w:rsidRDefault="007F37F2" w:rsidP="00040DE7">
            <w:pPr>
              <w:rPr>
                <w:sz w:val="20"/>
                <w:szCs w:val="20"/>
              </w:rPr>
            </w:pPr>
            <w:r w:rsidRPr="004C0F8F">
              <w:rPr>
                <w:sz w:val="20"/>
                <w:szCs w:val="20"/>
              </w:rPr>
              <w:t>$ cost</w:t>
            </w:r>
          </w:p>
        </w:tc>
        <w:tc>
          <w:tcPr>
            <w:tcW w:w="1163" w:type="dxa"/>
            <w:gridSpan w:val="2"/>
          </w:tcPr>
          <w:p w14:paraId="7EB67B5F" w14:textId="77777777" w:rsidR="007F37F2" w:rsidRPr="004C0F8F" w:rsidRDefault="007F37F2" w:rsidP="00040DE7">
            <w:pPr>
              <w:rPr>
                <w:sz w:val="20"/>
                <w:szCs w:val="20"/>
              </w:rPr>
            </w:pPr>
            <w:r w:rsidRPr="004C0F8F">
              <w:rPr>
                <w:sz w:val="20"/>
                <w:szCs w:val="20"/>
              </w:rPr>
              <w:t>substantial</w:t>
            </w:r>
          </w:p>
        </w:tc>
        <w:tc>
          <w:tcPr>
            <w:tcW w:w="3657" w:type="dxa"/>
            <w:vMerge/>
          </w:tcPr>
          <w:p w14:paraId="39A7E772" w14:textId="77777777" w:rsidR="007F37F2" w:rsidRPr="004C0F8F" w:rsidRDefault="007F37F2" w:rsidP="00040DE7">
            <w:pPr>
              <w:rPr>
                <w:sz w:val="20"/>
                <w:szCs w:val="20"/>
              </w:rPr>
            </w:pPr>
          </w:p>
        </w:tc>
        <w:tc>
          <w:tcPr>
            <w:tcW w:w="1249" w:type="dxa"/>
          </w:tcPr>
          <w:p w14:paraId="7966C4AC" w14:textId="77777777" w:rsidR="007F37F2" w:rsidRPr="004C0F8F" w:rsidRDefault="007F37F2" w:rsidP="00040DE7">
            <w:pPr>
              <w:rPr>
                <w:sz w:val="20"/>
                <w:szCs w:val="20"/>
              </w:rPr>
            </w:pPr>
            <w:r w:rsidRPr="004C0F8F">
              <w:rPr>
                <w:sz w:val="20"/>
                <w:szCs w:val="20"/>
              </w:rPr>
              <w:t>small</w:t>
            </w:r>
          </w:p>
        </w:tc>
        <w:tc>
          <w:tcPr>
            <w:tcW w:w="990" w:type="dxa"/>
            <w:gridSpan w:val="2"/>
          </w:tcPr>
          <w:p w14:paraId="7693E687" w14:textId="77777777" w:rsidR="007F37F2" w:rsidRPr="004C0F8F" w:rsidRDefault="007F37F2" w:rsidP="00040DE7">
            <w:pPr>
              <w:rPr>
                <w:sz w:val="20"/>
                <w:szCs w:val="20"/>
              </w:rPr>
            </w:pPr>
            <w:r w:rsidRPr="004C0F8F">
              <w:rPr>
                <w:sz w:val="20"/>
                <w:szCs w:val="20"/>
              </w:rPr>
              <w:t>low</w:t>
            </w:r>
          </w:p>
        </w:tc>
      </w:tr>
      <w:tr w:rsidR="007F37F2" w:rsidRPr="004C0F8F" w14:paraId="4DEA251F" w14:textId="77777777" w:rsidTr="00DB495C">
        <w:tc>
          <w:tcPr>
            <w:tcW w:w="1271" w:type="dxa"/>
            <w:vMerge/>
            <w:shd w:val="clear" w:color="auto" w:fill="A8D08D" w:themeFill="accent6" w:themeFillTint="99"/>
          </w:tcPr>
          <w:p w14:paraId="4970CC4A" w14:textId="77777777" w:rsidR="007F37F2" w:rsidRPr="004C0F8F" w:rsidRDefault="007F37F2" w:rsidP="00040DE7">
            <w:pPr>
              <w:rPr>
                <w:sz w:val="20"/>
                <w:szCs w:val="20"/>
              </w:rPr>
            </w:pPr>
          </w:p>
        </w:tc>
        <w:tc>
          <w:tcPr>
            <w:tcW w:w="2693" w:type="dxa"/>
          </w:tcPr>
          <w:p w14:paraId="075A0E26" w14:textId="77777777" w:rsidR="007F37F2" w:rsidRPr="004C0F8F" w:rsidRDefault="007F37F2" w:rsidP="00040DE7">
            <w:pPr>
              <w:rPr>
                <w:sz w:val="20"/>
                <w:szCs w:val="20"/>
              </w:rPr>
            </w:pPr>
            <w:r w:rsidRPr="004C0F8F">
              <w:rPr>
                <w:sz w:val="20"/>
                <w:szCs w:val="20"/>
              </w:rPr>
              <w:t xml:space="preserve">loss in local value of equity </w:t>
            </w:r>
          </w:p>
        </w:tc>
        <w:tc>
          <w:tcPr>
            <w:tcW w:w="1418" w:type="dxa"/>
          </w:tcPr>
          <w:p w14:paraId="24DD846C" w14:textId="77777777" w:rsidR="007F37F2" w:rsidRPr="004C0F8F" w:rsidRDefault="007F37F2" w:rsidP="00040DE7">
            <w:pPr>
              <w:rPr>
                <w:sz w:val="20"/>
                <w:szCs w:val="20"/>
              </w:rPr>
            </w:pPr>
            <w:r w:rsidRPr="004C0F8F">
              <w:rPr>
                <w:sz w:val="20"/>
                <w:szCs w:val="20"/>
              </w:rPr>
              <w:t>project outcome, local market</w:t>
            </w:r>
          </w:p>
        </w:tc>
        <w:tc>
          <w:tcPr>
            <w:tcW w:w="1417" w:type="dxa"/>
          </w:tcPr>
          <w:p w14:paraId="612DFB0C" w14:textId="77777777" w:rsidR="007F37F2" w:rsidRPr="004C0F8F" w:rsidRDefault="007F37F2" w:rsidP="00040DE7">
            <w:pPr>
              <w:rPr>
                <w:sz w:val="20"/>
                <w:szCs w:val="20"/>
              </w:rPr>
            </w:pPr>
            <w:r w:rsidRPr="004C0F8F">
              <w:rPr>
                <w:sz w:val="20"/>
                <w:szCs w:val="20"/>
              </w:rPr>
              <w:t>$ cost</w:t>
            </w:r>
          </w:p>
        </w:tc>
        <w:tc>
          <w:tcPr>
            <w:tcW w:w="1163" w:type="dxa"/>
            <w:gridSpan w:val="2"/>
          </w:tcPr>
          <w:p w14:paraId="3C04F711" w14:textId="77777777" w:rsidR="007F37F2" w:rsidRPr="004C0F8F" w:rsidRDefault="007F37F2" w:rsidP="00040DE7">
            <w:pPr>
              <w:rPr>
                <w:sz w:val="20"/>
                <w:szCs w:val="20"/>
                <w:highlight w:val="green"/>
              </w:rPr>
            </w:pPr>
            <w:r w:rsidRPr="004C0F8F">
              <w:rPr>
                <w:sz w:val="20"/>
                <w:szCs w:val="20"/>
              </w:rPr>
              <w:t>substantial</w:t>
            </w:r>
          </w:p>
        </w:tc>
        <w:tc>
          <w:tcPr>
            <w:tcW w:w="3657" w:type="dxa"/>
            <w:vMerge/>
          </w:tcPr>
          <w:p w14:paraId="25871CBF" w14:textId="77777777" w:rsidR="007F37F2" w:rsidRPr="004C0F8F" w:rsidRDefault="007F37F2" w:rsidP="00040DE7">
            <w:pPr>
              <w:rPr>
                <w:sz w:val="20"/>
                <w:szCs w:val="20"/>
              </w:rPr>
            </w:pPr>
          </w:p>
        </w:tc>
        <w:tc>
          <w:tcPr>
            <w:tcW w:w="1249" w:type="dxa"/>
          </w:tcPr>
          <w:p w14:paraId="4B668F7F" w14:textId="77777777" w:rsidR="007F37F2" w:rsidRPr="004C0F8F" w:rsidRDefault="007F37F2" w:rsidP="00040DE7">
            <w:pPr>
              <w:rPr>
                <w:sz w:val="20"/>
                <w:szCs w:val="20"/>
              </w:rPr>
            </w:pPr>
            <w:r w:rsidRPr="004C0F8F">
              <w:rPr>
                <w:sz w:val="20"/>
                <w:szCs w:val="20"/>
              </w:rPr>
              <w:t>moderate</w:t>
            </w:r>
          </w:p>
        </w:tc>
        <w:tc>
          <w:tcPr>
            <w:tcW w:w="990" w:type="dxa"/>
            <w:gridSpan w:val="2"/>
          </w:tcPr>
          <w:p w14:paraId="389BD93F" w14:textId="77777777" w:rsidR="007F37F2" w:rsidRPr="004C0F8F" w:rsidRDefault="007F37F2" w:rsidP="00040DE7">
            <w:pPr>
              <w:rPr>
                <w:sz w:val="20"/>
                <w:szCs w:val="20"/>
              </w:rPr>
            </w:pPr>
            <w:r w:rsidRPr="004C0F8F">
              <w:rPr>
                <w:sz w:val="20"/>
                <w:szCs w:val="20"/>
              </w:rPr>
              <w:t>low</w:t>
            </w:r>
          </w:p>
        </w:tc>
      </w:tr>
      <w:tr w:rsidR="007F37F2" w:rsidRPr="004C0F8F" w14:paraId="6495C4B9" w14:textId="77777777" w:rsidTr="00DB495C">
        <w:tc>
          <w:tcPr>
            <w:tcW w:w="1271" w:type="dxa"/>
            <w:vMerge/>
            <w:shd w:val="clear" w:color="auto" w:fill="A8D08D" w:themeFill="accent6" w:themeFillTint="99"/>
          </w:tcPr>
          <w:p w14:paraId="2A9EEAEF" w14:textId="77777777" w:rsidR="007F37F2" w:rsidRPr="004C0F8F" w:rsidRDefault="007F37F2" w:rsidP="00040DE7">
            <w:pPr>
              <w:rPr>
                <w:sz w:val="20"/>
                <w:szCs w:val="20"/>
              </w:rPr>
            </w:pPr>
          </w:p>
        </w:tc>
        <w:tc>
          <w:tcPr>
            <w:tcW w:w="2693" w:type="dxa"/>
          </w:tcPr>
          <w:p w14:paraId="2DA7900B" w14:textId="77777777" w:rsidR="007F37F2" w:rsidRPr="004C0F8F" w:rsidRDefault="007F37F2" w:rsidP="00040DE7">
            <w:pPr>
              <w:rPr>
                <w:sz w:val="20"/>
                <w:szCs w:val="20"/>
              </w:rPr>
            </w:pPr>
            <w:r w:rsidRPr="004C0F8F">
              <w:rPr>
                <w:sz w:val="20"/>
                <w:szCs w:val="20"/>
              </w:rPr>
              <w:t>loss in $A value of equity sales in local currencies</w:t>
            </w:r>
          </w:p>
        </w:tc>
        <w:tc>
          <w:tcPr>
            <w:tcW w:w="1418" w:type="dxa"/>
          </w:tcPr>
          <w:p w14:paraId="104DB8D6" w14:textId="77777777" w:rsidR="007F37F2" w:rsidRPr="004C0F8F" w:rsidRDefault="007F37F2" w:rsidP="00040DE7">
            <w:pPr>
              <w:rPr>
                <w:sz w:val="20"/>
                <w:szCs w:val="20"/>
              </w:rPr>
            </w:pPr>
            <w:r w:rsidRPr="004C0F8F">
              <w:rPr>
                <w:sz w:val="20"/>
                <w:szCs w:val="20"/>
              </w:rPr>
              <w:t>project outcome or local market</w:t>
            </w:r>
          </w:p>
        </w:tc>
        <w:tc>
          <w:tcPr>
            <w:tcW w:w="1417" w:type="dxa"/>
          </w:tcPr>
          <w:p w14:paraId="10B89E1F" w14:textId="77777777" w:rsidR="007F37F2" w:rsidRPr="004C0F8F" w:rsidRDefault="007F37F2" w:rsidP="00040DE7">
            <w:pPr>
              <w:rPr>
                <w:sz w:val="20"/>
                <w:szCs w:val="20"/>
              </w:rPr>
            </w:pPr>
            <w:r w:rsidRPr="004C0F8F">
              <w:rPr>
                <w:sz w:val="20"/>
                <w:szCs w:val="20"/>
              </w:rPr>
              <w:t>$ cost</w:t>
            </w:r>
          </w:p>
        </w:tc>
        <w:tc>
          <w:tcPr>
            <w:tcW w:w="1163" w:type="dxa"/>
            <w:gridSpan w:val="2"/>
          </w:tcPr>
          <w:p w14:paraId="1596BD77" w14:textId="77777777" w:rsidR="007F37F2" w:rsidRPr="004C0F8F" w:rsidRDefault="007F37F2" w:rsidP="00040DE7">
            <w:pPr>
              <w:rPr>
                <w:sz w:val="20"/>
                <w:szCs w:val="20"/>
                <w:highlight w:val="green"/>
              </w:rPr>
            </w:pPr>
            <w:r w:rsidRPr="004C0F8F">
              <w:rPr>
                <w:sz w:val="20"/>
                <w:szCs w:val="20"/>
              </w:rPr>
              <w:t>substantial</w:t>
            </w:r>
          </w:p>
        </w:tc>
        <w:tc>
          <w:tcPr>
            <w:tcW w:w="3657" w:type="dxa"/>
            <w:vMerge/>
          </w:tcPr>
          <w:p w14:paraId="52EF4C88" w14:textId="77777777" w:rsidR="007F37F2" w:rsidRPr="004C0F8F" w:rsidRDefault="007F37F2" w:rsidP="00040DE7">
            <w:pPr>
              <w:rPr>
                <w:sz w:val="20"/>
                <w:szCs w:val="20"/>
              </w:rPr>
            </w:pPr>
          </w:p>
        </w:tc>
        <w:tc>
          <w:tcPr>
            <w:tcW w:w="1249" w:type="dxa"/>
          </w:tcPr>
          <w:p w14:paraId="4157D021" w14:textId="77777777" w:rsidR="007F37F2" w:rsidRPr="004C0F8F" w:rsidRDefault="007F37F2" w:rsidP="00040DE7">
            <w:pPr>
              <w:rPr>
                <w:sz w:val="20"/>
                <w:szCs w:val="20"/>
              </w:rPr>
            </w:pPr>
            <w:r w:rsidRPr="004C0F8F">
              <w:rPr>
                <w:sz w:val="20"/>
                <w:szCs w:val="20"/>
              </w:rPr>
              <w:t>small</w:t>
            </w:r>
          </w:p>
        </w:tc>
        <w:tc>
          <w:tcPr>
            <w:tcW w:w="990" w:type="dxa"/>
            <w:gridSpan w:val="2"/>
          </w:tcPr>
          <w:p w14:paraId="60D849D8" w14:textId="77777777" w:rsidR="007F37F2" w:rsidRPr="004C0F8F" w:rsidRDefault="007F37F2" w:rsidP="00040DE7">
            <w:pPr>
              <w:rPr>
                <w:sz w:val="20"/>
                <w:szCs w:val="20"/>
              </w:rPr>
            </w:pPr>
            <w:r w:rsidRPr="004C0F8F">
              <w:rPr>
                <w:sz w:val="20"/>
                <w:szCs w:val="20"/>
              </w:rPr>
              <w:t>low</w:t>
            </w:r>
          </w:p>
        </w:tc>
      </w:tr>
      <w:tr w:rsidR="007F37F2" w:rsidRPr="004C0F8F" w14:paraId="4647BF51" w14:textId="77777777" w:rsidTr="00DB495C">
        <w:tc>
          <w:tcPr>
            <w:tcW w:w="1271" w:type="dxa"/>
            <w:vMerge/>
            <w:shd w:val="clear" w:color="auto" w:fill="A8D08D" w:themeFill="accent6" w:themeFillTint="99"/>
          </w:tcPr>
          <w:p w14:paraId="60A8E491" w14:textId="77777777" w:rsidR="007F37F2" w:rsidRPr="004C0F8F" w:rsidRDefault="007F37F2" w:rsidP="00040DE7">
            <w:pPr>
              <w:rPr>
                <w:sz w:val="20"/>
                <w:szCs w:val="20"/>
              </w:rPr>
            </w:pPr>
          </w:p>
        </w:tc>
        <w:tc>
          <w:tcPr>
            <w:tcW w:w="2693" w:type="dxa"/>
          </w:tcPr>
          <w:p w14:paraId="4A557614" w14:textId="77777777" w:rsidR="007F37F2" w:rsidRPr="004C0F8F" w:rsidRDefault="007F37F2" w:rsidP="00040DE7">
            <w:pPr>
              <w:rPr>
                <w:sz w:val="20"/>
                <w:szCs w:val="20"/>
              </w:rPr>
            </w:pPr>
            <w:r w:rsidRPr="004C0F8F">
              <w:rPr>
                <w:sz w:val="20"/>
                <w:szCs w:val="20"/>
              </w:rPr>
              <w:t>non-recovery of equity because of illiquidity</w:t>
            </w:r>
          </w:p>
        </w:tc>
        <w:tc>
          <w:tcPr>
            <w:tcW w:w="1418" w:type="dxa"/>
          </w:tcPr>
          <w:p w14:paraId="4B9FAA37" w14:textId="77777777" w:rsidR="007F37F2" w:rsidRPr="004C0F8F" w:rsidRDefault="007F37F2" w:rsidP="00040DE7">
            <w:pPr>
              <w:rPr>
                <w:sz w:val="20"/>
                <w:szCs w:val="20"/>
              </w:rPr>
            </w:pPr>
            <w:r w:rsidRPr="004C0F8F">
              <w:rPr>
                <w:sz w:val="20"/>
                <w:szCs w:val="20"/>
              </w:rPr>
              <w:t>foreign-exchange market</w:t>
            </w:r>
          </w:p>
        </w:tc>
        <w:tc>
          <w:tcPr>
            <w:tcW w:w="1417" w:type="dxa"/>
          </w:tcPr>
          <w:p w14:paraId="4751EEB9" w14:textId="77777777" w:rsidR="007F37F2" w:rsidRPr="004C0F8F" w:rsidRDefault="007F37F2" w:rsidP="00040DE7">
            <w:pPr>
              <w:rPr>
                <w:sz w:val="20"/>
                <w:szCs w:val="20"/>
              </w:rPr>
            </w:pPr>
            <w:r w:rsidRPr="004C0F8F">
              <w:rPr>
                <w:sz w:val="20"/>
                <w:szCs w:val="20"/>
              </w:rPr>
              <w:t>$ cost</w:t>
            </w:r>
          </w:p>
        </w:tc>
        <w:tc>
          <w:tcPr>
            <w:tcW w:w="1163" w:type="dxa"/>
            <w:gridSpan w:val="2"/>
          </w:tcPr>
          <w:p w14:paraId="2D401AE1" w14:textId="77777777" w:rsidR="007F37F2" w:rsidRPr="004C0F8F" w:rsidRDefault="007F37F2" w:rsidP="00040DE7">
            <w:pPr>
              <w:rPr>
                <w:sz w:val="20"/>
                <w:szCs w:val="20"/>
                <w:highlight w:val="green"/>
              </w:rPr>
            </w:pPr>
            <w:r w:rsidRPr="004C0F8F">
              <w:rPr>
                <w:sz w:val="20"/>
                <w:szCs w:val="20"/>
              </w:rPr>
              <w:t>substantial</w:t>
            </w:r>
          </w:p>
        </w:tc>
        <w:tc>
          <w:tcPr>
            <w:tcW w:w="3657" w:type="dxa"/>
            <w:vMerge/>
          </w:tcPr>
          <w:p w14:paraId="0F540441" w14:textId="77777777" w:rsidR="007F37F2" w:rsidRPr="004C0F8F" w:rsidRDefault="007F37F2" w:rsidP="00040DE7">
            <w:pPr>
              <w:rPr>
                <w:sz w:val="20"/>
                <w:szCs w:val="20"/>
              </w:rPr>
            </w:pPr>
          </w:p>
        </w:tc>
        <w:tc>
          <w:tcPr>
            <w:tcW w:w="1249" w:type="dxa"/>
          </w:tcPr>
          <w:p w14:paraId="2533F547" w14:textId="77777777" w:rsidR="007F37F2" w:rsidRPr="004C0F8F" w:rsidRDefault="007F37F2" w:rsidP="00040DE7">
            <w:pPr>
              <w:rPr>
                <w:sz w:val="20"/>
                <w:szCs w:val="20"/>
              </w:rPr>
            </w:pPr>
            <w:r w:rsidRPr="004C0F8F">
              <w:rPr>
                <w:sz w:val="20"/>
                <w:szCs w:val="20"/>
              </w:rPr>
              <w:t>moderate</w:t>
            </w:r>
          </w:p>
        </w:tc>
        <w:tc>
          <w:tcPr>
            <w:tcW w:w="990" w:type="dxa"/>
            <w:gridSpan w:val="2"/>
          </w:tcPr>
          <w:p w14:paraId="55555918" w14:textId="77777777" w:rsidR="007F37F2" w:rsidRPr="004C0F8F" w:rsidRDefault="007F37F2" w:rsidP="00040DE7">
            <w:pPr>
              <w:rPr>
                <w:sz w:val="20"/>
                <w:szCs w:val="20"/>
              </w:rPr>
            </w:pPr>
            <w:r w:rsidRPr="004C0F8F">
              <w:rPr>
                <w:sz w:val="20"/>
                <w:szCs w:val="20"/>
              </w:rPr>
              <w:t>low</w:t>
            </w:r>
          </w:p>
        </w:tc>
      </w:tr>
    </w:tbl>
    <w:p w14:paraId="498358D9" w14:textId="77777777" w:rsidR="007F37F2" w:rsidRPr="004C0F8F" w:rsidRDefault="007F37F2" w:rsidP="007F37F2"/>
    <w:p w14:paraId="4EF44F2D" w14:textId="77777777" w:rsidR="007F37F2" w:rsidRPr="004C0F8F" w:rsidRDefault="007F37F2" w:rsidP="007F37F2"/>
    <w:p w14:paraId="0D8E6318" w14:textId="77777777" w:rsidR="007F37F2" w:rsidRDefault="007F37F2" w:rsidP="007F37F2">
      <w:pPr>
        <w:rPr>
          <w:sz w:val="32"/>
          <w:szCs w:val="32"/>
        </w:rPr>
      </w:pPr>
      <w:r>
        <w:rPr>
          <w:sz w:val="32"/>
          <w:szCs w:val="32"/>
        </w:rPr>
        <w:br w:type="page"/>
      </w:r>
    </w:p>
    <w:p w14:paraId="0E7B21C7" w14:textId="77777777" w:rsidR="00374C10" w:rsidRDefault="00374C10" w:rsidP="00E63804">
      <w:pPr>
        <w:spacing w:before="120" w:after="120" w:line="240" w:lineRule="auto"/>
        <w:jc w:val="both"/>
        <w:rPr>
          <w:rFonts w:ascii="Calibri" w:eastAsia="Calibri" w:hAnsi="Calibri" w:cs="Times New Roman"/>
        </w:rPr>
        <w:sectPr w:rsidR="00374C10" w:rsidSect="007F37F2">
          <w:pgSz w:w="16838" w:h="11906" w:orient="landscape"/>
          <w:pgMar w:top="1440" w:right="1440" w:bottom="1440" w:left="1440" w:header="708" w:footer="708" w:gutter="0"/>
          <w:cols w:space="708"/>
          <w:docGrid w:linePitch="360"/>
        </w:sectPr>
      </w:pPr>
    </w:p>
    <w:p w14:paraId="677CC5BE" w14:textId="673C16FD" w:rsidR="00E63804" w:rsidRPr="0003026F" w:rsidRDefault="00E63804" w:rsidP="00E63804">
      <w:pPr>
        <w:spacing w:before="120" w:after="120" w:line="240" w:lineRule="auto"/>
        <w:jc w:val="both"/>
        <w:rPr>
          <w:sz w:val="32"/>
          <w:szCs w:val="32"/>
          <w:lang w:eastAsia="en-IN"/>
        </w:rPr>
      </w:pPr>
      <w:r w:rsidRPr="0003026F">
        <w:rPr>
          <w:sz w:val="32"/>
          <w:szCs w:val="32"/>
          <w:lang w:eastAsia="en-IN"/>
        </w:rPr>
        <w:lastRenderedPageBreak/>
        <w:t>A</w:t>
      </w:r>
      <w:r w:rsidR="00105CF3">
        <w:rPr>
          <w:sz w:val="32"/>
          <w:szCs w:val="32"/>
          <w:lang w:eastAsia="en-IN"/>
        </w:rPr>
        <w:t>NNEX</w:t>
      </w:r>
      <w:r w:rsidRPr="0003026F">
        <w:rPr>
          <w:sz w:val="32"/>
          <w:szCs w:val="32"/>
          <w:lang w:eastAsia="en-IN"/>
        </w:rPr>
        <w:t xml:space="preserve"> </w:t>
      </w:r>
      <w:r w:rsidR="007F37F2">
        <w:rPr>
          <w:sz w:val="32"/>
          <w:szCs w:val="32"/>
          <w:lang w:eastAsia="en-IN"/>
        </w:rPr>
        <w:t>3</w:t>
      </w:r>
      <w:r>
        <w:rPr>
          <w:sz w:val="32"/>
          <w:szCs w:val="32"/>
          <w:lang w:eastAsia="en-IN"/>
        </w:rPr>
        <w:t>—</w:t>
      </w:r>
      <w:r w:rsidRPr="0003026F">
        <w:rPr>
          <w:sz w:val="32"/>
          <w:szCs w:val="32"/>
          <w:lang w:eastAsia="en-IN"/>
        </w:rPr>
        <w:t xml:space="preserve">Country Report: Indonesia </w:t>
      </w:r>
    </w:p>
    <w:p w14:paraId="38BAF7B8" w14:textId="77777777" w:rsidR="00E63804" w:rsidRDefault="00E63804" w:rsidP="00D25101">
      <w:pPr>
        <w:spacing w:before="120" w:after="120" w:line="240" w:lineRule="auto"/>
        <w:ind w:right="567"/>
        <w:jc w:val="both"/>
        <w:rPr>
          <w:rFonts w:ascii="Calibri" w:eastAsia="Lato" w:hAnsi="Calibri" w:cs="Lato"/>
          <w:lang w:eastAsia="en-IN"/>
        </w:rPr>
      </w:pPr>
      <w:r w:rsidRPr="001241AD">
        <w:rPr>
          <w:rFonts w:ascii="Calibri" w:eastAsia="Lato" w:hAnsi="Calibri" w:cs="Lato"/>
          <w:lang w:eastAsia="en-IN"/>
        </w:rPr>
        <w:t>This annex has been developed by Dalberg Advisors, and represents their independent interpretation and analysis of the team’s visit to Indonesia.</w:t>
      </w:r>
    </w:p>
    <w:p w14:paraId="77BE24AF" w14:textId="77777777" w:rsidR="00E63804" w:rsidRPr="001241AD" w:rsidRDefault="00E63804" w:rsidP="00E63804">
      <w:pPr>
        <w:spacing w:before="120" w:after="120" w:line="240" w:lineRule="auto"/>
        <w:jc w:val="both"/>
        <w:rPr>
          <w:rFonts w:ascii="Calibri" w:eastAsia="Lato" w:hAnsi="Calibri" w:cs="Lato"/>
          <w:lang w:eastAsia="en-IN"/>
        </w:rPr>
      </w:pPr>
    </w:p>
    <w:p w14:paraId="54923B6B" w14:textId="77777777" w:rsidR="00E63804" w:rsidRPr="001241AD" w:rsidRDefault="00E63804" w:rsidP="00E63804">
      <w:pPr>
        <w:widowControl w:val="0"/>
        <w:numPr>
          <w:ilvl w:val="0"/>
          <w:numId w:val="34"/>
        </w:numPr>
        <w:tabs>
          <w:tab w:val="left" w:pos="360"/>
          <w:tab w:val="left" w:pos="540"/>
        </w:tabs>
        <w:spacing w:before="120" w:after="120" w:line="240" w:lineRule="auto"/>
        <w:ind w:right="602"/>
        <w:jc w:val="both"/>
        <w:outlineLvl w:val="0"/>
        <w:rPr>
          <w:rFonts w:ascii="Calibri" w:eastAsia="Times New Roman" w:hAnsi="Calibri" w:cs="Times New Roman"/>
          <w:b/>
          <w:smallCaps/>
          <w:color w:val="4F81BD"/>
          <w:sz w:val="32"/>
          <w:szCs w:val="32"/>
          <w:lang w:eastAsia="en-IN"/>
        </w:rPr>
      </w:pPr>
      <w:r w:rsidRPr="001241AD">
        <w:rPr>
          <w:rFonts w:ascii="Calibri" w:eastAsia="Times New Roman" w:hAnsi="Calibri" w:cs="Times New Roman"/>
          <w:b/>
          <w:smallCaps/>
          <w:color w:val="4F81BD"/>
          <w:sz w:val="32"/>
          <w:szCs w:val="32"/>
          <w:lang w:eastAsia="en-IN"/>
        </w:rPr>
        <w:t>Executive Summary</w:t>
      </w:r>
    </w:p>
    <w:p w14:paraId="08FE5CCE" w14:textId="77777777" w:rsidR="00E63804" w:rsidRPr="001241AD" w:rsidRDefault="00E63804" w:rsidP="00E63804">
      <w:pPr>
        <w:tabs>
          <w:tab w:val="left" w:pos="360"/>
          <w:tab w:val="left" w:pos="540"/>
        </w:tabs>
        <w:spacing w:before="120" w:after="120" w:line="240" w:lineRule="auto"/>
        <w:ind w:right="602"/>
        <w:jc w:val="both"/>
        <w:rPr>
          <w:rFonts w:ascii="Calibri" w:eastAsia="Times New Roman" w:hAnsi="Calibri" w:cs="Times New Roman"/>
          <w:b/>
          <w:lang w:eastAsia="en-IN"/>
        </w:rPr>
      </w:pPr>
    </w:p>
    <w:p w14:paraId="213AF1A7" w14:textId="07A416FA" w:rsidR="00E63804" w:rsidRPr="009E66C7" w:rsidRDefault="00E63804" w:rsidP="00E63804">
      <w:pPr>
        <w:numPr>
          <w:ilvl w:val="0"/>
          <w:numId w:val="36"/>
        </w:numPr>
        <w:tabs>
          <w:tab w:val="left" w:pos="360"/>
          <w:tab w:val="left" w:pos="540"/>
        </w:tabs>
        <w:spacing w:before="120" w:after="120" w:line="240" w:lineRule="auto"/>
        <w:ind w:left="0" w:right="602" w:firstLine="0"/>
        <w:jc w:val="both"/>
        <w:rPr>
          <w:rFonts w:ascii="Calibri" w:eastAsia="Times New Roman" w:hAnsi="Calibri" w:cs="Times New Roman"/>
          <w:b/>
          <w:lang w:eastAsia="en-IN"/>
        </w:rPr>
      </w:pPr>
      <w:r w:rsidRPr="009E66C7">
        <w:rPr>
          <w:rFonts w:ascii="Calibri" w:eastAsia="Times New Roman" w:hAnsi="Calibri" w:cs="Times New Roman"/>
          <w:b/>
          <w:lang w:eastAsia="en-IN"/>
        </w:rPr>
        <w:t xml:space="preserve">For Australia to engage more strategically in the Association of Southeast Asian Nations (ASEAN) region, Indonesia remains the most important partner. To date, however, Australian financial activity in the country has been relatively limited. </w:t>
      </w:r>
      <w:r w:rsidR="0060019D">
        <w:rPr>
          <w:rFonts w:ascii="Calibri" w:eastAsia="Times New Roman" w:hAnsi="Calibri" w:cs="Times New Roman"/>
          <w:lang w:eastAsia="en-IN"/>
        </w:rPr>
        <w:t>Indonesia is the fourth most populous nation in the world, with a population of 270 million</w:t>
      </w:r>
      <w:r w:rsidR="002D5D4D">
        <w:rPr>
          <w:rFonts w:ascii="Calibri" w:eastAsia="Times New Roman" w:hAnsi="Calibri" w:cs="Times New Roman"/>
          <w:lang w:eastAsia="en-IN"/>
        </w:rPr>
        <w:t>,</w:t>
      </w:r>
      <w:r w:rsidR="006304DE">
        <w:rPr>
          <w:rFonts w:ascii="Calibri" w:eastAsia="Times New Roman" w:hAnsi="Calibri" w:cs="Times New Roman"/>
          <w:lang w:eastAsia="en-IN"/>
        </w:rPr>
        <w:t xml:space="preserve"> is </w:t>
      </w:r>
      <w:r w:rsidRPr="009E66C7">
        <w:rPr>
          <w:rFonts w:ascii="Calibri" w:eastAsia="Times New Roman" w:hAnsi="Calibri" w:cs="Times New Roman"/>
          <w:lang w:eastAsia="en-IN"/>
        </w:rPr>
        <w:t>Australia's largest neighbour by area, and the largest country in ASEAN, wielding considerable geopolitical influence in the region. The country is politically stable and</w:t>
      </w:r>
      <w:r w:rsidRPr="009E66C7">
        <w:rPr>
          <w:rFonts w:ascii="Calibri" w:eastAsia="Roboto" w:hAnsi="Calibri" w:cs="Roboto"/>
          <w:color w:val="333333"/>
          <w:sz w:val="20"/>
          <w:szCs w:val="20"/>
          <w:highlight w:val="white"/>
          <w:lang w:eastAsia="en-IN"/>
        </w:rPr>
        <w:t xml:space="preserve"> </w:t>
      </w:r>
      <w:r w:rsidRPr="009E66C7">
        <w:rPr>
          <w:rFonts w:ascii="Calibri" w:eastAsia="Times New Roman" w:hAnsi="Calibri" w:cs="Times New Roman"/>
          <w:lang w:eastAsia="en-IN"/>
        </w:rPr>
        <w:t>has established itself as a democratic model for other ASEAN fledgling democracies. With an annual GDP growth rate of 5.2%, Indonesia is also the fastest growing economy in Southeast Asia. However,</w:t>
      </w:r>
      <w:r w:rsidRPr="009E66C7">
        <w:rPr>
          <w:rFonts w:ascii="Calibri" w:eastAsia="Times New Roman" w:hAnsi="Calibri" w:cs="Times New Roman"/>
          <w:b/>
          <w:lang w:eastAsia="en-IN"/>
        </w:rPr>
        <w:t xml:space="preserve"> </w:t>
      </w:r>
      <w:r w:rsidRPr="009E66C7">
        <w:rPr>
          <w:rFonts w:ascii="Calibri" w:eastAsia="Times New Roman" w:hAnsi="Calibri" w:cs="Times New Roman"/>
          <w:lang w:eastAsia="en-IN"/>
        </w:rPr>
        <w:t xml:space="preserve">Australia’s annual development assistance budget for Indonesia has seen a decline over the last five years. The 2018–19 budget of </w:t>
      </w:r>
      <w:r w:rsidR="00800236">
        <w:rPr>
          <w:rFonts w:ascii="Calibri" w:eastAsia="Times New Roman" w:hAnsi="Calibri" w:cs="Times New Roman"/>
          <w:lang w:eastAsia="en-IN"/>
        </w:rPr>
        <w:t>US$</w:t>
      </w:r>
      <w:r w:rsidRPr="009E66C7">
        <w:rPr>
          <w:rFonts w:ascii="Calibri" w:eastAsia="Times New Roman" w:hAnsi="Calibri" w:cs="Times New Roman"/>
          <w:lang w:eastAsia="en-IN"/>
        </w:rPr>
        <w:t xml:space="preserve"> 228 million may be insufficient to enable the development of a mature economic partnership. This is especially likely considering the scale of demand for economic and social infrastructure in Indonesia, and the envelope sizes of competing donors.</w:t>
      </w:r>
    </w:p>
    <w:p w14:paraId="6D554A97" w14:textId="3D1230B0" w:rsidR="00E63804" w:rsidRPr="009E66C7" w:rsidRDefault="00E63804" w:rsidP="00E63804">
      <w:pPr>
        <w:numPr>
          <w:ilvl w:val="0"/>
          <w:numId w:val="36"/>
        </w:numPr>
        <w:tabs>
          <w:tab w:val="left" w:pos="360"/>
          <w:tab w:val="left" w:pos="540"/>
        </w:tabs>
        <w:spacing w:before="120" w:after="120" w:line="240" w:lineRule="auto"/>
        <w:ind w:left="0" w:right="602" w:firstLine="0"/>
        <w:jc w:val="both"/>
        <w:rPr>
          <w:rFonts w:ascii="Calibri" w:eastAsia="Times New Roman" w:hAnsi="Calibri" w:cs="Times New Roman"/>
          <w:b/>
          <w:lang w:eastAsia="en-IN"/>
        </w:rPr>
      </w:pPr>
      <w:r w:rsidRPr="009E66C7">
        <w:rPr>
          <w:rFonts w:ascii="Calibri" w:eastAsia="Times New Roman" w:hAnsi="Calibri" w:cs="Times New Roman"/>
          <w:b/>
          <w:lang w:eastAsia="en-IN"/>
        </w:rPr>
        <w:t xml:space="preserve">Adopting a broader suite of development finance tools will enable Australia to </w:t>
      </w:r>
      <w:proofErr w:type="gramStart"/>
      <w:r w:rsidR="00E87D18">
        <w:rPr>
          <w:rFonts w:ascii="Calibri" w:eastAsia="Times New Roman" w:hAnsi="Calibri" w:cs="Times New Roman"/>
          <w:b/>
          <w:lang w:eastAsia="en-IN"/>
        </w:rPr>
        <w:t>more effectively influence</w:t>
      </w:r>
      <w:proofErr w:type="gramEnd"/>
      <w:r w:rsidR="00E87D18">
        <w:rPr>
          <w:rFonts w:ascii="Calibri" w:eastAsia="Times New Roman" w:hAnsi="Calibri" w:cs="Times New Roman"/>
          <w:b/>
          <w:lang w:eastAsia="en-IN"/>
        </w:rPr>
        <w:t>,</w:t>
      </w:r>
      <w:r w:rsidRPr="009E66C7">
        <w:rPr>
          <w:rFonts w:ascii="Calibri" w:eastAsia="Times New Roman" w:hAnsi="Calibri" w:cs="Times New Roman"/>
          <w:b/>
          <w:lang w:eastAsia="en-IN"/>
        </w:rPr>
        <w:t xml:space="preserve"> and contribute more to the region’s growth, stability and prosperity. </w:t>
      </w:r>
      <w:r w:rsidRPr="009E66C7">
        <w:rPr>
          <w:rFonts w:ascii="Calibri" w:eastAsia="Times New Roman" w:hAnsi="Calibri" w:cs="Times New Roman"/>
          <w:lang w:eastAsia="en-IN"/>
        </w:rPr>
        <w:t>There is both a political and a developmental rationale for adopting these tools. Participating in Indonesia's growth as an investor will entitle Australia to a seat at a broader range of tables and represent a better way of exerting influence over specific projects in which Australia and Indonesia may have common goals. Given Indonesia's size, even vast sums of money will not translate to influence on overall policy—according to estimates, the combined aid flows from all donors constitute less than 2% of the overall national budget.</w:t>
      </w:r>
    </w:p>
    <w:p w14:paraId="7C1B6229" w14:textId="77777777" w:rsidR="00E63804" w:rsidRPr="009E66C7" w:rsidRDefault="00E63804" w:rsidP="00E63804">
      <w:pPr>
        <w:numPr>
          <w:ilvl w:val="0"/>
          <w:numId w:val="36"/>
        </w:numPr>
        <w:tabs>
          <w:tab w:val="left" w:pos="360"/>
          <w:tab w:val="left" w:pos="540"/>
        </w:tabs>
        <w:spacing w:before="120" w:after="120" w:line="240" w:lineRule="auto"/>
        <w:ind w:left="0" w:right="602" w:firstLine="0"/>
        <w:jc w:val="both"/>
        <w:rPr>
          <w:rFonts w:ascii="Calibri" w:eastAsia="Times New Roman" w:hAnsi="Calibri" w:cs="Times New Roman"/>
          <w:b/>
          <w:lang w:eastAsia="en-IN"/>
        </w:rPr>
      </w:pPr>
      <w:r w:rsidRPr="009E66C7">
        <w:rPr>
          <w:rFonts w:ascii="Calibri" w:eastAsia="Times New Roman" w:hAnsi="Calibri" w:cs="Times New Roman"/>
          <w:b/>
          <w:lang w:eastAsia="en-IN"/>
        </w:rPr>
        <w:t>However, NGFs and grants (especially when structured efficiently—e.g., made returnable) can make a difference in very specific sectors, regions or sets of challenges, and in so doing, can position Australia as a trusted strategic partner.</w:t>
      </w:r>
      <w:r w:rsidRPr="009E66C7">
        <w:rPr>
          <w:rFonts w:ascii="Calibri" w:eastAsia="Times New Roman" w:hAnsi="Calibri" w:cs="Times New Roman"/>
          <w:lang w:eastAsia="en-IN"/>
        </w:rPr>
        <w:t xml:space="preserve"> For instance, by participating selectively in infrastructure financing, Australia will have the opportunity to partake in critical economic projects that may not be currently available through traditional grant financing alone, and thereby play a role in guiding the direction of development in the country. Doing so not only would promote Australia’s economic </w:t>
      </w:r>
      <w:proofErr w:type="gramStart"/>
      <w:r w:rsidRPr="009E66C7">
        <w:rPr>
          <w:rFonts w:ascii="Calibri" w:eastAsia="Times New Roman" w:hAnsi="Calibri" w:cs="Times New Roman"/>
          <w:lang w:eastAsia="en-IN"/>
        </w:rPr>
        <w:t>objectives, but</w:t>
      </w:r>
      <w:proofErr w:type="gramEnd"/>
      <w:r w:rsidRPr="009E66C7">
        <w:rPr>
          <w:rFonts w:ascii="Calibri" w:eastAsia="Times New Roman" w:hAnsi="Calibri" w:cs="Times New Roman"/>
          <w:lang w:eastAsia="en-IN"/>
        </w:rPr>
        <w:t xml:space="preserve"> would also respond to strong development needs––if Australia can provide sustained, high quality support through NGF and accompanying </w:t>
      </w:r>
      <w:r w:rsidRPr="009E66C7">
        <w:rPr>
          <w:rFonts w:ascii="Calibri" w:eastAsia="Arial" w:hAnsi="Calibri" w:cs="Calibri"/>
          <w:lang w:eastAsia="zh-CN"/>
        </w:rPr>
        <w:t>TA</w:t>
      </w:r>
      <w:r w:rsidRPr="009E66C7">
        <w:rPr>
          <w:rFonts w:ascii="Calibri" w:eastAsia="Times New Roman" w:hAnsi="Calibri" w:cs="Times New Roman"/>
          <w:lang w:eastAsia="en-IN"/>
        </w:rPr>
        <w:t>, it can contribute to the country’s continued prosperity, growth and stability.</w:t>
      </w:r>
    </w:p>
    <w:p w14:paraId="4191C0E5" w14:textId="77777777" w:rsidR="00E63804" w:rsidRPr="009E66C7" w:rsidRDefault="00E63804" w:rsidP="00E63804">
      <w:pPr>
        <w:numPr>
          <w:ilvl w:val="0"/>
          <w:numId w:val="36"/>
        </w:numPr>
        <w:tabs>
          <w:tab w:val="left" w:pos="360"/>
          <w:tab w:val="left" w:pos="540"/>
        </w:tabs>
        <w:spacing w:before="120" w:after="120" w:line="240" w:lineRule="auto"/>
        <w:ind w:left="0" w:right="602" w:firstLine="0"/>
        <w:jc w:val="both"/>
        <w:rPr>
          <w:rFonts w:ascii="Calibri" w:eastAsia="Times New Roman" w:hAnsi="Calibri" w:cs="Times New Roman"/>
          <w:b/>
          <w:lang w:eastAsia="en-IN"/>
        </w:rPr>
      </w:pPr>
      <w:r w:rsidRPr="009E66C7">
        <w:rPr>
          <w:rFonts w:ascii="Calibri" w:eastAsia="Times New Roman" w:hAnsi="Calibri" w:cs="Times New Roman"/>
          <w:b/>
          <w:lang w:eastAsia="en-IN"/>
        </w:rPr>
        <w:t xml:space="preserve">Within the current financial envelope, NGF and catalytic grants may be useful for </w:t>
      </w:r>
      <w:proofErr w:type="gramStart"/>
      <w:r w:rsidRPr="009E66C7">
        <w:rPr>
          <w:rFonts w:ascii="Calibri" w:eastAsia="Times New Roman" w:hAnsi="Calibri" w:cs="Times New Roman"/>
          <w:b/>
          <w:lang w:eastAsia="en-IN"/>
        </w:rPr>
        <w:t>a number of</w:t>
      </w:r>
      <w:proofErr w:type="gramEnd"/>
      <w:r w:rsidRPr="009E66C7">
        <w:rPr>
          <w:rFonts w:ascii="Calibri" w:eastAsia="Times New Roman" w:hAnsi="Calibri" w:cs="Times New Roman"/>
          <w:b/>
          <w:lang w:eastAsia="en-IN"/>
        </w:rPr>
        <w:t xml:space="preserve"> opportunities. </w:t>
      </w:r>
      <w:r w:rsidRPr="009E66C7">
        <w:rPr>
          <w:rFonts w:ascii="Calibri" w:eastAsia="Times New Roman" w:hAnsi="Calibri" w:cs="Times New Roman"/>
          <w:lang w:eastAsia="en-IN"/>
        </w:rPr>
        <w:t>We have identified a non-exhaustive list of these opportunities as (a) impact investing in promising social enterprises through impact funds in order to create sustainable business models, (b) assisting the funding of well-functioning credit cooperatives in order to improve overall access to finance, (c) deepening capital markets to mobilise domestic and institutional capital across economic sectors; (d) mobilising private capital from institutional investors toward financing infrastructure projects, (e) financing impactful infrastructure and related projects at the provincial level through the use of municipal bonds, (f) helping establish methods such as aggregation platforms to improve the domestic financing of local-level infrastructure and (g) supporting private-sector providers of technical training willing to benchmark with Australian standards.</w:t>
      </w:r>
    </w:p>
    <w:p w14:paraId="0FA1F0BA" w14:textId="3F9EB7C5" w:rsidR="00E63804" w:rsidRPr="009E66C7" w:rsidRDefault="00E63804" w:rsidP="00E63804">
      <w:pPr>
        <w:numPr>
          <w:ilvl w:val="0"/>
          <w:numId w:val="36"/>
        </w:numPr>
        <w:tabs>
          <w:tab w:val="left" w:pos="360"/>
          <w:tab w:val="left" w:pos="540"/>
        </w:tabs>
        <w:spacing w:before="120" w:after="120" w:line="240" w:lineRule="auto"/>
        <w:ind w:left="0" w:right="602" w:firstLine="0"/>
        <w:jc w:val="both"/>
        <w:rPr>
          <w:rFonts w:ascii="Calibri" w:eastAsia="Times New Roman" w:hAnsi="Calibri" w:cs="Times New Roman"/>
          <w:b/>
          <w:lang w:eastAsia="en-IN"/>
        </w:rPr>
      </w:pPr>
      <w:r w:rsidRPr="009E66C7">
        <w:rPr>
          <w:rFonts w:ascii="Calibri" w:eastAsia="Times New Roman" w:hAnsi="Calibri" w:cs="Times New Roman"/>
          <w:b/>
          <w:lang w:eastAsia="en-IN"/>
        </w:rPr>
        <w:lastRenderedPageBreak/>
        <w:t>Grants continue to be important for social and economic development while Indonesians also appreciate bundled technical assistance (TA) packages.</w:t>
      </w:r>
      <w:r w:rsidRPr="009E66C7">
        <w:rPr>
          <w:rFonts w:ascii="Calibri" w:eastAsia="Times New Roman" w:hAnsi="Calibri" w:cs="Times New Roman"/>
          <w:lang w:eastAsia="en-IN"/>
        </w:rPr>
        <w:t xml:space="preserve"> An example is the </w:t>
      </w:r>
      <w:r w:rsidR="00800236">
        <w:rPr>
          <w:rFonts w:ascii="Calibri" w:eastAsia="Times New Roman" w:hAnsi="Calibri" w:cs="Times New Roman"/>
          <w:lang w:eastAsia="en-IN"/>
        </w:rPr>
        <w:t>US$</w:t>
      </w:r>
      <w:r w:rsidRPr="009E66C7">
        <w:rPr>
          <w:rFonts w:ascii="Calibri" w:eastAsia="Times New Roman" w:hAnsi="Calibri" w:cs="Times New Roman"/>
          <w:lang w:eastAsia="en-IN"/>
        </w:rPr>
        <w:t xml:space="preserve"> 27.2 million Provincial Road Improvement and Maintenance (PRIM) initiative, </w:t>
      </w:r>
      <w:r w:rsidRPr="009E66C7">
        <w:rPr>
          <w:rFonts w:ascii="Calibri" w:eastAsia="Times New Roman" w:hAnsi="Calibri" w:cs="Times New Roman"/>
          <w:highlight w:val="white"/>
          <w:lang w:eastAsia="en-IN"/>
        </w:rPr>
        <w:t xml:space="preserve">an output-based grant program through which Australia provides incentives for Indonesian subnational governments to implement road maintenance and rehabilitation works. Grants structured in this innovative manner help ensure project accountability and sustainability by installing M&amp;E processes and employing strict performance criteria, as well as by working through and bolstering existing government systems. Another example is the AUD 37 million grant component in the Eastern Indonesia National Roads Improvement program (EINRIP), extended in combination with an AUD 276 million loan. The combination of both loans and grants in this project enabled funds to be used effectively—in fact, government agencies have credited EINRIP with producing </w:t>
      </w:r>
      <w:r w:rsidR="00541669">
        <w:rPr>
          <w:rFonts w:ascii="Calibri" w:eastAsia="Times New Roman" w:hAnsi="Calibri" w:cs="Times New Roman"/>
          <w:highlight w:val="white"/>
          <w:lang w:eastAsia="en-IN"/>
        </w:rPr>
        <w:t xml:space="preserve">among </w:t>
      </w:r>
      <w:r w:rsidRPr="009E66C7">
        <w:rPr>
          <w:rFonts w:ascii="Calibri" w:eastAsia="Times New Roman" w:hAnsi="Calibri" w:cs="Times New Roman"/>
          <w:highlight w:val="white"/>
          <w:lang w:eastAsia="en-IN"/>
        </w:rPr>
        <w:t xml:space="preserve">the best quality roads recently achieved in Indonesia. Additionally, </w:t>
      </w:r>
      <w:r w:rsidRPr="009E66C7">
        <w:rPr>
          <w:rFonts w:ascii="Calibri" w:eastAsia="Times New Roman" w:hAnsi="Calibri" w:cs="Times New Roman"/>
          <w:lang w:eastAsia="en-IN"/>
        </w:rPr>
        <w:t>Indonesia has found it extremely useful to have access to a skilled workforce deputed in key ministries through the support of Australia. Based on limited consultations, we believe that many of the stakeholders occupying key positions across the government and private sector in Indonesia have completed parts of their education in Australia, many with the support of scholarships provided by Australia.</w:t>
      </w:r>
    </w:p>
    <w:p w14:paraId="529CD9C0" w14:textId="7A375FA9" w:rsidR="00E63804" w:rsidRPr="00571756" w:rsidRDefault="00E63804" w:rsidP="00E63804">
      <w:pPr>
        <w:numPr>
          <w:ilvl w:val="0"/>
          <w:numId w:val="36"/>
        </w:numPr>
        <w:tabs>
          <w:tab w:val="left" w:pos="360"/>
          <w:tab w:val="left" w:pos="540"/>
        </w:tabs>
        <w:spacing w:before="120" w:after="120" w:line="240" w:lineRule="auto"/>
        <w:ind w:left="0" w:right="602" w:firstLine="0"/>
        <w:jc w:val="both"/>
        <w:rPr>
          <w:rFonts w:ascii="Calibri" w:eastAsia="Lato" w:hAnsi="Calibri" w:cs="Lato"/>
          <w:lang w:eastAsia="en-IN"/>
        </w:rPr>
      </w:pPr>
      <w:r w:rsidRPr="001241AD">
        <w:rPr>
          <w:rFonts w:ascii="Calibri" w:eastAsia="Times New Roman" w:hAnsi="Calibri" w:cs="Times New Roman"/>
          <w:b/>
          <w:lang w:eastAsia="en-IN"/>
        </w:rPr>
        <w:t>Indonesia’s rapid development requires a broader range of support than Australia can provide with grants alone</w:t>
      </w:r>
      <w:r w:rsidRPr="001241AD">
        <w:rPr>
          <w:rFonts w:ascii="Calibri" w:eastAsia="Times New Roman" w:hAnsi="Calibri" w:cs="Times New Roman"/>
          <w:lang w:eastAsia="en-IN"/>
        </w:rPr>
        <w:t xml:space="preserve">. Given the limited size of Australia’s </w:t>
      </w:r>
      <w:r>
        <w:rPr>
          <w:rFonts w:ascii="Calibri" w:eastAsia="Times New Roman" w:hAnsi="Calibri" w:cs="Times New Roman"/>
          <w:lang w:eastAsia="en-IN"/>
        </w:rPr>
        <w:t>development assistance</w:t>
      </w:r>
      <w:r w:rsidRPr="001241AD">
        <w:rPr>
          <w:rFonts w:ascii="Calibri" w:eastAsia="Times New Roman" w:hAnsi="Calibri" w:cs="Times New Roman"/>
          <w:lang w:eastAsia="en-IN"/>
        </w:rPr>
        <w:t xml:space="preserve"> budget compared to other funders in the region, the ability to make use of a suite of financial instruments that can be tailored to the specific needs of the Indonesian public sector and the desired profiles of prospective private sector investors is critical to ensuring that Australia’s development finance will be able to meet the country’s rapidly shifting needs. Our field research has revealed strong demand for </w:t>
      </w:r>
      <w:r>
        <w:rPr>
          <w:rFonts w:ascii="Calibri" w:eastAsia="Times New Roman" w:hAnsi="Calibri" w:cs="Times New Roman"/>
          <w:lang w:eastAsia="en-IN"/>
        </w:rPr>
        <w:t>NGF</w:t>
      </w:r>
      <w:r w:rsidRPr="001241AD">
        <w:rPr>
          <w:rFonts w:ascii="Calibri" w:eastAsia="Times New Roman" w:hAnsi="Calibri" w:cs="Times New Roman"/>
          <w:lang w:eastAsia="en-IN"/>
        </w:rPr>
        <w:t xml:space="preserve"> from the Indonesian public sector—as public debt mounts, an estimated </w:t>
      </w:r>
      <w:r w:rsidR="00800236">
        <w:rPr>
          <w:rFonts w:ascii="Calibri" w:eastAsia="Times New Roman" w:hAnsi="Calibri" w:cs="Times New Roman"/>
          <w:lang w:eastAsia="en-IN"/>
        </w:rPr>
        <w:t>US$</w:t>
      </w:r>
      <w:r w:rsidRPr="001241AD">
        <w:rPr>
          <w:rFonts w:ascii="Calibri" w:eastAsia="Times New Roman" w:hAnsi="Calibri" w:cs="Times New Roman"/>
          <w:lang w:eastAsia="en-IN"/>
        </w:rPr>
        <w:t xml:space="preserve"> 83.5 billion will be sought from the private and developmental sectors for the government’s ambitious National Medium-Term Development Plan 2015-2019</w:t>
      </w:r>
      <w:r w:rsidRPr="001241AD">
        <w:rPr>
          <w:rFonts w:ascii="Calibri" w:eastAsia="Lato" w:hAnsi="Calibri" w:cs="Lato"/>
          <w:vertAlign w:val="superscript"/>
          <w:lang w:eastAsia="en-IN"/>
        </w:rPr>
        <w:footnoteReference w:id="57"/>
      </w:r>
      <w:r w:rsidRPr="001241AD">
        <w:rPr>
          <w:rFonts w:ascii="Calibri" w:eastAsia="Times New Roman" w:hAnsi="Calibri" w:cs="Times New Roman"/>
          <w:lang w:eastAsia="en-IN"/>
        </w:rPr>
        <w:t xml:space="preserve">—and has also revealed that engaging the private sector can lead to a profound magnification of impact. For instance, our consultations indicate that the ADB targets a mobilisation multiple of 6x from private sector alone for its investments in Indonesia. </w:t>
      </w:r>
    </w:p>
    <w:p w14:paraId="665A6DD8" w14:textId="77777777" w:rsidR="00E63804" w:rsidRPr="001241AD" w:rsidRDefault="00E63804" w:rsidP="00E63804">
      <w:pPr>
        <w:tabs>
          <w:tab w:val="left" w:pos="360"/>
          <w:tab w:val="left" w:pos="540"/>
        </w:tabs>
        <w:spacing w:before="120" w:after="120" w:line="240" w:lineRule="auto"/>
        <w:ind w:right="602"/>
        <w:jc w:val="both"/>
        <w:rPr>
          <w:rFonts w:ascii="Calibri" w:eastAsia="Lato" w:hAnsi="Calibri" w:cs="Lato"/>
          <w:lang w:eastAsia="en-IN"/>
        </w:rPr>
      </w:pPr>
    </w:p>
    <w:p w14:paraId="3634E22B" w14:textId="77777777" w:rsidR="00E63804" w:rsidRPr="001241AD" w:rsidRDefault="00E63804" w:rsidP="00E63804">
      <w:pPr>
        <w:widowControl w:val="0"/>
        <w:numPr>
          <w:ilvl w:val="0"/>
          <w:numId w:val="34"/>
        </w:numPr>
        <w:tabs>
          <w:tab w:val="left" w:pos="360"/>
          <w:tab w:val="left" w:pos="540"/>
        </w:tabs>
        <w:spacing w:before="120" w:after="120" w:line="240" w:lineRule="auto"/>
        <w:ind w:right="602"/>
        <w:jc w:val="both"/>
        <w:outlineLvl w:val="0"/>
        <w:rPr>
          <w:rFonts w:ascii="Calibri" w:eastAsia="Times New Roman" w:hAnsi="Calibri" w:cs="Times New Roman"/>
          <w:b/>
          <w:smallCaps/>
          <w:color w:val="4F81BD"/>
          <w:sz w:val="32"/>
          <w:szCs w:val="32"/>
          <w:lang w:eastAsia="en-IN"/>
        </w:rPr>
      </w:pPr>
      <w:r w:rsidRPr="001241AD">
        <w:rPr>
          <w:rFonts w:ascii="Calibri" w:eastAsia="Times New Roman" w:hAnsi="Calibri" w:cs="Times New Roman"/>
          <w:b/>
          <w:smallCaps/>
          <w:color w:val="4F81BD"/>
          <w:sz w:val="32"/>
          <w:szCs w:val="32"/>
          <w:lang w:eastAsia="en-IN"/>
        </w:rPr>
        <w:t>Analysis of Strategic Dimensions</w:t>
      </w:r>
    </w:p>
    <w:p w14:paraId="25D55846" w14:textId="77777777" w:rsidR="00E63804" w:rsidRPr="001241AD" w:rsidRDefault="00E63804" w:rsidP="00E63804">
      <w:pPr>
        <w:tabs>
          <w:tab w:val="left" w:pos="360"/>
          <w:tab w:val="left" w:pos="540"/>
        </w:tabs>
        <w:spacing w:before="120" w:after="120" w:line="240" w:lineRule="auto"/>
        <w:ind w:right="602"/>
        <w:jc w:val="both"/>
        <w:rPr>
          <w:rFonts w:ascii="Calibri" w:eastAsia="Lato" w:hAnsi="Calibri" w:cs="Lato"/>
          <w:lang w:eastAsia="en-IN"/>
        </w:rPr>
      </w:pPr>
    </w:p>
    <w:p w14:paraId="04A8484E" w14:textId="7DE2AECB" w:rsidR="00E63804" w:rsidRPr="009E66C7" w:rsidRDefault="00E63804" w:rsidP="00E63804">
      <w:pPr>
        <w:numPr>
          <w:ilvl w:val="0"/>
          <w:numId w:val="36"/>
        </w:numPr>
        <w:tabs>
          <w:tab w:val="left" w:pos="360"/>
          <w:tab w:val="left" w:pos="540"/>
        </w:tabs>
        <w:spacing w:before="120" w:after="120" w:line="240" w:lineRule="auto"/>
        <w:ind w:left="0" w:right="602" w:firstLine="0"/>
        <w:jc w:val="both"/>
        <w:rPr>
          <w:rFonts w:ascii="Calibri" w:eastAsia="Lato" w:hAnsi="Calibri" w:cs="Lato"/>
          <w:lang w:eastAsia="en-IN"/>
        </w:rPr>
      </w:pPr>
      <w:r w:rsidRPr="009E66C7">
        <w:rPr>
          <w:rFonts w:ascii="Calibri" w:eastAsia="Times New Roman" w:hAnsi="Calibri" w:cs="Times New Roman"/>
          <w:b/>
          <w:lang w:eastAsia="en-IN"/>
        </w:rPr>
        <w:t xml:space="preserve">Despite Indonesia's </w:t>
      </w:r>
      <w:proofErr w:type="gramStart"/>
      <w:r w:rsidRPr="009E66C7">
        <w:rPr>
          <w:rFonts w:ascii="Calibri" w:eastAsia="Times New Roman" w:hAnsi="Calibri" w:cs="Times New Roman"/>
          <w:b/>
          <w:lang w:eastAsia="en-IN"/>
        </w:rPr>
        <w:t>close proximity</w:t>
      </w:r>
      <w:proofErr w:type="gramEnd"/>
      <w:r w:rsidRPr="009E66C7">
        <w:rPr>
          <w:rFonts w:ascii="Calibri" w:eastAsia="Times New Roman" w:hAnsi="Calibri" w:cs="Times New Roman"/>
          <w:b/>
          <w:lang w:eastAsia="en-IN"/>
        </w:rPr>
        <w:t xml:space="preserve"> to Australia and its immense economic potential, Australian financial activity in the country has thus far been relatively limited in recent years. </w:t>
      </w:r>
      <w:r w:rsidRPr="009E66C7">
        <w:rPr>
          <w:rFonts w:ascii="Calibri" w:eastAsia="Times New Roman" w:hAnsi="Calibri" w:cs="Times New Roman"/>
          <w:lang w:eastAsia="en-IN"/>
        </w:rPr>
        <w:t xml:space="preserve">While Indonesia was historically one of Australia’s largest development assistance programs, the program has shrunk significantly in the last decade. Australia’s annual development assistance budget for Indonesia has declined by 12% from 2017–18 to 2018–19, to </w:t>
      </w:r>
      <w:r w:rsidR="00800236">
        <w:rPr>
          <w:rFonts w:ascii="Calibri" w:eastAsia="Times New Roman" w:hAnsi="Calibri" w:cs="Times New Roman"/>
          <w:lang w:eastAsia="en-IN"/>
        </w:rPr>
        <w:t>US$</w:t>
      </w:r>
      <w:r w:rsidRPr="009E66C7">
        <w:rPr>
          <w:rFonts w:ascii="Calibri" w:eastAsia="Times New Roman" w:hAnsi="Calibri" w:cs="Times New Roman"/>
          <w:lang w:eastAsia="en-IN"/>
        </w:rPr>
        <w:t xml:space="preserve"> 228 million—a </w:t>
      </w:r>
      <w:r w:rsidR="00E87D18">
        <w:rPr>
          <w:rFonts w:ascii="Calibri" w:eastAsia="Times New Roman" w:hAnsi="Calibri" w:cs="Times New Roman"/>
          <w:lang w:eastAsia="en-IN"/>
        </w:rPr>
        <w:t>small sum</w:t>
      </w:r>
      <w:r w:rsidRPr="009E66C7">
        <w:rPr>
          <w:rFonts w:ascii="Calibri" w:eastAsia="Times New Roman" w:hAnsi="Calibri" w:cs="Times New Roman"/>
          <w:lang w:eastAsia="en-IN"/>
        </w:rPr>
        <w:t xml:space="preserve"> considering the scale of demand in Indonesia and the envelope sizes of competing donors.</w:t>
      </w:r>
      <w:r w:rsidRPr="001241AD">
        <w:rPr>
          <w:rFonts w:ascii="Calibri" w:eastAsia="Times New Roman" w:hAnsi="Calibri" w:cs="Times New Roman"/>
          <w:vertAlign w:val="superscript"/>
          <w:lang w:eastAsia="en-IN"/>
        </w:rPr>
        <w:footnoteReference w:id="58"/>
      </w:r>
      <w:r w:rsidRPr="009E66C7">
        <w:rPr>
          <w:rFonts w:ascii="Calibri" w:eastAsia="Times New Roman" w:hAnsi="Calibri" w:cs="Times New Roman"/>
          <w:lang w:eastAsia="en-IN"/>
        </w:rPr>
        <w:t xml:space="preserve"> This decline in relative terms is compounded by Australia’s inability to offer NGF, placing it at a disadvantage compared to </w:t>
      </w:r>
      <w:proofErr w:type="gramStart"/>
      <w:r w:rsidRPr="009E66C7">
        <w:rPr>
          <w:rFonts w:ascii="Calibri" w:eastAsia="Times New Roman" w:hAnsi="Calibri" w:cs="Times New Roman"/>
          <w:lang w:eastAsia="en-IN"/>
        </w:rPr>
        <w:t>the majority of</w:t>
      </w:r>
      <w:proofErr w:type="gramEnd"/>
      <w:r w:rsidRPr="009E66C7">
        <w:rPr>
          <w:rFonts w:ascii="Calibri" w:eastAsia="Times New Roman" w:hAnsi="Calibri" w:cs="Times New Roman"/>
          <w:lang w:eastAsia="en-IN"/>
        </w:rPr>
        <w:t xml:space="preserve"> bilateral and multilateral organisations that can offer a more diverse range of financing options. According to Indonesia’s Investment Coordinating Board (BKPM), the top sources of foreign direct investment in 2017 </w:t>
      </w:r>
      <w:r w:rsidRPr="009E66C7">
        <w:rPr>
          <w:rFonts w:ascii="Calibri" w:eastAsia="Times New Roman" w:hAnsi="Calibri" w:cs="Times New Roman"/>
          <w:lang w:eastAsia="en-IN"/>
        </w:rPr>
        <w:lastRenderedPageBreak/>
        <w:t>were Singapore, Japan, China, South Korea, the United States and the Netherlands.</w:t>
      </w:r>
      <w:r w:rsidRPr="001241AD">
        <w:rPr>
          <w:rFonts w:ascii="Calibri" w:eastAsia="Times New Roman" w:hAnsi="Calibri" w:cs="Times New Roman"/>
          <w:vertAlign w:val="superscript"/>
          <w:lang w:eastAsia="en-IN"/>
        </w:rPr>
        <w:footnoteReference w:id="59"/>
      </w:r>
      <w:r w:rsidRPr="009E66C7">
        <w:rPr>
          <w:rFonts w:ascii="Calibri" w:eastAsia="Times New Roman" w:hAnsi="Calibri" w:cs="Times New Roman"/>
          <w:lang w:eastAsia="en-IN"/>
        </w:rPr>
        <w:t xml:space="preserve"> In terms of private sector engagement, opaque regulations and high levels of perceived risk make Indonesia a difficult environment in which to operate for Australian businesses. </w:t>
      </w:r>
    </w:p>
    <w:p w14:paraId="46EA87C4" w14:textId="0771A2BA" w:rsidR="00E63804" w:rsidRPr="009E66C7" w:rsidRDefault="00E63804" w:rsidP="00E63804">
      <w:pPr>
        <w:numPr>
          <w:ilvl w:val="0"/>
          <w:numId w:val="36"/>
        </w:numPr>
        <w:tabs>
          <w:tab w:val="left" w:pos="360"/>
          <w:tab w:val="left" w:pos="540"/>
        </w:tabs>
        <w:spacing w:before="120" w:after="120" w:line="240" w:lineRule="auto"/>
        <w:ind w:left="0" w:right="602" w:firstLine="0"/>
        <w:jc w:val="both"/>
        <w:rPr>
          <w:rFonts w:ascii="Calibri" w:eastAsia="Lato" w:hAnsi="Calibri" w:cs="Lato"/>
          <w:lang w:eastAsia="en-IN"/>
        </w:rPr>
      </w:pPr>
      <w:r w:rsidRPr="009E66C7">
        <w:rPr>
          <w:rFonts w:ascii="Calibri" w:eastAsia="Times New Roman" w:hAnsi="Calibri" w:cs="Times New Roman"/>
          <w:b/>
          <w:lang w:eastAsia="en-IN"/>
        </w:rPr>
        <w:t xml:space="preserve">Given Indonesia’s strategic economic importance, Australia should engage with the country on more equal terms. </w:t>
      </w:r>
      <w:r w:rsidRPr="009E66C7">
        <w:rPr>
          <w:rFonts w:ascii="Calibri" w:eastAsia="Times New Roman" w:hAnsi="Calibri" w:cs="Times New Roman"/>
          <w:lang w:eastAsia="en-IN"/>
        </w:rPr>
        <w:t xml:space="preserve">Indonesia has the potential to be one of Australia's most important economic and development partners. </w:t>
      </w:r>
      <w:r w:rsidR="001D579A">
        <w:rPr>
          <w:rFonts w:ascii="Calibri" w:eastAsia="Times New Roman" w:hAnsi="Calibri" w:cs="Times New Roman"/>
          <w:lang w:eastAsia="en-IN"/>
        </w:rPr>
        <w:t xml:space="preserve">Indonesia </w:t>
      </w:r>
      <w:r w:rsidR="00690A01">
        <w:rPr>
          <w:rFonts w:ascii="Calibri" w:eastAsia="Times New Roman" w:hAnsi="Calibri" w:cs="Times New Roman"/>
          <w:lang w:eastAsia="en-IN"/>
        </w:rPr>
        <w:t xml:space="preserve">is the fourth most populous nation in the world, with a population of 270 million, </w:t>
      </w:r>
      <w:r w:rsidR="001D579A">
        <w:rPr>
          <w:rFonts w:ascii="Calibri" w:eastAsia="Times New Roman" w:hAnsi="Calibri" w:cs="Times New Roman"/>
          <w:lang w:eastAsia="en-IN"/>
        </w:rPr>
        <w:t>is</w:t>
      </w:r>
      <w:r w:rsidRPr="009E66C7">
        <w:rPr>
          <w:rFonts w:ascii="Calibri" w:eastAsia="Times New Roman" w:hAnsi="Calibri" w:cs="Times New Roman"/>
          <w:lang w:eastAsia="en-IN"/>
        </w:rPr>
        <w:t xml:space="preserve"> Australia's largest neighbour by landmass and the largest country in ASEAN, wielding considerable geopolitical influence in the region. Recently, </w:t>
      </w:r>
      <w:r w:rsidRPr="009E66C7">
        <w:rPr>
          <w:rFonts w:ascii="Calibri" w:eastAsia="Times New Roman" w:hAnsi="Calibri" w:cs="Times New Roman"/>
          <w:highlight w:val="white"/>
          <w:lang w:eastAsia="en-IN"/>
        </w:rPr>
        <w:t xml:space="preserve">Australia has opened two new posts in Makassar and Surabaya to better engage with Indonesia’s economically dynamic regions. In other </w:t>
      </w:r>
      <w:r w:rsidRPr="009E66C7">
        <w:rPr>
          <w:rFonts w:ascii="Calibri" w:eastAsia="Times New Roman" w:hAnsi="Calibri" w:cs="Times New Roman"/>
          <w:lang w:eastAsia="en-IN"/>
        </w:rPr>
        <w:t xml:space="preserve">instances, Australia has provided </w:t>
      </w:r>
      <w:r w:rsidR="00800236">
        <w:rPr>
          <w:rFonts w:ascii="Calibri" w:eastAsia="Times New Roman" w:hAnsi="Calibri" w:cs="Times New Roman"/>
          <w:lang w:eastAsia="en-IN"/>
        </w:rPr>
        <w:t>US$</w:t>
      </w:r>
      <w:r w:rsidRPr="009E66C7">
        <w:rPr>
          <w:rFonts w:ascii="Calibri" w:eastAsia="Times New Roman" w:hAnsi="Calibri" w:cs="Times New Roman"/>
          <w:lang w:eastAsia="en-IN"/>
        </w:rPr>
        <w:t xml:space="preserve"> 108 million in funding for the 2012—2020 Empowering Indonesian Women for Poverty Reduction program</w:t>
      </w:r>
      <w:r w:rsidRPr="001241AD">
        <w:rPr>
          <w:rFonts w:ascii="Calibri" w:eastAsia="Lato" w:hAnsi="Calibri" w:cs="Lato"/>
          <w:vertAlign w:val="superscript"/>
          <w:lang w:eastAsia="en-IN"/>
        </w:rPr>
        <w:footnoteReference w:id="60"/>
      </w:r>
      <w:r w:rsidRPr="009E66C7">
        <w:rPr>
          <w:rFonts w:ascii="Calibri" w:eastAsia="Times New Roman" w:hAnsi="Calibri" w:cs="Times New Roman"/>
          <w:lang w:eastAsia="en-IN"/>
        </w:rPr>
        <w:t xml:space="preserve"> and, with Patamar Capital, has supported an accelerator for women-led businesses addressing food security challenges. We see a potential for Australia to capitalise on extant development assistance relations and deepen support. With a GDP growth rate of 5.2%, Indonesia is also the fastest growing economy in Southeast Asia. It is expected to become the region’s fourth largest economy by </w:t>
      </w:r>
      <w:proofErr w:type="gramStart"/>
      <w:r w:rsidRPr="009E66C7">
        <w:rPr>
          <w:rFonts w:ascii="Calibri" w:eastAsia="Times New Roman" w:hAnsi="Calibri" w:cs="Times New Roman"/>
          <w:lang w:eastAsia="en-IN"/>
        </w:rPr>
        <w:t>2050, and</w:t>
      </w:r>
      <w:proofErr w:type="gramEnd"/>
      <w:r w:rsidRPr="009E66C7">
        <w:rPr>
          <w:rFonts w:ascii="Calibri" w:eastAsia="Times New Roman" w:hAnsi="Calibri" w:cs="Times New Roman"/>
          <w:lang w:eastAsia="en-IN"/>
        </w:rPr>
        <w:t xml:space="preserve"> is currently the largest in ASEAN. Foreign direct investment flows have been growing steadily and stand at 31.2% of overseas resource flows into Indonesia.</w:t>
      </w:r>
      <w:r w:rsidRPr="001241AD">
        <w:rPr>
          <w:rFonts w:ascii="Calibri" w:eastAsia="Lato" w:hAnsi="Calibri" w:cs="Lato"/>
          <w:vertAlign w:val="superscript"/>
          <w:lang w:eastAsia="en-IN"/>
        </w:rPr>
        <w:footnoteReference w:id="61"/>
      </w:r>
      <w:r w:rsidRPr="009E66C7">
        <w:rPr>
          <w:rFonts w:ascii="Calibri" w:eastAsia="Times New Roman" w:hAnsi="Calibri" w:cs="Times New Roman"/>
          <w:lang w:eastAsia="en-IN"/>
        </w:rPr>
        <w:t xml:space="preserve"> Socially, the country is politically stable and has established itself as a democratic model for other ASEAN fledgling democracies.</w:t>
      </w:r>
    </w:p>
    <w:p w14:paraId="2E674338" w14:textId="2D7C62EF" w:rsidR="00E63804" w:rsidRPr="009E66C7" w:rsidRDefault="00E63804" w:rsidP="00E63804">
      <w:pPr>
        <w:numPr>
          <w:ilvl w:val="0"/>
          <w:numId w:val="36"/>
        </w:numPr>
        <w:tabs>
          <w:tab w:val="left" w:pos="360"/>
          <w:tab w:val="left" w:pos="540"/>
        </w:tabs>
        <w:spacing w:before="120" w:after="120" w:line="240" w:lineRule="auto"/>
        <w:ind w:left="0" w:right="602" w:firstLine="0"/>
        <w:jc w:val="both"/>
        <w:rPr>
          <w:rFonts w:ascii="Calibri" w:eastAsia="Lato" w:hAnsi="Calibri" w:cs="Lato"/>
          <w:lang w:eastAsia="en-IN"/>
        </w:rPr>
      </w:pPr>
      <w:r w:rsidRPr="009E66C7">
        <w:rPr>
          <w:rFonts w:ascii="Calibri" w:eastAsia="Times New Roman" w:hAnsi="Calibri" w:cs="Times New Roman"/>
          <w:b/>
          <w:lang w:eastAsia="en-IN"/>
        </w:rPr>
        <w:t xml:space="preserve">Australia should broaden the suite of financial instruments available for deployment </w:t>
      </w:r>
      <w:proofErr w:type="gramStart"/>
      <w:r w:rsidRPr="009E66C7">
        <w:rPr>
          <w:rFonts w:ascii="Calibri" w:eastAsia="Times New Roman" w:hAnsi="Calibri" w:cs="Times New Roman"/>
          <w:b/>
          <w:lang w:eastAsia="en-IN"/>
        </w:rPr>
        <w:t>in order to</w:t>
      </w:r>
      <w:proofErr w:type="gramEnd"/>
      <w:r w:rsidRPr="009E66C7">
        <w:rPr>
          <w:rFonts w:ascii="Calibri" w:eastAsia="Times New Roman" w:hAnsi="Calibri" w:cs="Times New Roman"/>
          <w:b/>
          <w:lang w:eastAsia="en-IN"/>
        </w:rPr>
        <w:t xml:space="preserve"> engage more deeply in Indonesia given the potential for (a) increased development impact and (b) an improved relationship as a trusted partner. </w:t>
      </w:r>
      <w:r w:rsidRPr="009E66C7">
        <w:rPr>
          <w:rFonts w:ascii="Calibri" w:eastAsia="Times New Roman" w:hAnsi="Calibri" w:cs="Times New Roman"/>
          <w:lang w:eastAsia="en-IN"/>
        </w:rPr>
        <w:t>For instance, growth in Indonesia could be more inclusive than it currently is. Ensuring that economic growth translates into equitable outcomes is a stated objective of the government. As of July 2017, the number of Indonesians living below the poverty line entered single digits (9.82%) for the first time since the monetary crisis of 1999;</w:t>
      </w:r>
      <w:r w:rsidRPr="001241AD">
        <w:rPr>
          <w:rFonts w:ascii="Calibri" w:eastAsia="Lato" w:hAnsi="Calibri" w:cs="Lato"/>
          <w:vertAlign w:val="superscript"/>
          <w:lang w:eastAsia="en-IN"/>
        </w:rPr>
        <w:footnoteReference w:id="62"/>
      </w:r>
      <w:r w:rsidRPr="009E66C7">
        <w:rPr>
          <w:rFonts w:ascii="Calibri" w:eastAsia="Times New Roman" w:hAnsi="Calibri" w:cs="Times New Roman"/>
          <w:lang w:eastAsia="en-IN"/>
        </w:rPr>
        <w:t xml:space="preserve"> however, 40% of Indonesians are still vulnerable to poverty.</w:t>
      </w:r>
      <w:r w:rsidRPr="001241AD">
        <w:rPr>
          <w:rFonts w:ascii="Calibri" w:eastAsia="Lato" w:hAnsi="Calibri" w:cs="Lato"/>
          <w:vertAlign w:val="superscript"/>
          <w:lang w:eastAsia="en-IN"/>
        </w:rPr>
        <w:footnoteReference w:id="63"/>
      </w:r>
      <w:r w:rsidRPr="009E66C7">
        <w:rPr>
          <w:rFonts w:ascii="Calibri" w:eastAsia="Times New Roman" w:hAnsi="Calibri" w:cs="Times New Roman"/>
          <w:lang w:eastAsia="en-IN"/>
        </w:rPr>
        <w:t xml:space="preserve"> Employment and investment have been concentrated in urbanised hubs—Java and Sumatra account for 80% of the nation’s total economic activity. Meanwhile, eastern Indonesia (notably Sulawesi and Papua) has higher rates of poverty due to its relative remoteness and lack of connectivity with growth centres, indicating that for development activity to be meaningful, it must take place at the district and provincial levels.</w:t>
      </w:r>
      <w:r w:rsidRPr="001241AD">
        <w:rPr>
          <w:rFonts w:ascii="Calibri" w:eastAsia="Lato" w:hAnsi="Calibri" w:cs="Lato"/>
          <w:vertAlign w:val="superscript"/>
          <w:lang w:eastAsia="en-IN"/>
        </w:rPr>
        <w:footnoteReference w:id="64"/>
      </w:r>
      <w:r w:rsidRPr="009E66C7">
        <w:rPr>
          <w:rFonts w:ascii="Calibri" w:eastAsia="Times New Roman" w:hAnsi="Calibri" w:cs="Times New Roman"/>
          <w:lang w:eastAsia="en-IN"/>
        </w:rPr>
        <w:t xml:space="preserve"> The scale of these challenges is mammoth—significant impact is beyond the scope of Australia’s limited, grant-based financial envelope. NGF, accompanied by a strong push for regulatory change (including policy reforms such as improving transparency in the management of SOEs and easing the path for private sector entry), can mobilise much higher sums of capital and improve the lives of many more Indonesians. </w:t>
      </w:r>
    </w:p>
    <w:p w14:paraId="4A8A8D17" w14:textId="362AEDCC" w:rsidR="00E63804" w:rsidRPr="009E66C7" w:rsidRDefault="00E63804" w:rsidP="00E63804">
      <w:pPr>
        <w:numPr>
          <w:ilvl w:val="0"/>
          <w:numId w:val="36"/>
        </w:numPr>
        <w:tabs>
          <w:tab w:val="left" w:pos="360"/>
          <w:tab w:val="left" w:pos="540"/>
        </w:tabs>
        <w:spacing w:before="120" w:after="120" w:line="240" w:lineRule="auto"/>
        <w:ind w:left="0" w:right="602" w:firstLine="0"/>
        <w:jc w:val="both"/>
        <w:rPr>
          <w:rFonts w:ascii="Calibri" w:eastAsia="Lato" w:hAnsi="Calibri" w:cs="Lato"/>
          <w:lang w:eastAsia="en-IN"/>
        </w:rPr>
      </w:pPr>
      <w:r w:rsidRPr="009E66C7">
        <w:rPr>
          <w:rFonts w:ascii="Calibri" w:eastAsia="Times New Roman" w:hAnsi="Calibri" w:cs="Times New Roman"/>
          <w:b/>
          <w:lang w:eastAsia="en-IN"/>
        </w:rPr>
        <w:t xml:space="preserve">The investment and economic climate in Indonesia </w:t>
      </w:r>
      <w:proofErr w:type="gramStart"/>
      <w:r w:rsidRPr="009E66C7">
        <w:rPr>
          <w:rFonts w:ascii="Calibri" w:eastAsia="Times New Roman" w:hAnsi="Calibri" w:cs="Times New Roman"/>
          <w:b/>
          <w:lang w:eastAsia="en-IN"/>
        </w:rPr>
        <w:t>is</w:t>
      </w:r>
      <w:proofErr w:type="gramEnd"/>
      <w:r w:rsidRPr="009E66C7">
        <w:rPr>
          <w:rFonts w:ascii="Calibri" w:eastAsia="Times New Roman" w:hAnsi="Calibri" w:cs="Times New Roman"/>
          <w:b/>
          <w:lang w:eastAsia="en-IN"/>
        </w:rPr>
        <w:t xml:space="preserve"> ripe for the deployment of NGF. </w:t>
      </w:r>
      <w:r w:rsidRPr="009E66C7">
        <w:rPr>
          <w:rFonts w:ascii="Calibri" w:eastAsia="Times New Roman" w:hAnsi="Calibri" w:cs="Times New Roman"/>
          <w:lang w:eastAsia="en-IN"/>
        </w:rPr>
        <w:t xml:space="preserve">Much of Indonesia’s growth has been propelled by the services sector, which accounts for 46% of the nation’s GDP. Transport and communication have also been growing at a fast pace, indicating a sizeable market: as of 2017, mobile penetration in Indonesia stood at 74% (195 </w:t>
      </w:r>
      <w:r w:rsidRPr="009E66C7">
        <w:rPr>
          <w:rFonts w:ascii="Calibri" w:eastAsia="Times New Roman" w:hAnsi="Calibri" w:cs="Times New Roman"/>
          <w:lang w:eastAsia="en-IN"/>
        </w:rPr>
        <w:lastRenderedPageBreak/>
        <w:t>million users).</w:t>
      </w:r>
      <w:r w:rsidRPr="001241AD">
        <w:rPr>
          <w:rFonts w:ascii="Calibri" w:eastAsia="Lato" w:hAnsi="Calibri" w:cs="Lato"/>
          <w:vertAlign w:val="superscript"/>
          <w:lang w:eastAsia="en-IN"/>
        </w:rPr>
        <w:footnoteReference w:id="65"/>
      </w:r>
      <w:r w:rsidRPr="009E66C7">
        <w:rPr>
          <w:rFonts w:ascii="Calibri" w:eastAsia="Times New Roman" w:hAnsi="Calibri" w:cs="Times New Roman"/>
          <w:b/>
          <w:lang w:eastAsia="en-IN"/>
        </w:rPr>
        <w:t xml:space="preserve"> </w:t>
      </w:r>
      <w:r w:rsidRPr="009E66C7">
        <w:rPr>
          <w:rFonts w:ascii="Calibri" w:eastAsia="Times New Roman" w:hAnsi="Calibri" w:cs="Times New Roman"/>
          <w:lang w:eastAsia="en-IN"/>
        </w:rPr>
        <w:t xml:space="preserve">The government will be seeking an estimated </w:t>
      </w:r>
      <w:r w:rsidR="00800236">
        <w:rPr>
          <w:rFonts w:ascii="Calibri" w:eastAsia="Times New Roman" w:hAnsi="Calibri" w:cs="Times New Roman"/>
          <w:lang w:eastAsia="en-IN"/>
        </w:rPr>
        <w:t>US$</w:t>
      </w:r>
      <w:r w:rsidRPr="009E66C7">
        <w:rPr>
          <w:rFonts w:ascii="Calibri" w:eastAsia="Times New Roman" w:hAnsi="Calibri" w:cs="Times New Roman"/>
          <w:lang w:eastAsia="en-IN"/>
        </w:rPr>
        <w:t xml:space="preserve"> 83.5 billion from the private and developmental sector for the ambitious </w:t>
      </w:r>
      <w:r w:rsidR="007E4B18" w:rsidRPr="00527451">
        <w:rPr>
          <w:rFonts w:ascii="Calibri" w:eastAsia="Times New Roman" w:hAnsi="Calibri" w:cs="Calibri"/>
          <w:color w:val="000000"/>
          <w:lang w:val="en-IN" w:eastAsia="en-IN"/>
        </w:rPr>
        <w:t>National Medium-Term Development Plan</w:t>
      </w:r>
      <w:r w:rsidRPr="009E66C7">
        <w:rPr>
          <w:rFonts w:ascii="Calibri" w:eastAsia="Times New Roman" w:hAnsi="Calibri" w:cs="Times New Roman"/>
          <w:lang w:eastAsia="en-IN"/>
        </w:rPr>
        <w:t xml:space="preserve"> 2015—2019.</w:t>
      </w:r>
      <w:r w:rsidRPr="001241AD">
        <w:rPr>
          <w:rFonts w:ascii="Calibri" w:eastAsia="Lato" w:hAnsi="Calibri" w:cs="Lato"/>
          <w:vertAlign w:val="superscript"/>
          <w:lang w:eastAsia="en-IN"/>
        </w:rPr>
        <w:footnoteReference w:id="66"/>
      </w:r>
      <w:r w:rsidRPr="009E66C7">
        <w:rPr>
          <w:rFonts w:ascii="Calibri" w:eastAsia="Times New Roman" w:hAnsi="Calibri" w:cs="Times New Roman"/>
          <w:lang w:eastAsia="en-IN"/>
        </w:rPr>
        <w:t xml:space="preserve"> The impact investing ecosystem is the most mature in the region, with private impact investors deploying </w:t>
      </w:r>
      <w:r w:rsidR="00800236">
        <w:rPr>
          <w:rFonts w:ascii="Calibri" w:eastAsia="Times New Roman" w:hAnsi="Calibri" w:cs="Times New Roman"/>
          <w:lang w:eastAsia="en-IN"/>
        </w:rPr>
        <w:t>US$</w:t>
      </w:r>
      <w:r w:rsidRPr="009E66C7">
        <w:rPr>
          <w:rFonts w:ascii="Calibri" w:eastAsia="Times New Roman" w:hAnsi="Calibri" w:cs="Times New Roman"/>
          <w:lang w:eastAsia="en-IN"/>
        </w:rPr>
        <w:t xml:space="preserve"> 148.8 million across 58 deals over the past decade, and DFIs deploying </w:t>
      </w:r>
      <w:r w:rsidR="00800236">
        <w:rPr>
          <w:rFonts w:ascii="Calibri" w:eastAsia="Times New Roman" w:hAnsi="Calibri" w:cs="Times New Roman"/>
          <w:lang w:eastAsia="en-IN"/>
        </w:rPr>
        <w:t>US$</w:t>
      </w:r>
      <w:r w:rsidRPr="009E66C7">
        <w:rPr>
          <w:rFonts w:ascii="Calibri" w:eastAsia="Times New Roman" w:hAnsi="Calibri" w:cs="Times New Roman"/>
          <w:lang w:eastAsia="en-IN"/>
        </w:rPr>
        <w:t xml:space="preserve"> 3.6 billion through 67 deals over the same period.</w:t>
      </w:r>
      <w:r w:rsidRPr="001241AD">
        <w:rPr>
          <w:rFonts w:ascii="Calibri" w:eastAsia="Lato" w:hAnsi="Calibri" w:cs="Lato"/>
          <w:vertAlign w:val="superscript"/>
          <w:lang w:eastAsia="en-IN"/>
        </w:rPr>
        <w:footnoteReference w:id="67"/>
      </w:r>
      <w:r w:rsidRPr="009E66C7">
        <w:rPr>
          <w:rFonts w:ascii="Calibri" w:eastAsia="Times New Roman" w:hAnsi="Calibri" w:cs="Times New Roman"/>
          <w:lang w:eastAsia="en-IN"/>
        </w:rPr>
        <w:t xml:space="preserve"> The private equity market is similarly booming—Indonesia has seen several “unicorns” over the past few years. </w:t>
      </w:r>
      <w:proofErr w:type="spellStart"/>
      <w:r w:rsidRPr="009E66C7">
        <w:rPr>
          <w:rFonts w:ascii="Calibri" w:eastAsia="Times New Roman" w:hAnsi="Calibri" w:cs="Times New Roman"/>
          <w:lang w:eastAsia="en-IN"/>
        </w:rPr>
        <w:t>GoJek</w:t>
      </w:r>
      <w:proofErr w:type="spellEnd"/>
      <w:r w:rsidRPr="009E66C7">
        <w:rPr>
          <w:rFonts w:ascii="Calibri" w:eastAsia="Times New Roman" w:hAnsi="Calibri" w:cs="Times New Roman"/>
          <w:lang w:eastAsia="en-IN"/>
        </w:rPr>
        <w:t xml:space="preserve">, a ridesharing app, raised </w:t>
      </w:r>
      <w:r w:rsidR="00800236">
        <w:rPr>
          <w:rFonts w:ascii="Calibri" w:eastAsia="Times New Roman" w:hAnsi="Calibri" w:cs="Times New Roman"/>
          <w:lang w:eastAsia="en-IN"/>
        </w:rPr>
        <w:t>US$</w:t>
      </w:r>
      <w:r w:rsidRPr="009E66C7">
        <w:rPr>
          <w:rFonts w:ascii="Calibri" w:eastAsia="Times New Roman" w:hAnsi="Calibri" w:cs="Times New Roman"/>
          <w:lang w:eastAsia="en-IN"/>
        </w:rPr>
        <w:t xml:space="preserve"> 1.2 billion while Tokopedia, a sales platform for small and medium-sized retailers, raised </w:t>
      </w:r>
      <w:r w:rsidR="00800236">
        <w:rPr>
          <w:rFonts w:ascii="Calibri" w:eastAsia="Times New Roman" w:hAnsi="Calibri" w:cs="Times New Roman"/>
          <w:lang w:eastAsia="en-IN"/>
        </w:rPr>
        <w:t>US$</w:t>
      </w:r>
      <w:r w:rsidRPr="009E66C7">
        <w:rPr>
          <w:rFonts w:ascii="Calibri" w:eastAsia="Times New Roman" w:hAnsi="Calibri" w:cs="Times New Roman"/>
          <w:lang w:eastAsia="en-IN"/>
        </w:rPr>
        <w:t xml:space="preserve"> 1.1 billion.</w:t>
      </w:r>
      <w:r w:rsidRPr="001241AD">
        <w:rPr>
          <w:rFonts w:ascii="Calibri" w:eastAsia="Lato" w:hAnsi="Calibri" w:cs="Lato"/>
          <w:vertAlign w:val="superscript"/>
          <w:lang w:eastAsia="en-IN"/>
        </w:rPr>
        <w:footnoteReference w:id="68"/>
      </w:r>
      <w:r w:rsidRPr="009E66C7">
        <w:rPr>
          <w:rFonts w:ascii="Calibri" w:eastAsia="Times New Roman" w:hAnsi="Calibri" w:cs="Times New Roman"/>
          <w:lang w:eastAsia="en-IN"/>
        </w:rPr>
        <w:t xml:space="preserve"> Companies such as Tencent, Softbank, Sequoia and </w:t>
      </w:r>
      <w:proofErr w:type="spellStart"/>
      <w:r w:rsidRPr="009E66C7">
        <w:rPr>
          <w:rFonts w:ascii="Calibri" w:eastAsia="Times New Roman" w:hAnsi="Calibri" w:cs="Times New Roman"/>
          <w:lang w:eastAsia="en-IN"/>
        </w:rPr>
        <w:t>Northstar</w:t>
      </w:r>
      <w:proofErr w:type="spellEnd"/>
      <w:r w:rsidRPr="009E66C7">
        <w:rPr>
          <w:rFonts w:ascii="Calibri" w:eastAsia="Times New Roman" w:hAnsi="Calibri" w:cs="Times New Roman"/>
          <w:lang w:eastAsia="en-IN"/>
        </w:rPr>
        <w:t xml:space="preserve"> are active investors in the start-up ecosystem; the climate is widely perceived as favourable, with 80% of foreign investors expressing </w:t>
      </w:r>
      <w:r w:rsidRPr="009E66C7">
        <w:rPr>
          <w:rFonts w:ascii="Calibri" w:eastAsia="Lato" w:hAnsi="Calibri" w:cs="Lato"/>
          <w:lang w:eastAsia="en-IN"/>
        </w:rPr>
        <w:t>the intention of increasing their investment size by 10% or more.</w:t>
      </w:r>
      <w:r w:rsidRPr="001241AD">
        <w:rPr>
          <w:rFonts w:ascii="Calibri" w:eastAsia="Lato" w:hAnsi="Calibri" w:cs="Lato"/>
          <w:vertAlign w:val="superscript"/>
          <w:lang w:eastAsia="en-IN"/>
        </w:rPr>
        <w:footnoteReference w:id="69"/>
      </w:r>
      <w:r w:rsidRPr="009E66C7">
        <w:rPr>
          <w:rFonts w:ascii="Calibri" w:eastAsia="Times New Roman" w:hAnsi="Calibri" w:cs="Times New Roman"/>
          <w:lang w:eastAsia="en-IN"/>
        </w:rPr>
        <w:t xml:space="preserve"> These indicators point to a market landscape that is ripe for new investment.</w:t>
      </w:r>
    </w:p>
    <w:p w14:paraId="40538BB7" w14:textId="17EC36DF" w:rsidR="00E63804" w:rsidRPr="009E66C7" w:rsidRDefault="00E63804" w:rsidP="00E63804">
      <w:pPr>
        <w:numPr>
          <w:ilvl w:val="0"/>
          <w:numId w:val="36"/>
        </w:numPr>
        <w:tabs>
          <w:tab w:val="left" w:pos="360"/>
          <w:tab w:val="left" w:pos="540"/>
        </w:tabs>
        <w:spacing w:before="120" w:after="120" w:line="240" w:lineRule="auto"/>
        <w:ind w:left="0" w:right="602" w:firstLine="0"/>
        <w:jc w:val="both"/>
        <w:rPr>
          <w:rFonts w:ascii="Calibri" w:eastAsia="Lato" w:hAnsi="Calibri" w:cs="Lato"/>
          <w:lang w:eastAsia="en-IN"/>
        </w:rPr>
      </w:pPr>
      <w:r w:rsidRPr="009E66C7">
        <w:rPr>
          <w:rFonts w:ascii="Calibri" w:eastAsia="Times New Roman" w:hAnsi="Calibri" w:cs="Times New Roman"/>
          <w:b/>
          <w:lang w:eastAsia="en-IN"/>
        </w:rPr>
        <w:t xml:space="preserve">Participating in Indonesia's growth as an investor will provide Australia with greater </w:t>
      </w:r>
      <w:r w:rsidR="00541669">
        <w:rPr>
          <w:rFonts w:ascii="Calibri" w:eastAsia="Times New Roman" w:hAnsi="Calibri" w:cs="Times New Roman"/>
          <w:b/>
          <w:lang w:eastAsia="en-IN"/>
        </w:rPr>
        <w:t>influence in</w:t>
      </w:r>
      <w:r w:rsidRPr="009E66C7">
        <w:rPr>
          <w:rFonts w:ascii="Calibri" w:eastAsia="Times New Roman" w:hAnsi="Calibri" w:cs="Times New Roman"/>
          <w:b/>
          <w:lang w:eastAsia="en-IN"/>
        </w:rPr>
        <w:t xml:space="preserve"> a range of specific projects that serve the two countries’ common goals. </w:t>
      </w:r>
      <w:r w:rsidRPr="009E66C7">
        <w:rPr>
          <w:rFonts w:ascii="Calibri" w:eastAsia="Times New Roman" w:hAnsi="Calibri" w:cs="Times New Roman"/>
          <w:lang w:eastAsia="en-IN"/>
        </w:rPr>
        <w:t xml:space="preserve">Over the next few years, as the current </w:t>
      </w:r>
      <w:r w:rsidR="007E4B18" w:rsidRPr="00527451">
        <w:rPr>
          <w:rFonts w:ascii="Calibri" w:eastAsia="Times New Roman" w:hAnsi="Calibri" w:cs="Calibri"/>
          <w:color w:val="000000"/>
          <w:lang w:val="en-IN" w:eastAsia="en-IN"/>
        </w:rPr>
        <w:t>National Medium-Term Development Plan</w:t>
      </w:r>
      <w:r w:rsidRPr="009E66C7">
        <w:rPr>
          <w:rFonts w:ascii="Calibri" w:eastAsia="Times New Roman" w:hAnsi="Calibri" w:cs="Times New Roman"/>
          <w:lang w:eastAsia="en-IN"/>
        </w:rPr>
        <w:t xml:space="preserve"> draws to a close, the </w:t>
      </w:r>
      <w:proofErr w:type="spellStart"/>
      <w:r w:rsidRPr="009E66C7">
        <w:rPr>
          <w:rFonts w:ascii="Calibri" w:eastAsia="Times New Roman" w:hAnsi="Calibri" w:cs="Times New Roman"/>
          <w:lang w:eastAsia="en-IN"/>
        </w:rPr>
        <w:t>GoI</w:t>
      </w:r>
      <w:proofErr w:type="spellEnd"/>
      <w:r w:rsidRPr="009E66C7">
        <w:rPr>
          <w:rFonts w:ascii="Calibri" w:eastAsia="Times New Roman" w:hAnsi="Calibri" w:cs="Times New Roman"/>
          <w:lang w:eastAsia="en-IN"/>
        </w:rPr>
        <w:t xml:space="preserve"> will be seeking external funding for its various infrastructure projects. In practice, funding these projects on a consistent basis will require NGF; if Australia continues to use a “business as usual” approach, it is likely that Australia’s influence within and its importance to Indonesia will decline relative to newer players emerging with the potential to dominate the financing landscape. But, by participating selectively in infrastructure financing, Australia will have the opportunity to partake in critical economic projects and guide the direction of development in the country. In addition, by continuing to focus on social sectors such as healthcare and education, Australia can continue to support equitable Indonesian public policy. Moreover, as the Indonesian market matures, opportunities are </w:t>
      </w:r>
      <w:proofErr w:type="gramStart"/>
      <w:r w:rsidRPr="009E66C7">
        <w:rPr>
          <w:rFonts w:ascii="Calibri" w:eastAsia="Times New Roman" w:hAnsi="Calibri" w:cs="Times New Roman"/>
          <w:lang w:eastAsia="en-IN"/>
        </w:rPr>
        <w:t>opening up</w:t>
      </w:r>
      <w:proofErr w:type="gramEnd"/>
      <w:r w:rsidRPr="009E66C7">
        <w:rPr>
          <w:rFonts w:ascii="Calibri" w:eastAsia="Times New Roman" w:hAnsi="Calibri" w:cs="Times New Roman"/>
          <w:lang w:eastAsia="en-IN"/>
        </w:rPr>
        <w:t xml:space="preserve"> in sectors traditionally reserved for grants, such as healthcare, education and technology-enabled services. </w:t>
      </w:r>
    </w:p>
    <w:p w14:paraId="6023B595" w14:textId="5C01BB40" w:rsidR="00E63804" w:rsidRPr="009E66C7" w:rsidRDefault="00E63804" w:rsidP="00E63804">
      <w:pPr>
        <w:numPr>
          <w:ilvl w:val="0"/>
          <w:numId w:val="36"/>
        </w:numPr>
        <w:tabs>
          <w:tab w:val="left" w:pos="360"/>
          <w:tab w:val="left" w:pos="540"/>
        </w:tabs>
        <w:spacing w:before="120" w:after="120" w:line="240" w:lineRule="auto"/>
        <w:ind w:left="0" w:right="602" w:firstLine="0"/>
        <w:jc w:val="both"/>
        <w:rPr>
          <w:rFonts w:ascii="Calibri" w:eastAsia="Times New Roman" w:hAnsi="Calibri" w:cs="Times New Roman"/>
          <w:lang w:eastAsia="en-IN"/>
        </w:rPr>
      </w:pPr>
      <w:r w:rsidRPr="001241AD">
        <w:rPr>
          <w:rFonts w:ascii="Calibri" w:eastAsia="Times New Roman" w:hAnsi="Calibri" w:cs="Times New Roman"/>
          <w:b/>
          <w:color w:val="000000"/>
          <w:lang w:eastAsia="en-IN"/>
        </w:rPr>
        <w:t>However, deepening strategic ties with Indonesia will require considerable effort and attention on Australia’s part.</w:t>
      </w:r>
      <w:r w:rsidRPr="001241AD">
        <w:rPr>
          <w:rFonts w:ascii="Calibri" w:eastAsia="Times New Roman" w:hAnsi="Calibri" w:cs="Times New Roman"/>
          <w:lang w:eastAsia="en-IN"/>
        </w:rPr>
        <w:t xml:space="preserve"> Any strategy going forward will require buy-in from stakeholders across the political spectrum and at multiple levels of the Indonesian government. Australia must also consider </w:t>
      </w:r>
      <w:r w:rsidR="00541669">
        <w:rPr>
          <w:rFonts w:ascii="Calibri" w:eastAsia="Times New Roman" w:hAnsi="Calibri" w:cs="Times New Roman"/>
          <w:lang w:eastAsia="en-IN"/>
        </w:rPr>
        <w:t>other players</w:t>
      </w:r>
      <w:r w:rsidRPr="001241AD">
        <w:rPr>
          <w:rFonts w:ascii="Calibri" w:eastAsia="Times New Roman" w:hAnsi="Calibri" w:cs="Times New Roman"/>
          <w:lang w:eastAsia="en-IN"/>
        </w:rPr>
        <w:t>; c</w:t>
      </w:r>
      <w:r w:rsidRPr="001241AD">
        <w:rPr>
          <w:rFonts w:ascii="Calibri" w:eastAsia="Times New Roman" w:hAnsi="Calibri" w:cs="Times New Roman"/>
          <w:color w:val="000000"/>
          <w:lang w:eastAsia="en-IN"/>
        </w:rPr>
        <w:t xml:space="preserve">onsultations suggest </w:t>
      </w:r>
      <w:r w:rsidRPr="001241AD">
        <w:rPr>
          <w:rFonts w:ascii="Calibri" w:eastAsia="Times New Roman" w:hAnsi="Calibri" w:cs="Times New Roman"/>
          <w:lang w:eastAsia="en-IN"/>
        </w:rPr>
        <w:t xml:space="preserve">that </w:t>
      </w:r>
      <w:r w:rsidRPr="001241AD">
        <w:rPr>
          <w:rFonts w:ascii="Calibri" w:eastAsia="Times New Roman" w:hAnsi="Calibri" w:cs="Times New Roman"/>
          <w:color w:val="000000"/>
          <w:lang w:eastAsia="en-IN"/>
        </w:rPr>
        <w:t xml:space="preserve">the Asian Infrastructure Investment Bank and the United States are likely to ramp up activity and the United Kingdom is starting to enter the market more meaningfully. In an increasingly crowded field, Australia will need to emphasise what distinguishes it as a partner and what benefits it can uniquely provide. </w:t>
      </w:r>
    </w:p>
    <w:p w14:paraId="54FA079E" w14:textId="77777777" w:rsidR="00E63804" w:rsidRPr="001241AD" w:rsidRDefault="00E63804" w:rsidP="00E63804">
      <w:pPr>
        <w:tabs>
          <w:tab w:val="left" w:pos="360"/>
          <w:tab w:val="left" w:pos="540"/>
        </w:tabs>
        <w:spacing w:before="120" w:after="120" w:line="240" w:lineRule="auto"/>
        <w:ind w:right="602"/>
        <w:jc w:val="both"/>
        <w:rPr>
          <w:rFonts w:ascii="Calibri" w:eastAsia="Times New Roman" w:hAnsi="Calibri" w:cs="Times New Roman"/>
          <w:lang w:eastAsia="en-IN"/>
        </w:rPr>
      </w:pPr>
    </w:p>
    <w:p w14:paraId="17032738" w14:textId="77777777" w:rsidR="00E63804" w:rsidRPr="00E93CCB" w:rsidRDefault="00E63804" w:rsidP="00E63804">
      <w:pPr>
        <w:widowControl w:val="0"/>
        <w:numPr>
          <w:ilvl w:val="0"/>
          <w:numId w:val="34"/>
        </w:numPr>
        <w:tabs>
          <w:tab w:val="left" w:pos="360"/>
          <w:tab w:val="left" w:pos="540"/>
        </w:tabs>
        <w:spacing w:before="120" w:after="120" w:line="240" w:lineRule="auto"/>
        <w:ind w:left="576" w:right="602" w:hanging="576"/>
        <w:jc w:val="both"/>
        <w:outlineLvl w:val="0"/>
        <w:rPr>
          <w:rFonts w:ascii="Calibri" w:eastAsia="Times New Roman" w:hAnsi="Calibri" w:cs="Times New Roman"/>
          <w:b/>
          <w:smallCaps/>
          <w:color w:val="4F81BD"/>
          <w:sz w:val="32"/>
          <w:szCs w:val="32"/>
          <w:lang w:eastAsia="en-IN"/>
        </w:rPr>
      </w:pPr>
      <w:r w:rsidRPr="001241AD">
        <w:rPr>
          <w:rFonts w:ascii="Calibri" w:eastAsia="Times New Roman" w:hAnsi="Calibri" w:cs="Times New Roman"/>
          <w:b/>
          <w:smallCaps/>
          <w:color w:val="4F81BD"/>
          <w:sz w:val="32"/>
          <w:szCs w:val="32"/>
          <w:lang w:eastAsia="en-IN"/>
        </w:rPr>
        <w:t>Demand Analysis</w:t>
      </w:r>
    </w:p>
    <w:p w14:paraId="6F045B9E" w14:textId="77777777" w:rsidR="00E63804" w:rsidRPr="001241AD" w:rsidRDefault="00E63804" w:rsidP="00E63804">
      <w:pPr>
        <w:keepNext/>
        <w:keepLines/>
        <w:tabs>
          <w:tab w:val="left" w:pos="360"/>
          <w:tab w:val="left" w:pos="540"/>
        </w:tabs>
        <w:spacing w:before="120" w:after="120" w:line="240" w:lineRule="auto"/>
        <w:ind w:right="602"/>
        <w:jc w:val="both"/>
        <w:outlineLvl w:val="1"/>
        <w:rPr>
          <w:rFonts w:ascii="Calibri" w:eastAsia="Times New Roman" w:hAnsi="Calibri" w:cs="Times New Roman"/>
          <w:color w:val="C0504D"/>
          <w:sz w:val="28"/>
          <w:szCs w:val="28"/>
          <w:lang w:eastAsia="en-IN"/>
        </w:rPr>
      </w:pPr>
      <w:r w:rsidRPr="001241AD">
        <w:rPr>
          <w:rFonts w:ascii="Calibri" w:eastAsia="Times New Roman" w:hAnsi="Calibri" w:cs="Times New Roman"/>
          <w:color w:val="C0504D"/>
          <w:sz w:val="28"/>
          <w:szCs w:val="28"/>
          <w:lang w:eastAsia="en-IN"/>
        </w:rPr>
        <w:t>Detailed Findings</w:t>
      </w:r>
    </w:p>
    <w:p w14:paraId="153BB928" w14:textId="5869E528" w:rsidR="00E63804" w:rsidRPr="00E93CCB" w:rsidRDefault="00E63804" w:rsidP="00E63804">
      <w:pPr>
        <w:numPr>
          <w:ilvl w:val="0"/>
          <w:numId w:val="36"/>
        </w:numPr>
        <w:tabs>
          <w:tab w:val="left" w:pos="360"/>
          <w:tab w:val="left" w:pos="540"/>
        </w:tabs>
        <w:spacing w:before="120" w:after="120" w:line="240" w:lineRule="auto"/>
        <w:ind w:left="0" w:right="602" w:firstLine="0"/>
        <w:jc w:val="both"/>
        <w:rPr>
          <w:rFonts w:ascii="Calibri" w:eastAsia="Times New Roman" w:hAnsi="Calibri" w:cs="Times New Roman"/>
          <w:lang w:eastAsia="en-IN"/>
        </w:rPr>
      </w:pPr>
      <w:r w:rsidRPr="00E93CCB">
        <w:rPr>
          <w:rFonts w:ascii="Calibri" w:eastAsia="Times New Roman" w:hAnsi="Calibri" w:cs="Times New Roman"/>
          <w:b/>
          <w:lang w:eastAsia="en-IN"/>
        </w:rPr>
        <w:t xml:space="preserve">The size of Indonesia’s economy and its growth trajectory all point to immense demand for investment, reiterating the importance of applying Australian capital efficiently to financing infrastructure and, where feasible, obtaining returns and leveraging other finance. </w:t>
      </w:r>
      <w:r w:rsidRPr="00E93CCB">
        <w:rPr>
          <w:rFonts w:ascii="Calibri" w:eastAsia="Times New Roman" w:hAnsi="Calibri" w:cs="Times New Roman"/>
          <w:lang w:eastAsia="en-IN"/>
        </w:rPr>
        <w:t xml:space="preserve">To fuel this growth, Indonesia will need to make significant investment in both economic and social infrastructure. Global Infrastructure Hub, a G20-affiliated database, estimates that </w:t>
      </w:r>
      <w:r w:rsidRPr="00E93CCB">
        <w:rPr>
          <w:rFonts w:ascii="Calibri" w:eastAsia="Times New Roman" w:hAnsi="Calibri" w:cs="Times New Roman"/>
          <w:lang w:eastAsia="en-IN"/>
        </w:rPr>
        <w:lastRenderedPageBreak/>
        <w:t xml:space="preserve">Indonesia will need </w:t>
      </w:r>
      <w:r w:rsidR="00800236">
        <w:rPr>
          <w:rFonts w:ascii="Calibri" w:eastAsia="Times New Roman" w:hAnsi="Calibri" w:cs="Times New Roman"/>
          <w:lang w:eastAsia="en-IN"/>
        </w:rPr>
        <w:t>US$</w:t>
      </w:r>
      <w:r w:rsidRPr="00E93CCB">
        <w:rPr>
          <w:rFonts w:ascii="Calibri" w:eastAsia="Times New Roman" w:hAnsi="Calibri" w:cs="Times New Roman"/>
          <w:lang w:eastAsia="en-IN"/>
        </w:rPr>
        <w:t xml:space="preserve"> 1.7 trillion in investment between now and 2040, and will face an overall shortfall of </w:t>
      </w:r>
      <w:r w:rsidR="00800236">
        <w:rPr>
          <w:rFonts w:ascii="Calibri" w:eastAsia="Times New Roman" w:hAnsi="Calibri" w:cs="Times New Roman"/>
          <w:lang w:eastAsia="en-IN"/>
        </w:rPr>
        <w:t>US$</w:t>
      </w:r>
      <w:r w:rsidRPr="00E93CCB">
        <w:rPr>
          <w:rFonts w:ascii="Calibri" w:eastAsia="Times New Roman" w:hAnsi="Calibri" w:cs="Times New Roman"/>
          <w:lang w:eastAsia="en-IN"/>
        </w:rPr>
        <w:t xml:space="preserve"> 70 billion.</w:t>
      </w:r>
      <w:r w:rsidRPr="001241AD">
        <w:rPr>
          <w:rFonts w:ascii="Calibri" w:eastAsia="Times New Roman" w:hAnsi="Calibri" w:cs="Times New Roman"/>
          <w:vertAlign w:val="superscript"/>
          <w:lang w:eastAsia="en-IN"/>
        </w:rPr>
        <w:footnoteReference w:id="70"/>
      </w:r>
      <w:r w:rsidRPr="00E93CCB">
        <w:rPr>
          <w:rFonts w:ascii="Calibri" w:eastAsia="Times New Roman" w:hAnsi="Calibri" w:cs="Times New Roman"/>
          <w:lang w:eastAsia="en-IN"/>
        </w:rPr>
        <w:t xml:space="preserve"> While estimates from various sources (e.g., PricewaterhouseCoopers, World Bank) differ and are largely incomparable, there is consensus that social sectors like water will face higher funding gaps than economic sectors.</w:t>
      </w:r>
      <w:r w:rsidRPr="001241AD">
        <w:rPr>
          <w:rFonts w:ascii="Calibri" w:eastAsia="Times New Roman" w:hAnsi="Calibri" w:cs="Times New Roman"/>
          <w:vertAlign w:val="superscript"/>
          <w:lang w:eastAsia="en-IN"/>
        </w:rPr>
        <w:footnoteReference w:id="71"/>
      </w:r>
      <w:r w:rsidRPr="00E93CCB">
        <w:rPr>
          <w:rFonts w:ascii="Calibri" w:eastAsia="Times New Roman" w:hAnsi="Calibri" w:cs="Times New Roman"/>
          <w:lang w:eastAsia="en-IN"/>
        </w:rPr>
        <w:t xml:space="preserve"> </w:t>
      </w:r>
    </w:p>
    <w:p w14:paraId="2F3AF7A4" w14:textId="58A37A07" w:rsidR="00E63804" w:rsidRPr="00E93CCB" w:rsidRDefault="00E63804" w:rsidP="00E63804">
      <w:pPr>
        <w:numPr>
          <w:ilvl w:val="0"/>
          <w:numId w:val="36"/>
        </w:numPr>
        <w:tabs>
          <w:tab w:val="left" w:pos="360"/>
          <w:tab w:val="left" w:pos="540"/>
        </w:tabs>
        <w:spacing w:before="120" w:after="120" w:line="240" w:lineRule="auto"/>
        <w:ind w:left="0" w:right="602" w:firstLine="0"/>
        <w:jc w:val="both"/>
        <w:rPr>
          <w:rFonts w:ascii="Calibri" w:eastAsia="Times New Roman" w:hAnsi="Calibri" w:cs="Times New Roman"/>
          <w:lang w:eastAsia="en-IN"/>
        </w:rPr>
      </w:pPr>
      <w:r w:rsidRPr="00E93CCB">
        <w:rPr>
          <w:rFonts w:ascii="Calibri" w:eastAsia="Times New Roman" w:hAnsi="Calibri" w:cs="Times New Roman"/>
          <w:lang w:eastAsia="en-IN"/>
        </w:rPr>
        <w:t xml:space="preserve">The scale and pace of Indonesia’s growth have invited large flows of capital from other bilateral donors and DFIs. For example, AIIB has disbursed </w:t>
      </w:r>
      <w:r w:rsidR="00800236">
        <w:rPr>
          <w:rFonts w:ascii="Calibri" w:eastAsia="Times New Roman" w:hAnsi="Calibri" w:cs="Times New Roman"/>
          <w:lang w:eastAsia="en-IN"/>
        </w:rPr>
        <w:t>US$</w:t>
      </w:r>
      <w:r w:rsidRPr="00E93CCB">
        <w:rPr>
          <w:rFonts w:ascii="Calibri" w:eastAsia="Times New Roman" w:hAnsi="Calibri" w:cs="Times New Roman"/>
          <w:lang w:eastAsia="en-IN"/>
        </w:rPr>
        <w:t xml:space="preserve"> 6.3 billion in the nation since 2016,</w:t>
      </w:r>
      <w:r w:rsidRPr="001241AD">
        <w:rPr>
          <w:rFonts w:ascii="Calibri" w:eastAsia="Lato" w:hAnsi="Calibri" w:cs="Lato"/>
          <w:vertAlign w:val="superscript"/>
          <w:lang w:eastAsia="en-IN"/>
        </w:rPr>
        <w:footnoteReference w:id="72"/>
      </w:r>
      <w:r w:rsidRPr="00E93CCB">
        <w:rPr>
          <w:rFonts w:ascii="Calibri" w:eastAsia="Times New Roman" w:hAnsi="Calibri" w:cs="Times New Roman"/>
          <w:lang w:eastAsia="en-IN"/>
        </w:rPr>
        <w:t xml:space="preserve"> the World Bank Group is slated to extend </w:t>
      </w:r>
      <w:r w:rsidR="00800236">
        <w:rPr>
          <w:rFonts w:ascii="Calibri" w:eastAsia="Times New Roman" w:hAnsi="Calibri" w:cs="Times New Roman"/>
          <w:lang w:eastAsia="en-IN"/>
        </w:rPr>
        <w:t>US$</w:t>
      </w:r>
      <w:r w:rsidRPr="00E93CCB">
        <w:rPr>
          <w:rFonts w:ascii="Calibri" w:eastAsia="Times New Roman" w:hAnsi="Calibri" w:cs="Times New Roman"/>
          <w:lang w:eastAsia="en-IN"/>
        </w:rPr>
        <w:t xml:space="preserve"> 7.5 billion from 2016 to 2020 and the ADB has committed </w:t>
      </w:r>
      <w:r w:rsidR="00800236">
        <w:rPr>
          <w:rFonts w:ascii="Calibri" w:eastAsia="Times New Roman" w:hAnsi="Calibri" w:cs="Times New Roman"/>
          <w:lang w:eastAsia="en-IN"/>
        </w:rPr>
        <w:t>US$</w:t>
      </w:r>
      <w:r w:rsidRPr="00E93CCB">
        <w:rPr>
          <w:rFonts w:ascii="Calibri" w:eastAsia="Times New Roman" w:hAnsi="Calibri" w:cs="Times New Roman"/>
          <w:lang w:eastAsia="en-IN"/>
        </w:rPr>
        <w:t xml:space="preserve"> 6.95 billion for 2019—2021.</w:t>
      </w:r>
      <w:r w:rsidRPr="001241AD">
        <w:rPr>
          <w:rFonts w:ascii="Calibri" w:eastAsia="Lato" w:hAnsi="Calibri" w:cs="Lato"/>
          <w:vertAlign w:val="superscript"/>
          <w:lang w:eastAsia="en-IN"/>
        </w:rPr>
        <w:footnoteReference w:id="73"/>
      </w:r>
      <w:r w:rsidRPr="00E93CCB">
        <w:rPr>
          <w:rFonts w:ascii="Calibri" w:eastAsia="Times New Roman" w:hAnsi="Calibri" w:cs="Times New Roman"/>
          <w:lang w:eastAsia="en-IN"/>
        </w:rPr>
        <w:t xml:space="preserve"> To maximise its impact in a market crowded with developmental capital—featuring operation budgets significantly larger than Australia's 2018—2019 estimated development assistance budget of </w:t>
      </w:r>
      <w:r w:rsidR="00800236">
        <w:rPr>
          <w:rFonts w:ascii="Calibri" w:eastAsia="Times New Roman" w:hAnsi="Calibri" w:cs="Times New Roman"/>
          <w:lang w:eastAsia="en-IN"/>
        </w:rPr>
        <w:t>US$</w:t>
      </w:r>
      <w:r w:rsidRPr="00E93CCB">
        <w:rPr>
          <w:rFonts w:ascii="Calibri" w:eastAsia="Times New Roman" w:hAnsi="Calibri" w:cs="Times New Roman"/>
          <w:lang w:eastAsia="en-IN"/>
        </w:rPr>
        <w:t xml:space="preserve"> 228 million (a decline from last year’s </w:t>
      </w:r>
      <w:r w:rsidR="00800236">
        <w:rPr>
          <w:rFonts w:ascii="Calibri" w:eastAsia="Times New Roman" w:hAnsi="Calibri" w:cs="Times New Roman"/>
          <w:lang w:eastAsia="en-IN"/>
        </w:rPr>
        <w:t>US$</w:t>
      </w:r>
      <w:r w:rsidRPr="00E93CCB">
        <w:rPr>
          <w:rFonts w:ascii="Calibri" w:eastAsia="Times New Roman" w:hAnsi="Calibri" w:cs="Times New Roman"/>
          <w:lang w:eastAsia="en-IN"/>
        </w:rPr>
        <w:t xml:space="preserve"> 259 million)—Australia needs to approach Indonesia in a focused manner.</w:t>
      </w:r>
      <w:r w:rsidRPr="001241AD">
        <w:rPr>
          <w:rFonts w:ascii="Calibri" w:eastAsia="Lato" w:hAnsi="Calibri" w:cs="Lato"/>
          <w:vertAlign w:val="superscript"/>
          <w:lang w:eastAsia="en-IN"/>
        </w:rPr>
        <w:footnoteReference w:id="74"/>
      </w:r>
    </w:p>
    <w:p w14:paraId="043B2CB1" w14:textId="7BF49AB4" w:rsidR="00E63804" w:rsidRPr="00E93CCB" w:rsidRDefault="00E63804" w:rsidP="00E63804">
      <w:pPr>
        <w:numPr>
          <w:ilvl w:val="0"/>
          <w:numId w:val="36"/>
        </w:numPr>
        <w:tabs>
          <w:tab w:val="left" w:pos="360"/>
          <w:tab w:val="left" w:pos="540"/>
        </w:tabs>
        <w:spacing w:before="120" w:after="120" w:line="240" w:lineRule="auto"/>
        <w:ind w:left="0" w:right="602" w:firstLine="0"/>
        <w:jc w:val="both"/>
        <w:rPr>
          <w:rFonts w:ascii="Calibri" w:eastAsia="Times New Roman" w:hAnsi="Calibri" w:cs="Times New Roman"/>
          <w:lang w:eastAsia="en-IN"/>
        </w:rPr>
      </w:pPr>
      <w:r w:rsidRPr="00E93CCB">
        <w:rPr>
          <w:rFonts w:ascii="Calibri" w:eastAsia="Times New Roman" w:hAnsi="Calibri" w:cs="Times New Roman"/>
          <w:lang w:eastAsia="en-IN"/>
        </w:rPr>
        <w:t>For instance, Indonesia’s Ministry of Finance has released a preliminary project list concerning the achievement of Indonesia’s UN Sustainable Development Goals.</w:t>
      </w:r>
      <w:r w:rsidRPr="001241AD">
        <w:rPr>
          <w:rFonts w:ascii="Calibri" w:eastAsia="Lato" w:hAnsi="Calibri" w:cs="Lato"/>
          <w:vertAlign w:val="superscript"/>
          <w:lang w:eastAsia="en-IN"/>
        </w:rPr>
        <w:footnoteReference w:id="75"/>
      </w:r>
      <w:r w:rsidRPr="00E93CCB">
        <w:rPr>
          <w:rFonts w:ascii="Calibri" w:eastAsia="Times New Roman" w:hAnsi="Calibri" w:cs="Times New Roman"/>
          <w:lang w:eastAsia="en-IN"/>
        </w:rPr>
        <w:t xml:space="preserve"> Project costs are estimated to exceed </w:t>
      </w:r>
      <w:r w:rsidR="00800236">
        <w:rPr>
          <w:rFonts w:ascii="Calibri" w:eastAsia="Times New Roman" w:hAnsi="Calibri" w:cs="Times New Roman"/>
          <w:lang w:eastAsia="en-IN"/>
        </w:rPr>
        <w:t>US$</w:t>
      </w:r>
      <w:r w:rsidRPr="00E93CCB">
        <w:rPr>
          <w:rFonts w:ascii="Calibri" w:eastAsia="Times New Roman" w:hAnsi="Calibri" w:cs="Times New Roman"/>
          <w:lang w:eastAsia="en-IN"/>
        </w:rPr>
        <w:t xml:space="preserve"> 18.2 billion over the next 12 years, with the largest shares of financing allocated to urban transport (</w:t>
      </w:r>
      <w:r w:rsidR="00800236">
        <w:rPr>
          <w:rFonts w:ascii="Calibri" w:eastAsia="Times New Roman" w:hAnsi="Calibri" w:cs="Times New Roman"/>
          <w:lang w:eastAsia="en-IN"/>
        </w:rPr>
        <w:t>US$</w:t>
      </w:r>
      <w:r w:rsidRPr="00E93CCB">
        <w:rPr>
          <w:rFonts w:ascii="Calibri" w:eastAsia="Times New Roman" w:hAnsi="Calibri" w:cs="Times New Roman"/>
          <w:lang w:eastAsia="en-IN"/>
        </w:rPr>
        <w:t xml:space="preserve"> 6.48 billion), ports (</w:t>
      </w:r>
      <w:r w:rsidR="00800236">
        <w:rPr>
          <w:rFonts w:ascii="Calibri" w:eastAsia="Times New Roman" w:hAnsi="Calibri" w:cs="Times New Roman"/>
          <w:lang w:eastAsia="en-IN"/>
        </w:rPr>
        <w:t>US$</w:t>
      </w:r>
      <w:r w:rsidRPr="00E93CCB">
        <w:rPr>
          <w:rFonts w:ascii="Calibri" w:eastAsia="Times New Roman" w:hAnsi="Calibri" w:cs="Times New Roman"/>
          <w:lang w:eastAsia="en-IN"/>
        </w:rPr>
        <w:t xml:space="preserve"> 5.91 billion) and renewable energy (</w:t>
      </w:r>
      <w:r w:rsidR="00800236">
        <w:rPr>
          <w:rFonts w:ascii="Calibri" w:eastAsia="Times New Roman" w:hAnsi="Calibri" w:cs="Times New Roman"/>
          <w:lang w:eastAsia="en-IN"/>
        </w:rPr>
        <w:t>US$</w:t>
      </w:r>
      <w:r w:rsidRPr="00E93CCB">
        <w:rPr>
          <w:rFonts w:ascii="Calibri" w:eastAsia="Times New Roman" w:hAnsi="Calibri" w:cs="Times New Roman"/>
          <w:lang w:eastAsia="en-IN"/>
        </w:rPr>
        <w:t xml:space="preserve"> 2.48 billion). Given </w:t>
      </w:r>
      <w:r w:rsidRPr="00E93CCB">
        <w:rPr>
          <w:rFonts w:ascii="Calibri" w:eastAsia="MS Mincho" w:hAnsi="Calibri" w:cs="Times New Roman"/>
          <w:lang w:val="en-US"/>
        </w:rPr>
        <w:t>Australia’s</w:t>
      </w:r>
      <w:r w:rsidRPr="00E93CCB">
        <w:rPr>
          <w:rFonts w:ascii="Calibri" w:eastAsia="Times New Roman" w:hAnsi="Calibri" w:cs="Times New Roman"/>
          <w:lang w:eastAsia="en-IN"/>
        </w:rPr>
        <w:t xml:space="preserve"> annual development assistance budget to Indonesia, Australia can effectively target small- to medium-sized-ticket deals</w:t>
      </w:r>
      <w:r w:rsidRPr="001241AD">
        <w:rPr>
          <w:rFonts w:ascii="Calibri" w:eastAsia="Lato" w:hAnsi="Calibri" w:cs="Lato"/>
          <w:vertAlign w:val="superscript"/>
          <w:lang w:eastAsia="en-IN"/>
        </w:rPr>
        <w:footnoteReference w:id="76"/>
      </w:r>
      <w:r w:rsidRPr="00E93CCB">
        <w:rPr>
          <w:rFonts w:ascii="Calibri" w:eastAsia="Times New Roman" w:hAnsi="Calibri" w:cs="Times New Roman"/>
          <w:lang w:eastAsia="en-IN"/>
        </w:rPr>
        <w:t xml:space="preserve"> to support Indonesia’s 2030 Agenda through a mix of NGF and grants. </w:t>
      </w:r>
    </w:p>
    <w:p w14:paraId="6D2E3B2B" w14:textId="77777777" w:rsidR="00E63804" w:rsidRPr="001241AD" w:rsidRDefault="00E63804" w:rsidP="00E63804">
      <w:pPr>
        <w:pBdr>
          <w:top w:val="nil"/>
          <w:left w:val="nil"/>
          <w:bottom w:val="nil"/>
          <w:right w:val="nil"/>
          <w:between w:val="nil"/>
        </w:pBdr>
        <w:tabs>
          <w:tab w:val="left" w:pos="360"/>
          <w:tab w:val="left" w:pos="540"/>
        </w:tabs>
        <w:spacing w:before="120" w:after="120" w:line="240" w:lineRule="auto"/>
        <w:ind w:left="720" w:right="602"/>
        <w:jc w:val="both"/>
        <w:rPr>
          <w:rFonts w:ascii="Calibri" w:eastAsia="Times New Roman" w:hAnsi="Calibri" w:cs="Times New Roman"/>
          <w:lang w:eastAsia="en-IN"/>
        </w:rPr>
      </w:pPr>
    </w:p>
    <w:p w14:paraId="21A0DBA8" w14:textId="77777777" w:rsidR="00E63804" w:rsidRPr="00303589" w:rsidRDefault="00E63804" w:rsidP="00E63804">
      <w:pPr>
        <w:pBdr>
          <w:top w:val="nil"/>
          <w:left w:val="nil"/>
          <w:bottom w:val="nil"/>
          <w:right w:val="nil"/>
          <w:between w:val="nil"/>
        </w:pBdr>
        <w:tabs>
          <w:tab w:val="left" w:pos="360"/>
          <w:tab w:val="left" w:pos="540"/>
        </w:tabs>
        <w:spacing w:before="120" w:after="120" w:line="240" w:lineRule="auto"/>
        <w:ind w:right="602"/>
        <w:jc w:val="both"/>
        <w:rPr>
          <w:rFonts w:ascii="Calibri" w:eastAsia="Times New Roman" w:hAnsi="Calibri" w:cs="Times New Roman"/>
          <w:color w:val="7F7F7F" w:themeColor="text1" w:themeTint="80"/>
          <w:lang w:eastAsia="en-IN"/>
        </w:rPr>
      </w:pPr>
      <w:r>
        <w:rPr>
          <w:rFonts w:ascii="Calibri" w:eastAsia="Lato" w:hAnsi="Calibri" w:cs="Lato"/>
          <w:lang w:eastAsia="en-IN"/>
        </w:rPr>
        <w:t xml:space="preserve">      </w:t>
      </w:r>
      <w:r w:rsidRPr="00303589">
        <w:rPr>
          <w:rFonts w:ascii="Calibri" w:eastAsia="Lato" w:hAnsi="Calibri" w:cs="Lato"/>
          <w:color w:val="7F7F7F" w:themeColor="text1" w:themeTint="80"/>
          <w:lang w:eastAsia="en-IN"/>
        </w:rPr>
        <w:t xml:space="preserve">Table </w:t>
      </w:r>
      <w:r>
        <w:rPr>
          <w:rFonts w:ascii="Calibri" w:eastAsia="Lato" w:hAnsi="Calibri" w:cs="Lato"/>
          <w:color w:val="7F7F7F" w:themeColor="text1" w:themeTint="80"/>
          <w:lang w:eastAsia="en-IN"/>
        </w:rPr>
        <w:t>7</w:t>
      </w:r>
      <w:r w:rsidRPr="00303589">
        <w:rPr>
          <w:color w:val="7F7F7F" w:themeColor="text1" w:themeTint="80"/>
        </w:rPr>
        <w:t>—</w:t>
      </w:r>
      <w:r w:rsidRPr="00303589">
        <w:rPr>
          <w:rFonts w:ascii="Calibri" w:eastAsia="Lato" w:hAnsi="Calibri" w:cs="Lato"/>
          <w:color w:val="7F7F7F" w:themeColor="text1" w:themeTint="80"/>
          <w:lang w:eastAsia="en-IN"/>
        </w:rPr>
        <w:t>Indicative list of small &amp; medium-sized Sustainable Development Goals projects</w:t>
      </w:r>
    </w:p>
    <w:tbl>
      <w:tblPr>
        <w:tblW w:w="9051" w:type="dxa"/>
        <w:tblInd w:w="27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600" w:firstRow="0" w:lastRow="0" w:firstColumn="0" w:lastColumn="0" w:noHBand="1" w:noVBand="1"/>
      </w:tblPr>
      <w:tblGrid>
        <w:gridCol w:w="1134"/>
        <w:gridCol w:w="3522"/>
        <w:gridCol w:w="1605"/>
        <w:gridCol w:w="2790"/>
      </w:tblGrid>
      <w:tr w:rsidR="00E63804" w:rsidRPr="001241AD" w14:paraId="1082B28B" w14:textId="77777777" w:rsidTr="00B46545">
        <w:trPr>
          <w:trHeight w:val="160"/>
          <w:tblHeader/>
        </w:trPr>
        <w:tc>
          <w:tcPr>
            <w:tcW w:w="1134" w:type="dxa"/>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tcPr>
          <w:p w14:paraId="33177966" w14:textId="77777777" w:rsidR="00E63804" w:rsidRPr="001241AD" w:rsidRDefault="00E63804" w:rsidP="0051132A">
            <w:pPr>
              <w:widowControl w:val="0"/>
              <w:pBdr>
                <w:top w:val="nil"/>
                <w:left w:val="nil"/>
                <w:bottom w:val="nil"/>
                <w:right w:val="nil"/>
                <w:between w:val="nil"/>
              </w:pBdr>
              <w:tabs>
                <w:tab w:val="left" w:pos="360"/>
                <w:tab w:val="left" w:pos="540"/>
              </w:tabs>
              <w:spacing w:before="120" w:after="120" w:line="240" w:lineRule="auto"/>
              <w:ind w:right="602"/>
              <w:jc w:val="both"/>
              <w:rPr>
                <w:rFonts w:ascii="Calibri" w:eastAsia="Times New Roman" w:hAnsi="Calibri" w:cs="Times New Roman"/>
                <w:lang w:eastAsia="en-IN"/>
              </w:rPr>
            </w:pPr>
          </w:p>
        </w:tc>
        <w:tc>
          <w:tcPr>
            <w:tcW w:w="3522" w:type="dxa"/>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tcPr>
          <w:p w14:paraId="26990ED4" w14:textId="77777777" w:rsidR="00E63804" w:rsidRPr="001241AD" w:rsidRDefault="00E63804" w:rsidP="0051132A">
            <w:pPr>
              <w:widowControl w:val="0"/>
              <w:pBdr>
                <w:top w:val="nil"/>
                <w:left w:val="nil"/>
                <w:bottom w:val="nil"/>
                <w:right w:val="nil"/>
                <w:between w:val="nil"/>
              </w:pBdr>
              <w:tabs>
                <w:tab w:val="left" w:pos="360"/>
                <w:tab w:val="left" w:pos="540"/>
              </w:tabs>
              <w:spacing w:before="120" w:after="120" w:line="240" w:lineRule="auto"/>
              <w:ind w:right="602"/>
              <w:jc w:val="both"/>
              <w:rPr>
                <w:rFonts w:ascii="Calibri" w:eastAsia="Times New Roman" w:hAnsi="Calibri" w:cs="Times New Roman"/>
                <w:color w:val="FFFFFF"/>
                <w:lang w:eastAsia="en-IN"/>
              </w:rPr>
            </w:pPr>
            <w:r w:rsidRPr="001241AD">
              <w:rPr>
                <w:rFonts w:ascii="Calibri" w:eastAsia="Times New Roman" w:hAnsi="Calibri" w:cs="Times New Roman"/>
                <w:color w:val="FFFFFF"/>
                <w:lang w:eastAsia="en-IN"/>
              </w:rPr>
              <w:t>Project Name</w:t>
            </w:r>
          </w:p>
        </w:tc>
        <w:tc>
          <w:tcPr>
            <w:tcW w:w="1605" w:type="dxa"/>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tcPr>
          <w:p w14:paraId="58DAAD83" w14:textId="77777777" w:rsidR="00E63804" w:rsidRPr="001241AD" w:rsidRDefault="00E63804" w:rsidP="0051132A">
            <w:pPr>
              <w:widowControl w:val="0"/>
              <w:pBdr>
                <w:top w:val="nil"/>
                <w:left w:val="nil"/>
                <w:bottom w:val="nil"/>
                <w:right w:val="nil"/>
                <w:between w:val="nil"/>
              </w:pBdr>
              <w:tabs>
                <w:tab w:val="left" w:pos="360"/>
                <w:tab w:val="left" w:pos="540"/>
              </w:tabs>
              <w:spacing w:before="120" w:after="120" w:line="240" w:lineRule="auto"/>
              <w:ind w:right="602"/>
              <w:jc w:val="both"/>
              <w:rPr>
                <w:rFonts w:ascii="Calibri" w:eastAsia="Times New Roman" w:hAnsi="Calibri" w:cs="Times New Roman"/>
                <w:color w:val="FFFFFF"/>
                <w:lang w:eastAsia="en-IN"/>
              </w:rPr>
            </w:pPr>
            <w:r w:rsidRPr="001241AD">
              <w:rPr>
                <w:rFonts w:ascii="Calibri" w:eastAsia="Times New Roman" w:hAnsi="Calibri" w:cs="Times New Roman"/>
                <w:color w:val="FFFFFF"/>
                <w:lang w:eastAsia="en-IN"/>
              </w:rPr>
              <w:t>Project Type</w:t>
            </w:r>
          </w:p>
        </w:tc>
        <w:tc>
          <w:tcPr>
            <w:tcW w:w="2790" w:type="dxa"/>
            <w:tcBorders>
              <w:top w:val="single" w:sz="8" w:space="0" w:color="000000"/>
              <w:left w:val="single" w:sz="8" w:space="0" w:color="000000"/>
              <w:bottom w:val="single" w:sz="8" w:space="0" w:color="000000"/>
              <w:right w:val="single" w:sz="8" w:space="0" w:color="000000"/>
            </w:tcBorders>
            <w:shd w:val="clear" w:color="auto" w:fill="4F81BD"/>
            <w:tcMar>
              <w:top w:w="100" w:type="dxa"/>
              <w:left w:w="100" w:type="dxa"/>
              <w:bottom w:w="100" w:type="dxa"/>
              <w:right w:w="100" w:type="dxa"/>
            </w:tcMar>
          </w:tcPr>
          <w:p w14:paraId="583F53E7" w14:textId="352D45AD" w:rsidR="00E63804" w:rsidRPr="001241AD" w:rsidRDefault="00E63804" w:rsidP="0051132A">
            <w:pPr>
              <w:widowControl w:val="0"/>
              <w:pBdr>
                <w:top w:val="nil"/>
                <w:left w:val="nil"/>
                <w:bottom w:val="nil"/>
                <w:right w:val="nil"/>
                <w:between w:val="nil"/>
              </w:pBdr>
              <w:tabs>
                <w:tab w:val="left" w:pos="360"/>
                <w:tab w:val="left" w:pos="540"/>
              </w:tabs>
              <w:spacing w:before="120" w:after="120" w:line="240" w:lineRule="auto"/>
              <w:ind w:right="602"/>
              <w:jc w:val="both"/>
              <w:rPr>
                <w:rFonts w:ascii="Calibri" w:eastAsia="Times New Roman" w:hAnsi="Calibri" w:cs="Times New Roman"/>
                <w:color w:val="FFFFFF"/>
                <w:lang w:eastAsia="en-IN"/>
              </w:rPr>
            </w:pPr>
            <w:r w:rsidRPr="001241AD">
              <w:rPr>
                <w:rFonts w:ascii="Calibri" w:eastAsia="Times New Roman" w:hAnsi="Calibri" w:cs="Times New Roman"/>
                <w:color w:val="FFFFFF"/>
                <w:lang w:eastAsia="en-IN"/>
              </w:rPr>
              <w:t>Estimated Cost (</w:t>
            </w:r>
            <w:r w:rsidR="00800236">
              <w:rPr>
                <w:rFonts w:ascii="Calibri" w:eastAsia="Times New Roman" w:hAnsi="Calibri" w:cs="Times New Roman"/>
                <w:color w:val="FFFFFF"/>
                <w:lang w:eastAsia="en-IN"/>
              </w:rPr>
              <w:t>US$</w:t>
            </w:r>
            <w:r w:rsidRPr="001241AD">
              <w:rPr>
                <w:rFonts w:ascii="Calibri" w:eastAsia="Times New Roman" w:hAnsi="Calibri" w:cs="Times New Roman"/>
                <w:color w:val="FFFFFF"/>
                <w:lang w:eastAsia="en-IN"/>
              </w:rPr>
              <w:t xml:space="preserve"> million)</w:t>
            </w:r>
          </w:p>
        </w:tc>
      </w:tr>
      <w:tr w:rsidR="00E63804" w:rsidRPr="001241AD" w14:paraId="67E9A20E" w14:textId="77777777" w:rsidTr="0051132A">
        <w:trPr>
          <w:trHeight w:val="220"/>
        </w:trPr>
        <w:tc>
          <w:tcPr>
            <w:tcW w:w="1134" w:type="dxa"/>
            <w:tcBorders>
              <w:top w:val="single" w:sz="8" w:space="0" w:color="000000"/>
            </w:tcBorders>
            <w:shd w:val="clear" w:color="auto" w:fill="auto"/>
            <w:tcMar>
              <w:top w:w="100" w:type="dxa"/>
              <w:left w:w="100" w:type="dxa"/>
              <w:bottom w:w="100" w:type="dxa"/>
              <w:right w:w="100" w:type="dxa"/>
            </w:tcMar>
          </w:tcPr>
          <w:p w14:paraId="01082803" w14:textId="77777777" w:rsidR="00E63804" w:rsidRPr="001241AD" w:rsidRDefault="00E63804" w:rsidP="0051132A">
            <w:pPr>
              <w:widowControl w:val="0"/>
              <w:pBdr>
                <w:top w:val="nil"/>
                <w:left w:val="nil"/>
                <w:bottom w:val="nil"/>
                <w:right w:val="nil"/>
                <w:between w:val="nil"/>
              </w:pBdr>
              <w:tabs>
                <w:tab w:val="left" w:pos="360"/>
                <w:tab w:val="left" w:pos="540"/>
              </w:tabs>
              <w:spacing w:before="120" w:after="120" w:line="240" w:lineRule="auto"/>
              <w:ind w:right="602"/>
              <w:jc w:val="both"/>
              <w:rPr>
                <w:rFonts w:ascii="Calibri" w:eastAsia="Times New Roman" w:hAnsi="Calibri" w:cs="Times New Roman"/>
                <w:lang w:eastAsia="en-IN"/>
              </w:rPr>
            </w:pPr>
            <w:r w:rsidRPr="001241AD">
              <w:rPr>
                <w:rFonts w:ascii="Calibri" w:eastAsia="Times New Roman" w:hAnsi="Calibri" w:cs="Times New Roman"/>
                <w:lang w:eastAsia="en-IN"/>
              </w:rPr>
              <w:t>1.</w:t>
            </w:r>
          </w:p>
        </w:tc>
        <w:tc>
          <w:tcPr>
            <w:tcW w:w="3522" w:type="dxa"/>
            <w:tcBorders>
              <w:top w:val="single" w:sz="8" w:space="0" w:color="000000"/>
            </w:tcBorders>
            <w:shd w:val="clear" w:color="auto" w:fill="auto"/>
            <w:tcMar>
              <w:top w:w="100" w:type="dxa"/>
              <w:left w:w="100" w:type="dxa"/>
              <w:bottom w:w="100" w:type="dxa"/>
              <w:right w:w="100" w:type="dxa"/>
            </w:tcMar>
          </w:tcPr>
          <w:p w14:paraId="30F3A055" w14:textId="77777777" w:rsidR="00E63804" w:rsidRPr="001241AD" w:rsidRDefault="00E63804" w:rsidP="0051132A">
            <w:pPr>
              <w:tabs>
                <w:tab w:val="left" w:pos="360"/>
                <w:tab w:val="left" w:pos="540"/>
              </w:tabs>
              <w:spacing w:before="120" w:after="120" w:line="240" w:lineRule="auto"/>
              <w:ind w:right="602"/>
              <w:jc w:val="both"/>
              <w:rPr>
                <w:rFonts w:ascii="Calibri" w:eastAsia="Times New Roman" w:hAnsi="Calibri" w:cs="Times New Roman"/>
                <w:lang w:eastAsia="en-IN"/>
              </w:rPr>
            </w:pPr>
            <w:r w:rsidRPr="001241AD">
              <w:rPr>
                <w:rFonts w:ascii="Calibri" w:eastAsia="Times New Roman" w:hAnsi="Calibri" w:cs="Times New Roman"/>
                <w:lang w:eastAsia="en-IN"/>
              </w:rPr>
              <w:t xml:space="preserve">Kuala </w:t>
            </w:r>
            <w:proofErr w:type="spellStart"/>
            <w:r w:rsidRPr="001241AD">
              <w:rPr>
                <w:rFonts w:ascii="Calibri" w:eastAsia="Times New Roman" w:hAnsi="Calibri" w:cs="Times New Roman"/>
                <w:lang w:eastAsia="en-IN"/>
              </w:rPr>
              <w:t>Tanjung</w:t>
            </w:r>
            <w:proofErr w:type="spellEnd"/>
            <w:r w:rsidRPr="001241AD">
              <w:rPr>
                <w:rFonts w:ascii="Calibri" w:eastAsia="Times New Roman" w:hAnsi="Calibri" w:cs="Times New Roman"/>
                <w:lang w:eastAsia="en-IN"/>
              </w:rPr>
              <w:t xml:space="preserve"> Industrial Gateway</w:t>
            </w:r>
          </w:p>
        </w:tc>
        <w:tc>
          <w:tcPr>
            <w:tcW w:w="1605" w:type="dxa"/>
            <w:tcBorders>
              <w:top w:val="single" w:sz="8" w:space="0" w:color="000000"/>
            </w:tcBorders>
            <w:shd w:val="clear" w:color="auto" w:fill="auto"/>
            <w:tcMar>
              <w:top w:w="100" w:type="dxa"/>
              <w:left w:w="100" w:type="dxa"/>
              <w:bottom w:w="100" w:type="dxa"/>
              <w:right w:w="100" w:type="dxa"/>
            </w:tcMar>
          </w:tcPr>
          <w:p w14:paraId="0D5A9AED" w14:textId="77777777" w:rsidR="00E63804" w:rsidRPr="001241AD" w:rsidRDefault="00E63804" w:rsidP="0051132A">
            <w:pPr>
              <w:widowControl w:val="0"/>
              <w:pBdr>
                <w:top w:val="nil"/>
                <w:left w:val="nil"/>
                <w:bottom w:val="nil"/>
                <w:right w:val="nil"/>
                <w:between w:val="nil"/>
              </w:pBdr>
              <w:tabs>
                <w:tab w:val="left" w:pos="360"/>
                <w:tab w:val="left" w:pos="540"/>
              </w:tabs>
              <w:spacing w:before="120" w:after="120" w:line="240" w:lineRule="auto"/>
              <w:ind w:right="602"/>
              <w:jc w:val="both"/>
              <w:rPr>
                <w:rFonts w:ascii="Calibri" w:eastAsia="Times New Roman" w:hAnsi="Calibri" w:cs="Times New Roman"/>
                <w:lang w:eastAsia="en-IN"/>
              </w:rPr>
            </w:pPr>
            <w:r w:rsidRPr="001241AD">
              <w:rPr>
                <w:rFonts w:ascii="Calibri" w:eastAsia="Times New Roman" w:hAnsi="Calibri" w:cs="Times New Roman"/>
                <w:lang w:eastAsia="en-IN"/>
              </w:rPr>
              <w:t>Port</w:t>
            </w:r>
          </w:p>
        </w:tc>
        <w:tc>
          <w:tcPr>
            <w:tcW w:w="2790" w:type="dxa"/>
            <w:tcBorders>
              <w:top w:val="single" w:sz="8" w:space="0" w:color="000000"/>
            </w:tcBorders>
            <w:shd w:val="clear" w:color="auto" w:fill="auto"/>
            <w:tcMar>
              <w:top w:w="100" w:type="dxa"/>
              <w:left w:w="100" w:type="dxa"/>
              <w:bottom w:w="100" w:type="dxa"/>
              <w:right w:w="100" w:type="dxa"/>
            </w:tcMar>
          </w:tcPr>
          <w:p w14:paraId="67F61DFF" w14:textId="77777777" w:rsidR="00E63804" w:rsidRPr="001241AD" w:rsidRDefault="00E63804" w:rsidP="0051132A">
            <w:pPr>
              <w:widowControl w:val="0"/>
              <w:pBdr>
                <w:top w:val="nil"/>
                <w:left w:val="nil"/>
                <w:bottom w:val="nil"/>
                <w:right w:val="nil"/>
                <w:between w:val="nil"/>
              </w:pBdr>
              <w:tabs>
                <w:tab w:val="left" w:pos="360"/>
                <w:tab w:val="left" w:pos="540"/>
              </w:tabs>
              <w:spacing w:before="120" w:after="120" w:line="240" w:lineRule="auto"/>
              <w:ind w:right="602"/>
              <w:jc w:val="both"/>
              <w:rPr>
                <w:rFonts w:ascii="Calibri" w:eastAsia="Times New Roman" w:hAnsi="Calibri" w:cs="Times New Roman"/>
                <w:lang w:eastAsia="en-IN"/>
              </w:rPr>
            </w:pPr>
            <w:r w:rsidRPr="001241AD">
              <w:rPr>
                <w:rFonts w:ascii="Calibri" w:eastAsia="Times New Roman" w:hAnsi="Calibri" w:cs="Times New Roman"/>
                <w:lang w:eastAsia="en-IN"/>
              </w:rPr>
              <w:t>140.92</w:t>
            </w:r>
          </w:p>
        </w:tc>
      </w:tr>
      <w:tr w:rsidR="00E63804" w:rsidRPr="001241AD" w14:paraId="46AD240E" w14:textId="77777777" w:rsidTr="0051132A">
        <w:trPr>
          <w:trHeight w:val="220"/>
        </w:trPr>
        <w:tc>
          <w:tcPr>
            <w:tcW w:w="1134" w:type="dxa"/>
            <w:tcBorders>
              <w:top w:val="single" w:sz="8" w:space="0" w:color="000000"/>
            </w:tcBorders>
            <w:shd w:val="clear" w:color="auto" w:fill="auto"/>
            <w:tcMar>
              <w:top w:w="100" w:type="dxa"/>
              <w:left w:w="100" w:type="dxa"/>
              <w:bottom w:w="100" w:type="dxa"/>
              <w:right w:w="100" w:type="dxa"/>
            </w:tcMar>
          </w:tcPr>
          <w:p w14:paraId="08FAD027" w14:textId="77777777" w:rsidR="00E63804" w:rsidRPr="001241AD" w:rsidRDefault="00E63804" w:rsidP="0051132A">
            <w:pPr>
              <w:widowControl w:val="0"/>
              <w:pBdr>
                <w:top w:val="nil"/>
                <w:left w:val="nil"/>
                <w:bottom w:val="nil"/>
                <w:right w:val="nil"/>
                <w:between w:val="nil"/>
              </w:pBdr>
              <w:tabs>
                <w:tab w:val="left" w:pos="360"/>
                <w:tab w:val="left" w:pos="540"/>
              </w:tabs>
              <w:spacing w:before="120" w:after="120" w:line="240" w:lineRule="auto"/>
              <w:ind w:right="602"/>
              <w:jc w:val="both"/>
              <w:rPr>
                <w:rFonts w:ascii="Calibri" w:eastAsia="Times New Roman" w:hAnsi="Calibri" w:cs="Times New Roman"/>
                <w:lang w:eastAsia="en-IN"/>
              </w:rPr>
            </w:pPr>
            <w:r w:rsidRPr="001241AD">
              <w:rPr>
                <w:rFonts w:ascii="Calibri" w:eastAsia="Times New Roman" w:hAnsi="Calibri" w:cs="Times New Roman"/>
                <w:lang w:eastAsia="en-IN"/>
              </w:rPr>
              <w:t>2.</w:t>
            </w:r>
          </w:p>
        </w:tc>
        <w:tc>
          <w:tcPr>
            <w:tcW w:w="3522" w:type="dxa"/>
            <w:tcBorders>
              <w:top w:val="single" w:sz="8" w:space="0" w:color="000000"/>
            </w:tcBorders>
            <w:shd w:val="clear" w:color="auto" w:fill="auto"/>
            <w:tcMar>
              <w:top w:w="100" w:type="dxa"/>
              <w:left w:w="100" w:type="dxa"/>
              <w:bottom w:w="100" w:type="dxa"/>
              <w:right w:w="100" w:type="dxa"/>
            </w:tcMar>
          </w:tcPr>
          <w:p w14:paraId="19100C36" w14:textId="77777777" w:rsidR="00E63804" w:rsidRPr="001241AD" w:rsidRDefault="00E63804" w:rsidP="0051132A">
            <w:pPr>
              <w:tabs>
                <w:tab w:val="left" w:pos="360"/>
                <w:tab w:val="left" w:pos="540"/>
              </w:tabs>
              <w:spacing w:before="120" w:after="120" w:line="240" w:lineRule="auto"/>
              <w:ind w:right="602"/>
              <w:jc w:val="both"/>
              <w:rPr>
                <w:rFonts w:ascii="Calibri" w:eastAsia="Times New Roman" w:hAnsi="Calibri" w:cs="Times New Roman"/>
                <w:lang w:eastAsia="en-IN"/>
              </w:rPr>
            </w:pPr>
            <w:r w:rsidRPr="001241AD">
              <w:rPr>
                <w:rFonts w:ascii="Calibri" w:eastAsia="Times New Roman" w:hAnsi="Calibri" w:cs="Times New Roman"/>
                <w:lang w:eastAsia="en-IN"/>
              </w:rPr>
              <w:t>West Semarang Water Supply</w:t>
            </w:r>
          </w:p>
        </w:tc>
        <w:tc>
          <w:tcPr>
            <w:tcW w:w="1605" w:type="dxa"/>
            <w:tcBorders>
              <w:top w:val="single" w:sz="8" w:space="0" w:color="000000"/>
            </w:tcBorders>
            <w:shd w:val="clear" w:color="auto" w:fill="auto"/>
            <w:tcMar>
              <w:top w:w="100" w:type="dxa"/>
              <w:left w:w="100" w:type="dxa"/>
              <w:bottom w:w="100" w:type="dxa"/>
              <w:right w:w="100" w:type="dxa"/>
            </w:tcMar>
          </w:tcPr>
          <w:p w14:paraId="17B13542" w14:textId="77777777" w:rsidR="00E63804" w:rsidRPr="001241AD" w:rsidRDefault="00E63804" w:rsidP="0051132A">
            <w:pPr>
              <w:widowControl w:val="0"/>
              <w:pBdr>
                <w:top w:val="nil"/>
                <w:left w:val="nil"/>
                <w:bottom w:val="nil"/>
                <w:right w:val="nil"/>
                <w:between w:val="nil"/>
              </w:pBdr>
              <w:tabs>
                <w:tab w:val="left" w:pos="360"/>
                <w:tab w:val="left" w:pos="540"/>
              </w:tabs>
              <w:spacing w:before="120" w:after="120" w:line="240" w:lineRule="auto"/>
              <w:ind w:right="602"/>
              <w:jc w:val="both"/>
              <w:rPr>
                <w:rFonts w:ascii="Calibri" w:eastAsia="Times New Roman" w:hAnsi="Calibri" w:cs="Times New Roman"/>
                <w:lang w:eastAsia="en-IN"/>
              </w:rPr>
            </w:pPr>
            <w:r w:rsidRPr="001241AD">
              <w:rPr>
                <w:rFonts w:ascii="Calibri" w:eastAsia="Times New Roman" w:hAnsi="Calibri" w:cs="Times New Roman"/>
                <w:lang w:eastAsia="en-IN"/>
              </w:rPr>
              <w:t>Water supply</w:t>
            </w:r>
          </w:p>
        </w:tc>
        <w:tc>
          <w:tcPr>
            <w:tcW w:w="2790" w:type="dxa"/>
            <w:tcBorders>
              <w:top w:val="single" w:sz="8" w:space="0" w:color="000000"/>
            </w:tcBorders>
            <w:shd w:val="clear" w:color="auto" w:fill="auto"/>
            <w:tcMar>
              <w:top w:w="100" w:type="dxa"/>
              <w:left w:w="100" w:type="dxa"/>
              <w:bottom w:w="100" w:type="dxa"/>
              <w:right w:w="100" w:type="dxa"/>
            </w:tcMar>
          </w:tcPr>
          <w:p w14:paraId="0454DCF4" w14:textId="77777777" w:rsidR="00E63804" w:rsidRPr="001241AD" w:rsidRDefault="00E63804" w:rsidP="0051132A">
            <w:pPr>
              <w:widowControl w:val="0"/>
              <w:pBdr>
                <w:top w:val="nil"/>
                <w:left w:val="nil"/>
                <w:bottom w:val="nil"/>
                <w:right w:val="nil"/>
                <w:between w:val="nil"/>
              </w:pBdr>
              <w:tabs>
                <w:tab w:val="left" w:pos="360"/>
                <w:tab w:val="left" w:pos="540"/>
              </w:tabs>
              <w:spacing w:before="120" w:after="120" w:line="240" w:lineRule="auto"/>
              <w:ind w:right="602"/>
              <w:jc w:val="both"/>
              <w:rPr>
                <w:rFonts w:ascii="Calibri" w:eastAsia="Times New Roman" w:hAnsi="Calibri" w:cs="Times New Roman"/>
                <w:lang w:eastAsia="en-IN"/>
              </w:rPr>
            </w:pPr>
            <w:r w:rsidRPr="001241AD">
              <w:rPr>
                <w:rFonts w:ascii="Calibri" w:eastAsia="Times New Roman" w:hAnsi="Calibri" w:cs="Times New Roman"/>
                <w:lang w:eastAsia="en-IN"/>
              </w:rPr>
              <w:t>88.9</w:t>
            </w:r>
          </w:p>
        </w:tc>
      </w:tr>
      <w:tr w:rsidR="00E63804" w:rsidRPr="001241AD" w14:paraId="451B74D8" w14:textId="77777777" w:rsidTr="0051132A">
        <w:trPr>
          <w:trHeight w:val="220"/>
        </w:trPr>
        <w:tc>
          <w:tcPr>
            <w:tcW w:w="1134" w:type="dxa"/>
            <w:tcBorders>
              <w:top w:val="single" w:sz="8" w:space="0" w:color="000000"/>
            </w:tcBorders>
            <w:shd w:val="clear" w:color="auto" w:fill="auto"/>
            <w:tcMar>
              <w:top w:w="100" w:type="dxa"/>
              <w:left w:w="100" w:type="dxa"/>
              <w:bottom w:w="100" w:type="dxa"/>
              <w:right w:w="100" w:type="dxa"/>
            </w:tcMar>
          </w:tcPr>
          <w:p w14:paraId="7B4CF563" w14:textId="77777777" w:rsidR="00E63804" w:rsidRPr="001241AD" w:rsidRDefault="00E63804" w:rsidP="0051132A">
            <w:pPr>
              <w:widowControl w:val="0"/>
              <w:pBdr>
                <w:top w:val="nil"/>
                <w:left w:val="nil"/>
                <w:bottom w:val="nil"/>
                <w:right w:val="nil"/>
                <w:between w:val="nil"/>
              </w:pBdr>
              <w:tabs>
                <w:tab w:val="left" w:pos="360"/>
                <w:tab w:val="left" w:pos="540"/>
              </w:tabs>
              <w:spacing w:before="120" w:after="120" w:line="240" w:lineRule="auto"/>
              <w:ind w:right="602"/>
              <w:jc w:val="both"/>
              <w:rPr>
                <w:rFonts w:ascii="Calibri" w:eastAsia="Times New Roman" w:hAnsi="Calibri" w:cs="Times New Roman"/>
                <w:lang w:eastAsia="en-IN"/>
              </w:rPr>
            </w:pPr>
            <w:r w:rsidRPr="001241AD">
              <w:rPr>
                <w:rFonts w:ascii="Calibri" w:eastAsia="Times New Roman" w:hAnsi="Calibri" w:cs="Times New Roman"/>
                <w:lang w:eastAsia="en-IN"/>
              </w:rPr>
              <w:t>3.</w:t>
            </w:r>
          </w:p>
        </w:tc>
        <w:tc>
          <w:tcPr>
            <w:tcW w:w="3522" w:type="dxa"/>
            <w:tcBorders>
              <w:top w:val="single" w:sz="8" w:space="0" w:color="000000"/>
            </w:tcBorders>
            <w:shd w:val="clear" w:color="auto" w:fill="auto"/>
            <w:tcMar>
              <w:top w:w="100" w:type="dxa"/>
              <w:left w:w="100" w:type="dxa"/>
              <w:bottom w:w="100" w:type="dxa"/>
              <w:right w:w="100" w:type="dxa"/>
            </w:tcMar>
          </w:tcPr>
          <w:p w14:paraId="526EE208" w14:textId="77777777" w:rsidR="00E63804" w:rsidRPr="001241AD" w:rsidRDefault="00E63804" w:rsidP="0051132A">
            <w:pPr>
              <w:tabs>
                <w:tab w:val="left" w:pos="360"/>
                <w:tab w:val="left" w:pos="540"/>
              </w:tabs>
              <w:spacing w:before="120" w:after="120" w:line="240" w:lineRule="auto"/>
              <w:ind w:right="602"/>
              <w:jc w:val="both"/>
              <w:rPr>
                <w:rFonts w:ascii="Calibri" w:eastAsia="Times New Roman" w:hAnsi="Calibri" w:cs="Times New Roman"/>
                <w:lang w:eastAsia="en-IN"/>
              </w:rPr>
            </w:pPr>
            <w:proofErr w:type="spellStart"/>
            <w:r w:rsidRPr="001241AD">
              <w:rPr>
                <w:rFonts w:ascii="Calibri" w:eastAsia="Times New Roman" w:hAnsi="Calibri" w:cs="Times New Roman"/>
                <w:lang w:eastAsia="en-IN"/>
              </w:rPr>
              <w:t>Kulon</w:t>
            </w:r>
            <w:proofErr w:type="spellEnd"/>
            <w:r w:rsidRPr="001241AD">
              <w:rPr>
                <w:rFonts w:ascii="Calibri" w:eastAsia="Times New Roman" w:hAnsi="Calibri" w:cs="Times New Roman"/>
                <w:lang w:eastAsia="en-IN"/>
              </w:rPr>
              <w:t xml:space="preserve"> </w:t>
            </w:r>
            <w:proofErr w:type="spellStart"/>
            <w:r w:rsidRPr="001241AD">
              <w:rPr>
                <w:rFonts w:ascii="Calibri" w:eastAsia="Times New Roman" w:hAnsi="Calibri" w:cs="Times New Roman"/>
                <w:lang w:eastAsia="en-IN"/>
              </w:rPr>
              <w:t>Progo</w:t>
            </w:r>
            <w:proofErr w:type="spellEnd"/>
            <w:r w:rsidRPr="001241AD">
              <w:rPr>
                <w:rFonts w:ascii="Calibri" w:eastAsia="Times New Roman" w:hAnsi="Calibri" w:cs="Times New Roman"/>
                <w:lang w:eastAsia="en-IN"/>
              </w:rPr>
              <w:t xml:space="preserve"> New Yogyakarta Airport Access Railway</w:t>
            </w:r>
          </w:p>
        </w:tc>
        <w:tc>
          <w:tcPr>
            <w:tcW w:w="1605" w:type="dxa"/>
            <w:tcBorders>
              <w:top w:val="single" w:sz="8" w:space="0" w:color="000000"/>
            </w:tcBorders>
            <w:shd w:val="clear" w:color="auto" w:fill="auto"/>
            <w:tcMar>
              <w:top w:w="100" w:type="dxa"/>
              <w:left w:w="100" w:type="dxa"/>
              <w:bottom w:w="100" w:type="dxa"/>
              <w:right w:w="100" w:type="dxa"/>
            </w:tcMar>
          </w:tcPr>
          <w:p w14:paraId="02E22B8B" w14:textId="77777777" w:rsidR="00E63804" w:rsidRPr="001241AD" w:rsidRDefault="00E63804" w:rsidP="0051132A">
            <w:pPr>
              <w:widowControl w:val="0"/>
              <w:pBdr>
                <w:top w:val="nil"/>
                <w:left w:val="nil"/>
                <w:bottom w:val="nil"/>
                <w:right w:val="nil"/>
                <w:between w:val="nil"/>
              </w:pBdr>
              <w:tabs>
                <w:tab w:val="left" w:pos="360"/>
                <w:tab w:val="left" w:pos="540"/>
              </w:tabs>
              <w:spacing w:before="120" w:after="120" w:line="240" w:lineRule="auto"/>
              <w:ind w:right="602"/>
              <w:jc w:val="both"/>
              <w:rPr>
                <w:rFonts w:ascii="Calibri" w:eastAsia="Times New Roman" w:hAnsi="Calibri" w:cs="Times New Roman"/>
                <w:lang w:eastAsia="en-IN"/>
              </w:rPr>
            </w:pPr>
            <w:r w:rsidRPr="001241AD">
              <w:rPr>
                <w:rFonts w:ascii="Calibri" w:eastAsia="Times New Roman" w:hAnsi="Calibri" w:cs="Times New Roman"/>
                <w:lang w:eastAsia="en-IN"/>
              </w:rPr>
              <w:t>Urban transport</w:t>
            </w:r>
          </w:p>
        </w:tc>
        <w:tc>
          <w:tcPr>
            <w:tcW w:w="2790" w:type="dxa"/>
            <w:tcBorders>
              <w:top w:val="single" w:sz="8" w:space="0" w:color="000000"/>
            </w:tcBorders>
            <w:shd w:val="clear" w:color="auto" w:fill="auto"/>
            <w:tcMar>
              <w:top w:w="100" w:type="dxa"/>
              <w:left w:w="100" w:type="dxa"/>
              <w:bottom w:w="100" w:type="dxa"/>
              <w:right w:w="100" w:type="dxa"/>
            </w:tcMar>
          </w:tcPr>
          <w:p w14:paraId="39AD36C8" w14:textId="77777777" w:rsidR="00E63804" w:rsidRPr="001241AD" w:rsidRDefault="00E63804" w:rsidP="0051132A">
            <w:pPr>
              <w:widowControl w:val="0"/>
              <w:pBdr>
                <w:top w:val="nil"/>
                <w:left w:val="nil"/>
                <w:bottom w:val="nil"/>
                <w:right w:val="nil"/>
                <w:between w:val="nil"/>
              </w:pBdr>
              <w:tabs>
                <w:tab w:val="left" w:pos="360"/>
                <w:tab w:val="left" w:pos="540"/>
              </w:tabs>
              <w:spacing w:before="120" w:after="120" w:line="240" w:lineRule="auto"/>
              <w:ind w:right="602"/>
              <w:jc w:val="both"/>
              <w:rPr>
                <w:rFonts w:ascii="Calibri" w:eastAsia="Times New Roman" w:hAnsi="Calibri" w:cs="Times New Roman"/>
                <w:lang w:eastAsia="en-IN"/>
              </w:rPr>
            </w:pPr>
            <w:r w:rsidRPr="001241AD">
              <w:rPr>
                <w:rFonts w:ascii="Calibri" w:eastAsia="Times New Roman" w:hAnsi="Calibri" w:cs="Times New Roman"/>
                <w:lang w:eastAsia="en-IN"/>
              </w:rPr>
              <w:t xml:space="preserve">88.8 </w:t>
            </w:r>
          </w:p>
        </w:tc>
      </w:tr>
      <w:tr w:rsidR="00E63804" w:rsidRPr="001241AD" w14:paraId="0DBFCD70" w14:textId="77777777" w:rsidTr="0051132A">
        <w:trPr>
          <w:trHeight w:val="160"/>
        </w:trPr>
        <w:tc>
          <w:tcPr>
            <w:tcW w:w="1134" w:type="dxa"/>
            <w:shd w:val="clear" w:color="auto" w:fill="auto"/>
            <w:tcMar>
              <w:top w:w="100" w:type="dxa"/>
              <w:left w:w="100" w:type="dxa"/>
              <w:bottom w:w="100" w:type="dxa"/>
              <w:right w:w="100" w:type="dxa"/>
            </w:tcMar>
          </w:tcPr>
          <w:p w14:paraId="495E594F" w14:textId="77777777" w:rsidR="00E63804" w:rsidRPr="001241AD" w:rsidRDefault="00E63804" w:rsidP="0051132A">
            <w:pPr>
              <w:widowControl w:val="0"/>
              <w:pBdr>
                <w:top w:val="nil"/>
                <w:left w:val="nil"/>
                <w:bottom w:val="nil"/>
                <w:right w:val="nil"/>
                <w:between w:val="nil"/>
              </w:pBdr>
              <w:tabs>
                <w:tab w:val="left" w:pos="360"/>
                <w:tab w:val="left" w:pos="540"/>
              </w:tabs>
              <w:spacing w:before="120" w:after="120" w:line="240" w:lineRule="auto"/>
              <w:ind w:right="602"/>
              <w:jc w:val="both"/>
              <w:rPr>
                <w:rFonts w:ascii="Calibri" w:eastAsia="Times New Roman" w:hAnsi="Calibri" w:cs="Times New Roman"/>
                <w:lang w:eastAsia="en-IN"/>
              </w:rPr>
            </w:pPr>
            <w:r w:rsidRPr="001241AD">
              <w:rPr>
                <w:rFonts w:ascii="Calibri" w:eastAsia="Times New Roman" w:hAnsi="Calibri" w:cs="Times New Roman"/>
                <w:lang w:eastAsia="en-IN"/>
              </w:rPr>
              <w:lastRenderedPageBreak/>
              <w:t>4.</w:t>
            </w:r>
          </w:p>
        </w:tc>
        <w:tc>
          <w:tcPr>
            <w:tcW w:w="3522" w:type="dxa"/>
            <w:shd w:val="clear" w:color="auto" w:fill="auto"/>
            <w:tcMar>
              <w:top w:w="100" w:type="dxa"/>
              <w:left w:w="100" w:type="dxa"/>
              <w:bottom w:w="100" w:type="dxa"/>
              <w:right w:w="100" w:type="dxa"/>
            </w:tcMar>
          </w:tcPr>
          <w:p w14:paraId="4395198B" w14:textId="77777777" w:rsidR="00E63804" w:rsidRPr="001241AD" w:rsidRDefault="00E63804" w:rsidP="0051132A">
            <w:pPr>
              <w:tabs>
                <w:tab w:val="left" w:pos="360"/>
                <w:tab w:val="left" w:pos="540"/>
              </w:tabs>
              <w:spacing w:before="120" w:after="120" w:line="240" w:lineRule="auto"/>
              <w:ind w:right="602"/>
              <w:jc w:val="both"/>
              <w:rPr>
                <w:rFonts w:ascii="Calibri" w:eastAsia="Times New Roman" w:hAnsi="Calibri" w:cs="Times New Roman"/>
                <w:lang w:eastAsia="en-IN"/>
              </w:rPr>
            </w:pPr>
            <w:r w:rsidRPr="001241AD">
              <w:rPr>
                <w:rFonts w:ascii="Calibri" w:eastAsia="Times New Roman" w:hAnsi="Calibri" w:cs="Times New Roman"/>
                <w:lang w:eastAsia="en-IN"/>
              </w:rPr>
              <w:t>Green Bond of PT SMI</w:t>
            </w:r>
          </w:p>
        </w:tc>
        <w:tc>
          <w:tcPr>
            <w:tcW w:w="1605" w:type="dxa"/>
            <w:shd w:val="clear" w:color="auto" w:fill="auto"/>
            <w:tcMar>
              <w:top w:w="100" w:type="dxa"/>
              <w:left w:w="100" w:type="dxa"/>
              <w:bottom w:w="100" w:type="dxa"/>
              <w:right w:w="100" w:type="dxa"/>
            </w:tcMar>
          </w:tcPr>
          <w:p w14:paraId="4A01CE46" w14:textId="77777777" w:rsidR="00E63804" w:rsidRPr="001241AD" w:rsidRDefault="00E63804" w:rsidP="0051132A">
            <w:pPr>
              <w:tabs>
                <w:tab w:val="left" w:pos="360"/>
                <w:tab w:val="left" w:pos="540"/>
              </w:tabs>
              <w:spacing w:before="120" w:after="120" w:line="240" w:lineRule="auto"/>
              <w:ind w:right="602"/>
              <w:jc w:val="both"/>
              <w:rPr>
                <w:rFonts w:ascii="Calibri" w:eastAsia="Times New Roman" w:hAnsi="Calibri" w:cs="Times New Roman"/>
                <w:lang w:eastAsia="en-IN"/>
              </w:rPr>
            </w:pPr>
            <w:r w:rsidRPr="001241AD">
              <w:rPr>
                <w:rFonts w:ascii="Calibri" w:eastAsia="Times New Roman" w:hAnsi="Calibri" w:cs="Times New Roman"/>
                <w:lang w:eastAsia="en-IN"/>
              </w:rPr>
              <w:t>Renewable energy</w:t>
            </w:r>
          </w:p>
        </w:tc>
        <w:tc>
          <w:tcPr>
            <w:tcW w:w="2790" w:type="dxa"/>
            <w:shd w:val="clear" w:color="auto" w:fill="auto"/>
            <w:tcMar>
              <w:top w:w="100" w:type="dxa"/>
              <w:left w:w="100" w:type="dxa"/>
              <w:bottom w:w="100" w:type="dxa"/>
              <w:right w:w="100" w:type="dxa"/>
            </w:tcMar>
          </w:tcPr>
          <w:p w14:paraId="42533908" w14:textId="77777777" w:rsidR="00E63804" w:rsidRPr="001241AD" w:rsidRDefault="00E63804" w:rsidP="0051132A">
            <w:pPr>
              <w:tabs>
                <w:tab w:val="left" w:pos="360"/>
                <w:tab w:val="left" w:pos="540"/>
              </w:tabs>
              <w:spacing w:before="120" w:after="120" w:line="240" w:lineRule="auto"/>
              <w:ind w:right="602"/>
              <w:jc w:val="both"/>
              <w:rPr>
                <w:rFonts w:ascii="Calibri" w:eastAsia="Times New Roman" w:hAnsi="Calibri" w:cs="Times New Roman"/>
                <w:lang w:eastAsia="en-IN"/>
              </w:rPr>
            </w:pPr>
            <w:r w:rsidRPr="001241AD">
              <w:rPr>
                <w:rFonts w:ascii="Calibri" w:eastAsia="Times New Roman" w:hAnsi="Calibri" w:cs="Times New Roman"/>
                <w:lang w:eastAsia="en-IN"/>
              </w:rPr>
              <w:t>75</w:t>
            </w:r>
          </w:p>
        </w:tc>
      </w:tr>
      <w:tr w:rsidR="00E63804" w:rsidRPr="001241AD" w14:paraId="374D5C3C" w14:textId="77777777" w:rsidTr="0051132A">
        <w:trPr>
          <w:trHeight w:val="160"/>
        </w:trPr>
        <w:tc>
          <w:tcPr>
            <w:tcW w:w="1134" w:type="dxa"/>
            <w:shd w:val="clear" w:color="auto" w:fill="auto"/>
            <w:tcMar>
              <w:top w:w="100" w:type="dxa"/>
              <w:left w:w="100" w:type="dxa"/>
              <w:bottom w:w="100" w:type="dxa"/>
              <w:right w:w="100" w:type="dxa"/>
            </w:tcMar>
          </w:tcPr>
          <w:p w14:paraId="1238F9E3" w14:textId="77777777" w:rsidR="00E63804" w:rsidRPr="001241AD" w:rsidRDefault="00E63804" w:rsidP="0051132A">
            <w:pPr>
              <w:widowControl w:val="0"/>
              <w:pBdr>
                <w:top w:val="nil"/>
                <w:left w:val="nil"/>
                <w:bottom w:val="nil"/>
                <w:right w:val="nil"/>
                <w:between w:val="nil"/>
              </w:pBdr>
              <w:tabs>
                <w:tab w:val="left" w:pos="360"/>
                <w:tab w:val="left" w:pos="540"/>
              </w:tabs>
              <w:spacing w:before="120" w:after="120" w:line="240" w:lineRule="auto"/>
              <w:ind w:right="602"/>
              <w:jc w:val="both"/>
              <w:rPr>
                <w:rFonts w:ascii="Calibri" w:eastAsia="Times New Roman" w:hAnsi="Calibri" w:cs="Times New Roman"/>
                <w:lang w:eastAsia="en-IN"/>
              </w:rPr>
            </w:pPr>
            <w:r w:rsidRPr="001241AD">
              <w:rPr>
                <w:rFonts w:ascii="Calibri" w:eastAsia="Times New Roman" w:hAnsi="Calibri" w:cs="Times New Roman"/>
                <w:lang w:eastAsia="en-IN"/>
              </w:rPr>
              <w:t>5.</w:t>
            </w:r>
          </w:p>
        </w:tc>
        <w:tc>
          <w:tcPr>
            <w:tcW w:w="3522" w:type="dxa"/>
            <w:shd w:val="clear" w:color="auto" w:fill="auto"/>
            <w:tcMar>
              <w:top w:w="100" w:type="dxa"/>
              <w:left w:w="100" w:type="dxa"/>
              <w:bottom w:w="100" w:type="dxa"/>
              <w:right w:w="100" w:type="dxa"/>
            </w:tcMar>
          </w:tcPr>
          <w:p w14:paraId="2ED735C9" w14:textId="77777777" w:rsidR="00E63804" w:rsidRPr="001241AD" w:rsidRDefault="00E63804" w:rsidP="0051132A">
            <w:pPr>
              <w:tabs>
                <w:tab w:val="left" w:pos="360"/>
                <w:tab w:val="left" w:pos="540"/>
              </w:tabs>
              <w:spacing w:before="120" w:after="120" w:line="240" w:lineRule="auto"/>
              <w:ind w:right="602"/>
              <w:jc w:val="both"/>
              <w:rPr>
                <w:rFonts w:ascii="Calibri" w:eastAsia="Times New Roman" w:hAnsi="Calibri" w:cs="Times New Roman"/>
                <w:lang w:eastAsia="en-IN"/>
              </w:rPr>
            </w:pPr>
            <w:r w:rsidRPr="001241AD">
              <w:rPr>
                <w:rFonts w:ascii="Calibri" w:eastAsia="Times New Roman" w:hAnsi="Calibri" w:cs="Times New Roman"/>
                <w:lang w:eastAsia="en-IN"/>
              </w:rPr>
              <w:t>Drinking Water Supply System Lampung</w:t>
            </w:r>
          </w:p>
        </w:tc>
        <w:tc>
          <w:tcPr>
            <w:tcW w:w="1605" w:type="dxa"/>
            <w:shd w:val="clear" w:color="auto" w:fill="auto"/>
            <w:tcMar>
              <w:top w:w="100" w:type="dxa"/>
              <w:left w:w="100" w:type="dxa"/>
              <w:bottom w:w="100" w:type="dxa"/>
              <w:right w:w="100" w:type="dxa"/>
            </w:tcMar>
          </w:tcPr>
          <w:p w14:paraId="11371BF7" w14:textId="77777777" w:rsidR="00E63804" w:rsidRPr="001241AD" w:rsidRDefault="00E63804" w:rsidP="0051132A">
            <w:pPr>
              <w:tabs>
                <w:tab w:val="left" w:pos="360"/>
                <w:tab w:val="left" w:pos="540"/>
              </w:tabs>
              <w:spacing w:before="120" w:after="120" w:line="240" w:lineRule="auto"/>
              <w:ind w:right="602"/>
              <w:jc w:val="both"/>
              <w:rPr>
                <w:rFonts w:ascii="Calibri" w:eastAsia="Times New Roman" w:hAnsi="Calibri" w:cs="Times New Roman"/>
                <w:lang w:eastAsia="en-IN"/>
              </w:rPr>
            </w:pPr>
            <w:r w:rsidRPr="001241AD">
              <w:rPr>
                <w:rFonts w:ascii="Calibri" w:eastAsia="Times New Roman" w:hAnsi="Calibri" w:cs="Times New Roman"/>
                <w:lang w:eastAsia="en-IN"/>
              </w:rPr>
              <w:t>Water supply</w:t>
            </w:r>
          </w:p>
        </w:tc>
        <w:tc>
          <w:tcPr>
            <w:tcW w:w="2790" w:type="dxa"/>
            <w:shd w:val="clear" w:color="auto" w:fill="auto"/>
            <w:tcMar>
              <w:top w:w="100" w:type="dxa"/>
              <w:left w:w="100" w:type="dxa"/>
              <w:bottom w:w="100" w:type="dxa"/>
              <w:right w:w="100" w:type="dxa"/>
            </w:tcMar>
          </w:tcPr>
          <w:p w14:paraId="0A389233" w14:textId="77777777" w:rsidR="00E63804" w:rsidRPr="001241AD" w:rsidRDefault="00E63804" w:rsidP="0051132A">
            <w:pPr>
              <w:tabs>
                <w:tab w:val="left" w:pos="360"/>
                <w:tab w:val="left" w:pos="540"/>
              </w:tabs>
              <w:spacing w:before="120" w:after="120" w:line="240" w:lineRule="auto"/>
              <w:ind w:right="602"/>
              <w:jc w:val="both"/>
              <w:rPr>
                <w:rFonts w:ascii="Calibri" w:eastAsia="Times New Roman" w:hAnsi="Calibri" w:cs="Times New Roman"/>
                <w:lang w:eastAsia="en-IN"/>
              </w:rPr>
            </w:pPr>
            <w:r w:rsidRPr="001241AD">
              <w:rPr>
                <w:rFonts w:ascii="Calibri" w:eastAsia="Times New Roman" w:hAnsi="Calibri" w:cs="Times New Roman"/>
                <w:lang w:eastAsia="en-IN"/>
              </w:rPr>
              <w:t>49.86</w:t>
            </w:r>
          </w:p>
        </w:tc>
      </w:tr>
      <w:tr w:rsidR="00E63804" w:rsidRPr="001241AD" w14:paraId="7AE44C22" w14:textId="77777777" w:rsidTr="0051132A">
        <w:trPr>
          <w:trHeight w:val="160"/>
        </w:trPr>
        <w:tc>
          <w:tcPr>
            <w:tcW w:w="1134" w:type="dxa"/>
            <w:shd w:val="clear" w:color="auto" w:fill="auto"/>
            <w:tcMar>
              <w:top w:w="100" w:type="dxa"/>
              <w:left w:w="100" w:type="dxa"/>
              <w:bottom w:w="100" w:type="dxa"/>
              <w:right w:w="100" w:type="dxa"/>
            </w:tcMar>
          </w:tcPr>
          <w:p w14:paraId="2DD83BFF" w14:textId="77777777" w:rsidR="00E63804" w:rsidRPr="001241AD" w:rsidRDefault="00E63804" w:rsidP="0051132A">
            <w:pPr>
              <w:widowControl w:val="0"/>
              <w:pBdr>
                <w:top w:val="nil"/>
                <w:left w:val="nil"/>
                <w:bottom w:val="nil"/>
                <w:right w:val="nil"/>
                <w:between w:val="nil"/>
              </w:pBdr>
              <w:tabs>
                <w:tab w:val="left" w:pos="360"/>
                <w:tab w:val="left" w:pos="540"/>
              </w:tabs>
              <w:spacing w:before="120" w:after="120" w:line="240" w:lineRule="auto"/>
              <w:ind w:right="602"/>
              <w:jc w:val="both"/>
              <w:rPr>
                <w:rFonts w:ascii="Calibri" w:eastAsia="Times New Roman" w:hAnsi="Calibri" w:cs="Times New Roman"/>
                <w:lang w:eastAsia="en-IN"/>
              </w:rPr>
            </w:pPr>
            <w:r w:rsidRPr="001241AD">
              <w:rPr>
                <w:rFonts w:ascii="Calibri" w:eastAsia="Times New Roman" w:hAnsi="Calibri" w:cs="Times New Roman"/>
                <w:lang w:eastAsia="en-IN"/>
              </w:rPr>
              <w:t>6.</w:t>
            </w:r>
          </w:p>
        </w:tc>
        <w:tc>
          <w:tcPr>
            <w:tcW w:w="3522" w:type="dxa"/>
            <w:shd w:val="clear" w:color="auto" w:fill="auto"/>
            <w:tcMar>
              <w:top w:w="100" w:type="dxa"/>
              <w:left w:w="100" w:type="dxa"/>
              <w:bottom w:w="100" w:type="dxa"/>
              <w:right w:w="100" w:type="dxa"/>
            </w:tcMar>
          </w:tcPr>
          <w:p w14:paraId="5B826314" w14:textId="77777777" w:rsidR="00E63804" w:rsidRPr="001241AD" w:rsidRDefault="00E63804" w:rsidP="0051132A">
            <w:pPr>
              <w:tabs>
                <w:tab w:val="left" w:pos="360"/>
                <w:tab w:val="left" w:pos="540"/>
              </w:tabs>
              <w:spacing w:before="120" w:after="120" w:line="240" w:lineRule="auto"/>
              <w:ind w:right="602"/>
              <w:jc w:val="both"/>
              <w:rPr>
                <w:rFonts w:ascii="Calibri" w:eastAsia="Times New Roman" w:hAnsi="Calibri" w:cs="Times New Roman"/>
                <w:lang w:eastAsia="en-IN"/>
              </w:rPr>
            </w:pPr>
            <w:proofErr w:type="spellStart"/>
            <w:r w:rsidRPr="001241AD">
              <w:rPr>
                <w:rFonts w:ascii="Calibri" w:eastAsia="Times New Roman" w:hAnsi="Calibri" w:cs="Times New Roman"/>
                <w:lang w:eastAsia="en-IN"/>
              </w:rPr>
              <w:t>Dharmais</w:t>
            </w:r>
            <w:proofErr w:type="spellEnd"/>
            <w:r w:rsidRPr="001241AD">
              <w:rPr>
                <w:rFonts w:ascii="Calibri" w:eastAsia="Times New Roman" w:hAnsi="Calibri" w:cs="Times New Roman"/>
                <w:lang w:eastAsia="en-IN"/>
              </w:rPr>
              <w:t xml:space="preserve"> Cancer Hospital</w:t>
            </w:r>
          </w:p>
        </w:tc>
        <w:tc>
          <w:tcPr>
            <w:tcW w:w="1605" w:type="dxa"/>
            <w:shd w:val="clear" w:color="auto" w:fill="auto"/>
            <w:tcMar>
              <w:top w:w="100" w:type="dxa"/>
              <w:left w:w="100" w:type="dxa"/>
              <w:bottom w:w="100" w:type="dxa"/>
              <w:right w:w="100" w:type="dxa"/>
            </w:tcMar>
          </w:tcPr>
          <w:p w14:paraId="341FCE02" w14:textId="77777777" w:rsidR="00E63804" w:rsidRPr="001241AD" w:rsidRDefault="00E63804" w:rsidP="0051132A">
            <w:pPr>
              <w:tabs>
                <w:tab w:val="left" w:pos="360"/>
                <w:tab w:val="left" w:pos="540"/>
              </w:tabs>
              <w:spacing w:before="120" w:after="120" w:line="240" w:lineRule="auto"/>
              <w:ind w:right="602"/>
              <w:jc w:val="both"/>
              <w:rPr>
                <w:rFonts w:ascii="Calibri" w:eastAsia="Times New Roman" w:hAnsi="Calibri" w:cs="Times New Roman"/>
                <w:lang w:eastAsia="en-IN"/>
              </w:rPr>
            </w:pPr>
            <w:r w:rsidRPr="001241AD">
              <w:rPr>
                <w:rFonts w:ascii="Calibri" w:eastAsia="Times New Roman" w:hAnsi="Calibri" w:cs="Times New Roman"/>
                <w:lang w:eastAsia="en-IN"/>
              </w:rPr>
              <w:t>Healthcare</w:t>
            </w:r>
          </w:p>
        </w:tc>
        <w:tc>
          <w:tcPr>
            <w:tcW w:w="2790" w:type="dxa"/>
            <w:shd w:val="clear" w:color="auto" w:fill="auto"/>
            <w:tcMar>
              <w:top w:w="100" w:type="dxa"/>
              <w:left w:w="100" w:type="dxa"/>
              <w:bottom w:w="100" w:type="dxa"/>
              <w:right w:w="100" w:type="dxa"/>
            </w:tcMar>
          </w:tcPr>
          <w:p w14:paraId="432EF11A" w14:textId="77777777" w:rsidR="00E63804" w:rsidRPr="001241AD" w:rsidRDefault="00E63804" w:rsidP="0051132A">
            <w:pPr>
              <w:widowControl w:val="0"/>
              <w:pBdr>
                <w:top w:val="nil"/>
                <w:left w:val="nil"/>
                <w:bottom w:val="nil"/>
                <w:right w:val="nil"/>
                <w:between w:val="nil"/>
              </w:pBdr>
              <w:tabs>
                <w:tab w:val="left" w:pos="360"/>
                <w:tab w:val="left" w:pos="540"/>
              </w:tabs>
              <w:spacing w:before="120" w:after="120" w:line="240" w:lineRule="auto"/>
              <w:ind w:right="602"/>
              <w:jc w:val="both"/>
              <w:rPr>
                <w:rFonts w:ascii="Calibri" w:eastAsia="Times New Roman" w:hAnsi="Calibri" w:cs="Times New Roman"/>
                <w:lang w:eastAsia="en-IN"/>
              </w:rPr>
            </w:pPr>
            <w:r w:rsidRPr="001241AD">
              <w:rPr>
                <w:rFonts w:ascii="Calibri" w:eastAsia="Times New Roman" w:hAnsi="Calibri" w:cs="Times New Roman"/>
                <w:lang w:eastAsia="en-IN"/>
              </w:rPr>
              <w:t>45.6</w:t>
            </w:r>
          </w:p>
        </w:tc>
      </w:tr>
      <w:tr w:rsidR="00E63804" w:rsidRPr="001241AD" w14:paraId="1C8DAAC7" w14:textId="77777777" w:rsidTr="0051132A">
        <w:trPr>
          <w:trHeight w:val="160"/>
        </w:trPr>
        <w:tc>
          <w:tcPr>
            <w:tcW w:w="1134" w:type="dxa"/>
            <w:shd w:val="clear" w:color="auto" w:fill="auto"/>
            <w:tcMar>
              <w:top w:w="100" w:type="dxa"/>
              <w:left w:w="100" w:type="dxa"/>
              <w:bottom w:w="100" w:type="dxa"/>
              <w:right w:w="100" w:type="dxa"/>
            </w:tcMar>
          </w:tcPr>
          <w:p w14:paraId="23499E74" w14:textId="77777777" w:rsidR="00E63804" w:rsidRPr="001241AD" w:rsidRDefault="00E63804" w:rsidP="0051132A">
            <w:pPr>
              <w:widowControl w:val="0"/>
              <w:pBdr>
                <w:top w:val="nil"/>
                <w:left w:val="nil"/>
                <w:bottom w:val="nil"/>
                <w:right w:val="nil"/>
                <w:between w:val="nil"/>
              </w:pBdr>
              <w:tabs>
                <w:tab w:val="left" w:pos="360"/>
                <w:tab w:val="left" w:pos="540"/>
              </w:tabs>
              <w:spacing w:before="120" w:after="120" w:line="240" w:lineRule="auto"/>
              <w:ind w:right="602"/>
              <w:jc w:val="both"/>
              <w:rPr>
                <w:rFonts w:ascii="Calibri" w:eastAsia="Times New Roman" w:hAnsi="Calibri" w:cs="Times New Roman"/>
                <w:lang w:eastAsia="en-IN"/>
              </w:rPr>
            </w:pPr>
            <w:r w:rsidRPr="001241AD">
              <w:rPr>
                <w:rFonts w:ascii="Calibri" w:eastAsia="Times New Roman" w:hAnsi="Calibri" w:cs="Times New Roman"/>
                <w:lang w:eastAsia="en-IN"/>
              </w:rPr>
              <w:t>7.</w:t>
            </w:r>
          </w:p>
        </w:tc>
        <w:tc>
          <w:tcPr>
            <w:tcW w:w="3522" w:type="dxa"/>
            <w:shd w:val="clear" w:color="auto" w:fill="auto"/>
            <w:tcMar>
              <w:top w:w="100" w:type="dxa"/>
              <w:left w:w="100" w:type="dxa"/>
              <w:bottom w:w="100" w:type="dxa"/>
              <w:right w:w="100" w:type="dxa"/>
            </w:tcMar>
          </w:tcPr>
          <w:p w14:paraId="5A508368" w14:textId="77777777" w:rsidR="00E63804" w:rsidRPr="001241AD" w:rsidRDefault="00E63804" w:rsidP="0051132A">
            <w:pPr>
              <w:tabs>
                <w:tab w:val="left" w:pos="360"/>
                <w:tab w:val="left" w:pos="540"/>
              </w:tabs>
              <w:spacing w:before="120" w:after="120" w:line="240" w:lineRule="auto"/>
              <w:ind w:right="602"/>
              <w:jc w:val="both"/>
              <w:rPr>
                <w:rFonts w:ascii="Calibri" w:eastAsia="Times New Roman" w:hAnsi="Calibri" w:cs="Times New Roman"/>
                <w:lang w:eastAsia="en-IN"/>
              </w:rPr>
            </w:pPr>
            <w:proofErr w:type="spellStart"/>
            <w:r w:rsidRPr="001241AD">
              <w:rPr>
                <w:rFonts w:ascii="Calibri" w:eastAsia="Times New Roman" w:hAnsi="Calibri" w:cs="Times New Roman"/>
                <w:lang w:eastAsia="en-IN"/>
              </w:rPr>
              <w:t>Pirngadi</w:t>
            </w:r>
            <w:proofErr w:type="spellEnd"/>
            <w:r w:rsidRPr="001241AD">
              <w:rPr>
                <w:rFonts w:ascii="Calibri" w:eastAsia="Times New Roman" w:hAnsi="Calibri" w:cs="Times New Roman"/>
                <w:lang w:eastAsia="en-IN"/>
              </w:rPr>
              <w:t xml:space="preserve"> Public Hospital</w:t>
            </w:r>
          </w:p>
        </w:tc>
        <w:tc>
          <w:tcPr>
            <w:tcW w:w="1605" w:type="dxa"/>
            <w:shd w:val="clear" w:color="auto" w:fill="auto"/>
            <w:tcMar>
              <w:top w:w="100" w:type="dxa"/>
              <w:left w:w="100" w:type="dxa"/>
              <w:bottom w:w="100" w:type="dxa"/>
              <w:right w:w="100" w:type="dxa"/>
            </w:tcMar>
          </w:tcPr>
          <w:p w14:paraId="5DCE209E" w14:textId="77777777" w:rsidR="00E63804" w:rsidRPr="001241AD" w:rsidRDefault="00E63804" w:rsidP="0051132A">
            <w:pPr>
              <w:tabs>
                <w:tab w:val="left" w:pos="360"/>
                <w:tab w:val="left" w:pos="540"/>
              </w:tabs>
              <w:spacing w:before="120" w:after="120" w:line="240" w:lineRule="auto"/>
              <w:ind w:right="602"/>
              <w:jc w:val="both"/>
              <w:rPr>
                <w:rFonts w:ascii="Calibri" w:eastAsia="Times New Roman" w:hAnsi="Calibri" w:cs="Times New Roman"/>
                <w:lang w:eastAsia="en-IN"/>
              </w:rPr>
            </w:pPr>
            <w:r w:rsidRPr="001241AD">
              <w:rPr>
                <w:rFonts w:ascii="Calibri" w:eastAsia="Times New Roman" w:hAnsi="Calibri" w:cs="Times New Roman"/>
                <w:lang w:eastAsia="en-IN"/>
              </w:rPr>
              <w:t>Healthcare</w:t>
            </w:r>
          </w:p>
        </w:tc>
        <w:tc>
          <w:tcPr>
            <w:tcW w:w="2790" w:type="dxa"/>
            <w:shd w:val="clear" w:color="auto" w:fill="auto"/>
            <w:tcMar>
              <w:top w:w="100" w:type="dxa"/>
              <w:left w:w="100" w:type="dxa"/>
              <w:bottom w:w="100" w:type="dxa"/>
              <w:right w:w="100" w:type="dxa"/>
            </w:tcMar>
          </w:tcPr>
          <w:p w14:paraId="47C6468F" w14:textId="77777777" w:rsidR="00E63804" w:rsidRPr="001241AD" w:rsidRDefault="00E63804" w:rsidP="0051132A">
            <w:pPr>
              <w:widowControl w:val="0"/>
              <w:pBdr>
                <w:top w:val="nil"/>
                <w:left w:val="nil"/>
                <w:bottom w:val="nil"/>
                <w:right w:val="nil"/>
                <w:between w:val="nil"/>
              </w:pBdr>
              <w:tabs>
                <w:tab w:val="left" w:pos="360"/>
                <w:tab w:val="left" w:pos="540"/>
              </w:tabs>
              <w:spacing w:before="120" w:after="120" w:line="240" w:lineRule="auto"/>
              <w:ind w:right="602"/>
              <w:jc w:val="both"/>
              <w:rPr>
                <w:rFonts w:ascii="Calibri" w:eastAsia="Times New Roman" w:hAnsi="Calibri" w:cs="Times New Roman"/>
                <w:lang w:eastAsia="en-IN"/>
              </w:rPr>
            </w:pPr>
            <w:r w:rsidRPr="001241AD">
              <w:rPr>
                <w:rFonts w:ascii="Calibri" w:eastAsia="Times New Roman" w:hAnsi="Calibri" w:cs="Times New Roman"/>
                <w:lang w:eastAsia="en-IN"/>
              </w:rPr>
              <w:t>40.7</w:t>
            </w:r>
          </w:p>
        </w:tc>
      </w:tr>
      <w:tr w:rsidR="00E63804" w:rsidRPr="001241AD" w14:paraId="2813A610" w14:textId="77777777" w:rsidTr="0051132A">
        <w:trPr>
          <w:trHeight w:val="160"/>
        </w:trPr>
        <w:tc>
          <w:tcPr>
            <w:tcW w:w="1134" w:type="dxa"/>
            <w:shd w:val="clear" w:color="auto" w:fill="auto"/>
            <w:tcMar>
              <w:top w:w="100" w:type="dxa"/>
              <w:left w:w="100" w:type="dxa"/>
              <w:bottom w:w="100" w:type="dxa"/>
              <w:right w:w="100" w:type="dxa"/>
            </w:tcMar>
          </w:tcPr>
          <w:p w14:paraId="01DD4B12" w14:textId="77777777" w:rsidR="00E63804" w:rsidRPr="001241AD" w:rsidRDefault="00E63804" w:rsidP="0051132A">
            <w:pPr>
              <w:widowControl w:val="0"/>
              <w:pBdr>
                <w:top w:val="nil"/>
                <w:left w:val="nil"/>
                <w:bottom w:val="nil"/>
                <w:right w:val="nil"/>
                <w:between w:val="nil"/>
              </w:pBdr>
              <w:tabs>
                <w:tab w:val="left" w:pos="360"/>
                <w:tab w:val="left" w:pos="540"/>
              </w:tabs>
              <w:spacing w:before="120" w:after="120" w:line="240" w:lineRule="auto"/>
              <w:ind w:right="602"/>
              <w:jc w:val="both"/>
              <w:rPr>
                <w:rFonts w:ascii="Calibri" w:eastAsia="Times New Roman" w:hAnsi="Calibri" w:cs="Times New Roman"/>
                <w:lang w:eastAsia="en-IN"/>
              </w:rPr>
            </w:pPr>
            <w:r w:rsidRPr="001241AD">
              <w:rPr>
                <w:rFonts w:ascii="Calibri" w:eastAsia="Times New Roman" w:hAnsi="Calibri" w:cs="Times New Roman"/>
                <w:lang w:eastAsia="en-IN"/>
              </w:rPr>
              <w:t>8.</w:t>
            </w:r>
          </w:p>
        </w:tc>
        <w:tc>
          <w:tcPr>
            <w:tcW w:w="3522" w:type="dxa"/>
            <w:shd w:val="clear" w:color="auto" w:fill="auto"/>
            <w:tcMar>
              <w:top w:w="100" w:type="dxa"/>
              <w:left w:w="100" w:type="dxa"/>
              <w:bottom w:w="100" w:type="dxa"/>
              <w:right w:w="100" w:type="dxa"/>
            </w:tcMar>
          </w:tcPr>
          <w:p w14:paraId="21959C8D" w14:textId="77777777" w:rsidR="00E63804" w:rsidRPr="001241AD" w:rsidRDefault="00E63804" w:rsidP="0051132A">
            <w:pPr>
              <w:tabs>
                <w:tab w:val="left" w:pos="360"/>
                <w:tab w:val="left" w:pos="540"/>
              </w:tabs>
              <w:spacing w:before="120" w:after="120" w:line="240" w:lineRule="auto"/>
              <w:ind w:right="602"/>
              <w:jc w:val="both"/>
              <w:rPr>
                <w:rFonts w:ascii="Calibri" w:eastAsia="Times New Roman" w:hAnsi="Calibri" w:cs="Times New Roman"/>
                <w:lang w:eastAsia="en-IN"/>
              </w:rPr>
            </w:pPr>
            <w:proofErr w:type="spellStart"/>
            <w:r w:rsidRPr="001241AD">
              <w:rPr>
                <w:rFonts w:ascii="Calibri" w:eastAsia="Times New Roman" w:hAnsi="Calibri" w:cs="Times New Roman"/>
                <w:lang w:eastAsia="en-IN"/>
              </w:rPr>
              <w:t>Pekanbaru</w:t>
            </w:r>
            <w:proofErr w:type="spellEnd"/>
            <w:r w:rsidRPr="001241AD">
              <w:rPr>
                <w:rFonts w:ascii="Calibri" w:eastAsia="Times New Roman" w:hAnsi="Calibri" w:cs="Times New Roman"/>
                <w:lang w:eastAsia="en-IN"/>
              </w:rPr>
              <w:t xml:space="preserve"> Water Supply</w:t>
            </w:r>
          </w:p>
        </w:tc>
        <w:tc>
          <w:tcPr>
            <w:tcW w:w="1605" w:type="dxa"/>
            <w:shd w:val="clear" w:color="auto" w:fill="auto"/>
            <w:tcMar>
              <w:top w:w="100" w:type="dxa"/>
              <w:left w:w="100" w:type="dxa"/>
              <w:bottom w:w="100" w:type="dxa"/>
              <w:right w:w="100" w:type="dxa"/>
            </w:tcMar>
          </w:tcPr>
          <w:p w14:paraId="03A38ABF" w14:textId="77777777" w:rsidR="00E63804" w:rsidRPr="001241AD" w:rsidRDefault="00E63804" w:rsidP="0051132A">
            <w:pPr>
              <w:tabs>
                <w:tab w:val="left" w:pos="360"/>
                <w:tab w:val="left" w:pos="540"/>
              </w:tabs>
              <w:spacing w:before="120" w:after="120" w:line="240" w:lineRule="auto"/>
              <w:ind w:right="602"/>
              <w:jc w:val="both"/>
              <w:rPr>
                <w:rFonts w:ascii="Calibri" w:eastAsia="Times New Roman" w:hAnsi="Calibri" w:cs="Times New Roman"/>
                <w:lang w:eastAsia="en-IN"/>
              </w:rPr>
            </w:pPr>
            <w:r w:rsidRPr="001241AD">
              <w:rPr>
                <w:rFonts w:ascii="Calibri" w:eastAsia="Times New Roman" w:hAnsi="Calibri" w:cs="Times New Roman"/>
                <w:lang w:eastAsia="en-IN"/>
              </w:rPr>
              <w:t>Water supply</w:t>
            </w:r>
          </w:p>
        </w:tc>
        <w:tc>
          <w:tcPr>
            <w:tcW w:w="2790" w:type="dxa"/>
            <w:shd w:val="clear" w:color="auto" w:fill="auto"/>
            <w:tcMar>
              <w:top w:w="100" w:type="dxa"/>
              <w:left w:w="100" w:type="dxa"/>
              <w:bottom w:w="100" w:type="dxa"/>
              <w:right w:w="100" w:type="dxa"/>
            </w:tcMar>
          </w:tcPr>
          <w:p w14:paraId="340E6A60" w14:textId="77777777" w:rsidR="00E63804" w:rsidRPr="001241AD" w:rsidRDefault="00E63804" w:rsidP="0051132A">
            <w:pPr>
              <w:widowControl w:val="0"/>
              <w:pBdr>
                <w:top w:val="nil"/>
                <w:left w:val="nil"/>
                <w:bottom w:val="nil"/>
                <w:right w:val="nil"/>
                <w:between w:val="nil"/>
              </w:pBdr>
              <w:tabs>
                <w:tab w:val="left" w:pos="360"/>
                <w:tab w:val="left" w:pos="540"/>
              </w:tabs>
              <w:spacing w:before="120" w:after="120" w:line="240" w:lineRule="auto"/>
              <w:ind w:right="602"/>
              <w:jc w:val="both"/>
              <w:rPr>
                <w:rFonts w:ascii="Calibri" w:eastAsia="Times New Roman" w:hAnsi="Calibri" w:cs="Times New Roman"/>
                <w:lang w:eastAsia="en-IN"/>
              </w:rPr>
            </w:pPr>
            <w:r w:rsidRPr="001241AD">
              <w:rPr>
                <w:rFonts w:ascii="Calibri" w:eastAsia="Times New Roman" w:hAnsi="Calibri" w:cs="Times New Roman"/>
                <w:lang w:eastAsia="en-IN"/>
              </w:rPr>
              <w:t>33.8</w:t>
            </w:r>
          </w:p>
        </w:tc>
      </w:tr>
      <w:tr w:rsidR="00E63804" w:rsidRPr="001241AD" w14:paraId="03A7EC35" w14:textId="77777777" w:rsidTr="0051132A">
        <w:trPr>
          <w:trHeight w:val="160"/>
        </w:trPr>
        <w:tc>
          <w:tcPr>
            <w:tcW w:w="1134" w:type="dxa"/>
            <w:shd w:val="clear" w:color="auto" w:fill="auto"/>
            <w:tcMar>
              <w:top w:w="100" w:type="dxa"/>
              <w:left w:w="100" w:type="dxa"/>
              <w:bottom w:w="100" w:type="dxa"/>
              <w:right w:w="100" w:type="dxa"/>
            </w:tcMar>
          </w:tcPr>
          <w:p w14:paraId="14D68EB4" w14:textId="77777777" w:rsidR="00E63804" w:rsidRPr="001241AD" w:rsidRDefault="00E63804" w:rsidP="0051132A">
            <w:pPr>
              <w:widowControl w:val="0"/>
              <w:pBdr>
                <w:top w:val="nil"/>
                <w:left w:val="nil"/>
                <w:bottom w:val="nil"/>
                <w:right w:val="nil"/>
                <w:between w:val="nil"/>
              </w:pBdr>
              <w:tabs>
                <w:tab w:val="left" w:pos="360"/>
                <w:tab w:val="left" w:pos="540"/>
              </w:tabs>
              <w:spacing w:before="120" w:after="120" w:line="240" w:lineRule="auto"/>
              <w:ind w:right="602"/>
              <w:jc w:val="both"/>
              <w:rPr>
                <w:rFonts w:ascii="Calibri" w:eastAsia="Times New Roman" w:hAnsi="Calibri" w:cs="Times New Roman"/>
                <w:lang w:eastAsia="en-IN"/>
              </w:rPr>
            </w:pPr>
            <w:r w:rsidRPr="001241AD">
              <w:rPr>
                <w:rFonts w:ascii="Calibri" w:eastAsia="Times New Roman" w:hAnsi="Calibri" w:cs="Times New Roman"/>
                <w:lang w:eastAsia="en-IN"/>
              </w:rPr>
              <w:t>9.</w:t>
            </w:r>
          </w:p>
        </w:tc>
        <w:tc>
          <w:tcPr>
            <w:tcW w:w="3522" w:type="dxa"/>
            <w:shd w:val="clear" w:color="auto" w:fill="auto"/>
            <w:tcMar>
              <w:top w:w="100" w:type="dxa"/>
              <w:left w:w="100" w:type="dxa"/>
              <w:bottom w:w="100" w:type="dxa"/>
              <w:right w:w="100" w:type="dxa"/>
            </w:tcMar>
          </w:tcPr>
          <w:p w14:paraId="062D4F88" w14:textId="77777777" w:rsidR="00E63804" w:rsidRPr="001241AD" w:rsidRDefault="00E63804" w:rsidP="0051132A">
            <w:pPr>
              <w:tabs>
                <w:tab w:val="left" w:pos="360"/>
                <w:tab w:val="left" w:pos="540"/>
              </w:tabs>
              <w:spacing w:before="120" w:after="120" w:line="240" w:lineRule="auto"/>
              <w:ind w:right="602"/>
              <w:jc w:val="both"/>
              <w:rPr>
                <w:rFonts w:ascii="Calibri" w:eastAsia="Times New Roman" w:hAnsi="Calibri" w:cs="Times New Roman"/>
                <w:lang w:eastAsia="en-IN"/>
              </w:rPr>
            </w:pPr>
            <w:r w:rsidRPr="001241AD">
              <w:rPr>
                <w:rFonts w:ascii="Calibri" w:eastAsia="Times New Roman" w:hAnsi="Calibri" w:cs="Times New Roman"/>
                <w:lang w:eastAsia="en-IN"/>
              </w:rPr>
              <w:t xml:space="preserve">GEUDP </w:t>
            </w:r>
            <w:proofErr w:type="spellStart"/>
            <w:r w:rsidRPr="001241AD">
              <w:rPr>
                <w:rFonts w:ascii="Calibri" w:eastAsia="Times New Roman" w:hAnsi="Calibri" w:cs="Times New Roman"/>
                <w:lang w:eastAsia="en-IN"/>
              </w:rPr>
              <w:t>Waesano</w:t>
            </w:r>
            <w:proofErr w:type="spellEnd"/>
            <w:r w:rsidRPr="001241AD">
              <w:rPr>
                <w:rFonts w:ascii="Calibri" w:eastAsia="Times New Roman" w:hAnsi="Calibri" w:cs="Times New Roman"/>
                <w:lang w:eastAsia="en-IN"/>
              </w:rPr>
              <w:t xml:space="preserve"> Geothermal Exploration Project</w:t>
            </w:r>
          </w:p>
        </w:tc>
        <w:tc>
          <w:tcPr>
            <w:tcW w:w="1605" w:type="dxa"/>
            <w:shd w:val="clear" w:color="auto" w:fill="auto"/>
            <w:tcMar>
              <w:top w:w="100" w:type="dxa"/>
              <w:left w:w="100" w:type="dxa"/>
              <w:bottom w:w="100" w:type="dxa"/>
              <w:right w:w="100" w:type="dxa"/>
            </w:tcMar>
          </w:tcPr>
          <w:p w14:paraId="1350DA78" w14:textId="77777777" w:rsidR="00E63804" w:rsidRPr="001241AD" w:rsidRDefault="00E63804" w:rsidP="0051132A">
            <w:pPr>
              <w:widowControl w:val="0"/>
              <w:tabs>
                <w:tab w:val="left" w:pos="360"/>
                <w:tab w:val="left" w:pos="540"/>
              </w:tabs>
              <w:spacing w:before="120" w:after="120" w:line="240" w:lineRule="auto"/>
              <w:ind w:right="602"/>
              <w:jc w:val="both"/>
              <w:rPr>
                <w:rFonts w:ascii="Calibri" w:eastAsia="Times New Roman" w:hAnsi="Calibri" w:cs="Times New Roman"/>
                <w:lang w:eastAsia="en-IN"/>
              </w:rPr>
            </w:pPr>
            <w:r w:rsidRPr="001241AD">
              <w:rPr>
                <w:rFonts w:ascii="Calibri" w:eastAsia="Times New Roman" w:hAnsi="Calibri" w:cs="Times New Roman"/>
                <w:lang w:eastAsia="en-IN"/>
              </w:rPr>
              <w:t>Renewable energy</w:t>
            </w:r>
          </w:p>
        </w:tc>
        <w:tc>
          <w:tcPr>
            <w:tcW w:w="2790" w:type="dxa"/>
            <w:shd w:val="clear" w:color="auto" w:fill="auto"/>
            <w:tcMar>
              <w:top w:w="100" w:type="dxa"/>
              <w:left w:w="100" w:type="dxa"/>
              <w:bottom w:w="100" w:type="dxa"/>
              <w:right w:w="100" w:type="dxa"/>
            </w:tcMar>
          </w:tcPr>
          <w:p w14:paraId="1FD9DAB4" w14:textId="77777777" w:rsidR="00E63804" w:rsidRPr="001241AD" w:rsidRDefault="00E63804" w:rsidP="0051132A">
            <w:pPr>
              <w:widowControl w:val="0"/>
              <w:pBdr>
                <w:top w:val="nil"/>
                <w:left w:val="nil"/>
                <w:bottom w:val="nil"/>
                <w:right w:val="nil"/>
                <w:between w:val="nil"/>
              </w:pBdr>
              <w:tabs>
                <w:tab w:val="left" w:pos="360"/>
                <w:tab w:val="left" w:pos="540"/>
              </w:tabs>
              <w:spacing w:before="120" w:after="120" w:line="240" w:lineRule="auto"/>
              <w:ind w:right="602"/>
              <w:jc w:val="both"/>
              <w:rPr>
                <w:rFonts w:ascii="Calibri" w:eastAsia="Times New Roman" w:hAnsi="Calibri" w:cs="Times New Roman"/>
                <w:lang w:eastAsia="en-IN"/>
              </w:rPr>
            </w:pPr>
            <w:r w:rsidRPr="001241AD">
              <w:rPr>
                <w:rFonts w:ascii="Calibri" w:eastAsia="Times New Roman" w:hAnsi="Calibri" w:cs="Times New Roman"/>
                <w:lang w:eastAsia="en-IN"/>
              </w:rPr>
              <w:t>30.3</w:t>
            </w:r>
          </w:p>
        </w:tc>
      </w:tr>
      <w:tr w:rsidR="00E63804" w:rsidRPr="001241AD" w14:paraId="377495B1" w14:textId="77777777" w:rsidTr="0051132A">
        <w:trPr>
          <w:trHeight w:val="160"/>
        </w:trPr>
        <w:tc>
          <w:tcPr>
            <w:tcW w:w="1134" w:type="dxa"/>
            <w:shd w:val="clear" w:color="auto" w:fill="auto"/>
            <w:tcMar>
              <w:top w:w="100" w:type="dxa"/>
              <w:left w:w="100" w:type="dxa"/>
              <w:bottom w:w="100" w:type="dxa"/>
              <w:right w:w="100" w:type="dxa"/>
            </w:tcMar>
          </w:tcPr>
          <w:p w14:paraId="5C1D654D" w14:textId="77777777" w:rsidR="00E63804" w:rsidRPr="001241AD" w:rsidRDefault="00E63804" w:rsidP="0051132A">
            <w:pPr>
              <w:widowControl w:val="0"/>
              <w:pBdr>
                <w:top w:val="nil"/>
                <w:left w:val="nil"/>
                <w:bottom w:val="nil"/>
                <w:right w:val="nil"/>
                <w:between w:val="nil"/>
              </w:pBdr>
              <w:tabs>
                <w:tab w:val="left" w:pos="360"/>
                <w:tab w:val="left" w:pos="540"/>
              </w:tabs>
              <w:spacing w:before="120" w:after="120" w:line="240" w:lineRule="auto"/>
              <w:ind w:right="602"/>
              <w:jc w:val="both"/>
              <w:rPr>
                <w:rFonts w:ascii="Calibri" w:eastAsia="Times New Roman" w:hAnsi="Calibri" w:cs="Times New Roman"/>
                <w:lang w:eastAsia="en-IN"/>
              </w:rPr>
            </w:pPr>
            <w:r w:rsidRPr="001241AD">
              <w:rPr>
                <w:rFonts w:ascii="Calibri" w:eastAsia="Times New Roman" w:hAnsi="Calibri" w:cs="Times New Roman"/>
                <w:lang w:eastAsia="en-IN"/>
              </w:rPr>
              <w:t>10.</w:t>
            </w:r>
          </w:p>
        </w:tc>
        <w:tc>
          <w:tcPr>
            <w:tcW w:w="3522" w:type="dxa"/>
            <w:shd w:val="clear" w:color="auto" w:fill="auto"/>
            <w:tcMar>
              <w:top w:w="100" w:type="dxa"/>
              <w:left w:w="100" w:type="dxa"/>
              <w:bottom w:w="100" w:type="dxa"/>
              <w:right w:w="100" w:type="dxa"/>
            </w:tcMar>
          </w:tcPr>
          <w:p w14:paraId="6EC40FB7" w14:textId="77777777" w:rsidR="00E63804" w:rsidRPr="001241AD" w:rsidRDefault="00E63804" w:rsidP="0051132A">
            <w:pPr>
              <w:tabs>
                <w:tab w:val="left" w:pos="360"/>
                <w:tab w:val="left" w:pos="540"/>
              </w:tabs>
              <w:spacing w:before="120" w:after="120" w:line="240" w:lineRule="auto"/>
              <w:ind w:right="602"/>
              <w:jc w:val="both"/>
              <w:rPr>
                <w:rFonts w:ascii="Calibri" w:eastAsia="Times New Roman" w:hAnsi="Calibri" w:cs="Times New Roman"/>
                <w:lang w:eastAsia="en-IN"/>
              </w:rPr>
            </w:pPr>
            <w:proofErr w:type="spellStart"/>
            <w:r w:rsidRPr="001241AD">
              <w:rPr>
                <w:rFonts w:ascii="Calibri" w:eastAsia="Times New Roman" w:hAnsi="Calibri" w:cs="Times New Roman"/>
                <w:lang w:eastAsia="en-IN"/>
              </w:rPr>
              <w:t>Sidoarjo</w:t>
            </w:r>
            <w:proofErr w:type="spellEnd"/>
            <w:r w:rsidRPr="001241AD">
              <w:rPr>
                <w:rFonts w:ascii="Calibri" w:eastAsia="Times New Roman" w:hAnsi="Calibri" w:cs="Times New Roman"/>
                <w:lang w:eastAsia="en-IN"/>
              </w:rPr>
              <w:t xml:space="preserve"> Public Hospital</w:t>
            </w:r>
          </w:p>
        </w:tc>
        <w:tc>
          <w:tcPr>
            <w:tcW w:w="1605" w:type="dxa"/>
            <w:shd w:val="clear" w:color="auto" w:fill="auto"/>
            <w:tcMar>
              <w:top w:w="100" w:type="dxa"/>
              <w:left w:w="100" w:type="dxa"/>
              <w:bottom w:w="100" w:type="dxa"/>
              <w:right w:w="100" w:type="dxa"/>
            </w:tcMar>
          </w:tcPr>
          <w:p w14:paraId="729BCA07" w14:textId="77777777" w:rsidR="00E63804" w:rsidRPr="001241AD" w:rsidRDefault="00E63804" w:rsidP="0051132A">
            <w:pPr>
              <w:widowControl w:val="0"/>
              <w:tabs>
                <w:tab w:val="left" w:pos="360"/>
                <w:tab w:val="left" w:pos="540"/>
              </w:tabs>
              <w:spacing w:before="120" w:after="120" w:line="240" w:lineRule="auto"/>
              <w:ind w:right="602"/>
              <w:jc w:val="both"/>
              <w:rPr>
                <w:rFonts w:ascii="Calibri" w:eastAsia="Times New Roman" w:hAnsi="Calibri" w:cs="Times New Roman"/>
                <w:lang w:eastAsia="en-IN"/>
              </w:rPr>
            </w:pPr>
            <w:r w:rsidRPr="001241AD">
              <w:rPr>
                <w:rFonts w:ascii="Calibri" w:eastAsia="Times New Roman" w:hAnsi="Calibri" w:cs="Times New Roman"/>
                <w:lang w:eastAsia="en-IN"/>
              </w:rPr>
              <w:t>Healthcare</w:t>
            </w:r>
          </w:p>
        </w:tc>
        <w:tc>
          <w:tcPr>
            <w:tcW w:w="2790" w:type="dxa"/>
            <w:shd w:val="clear" w:color="auto" w:fill="auto"/>
            <w:tcMar>
              <w:top w:w="100" w:type="dxa"/>
              <w:left w:w="100" w:type="dxa"/>
              <w:bottom w:w="100" w:type="dxa"/>
              <w:right w:w="100" w:type="dxa"/>
            </w:tcMar>
          </w:tcPr>
          <w:p w14:paraId="5DA253C5" w14:textId="77777777" w:rsidR="00E63804" w:rsidRPr="001241AD" w:rsidRDefault="00E63804" w:rsidP="0051132A">
            <w:pPr>
              <w:widowControl w:val="0"/>
              <w:pBdr>
                <w:top w:val="nil"/>
                <w:left w:val="nil"/>
                <w:bottom w:val="nil"/>
                <w:right w:val="nil"/>
                <w:between w:val="nil"/>
              </w:pBdr>
              <w:tabs>
                <w:tab w:val="left" w:pos="360"/>
                <w:tab w:val="left" w:pos="540"/>
              </w:tabs>
              <w:spacing w:before="120" w:after="120" w:line="240" w:lineRule="auto"/>
              <w:ind w:right="602"/>
              <w:jc w:val="both"/>
              <w:rPr>
                <w:rFonts w:ascii="Calibri" w:eastAsia="Times New Roman" w:hAnsi="Calibri" w:cs="Times New Roman"/>
                <w:lang w:eastAsia="en-IN"/>
              </w:rPr>
            </w:pPr>
            <w:r w:rsidRPr="001241AD">
              <w:rPr>
                <w:rFonts w:ascii="Calibri" w:eastAsia="Times New Roman" w:hAnsi="Calibri" w:cs="Times New Roman"/>
                <w:lang w:eastAsia="en-IN"/>
              </w:rPr>
              <w:t>26.2</w:t>
            </w:r>
          </w:p>
        </w:tc>
      </w:tr>
    </w:tbl>
    <w:p w14:paraId="0E9F7B13" w14:textId="77777777" w:rsidR="00E63804" w:rsidRPr="001241AD" w:rsidRDefault="00E63804" w:rsidP="00E63804">
      <w:pPr>
        <w:pBdr>
          <w:top w:val="nil"/>
          <w:left w:val="nil"/>
          <w:bottom w:val="nil"/>
          <w:right w:val="nil"/>
          <w:between w:val="nil"/>
        </w:pBdr>
        <w:tabs>
          <w:tab w:val="left" w:pos="360"/>
          <w:tab w:val="left" w:pos="540"/>
        </w:tabs>
        <w:spacing w:before="120" w:after="120" w:line="240" w:lineRule="auto"/>
        <w:ind w:left="720" w:right="602"/>
        <w:jc w:val="both"/>
        <w:rPr>
          <w:rFonts w:ascii="Calibri" w:eastAsia="Times New Roman" w:hAnsi="Calibri" w:cs="Times New Roman"/>
          <w:lang w:eastAsia="en-IN"/>
        </w:rPr>
      </w:pPr>
    </w:p>
    <w:p w14:paraId="17413E3A" w14:textId="77777777" w:rsidR="00E63804" w:rsidRPr="001241AD" w:rsidRDefault="00E63804" w:rsidP="00E63804">
      <w:pPr>
        <w:numPr>
          <w:ilvl w:val="0"/>
          <w:numId w:val="36"/>
        </w:numPr>
        <w:tabs>
          <w:tab w:val="left" w:pos="360"/>
          <w:tab w:val="left" w:pos="540"/>
        </w:tabs>
        <w:spacing w:before="120" w:after="120" w:line="240" w:lineRule="auto"/>
        <w:ind w:left="0" w:right="602" w:firstLine="0"/>
        <w:jc w:val="both"/>
        <w:rPr>
          <w:rFonts w:ascii="Calibri" w:eastAsia="Times New Roman" w:hAnsi="Calibri" w:cs="Times New Roman"/>
          <w:lang w:eastAsia="en-IN"/>
        </w:rPr>
      </w:pPr>
      <w:r w:rsidRPr="001241AD">
        <w:rPr>
          <w:rFonts w:ascii="Calibri" w:eastAsia="Times New Roman" w:hAnsi="Calibri" w:cs="Times New Roman"/>
          <w:b/>
          <w:lang w:eastAsia="en-IN"/>
        </w:rPr>
        <w:t xml:space="preserve">Within the current financial envelope, </w:t>
      </w:r>
      <w:r>
        <w:rPr>
          <w:rFonts w:ascii="Calibri" w:eastAsia="Times New Roman" w:hAnsi="Calibri" w:cs="Times New Roman"/>
          <w:b/>
          <w:lang w:eastAsia="en-IN"/>
        </w:rPr>
        <w:t>NGF</w:t>
      </w:r>
      <w:r w:rsidRPr="001241AD">
        <w:rPr>
          <w:rFonts w:ascii="Calibri" w:eastAsia="Times New Roman" w:hAnsi="Calibri" w:cs="Times New Roman"/>
          <w:b/>
          <w:lang w:eastAsia="en-IN"/>
        </w:rPr>
        <w:t xml:space="preserve"> may be useful for </w:t>
      </w:r>
      <w:proofErr w:type="gramStart"/>
      <w:r w:rsidRPr="001241AD">
        <w:rPr>
          <w:rFonts w:ascii="Calibri" w:eastAsia="Times New Roman" w:hAnsi="Calibri" w:cs="Times New Roman"/>
          <w:b/>
          <w:lang w:eastAsia="en-IN"/>
        </w:rPr>
        <w:t>a number of</w:t>
      </w:r>
      <w:proofErr w:type="gramEnd"/>
      <w:r w:rsidRPr="001241AD">
        <w:rPr>
          <w:rFonts w:ascii="Calibri" w:eastAsia="Times New Roman" w:hAnsi="Calibri" w:cs="Times New Roman"/>
          <w:b/>
          <w:lang w:eastAsia="en-IN"/>
        </w:rPr>
        <w:t xml:space="preserve"> opportunities. </w:t>
      </w:r>
      <w:r w:rsidRPr="001241AD">
        <w:rPr>
          <w:rFonts w:ascii="Calibri" w:eastAsia="Times New Roman" w:hAnsi="Calibri" w:cs="Times New Roman"/>
          <w:lang w:eastAsia="en-IN"/>
        </w:rPr>
        <w:t>A non-exhaustive list of these opportunities includes the following:</w:t>
      </w:r>
      <w:r w:rsidRPr="001241AD">
        <w:rPr>
          <w:rFonts w:ascii="Calibri" w:eastAsia="Times New Roman" w:hAnsi="Calibri" w:cs="Times New Roman"/>
          <w:b/>
          <w:lang w:eastAsia="en-IN"/>
        </w:rPr>
        <w:t xml:space="preserve"> </w:t>
      </w:r>
    </w:p>
    <w:p w14:paraId="3CFD04FF" w14:textId="77777777" w:rsidR="00E63804" w:rsidRPr="001241AD" w:rsidRDefault="00E63804" w:rsidP="00E63804">
      <w:pPr>
        <w:pBdr>
          <w:top w:val="nil"/>
          <w:left w:val="nil"/>
          <w:bottom w:val="nil"/>
          <w:right w:val="nil"/>
          <w:between w:val="nil"/>
        </w:pBdr>
        <w:tabs>
          <w:tab w:val="left" w:pos="360"/>
          <w:tab w:val="left" w:pos="540"/>
        </w:tabs>
        <w:spacing w:before="120" w:after="120" w:line="240" w:lineRule="auto"/>
        <w:ind w:left="720" w:right="602"/>
        <w:jc w:val="both"/>
        <w:rPr>
          <w:rFonts w:ascii="Calibri" w:eastAsia="Times New Roman" w:hAnsi="Calibri" w:cs="Times New Roman"/>
          <w:lang w:eastAsia="en-IN"/>
        </w:rPr>
      </w:pPr>
    </w:p>
    <w:p w14:paraId="51B580E1" w14:textId="77777777" w:rsidR="00E63804" w:rsidRPr="00E93CCB" w:rsidRDefault="00E63804" w:rsidP="00E63804">
      <w:pPr>
        <w:numPr>
          <w:ilvl w:val="1"/>
          <w:numId w:val="32"/>
        </w:numPr>
        <w:pBdr>
          <w:top w:val="nil"/>
          <w:left w:val="nil"/>
          <w:bottom w:val="nil"/>
          <w:right w:val="nil"/>
          <w:between w:val="nil"/>
        </w:pBdr>
        <w:spacing w:before="120" w:after="120" w:line="240" w:lineRule="auto"/>
        <w:ind w:left="720" w:right="602"/>
        <w:jc w:val="both"/>
        <w:rPr>
          <w:rFonts w:ascii="Calibri" w:eastAsia="Times New Roman" w:hAnsi="Calibri" w:cs="Times New Roman"/>
          <w:lang w:eastAsia="en-IN"/>
        </w:rPr>
      </w:pPr>
      <w:r w:rsidRPr="00E93CCB">
        <w:rPr>
          <w:rFonts w:ascii="Calibri" w:eastAsia="Times New Roman" w:hAnsi="Calibri" w:cs="Times New Roman"/>
          <w:i/>
          <w:lang w:eastAsia="en-IN"/>
        </w:rPr>
        <w:t xml:space="preserve">Impact investing in promising social enterprises: </w:t>
      </w:r>
      <w:r w:rsidRPr="00E93CCB">
        <w:rPr>
          <w:rFonts w:ascii="Calibri" w:eastAsia="Times New Roman" w:hAnsi="Calibri" w:cs="Times New Roman"/>
          <w:lang w:eastAsia="en-IN"/>
        </w:rPr>
        <w:t>An estimated 70% of social enterprises in Indonesia are in the seed or early stages</w:t>
      </w:r>
      <w:r w:rsidRPr="001241AD">
        <w:rPr>
          <w:rFonts w:ascii="Calibri" w:eastAsia="Times New Roman" w:hAnsi="Calibri" w:cs="Times New Roman"/>
          <w:vertAlign w:val="superscript"/>
          <w:lang w:eastAsia="en-IN"/>
        </w:rPr>
        <w:footnoteReference w:id="77"/>
      </w:r>
      <w:r w:rsidRPr="00E93CCB">
        <w:rPr>
          <w:rFonts w:ascii="Calibri" w:eastAsia="Times New Roman" w:hAnsi="Calibri" w:cs="Times New Roman"/>
          <w:lang w:eastAsia="en-IN"/>
        </w:rPr>
        <w:t xml:space="preserve"> and do not attract many investors beyond high-net-worth individuals (HNWIs). Given the maturity of the impact investing ecosystem, the potential exists for Australia to target capital deployments in these enterprises through regional or sectoral impact investment funds. In the current landscape, </w:t>
      </w:r>
      <w:r>
        <w:rPr>
          <w:rFonts w:ascii="Calibri" w:eastAsia="Times New Roman" w:hAnsi="Calibri" w:cs="Times New Roman"/>
          <w:lang w:eastAsia="en-IN"/>
        </w:rPr>
        <w:t>private impact investors</w:t>
      </w:r>
      <w:r w:rsidRPr="00E93CCB">
        <w:rPr>
          <w:rFonts w:ascii="Calibri" w:eastAsia="Times New Roman" w:hAnsi="Calibri" w:cs="Times New Roman"/>
          <w:lang w:eastAsia="en-IN"/>
        </w:rPr>
        <w:t xml:space="preserve"> favour equity, while DFIs favour debt; this appears to be related to the scalability of opportunities, with DFIs investing in projects that offer steady returns but limited horizons to scale. Some emerging sectors where impact investors are most active include education, healthcare and other smaller units that can spur employment growth.</w:t>
      </w:r>
      <w:r w:rsidRPr="001241AD">
        <w:rPr>
          <w:rFonts w:ascii="Calibri" w:eastAsia="Times New Roman" w:hAnsi="Calibri" w:cs="Times New Roman"/>
          <w:vertAlign w:val="superscript"/>
          <w:lang w:eastAsia="en-IN"/>
        </w:rPr>
        <w:footnoteReference w:id="78"/>
      </w:r>
      <w:r w:rsidRPr="00E93CCB">
        <w:rPr>
          <w:rFonts w:ascii="Calibri" w:eastAsia="Times New Roman" w:hAnsi="Calibri" w:cs="Times New Roman"/>
          <w:lang w:eastAsia="en-IN"/>
        </w:rPr>
        <w:t xml:space="preserve"> </w:t>
      </w:r>
    </w:p>
    <w:p w14:paraId="3B1E1433" w14:textId="5E93A9D6" w:rsidR="00E63804" w:rsidRPr="001241AD" w:rsidRDefault="00E63804" w:rsidP="00E63804">
      <w:pPr>
        <w:pBdr>
          <w:top w:val="nil"/>
          <w:left w:val="nil"/>
          <w:bottom w:val="nil"/>
          <w:right w:val="nil"/>
          <w:between w:val="nil"/>
        </w:pBdr>
        <w:spacing w:before="120" w:after="120" w:line="240" w:lineRule="auto"/>
        <w:ind w:left="720" w:right="602"/>
        <w:jc w:val="both"/>
        <w:rPr>
          <w:rFonts w:ascii="Calibri" w:eastAsia="Times New Roman" w:hAnsi="Calibri" w:cs="Times New Roman"/>
          <w:lang w:eastAsia="en-IN"/>
        </w:rPr>
      </w:pPr>
      <w:r w:rsidRPr="001241AD">
        <w:rPr>
          <w:rFonts w:ascii="Calibri" w:eastAsia="Times New Roman" w:hAnsi="Calibri" w:cs="Times New Roman"/>
          <w:lang w:eastAsia="en-IN"/>
        </w:rPr>
        <w:lastRenderedPageBreak/>
        <w:t>Many of the emerging business models (largely in the workforce development and education sectors) tend to be ICT enabled, presenting potential scalability. Australia has already supported initiatives such as an accelerator for women-led businesses addressing food security challenges, set up by Patamar Capital</w:t>
      </w:r>
      <w:r>
        <w:rPr>
          <w:rFonts w:ascii="Calibri" w:eastAsia="Times New Roman" w:hAnsi="Calibri" w:cs="Times New Roman"/>
          <w:lang w:eastAsia="en-IN"/>
        </w:rPr>
        <w:t>.</w:t>
      </w:r>
      <w:r w:rsidRPr="001241AD">
        <w:rPr>
          <w:rFonts w:ascii="Calibri" w:eastAsia="Times New Roman" w:hAnsi="Calibri" w:cs="Times New Roman"/>
          <w:vertAlign w:val="superscript"/>
          <w:lang w:eastAsia="en-IN"/>
        </w:rPr>
        <w:footnoteReference w:id="79"/>
      </w:r>
      <w:r w:rsidRPr="001241AD">
        <w:rPr>
          <w:rFonts w:ascii="Calibri" w:eastAsia="Times New Roman" w:hAnsi="Calibri" w:cs="Times New Roman"/>
          <w:lang w:eastAsia="en-IN"/>
        </w:rPr>
        <w:t xml:space="preserve"> However, the potential exists to co-invest with other established impact investors, accelerators and incubators, particularly as gender-lens investing gains traction. For instance, the ANGIN Women Fund has provided training to more than 100 women-led businesses; similar funds could be good potential target investments for Australia</w:t>
      </w:r>
      <w:r>
        <w:rPr>
          <w:rFonts w:ascii="Calibri" w:eastAsia="Times New Roman" w:hAnsi="Calibri" w:cs="Times New Roman"/>
          <w:lang w:eastAsia="en-IN"/>
        </w:rPr>
        <w:t>.</w:t>
      </w:r>
      <w:r w:rsidRPr="001241AD">
        <w:rPr>
          <w:rFonts w:ascii="Calibri" w:eastAsia="Times New Roman" w:hAnsi="Calibri" w:cs="Times New Roman"/>
          <w:vertAlign w:val="superscript"/>
          <w:lang w:eastAsia="en-IN"/>
        </w:rPr>
        <w:footnoteReference w:id="80"/>
      </w:r>
      <w:r w:rsidRPr="001241AD">
        <w:rPr>
          <w:rFonts w:ascii="Calibri" w:eastAsia="Times New Roman" w:hAnsi="Calibri" w:cs="Times New Roman"/>
          <w:lang w:eastAsia="en-IN"/>
        </w:rPr>
        <w:t xml:space="preserve"> Other potential collaborators in the space include OPIC, which recently unveiled a “2X Women’s Initiative” to mobilise </w:t>
      </w:r>
      <w:r w:rsidR="00800236">
        <w:rPr>
          <w:rFonts w:ascii="Calibri" w:eastAsia="Times New Roman" w:hAnsi="Calibri" w:cs="Times New Roman"/>
          <w:lang w:eastAsia="en-IN"/>
        </w:rPr>
        <w:t>US$</w:t>
      </w:r>
      <w:r w:rsidRPr="001241AD">
        <w:rPr>
          <w:rFonts w:ascii="Calibri" w:eastAsia="Times New Roman" w:hAnsi="Calibri" w:cs="Times New Roman"/>
          <w:lang w:eastAsia="en-IN"/>
        </w:rPr>
        <w:t xml:space="preserve"> 1 billion in gender-lens investing</w:t>
      </w:r>
      <w:r>
        <w:rPr>
          <w:rFonts w:ascii="Calibri" w:eastAsia="Times New Roman" w:hAnsi="Calibri" w:cs="Times New Roman"/>
          <w:lang w:eastAsia="en-IN"/>
        </w:rPr>
        <w:t>;</w:t>
      </w:r>
      <w:r w:rsidRPr="001241AD">
        <w:rPr>
          <w:rFonts w:ascii="Calibri" w:eastAsia="Times New Roman" w:hAnsi="Calibri" w:cs="Times New Roman"/>
          <w:vertAlign w:val="superscript"/>
          <w:lang w:eastAsia="en-IN"/>
        </w:rPr>
        <w:footnoteReference w:id="81"/>
      </w:r>
      <w:r w:rsidRPr="001241AD">
        <w:rPr>
          <w:rFonts w:ascii="Calibri" w:eastAsia="Times New Roman" w:hAnsi="Calibri" w:cs="Times New Roman"/>
          <w:lang w:eastAsia="en-IN"/>
        </w:rPr>
        <w:t xml:space="preserve"> Insignia Ventures, which co-invested with Patamar Capital in a women-focused SME fund</w:t>
      </w:r>
      <w:r>
        <w:rPr>
          <w:rFonts w:ascii="Calibri" w:eastAsia="Times New Roman" w:hAnsi="Calibri" w:cs="Times New Roman"/>
          <w:lang w:eastAsia="en-IN"/>
        </w:rPr>
        <w:t>;</w:t>
      </w:r>
      <w:r w:rsidRPr="001241AD">
        <w:rPr>
          <w:rFonts w:ascii="Calibri" w:eastAsia="Times New Roman" w:hAnsi="Calibri" w:cs="Times New Roman"/>
          <w:vertAlign w:val="superscript"/>
          <w:lang w:eastAsia="en-IN"/>
        </w:rPr>
        <w:footnoteReference w:id="82"/>
      </w:r>
      <w:r w:rsidRPr="001241AD">
        <w:rPr>
          <w:rFonts w:ascii="Calibri" w:eastAsia="Times New Roman" w:hAnsi="Calibri" w:cs="Times New Roman"/>
          <w:lang w:eastAsia="en-IN"/>
        </w:rPr>
        <w:t xml:space="preserve"> </w:t>
      </w:r>
      <w:proofErr w:type="spellStart"/>
      <w:r w:rsidRPr="001241AD">
        <w:rPr>
          <w:rFonts w:ascii="Calibri" w:eastAsia="Times New Roman" w:hAnsi="Calibri" w:cs="Times New Roman"/>
          <w:lang w:eastAsia="en-IN"/>
        </w:rPr>
        <w:t>Aavishkar</w:t>
      </w:r>
      <w:proofErr w:type="spellEnd"/>
      <w:r w:rsidRPr="001241AD">
        <w:rPr>
          <w:rFonts w:ascii="Calibri" w:eastAsia="Times New Roman" w:hAnsi="Calibri" w:cs="Times New Roman"/>
          <w:lang w:eastAsia="en-IN"/>
        </w:rPr>
        <w:t xml:space="preserve">, a </w:t>
      </w:r>
      <w:r>
        <w:rPr>
          <w:rFonts w:ascii="Calibri" w:eastAsia="Times New Roman" w:hAnsi="Calibri" w:cs="Times New Roman"/>
          <w:lang w:eastAsia="en-IN"/>
        </w:rPr>
        <w:t>private impact investor</w:t>
      </w:r>
      <w:r w:rsidRPr="001241AD">
        <w:rPr>
          <w:rFonts w:ascii="Calibri" w:eastAsia="Times New Roman" w:hAnsi="Calibri" w:cs="Times New Roman"/>
          <w:lang w:eastAsia="en-IN"/>
        </w:rPr>
        <w:t xml:space="preserve"> with a local presence, which co-invested with the </w:t>
      </w:r>
      <w:proofErr w:type="spellStart"/>
      <w:r w:rsidRPr="001241AD">
        <w:rPr>
          <w:rFonts w:ascii="Calibri" w:eastAsia="Times New Roman" w:hAnsi="Calibri" w:cs="Times New Roman"/>
          <w:lang w:eastAsia="en-IN"/>
        </w:rPr>
        <w:t>RaboBank</w:t>
      </w:r>
      <w:proofErr w:type="spellEnd"/>
      <w:r w:rsidRPr="001241AD">
        <w:rPr>
          <w:rFonts w:ascii="Calibri" w:eastAsia="Times New Roman" w:hAnsi="Calibri" w:cs="Times New Roman"/>
          <w:lang w:eastAsia="en-IN"/>
        </w:rPr>
        <w:t xml:space="preserve"> Rural Fund, a Dutch social impact fund without a full-time local presence, in P.T Bali Seafood; and Aqua-Spark, a fund based in the Netherlands, which co-invested with </w:t>
      </w:r>
      <w:proofErr w:type="spellStart"/>
      <w:r w:rsidRPr="001241AD">
        <w:rPr>
          <w:rFonts w:ascii="Calibri" w:eastAsia="Times New Roman" w:hAnsi="Calibri" w:cs="Times New Roman"/>
          <w:lang w:eastAsia="en-IN"/>
        </w:rPr>
        <w:t>Ideosource</w:t>
      </w:r>
      <w:proofErr w:type="spellEnd"/>
      <w:r w:rsidRPr="001241AD">
        <w:rPr>
          <w:rFonts w:ascii="Calibri" w:eastAsia="Times New Roman" w:hAnsi="Calibri" w:cs="Times New Roman"/>
          <w:lang w:eastAsia="en-IN"/>
        </w:rPr>
        <w:t xml:space="preserve"> in an aquaculture company. </w:t>
      </w:r>
    </w:p>
    <w:p w14:paraId="0BF9C7EA" w14:textId="1DFFD217" w:rsidR="00E63804" w:rsidRPr="00E93CCB" w:rsidRDefault="00E63804" w:rsidP="00E63804">
      <w:pPr>
        <w:numPr>
          <w:ilvl w:val="1"/>
          <w:numId w:val="32"/>
        </w:numPr>
        <w:pBdr>
          <w:top w:val="nil"/>
          <w:left w:val="nil"/>
          <w:bottom w:val="nil"/>
          <w:right w:val="nil"/>
          <w:between w:val="nil"/>
        </w:pBdr>
        <w:spacing w:before="120" w:after="120" w:line="240" w:lineRule="auto"/>
        <w:ind w:left="720" w:right="602"/>
        <w:jc w:val="both"/>
        <w:rPr>
          <w:rFonts w:ascii="Calibri" w:eastAsia="Times New Roman" w:hAnsi="Calibri" w:cs="Times New Roman"/>
          <w:lang w:eastAsia="en-IN"/>
        </w:rPr>
      </w:pPr>
      <w:r w:rsidRPr="00E93CCB">
        <w:rPr>
          <w:rFonts w:ascii="Calibri" w:eastAsia="Times New Roman" w:hAnsi="Calibri" w:cs="Times New Roman"/>
          <w:i/>
          <w:lang w:eastAsia="en-IN"/>
        </w:rPr>
        <w:t xml:space="preserve">Assisting the funding of well-functioning credit cooperatives: </w:t>
      </w:r>
      <w:r w:rsidRPr="00E93CCB">
        <w:rPr>
          <w:rFonts w:ascii="Calibri" w:eastAsia="Times New Roman" w:hAnsi="Calibri" w:cs="Times New Roman"/>
          <w:lang w:eastAsia="en-IN"/>
        </w:rPr>
        <w:t xml:space="preserve">There are more than 200,000 cooperatives in Indonesia, enrolling about 15% of the workforce. From 2010 to 2015, the quantity of cooperative capital grew from </w:t>
      </w:r>
      <w:r w:rsidR="00800236">
        <w:rPr>
          <w:rFonts w:ascii="Calibri" w:eastAsia="Times New Roman" w:hAnsi="Calibri" w:cs="Times New Roman"/>
          <w:lang w:eastAsia="en-IN"/>
        </w:rPr>
        <w:t>US$</w:t>
      </w:r>
      <w:r w:rsidRPr="00E93CCB">
        <w:rPr>
          <w:rFonts w:ascii="Calibri" w:eastAsia="Times New Roman" w:hAnsi="Calibri" w:cs="Times New Roman"/>
          <w:lang w:eastAsia="en-IN"/>
        </w:rPr>
        <w:t xml:space="preserve"> 4.3 billion to </w:t>
      </w:r>
      <w:r w:rsidR="00800236">
        <w:rPr>
          <w:rFonts w:ascii="Calibri" w:eastAsia="Times New Roman" w:hAnsi="Calibri" w:cs="Times New Roman"/>
          <w:lang w:eastAsia="en-IN"/>
        </w:rPr>
        <w:t>US$</w:t>
      </w:r>
      <w:r w:rsidRPr="00E93CCB">
        <w:rPr>
          <w:rFonts w:ascii="Calibri" w:eastAsia="Times New Roman" w:hAnsi="Calibri" w:cs="Times New Roman"/>
          <w:lang w:eastAsia="en-IN"/>
        </w:rPr>
        <w:t xml:space="preserve"> 16.2 billion. Over the same period, turnover and profits increased by 5–7%</w:t>
      </w:r>
      <w:r w:rsidRPr="001241AD">
        <w:rPr>
          <w:rFonts w:ascii="Calibri" w:eastAsia="Times New Roman" w:hAnsi="Calibri" w:cs="Times New Roman"/>
          <w:vertAlign w:val="superscript"/>
          <w:lang w:eastAsia="en-IN"/>
        </w:rPr>
        <w:footnoteReference w:id="83"/>
      </w:r>
      <w:r w:rsidRPr="00E93CCB">
        <w:rPr>
          <w:rFonts w:ascii="Calibri" w:eastAsia="Times New Roman" w:hAnsi="Calibri" w:cs="Times New Roman"/>
          <w:lang w:eastAsia="en-IN"/>
        </w:rPr>
        <w:t xml:space="preserve">—suggesting that credit cooperatives are ripe for investment. By targeting well-run cooperatives, Australia could improve credit access for smallholder farmers and struggling enterprises, making a lasting impact on their income levels and productivity. </w:t>
      </w:r>
    </w:p>
    <w:p w14:paraId="08771841" w14:textId="77777777" w:rsidR="00E63804" w:rsidRPr="001241AD" w:rsidRDefault="00E63804" w:rsidP="00E63804">
      <w:pPr>
        <w:pBdr>
          <w:top w:val="nil"/>
          <w:left w:val="nil"/>
          <w:bottom w:val="nil"/>
          <w:right w:val="nil"/>
          <w:between w:val="nil"/>
        </w:pBdr>
        <w:spacing w:before="120" w:after="120" w:line="240" w:lineRule="auto"/>
        <w:ind w:left="720" w:right="602"/>
        <w:jc w:val="both"/>
        <w:rPr>
          <w:rFonts w:ascii="Calibri" w:eastAsia="Times New Roman" w:hAnsi="Calibri" w:cs="Times New Roman"/>
          <w:lang w:eastAsia="en-IN"/>
        </w:rPr>
      </w:pPr>
      <w:r w:rsidRPr="001241AD">
        <w:rPr>
          <w:rFonts w:ascii="Calibri" w:eastAsia="Times New Roman" w:hAnsi="Calibri" w:cs="Times New Roman"/>
          <w:lang w:eastAsia="en-IN"/>
        </w:rPr>
        <w:t xml:space="preserve">Consultations with </w:t>
      </w:r>
      <w:proofErr w:type="spellStart"/>
      <w:r w:rsidRPr="001241AD">
        <w:rPr>
          <w:rFonts w:ascii="Calibri" w:eastAsia="Times New Roman" w:hAnsi="Calibri" w:cs="Times New Roman"/>
          <w:lang w:eastAsia="en-IN"/>
        </w:rPr>
        <w:t>Mekar</w:t>
      </w:r>
      <w:proofErr w:type="spellEnd"/>
      <w:r w:rsidRPr="001241AD">
        <w:rPr>
          <w:rFonts w:ascii="Calibri" w:eastAsia="Times New Roman" w:hAnsi="Calibri" w:cs="Times New Roman"/>
          <w:lang w:eastAsia="en-IN"/>
        </w:rPr>
        <w:t xml:space="preserve">, an Indonesian fintech company that deals in peer-to-peer and other direct lending, suggest that among the most suitable instruments for Australia to extend would be term deposits and credit insurance. Further, they noted that credit cooperatives have a trust problem due to instances of mismanagement and corruption. Australia’s involvement could boost reputation and credibility, thereby helping to bring more businesses on board. </w:t>
      </w:r>
    </w:p>
    <w:p w14:paraId="5BEA2A96" w14:textId="77777777" w:rsidR="00E63804" w:rsidRPr="00E93CCB" w:rsidRDefault="00E63804" w:rsidP="00E63804">
      <w:pPr>
        <w:numPr>
          <w:ilvl w:val="1"/>
          <w:numId w:val="32"/>
        </w:numPr>
        <w:pBdr>
          <w:top w:val="nil"/>
          <w:left w:val="nil"/>
          <w:bottom w:val="nil"/>
          <w:right w:val="nil"/>
          <w:between w:val="nil"/>
        </w:pBdr>
        <w:spacing w:before="120" w:after="120" w:line="240" w:lineRule="auto"/>
        <w:ind w:left="720" w:right="602"/>
        <w:jc w:val="both"/>
        <w:rPr>
          <w:rFonts w:ascii="Calibri" w:eastAsia="Times New Roman" w:hAnsi="Calibri" w:cs="Times New Roman"/>
          <w:lang w:eastAsia="en-IN"/>
        </w:rPr>
      </w:pPr>
      <w:r w:rsidRPr="00E93CCB">
        <w:rPr>
          <w:rFonts w:ascii="Calibri" w:eastAsia="Times New Roman" w:hAnsi="Calibri" w:cs="Times New Roman"/>
          <w:i/>
          <w:lang w:eastAsia="en-IN"/>
        </w:rPr>
        <w:t xml:space="preserve">Deepening capital markets to mobilise domestic and institutional capital: </w:t>
      </w:r>
      <w:r w:rsidRPr="00E93CCB">
        <w:rPr>
          <w:rFonts w:ascii="Calibri" w:eastAsia="Times New Roman" w:hAnsi="Calibri" w:cs="Times New Roman"/>
          <w:lang w:eastAsia="en-IN"/>
        </w:rPr>
        <w:t>Forecasts for 2019 estimate that the Indonesian equity market’s role will increase from 0.9% to 1.4%, and that the role of bond markets will similarly rise from 1.0% to 1.4%. These figures paint a pessimistic picture for private sector actors turning to capital markets in the medium term.</w:t>
      </w:r>
      <w:r w:rsidRPr="001241AD">
        <w:rPr>
          <w:rFonts w:ascii="Calibri" w:eastAsia="Times New Roman" w:hAnsi="Calibri" w:cs="Times New Roman"/>
          <w:vertAlign w:val="superscript"/>
          <w:lang w:eastAsia="en-IN"/>
        </w:rPr>
        <w:footnoteReference w:id="84"/>
      </w:r>
      <w:r w:rsidRPr="00E93CCB">
        <w:rPr>
          <w:rFonts w:ascii="Calibri" w:eastAsia="Times New Roman" w:hAnsi="Calibri" w:cs="Times New Roman"/>
          <w:lang w:eastAsia="en-IN"/>
        </w:rPr>
        <w:t xml:space="preserve"> </w:t>
      </w:r>
    </w:p>
    <w:p w14:paraId="4170A671" w14:textId="77777777" w:rsidR="00E63804" w:rsidRPr="001241AD" w:rsidRDefault="00E63804" w:rsidP="00E63804">
      <w:pPr>
        <w:pBdr>
          <w:top w:val="nil"/>
          <w:left w:val="nil"/>
          <w:bottom w:val="nil"/>
          <w:right w:val="nil"/>
          <w:between w:val="nil"/>
        </w:pBdr>
        <w:spacing w:before="120" w:after="120" w:line="240" w:lineRule="auto"/>
        <w:ind w:left="720" w:right="602"/>
        <w:jc w:val="both"/>
        <w:rPr>
          <w:rFonts w:ascii="Calibri" w:eastAsia="Times New Roman" w:hAnsi="Calibri" w:cs="Times New Roman"/>
          <w:lang w:eastAsia="en-IN"/>
        </w:rPr>
      </w:pPr>
      <w:r w:rsidRPr="001241AD">
        <w:rPr>
          <w:rFonts w:ascii="Calibri" w:eastAsia="Times New Roman" w:hAnsi="Calibri" w:cs="Times New Roman"/>
          <w:lang w:eastAsia="en-IN"/>
        </w:rPr>
        <w:t xml:space="preserve">Indonesia’s Committee for the Acceleration of Priority Infrastructure Delivery (KPPIP) is working with various federal stakeholders to deepen the capital market. Instruments implemented by KPPIP on which Australia potentially could focus its efforts include asset-backed securities such as those issued by PT Indonesia Power, IDR-denominated </w:t>
      </w:r>
      <w:r w:rsidRPr="001241AD">
        <w:rPr>
          <w:rFonts w:ascii="Calibri" w:eastAsia="Times New Roman" w:hAnsi="Calibri" w:cs="Times New Roman"/>
          <w:lang w:eastAsia="en-IN"/>
        </w:rPr>
        <w:lastRenderedPageBreak/>
        <w:t>bonds issued by Indonesian construction and toll-maintenance companies and sector-specific investment funds such as the Infrastructure Investment Fund (DINFRA)</w:t>
      </w:r>
      <w:r>
        <w:rPr>
          <w:rFonts w:ascii="Calibri" w:eastAsia="Times New Roman" w:hAnsi="Calibri" w:cs="Times New Roman"/>
          <w:lang w:eastAsia="en-IN"/>
        </w:rPr>
        <w:t>.</w:t>
      </w:r>
      <w:r w:rsidRPr="001241AD">
        <w:rPr>
          <w:rFonts w:ascii="Calibri" w:eastAsia="Times New Roman" w:hAnsi="Calibri" w:cs="Times New Roman"/>
          <w:vertAlign w:val="superscript"/>
          <w:lang w:eastAsia="en-IN"/>
        </w:rPr>
        <w:footnoteReference w:id="85"/>
      </w:r>
      <w:r w:rsidRPr="001241AD">
        <w:rPr>
          <w:rFonts w:ascii="Calibri" w:eastAsia="Times New Roman" w:hAnsi="Calibri" w:cs="Times New Roman"/>
          <w:lang w:eastAsia="en-IN"/>
        </w:rPr>
        <w:t xml:space="preserve"> </w:t>
      </w:r>
    </w:p>
    <w:p w14:paraId="19AE10C0" w14:textId="77777777" w:rsidR="00E63804" w:rsidRPr="001241AD" w:rsidRDefault="00E63804" w:rsidP="00E63804">
      <w:pPr>
        <w:pBdr>
          <w:top w:val="nil"/>
          <w:left w:val="nil"/>
          <w:bottom w:val="nil"/>
          <w:right w:val="nil"/>
          <w:between w:val="nil"/>
        </w:pBdr>
        <w:spacing w:before="120" w:after="120" w:line="240" w:lineRule="auto"/>
        <w:ind w:left="720" w:right="602"/>
        <w:jc w:val="both"/>
        <w:rPr>
          <w:rFonts w:ascii="Calibri" w:eastAsia="Times New Roman" w:hAnsi="Calibri" w:cs="Times New Roman"/>
          <w:lang w:eastAsia="en-IN"/>
        </w:rPr>
      </w:pPr>
      <w:r w:rsidRPr="001241AD">
        <w:rPr>
          <w:rFonts w:ascii="Calibri" w:eastAsia="Times New Roman" w:hAnsi="Calibri" w:cs="Times New Roman"/>
          <w:lang w:eastAsia="en-IN"/>
        </w:rPr>
        <w:t xml:space="preserve">Broader needs point to the importance of attracting large institutional investors, encouraging a long-term approach to </w:t>
      </w:r>
      <w:proofErr w:type="gramStart"/>
      <w:r w:rsidRPr="001241AD">
        <w:rPr>
          <w:rFonts w:ascii="Calibri" w:eastAsia="Times New Roman" w:hAnsi="Calibri" w:cs="Times New Roman"/>
          <w:lang w:eastAsia="en-IN"/>
        </w:rPr>
        <w:t>financing</w:t>
      </w:r>
      <w:proofErr w:type="gramEnd"/>
      <w:r w:rsidRPr="001241AD">
        <w:rPr>
          <w:rFonts w:ascii="Calibri" w:eastAsia="Times New Roman" w:hAnsi="Calibri" w:cs="Times New Roman"/>
          <w:lang w:eastAsia="en-IN"/>
        </w:rPr>
        <w:t xml:space="preserve"> and building stakeholder capacity, all of which Australia could potentially play a part in accomplishing through equity financing, first-loss facilities, interest subsidies and guarantee premium subsidies. Such support could mobilise otherwise unwilling capital and help finance underserved sections of the Indonesian market. </w:t>
      </w:r>
    </w:p>
    <w:p w14:paraId="45C5451B" w14:textId="70488638" w:rsidR="00E63804" w:rsidRPr="00E93CCB" w:rsidRDefault="00E63804" w:rsidP="00E63804">
      <w:pPr>
        <w:numPr>
          <w:ilvl w:val="1"/>
          <w:numId w:val="32"/>
        </w:numPr>
        <w:pBdr>
          <w:top w:val="nil"/>
          <w:left w:val="nil"/>
          <w:bottom w:val="nil"/>
          <w:right w:val="nil"/>
          <w:between w:val="nil"/>
        </w:pBdr>
        <w:spacing w:before="120" w:after="120" w:line="240" w:lineRule="auto"/>
        <w:ind w:left="720" w:right="602"/>
        <w:jc w:val="both"/>
        <w:rPr>
          <w:rFonts w:ascii="Calibri" w:eastAsia="Times New Roman" w:hAnsi="Calibri" w:cs="Times New Roman"/>
          <w:lang w:eastAsia="en-IN"/>
        </w:rPr>
      </w:pPr>
      <w:r w:rsidRPr="00E93CCB">
        <w:rPr>
          <w:rFonts w:ascii="Calibri" w:eastAsia="Times New Roman" w:hAnsi="Calibri" w:cs="Times New Roman"/>
          <w:i/>
          <w:lang w:eastAsia="en-IN"/>
        </w:rPr>
        <w:t xml:space="preserve">Helping pitch revenue-earning infrastructure assets to institutional investors: </w:t>
      </w:r>
      <w:r w:rsidRPr="00E93CCB">
        <w:rPr>
          <w:rFonts w:ascii="Calibri" w:eastAsia="Times New Roman" w:hAnsi="Calibri" w:cs="Times New Roman"/>
          <w:lang w:eastAsia="en-IN"/>
        </w:rPr>
        <w:t xml:space="preserve">Institutional investors in Indonesia command about </w:t>
      </w:r>
      <w:r w:rsidR="00800236">
        <w:rPr>
          <w:rFonts w:ascii="Calibri" w:eastAsia="Times New Roman" w:hAnsi="Calibri" w:cs="Times New Roman"/>
          <w:lang w:eastAsia="en-IN"/>
        </w:rPr>
        <w:t>US$</w:t>
      </w:r>
      <w:r w:rsidRPr="00E93CCB">
        <w:rPr>
          <w:rFonts w:ascii="Calibri" w:eastAsia="Times New Roman" w:hAnsi="Calibri" w:cs="Times New Roman"/>
          <w:lang w:eastAsia="en-IN"/>
        </w:rPr>
        <w:t xml:space="preserve"> 105.8 billion in assets,</w:t>
      </w:r>
      <w:r w:rsidRPr="001241AD">
        <w:rPr>
          <w:rFonts w:ascii="Calibri" w:eastAsia="Times New Roman" w:hAnsi="Calibri" w:cs="Times New Roman"/>
          <w:vertAlign w:val="superscript"/>
          <w:lang w:eastAsia="en-IN"/>
        </w:rPr>
        <w:footnoteReference w:id="86"/>
      </w:r>
      <w:r w:rsidRPr="00E93CCB">
        <w:rPr>
          <w:rFonts w:ascii="Calibri" w:eastAsia="Times New Roman" w:hAnsi="Calibri" w:cs="Times New Roman"/>
          <w:lang w:eastAsia="en-IN"/>
        </w:rPr>
        <w:t xml:space="preserve"> the bulk of which are managed by insurance and social security funds. Although these investors are not heavily active in infrastructure investing, trends indicate that continued growth could direct them toward different kinds of assets. The recent national social security system (SJSN), implemented in 2015, mandates a social safety net for all Indonesians. In the coming years, this reform will likely generate significant growth in </w:t>
      </w:r>
      <w:r w:rsidRPr="00E93CCB">
        <w:rPr>
          <w:rFonts w:ascii="Calibri" w:eastAsia="Times New Roman" w:hAnsi="Calibri" w:cs="Times New Roman"/>
          <w:b/>
          <w:u w:val="single"/>
          <w:lang w:eastAsia="en-IN"/>
        </w:rPr>
        <w:t>social security funds</w:t>
      </w:r>
      <w:r w:rsidRPr="00E93CCB">
        <w:rPr>
          <w:rFonts w:ascii="Calibri" w:eastAsia="Times New Roman" w:hAnsi="Calibri" w:cs="Times New Roman"/>
          <w:lang w:eastAsia="en-IN"/>
        </w:rPr>
        <w:t xml:space="preserve">, particularly in the old-age and pension savings segment. Further, portfolio allocation for </w:t>
      </w:r>
      <w:r w:rsidRPr="00E93CCB">
        <w:rPr>
          <w:rFonts w:ascii="Calibri" w:eastAsia="Times New Roman" w:hAnsi="Calibri" w:cs="Times New Roman"/>
          <w:b/>
          <w:u w:val="single"/>
          <w:lang w:eastAsia="en-IN"/>
        </w:rPr>
        <w:t>pension funds</w:t>
      </w:r>
      <w:r w:rsidRPr="00E93CCB">
        <w:rPr>
          <w:rFonts w:ascii="Calibri" w:eastAsia="Times New Roman" w:hAnsi="Calibri" w:cs="Times New Roman"/>
          <w:lang w:eastAsia="en-IN"/>
        </w:rPr>
        <w:t xml:space="preserve"> skews heavily toward government bonds (23.3%), as well as equity (12.3%) and corporate bonds (21%); this indicates possible mobilisation potential for long-term infrastructure financing. In contrast to the general insurance segment, which shows preference for short-term investments, the </w:t>
      </w:r>
      <w:r w:rsidRPr="00E93CCB">
        <w:rPr>
          <w:rFonts w:ascii="Calibri" w:eastAsia="Times New Roman" w:hAnsi="Calibri" w:cs="Times New Roman"/>
          <w:b/>
          <w:u w:val="single"/>
          <w:lang w:eastAsia="en-IN"/>
        </w:rPr>
        <w:t>life insurance industry</w:t>
      </w:r>
      <w:r w:rsidRPr="00E93CCB">
        <w:rPr>
          <w:rFonts w:ascii="Calibri" w:eastAsia="Times New Roman" w:hAnsi="Calibri" w:cs="Times New Roman"/>
          <w:lang w:eastAsia="en-IN"/>
        </w:rPr>
        <w:t xml:space="preserve"> is likely to be interested in infrastructure investments, given its long-term liabilities. The </w:t>
      </w:r>
      <w:r w:rsidRPr="00E93CCB">
        <w:rPr>
          <w:rFonts w:ascii="Calibri" w:eastAsia="Times New Roman" w:hAnsi="Calibri" w:cs="Times New Roman"/>
          <w:b/>
          <w:u w:val="single"/>
          <w:lang w:eastAsia="en-IN"/>
        </w:rPr>
        <w:t>mutual fund industry</w:t>
      </w:r>
      <w:r w:rsidRPr="00E93CCB">
        <w:rPr>
          <w:rFonts w:ascii="Calibri" w:eastAsia="Times New Roman" w:hAnsi="Calibri" w:cs="Times New Roman"/>
          <w:lang w:eastAsia="en-IN"/>
        </w:rPr>
        <w:t xml:space="preserve"> has been growing at a rate of 15% over the last five </w:t>
      </w:r>
      <w:proofErr w:type="gramStart"/>
      <w:r w:rsidRPr="00E93CCB">
        <w:rPr>
          <w:rFonts w:ascii="Calibri" w:eastAsia="Times New Roman" w:hAnsi="Calibri" w:cs="Times New Roman"/>
          <w:lang w:eastAsia="en-IN"/>
        </w:rPr>
        <w:t>years, and</w:t>
      </w:r>
      <w:proofErr w:type="gramEnd"/>
      <w:r w:rsidRPr="00E93CCB">
        <w:rPr>
          <w:rFonts w:ascii="Calibri" w:eastAsia="Times New Roman" w:hAnsi="Calibri" w:cs="Times New Roman"/>
          <w:lang w:eastAsia="en-IN"/>
        </w:rPr>
        <w:t xml:space="preserve"> is an important vehicle for mobilising private Indonesian savings.</w:t>
      </w:r>
      <w:r w:rsidRPr="001241AD">
        <w:rPr>
          <w:rFonts w:ascii="Calibri" w:eastAsia="Times New Roman" w:hAnsi="Calibri" w:cs="Times New Roman"/>
          <w:vertAlign w:val="superscript"/>
          <w:lang w:eastAsia="en-IN"/>
        </w:rPr>
        <w:footnoteReference w:id="87"/>
      </w:r>
      <w:r w:rsidRPr="00E93CCB">
        <w:rPr>
          <w:rFonts w:ascii="Calibri" w:eastAsia="Times New Roman" w:hAnsi="Calibri" w:cs="Times New Roman"/>
          <w:lang w:eastAsia="en-IN"/>
        </w:rPr>
        <w:t xml:space="preserve"> </w:t>
      </w:r>
    </w:p>
    <w:p w14:paraId="3BF8EEDB" w14:textId="77777777" w:rsidR="00E63804" w:rsidRPr="001241AD" w:rsidRDefault="00E63804" w:rsidP="00E63804">
      <w:pPr>
        <w:pBdr>
          <w:top w:val="nil"/>
          <w:left w:val="nil"/>
          <w:bottom w:val="nil"/>
          <w:right w:val="nil"/>
          <w:between w:val="nil"/>
        </w:pBdr>
        <w:spacing w:before="120" w:after="120" w:line="240" w:lineRule="auto"/>
        <w:ind w:left="720" w:right="602"/>
        <w:jc w:val="both"/>
        <w:rPr>
          <w:rFonts w:ascii="Calibri" w:eastAsia="Times New Roman" w:hAnsi="Calibri" w:cs="Times New Roman"/>
          <w:lang w:eastAsia="en-IN"/>
        </w:rPr>
      </w:pPr>
      <w:r w:rsidRPr="001241AD">
        <w:rPr>
          <w:rFonts w:ascii="Calibri" w:eastAsia="Times New Roman" w:hAnsi="Calibri" w:cs="Times New Roman"/>
          <w:lang w:eastAsia="en-IN"/>
        </w:rPr>
        <w:t xml:space="preserve">By nature, these funds must invest conservatively to ensure preservation of committed disbursable capital, and most infrastructure investment opportunities must be de-risked </w:t>
      </w:r>
      <w:proofErr w:type="gramStart"/>
      <w:r w:rsidRPr="001241AD">
        <w:rPr>
          <w:rFonts w:ascii="Calibri" w:eastAsia="Times New Roman" w:hAnsi="Calibri" w:cs="Times New Roman"/>
          <w:lang w:eastAsia="en-IN"/>
        </w:rPr>
        <w:t>in order to</w:t>
      </w:r>
      <w:proofErr w:type="gramEnd"/>
      <w:r w:rsidRPr="001241AD">
        <w:rPr>
          <w:rFonts w:ascii="Calibri" w:eastAsia="Times New Roman" w:hAnsi="Calibri" w:cs="Times New Roman"/>
          <w:lang w:eastAsia="en-IN"/>
        </w:rPr>
        <w:t xml:space="preserve"> be seen by institutional investors as viable prospects. Structuring these opportunities in ways that present attractive risk profiles to these investors usually requires </w:t>
      </w:r>
      <w:r>
        <w:rPr>
          <w:rFonts w:ascii="Calibri" w:eastAsia="Times New Roman" w:hAnsi="Calibri" w:cs="Times New Roman"/>
          <w:lang w:eastAsia="en-IN"/>
        </w:rPr>
        <w:t>NGF</w:t>
      </w:r>
      <w:r w:rsidRPr="001241AD">
        <w:rPr>
          <w:rFonts w:ascii="Calibri" w:eastAsia="Times New Roman" w:hAnsi="Calibri" w:cs="Times New Roman"/>
          <w:lang w:eastAsia="en-IN"/>
        </w:rPr>
        <w:t>—common approaches include guarantees, debt and equity securitization and loan syndication, for which our consultations suggest there is demand. While it is possible to accomplish the same through innovative grants, possibly in the form of convertible grants or some form of conditional risk coverage that is delivered in grant form, using only grants would likely restrict Australia’s ability to attract institutional investors in Indonesia. Australia could encourage pension and insurance funds to participate in infrastructure financing (</w:t>
      </w:r>
      <w:proofErr w:type="spellStart"/>
      <w:r w:rsidRPr="001241AD">
        <w:rPr>
          <w:rFonts w:ascii="Calibri" w:eastAsia="Times New Roman" w:hAnsi="Calibri" w:cs="Times New Roman"/>
          <w:lang w:eastAsia="en-IN"/>
        </w:rPr>
        <w:t>i</w:t>
      </w:r>
      <w:proofErr w:type="spellEnd"/>
      <w:r w:rsidRPr="001241AD">
        <w:rPr>
          <w:rFonts w:ascii="Calibri" w:eastAsia="Times New Roman" w:hAnsi="Calibri" w:cs="Times New Roman"/>
          <w:lang w:eastAsia="en-IN"/>
        </w:rPr>
        <w:t xml:space="preserve">) by supporting government agencies like KPPIP that seek to mobilise institutional investors as part of their agenda to deepen financial markets, and (ii) with a strong focus on linking finance to reforms associated with sector policy, transparency, and ease of private sector participation. </w:t>
      </w:r>
    </w:p>
    <w:p w14:paraId="57F01D6D" w14:textId="77777777" w:rsidR="00E63804" w:rsidRPr="00E93CCB" w:rsidRDefault="00E63804" w:rsidP="00E63804">
      <w:pPr>
        <w:numPr>
          <w:ilvl w:val="1"/>
          <w:numId w:val="32"/>
        </w:numPr>
        <w:pBdr>
          <w:top w:val="nil"/>
          <w:left w:val="nil"/>
          <w:bottom w:val="nil"/>
          <w:right w:val="nil"/>
          <w:between w:val="nil"/>
        </w:pBdr>
        <w:spacing w:before="120" w:after="120" w:line="240" w:lineRule="auto"/>
        <w:ind w:left="720" w:right="602"/>
        <w:jc w:val="both"/>
        <w:rPr>
          <w:rFonts w:ascii="Calibri" w:eastAsia="Times New Roman" w:hAnsi="Calibri" w:cs="Times New Roman"/>
          <w:lang w:eastAsia="en-IN"/>
        </w:rPr>
      </w:pPr>
      <w:r w:rsidRPr="00E93CCB">
        <w:rPr>
          <w:rFonts w:ascii="Calibri" w:eastAsia="Times New Roman" w:hAnsi="Calibri" w:cs="Times New Roman"/>
          <w:i/>
          <w:lang w:eastAsia="en-IN"/>
        </w:rPr>
        <w:t xml:space="preserve">Financing impactful infrastructure and related projects at the provincial level </w:t>
      </w:r>
      <w:proofErr w:type="gramStart"/>
      <w:r w:rsidRPr="00E93CCB">
        <w:rPr>
          <w:rFonts w:ascii="Calibri" w:eastAsia="Times New Roman" w:hAnsi="Calibri" w:cs="Times New Roman"/>
          <w:i/>
          <w:lang w:eastAsia="en-IN"/>
        </w:rPr>
        <w:t>through the use of</w:t>
      </w:r>
      <w:proofErr w:type="gramEnd"/>
      <w:r w:rsidRPr="00E93CCB">
        <w:rPr>
          <w:rFonts w:ascii="Calibri" w:eastAsia="Times New Roman" w:hAnsi="Calibri" w:cs="Times New Roman"/>
          <w:i/>
          <w:lang w:eastAsia="en-IN"/>
        </w:rPr>
        <w:t xml:space="preserve"> municipal bonds:</w:t>
      </w:r>
      <w:r w:rsidRPr="00E93CCB">
        <w:rPr>
          <w:rFonts w:ascii="Calibri" w:eastAsia="Times New Roman" w:hAnsi="Calibri" w:cs="Times New Roman"/>
          <w:lang w:eastAsia="en-IN"/>
        </w:rPr>
        <w:t xml:space="preserve"> Indonesia has an established regulatory framework for municipal bonds, but there is no precedent for a bond issuance. According to the World Bank, efforts to issue bonds by DKI Jakarta (between 2011 and 2013) and West Java (2014 and 2015) did not yield results, due to the overly complicated and lengthy processes involved.</w:t>
      </w:r>
      <w:r w:rsidRPr="001241AD">
        <w:rPr>
          <w:rFonts w:ascii="Calibri" w:eastAsia="Times New Roman" w:hAnsi="Calibri" w:cs="Times New Roman"/>
          <w:vertAlign w:val="superscript"/>
          <w:lang w:eastAsia="en-IN"/>
        </w:rPr>
        <w:footnoteReference w:id="88"/>
      </w:r>
      <w:r w:rsidRPr="00E93CCB">
        <w:rPr>
          <w:rFonts w:ascii="Calibri" w:eastAsia="Times New Roman" w:hAnsi="Calibri" w:cs="Times New Roman"/>
          <w:lang w:eastAsia="en-IN"/>
        </w:rPr>
        <w:t xml:space="preserve"> This constraint also explains the lack of emergence of a bond </w:t>
      </w:r>
      <w:r w:rsidRPr="00E93CCB">
        <w:rPr>
          <w:rFonts w:ascii="Calibri" w:eastAsia="Times New Roman" w:hAnsi="Calibri" w:cs="Times New Roman"/>
          <w:lang w:eastAsia="en-IN"/>
        </w:rPr>
        <w:lastRenderedPageBreak/>
        <w:t xml:space="preserve">market more broadly—bond issuances face a complicated approval process and a lack of any standardised procedure. </w:t>
      </w:r>
    </w:p>
    <w:p w14:paraId="31A5BE95" w14:textId="77777777" w:rsidR="00E63804" w:rsidRPr="001241AD" w:rsidRDefault="00E63804" w:rsidP="00E63804">
      <w:pPr>
        <w:pBdr>
          <w:top w:val="nil"/>
          <w:left w:val="nil"/>
          <w:bottom w:val="nil"/>
          <w:right w:val="nil"/>
          <w:between w:val="nil"/>
        </w:pBdr>
        <w:spacing w:before="120" w:after="120" w:line="240" w:lineRule="auto"/>
        <w:ind w:left="720" w:right="602"/>
        <w:jc w:val="both"/>
        <w:rPr>
          <w:rFonts w:ascii="Calibri" w:eastAsia="Times New Roman" w:hAnsi="Calibri" w:cs="Times New Roman"/>
          <w:i/>
          <w:lang w:eastAsia="en-IN"/>
        </w:rPr>
      </w:pPr>
      <w:r w:rsidRPr="001241AD">
        <w:rPr>
          <w:rFonts w:ascii="Calibri" w:eastAsia="Times New Roman" w:hAnsi="Calibri" w:cs="Times New Roman"/>
          <w:lang w:eastAsia="en-IN"/>
        </w:rPr>
        <w:t>However, there is cause for optimism—a recent regulation, passed in 2017, simplifies the auditing process in issuing municipal bonds for subnational governments. Further, KPPIP believes that bonds are ready for issuance in Central Jakarta, West Jakarta and DKI Jakarta. These developments signal the potential revival of the stalled municipal bond projects mentioned above, which involve large infrastructure projects such as airport construction</w:t>
      </w:r>
      <w:r>
        <w:rPr>
          <w:rFonts w:ascii="Calibri" w:eastAsia="Times New Roman" w:hAnsi="Calibri" w:cs="Times New Roman"/>
          <w:lang w:eastAsia="en-IN"/>
        </w:rPr>
        <w:t>.</w:t>
      </w:r>
      <w:r w:rsidRPr="001241AD">
        <w:rPr>
          <w:rFonts w:ascii="Calibri" w:eastAsia="Times New Roman" w:hAnsi="Calibri" w:cs="Times New Roman"/>
          <w:vertAlign w:val="superscript"/>
          <w:lang w:eastAsia="en-IN"/>
        </w:rPr>
        <w:footnoteReference w:id="89"/>
      </w:r>
      <w:r w:rsidRPr="001241AD">
        <w:rPr>
          <w:rFonts w:ascii="Calibri" w:eastAsia="Times New Roman" w:hAnsi="Calibri" w:cs="Times New Roman"/>
          <w:lang w:eastAsia="en-IN"/>
        </w:rPr>
        <w:t xml:space="preserve">  </w:t>
      </w:r>
    </w:p>
    <w:p w14:paraId="3E8D27C1" w14:textId="77777777" w:rsidR="00E63804" w:rsidRPr="00E93CCB" w:rsidRDefault="00E63804" w:rsidP="00E63804">
      <w:pPr>
        <w:numPr>
          <w:ilvl w:val="1"/>
          <w:numId w:val="32"/>
        </w:numPr>
        <w:pBdr>
          <w:top w:val="nil"/>
          <w:left w:val="nil"/>
          <w:bottom w:val="nil"/>
          <w:right w:val="nil"/>
          <w:between w:val="nil"/>
        </w:pBdr>
        <w:spacing w:before="120" w:after="120" w:line="240" w:lineRule="auto"/>
        <w:ind w:left="720" w:right="602" w:hanging="720"/>
        <w:jc w:val="both"/>
        <w:rPr>
          <w:rFonts w:ascii="Calibri" w:eastAsia="Times New Roman" w:hAnsi="Calibri" w:cs="Times New Roman"/>
          <w:color w:val="000000"/>
          <w:lang w:eastAsia="en-IN"/>
        </w:rPr>
      </w:pPr>
      <w:r w:rsidRPr="004748B8">
        <w:rPr>
          <w:rFonts w:ascii="Calibri" w:eastAsia="Times New Roman" w:hAnsi="Calibri" w:cs="Times New Roman"/>
          <w:i/>
          <w:lang w:eastAsia="en-IN"/>
        </w:rPr>
        <w:t>Helping establish methods such as aggregation platforms to improve the domestic</w:t>
      </w:r>
      <w:r w:rsidRPr="00E93CCB">
        <w:rPr>
          <w:rFonts w:ascii="Calibri" w:eastAsia="Times New Roman" w:hAnsi="Calibri" w:cs="Times New Roman"/>
          <w:i/>
          <w:color w:val="000000"/>
          <w:lang w:eastAsia="en-IN"/>
        </w:rPr>
        <w:t xml:space="preserve"> financing of local-level infrastructure: </w:t>
      </w:r>
      <w:r w:rsidRPr="00E93CCB">
        <w:rPr>
          <w:rFonts w:ascii="Calibri" w:eastAsia="Times New Roman" w:hAnsi="Calibri" w:cs="Times New Roman"/>
          <w:color w:val="000000"/>
          <w:lang w:eastAsia="en-IN"/>
        </w:rPr>
        <w:t>One of the most pressing cost considerations for potential investors is the identification of viable investment pipelines. Most investors are deterred by a lack of local knowledge or partnership with local networks.</w:t>
      </w:r>
    </w:p>
    <w:p w14:paraId="483AF7D8" w14:textId="77777777" w:rsidR="00E63804" w:rsidRPr="001241AD" w:rsidRDefault="00E63804" w:rsidP="00E63804">
      <w:pPr>
        <w:pBdr>
          <w:top w:val="nil"/>
          <w:left w:val="nil"/>
          <w:bottom w:val="nil"/>
          <w:right w:val="nil"/>
          <w:between w:val="nil"/>
        </w:pBdr>
        <w:spacing w:before="120" w:after="120" w:line="240" w:lineRule="auto"/>
        <w:ind w:left="720" w:right="602"/>
        <w:jc w:val="both"/>
        <w:rPr>
          <w:rFonts w:ascii="Calibri" w:eastAsia="Times New Roman" w:hAnsi="Calibri" w:cs="Times New Roman"/>
          <w:color w:val="000000"/>
          <w:lang w:eastAsia="en-IN"/>
        </w:rPr>
      </w:pPr>
      <w:r w:rsidRPr="001241AD">
        <w:rPr>
          <w:rFonts w:ascii="Calibri" w:eastAsia="Times New Roman" w:hAnsi="Calibri" w:cs="Times New Roman"/>
          <w:color w:val="000000"/>
          <w:lang w:eastAsia="en-IN"/>
        </w:rPr>
        <w:t>Currently, one prominent digital platform fulfilling this purpose is the G20-affiliated Global Infrastructure Project Pipeline, where the Indonesian government promotes public infrastructure projects. The other source is the “Blue Book” produced by the Indonesian Ministry of National Development Planning (</w:t>
      </w:r>
      <w:proofErr w:type="spellStart"/>
      <w:r w:rsidRPr="001241AD">
        <w:rPr>
          <w:rFonts w:ascii="Calibri" w:eastAsia="Times New Roman" w:hAnsi="Calibri" w:cs="Times New Roman"/>
          <w:color w:val="000000"/>
          <w:lang w:eastAsia="en-IN"/>
        </w:rPr>
        <w:t>Bappenas</w:t>
      </w:r>
      <w:proofErr w:type="spellEnd"/>
      <w:r w:rsidRPr="001241AD">
        <w:rPr>
          <w:rFonts w:ascii="Calibri" w:eastAsia="Times New Roman" w:hAnsi="Calibri" w:cs="Times New Roman"/>
          <w:color w:val="000000"/>
          <w:lang w:eastAsia="en-IN"/>
        </w:rPr>
        <w:t xml:space="preserve">), which includes a list of planned external loans in the medium term, some of which are used for infrastructure and related purposes. A competitive market of aggregation platforms that identify upcoming public and private projects in the pipeline, emphasise information transparency and build a rating system for metrics that investors care about (e.g., rate of return, local regulatory complexity, etc.) could dramatically decrease the cost of finding investments—and open the floodgates for domestic financing. </w:t>
      </w:r>
    </w:p>
    <w:p w14:paraId="1943066B" w14:textId="77777777" w:rsidR="00E63804" w:rsidRPr="00E93CCB" w:rsidRDefault="00E63804" w:rsidP="00E63804">
      <w:pPr>
        <w:numPr>
          <w:ilvl w:val="1"/>
          <w:numId w:val="32"/>
        </w:numPr>
        <w:pBdr>
          <w:top w:val="nil"/>
          <w:left w:val="nil"/>
          <w:bottom w:val="nil"/>
          <w:right w:val="nil"/>
          <w:between w:val="nil"/>
        </w:pBdr>
        <w:spacing w:before="120" w:after="120" w:line="240" w:lineRule="auto"/>
        <w:ind w:left="720" w:right="602"/>
        <w:jc w:val="both"/>
        <w:rPr>
          <w:rFonts w:ascii="Calibri" w:eastAsia="Times New Roman" w:hAnsi="Calibri" w:cs="Times New Roman"/>
          <w:lang w:eastAsia="en-IN"/>
        </w:rPr>
      </w:pPr>
      <w:r w:rsidRPr="00E93CCB">
        <w:rPr>
          <w:rFonts w:ascii="Calibri" w:eastAsia="Times New Roman" w:hAnsi="Calibri" w:cs="Times New Roman"/>
          <w:i/>
          <w:lang w:eastAsia="en-IN"/>
        </w:rPr>
        <w:t xml:space="preserve">Supporting private-sector providers of technical and vocational education and training (TVET) willing to work with Australian intellectual property and standards: </w:t>
      </w:r>
      <w:r w:rsidRPr="00E93CCB">
        <w:rPr>
          <w:rFonts w:ascii="Calibri" w:eastAsia="Times New Roman" w:hAnsi="Calibri" w:cs="Times New Roman"/>
          <w:lang w:eastAsia="en-IN"/>
        </w:rPr>
        <w:t>Access to skilled labour is a serious challenge in parts of Indonesia. By some estimates, 20% of the workforce does not reach the minimum threshold of educational qualification beyond which formal sector employers are willing to train and hire.</w:t>
      </w:r>
      <w:r w:rsidRPr="001241AD">
        <w:rPr>
          <w:rFonts w:ascii="Calibri" w:eastAsia="Times New Roman" w:hAnsi="Calibri" w:cs="Times New Roman"/>
          <w:vertAlign w:val="superscript"/>
          <w:lang w:eastAsia="en-IN"/>
        </w:rPr>
        <w:footnoteReference w:id="90"/>
      </w:r>
      <w:r w:rsidRPr="00E93CCB">
        <w:rPr>
          <w:rFonts w:ascii="Calibri" w:eastAsia="Times New Roman" w:hAnsi="Calibri" w:cs="Times New Roman"/>
          <w:lang w:eastAsia="en-IN"/>
        </w:rPr>
        <w:t xml:space="preserve"> Only 5% of Indonesian firms provide formal training to their employees.</w:t>
      </w:r>
      <w:r w:rsidRPr="001241AD">
        <w:rPr>
          <w:rFonts w:ascii="Calibri" w:eastAsia="Times New Roman" w:hAnsi="Calibri" w:cs="Times New Roman"/>
          <w:vertAlign w:val="superscript"/>
          <w:lang w:eastAsia="en-IN"/>
        </w:rPr>
        <w:footnoteReference w:id="91"/>
      </w:r>
      <w:r w:rsidRPr="00E93CCB">
        <w:rPr>
          <w:rFonts w:ascii="Calibri" w:eastAsia="Times New Roman" w:hAnsi="Calibri" w:cs="Times New Roman"/>
          <w:lang w:eastAsia="en-IN"/>
        </w:rPr>
        <w:t xml:space="preserve"> </w:t>
      </w:r>
    </w:p>
    <w:p w14:paraId="3B59EE65" w14:textId="30FF09B9" w:rsidR="00E63804" w:rsidRPr="001241AD" w:rsidRDefault="00E63804" w:rsidP="00E63804">
      <w:pPr>
        <w:pBdr>
          <w:top w:val="nil"/>
          <w:left w:val="nil"/>
          <w:bottom w:val="nil"/>
          <w:right w:val="nil"/>
          <w:between w:val="nil"/>
        </w:pBdr>
        <w:spacing w:before="120" w:after="120" w:line="240" w:lineRule="auto"/>
        <w:ind w:left="720" w:right="602"/>
        <w:jc w:val="both"/>
        <w:rPr>
          <w:rFonts w:ascii="Calibri" w:eastAsia="Times New Roman" w:hAnsi="Calibri" w:cs="Times New Roman"/>
          <w:lang w:eastAsia="en-IN"/>
        </w:rPr>
      </w:pPr>
      <w:r w:rsidRPr="001241AD">
        <w:rPr>
          <w:rFonts w:ascii="Calibri" w:eastAsia="Times New Roman" w:hAnsi="Calibri" w:cs="Times New Roman"/>
          <w:lang w:eastAsia="en-IN"/>
        </w:rPr>
        <w:t xml:space="preserve">At OECD’s “Fourth Regional Policy Dialogue on TVET”, Indonesian companies noted that “good technical mentors with sound pedagogical skills enhance the outcomes” for in-company training. Our stakeholder consultations clearly indicated that given Australia’s strong know-how in TVET and robust benchmarking standards, it has the potential to bolster existing processes by training or providing such mentors, sharing world-class training modules and training software and systems and further encouraging the adoption of skill-building </w:t>
      </w:r>
      <w:r>
        <w:rPr>
          <w:rFonts w:ascii="Calibri" w:eastAsia="Times New Roman" w:hAnsi="Calibri" w:cs="Times New Roman"/>
          <w:lang w:eastAsia="en-IN"/>
        </w:rPr>
        <w:t xml:space="preserve">programs </w:t>
      </w:r>
      <w:r w:rsidRPr="001241AD">
        <w:rPr>
          <w:rFonts w:ascii="Calibri" w:eastAsia="Times New Roman" w:hAnsi="Calibri" w:cs="Times New Roman"/>
          <w:lang w:eastAsia="en-IN"/>
        </w:rPr>
        <w:t xml:space="preserve">in the private sector with the promise of similar </w:t>
      </w:r>
      <w:r>
        <w:rPr>
          <w:rFonts w:ascii="Calibri" w:eastAsia="Arial" w:hAnsi="Calibri" w:cs="Calibri"/>
          <w:lang w:eastAsia="zh-CN"/>
        </w:rPr>
        <w:t>TA</w:t>
      </w:r>
      <w:r w:rsidRPr="001241AD">
        <w:rPr>
          <w:rFonts w:ascii="Calibri" w:eastAsia="Times New Roman" w:hAnsi="Calibri" w:cs="Times New Roman"/>
          <w:lang w:eastAsia="en-IN"/>
        </w:rPr>
        <w:t xml:space="preserve">. </w:t>
      </w:r>
    </w:p>
    <w:p w14:paraId="041B6306" w14:textId="77777777" w:rsidR="00E63804" w:rsidRPr="001241AD" w:rsidRDefault="00E63804" w:rsidP="00E63804">
      <w:pPr>
        <w:pBdr>
          <w:top w:val="nil"/>
          <w:left w:val="nil"/>
          <w:bottom w:val="nil"/>
          <w:right w:val="nil"/>
          <w:between w:val="nil"/>
        </w:pBdr>
        <w:spacing w:before="120" w:after="120" w:line="240" w:lineRule="auto"/>
        <w:ind w:left="720" w:right="602"/>
        <w:jc w:val="both"/>
        <w:rPr>
          <w:rFonts w:ascii="Calibri" w:eastAsia="Times New Roman" w:hAnsi="Calibri" w:cs="Times New Roman"/>
          <w:lang w:eastAsia="en-IN"/>
        </w:rPr>
      </w:pPr>
      <w:r w:rsidRPr="001241AD">
        <w:rPr>
          <w:rFonts w:ascii="Calibri" w:eastAsia="Times New Roman" w:hAnsi="Calibri" w:cs="Times New Roman"/>
          <w:lang w:eastAsia="en-IN"/>
        </w:rPr>
        <w:t xml:space="preserve">Australia also </w:t>
      </w:r>
      <w:proofErr w:type="gramStart"/>
      <w:r w:rsidRPr="001241AD">
        <w:rPr>
          <w:rFonts w:ascii="Calibri" w:eastAsia="Times New Roman" w:hAnsi="Calibri" w:cs="Times New Roman"/>
          <w:lang w:eastAsia="en-IN"/>
        </w:rPr>
        <w:t>has the opportunity to</w:t>
      </w:r>
      <w:proofErr w:type="gramEnd"/>
      <w:r w:rsidRPr="001241AD">
        <w:rPr>
          <w:rFonts w:ascii="Calibri" w:eastAsia="Times New Roman" w:hAnsi="Calibri" w:cs="Times New Roman"/>
          <w:lang w:eastAsia="en-IN"/>
        </w:rPr>
        <w:t xml:space="preserve"> participate in </w:t>
      </w:r>
      <w:r>
        <w:rPr>
          <w:rFonts w:ascii="Calibri" w:eastAsia="Times New Roman" w:hAnsi="Calibri" w:cs="Times New Roman"/>
          <w:lang w:eastAsia="en-IN"/>
        </w:rPr>
        <w:t>PPPs</w:t>
      </w:r>
      <w:r w:rsidRPr="001241AD">
        <w:rPr>
          <w:rFonts w:ascii="Calibri" w:eastAsia="Times New Roman" w:hAnsi="Calibri" w:cs="Times New Roman"/>
          <w:lang w:eastAsia="en-IN"/>
        </w:rPr>
        <w:t>. The Ministry of Education has expressed that private participation will be crucial in setting up more and better quality TVET institutes—Indonesia’s vocational or non-formal education sector is currently open to foreign investments of up to 49%</w:t>
      </w:r>
      <w:r>
        <w:rPr>
          <w:rFonts w:ascii="Calibri" w:eastAsia="Times New Roman" w:hAnsi="Calibri" w:cs="Times New Roman"/>
          <w:lang w:eastAsia="en-IN"/>
        </w:rPr>
        <w:t>.</w:t>
      </w:r>
      <w:r w:rsidRPr="001241AD">
        <w:rPr>
          <w:rFonts w:ascii="Calibri" w:eastAsia="Times New Roman" w:hAnsi="Calibri" w:cs="Times New Roman"/>
          <w:vertAlign w:val="superscript"/>
          <w:lang w:eastAsia="en-IN"/>
        </w:rPr>
        <w:footnoteReference w:id="92"/>
      </w:r>
      <w:r w:rsidRPr="001241AD">
        <w:rPr>
          <w:rFonts w:ascii="Calibri" w:eastAsia="Times New Roman" w:hAnsi="Calibri" w:cs="Times New Roman"/>
          <w:lang w:eastAsia="en-IN"/>
        </w:rPr>
        <w:t xml:space="preserve"> However, to ascertain concrete opportunities based on impact and feasibility, processes like sizing the nature of Indonesia’s TVET need and conducting due diligence will be required.</w:t>
      </w:r>
    </w:p>
    <w:p w14:paraId="29B297DA" w14:textId="77777777" w:rsidR="00E63804" w:rsidRPr="001241AD" w:rsidRDefault="00E63804" w:rsidP="00E63804">
      <w:pPr>
        <w:pBdr>
          <w:top w:val="nil"/>
          <w:left w:val="nil"/>
          <w:bottom w:val="nil"/>
          <w:right w:val="nil"/>
          <w:between w:val="nil"/>
        </w:pBdr>
        <w:spacing w:before="120" w:after="120" w:line="240" w:lineRule="auto"/>
        <w:ind w:left="720" w:right="602"/>
        <w:jc w:val="both"/>
        <w:rPr>
          <w:rFonts w:ascii="Calibri" w:eastAsia="Times New Roman" w:hAnsi="Calibri" w:cs="Times New Roman"/>
          <w:lang w:eastAsia="en-IN"/>
        </w:rPr>
      </w:pPr>
      <w:r w:rsidRPr="001241AD">
        <w:rPr>
          <w:rFonts w:ascii="Calibri" w:eastAsia="Times New Roman" w:hAnsi="Calibri" w:cs="Times New Roman"/>
          <w:lang w:eastAsia="en-IN"/>
        </w:rPr>
        <w:lastRenderedPageBreak/>
        <w:t xml:space="preserve">This recommendation reflects a repeated theme heard across consultations; however, this is not to suggest that Australia’s current priorities in the education sector (in particular, its focus on primary education) are incompatible with a focus on TVET, although it may be necessary to weigh the merits of this new focus against the current strategy </w:t>
      </w:r>
      <w:proofErr w:type="gramStart"/>
      <w:r w:rsidRPr="001241AD">
        <w:rPr>
          <w:rFonts w:ascii="Calibri" w:eastAsia="Times New Roman" w:hAnsi="Calibri" w:cs="Times New Roman"/>
          <w:lang w:eastAsia="en-IN"/>
        </w:rPr>
        <w:t>in order to</w:t>
      </w:r>
      <w:proofErr w:type="gramEnd"/>
      <w:r w:rsidRPr="001241AD">
        <w:rPr>
          <w:rFonts w:ascii="Calibri" w:eastAsia="Times New Roman" w:hAnsi="Calibri" w:cs="Times New Roman"/>
          <w:lang w:eastAsia="en-IN"/>
        </w:rPr>
        <w:t xml:space="preserve"> prioritise </w:t>
      </w:r>
      <w:r>
        <w:rPr>
          <w:rFonts w:ascii="Calibri" w:eastAsia="Times New Roman" w:hAnsi="Calibri" w:cs="Times New Roman"/>
          <w:lang w:eastAsia="en-IN"/>
        </w:rPr>
        <w:t>development assistance</w:t>
      </w:r>
      <w:r w:rsidRPr="001241AD">
        <w:rPr>
          <w:rFonts w:ascii="Calibri" w:eastAsia="Times New Roman" w:hAnsi="Calibri" w:cs="Times New Roman"/>
          <w:lang w:eastAsia="en-IN"/>
        </w:rPr>
        <w:t xml:space="preserve"> spending.</w:t>
      </w:r>
    </w:p>
    <w:p w14:paraId="4378424A" w14:textId="4BA161FD" w:rsidR="00E63804" w:rsidRPr="00E93CCB" w:rsidRDefault="00E63804" w:rsidP="00E63804">
      <w:pPr>
        <w:numPr>
          <w:ilvl w:val="0"/>
          <w:numId w:val="36"/>
        </w:numPr>
        <w:tabs>
          <w:tab w:val="left" w:pos="360"/>
          <w:tab w:val="left" w:pos="540"/>
        </w:tabs>
        <w:spacing w:before="120" w:after="120" w:line="240" w:lineRule="auto"/>
        <w:ind w:left="0" w:right="602" w:firstLine="0"/>
        <w:jc w:val="both"/>
        <w:rPr>
          <w:rFonts w:ascii="Calibri" w:eastAsia="Times New Roman" w:hAnsi="Calibri" w:cs="Times New Roman"/>
          <w:lang w:eastAsia="en-IN"/>
        </w:rPr>
      </w:pPr>
      <w:r w:rsidRPr="00E93CCB">
        <w:rPr>
          <w:rFonts w:ascii="Calibri" w:eastAsia="Times New Roman" w:hAnsi="Calibri" w:cs="Times New Roman"/>
          <w:b/>
          <w:lang w:eastAsia="en-IN"/>
        </w:rPr>
        <w:t xml:space="preserve">However, a key factor in Australia’s ability to be truly impactful in Indonesia will be the potential for NGF to mobilise private sector investment. </w:t>
      </w:r>
      <w:r w:rsidRPr="00E93CCB">
        <w:rPr>
          <w:rFonts w:ascii="Calibri" w:eastAsia="Times New Roman" w:hAnsi="Calibri" w:cs="Times New Roman"/>
          <w:lang w:eastAsia="en-IN"/>
        </w:rPr>
        <w:t xml:space="preserve">For instance, our consultations indicate that the ADB targets a mobilisation multiple of 6x from the private sector alone for its investments in Indonesia. According to the OECD, of the </w:t>
      </w:r>
      <w:r w:rsidR="00800236">
        <w:rPr>
          <w:rFonts w:ascii="Calibri" w:eastAsia="Times New Roman" w:hAnsi="Calibri" w:cs="Times New Roman"/>
          <w:lang w:eastAsia="en-IN"/>
        </w:rPr>
        <w:t>US$</w:t>
      </w:r>
      <w:r w:rsidRPr="00E93CCB">
        <w:rPr>
          <w:rFonts w:ascii="Calibri" w:eastAsia="Times New Roman" w:hAnsi="Calibri" w:cs="Times New Roman"/>
          <w:lang w:eastAsia="en-IN"/>
        </w:rPr>
        <w:t xml:space="preserve"> 81 billion in private resources mobilised by public development finance between 2012 and 2015, 77% were mobilised in middle-income countries such as Indonesia. Given Australia’s limited development assistance budget earmarked for Indonesia, higher mobilisation ratios in the country will help Australia leverage its investments to support larger-ticket projects. </w:t>
      </w:r>
    </w:p>
    <w:p w14:paraId="7793DE48" w14:textId="18618E65" w:rsidR="00E63804" w:rsidRPr="00E93CCB" w:rsidRDefault="00E63804" w:rsidP="00E63804">
      <w:pPr>
        <w:numPr>
          <w:ilvl w:val="0"/>
          <w:numId w:val="36"/>
        </w:numPr>
        <w:tabs>
          <w:tab w:val="left" w:pos="360"/>
          <w:tab w:val="left" w:pos="540"/>
        </w:tabs>
        <w:spacing w:before="120" w:after="120" w:line="240" w:lineRule="auto"/>
        <w:ind w:left="0" w:right="602" w:firstLine="0"/>
        <w:jc w:val="both"/>
        <w:rPr>
          <w:rFonts w:ascii="Calibri" w:eastAsia="Times New Roman" w:hAnsi="Calibri" w:cs="Times New Roman"/>
          <w:lang w:eastAsia="en-IN"/>
        </w:rPr>
      </w:pPr>
      <w:r w:rsidRPr="00E93CCB">
        <w:rPr>
          <w:rFonts w:ascii="Calibri" w:eastAsia="Times New Roman" w:hAnsi="Calibri" w:cs="Times New Roman"/>
          <w:b/>
          <w:lang w:eastAsia="en-IN"/>
        </w:rPr>
        <w:t xml:space="preserve">Meanwhile, grants continue to be important for social and economic development, and Indonesia continues to appreciate bundled </w:t>
      </w:r>
      <w:r w:rsidRPr="00E93CCB">
        <w:rPr>
          <w:rFonts w:ascii="Calibri" w:eastAsia="Arial" w:hAnsi="Calibri" w:cs="Calibri"/>
          <w:b/>
          <w:lang w:eastAsia="zh-CN"/>
        </w:rPr>
        <w:t>TA</w:t>
      </w:r>
      <w:r w:rsidRPr="00E93CCB">
        <w:rPr>
          <w:rFonts w:ascii="Calibri" w:eastAsia="Times New Roman" w:hAnsi="Calibri" w:cs="Times New Roman"/>
          <w:b/>
          <w:lang w:eastAsia="en-IN"/>
        </w:rPr>
        <w:t xml:space="preserve"> packages. </w:t>
      </w:r>
      <w:r w:rsidRPr="00E93CCB">
        <w:rPr>
          <w:rFonts w:ascii="Calibri" w:eastAsia="Times New Roman" w:hAnsi="Calibri" w:cs="Times New Roman"/>
          <w:lang w:eastAsia="en-IN"/>
        </w:rPr>
        <w:t xml:space="preserve">Powerful examples include the education scholarships that have, for decades, given Indonesians an opportunity to study in Australia. Many of the past beneficiaries have returned to Indonesia and served in important roles in top government and private organisations, building local institutional capacity. Implementing agencies have also found it extremely useful in the past to have Australian expertise involved in building and maintaining high-quality roads and other infrastructure. An example is the </w:t>
      </w:r>
      <w:r w:rsidR="00800236">
        <w:rPr>
          <w:rFonts w:ascii="Calibri" w:eastAsia="Times New Roman" w:hAnsi="Calibri" w:cs="Times New Roman"/>
          <w:lang w:eastAsia="en-IN"/>
        </w:rPr>
        <w:t>US$</w:t>
      </w:r>
      <w:r w:rsidRPr="00E93CCB">
        <w:rPr>
          <w:rFonts w:ascii="Calibri" w:eastAsia="Times New Roman" w:hAnsi="Calibri" w:cs="Times New Roman"/>
          <w:lang w:eastAsia="en-IN"/>
        </w:rPr>
        <w:t xml:space="preserve"> 27.2 million Provincial Road Improvement and Maintenance (PRIM) initiative—</w:t>
      </w:r>
      <w:r w:rsidRPr="00E93CCB">
        <w:rPr>
          <w:rFonts w:ascii="Calibri" w:eastAsia="Times New Roman" w:hAnsi="Calibri" w:cs="Times New Roman"/>
          <w:highlight w:val="white"/>
          <w:lang w:eastAsia="en-IN"/>
        </w:rPr>
        <w:t xml:space="preserve">a results-based grant program through which Australia provides incentives for Indonesian subnational governments to implement road maintenance and rehabilitation works. Another example is the AUD 37 million grant component in the Eastern Indonesia National Roads Improvement </w:t>
      </w:r>
      <w:r w:rsidR="0073249A">
        <w:rPr>
          <w:rFonts w:ascii="Calibri" w:eastAsia="Times New Roman" w:hAnsi="Calibri" w:cs="Times New Roman"/>
          <w:highlight w:val="white"/>
          <w:lang w:eastAsia="en-IN"/>
        </w:rPr>
        <w:t>P</w:t>
      </w:r>
      <w:r w:rsidRPr="00E93CCB">
        <w:rPr>
          <w:rFonts w:ascii="Calibri" w:eastAsia="Times New Roman" w:hAnsi="Calibri" w:cs="Times New Roman"/>
          <w:highlight w:val="white"/>
          <w:lang w:eastAsia="en-IN"/>
        </w:rPr>
        <w:t xml:space="preserve">rogram (EINRIP), extended in combination with an AUD 276 million loan; the combination of both loans and grants in this project enabled effective utilisation of funds, with government agencies crediting EINRIP with producing </w:t>
      </w:r>
      <w:r w:rsidR="00541669">
        <w:rPr>
          <w:rFonts w:ascii="Calibri" w:eastAsia="Times New Roman" w:hAnsi="Calibri" w:cs="Times New Roman"/>
          <w:highlight w:val="white"/>
          <w:lang w:eastAsia="en-IN"/>
        </w:rPr>
        <w:t xml:space="preserve">among </w:t>
      </w:r>
      <w:r w:rsidRPr="00E93CCB">
        <w:rPr>
          <w:rFonts w:ascii="Calibri" w:eastAsia="Times New Roman" w:hAnsi="Calibri" w:cs="Times New Roman"/>
          <w:highlight w:val="white"/>
          <w:lang w:eastAsia="en-IN"/>
        </w:rPr>
        <w:t xml:space="preserve">the best quality roads recently achieved in Indonesia. The grant package </w:t>
      </w:r>
      <w:proofErr w:type="gramStart"/>
      <w:r w:rsidRPr="00E93CCB">
        <w:rPr>
          <w:rFonts w:ascii="Calibri" w:eastAsia="Times New Roman" w:hAnsi="Calibri" w:cs="Times New Roman"/>
          <w:highlight w:val="white"/>
          <w:lang w:eastAsia="en-IN"/>
        </w:rPr>
        <w:t>in particular helped</w:t>
      </w:r>
      <w:proofErr w:type="gramEnd"/>
      <w:r w:rsidRPr="00E93CCB">
        <w:rPr>
          <w:rFonts w:ascii="Calibri" w:eastAsia="Times New Roman" w:hAnsi="Calibri" w:cs="Times New Roman"/>
          <w:highlight w:val="white"/>
          <w:lang w:eastAsia="en-IN"/>
        </w:rPr>
        <w:t xml:space="preserve"> manage major risks facing the project.</w:t>
      </w:r>
      <w:r w:rsidRPr="001241AD">
        <w:rPr>
          <w:rFonts w:ascii="Calibri" w:eastAsia="Lato" w:hAnsi="Calibri" w:cs="Lato"/>
          <w:highlight w:val="white"/>
          <w:vertAlign w:val="superscript"/>
          <w:lang w:eastAsia="en-IN"/>
        </w:rPr>
        <w:footnoteReference w:id="93"/>
      </w:r>
      <w:r w:rsidRPr="00E93CCB">
        <w:rPr>
          <w:rFonts w:ascii="Calibri" w:eastAsia="Times New Roman" w:hAnsi="Calibri" w:cs="Times New Roman"/>
          <w:highlight w:val="white"/>
          <w:lang w:eastAsia="en-IN"/>
        </w:rPr>
        <w:t xml:space="preserve"> Grants used in this innovative manner help ensure accountability and sustainability, both by instituting M&amp;E processes that employ strict performance criteria and by working with and bolstering existing government systems.</w:t>
      </w:r>
      <w:r w:rsidRPr="001241AD">
        <w:rPr>
          <w:rFonts w:ascii="Calibri" w:eastAsia="Lato" w:hAnsi="Calibri" w:cs="Lato"/>
          <w:highlight w:val="white"/>
          <w:vertAlign w:val="superscript"/>
          <w:lang w:eastAsia="en-IN"/>
        </w:rPr>
        <w:footnoteReference w:id="94"/>
      </w:r>
      <w:r w:rsidRPr="00E93CCB">
        <w:rPr>
          <w:rFonts w:ascii="Calibri" w:eastAsia="Times New Roman" w:hAnsi="Calibri" w:cs="Times New Roman"/>
          <w:highlight w:val="white"/>
          <w:lang w:eastAsia="en-IN"/>
        </w:rPr>
        <w:t xml:space="preserve"> </w:t>
      </w:r>
    </w:p>
    <w:p w14:paraId="7EC36258" w14:textId="22E55595" w:rsidR="00E63804" w:rsidRPr="001241AD" w:rsidRDefault="00E63804" w:rsidP="00E63804">
      <w:pPr>
        <w:numPr>
          <w:ilvl w:val="0"/>
          <w:numId w:val="36"/>
        </w:numPr>
        <w:tabs>
          <w:tab w:val="left" w:pos="360"/>
          <w:tab w:val="left" w:pos="540"/>
        </w:tabs>
        <w:spacing w:before="120" w:after="120" w:line="240" w:lineRule="auto"/>
        <w:ind w:left="0" w:right="602" w:firstLine="0"/>
        <w:jc w:val="both"/>
        <w:rPr>
          <w:rFonts w:ascii="Calibri" w:eastAsia="Times New Roman" w:hAnsi="Calibri" w:cs="Times New Roman"/>
          <w:lang w:eastAsia="en-IN"/>
        </w:rPr>
      </w:pPr>
      <w:r w:rsidRPr="00C90D96">
        <w:rPr>
          <w:rFonts w:ascii="Calibri" w:eastAsia="Times New Roman" w:hAnsi="Calibri" w:cs="Times New Roman"/>
          <w:b/>
          <w:lang w:eastAsia="en-IN"/>
        </w:rPr>
        <w:t xml:space="preserve">Australia’s </w:t>
      </w:r>
      <w:r w:rsidRPr="00C90D96">
        <w:rPr>
          <w:rFonts w:ascii="Calibri" w:eastAsia="Arial" w:hAnsi="Calibri" w:cs="Calibri"/>
          <w:b/>
          <w:lang w:eastAsia="zh-CN"/>
        </w:rPr>
        <w:t>TA</w:t>
      </w:r>
      <w:r w:rsidRPr="00C90D96">
        <w:rPr>
          <w:rFonts w:ascii="Calibri" w:eastAsia="Times New Roman" w:hAnsi="Calibri" w:cs="Times New Roman"/>
          <w:b/>
          <w:lang w:eastAsia="en-IN"/>
        </w:rPr>
        <w:t xml:space="preserve"> is widely viewed as high quality and </w:t>
      </w:r>
      <w:proofErr w:type="gramStart"/>
      <w:r w:rsidRPr="00C90D96">
        <w:rPr>
          <w:rFonts w:ascii="Calibri" w:eastAsia="Times New Roman" w:hAnsi="Calibri" w:cs="Times New Roman"/>
          <w:b/>
          <w:lang w:eastAsia="en-IN"/>
        </w:rPr>
        <w:t>relevant, and</w:t>
      </w:r>
      <w:proofErr w:type="gramEnd"/>
      <w:r w:rsidRPr="00C90D96">
        <w:rPr>
          <w:rFonts w:ascii="Calibri" w:eastAsia="Times New Roman" w:hAnsi="Calibri" w:cs="Times New Roman"/>
          <w:b/>
          <w:lang w:eastAsia="en-IN"/>
        </w:rPr>
        <w:t xml:space="preserve"> is a critical component of Australia’s demonstrated commitment to the long-term development of its partner countries.</w:t>
      </w:r>
      <w:r w:rsidRPr="001241AD">
        <w:rPr>
          <w:rFonts w:ascii="Calibri" w:eastAsia="Times New Roman" w:hAnsi="Calibri" w:cs="Times New Roman"/>
          <w:lang w:eastAsia="en-IN"/>
        </w:rPr>
        <w:t xml:space="preserve"> Grants with a results-based structure, such as that mentioned above, can potentially be extremely effective and should be bundled with </w:t>
      </w:r>
      <w:r>
        <w:rPr>
          <w:rFonts w:ascii="Calibri" w:eastAsia="Arial" w:hAnsi="Calibri" w:cs="Calibri"/>
          <w:lang w:eastAsia="zh-CN"/>
        </w:rPr>
        <w:t>TA</w:t>
      </w:r>
      <w:r w:rsidRPr="001241AD">
        <w:rPr>
          <w:rFonts w:ascii="Calibri" w:eastAsia="Times New Roman" w:hAnsi="Calibri" w:cs="Times New Roman"/>
          <w:lang w:eastAsia="en-IN"/>
        </w:rPr>
        <w:t xml:space="preserve">, including technology transfers and institutional and human capacity building. A relevant example is the Water and Sanitation </w:t>
      </w:r>
      <w:proofErr w:type="spellStart"/>
      <w:r w:rsidRPr="001241AD">
        <w:rPr>
          <w:rFonts w:ascii="Calibri" w:eastAsia="Times New Roman" w:hAnsi="Calibri" w:cs="Times New Roman"/>
          <w:lang w:eastAsia="en-IN"/>
        </w:rPr>
        <w:t>Hibah</w:t>
      </w:r>
      <w:proofErr w:type="spellEnd"/>
      <w:r w:rsidRPr="001241AD">
        <w:rPr>
          <w:rFonts w:ascii="Calibri" w:eastAsia="Times New Roman" w:hAnsi="Calibri" w:cs="Times New Roman"/>
          <w:lang w:eastAsia="en-IN"/>
        </w:rPr>
        <w:t xml:space="preserve"> (WSH) Phases 1 &amp; 2, implemented by DFAT in partnership with various federal ministries across 128 district governments. The project had a strong </w:t>
      </w:r>
      <w:r>
        <w:rPr>
          <w:rFonts w:ascii="Calibri" w:eastAsia="Arial" w:hAnsi="Calibri" w:cs="Calibri"/>
          <w:lang w:eastAsia="zh-CN"/>
        </w:rPr>
        <w:t>TA</w:t>
      </w:r>
      <w:r w:rsidRPr="001241AD">
        <w:rPr>
          <w:rFonts w:ascii="Calibri" w:eastAsia="Times New Roman" w:hAnsi="Calibri" w:cs="Times New Roman"/>
          <w:lang w:eastAsia="en-IN"/>
        </w:rPr>
        <w:t xml:space="preserve"> component provided by DFAT through the Indonesia Infrastructure Facility; by 2016, it had achieved 250,000 household water connections. An independent review in 2017 </w:t>
      </w:r>
      <w:r w:rsidRPr="001241AD">
        <w:rPr>
          <w:rFonts w:ascii="Calibri" w:eastAsia="Lato" w:hAnsi="Calibri" w:cs="Lato"/>
          <w:lang w:eastAsia="en-IN"/>
        </w:rPr>
        <w:t>rated this results-based</w:t>
      </w:r>
      <w:r>
        <w:rPr>
          <w:rFonts w:ascii="Calibri" w:eastAsia="Lato" w:hAnsi="Calibri" w:cs="Lato"/>
          <w:lang w:eastAsia="en-IN"/>
        </w:rPr>
        <w:t xml:space="preserve"> </w:t>
      </w:r>
      <w:r w:rsidR="0073249A">
        <w:rPr>
          <w:rFonts w:ascii="Calibri" w:eastAsia="Lato" w:hAnsi="Calibri" w:cs="Lato"/>
          <w:lang w:eastAsia="en-IN"/>
        </w:rPr>
        <w:t>program</w:t>
      </w:r>
      <w:r>
        <w:rPr>
          <w:rFonts w:ascii="Calibri" w:eastAsia="Lato" w:hAnsi="Calibri" w:cs="Lato"/>
          <w:lang w:eastAsia="en-IN"/>
        </w:rPr>
        <w:t xml:space="preserve"> </w:t>
      </w:r>
      <w:r w:rsidRPr="001241AD">
        <w:rPr>
          <w:rFonts w:ascii="Calibri" w:eastAsia="Lato" w:hAnsi="Calibri" w:cs="Lato"/>
          <w:lang w:eastAsia="en-IN"/>
        </w:rPr>
        <w:t>as highly sustainable and replicable</w:t>
      </w:r>
      <w:r w:rsidRPr="001241AD">
        <w:rPr>
          <w:rFonts w:ascii="Calibri" w:eastAsia="Times New Roman" w:hAnsi="Calibri" w:cs="Times New Roman"/>
          <w:lang w:eastAsia="en-IN"/>
        </w:rPr>
        <w:t>. Australia’s financing, as well as its demonstration of new approaches, led Indonesia to scale WSH using its own financial resources—to date, this is the only results-based</w:t>
      </w:r>
      <w:r>
        <w:rPr>
          <w:rFonts w:ascii="Calibri" w:eastAsia="Times New Roman" w:hAnsi="Calibri" w:cs="Times New Roman"/>
          <w:lang w:eastAsia="en-IN"/>
        </w:rPr>
        <w:t xml:space="preserve"> </w:t>
      </w:r>
      <w:r w:rsidR="0073249A">
        <w:rPr>
          <w:rFonts w:ascii="Calibri" w:eastAsia="Times New Roman" w:hAnsi="Calibri" w:cs="Times New Roman"/>
          <w:lang w:eastAsia="en-IN"/>
        </w:rPr>
        <w:t>program</w:t>
      </w:r>
      <w:r>
        <w:rPr>
          <w:rFonts w:ascii="Calibri" w:eastAsia="Times New Roman" w:hAnsi="Calibri" w:cs="Times New Roman"/>
          <w:lang w:eastAsia="en-IN"/>
        </w:rPr>
        <w:t xml:space="preserve"> </w:t>
      </w:r>
      <w:r w:rsidRPr="001241AD">
        <w:rPr>
          <w:rFonts w:ascii="Calibri" w:eastAsia="Times New Roman" w:hAnsi="Calibri" w:cs="Times New Roman"/>
          <w:lang w:eastAsia="en-IN"/>
        </w:rPr>
        <w:t xml:space="preserve">that has been reproduced by the government. Further, an IMF assessment shows that the provision of grants is effective when accompanied by policies to strengthen domestic </w:t>
      </w:r>
      <w:proofErr w:type="gramStart"/>
      <w:r w:rsidRPr="001241AD">
        <w:rPr>
          <w:rFonts w:ascii="Calibri" w:eastAsia="Times New Roman" w:hAnsi="Calibri" w:cs="Times New Roman"/>
          <w:lang w:eastAsia="en-IN"/>
        </w:rPr>
        <w:t>institutions;</w:t>
      </w:r>
      <w:proofErr w:type="gramEnd"/>
      <w:r w:rsidRPr="001241AD">
        <w:rPr>
          <w:rFonts w:ascii="Calibri" w:eastAsia="Times New Roman" w:hAnsi="Calibri" w:cs="Times New Roman"/>
          <w:lang w:eastAsia="en-IN"/>
        </w:rPr>
        <w:t xml:space="preserve"> e.g., IMF’s funding for the Heavily Indebted Poor Countries Initiative (HICP) is tied to poverty reduction </w:t>
      </w:r>
      <w:r w:rsidR="0073249A">
        <w:rPr>
          <w:rFonts w:ascii="Calibri" w:eastAsia="Times New Roman" w:hAnsi="Calibri" w:cs="Times New Roman"/>
          <w:lang w:eastAsia="en-IN"/>
        </w:rPr>
        <w:t>program</w:t>
      </w:r>
      <w:r>
        <w:rPr>
          <w:rFonts w:ascii="Calibri" w:eastAsia="Times New Roman" w:hAnsi="Calibri" w:cs="Times New Roman"/>
          <w:lang w:eastAsia="en-IN"/>
        </w:rPr>
        <w:t>s.</w:t>
      </w:r>
      <w:r w:rsidRPr="001241AD">
        <w:rPr>
          <w:rFonts w:ascii="Calibri" w:eastAsia="Times New Roman" w:hAnsi="Calibri" w:cs="Times New Roman"/>
          <w:lang w:eastAsia="en-IN"/>
        </w:rPr>
        <w:t xml:space="preserve"> A similar requirement could be </w:t>
      </w:r>
      <w:r w:rsidRPr="001241AD">
        <w:rPr>
          <w:rFonts w:ascii="Calibri" w:eastAsia="Times New Roman" w:hAnsi="Calibri" w:cs="Times New Roman"/>
          <w:lang w:eastAsia="en-IN"/>
        </w:rPr>
        <w:lastRenderedPageBreak/>
        <w:t>considered for revenue spending, or the establishment of better accountability and transparency mechanisms</w:t>
      </w:r>
      <w:r>
        <w:rPr>
          <w:rFonts w:ascii="Calibri" w:eastAsia="Times New Roman" w:hAnsi="Calibri" w:cs="Times New Roman"/>
          <w:lang w:eastAsia="en-IN"/>
        </w:rPr>
        <w:t>.</w:t>
      </w:r>
      <w:r w:rsidRPr="001241AD">
        <w:rPr>
          <w:rFonts w:ascii="Calibri" w:eastAsia="Lato" w:hAnsi="Calibri" w:cs="Lato"/>
          <w:vertAlign w:val="superscript"/>
          <w:lang w:eastAsia="en-IN"/>
        </w:rPr>
        <w:footnoteReference w:id="95"/>
      </w:r>
      <w:r w:rsidRPr="001241AD">
        <w:rPr>
          <w:rFonts w:ascii="Calibri" w:eastAsia="Times New Roman" w:hAnsi="Calibri" w:cs="Times New Roman"/>
          <w:lang w:eastAsia="en-IN"/>
        </w:rPr>
        <w:t xml:space="preserve"> </w:t>
      </w:r>
    </w:p>
    <w:p w14:paraId="28A0C348" w14:textId="77777777" w:rsidR="00E63804" w:rsidRPr="001241AD" w:rsidRDefault="00E63804" w:rsidP="00E63804">
      <w:pPr>
        <w:keepNext/>
        <w:keepLines/>
        <w:tabs>
          <w:tab w:val="left" w:pos="360"/>
          <w:tab w:val="left" w:pos="540"/>
        </w:tabs>
        <w:spacing w:before="120" w:after="120" w:line="240" w:lineRule="auto"/>
        <w:ind w:right="602"/>
        <w:jc w:val="both"/>
        <w:outlineLvl w:val="1"/>
        <w:rPr>
          <w:rFonts w:ascii="Calibri" w:eastAsia="Times New Roman" w:hAnsi="Calibri" w:cs="Times New Roman"/>
          <w:color w:val="C0504D"/>
          <w:sz w:val="28"/>
          <w:szCs w:val="28"/>
          <w:lang w:eastAsia="en-IN"/>
        </w:rPr>
      </w:pPr>
      <w:r w:rsidRPr="001241AD">
        <w:rPr>
          <w:rFonts w:ascii="Calibri" w:eastAsia="Times New Roman" w:hAnsi="Calibri" w:cs="Times New Roman"/>
          <w:color w:val="C0504D"/>
          <w:sz w:val="28"/>
          <w:szCs w:val="28"/>
          <w:lang w:eastAsia="en-IN"/>
        </w:rPr>
        <w:t>Key Challenges and Constraints</w:t>
      </w:r>
    </w:p>
    <w:p w14:paraId="3A7057A1" w14:textId="77777777" w:rsidR="00E63804" w:rsidRPr="001241AD" w:rsidRDefault="00E63804" w:rsidP="00E63804">
      <w:pPr>
        <w:tabs>
          <w:tab w:val="left" w:pos="360"/>
          <w:tab w:val="left" w:pos="540"/>
        </w:tabs>
        <w:spacing w:before="120" w:after="120" w:line="240" w:lineRule="auto"/>
        <w:ind w:right="602"/>
        <w:jc w:val="both"/>
        <w:rPr>
          <w:rFonts w:ascii="Calibri" w:eastAsia="Times New Roman" w:hAnsi="Calibri" w:cs="Times New Roman"/>
          <w:lang w:eastAsia="en-IN"/>
        </w:rPr>
      </w:pPr>
    </w:p>
    <w:p w14:paraId="02DE975B" w14:textId="53110AB2" w:rsidR="00E63804" w:rsidRPr="00E93CCB" w:rsidRDefault="00E63804" w:rsidP="00E63804">
      <w:pPr>
        <w:numPr>
          <w:ilvl w:val="0"/>
          <w:numId w:val="36"/>
        </w:numPr>
        <w:tabs>
          <w:tab w:val="left" w:pos="360"/>
          <w:tab w:val="left" w:pos="540"/>
        </w:tabs>
        <w:spacing w:before="120" w:after="120" w:line="240" w:lineRule="auto"/>
        <w:ind w:left="0" w:right="602" w:firstLine="0"/>
        <w:jc w:val="both"/>
        <w:rPr>
          <w:rFonts w:ascii="Calibri" w:eastAsia="Times New Roman" w:hAnsi="Calibri" w:cs="Times New Roman"/>
          <w:lang w:eastAsia="en-IN"/>
        </w:rPr>
      </w:pPr>
      <w:r w:rsidRPr="00E93CCB">
        <w:rPr>
          <w:rFonts w:ascii="Calibri" w:eastAsia="Times New Roman" w:hAnsi="Calibri" w:cs="Times New Roman"/>
          <w:b/>
          <w:lang w:eastAsia="en-IN"/>
        </w:rPr>
        <w:t xml:space="preserve">Australia’s modest financial envelope compared to other players in the space implies that the transition to NGF would be useful, but necessarily on a small scale. </w:t>
      </w:r>
      <w:r w:rsidRPr="00E93CCB">
        <w:rPr>
          <w:rFonts w:ascii="Calibri" w:eastAsia="Times New Roman" w:hAnsi="Calibri" w:cs="Times New Roman"/>
          <w:lang w:eastAsia="en-IN"/>
        </w:rPr>
        <w:t xml:space="preserve">As an illustrative example, if the current proportion of bilateral aid allocated for infrastructure could be deployed as NGF, with repayments worth 80% of the principal in real terms, Australia could possibly then finance a new, substantial loan every two years. However, the clearest opportunities for stepping up engagement would require offering substantially larger amounts of assistance that lead to the creation of either larger-sized infrastructure projects or longer-term </w:t>
      </w:r>
      <w:r w:rsidR="0073249A">
        <w:rPr>
          <w:rFonts w:ascii="Calibri" w:eastAsia="Times New Roman" w:hAnsi="Calibri" w:cs="Times New Roman"/>
          <w:lang w:eastAsia="en-IN"/>
        </w:rPr>
        <w:t>program</w:t>
      </w:r>
      <w:r w:rsidRPr="00E93CCB">
        <w:rPr>
          <w:rFonts w:ascii="Calibri" w:eastAsia="Times New Roman" w:hAnsi="Calibri" w:cs="Times New Roman"/>
          <w:lang w:eastAsia="en-IN"/>
        </w:rPr>
        <w:t xml:space="preserve">s that demonstrate important improvements in policies or systems. </w:t>
      </w:r>
      <w:proofErr w:type="gramStart"/>
      <w:r w:rsidRPr="00E93CCB">
        <w:rPr>
          <w:rFonts w:ascii="Calibri" w:eastAsia="Times New Roman" w:hAnsi="Calibri" w:cs="Times New Roman"/>
          <w:lang w:eastAsia="en-IN"/>
        </w:rPr>
        <w:t>At the moment</w:t>
      </w:r>
      <w:proofErr w:type="gramEnd"/>
      <w:r w:rsidRPr="00E93CCB">
        <w:rPr>
          <w:rFonts w:ascii="Calibri" w:eastAsia="Times New Roman" w:hAnsi="Calibri" w:cs="Times New Roman"/>
          <w:lang w:eastAsia="en-IN"/>
        </w:rPr>
        <w:t xml:space="preserve">, the Australian development assistance budget for Indonesia is simply not large enough to finance these opportunities. </w:t>
      </w:r>
    </w:p>
    <w:p w14:paraId="306125B2" w14:textId="77777777" w:rsidR="00E63804" w:rsidRPr="00E93CCB" w:rsidRDefault="00E63804" w:rsidP="00E63804">
      <w:pPr>
        <w:numPr>
          <w:ilvl w:val="0"/>
          <w:numId w:val="36"/>
        </w:numPr>
        <w:pBdr>
          <w:top w:val="nil"/>
          <w:left w:val="nil"/>
          <w:bottom w:val="nil"/>
          <w:right w:val="nil"/>
          <w:between w:val="nil"/>
        </w:pBdr>
        <w:tabs>
          <w:tab w:val="left" w:pos="360"/>
          <w:tab w:val="left" w:pos="540"/>
        </w:tabs>
        <w:spacing w:before="120" w:after="120" w:line="240" w:lineRule="auto"/>
        <w:ind w:left="0" w:right="602" w:firstLine="0"/>
        <w:jc w:val="both"/>
        <w:rPr>
          <w:rFonts w:ascii="Calibri" w:eastAsia="Times New Roman" w:hAnsi="Calibri" w:cs="Times New Roman"/>
          <w:lang w:eastAsia="en-IN"/>
        </w:rPr>
      </w:pPr>
      <w:r w:rsidRPr="00E93CCB">
        <w:rPr>
          <w:rFonts w:ascii="Calibri" w:eastAsia="Times New Roman" w:hAnsi="Calibri" w:cs="Times New Roman"/>
          <w:b/>
          <w:lang w:eastAsia="en-IN"/>
        </w:rPr>
        <w:t>The mobilisation ratios for Australian capital could likely be dampened by legal and regulatory challenges faced by the private sector,</w:t>
      </w:r>
      <w:r w:rsidRPr="001241AD">
        <w:rPr>
          <w:rFonts w:ascii="Calibri" w:eastAsia="Lato" w:hAnsi="Calibri" w:cs="Lato"/>
          <w:b/>
          <w:vertAlign w:val="superscript"/>
          <w:lang w:eastAsia="en-IN"/>
        </w:rPr>
        <w:footnoteReference w:id="96"/>
      </w:r>
      <w:r w:rsidRPr="00E93CCB">
        <w:rPr>
          <w:rFonts w:ascii="Calibri" w:eastAsia="Times New Roman" w:hAnsi="Calibri" w:cs="Times New Roman"/>
          <w:b/>
          <w:lang w:eastAsia="en-IN"/>
        </w:rPr>
        <w:t xml:space="preserve"> including:</w:t>
      </w:r>
      <w:r w:rsidRPr="00E93CCB">
        <w:rPr>
          <w:rFonts w:ascii="Calibri" w:eastAsia="Times New Roman" w:hAnsi="Calibri" w:cs="Times New Roman"/>
          <w:lang w:eastAsia="en-IN"/>
        </w:rPr>
        <w:t xml:space="preserve"> </w:t>
      </w:r>
    </w:p>
    <w:p w14:paraId="19EFFAE1" w14:textId="77777777" w:rsidR="00E63804" w:rsidRPr="001241AD" w:rsidRDefault="00E63804" w:rsidP="00E63804">
      <w:pPr>
        <w:numPr>
          <w:ilvl w:val="0"/>
          <w:numId w:val="37"/>
        </w:numPr>
        <w:pBdr>
          <w:top w:val="nil"/>
          <w:left w:val="nil"/>
          <w:bottom w:val="nil"/>
          <w:right w:val="nil"/>
          <w:between w:val="nil"/>
        </w:pBdr>
        <w:tabs>
          <w:tab w:val="left" w:pos="360"/>
          <w:tab w:val="left" w:pos="540"/>
        </w:tabs>
        <w:spacing w:before="120" w:after="120" w:line="240" w:lineRule="auto"/>
        <w:ind w:right="602"/>
        <w:jc w:val="both"/>
        <w:rPr>
          <w:rFonts w:ascii="Calibri" w:eastAsia="Times New Roman" w:hAnsi="Calibri" w:cs="Times New Roman"/>
          <w:i/>
          <w:lang w:eastAsia="en-IN"/>
        </w:rPr>
      </w:pPr>
      <w:r w:rsidRPr="001241AD">
        <w:rPr>
          <w:rFonts w:ascii="Calibri" w:eastAsia="Times New Roman" w:hAnsi="Calibri" w:cs="Times New Roman"/>
          <w:b/>
          <w:i/>
          <w:lang w:eastAsia="en-IN"/>
        </w:rPr>
        <w:t>Legal challenges</w:t>
      </w:r>
    </w:p>
    <w:p w14:paraId="267852B8" w14:textId="52346537" w:rsidR="00E63804" w:rsidRPr="001241AD" w:rsidRDefault="00E63804" w:rsidP="00E63804">
      <w:pPr>
        <w:numPr>
          <w:ilvl w:val="0"/>
          <w:numId w:val="38"/>
        </w:numPr>
        <w:pBdr>
          <w:top w:val="nil"/>
          <w:left w:val="nil"/>
          <w:bottom w:val="nil"/>
          <w:right w:val="nil"/>
          <w:between w:val="nil"/>
        </w:pBdr>
        <w:tabs>
          <w:tab w:val="left" w:pos="360"/>
          <w:tab w:val="left" w:pos="540"/>
        </w:tabs>
        <w:spacing w:before="120" w:after="120" w:line="240" w:lineRule="auto"/>
        <w:ind w:right="602"/>
        <w:jc w:val="both"/>
        <w:rPr>
          <w:rFonts w:ascii="Calibri" w:eastAsia="Lato" w:hAnsi="Calibri" w:cs="Lato"/>
          <w:lang w:eastAsia="en-IN"/>
        </w:rPr>
      </w:pPr>
      <w:r w:rsidRPr="001241AD">
        <w:rPr>
          <w:rFonts w:ascii="Calibri" w:eastAsia="Times New Roman" w:hAnsi="Calibri" w:cs="Times New Roman"/>
          <w:i/>
          <w:lang w:eastAsia="en-IN"/>
        </w:rPr>
        <w:t>The legal framework is fragmented,</w:t>
      </w:r>
      <w:r w:rsidR="00521641">
        <w:rPr>
          <w:rFonts w:ascii="Calibri" w:eastAsia="Times New Roman" w:hAnsi="Calibri" w:cs="Times New Roman"/>
          <w:i/>
          <w:lang w:eastAsia="en-IN"/>
        </w:rPr>
        <w:t xml:space="preserve"> and</w:t>
      </w:r>
      <w:r w:rsidRPr="001241AD">
        <w:rPr>
          <w:rFonts w:ascii="Calibri" w:eastAsia="Times New Roman" w:hAnsi="Calibri" w:cs="Times New Roman"/>
          <w:i/>
          <w:lang w:eastAsia="en-IN"/>
        </w:rPr>
        <w:t xml:space="preserve"> </w:t>
      </w:r>
      <w:proofErr w:type="gramStart"/>
      <w:r w:rsidRPr="001241AD">
        <w:rPr>
          <w:rFonts w:ascii="Calibri" w:eastAsia="Times New Roman" w:hAnsi="Calibri" w:cs="Times New Roman"/>
          <w:i/>
          <w:lang w:eastAsia="en-IN"/>
        </w:rPr>
        <w:t>complex</w:t>
      </w:r>
      <w:r w:rsidR="00521641">
        <w:rPr>
          <w:rFonts w:ascii="Calibri" w:eastAsia="Times New Roman" w:hAnsi="Calibri" w:cs="Times New Roman"/>
          <w:i/>
          <w:lang w:eastAsia="en-IN"/>
        </w:rPr>
        <w:t>.</w:t>
      </w:r>
      <w:r w:rsidRPr="001241AD">
        <w:rPr>
          <w:rFonts w:ascii="Calibri" w:eastAsia="Times New Roman" w:hAnsi="Calibri" w:cs="Times New Roman"/>
          <w:i/>
          <w:lang w:eastAsia="en-IN"/>
        </w:rPr>
        <w:t>.</w:t>
      </w:r>
      <w:proofErr w:type="gramEnd"/>
      <w:r w:rsidRPr="001241AD">
        <w:rPr>
          <w:rFonts w:ascii="Calibri" w:eastAsia="Times New Roman" w:hAnsi="Calibri" w:cs="Times New Roman"/>
          <w:lang w:eastAsia="en-IN"/>
        </w:rPr>
        <w:t xml:space="preserve"> Indonesia has 158 national laws governing infrastructure projects, many of which</w:t>
      </w:r>
      <w:r w:rsidR="00521641">
        <w:rPr>
          <w:rFonts w:ascii="Calibri" w:eastAsia="Times New Roman" w:hAnsi="Calibri" w:cs="Times New Roman"/>
          <w:lang w:eastAsia="en-IN"/>
        </w:rPr>
        <w:t xml:space="preserve"> do not appear to be consistent with each other, </w:t>
      </w:r>
      <w:r w:rsidRPr="001241AD">
        <w:rPr>
          <w:rFonts w:ascii="Calibri" w:eastAsia="Times New Roman" w:hAnsi="Calibri" w:cs="Times New Roman"/>
          <w:lang w:eastAsia="en-IN"/>
        </w:rPr>
        <w:t>leading to the dissolution of ventures</w:t>
      </w:r>
    </w:p>
    <w:p w14:paraId="710A3388" w14:textId="77777777" w:rsidR="00E63804" w:rsidRPr="001241AD" w:rsidRDefault="00E63804" w:rsidP="00E63804">
      <w:pPr>
        <w:numPr>
          <w:ilvl w:val="0"/>
          <w:numId w:val="38"/>
        </w:numPr>
        <w:pBdr>
          <w:top w:val="nil"/>
          <w:left w:val="nil"/>
          <w:bottom w:val="nil"/>
          <w:right w:val="nil"/>
          <w:between w:val="nil"/>
        </w:pBdr>
        <w:tabs>
          <w:tab w:val="left" w:pos="360"/>
          <w:tab w:val="left" w:pos="540"/>
        </w:tabs>
        <w:spacing w:before="120" w:after="120" w:line="240" w:lineRule="auto"/>
        <w:ind w:right="602"/>
        <w:jc w:val="both"/>
        <w:rPr>
          <w:rFonts w:ascii="Calibri" w:eastAsia="Lato" w:hAnsi="Calibri" w:cs="Lato"/>
          <w:lang w:eastAsia="en-IN"/>
        </w:rPr>
      </w:pPr>
      <w:r w:rsidRPr="001241AD">
        <w:rPr>
          <w:rFonts w:ascii="Calibri" w:eastAsia="Times New Roman" w:hAnsi="Calibri" w:cs="Times New Roman"/>
          <w:i/>
          <w:lang w:eastAsia="en-IN"/>
        </w:rPr>
        <w:t>Private and foreign participation is restricted.</w:t>
      </w:r>
      <w:r w:rsidRPr="001241AD">
        <w:rPr>
          <w:rFonts w:ascii="Calibri" w:eastAsia="Times New Roman" w:hAnsi="Calibri" w:cs="Times New Roman"/>
          <w:lang w:eastAsia="en-IN"/>
        </w:rPr>
        <w:t xml:space="preserve"> While the current negative investment list is slowly being liberalised, foreign operators have little choice in local partners due to the domestic dominance of SOEs</w:t>
      </w:r>
    </w:p>
    <w:p w14:paraId="2F67EEAE" w14:textId="3C5E053F" w:rsidR="00E63804" w:rsidRPr="001241AD" w:rsidRDefault="00E63804" w:rsidP="00E63804">
      <w:pPr>
        <w:numPr>
          <w:ilvl w:val="0"/>
          <w:numId w:val="38"/>
        </w:numPr>
        <w:pBdr>
          <w:top w:val="nil"/>
          <w:left w:val="nil"/>
          <w:bottom w:val="nil"/>
          <w:right w:val="nil"/>
          <w:between w:val="nil"/>
        </w:pBdr>
        <w:tabs>
          <w:tab w:val="left" w:pos="360"/>
          <w:tab w:val="left" w:pos="540"/>
        </w:tabs>
        <w:spacing w:before="120" w:after="120" w:line="240" w:lineRule="auto"/>
        <w:ind w:right="602"/>
        <w:jc w:val="both"/>
        <w:rPr>
          <w:rFonts w:ascii="Calibri" w:eastAsia="Lato" w:hAnsi="Calibri" w:cs="Lato"/>
          <w:lang w:eastAsia="en-IN"/>
        </w:rPr>
      </w:pPr>
      <w:r w:rsidRPr="001241AD">
        <w:rPr>
          <w:rFonts w:ascii="Calibri" w:eastAsia="Times New Roman" w:hAnsi="Calibri" w:cs="Times New Roman"/>
          <w:i/>
          <w:lang w:eastAsia="en-IN"/>
        </w:rPr>
        <w:t>The approvals process is heavily bureaucratic.</w:t>
      </w:r>
      <w:r w:rsidRPr="001241AD">
        <w:rPr>
          <w:rFonts w:ascii="Calibri" w:eastAsia="Times New Roman" w:hAnsi="Calibri" w:cs="Times New Roman"/>
          <w:b/>
          <w:lang w:eastAsia="en-IN"/>
        </w:rPr>
        <w:t xml:space="preserve"> </w:t>
      </w:r>
      <w:r w:rsidRPr="001241AD">
        <w:rPr>
          <w:rFonts w:ascii="Calibri" w:eastAsia="Times New Roman" w:hAnsi="Calibri" w:cs="Times New Roman"/>
          <w:lang w:eastAsia="en-IN"/>
        </w:rPr>
        <w:t>Government contracting authorities are mandated to secure and disburse multiple permits, including environmental and site approval licenses, which are often delayed by uncertain procedures or slow responses</w:t>
      </w:r>
    </w:p>
    <w:p w14:paraId="413C4FDE" w14:textId="77777777" w:rsidR="00E63804" w:rsidRPr="001241AD" w:rsidRDefault="00E63804" w:rsidP="00E63804">
      <w:pPr>
        <w:numPr>
          <w:ilvl w:val="1"/>
          <w:numId w:val="41"/>
        </w:numPr>
        <w:pBdr>
          <w:top w:val="nil"/>
          <w:left w:val="nil"/>
          <w:bottom w:val="nil"/>
          <w:right w:val="nil"/>
          <w:between w:val="nil"/>
        </w:pBdr>
        <w:tabs>
          <w:tab w:val="left" w:pos="360"/>
          <w:tab w:val="left" w:pos="540"/>
        </w:tabs>
        <w:spacing w:before="120" w:after="120" w:line="240" w:lineRule="auto"/>
        <w:ind w:right="602"/>
        <w:jc w:val="both"/>
        <w:rPr>
          <w:rFonts w:ascii="Calibri" w:eastAsia="Lato" w:hAnsi="Calibri" w:cs="Lato"/>
          <w:lang w:eastAsia="en-IN"/>
        </w:rPr>
      </w:pPr>
      <w:r w:rsidRPr="001241AD">
        <w:rPr>
          <w:rFonts w:ascii="Calibri" w:eastAsia="Times New Roman" w:hAnsi="Calibri" w:cs="Times New Roman"/>
          <w:lang w:eastAsia="en-IN"/>
        </w:rPr>
        <w:t xml:space="preserve">This is heightened by provisions related to “state loss”, where civil servants may be subject to an investigation for decision-making leading to a loss to the government exchequer, and therefore make cautious, time-consuming decisions </w:t>
      </w:r>
    </w:p>
    <w:p w14:paraId="41D0DC81" w14:textId="3F1BC8AC" w:rsidR="00E63804" w:rsidRPr="001241AD" w:rsidRDefault="00521641" w:rsidP="00E63804">
      <w:pPr>
        <w:numPr>
          <w:ilvl w:val="0"/>
          <w:numId w:val="38"/>
        </w:numPr>
        <w:pBdr>
          <w:top w:val="nil"/>
          <w:left w:val="nil"/>
          <w:bottom w:val="nil"/>
          <w:right w:val="nil"/>
          <w:between w:val="nil"/>
        </w:pBdr>
        <w:tabs>
          <w:tab w:val="left" w:pos="360"/>
          <w:tab w:val="left" w:pos="540"/>
        </w:tabs>
        <w:spacing w:before="120" w:after="120" w:line="240" w:lineRule="auto"/>
        <w:ind w:right="602"/>
        <w:jc w:val="both"/>
        <w:rPr>
          <w:rFonts w:ascii="Calibri" w:eastAsia="Lato" w:hAnsi="Calibri" w:cs="Lato"/>
          <w:lang w:eastAsia="en-IN"/>
        </w:rPr>
      </w:pPr>
      <w:r>
        <w:rPr>
          <w:rFonts w:ascii="Calibri" w:eastAsia="Times New Roman" w:hAnsi="Calibri" w:cs="Times New Roman"/>
          <w:i/>
          <w:lang w:eastAsia="en-IN"/>
        </w:rPr>
        <w:t>Present</w:t>
      </w:r>
      <w:r w:rsidRPr="001241AD">
        <w:rPr>
          <w:rFonts w:ascii="Calibri" w:eastAsia="Times New Roman" w:hAnsi="Calibri" w:cs="Times New Roman"/>
          <w:i/>
          <w:lang w:eastAsia="en-IN"/>
        </w:rPr>
        <w:t xml:space="preserve"> </w:t>
      </w:r>
      <w:r w:rsidR="00E63804" w:rsidRPr="001241AD">
        <w:rPr>
          <w:rFonts w:ascii="Calibri" w:eastAsia="Times New Roman" w:hAnsi="Calibri" w:cs="Times New Roman"/>
          <w:i/>
          <w:lang w:eastAsia="en-IN"/>
        </w:rPr>
        <w:t xml:space="preserve">regulations do not encourage cost recovery. </w:t>
      </w:r>
      <w:r w:rsidR="00E63804" w:rsidRPr="001241AD">
        <w:rPr>
          <w:rFonts w:ascii="Calibri" w:eastAsia="Times New Roman" w:hAnsi="Calibri" w:cs="Times New Roman"/>
          <w:lang w:eastAsia="en-IN"/>
        </w:rPr>
        <w:t>Revenues provided by tariffs often do not permit cost recovery, making service delivery dependent on direct or indirect government subsidies—75% of PDAMs</w:t>
      </w:r>
      <w:r w:rsidR="00E63804" w:rsidRPr="001241AD">
        <w:rPr>
          <w:rFonts w:ascii="Calibri" w:eastAsia="Times New Roman" w:hAnsi="Calibri" w:cs="Times New Roman"/>
          <w:vertAlign w:val="superscript"/>
          <w:lang w:eastAsia="en-IN"/>
        </w:rPr>
        <w:footnoteReference w:id="97"/>
      </w:r>
      <w:r w:rsidR="00E63804" w:rsidRPr="001241AD">
        <w:rPr>
          <w:rFonts w:ascii="Calibri" w:eastAsia="Times New Roman" w:hAnsi="Calibri" w:cs="Times New Roman"/>
          <w:lang w:eastAsia="en-IN"/>
        </w:rPr>
        <w:t xml:space="preserve"> run at a loss, with some 50% classified as financially unhealthy or sick</w:t>
      </w:r>
    </w:p>
    <w:p w14:paraId="04A80713" w14:textId="77777777" w:rsidR="00E63804" w:rsidRPr="001241AD" w:rsidRDefault="00E63804" w:rsidP="00E63804">
      <w:pPr>
        <w:numPr>
          <w:ilvl w:val="0"/>
          <w:numId w:val="38"/>
        </w:numPr>
        <w:pBdr>
          <w:top w:val="nil"/>
          <w:left w:val="nil"/>
          <w:bottom w:val="nil"/>
          <w:right w:val="nil"/>
          <w:between w:val="nil"/>
        </w:pBdr>
        <w:tabs>
          <w:tab w:val="left" w:pos="360"/>
          <w:tab w:val="left" w:pos="540"/>
        </w:tabs>
        <w:spacing w:before="120" w:after="120" w:line="240" w:lineRule="auto"/>
        <w:ind w:right="602"/>
        <w:jc w:val="both"/>
        <w:rPr>
          <w:rFonts w:ascii="Calibri" w:eastAsia="Lato" w:hAnsi="Calibri" w:cs="Lato"/>
          <w:lang w:eastAsia="en-IN"/>
        </w:rPr>
      </w:pPr>
      <w:r w:rsidRPr="001241AD">
        <w:rPr>
          <w:rFonts w:ascii="Calibri" w:eastAsia="Times New Roman" w:hAnsi="Calibri" w:cs="Times New Roman"/>
          <w:i/>
          <w:lang w:eastAsia="en-IN"/>
        </w:rPr>
        <w:t xml:space="preserve">Environmental and social safeguards are improving but inconsistently applied. </w:t>
      </w:r>
      <w:r w:rsidRPr="001241AD">
        <w:rPr>
          <w:rFonts w:ascii="Calibri" w:eastAsia="Times New Roman" w:hAnsi="Calibri" w:cs="Times New Roman"/>
          <w:lang w:eastAsia="en-IN"/>
        </w:rPr>
        <w:t>In the absence of well-managed compliance frameworks that reduce risk and liability, leading financiers are less likely to assist in the creation of large-scale infrastructure financing platforms</w:t>
      </w:r>
    </w:p>
    <w:p w14:paraId="3D241EF2" w14:textId="77777777" w:rsidR="00E63804" w:rsidRPr="001241AD" w:rsidRDefault="00E63804" w:rsidP="00E63804">
      <w:pPr>
        <w:pBdr>
          <w:top w:val="nil"/>
          <w:left w:val="nil"/>
          <w:bottom w:val="nil"/>
          <w:right w:val="nil"/>
          <w:between w:val="nil"/>
        </w:pBdr>
        <w:tabs>
          <w:tab w:val="left" w:pos="360"/>
          <w:tab w:val="left" w:pos="540"/>
        </w:tabs>
        <w:spacing w:before="120" w:after="120" w:line="240" w:lineRule="auto"/>
        <w:ind w:left="1418" w:right="602"/>
        <w:jc w:val="both"/>
        <w:rPr>
          <w:rFonts w:ascii="Calibri" w:eastAsia="Times New Roman" w:hAnsi="Calibri" w:cs="Times New Roman"/>
          <w:lang w:eastAsia="en-IN"/>
        </w:rPr>
      </w:pPr>
    </w:p>
    <w:p w14:paraId="2DC408DA" w14:textId="77777777" w:rsidR="00E63804" w:rsidRPr="001241AD" w:rsidRDefault="00E63804" w:rsidP="00E63804">
      <w:pPr>
        <w:numPr>
          <w:ilvl w:val="0"/>
          <w:numId w:val="39"/>
        </w:numPr>
        <w:pBdr>
          <w:top w:val="nil"/>
          <w:left w:val="nil"/>
          <w:bottom w:val="nil"/>
          <w:right w:val="nil"/>
          <w:between w:val="nil"/>
        </w:pBdr>
        <w:tabs>
          <w:tab w:val="left" w:pos="360"/>
          <w:tab w:val="left" w:pos="540"/>
        </w:tabs>
        <w:spacing w:before="120" w:after="120" w:line="240" w:lineRule="auto"/>
        <w:ind w:right="602"/>
        <w:jc w:val="both"/>
        <w:rPr>
          <w:rFonts w:ascii="Calibri" w:eastAsia="Times New Roman" w:hAnsi="Calibri" w:cs="Times New Roman"/>
          <w:i/>
          <w:lang w:eastAsia="en-IN"/>
        </w:rPr>
      </w:pPr>
      <w:r w:rsidRPr="001241AD">
        <w:rPr>
          <w:rFonts w:ascii="Calibri" w:eastAsia="Times New Roman" w:hAnsi="Calibri" w:cs="Times New Roman"/>
          <w:b/>
          <w:i/>
          <w:lang w:eastAsia="en-IN"/>
        </w:rPr>
        <w:t>Regulatory risks</w:t>
      </w:r>
    </w:p>
    <w:p w14:paraId="54944BFD" w14:textId="77777777" w:rsidR="00E63804" w:rsidRPr="001241AD" w:rsidRDefault="00E63804" w:rsidP="00E63804">
      <w:pPr>
        <w:numPr>
          <w:ilvl w:val="0"/>
          <w:numId w:val="40"/>
        </w:numPr>
        <w:pBdr>
          <w:top w:val="nil"/>
          <w:left w:val="nil"/>
          <w:bottom w:val="nil"/>
          <w:right w:val="nil"/>
          <w:between w:val="nil"/>
        </w:pBdr>
        <w:tabs>
          <w:tab w:val="left" w:pos="360"/>
          <w:tab w:val="left" w:pos="540"/>
        </w:tabs>
        <w:spacing w:before="120" w:after="120" w:line="240" w:lineRule="auto"/>
        <w:ind w:right="602"/>
        <w:jc w:val="both"/>
        <w:rPr>
          <w:rFonts w:ascii="Calibri" w:eastAsia="Lato" w:hAnsi="Calibri" w:cs="Lato"/>
          <w:lang w:eastAsia="en-IN"/>
        </w:rPr>
      </w:pPr>
      <w:r w:rsidRPr="001241AD">
        <w:rPr>
          <w:rFonts w:ascii="Calibri" w:eastAsia="Times New Roman" w:hAnsi="Calibri" w:cs="Times New Roman"/>
          <w:i/>
          <w:lang w:eastAsia="en-IN"/>
        </w:rPr>
        <w:lastRenderedPageBreak/>
        <w:t>Risk allocation is not consistent with international standards.</w:t>
      </w:r>
      <w:r w:rsidRPr="001241AD">
        <w:rPr>
          <w:rFonts w:ascii="Calibri" w:eastAsia="Times New Roman" w:hAnsi="Calibri" w:cs="Times New Roman"/>
          <w:lang w:eastAsia="en-IN"/>
        </w:rPr>
        <w:t xml:space="preserve"> This is especially true of land acquisition risk, termination and a general lack of contractual standardisation. For example, within the toll road sector—the only sector evolving toward model agreements consistent with global standards—concession agreements still require the private investor to take on land acquisition risk. Recent regulations on power purchase agreements (PPAs) have also significantly changed the risk allocation structure to the detriment of the private investor</w:t>
      </w:r>
    </w:p>
    <w:p w14:paraId="58341CF9" w14:textId="77777777" w:rsidR="00E63804" w:rsidRPr="001241AD" w:rsidRDefault="00E63804" w:rsidP="00E63804">
      <w:pPr>
        <w:numPr>
          <w:ilvl w:val="0"/>
          <w:numId w:val="40"/>
        </w:numPr>
        <w:pBdr>
          <w:top w:val="nil"/>
          <w:left w:val="nil"/>
          <w:bottom w:val="nil"/>
          <w:right w:val="nil"/>
          <w:between w:val="nil"/>
        </w:pBdr>
        <w:tabs>
          <w:tab w:val="left" w:pos="360"/>
          <w:tab w:val="left" w:pos="540"/>
        </w:tabs>
        <w:spacing w:before="120" w:after="120" w:line="240" w:lineRule="auto"/>
        <w:ind w:right="602"/>
        <w:jc w:val="both"/>
        <w:rPr>
          <w:rFonts w:ascii="Calibri" w:eastAsia="Lato" w:hAnsi="Calibri" w:cs="Lato"/>
          <w:lang w:eastAsia="en-IN"/>
        </w:rPr>
      </w:pPr>
      <w:r w:rsidRPr="001241AD">
        <w:rPr>
          <w:rFonts w:ascii="Calibri" w:eastAsia="Times New Roman" w:hAnsi="Calibri" w:cs="Times New Roman"/>
          <w:i/>
          <w:lang w:eastAsia="en-IN"/>
        </w:rPr>
        <w:t>Land acquisition is a critical risk.</w:t>
      </w:r>
      <w:r w:rsidRPr="001241AD">
        <w:rPr>
          <w:rFonts w:ascii="Calibri" w:eastAsia="Times New Roman" w:hAnsi="Calibri" w:cs="Times New Roman"/>
          <w:lang w:eastAsia="en-IN"/>
        </w:rPr>
        <w:t xml:space="preserve"> Land acquisition is the responsibility of the state, but more recent regulations have allowed private parties to use their own funding to acquire land, sometimes backstopped by a government guarantee. This has created ambiguities in ownership.</w:t>
      </w:r>
    </w:p>
    <w:p w14:paraId="62486428" w14:textId="27EE3239" w:rsidR="00E63804" w:rsidRPr="00E93CCB" w:rsidRDefault="00E63804" w:rsidP="00E63804">
      <w:pPr>
        <w:numPr>
          <w:ilvl w:val="0"/>
          <w:numId w:val="40"/>
        </w:numPr>
        <w:pBdr>
          <w:top w:val="nil"/>
          <w:left w:val="nil"/>
          <w:bottom w:val="nil"/>
          <w:right w:val="nil"/>
          <w:between w:val="nil"/>
        </w:pBdr>
        <w:tabs>
          <w:tab w:val="left" w:pos="360"/>
          <w:tab w:val="left" w:pos="540"/>
        </w:tabs>
        <w:spacing w:before="120" w:after="120" w:line="240" w:lineRule="auto"/>
        <w:ind w:right="602"/>
        <w:jc w:val="both"/>
        <w:rPr>
          <w:rFonts w:ascii="Calibri" w:eastAsia="Times New Roman" w:hAnsi="Calibri" w:cs="Times New Roman"/>
          <w:lang w:eastAsia="en-IN"/>
        </w:rPr>
      </w:pPr>
      <w:r w:rsidRPr="00E93CCB">
        <w:rPr>
          <w:rFonts w:ascii="Calibri" w:eastAsia="Times New Roman" w:hAnsi="Calibri" w:cs="Times New Roman"/>
          <w:i/>
          <w:lang w:eastAsia="en-IN"/>
        </w:rPr>
        <w:t xml:space="preserve">Identifying a commercially viable pipeline of projects is a risk. </w:t>
      </w:r>
      <w:r w:rsidRPr="00E93CCB">
        <w:rPr>
          <w:rFonts w:ascii="Calibri" w:eastAsia="Times New Roman" w:hAnsi="Calibri" w:cs="Times New Roman"/>
          <w:lang w:eastAsia="en-IN"/>
        </w:rPr>
        <w:t>Many of the state SOEs and other players with deep local roots are usually the first to invest in commercially viable projects, leaving a pipeline of riskier and not-so-lucrative projects for other investors.</w:t>
      </w:r>
    </w:p>
    <w:p w14:paraId="0E373B5C" w14:textId="4FD43923" w:rsidR="00E63804" w:rsidRPr="00E93CCB" w:rsidRDefault="00E63804" w:rsidP="00E63804">
      <w:pPr>
        <w:numPr>
          <w:ilvl w:val="0"/>
          <w:numId w:val="36"/>
        </w:numPr>
        <w:pBdr>
          <w:top w:val="nil"/>
          <w:left w:val="nil"/>
          <w:bottom w:val="nil"/>
          <w:right w:val="nil"/>
          <w:between w:val="nil"/>
        </w:pBdr>
        <w:tabs>
          <w:tab w:val="left" w:pos="360"/>
          <w:tab w:val="left" w:pos="540"/>
        </w:tabs>
        <w:spacing w:before="120" w:after="120" w:line="240" w:lineRule="auto"/>
        <w:ind w:left="0" w:right="602" w:firstLine="0"/>
        <w:jc w:val="both"/>
        <w:rPr>
          <w:rFonts w:ascii="Calibri" w:eastAsia="Times New Roman" w:hAnsi="Calibri" w:cs="Times New Roman"/>
          <w:lang w:eastAsia="en-IN"/>
        </w:rPr>
      </w:pPr>
      <w:r w:rsidRPr="00E93CCB">
        <w:rPr>
          <w:rFonts w:ascii="Calibri" w:eastAsia="Times New Roman" w:hAnsi="Calibri" w:cs="Times New Roman"/>
          <w:lang w:eastAsia="en-IN"/>
        </w:rPr>
        <w:t xml:space="preserve">To address such problems, MDBs such as ADB have considered establishing a sustained advocacy </w:t>
      </w:r>
      <w:r w:rsidR="0073249A">
        <w:rPr>
          <w:rFonts w:ascii="Calibri" w:eastAsia="Times New Roman" w:hAnsi="Calibri" w:cs="Times New Roman"/>
          <w:lang w:eastAsia="en-IN"/>
        </w:rPr>
        <w:t>program</w:t>
      </w:r>
      <w:r w:rsidRPr="00E93CCB">
        <w:rPr>
          <w:rFonts w:ascii="Calibri" w:eastAsia="Times New Roman" w:hAnsi="Calibri" w:cs="Times New Roman"/>
          <w:lang w:eastAsia="en-IN"/>
        </w:rPr>
        <w:t xml:space="preserve"> to secure buy-in from political and bureaucratic leadership on the effectiveness and impact of their projects. To date, the ADB has conducted international forums, workshops and high-level discussions with Indonesian leadership to promote business climate reforms and the role of PPPs in surmounting the country’s infrastructure deficit.</w:t>
      </w:r>
      <w:r w:rsidRPr="001241AD">
        <w:rPr>
          <w:rFonts w:ascii="Calibri" w:eastAsia="Lato" w:hAnsi="Calibri" w:cs="Lato"/>
          <w:vertAlign w:val="superscript"/>
          <w:lang w:eastAsia="en-IN"/>
        </w:rPr>
        <w:footnoteReference w:id="98"/>
      </w:r>
    </w:p>
    <w:p w14:paraId="77ECF051" w14:textId="77777777" w:rsidR="00E63804" w:rsidRPr="001241AD" w:rsidRDefault="00E63804" w:rsidP="00E63804">
      <w:pPr>
        <w:pBdr>
          <w:top w:val="nil"/>
          <w:left w:val="nil"/>
          <w:bottom w:val="nil"/>
          <w:right w:val="nil"/>
          <w:between w:val="nil"/>
        </w:pBdr>
        <w:tabs>
          <w:tab w:val="left" w:pos="360"/>
          <w:tab w:val="left" w:pos="540"/>
        </w:tabs>
        <w:spacing w:before="120" w:after="120" w:line="240" w:lineRule="auto"/>
        <w:ind w:right="602"/>
        <w:jc w:val="both"/>
        <w:rPr>
          <w:rFonts w:ascii="Calibri" w:eastAsia="Times New Roman" w:hAnsi="Calibri" w:cs="Times New Roman"/>
          <w:lang w:eastAsia="en-IN"/>
        </w:rPr>
      </w:pPr>
    </w:p>
    <w:p w14:paraId="57CC4098" w14:textId="77777777" w:rsidR="00E63804" w:rsidRPr="001241AD" w:rsidRDefault="00E63804" w:rsidP="00E63804">
      <w:pPr>
        <w:widowControl w:val="0"/>
        <w:numPr>
          <w:ilvl w:val="0"/>
          <w:numId w:val="34"/>
        </w:numPr>
        <w:tabs>
          <w:tab w:val="left" w:pos="360"/>
          <w:tab w:val="left" w:pos="540"/>
        </w:tabs>
        <w:spacing w:before="120" w:after="120" w:line="240" w:lineRule="auto"/>
        <w:ind w:right="602"/>
        <w:jc w:val="both"/>
        <w:outlineLvl w:val="0"/>
        <w:rPr>
          <w:rFonts w:ascii="Calibri" w:eastAsia="Times New Roman" w:hAnsi="Calibri" w:cs="Times New Roman"/>
          <w:b/>
          <w:smallCaps/>
          <w:color w:val="4F81BD"/>
          <w:sz w:val="32"/>
          <w:szCs w:val="32"/>
          <w:lang w:eastAsia="en-IN"/>
        </w:rPr>
      </w:pPr>
      <w:r w:rsidRPr="001241AD">
        <w:rPr>
          <w:rFonts w:ascii="Calibri" w:eastAsia="Times New Roman" w:hAnsi="Calibri" w:cs="Times New Roman"/>
          <w:b/>
          <w:smallCaps/>
          <w:color w:val="4F81BD"/>
          <w:sz w:val="32"/>
          <w:szCs w:val="32"/>
          <w:lang w:eastAsia="en-IN"/>
        </w:rPr>
        <w:t xml:space="preserve">Development Impact </w:t>
      </w:r>
    </w:p>
    <w:p w14:paraId="51D6FA15" w14:textId="77777777" w:rsidR="00E63804" w:rsidRPr="001241AD" w:rsidRDefault="00E63804" w:rsidP="00E63804">
      <w:pPr>
        <w:tabs>
          <w:tab w:val="left" w:pos="360"/>
          <w:tab w:val="left" w:pos="540"/>
        </w:tabs>
        <w:spacing w:before="120" w:after="120" w:line="240" w:lineRule="auto"/>
        <w:ind w:right="602"/>
        <w:jc w:val="both"/>
        <w:rPr>
          <w:rFonts w:ascii="Calibri" w:eastAsia="Times New Roman" w:hAnsi="Calibri" w:cs="Times New Roman"/>
          <w:lang w:eastAsia="en-IN"/>
        </w:rPr>
      </w:pPr>
    </w:p>
    <w:p w14:paraId="3F44E2ED" w14:textId="77777777" w:rsidR="00E63804" w:rsidRPr="00E93CCB" w:rsidRDefault="00E63804" w:rsidP="00E63804">
      <w:pPr>
        <w:numPr>
          <w:ilvl w:val="0"/>
          <w:numId w:val="36"/>
        </w:numPr>
        <w:tabs>
          <w:tab w:val="left" w:pos="360"/>
          <w:tab w:val="left" w:pos="540"/>
        </w:tabs>
        <w:spacing w:before="120" w:after="120" w:line="240" w:lineRule="auto"/>
        <w:ind w:left="0" w:right="602" w:firstLine="0"/>
        <w:jc w:val="both"/>
        <w:rPr>
          <w:rFonts w:ascii="Calibri" w:eastAsia="Times New Roman" w:hAnsi="Calibri" w:cs="Times New Roman"/>
          <w:lang w:eastAsia="en-IN"/>
        </w:rPr>
      </w:pPr>
      <w:r w:rsidRPr="00E93CCB">
        <w:rPr>
          <w:rFonts w:ascii="Calibri" w:eastAsia="Times New Roman" w:hAnsi="Calibri" w:cs="Times New Roman"/>
          <w:b/>
          <w:lang w:eastAsia="en-IN"/>
        </w:rPr>
        <w:t xml:space="preserve">Indonesia will benefit greatly from mobilisation of private capital for both economic and social infrastructure. </w:t>
      </w:r>
      <w:r w:rsidRPr="00E93CCB">
        <w:rPr>
          <w:rFonts w:ascii="Calibri" w:eastAsia="Times New Roman" w:hAnsi="Calibri" w:cs="Times New Roman"/>
          <w:lang w:eastAsia="en-IN"/>
        </w:rPr>
        <w:t>One promising source of private capital is the impact investing market, which has grown and matured in recent years—over 90% of private impact investor deals in Indonesia have been made since 2013. Indonesia has also seen a gradual transition from debt deals in the financial services and agricultural sectors to equity investments in a more diverse range of sectors.</w:t>
      </w:r>
      <w:r w:rsidRPr="001241AD">
        <w:rPr>
          <w:rFonts w:ascii="Calibri" w:eastAsia="Times New Roman" w:hAnsi="Calibri" w:cs="Times New Roman"/>
          <w:vertAlign w:val="superscript"/>
          <w:lang w:eastAsia="en-IN"/>
        </w:rPr>
        <w:footnoteReference w:id="99"/>
      </w:r>
      <w:r w:rsidRPr="00E93CCB">
        <w:rPr>
          <w:rFonts w:ascii="Calibri" w:eastAsia="Times New Roman" w:hAnsi="Calibri" w:cs="Times New Roman"/>
          <w:lang w:eastAsia="en-IN"/>
        </w:rPr>
        <w:t xml:space="preserve"> This shift presents more opportunities for Australia to step up spending and mobilise impactful capital through locally focused intermediaries.</w:t>
      </w:r>
    </w:p>
    <w:p w14:paraId="50C27C22" w14:textId="77777777" w:rsidR="00E63804" w:rsidRPr="00E93CCB" w:rsidRDefault="00E63804" w:rsidP="00E63804">
      <w:pPr>
        <w:numPr>
          <w:ilvl w:val="0"/>
          <w:numId w:val="36"/>
        </w:numPr>
        <w:tabs>
          <w:tab w:val="left" w:pos="360"/>
          <w:tab w:val="left" w:pos="540"/>
        </w:tabs>
        <w:spacing w:before="120" w:after="120" w:line="240" w:lineRule="auto"/>
        <w:ind w:left="0" w:right="602" w:firstLine="0"/>
        <w:jc w:val="both"/>
        <w:rPr>
          <w:rFonts w:ascii="Calibri" w:eastAsia="Times New Roman" w:hAnsi="Calibri" w:cs="Times New Roman"/>
          <w:lang w:eastAsia="en-IN"/>
        </w:rPr>
      </w:pPr>
      <w:r w:rsidRPr="00E93CCB">
        <w:rPr>
          <w:rFonts w:ascii="Calibri" w:eastAsia="Times New Roman" w:hAnsi="Calibri" w:cs="Times New Roman"/>
          <w:b/>
          <w:lang w:eastAsia="en-IN"/>
        </w:rPr>
        <w:t>The domestic capital markets can also be used to mobilise private investments.</w:t>
      </w:r>
      <w:r w:rsidRPr="00E93CCB">
        <w:rPr>
          <w:rFonts w:ascii="Calibri" w:eastAsia="Times New Roman" w:hAnsi="Calibri" w:cs="Times New Roman"/>
          <w:lang w:eastAsia="en-IN"/>
        </w:rPr>
        <w:t xml:space="preserve"> </w:t>
      </w:r>
      <w:r w:rsidRPr="00E93CCB">
        <w:rPr>
          <w:rFonts w:eastAsia="Times New Roman" w:cstheme="minorHAnsi"/>
        </w:rPr>
        <w:t>As of recent estimates, only 440,000 of Indonesia’s total population of 260 million can be classified as retail investors.</w:t>
      </w:r>
      <w:r w:rsidRPr="008E3CB3">
        <w:rPr>
          <w:rStyle w:val="FootnoteReference"/>
          <w:rFonts w:eastAsia="Times New Roman" w:cstheme="minorHAnsi"/>
        </w:rPr>
        <w:footnoteReference w:id="100"/>
      </w:r>
      <w:r w:rsidRPr="00E93CCB">
        <w:rPr>
          <w:rFonts w:asciiTheme="majorHAnsi" w:eastAsia="Times New Roman" w:hAnsiTheme="majorHAnsi" w:cs="Times New Roman"/>
        </w:rPr>
        <w:t xml:space="preserve"> </w:t>
      </w:r>
      <w:r w:rsidRPr="00E93CCB">
        <w:rPr>
          <w:rFonts w:ascii="Calibri" w:eastAsia="Times New Roman" w:hAnsi="Calibri" w:cs="Times New Roman"/>
          <w:lang w:eastAsia="en-IN"/>
        </w:rPr>
        <w:t xml:space="preserve">Many securities are traded over the counter, resulting to opacity around pricing and market depth. By supporting the development of capital markets, Australia can help position securities as a viable investment option and persuade more retail investors to invest in the secondary market. This should help drive more household savings into the formal economy and result in more productive capital deployment, including for economic and social infrastructure. </w:t>
      </w:r>
    </w:p>
    <w:p w14:paraId="5020FC9E" w14:textId="78096FF9" w:rsidR="00E63804" w:rsidRPr="00E93CCB" w:rsidRDefault="00E63804" w:rsidP="00E63804">
      <w:pPr>
        <w:numPr>
          <w:ilvl w:val="0"/>
          <w:numId w:val="36"/>
        </w:numPr>
        <w:tabs>
          <w:tab w:val="left" w:pos="360"/>
          <w:tab w:val="left" w:pos="540"/>
        </w:tabs>
        <w:spacing w:before="120" w:after="120" w:line="240" w:lineRule="auto"/>
        <w:ind w:left="0" w:right="602" w:firstLine="0"/>
        <w:jc w:val="both"/>
        <w:rPr>
          <w:rFonts w:ascii="Calibri" w:eastAsia="Times New Roman" w:hAnsi="Calibri" w:cs="Times New Roman"/>
          <w:lang w:eastAsia="en-IN"/>
        </w:rPr>
      </w:pPr>
      <w:r w:rsidRPr="00E93CCB">
        <w:rPr>
          <w:rFonts w:ascii="Calibri" w:eastAsia="Times New Roman" w:hAnsi="Calibri" w:cs="Times New Roman"/>
          <w:b/>
          <w:lang w:eastAsia="en-IN"/>
        </w:rPr>
        <w:t xml:space="preserve">Australia can meaningfully contribute to improving the quality of infrastructure and the labour force in Indonesia. </w:t>
      </w:r>
      <w:r w:rsidRPr="00E93CCB">
        <w:rPr>
          <w:rFonts w:ascii="Calibri" w:eastAsia="Times New Roman" w:hAnsi="Calibri" w:cs="Times New Roman"/>
          <w:lang w:eastAsia="en-IN"/>
        </w:rPr>
        <w:t xml:space="preserve">For instance, the expertise of Australia’s infrastructure developers can be used to build better quality roads in Indonesia and help reduce continued maintenance </w:t>
      </w:r>
      <w:r w:rsidRPr="00E93CCB">
        <w:rPr>
          <w:rFonts w:ascii="Calibri" w:eastAsia="Times New Roman" w:hAnsi="Calibri" w:cs="Times New Roman"/>
          <w:lang w:eastAsia="en-IN"/>
        </w:rPr>
        <w:lastRenderedPageBreak/>
        <w:t xml:space="preserve">expenditure. Similarly, the Australian private sector’s expertise in TVET can be </w:t>
      </w:r>
      <w:r w:rsidR="00521641">
        <w:rPr>
          <w:rFonts w:ascii="Calibri" w:eastAsia="Times New Roman" w:hAnsi="Calibri" w:cs="Times New Roman"/>
          <w:lang w:eastAsia="en-IN"/>
        </w:rPr>
        <w:t>utilised</w:t>
      </w:r>
      <w:r w:rsidR="00521641" w:rsidRPr="00E93CCB">
        <w:rPr>
          <w:rFonts w:ascii="Calibri" w:eastAsia="Times New Roman" w:hAnsi="Calibri" w:cs="Times New Roman"/>
          <w:lang w:eastAsia="en-IN"/>
        </w:rPr>
        <w:t xml:space="preserve"> </w:t>
      </w:r>
      <w:r w:rsidRPr="00E93CCB">
        <w:rPr>
          <w:rFonts w:ascii="Calibri" w:eastAsia="Times New Roman" w:hAnsi="Calibri" w:cs="Times New Roman"/>
          <w:lang w:eastAsia="en-IN"/>
        </w:rPr>
        <w:t xml:space="preserve">through a combination of classroom trainings, on-the job apprenticeships and work-related exchange </w:t>
      </w:r>
      <w:r w:rsidR="0073249A">
        <w:rPr>
          <w:rFonts w:ascii="Calibri" w:eastAsia="Times New Roman" w:hAnsi="Calibri" w:cs="Times New Roman"/>
          <w:lang w:eastAsia="en-IN"/>
        </w:rPr>
        <w:t>program</w:t>
      </w:r>
      <w:r w:rsidRPr="00E93CCB">
        <w:rPr>
          <w:rFonts w:ascii="Calibri" w:eastAsia="Times New Roman" w:hAnsi="Calibri" w:cs="Times New Roman"/>
          <w:lang w:eastAsia="en-IN"/>
        </w:rPr>
        <w:t xml:space="preserve">s. These </w:t>
      </w:r>
      <w:r w:rsidR="0073249A">
        <w:rPr>
          <w:rFonts w:ascii="Calibri" w:eastAsia="Times New Roman" w:hAnsi="Calibri" w:cs="Times New Roman"/>
          <w:lang w:eastAsia="en-IN"/>
        </w:rPr>
        <w:t>program</w:t>
      </w:r>
      <w:r w:rsidRPr="00E93CCB">
        <w:rPr>
          <w:rFonts w:ascii="Calibri" w:eastAsia="Times New Roman" w:hAnsi="Calibri" w:cs="Times New Roman"/>
          <w:lang w:eastAsia="en-IN"/>
        </w:rPr>
        <w:t xml:space="preserve">s offer benefits both in terms of upskilling individuals and in providing local firms with a pipeline of skilled labour. Cost recovery is often possible since employers are willing to pay for the skilling services and NGF can be used to finance these ventures. The Australian model, with its well-established industry-based competencies and modular course design, can meaningfully contribute to building local human and institutional capacity in the country. </w:t>
      </w:r>
    </w:p>
    <w:p w14:paraId="1C881231" w14:textId="79CE118D" w:rsidR="00E63804" w:rsidRPr="00E93CCB" w:rsidRDefault="00E63804" w:rsidP="00E63804">
      <w:pPr>
        <w:numPr>
          <w:ilvl w:val="0"/>
          <w:numId w:val="36"/>
        </w:numPr>
        <w:tabs>
          <w:tab w:val="left" w:pos="360"/>
          <w:tab w:val="left" w:pos="540"/>
        </w:tabs>
        <w:spacing w:before="120" w:after="120" w:line="240" w:lineRule="auto"/>
        <w:ind w:left="0" w:right="602" w:firstLine="0"/>
        <w:jc w:val="both"/>
        <w:rPr>
          <w:rFonts w:ascii="Calibri" w:eastAsia="Times New Roman" w:hAnsi="Calibri" w:cs="Times New Roman"/>
          <w:lang w:eastAsia="en-IN"/>
        </w:rPr>
      </w:pPr>
      <w:r w:rsidRPr="00E93CCB">
        <w:rPr>
          <w:rFonts w:ascii="Calibri" w:eastAsia="Arial" w:hAnsi="Calibri" w:cs="Calibri"/>
          <w:b/>
          <w:lang w:eastAsia="zh-CN"/>
        </w:rPr>
        <w:t>TA</w:t>
      </w:r>
      <w:r w:rsidRPr="00E93CCB">
        <w:rPr>
          <w:rFonts w:ascii="Calibri" w:eastAsia="Times New Roman" w:hAnsi="Calibri" w:cs="Times New Roman"/>
          <w:b/>
          <w:color w:val="000000"/>
          <w:lang w:eastAsia="en-IN"/>
        </w:rPr>
        <w:t xml:space="preserve"> will continue to build capacity for Indonesia, creating institutions that can serve the country over the longer term. </w:t>
      </w:r>
      <w:r w:rsidRPr="00E93CCB">
        <w:rPr>
          <w:rFonts w:ascii="Calibri" w:eastAsia="Times New Roman" w:hAnsi="Calibri" w:cs="Times New Roman"/>
          <w:color w:val="000000"/>
          <w:lang w:eastAsia="en-IN"/>
        </w:rPr>
        <w:t xml:space="preserve">Thus far, </w:t>
      </w:r>
      <w:proofErr w:type="spellStart"/>
      <w:r w:rsidR="00521641">
        <w:rPr>
          <w:rFonts w:ascii="Calibri" w:eastAsia="Times New Roman" w:hAnsi="Calibri" w:cs="Times New Roman"/>
          <w:color w:val="000000"/>
          <w:lang w:eastAsia="en-IN"/>
        </w:rPr>
        <w:t>GoI</w:t>
      </w:r>
      <w:proofErr w:type="spellEnd"/>
      <w:r w:rsidRPr="00E93CCB">
        <w:rPr>
          <w:rFonts w:ascii="Calibri" w:eastAsia="Times New Roman" w:hAnsi="Calibri" w:cs="Times New Roman"/>
          <w:color w:val="000000"/>
          <w:lang w:eastAsia="en-IN"/>
        </w:rPr>
        <w:t xml:space="preserve"> ha</w:t>
      </w:r>
      <w:r w:rsidR="00521641">
        <w:rPr>
          <w:rFonts w:ascii="Calibri" w:eastAsia="Times New Roman" w:hAnsi="Calibri" w:cs="Times New Roman"/>
          <w:color w:val="000000"/>
          <w:lang w:eastAsia="en-IN"/>
        </w:rPr>
        <w:t>s</w:t>
      </w:r>
      <w:r w:rsidRPr="00E93CCB">
        <w:rPr>
          <w:rFonts w:ascii="Calibri" w:eastAsia="Times New Roman" w:hAnsi="Calibri" w:cs="Times New Roman"/>
          <w:color w:val="000000"/>
          <w:lang w:eastAsia="en-IN"/>
        </w:rPr>
        <w:t xml:space="preserve"> found it extremely useful to have access to skilled workforce deputed in key ministries through the support of Australia. For instance, Australia’s </w:t>
      </w:r>
      <w:proofErr w:type="spellStart"/>
      <w:r w:rsidRPr="00E93CCB">
        <w:rPr>
          <w:rFonts w:ascii="Calibri" w:eastAsia="Times New Roman" w:hAnsi="Calibri" w:cs="Times New Roman"/>
          <w:color w:val="000000"/>
          <w:lang w:eastAsia="en-IN"/>
        </w:rPr>
        <w:t>Prospera</w:t>
      </w:r>
      <w:proofErr w:type="spellEnd"/>
      <w:r w:rsidRPr="00E93CCB">
        <w:rPr>
          <w:rFonts w:ascii="Calibri" w:eastAsia="Times New Roman" w:hAnsi="Calibri" w:cs="Times New Roman"/>
          <w:color w:val="000000"/>
          <w:lang w:eastAsia="en-IN"/>
        </w:rPr>
        <w:t xml:space="preserve"> </w:t>
      </w:r>
      <w:r w:rsidR="0073249A">
        <w:rPr>
          <w:rFonts w:ascii="Calibri" w:eastAsia="Times New Roman" w:hAnsi="Calibri" w:cs="Times New Roman"/>
          <w:color w:val="000000"/>
          <w:lang w:eastAsia="en-IN"/>
        </w:rPr>
        <w:t>program</w:t>
      </w:r>
      <w:r w:rsidRPr="00E93CCB">
        <w:rPr>
          <w:rFonts w:ascii="Calibri" w:eastAsia="Times New Roman" w:hAnsi="Calibri" w:cs="Times New Roman"/>
          <w:color w:val="000000"/>
          <w:lang w:eastAsia="en-IN"/>
        </w:rPr>
        <w:t xml:space="preserve"> supports the </w:t>
      </w:r>
      <w:proofErr w:type="spellStart"/>
      <w:r w:rsidRPr="00E93CCB">
        <w:rPr>
          <w:rFonts w:ascii="Calibri" w:eastAsia="Times New Roman" w:hAnsi="Calibri" w:cs="Times New Roman"/>
          <w:color w:val="000000"/>
          <w:lang w:eastAsia="en-IN"/>
        </w:rPr>
        <w:t>GoI</w:t>
      </w:r>
      <w:proofErr w:type="spellEnd"/>
      <w:r w:rsidRPr="00E93CCB">
        <w:rPr>
          <w:rFonts w:ascii="Calibri" w:eastAsia="Times New Roman" w:hAnsi="Calibri" w:cs="Times New Roman"/>
          <w:color w:val="000000"/>
          <w:lang w:eastAsia="en-IN"/>
        </w:rPr>
        <w:t xml:space="preserve"> in developing more effective institutions and policies that contribute to strong, sustainable and inclusive economic growth and improved public sector performance. This form of support is notable, as many other donors and MDBs focus exclusively on project-by-project financing, often leaving unaddressed the need for systemic changes. </w:t>
      </w:r>
    </w:p>
    <w:p w14:paraId="2B2E9EA5" w14:textId="77777777" w:rsidR="00E63804" w:rsidRPr="001241AD" w:rsidRDefault="00E63804" w:rsidP="00E63804">
      <w:pPr>
        <w:numPr>
          <w:ilvl w:val="0"/>
          <w:numId w:val="36"/>
        </w:numPr>
        <w:tabs>
          <w:tab w:val="left" w:pos="360"/>
          <w:tab w:val="left" w:pos="540"/>
        </w:tabs>
        <w:spacing w:before="120" w:after="120" w:line="240" w:lineRule="auto"/>
        <w:ind w:left="0" w:right="602" w:firstLine="0"/>
        <w:jc w:val="both"/>
        <w:rPr>
          <w:rFonts w:ascii="Calibri" w:eastAsia="Times New Roman" w:hAnsi="Calibri" w:cs="Times New Roman"/>
          <w:lang w:eastAsia="en-IN"/>
        </w:rPr>
      </w:pPr>
      <w:r w:rsidRPr="001241AD">
        <w:rPr>
          <w:rFonts w:ascii="Calibri" w:eastAsia="Times New Roman" w:hAnsi="Calibri" w:cs="Times New Roman"/>
          <w:color w:val="000000"/>
          <w:lang w:eastAsia="en-IN"/>
        </w:rPr>
        <w:t xml:space="preserve">Based on limited consultations, we also believe that many of the stakeholders occupying key positions across the government and private sector in Indonesia have completed parts of their education in Australia, many with the support of scholarships provided by Australia. Continued use of such </w:t>
      </w:r>
      <w:r>
        <w:rPr>
          <w:rFonts w:ascii="Calibri" w:eastAsia="Arial" w:hAnsi="Calibri" w:cs="Calibri"/>
          <w:lang w:eastAsia="zh-CN"/>
        </w:rPr>
        <w:t>TA</w:t>
      </w:r>
      <w:r w:rsidRPr="001241AD">
        <w:rPr>
          <w:rFonts w:ascii="Calibri" w:eastAsia="Times New Roman" w:hAnsi="Calibri" w:cs="Times New Roman"/>
          <w:color w:val="000000"/>
          <w:lang w:eastAsia="en-IN"/>
        </w:rPr>
        <w:t xml:space="preserve"> will help build robust local institutions. </w:t>
      </w:r>
    </w:p>
    <w:p w14:paraId="3688E64D" w14:textId="77777777" w:rsidR="00E63804" w:rsidRPr="001241AD" w:rsidRDefault="00E63804" w:rsidP="00E63804">
      <w:pPr>
        <w:pBdr>
          <w:top w:val="nil"/>
          <w:left w:val="nil"/>
          <w:bottom w:val="nil"/>
          <w:right w:val="nil"/>
          <w:between w:val="nil"/>
        </w:pBdr>
        <w:tabs>
          <w:tab w:val="left" w:pos="360"/>
          <w:tab w:val="left" w:pos="540"/>
        </w:tabs>
        <w:spacing w:before="120" w:after="120" w:line="240" w:lineRule="auto"/>
        <w:ind w:left="720" w:right="602" w:hanging="720"/>
        <w:jc w:val="both"/>
        <w:rPr>
          <w:rFonts w:ascii="Calibri" w:eastAsia="Times New Roman" w:hAnsi="Calibri" w:cs="Times New Roman"/>
          <w:color w:val="000000"/>
          <w:lang w:eastAsia="en-IN"/>
        </w:rPr>
      </w:pPr>
    </w:p>
    <w:p w14:paraId="3CF7E0F4" w14:textId="77777777" w:rsidR="00E63804" w:rsidRPr="001241AD" w:rsidRDefault="00E63804" w:rsidP="00E63804">
      <w:pPr>
        <w:widowControl w:val="0"/>
        <w:numPr>
          <w:ilvl w:val="0"/>
          <w:numId w:val="34"/>
        </w:numPr>
        <w:tabs>
          <w:tab w:val="left" w:pos="360"/>
          <w:tab w:val="left" w:pos="540"/>
        </w:tabs>
        <w:spacing w:before="120" w:after="120" w:line="240" w:lineRule="auto"/>
        <w:ind w:right="602"/>
        <w:jc w:val="both"/>
        <w:outlineLvl w:val="0"/>
        <w:rPr>
          <w:rFonts w:ascii="Calibri" w:eastAsia="Times New Roman" w:hAnsi="Calibri" w:cs="Times New Roman"/>
          <w:b/>
          <w:smallCaps/>
          <w:color w:val="4F81BD"/>
          <w:sz w:val="32"/>
          <w:szCs w:val="32"/>
          <w:lang w:eastAsia="en-IN"/>
        </w:rPr>
      </w:pPr>
      <w:r w:rsidRPr="001241AD">
        <w:rPr>
          <w:rFonts w:ascii="Calibri" w:eastAsia="Times New Roman" w:hAnsi="Calibri" w:cs="Times New Roman"/>
          <w:b/>
          <w:smallCaps/>
          <w:color w:val="4F81BD"/>
          <w:sz w:val="32"/>
          <w:szCs w:val="32"/>
          <w:lang w:eastAsia="en-IN"/>
        </w:rPr>
        <w:t xml:space="preserve">Institutional, capacity and financing requirements </w:t>
      </w:r>
    </w:p>
    <w:p w14:paraId="0C7DC756" w14:textId="77777777" w:rsidR="00E63804" w:rsidRPr="001241AD" w:rsidRDefault="00E63804" w:rsidP="00E63804">
      <w:pPr>
        <w:tabs>
          <w:tab w:val="left" w:pos="360"/>
          <w:tab w:val="left" w:pos="540"/>
        </w:tabs>
        <w:spacing w:before="120" w:after="120" w:line="240" w:lineRule="auto"/>
        <w:ind w:right="602"/>
        <w:jc w:val="both"/>
        <w:rPr>
          <w:rFonts w:ascii="Calibri" w:eastAsia="Times New Roman" w:hAnsi="Calibri" w:cs="Times New Roman"/>
          <w:lang w:eastAsia="en-IN"/>
        </w:rPr>
      </w:pPr>
    </w:p>
    <w:p w14:paraId="5054E7C9" w14:textId="77777777" w:rsidR="00E63804" w:rsidRPr="001241AD" w:rsidRDefault="00E63804" w:rsidP="00E63804">
      <w:pPr>
        <w:numPr>
          <w:ilvl w:val="0"/>
          <w:numId w:val="36"/>
        </w:numPr>
        <w:tabs>
          <w:tab w:val="left" w:pos="360"/>
          <w:tab w:val="left" w:pos="540"/>
        </w:tabs>
        <w:spacing w:before="120" w:after="120" w:line="240" w:lineRule="auto"/>
        <w:ind w:left="0" w:right="602" w:firstLine="0"/>
        <w:jc w:val="both"/>
        <w:rPr>
          <w:rFonts w:ascii="Calibri" w:eastAsia="Times New Roman" w:hAnsi="Calibri" w:cs="Times New Roman"/>
          <w:lang w:eastAsia="en-IN"/>
        </w:rPr>
      </w:pPr>
      <w:r w:rsidRPr="001241AD">
        <w:rPr>
          <w:rFonts w:ascii="Calibri" w:eastAsia="Times New Roman" w:hAnsi="Calibri" w:cs="Times New Roman"/>
          <w:b/>
          <w:lang w:eastAsia="en-IN"/>
        </w:rPr>
        <w:t xml:space="preserve">To successfully deploy </w:t>
      </w:r>
      <w:r>
        <w:rPr>
          <w:rFonts w:ascii="Calibri" w:eastAsia="Times New Roman" w:hAnsi="Calibri" w:cs="Times New Roman"/>
          <w:b/>
          <w:lang w:eastAsia="en-IN"/>
        </w:rPr>
        <w:t>NGF</w:t>
      </w:r>
      <w:r w:rsidRPr="001241AD">
        <w:rPr>
          <w:rFonts w:ascii="Calibri" w:eastAsia="Times New Roman" w:hAnsi="Calibri" w:cs="Times New Roman"/>
          <w:b/>
          <w:lang w:eastAsia="en-IN"/>
        </w:rPr>
        <w:t xml:space="preserve"> in Indonesia, any institutional arrangements would need to allow for the following capabilities:</w:t>
      </w:r>
    </w:p>
    <w:p w14:paraId="644CF70A" w14:textId="77777777" w:rsidR="00E63804" w:rsidRPr="001241AD" w:rsidRDefault="00E63804" w:rsidP="00E63804">
      <w:pPr>
        <w:numPr>
          <w:ilvl w:val="1"/>
          <w:numId w:val="33"/>
        </w:numPr>
        <w:pBdr>
          <w:top w:val="nil"/>
          <w:left w:val="nil"/>
          <w:bottom w:val="nil"/>
          <w:right w:val="nil"/>
          <w:between w:val="nil"/>
        </w:pBdr>
        <w:tabs>
          <w:tab w:val="left" w:pos="360"/>
          <w:tab w:val="left" w:pos="540"/>
        </w:tabs>
        <w:spacing w:before="120" w:after="120" w:line="240" w:lineRule="auto"/>
        <w:ind w:right="602"/>
        <w:jc w:val="both"/>
        <w:rPr>
          <w:rFonts w:ascii="Calibri" w:eastAsia="Times New Roman" w:hAnsi="Calibri" w:cs="Times New Roman"/>
          <w:lang w:eastAsia="en-IN"/>
        </w:rPr>
      </w:pPr>
      <w:r w:rsidRPr="001241AD">
        <w:rPr>
          <w:rFonts w:ascii="Calibri" w:eastAsia="Times New Roman" w:hAnsi="Calibri" w:cs="Times New Roman"/>
          <w:lang w:eastAsia="en-IN"/>
        </w:rPr>
        <w:t xml:space="preserve">Ability to tie in </w:t>
      </w:r>
      <w:r>
        <w:rPr>
          <w:rFonts w:ascii="Calibri" w:eastAsia="Arial" w:hAnsi="Calibri" w:cs="Calibri"/>
          <w:lang w:eastAsia="zh-CN"/>
        </w:rPr>
        <w:t>TA</w:t>
      </w:r>
      <w:r w:rsidRPr="001241AD">
        <w:rPr>
          <w:rFonts w:ascii="Calibri" w:eastAsia="Times New Roman" w:hAnsi="Calibri" w:cs="Times New Roman"/>
          <w:lang w:eastAsia="en-IN"/>
        </w:rPr>
        <w:t xml:space="preserve"> with financing instruments to enhance the value proposition of the financial offering </w:t>
      </w:r>
    </w:p>
    <w:p w14:paraId="77AE1F7C" w14:textId="77777777" w:rsidR="00E63804" w:rsidRPr="001241AD" w:rsidRDefault="00E63804" w:rsidP="00E63804">
      <w:pPr>
        <w:numPr>
          <w:ilvl w:val="1"/>
          <w:numId w:val="33"/>
        </w:numPr>
        <w:pBdr>
          <w:top w:val="nil"/>
          <w:left w:val="nil"/>
          <w:bottom w:val="nil"/>
          <w:right w:val="nil"/>
          <w:between w:val="nil"/>
        </w:pBdr>
        <w:tabs>
          <w:tab w:val="left" w:pos="360"/>
          <w:tab w:val="left" w:pos="540"/>
        </w:tabs>
        <w:spacing w:before="120" w:after="120" w:line="240" w:lineRule="auto"/>
        <w:ind w:right="602"/>
        <w:jc w:val="both"/>
        <w:rPr>
          <w:rFonts w:ascii="Calibri" w:eastAsia="Times New Roman" w:hAnsi="Calibri" w:cs="Times New Roman"/>
          <w:lang w:eastAsia="en-IN"/>
        </w:rPr>
      </w:pPr>
      <w:r w:rsidRPr="001241AD">
        <w:rPr>
          <w:rFonts w:ascii="Calibri" w:eastAsia="Times New Roman" w:hAnsi="Calibri" w:cs="Times New Roman"/>
          <w:lang w:eastAsia="en-IN"/>
        </w:rPr>
        <w:t xml:space="preserve">Ability to source and identify bankable projects since many of the more lucrative projects with established cost recovery models are financed by SOEs or other bilateral or multilateral players </w:t>
      </w:r>
    </w:p>
    <w:p w14:paraId="6DFAC49E" w14:textId="77777777" w:rsidR="00E63804" w:rsidRPr="001241AD" w:rsidRDefault="00E63804" w:rsidP="00E63804">
      <w:pPr>
        <w:numPr>
          <w:ilvl w:val="1"/>
          <w:numId w:val="33"/>
        </w:numPr>
        <w:pBdr>
          <w:top w:val="nil"/>
          <w:left w:val="nil"/>
          <w:bottom w:val="nil"/>
          <w:right w:val="nil"/>
          <w:between w:val="nil"/>
        </w:pBdr>
        <w:tabs>
          <w:tab w:val="left" w:pos="360"/>
          <w:tab w:val="left" w:pos="540"/>
        </w:tabs>
        <w:spacing w:before="120" w:after="120" w:line="240" w:lineRule="auto"/>
        <w:ind w:right="602"/>
        <w:jc w:val="both"/>
        <w:rPr>
          <w:rFonts w:ascii="Calibri" w:eastAsia="Times New Roman" w:hAnsi="Calibri" w:cs="Times New Roman"/>
          <w:lang w:eastAsia="en-IN"/>
        </w:rPr>
      </w:pPr>
      <w:r w:rsidRPr="001241AD">
        <w:rPr>
          <w:rFonts w:ascii="Calibri" w:eastAsia="Times New Roman" w:hAnsi="Calibri" w:cs="Times New Roman"/>
          <w:lang w:eastAsia="en-IN"/>
        </w:rPr>
        <w:t>Ability to make larger-ticket investments, monitor and evaluate progress and course correct as required</w:t>
      </w:r>
    </w:p>
    <w:p w14:paraId="1229D658" w14:textId="4686D7F4" w:rsidR="00E63804" w:rsidRDefault="00E63804" w:rsidP="00E82131">
      <w:pPr>
        <w:numPr>
          <w:ilvl w:val="1"/>
          <w:numId w:val="33"/>
        </w:numPr>
        <w:pBdr>
          <w:top w:val="nil"/>
          <w:left w:val="nil"/>
          <w:bottom w:val="nil"/>
          <w:right w:val="nil"/>
          <w:between w:val="nil"/>
        </w:pBdr>
        <w:tabs>
          <w:tab w:val="left" w:pos="360"/>
          <w:tab w:val="left" w:pos="540"/>
        </w:tabs>
        <w:spacing w:before="120" w:after="120" w:line="240" w:lineRule="auto"/>
        <w:ind w:right="602"/>
        <w:jc w:val="both"/>
      </w:pPr>
      <w:r w:rsidRPr="00E84878">
        <w:rPr>
          <w:rFonts w:ascii="Calibri" w:eastAsia="Times New Roman" w:hAnsi="Calibri" w:cs="Times New Roman"/>
          <w:lang w:eastAsia="en-IN"/>
        </w:rPr>
        <w:t>Ability to work with multiple partners, including impact investing funds and Australia Inc., with a focus on mobilising private capital</w:t>
      </w:r>
      <w:r w:rsidR="00C90D96" w:rsidRPr="00E84878">
        <w:rPr>
          <w:rFonts w:ascii="Calibri" w:eastAsia="Times New Roman" w:hAnsi="Calibri" w:cs="Times New Roman"/>
          <w:lang w:eastAsia="en-IN"/>
        </w:rPr>
        <w:t>.</w:t>
      </w:r>
    </w:p>
    <w:p w14:paraId="6A10984D" w14:textId="77777777" w:rsidR="00E63804" w:rsidRDefault="00E63804" w:rsidP="00E63804">
      <w:pPr>
        <w:spacing w:before="120" w:after="120" w:line="240" w:lineRule="auto"/>
        <w:jc w:val="both"/>
      </w:pPr>
    </w:p>
    <w:p w14:paraId="19AFB3DE" w14:textId="77777777" w:rsidR="00E63804" w:rsidRDefault="00E63804" w:rsidP="00E63804">
      <w:pPr>
        <w:spacing w:before="120" w:after="120" w:line="240" w:lineRule="auto"/>
        <w:jc w:val="both"/>
      </w:pPr>
      <w:r>
        <w:br w:type="page"/>
      </w:r>
    </w:p>
    <w:p w14:paraId="45E98889" w14:textId="23E035BD" w:rsidR="006B593E" w:rsidRPr="0003026F" w:rsidRDefault="006B593E" w:rsidP="006B593E">
      <w:pPr>
        <w:spacing w:before="120" w:after="120" w:line="240" w:lineRule="auto"/>
        <w:jc w:val="both"/>
        <w:rPr>
          <w:sz w:val="32"/>
          <w:szCs w:val="32"/>
          <w:lang w:eastAsia="en-IN"/>
        </w:rPr>
      </w:pPr>
      <w:r w:rsidRPr="0003026F">
        <w:rPr>
          <w:sz w:val="32"/>
          <w:szCs w:val="32"/>
          <w:lang w:eastAsia="en-IN"/>
        </w:rPr>
        <w:lastRenderedPageBreak/>
        <w:t>A</w:t>
      </w:r>
      <w:r w:rsidR="00105CF3">
        <w:rPr>
          <w:sz w:val="32"/>
          <w:szCs w:val="32"/>
          <w:lang w:eastAsia="en-IN"/>
        </w:rPr>
        <w:t>NNEX</w:t>
      </w:r>
      <w:r w:rsidRPr="0003026F">
        <w:rPr>
          <w:sz w:val="32"/>
          <w:szCs w:val="32"/>
          <w:lang w:eastAsia="en-IN"/>
        </w:rPr>
        <w:t xml:space="preserve"> </w:t>
      </w:r>
      <w:r w:rsidR="008C4017">
        <w:rPr>
          <w:sz w:val="32"/>
          <w:szCs w:val="32"/>
          <w:lang w:eastAsia="en-IN"/>
        </w:rPr>
        <w:t>4</w:t>
      </w:r>
      <w:r>
        <w:rPr>
          <w:sz w:val="32"/>
          <w:szCs w:val="32"/>
          <w:lang w:eastAsia="en-IN"/>
        </w:rPr>
        <w:t>—</w:t>
      </w:r>
      <w:r w:rsidRPr="0003026F">
        <w:rPr>
          <w:sz w:val="32"/>
          <w:szCs w:val="32"/>
          <w:lang w:eastAsia="en-IN"/>
        </w:rPr>
        <w:t>Country Report: Papua New Guinea</w:t>
      </w:r>
    </w:p>
    <w:p w14:paraId="2B27BAC6" w14:textId="77777777" w:rsidR="006B593E" w:rsidRDefault="006B593E" w:rsidP="00D25101">
      <w:pPr>
        <w:spacing w:before="120" w:after="120" w:line="240" w:lineRule="auto"/>
        <w:ind w:right="567"/>
        <w:jc w:val="both"/>
        <w:rPr>
          <w:rFonts w:ascii="Calibri" w:eastAsia="Lato" w:hAnsi="Calibri" w:cs="Lato"/>
          <w:lang w:eastAsia="en-IN"/>
        </w:rPr>
      </w:pPr>
      <w:r w:rsidRPr="007E2005">
        <w:rPr>
          <w:rFonts w:ascii="Calibri" w:eastAsia="Lato" w:hAnsi="Calibri" w:cs="Lato"/>
          <w:lang w:eastAsia="en-IN"/>
        </w:rPr>
        <w:t>This annex has been developed by Dalberg Advisors, and represents their independent interpretation and analysis of the team’s visit to Papua New Guinea.</w:t>
      </w:r>
    </w:p>
    <w:p w14:paraId="2E3510F4" w14:textId="77777777" w:rsidR="006B593E" w:rsidRPr="007E2005" w:rsidRDefault="006B593E" w:rsidP="006B593E">
      <w:pPr>
        <w:spacing w:before="120" w:after="120" w:line="240" w:lineRule="auto"/>
        <w:jc w:val="both"/>
        <w:rPr>
          <w:rFonts w:ascii="Calibri" w:eastAsia="Lato" w:hAnsi="Calibri" w:cs="Lato"/>
          <w:lang w:eastAsia="en-IN"/>
        </w:rPr>
      </w:pPr>
    </w:p>
    <w:p w14:paraId="44D81E02" w14:textId="77777777" w:rsidR="006B593E" w:rsidRDefault="006B593E" w:rsidP="006B593E">
      <w:pPr>
        <w:widowControl w:val="0"/>
        <w:numPr>
          <w:ilvl w:val="0"/>
          <w:numId w:val="42"/>
        </w:numPr>
        <w:tabs>
          <w:tab w:val="left" w:pos="360"/>
          <w:tab w:val="left" w:pos="540"/>
        </w:tabs>
        <w:spacing w:before="120" w:after="120" w:line="240" w:lineRule="auto"/>
        <w:ind w:right="602"/>
        <w:jc w:val="both"/>
        <w:outlineLvl w:val="0"/>
        <w:rPr>
          <w:rFonts w:ascii="Calibri" w:eastAsia="Times New Roman" w:hAnsi="Calibri" w:cs="Times New Roman"/>
          <w:b/>
          <w:smallCaps/>
          <w:color w:val="4F81BD"/>
          <w:sz w:val="32"/>
          <w:szCs w:val="32"/>
          <w:lang w:eastAsia="en-IN"/>
        </w:rPr>
      </w:pPr>
      <w:r w:rsidRPr="007E2005">
        <w:rPr>
          <w:rFonts w:ascii="Calibri" w:eastAsia="Times New Roman" w:hAnsi="Calibri" w:cs="Times New Roman"/>
          <w:b/>
          <w:smallCaps/>
          <w:color w:val="4F81BD"/>
          <w:sz w:val="32"/>
          <w:szCs w:val="32"/>
          <w:lang w:eastAsia="en-IN"/>
        </w:rPr>
        <w:t>Executive Summary</w:t>
      </w:r>
    </w:p>
    <w:p w14:paraId="32040380" w14:textId="77777777" w:rsidR="006B593E" w:rsidRDefault="006B593E" w:rsidP="006B593E">
      <w:pPr>
        <w:widowControl w:val="0"/>
        <w:tabs>
          <w:tab w:val="left" w:pos="360"/>
          <w:tab w:val="left" w:pos="540"/>
        </w:tabs>
        <w:spacing w:before="120" w:after="120" w:line="240" w:lineRule="auto"/>
        <w:ind w:right="602"/>
        <w:jc w:val="both"/>
        <w:outlineLvl w:val="0"/>
        <w:rPr>
          <w:rFonts w:ascii="Calibri" w:eastAsia="Times New Roman" w:hAnsi="Calibri" w:cs="Times New Roman"/>
          <w:b/>
          <w:smallCaps/>
          <w:color w:val="4F81BD"/>
          <w:sz w:val="32"/>
          <w:szCs w:val="32"/>
          <w:lang w:eastAsia="en-IN"/>
        </w:rPr>
      </w:pPr>
    </w:p>
    <w:p w14:paraId="5F0717FF" w14:textId="77777777" w:rsidR="006B593E" w:rsidRPr="00684EA6" w:rsidRDefault="006B593E" w:rsidP="006B593E">
      <w:pPr>
        <w:pStyle w:val="ListParagraph"/>
        <w:numPr>
          <w:ilvl w:val="0"/>
          <w:numId w:val="43"/>
        </w:numPr>
        <w:tabs>
          <w:tab w:val="left" w:pos="360"/>
          <w:tab w:val="left" w:pos="540"/>
        </w:tabs>
        <w:spacing w:before="120" w:after="120" w:line="240" w:lineRule="auto"/>
        <w:ind w:left="0" w:right="601" w:firstLine="0"/>
        <w:contextualSpacing w:val="0"/>
        <w:jc w:val="both"/>
        <w:rPr>
          <w:rFonts w:ascii="Calibri" w:eastAsia="Times New Roman" w:hAnsi="Calibri" w:cs="Times New Roman"/>
          <w:lang w:eastAsia="en-IN"/>
        </w:rPr>
      </w:pPr>
      <w:r w:rsidRPr="00684EA6">
        <w:rPr>
          <w:rFonts w:ascii="Calibri" w:eastAsia="Times New Roman" w:hAnsi="Calibri" w:cs="Times New Roman"/>
          <w:b/>
          <w:lang w:eastAsia="en-IN"/>
        </w:rPr>
        <w:t>Papua New Guinea (PNG) presents a unique opportunity for Australia to deploy non-grant financ</w:t>
      </w:r>
      <w:r>
        <w:rPr>
          <w:rFonts w:ascii="Calibri" w:eastAsia="Times New Roman" w:hAnsi="Calibri" w:cs="Times New Roman"/>
          <w:b/>
          <w:lang w:eastAsia="en-IN"/>
        </w:rPr>
        <w:t>e</w:t>
      </w:r>
      <w:r w:rsidRPr="00684EA6">
        <w:rPr>
          <w:rFonts w:ascii="Calibri" w:eastAsia="Times New Roman" w:hAnsi="Calibri" w:cs="Times New Roman"/>
          <w:b/>
          <w:lang w:eastAsia="en-IN"/>
        </w:rPr>
        <w:t xml:space="preserve"> (NGF). There is healthy demand for </w:t>
      </w:r>
      <w:r>
        <w:rPr>
          <w:rFonts w:ascii="Calibri" w:eastAsia="Times New Roman" w:hAnsi="Calibri" w:cs="Times New Roman"/>
          <w:b/>
          <w:lang w:eastAsia="en-IN"/>
        </w:rPr>
        <w:t>NGF</w:t>
      </w:r>
      <w:r w:rsidRPr="00684EA6">
        <w:rPr>
          <w:rFonts w:ascii="Calibri" w:eastAsia="Times New Roman" w:hAnsi="Calibri" w:cs="Times New Roman"/>
          <w:b/>
          <w:lang w:eastAsia="en-IN"/>
        </w:rPr>
        <w:t xml:space="preserve"> in sectors that would further the shared objectives of Australia and the Government of PNG (</w:t>
      </w:r>
      <w:proofErr w:type="spellStart"/>
      <w:r w:rsidRPr="00684EA6">
        <w:rPr>
          <w:rFonts w:ascii="Calibri" w:eastAsia="Times New Roman" w:hAnsi="Calibri" w:cs="Times New Roman"/>
          <w:b/>
          <w:lang w:eastAsia="en-IN"/>
        </w:rPr>
        <w:t>GoPNG</w:t>
      </w:r>
      <w:proofErr w:type="spellEnd"/>
      <w:r w:rsidRPr="00684EA6">
        <w:rPr>
          <w:rFonts w:ascii="Calibri" w:eastAsia="Times New Roman" w:hAnsi="Calibri" w:cs="Times New Roman"/>
          <w:b/>
          <w:lang w:eastAsia="en-IN"/>
        </w:rPr>
        <w:t xml:space="preserve">). </w:t>
      </w:r>
      <w:r w:rsidRPr="00684EA6">
        <w:rPr>
          <w:rFonts w:ascii="Calibri" w:eastAsia="Times New Roman" w:hAnsi="Calibri" w:cs="Times New Roman"/>
          <w:lang w:eastAsia="en-IN"/>
        </w:rPr>
        <w:t>PNG’s recently released Medium Term Development Plan III 2018</w:t>
      </w:r>
      <w:r>
        <w:rPr>
          <w:rFonts w:ascii="Calibri" w:eastAsia="Times New Roman" w:hAnsi="Calibri" w:cs="Times New Roman"/>
          <w:lang w:eastAsia="en-IN"/>
        </w:rPr>
        <w:t>—</w:t>
      </w:r>
      <w:r w:rsidRPr="00684EA6">
        <w:rPr>
          <w:rFonts w:ascii="Calibri" w:eastAsia="Times New Roman" w:hAnsi="Calibri" w:cs="Times New Roman"/>
          <w:lang w:eastAsia="en-IN"/>
        </w:rPr>
        <w:t>2022 (MTDP) sets out an agenda of inclusive economic growth with a strong emphasis on enabling infrastructure—notably, improved transport, power and telecommunications—as well as broader economic diversification with a particular focus on agriculture</w:t>
      </w:r>
      <w:r>
        <w:rPr>
          <w:rFonts w:ascii="Calibri" w:eastAsia="Times New Roman" w:hAnsi="Calibri" w:cs="Times New Roman"/>
          <w:lang w:eastAsia="en-IN"/>
        </w:rPr>
        <w:t>.</w:t>
      </w:r>
      <w:r w:rsidRPr="007E2005">
        <w:rPr>
          <w:rFonts w:eastAsia="Lato" w:cs="Lato"/>
          <w:vertAlign w:val="superscript"/>
          <w:lang w:eastAsia="en-IN"/>
        </w:rPr>
        <w:footnoteReference w:id="101"/>
      </w:r>
      <w:r w:rsidRPr="00684EA6">
        <w:rPr>
          <w:rFonts w:ascii="Calibri" w:eastAsia="Times New Roman" w:hAnsi="Calibri" w:cs="Times New Roman"/>
          <w:lang w:eastAsia="en-IN"/>
        </w:rPr>
        <w:t xml:space="preserve"> If designed and implemented well, this plan has the potential to address some of PNG’s most critical constraints to economic growth and progress in standards of living</w:t>
      </w:r>
      <w:r>
        <w:rPr>
          <w:rFonts w:ascii="Calibri" w:eastAsia="Times New Roman" w:hAnsi="Calibri" w:cs="Times New Roman"/>
          <w:lang w:eastAsia="en-IN"/>
        </w:rPr>
        <w:t>.</w:t>
      </w:r>
      <w:r w:rsidRPr="007E2005">
        <w:rPr>
          <w:rFonts w:eastAsia="Lato" w:cs="Lato"/>
          <w:vertAlign w:val="superscript"/>
          <w:lang w:eastAsia="en-IN"/>
        </w:rPr>
        <w:footnoteReference w:id="102"/>
      </w:r>
      <w:r w:rsidRPr="00684EA6">
        <w:rPr>
          <w:rFonts w:ascii="Calibri" w:eastAsia="Times New Roman" w:hAnsi="Calibri" w:cs="Times New Roman"/>
          <w:lang w:eastAsia="en-IN"/>
        </w:rPr>
        <w:t xml:space="preserve"> </w:t>
      </w:r>
    </w:p>
    <w:p w14:paraId="2E306AF4" w14:textId="2E97C838" w:rsidR="006B593E" w:rsidRPr="00684EA6" w:rsidRDefault="006B593E" w:rsidP="006B593E">
      <w:pPr>
        <w:pStyle w:val="ListParagraph"/>
        <w:numPr>
          <w:ilvl w:val="0"/>
          <w:numId w:val="43"/>
        </w:numPr>
        <w:tabs>
          <w:tab w:val="left" w:pos="360"/>
          <w:tab w:val="left" w:pos="540"/>
        </w:tabs>
        <w:spacing w:before="120" w:after="120" w:line="240" w:lineRule="auto"/>
        <w:ind w:left="0" w:right="602" w:firstLine="0"/>
        <w:contextualSpacing w:val="0"/>
        <w:jc w:val="both"/>
        <w:rPr>
          <w:rFonts w:ascii="Calibri" w:eastAsia="Times New Roman" w:hAnsi="Calibri" w:cs="Times New Roman"/>
          <w:lang w:eastAsia="en-IN"/>
        </w:rPr>
      </w:pPr>
      <w:r w:rsidRPr="00684EA6">
        <w:rPr>
          <w:rFonts w:ascii="Calibri" w:eastAsia="Times New Roman" w:hAnsi="Calibri" w:cs="Times New Roman"/>
          <w:b/>
          <w:lang w:eastAsia="en-IN"/>
        </w:rPr>
        <w:t xml:space="preserve">Concessional financing will be in strong demand in PNG. </w:t>
      </w:r>
      <w:r w:rsidRPr="00684EA6">
        <w:rPr>
          <w:rFonts w:ascii="Calibri" w:eastAsia="Times New Roman" w:hAnsi="Calibri" w:cs="Times New Roman"/>
          <w:lang w:eastAsia="en-IN"/>
        </w:rPr>
        <w:t xml:space="preserve">Under the MTDP III, the estimated annual demand for concessional finance from external sources will more than triple over the next five years, reaching </w:t>
      </w:r>
      <w:r w:rsidR="00800236">
        <w:rPr>
          <w:rFonts w:ascii="Calibri" w:eastAsia="Times New Roman" w:hAnsi="Calibri" w:cs="Times New Roman"/>
          <w:lang w:eastAsia="en-IN"/>
        </w:rPr>
        <w:t>US$</w:t>
      </w:r>
      <w:r w:rsidRPr="00684EA6">
        <w:rPr>
          <w:rFonts w:ascii="Calibri" w:eastAsia="Times New Roman" w:hAnsi="Calibri" w:cs="Times New Roman"/>
          <w:lang w:eastAsia="en-IN"/>
        </w:rPr>
        <w:t xml:space="preserve"> 601 million by 2022</w:t>
      </w:r>
      <w:r>
        <w:rPr>
          <w:rFonts w:ascii="Calibri" w:eastAsia="Times New Roman" w:hAnsi="Calibri" w:cs="Times New Roman"/>
          <w:lang w:eastAsia="en-IN"/>
        </w:rPr>
        <w:t>.</w:t>
      </w:r>
      <w:r w:rsidRPr="007E2005">
        <w:rPr>
          <w:rFonts w:eastAsia="Lato" w:cs="Lato"/>
          <w:vertAlign w:val="superscript"/>
          <w:lang w:eastAsia="en-IN"/>
        </w:rPr>
        <w:footnoteReference w:id="103"/>
      </w:r>
      <w:r w:rsidRPr="00684EA6">
        <w:rPr>
          <w:rFonts w:ascii="Calibri" w:eastAsia="Times New Roman" w:hAnsi="Calibri" w:cs="Times New Roman"/>
          <w:lang w:eastAsia="en-IN"/>
        </w:rPr>
        <w:t xml:space="preserve"> While other public donors and </w:t>
      </w:r>
      <w:r>
        <w:rPr>
          <w:rFonts w:ascii="Calibri" w:eastAsia="Times New Roman" w:hAnsi="Calibri" w:cs="Times New Roman"/>
          <w:lang w:eastAsia="en-IN"/>
        </w:rPr>
        <w:t>MDBs</w:t>
      </w:r>
      <w:r w:rsidRPr="00684EA6">
        <w:rPr>
          <w:rFonts w:ascii="Calibri" w:eastAsia="Times New Roman" w:hAnsi="Calibri" w:cs="Times New Roman"/>
          <w:lang w:eastAsia="en-IN"/>
        </w:rPr>
        <w:t xml:space="preserve">, including Japan, the US, the ADB and the World Bank Group, have been increasing their activity in PNG, realising this level of external finance will require a step change by all actors, and likely the entrance of new ones. </w:t>
      </w:r>
    </w:p>
    <w:p w14:paraId="1283D9E7" w14:textId="77777777" w:rsidR="006B593E" w:rsidRPr="00684EA6" w:rsidRDefault="006B593E" w:rsidP="006B593E">
      <w:pPr>
        <w:pStyle w:val="ListParagraph"/>
        <w:numPr>
          <w:ilvl w:val="0"/>
          <w:numId w:val="43"/>
        </w:numPr>
        <w:tabs>
          <w:tab w:val="left" w:pos="360"/>
          <w:tab w:val="left" w:pos="540"/>
        </w:tabs>
        <w:spacing w:before="120" w:after="120" w:line="240" w:lineRule="auto"/>
        <w:ind w:left="0" w:right="602" w:firstLine="0"/>
        <w:contextualSpacing w:val="0"/>
        <w:jc w:val="both"/>
        <w:rPr>
          <w:rFonts w:ascii="Calibri" w:eastAsia="Times New Roman" w:hAnsi="Calibri" w:cs="Times New Roman"/>
          <w:lang w:eastAsia="en-IN"/>
        </w:rPr>
      </w:pPr>
      <w:r w:rsidRPr="00684EA6">
        <w:rPr>
          <w:rFonts w:ascii="Calibri" w:eastAsia="Times New Roman" w:hAnsi="Calibri" w:cs="Times New Roman"/>
          <w:b/>
          <w:lang w:eastAsia="en-IN"/>
        </w:rPr>
        <w:t xml:space="preserve">Our review of the feasibility of meeting this demand found that there are </w:t>
      </w:r>
      <w:proofErr w:type="gramStart"/>
      <w:r w:rsidRPr="00684EA6">
        <w:rPr>
          <w:rFonts w:ascii="Calibri" w:eastAsia="Times New Roman" w:hAnsi="Calibri" w:cs="Times New Roman"/>
          <w:b/>
          <w:lang w:eastAsia="en-IN"/>
        </w:rPr>
        <w:t>a number of</w:t>
      </w:r>
      <w:proofErr w:type="gramEnd"/>
      <w:r w:rsidRPr="00684EA6">
        <w:rPr>
          <w:rFonts w:ascii="Calibri" w:eastAsia="Times New Roman" w:hAnsi="Calibri" w:cs="Times New Roman"/>
          <w:b/>
          <w:lang w:eastAsia="en-IN"/>
        </w:rPr>
        <w:t xml:space="preserve"> opportunities to deploy </w:t>
      </w:r>
      <w:r>
        <w:rPr>
          <w:rFonts w:ascii="Calibri" w:eastAsia="Times New Roman" w:hAnsi="Calibri" w:cs="Times New Roman"/>
          <w:b/>
          <w:lang w:eastAsia="en-IN"/>
        </w:rPr>
        <w:t>NGF</w:t>
      </w:r>
      <w:r w:rsidRPr="00684EA6">
        <w:rPr>
          <w:rFonts w:ascii="Calibri" w:eastAsia="Times New Roman" w:hAnsi="Calibri" w:cs="Times New Roman"/>
          <w:b/>
          <w:lang w:eastAsia="en-IN"/>
        </w:rPr>
        <w:t xml:space="preserve"> over the next 3</w:t>
      </w:r>
      <w:r>
        <w:rPr>
          <w:rFonts w:ascii="Calibri" w:eastAsia="Times New Roman" w:hAnsi="Calibri" w:cs="Times New Roman"/>
          <w:b/>
          <w:lang w:eastAsia="en-IN"/>
        </w:rPr>
        <w:t>—</w:t>
      </w:r>
      <w:r w:rsidRPr="00684EA6">
        <w:rPr>
          <w:rFonts w:ascii="Calibri" w:eastAsia="Times New Roman" w:hAnsi="Calibri" w:cs="Times New Roman"/>
          <w:b/>
          <w:lang w:eastAsia="en-IN"/>
        </w:rPr>
        <w:t xml:space="preserve">5 years across a range of sectors. </w:t>
      </w:r>
      <w:r w:rsidRPr="00684EA6">
        <w:rPr>
          <w:rFonts w:ascii="Calibri" w:eastAsia="Times New Roman" w:hAnsi="Calibri" w:cs="Times New Roman"/>
          <w:lang w:eastAsia="en-IN"/>
        </w:rPr>
        <w:t xml:space="preserve">The sectors with the strongest near-term demand for the feasible use of </w:t>
      </w:r>
      <w:r>
        <w:rPr>
          <w:rFonts w:ascii="Calibri" w:eastAsia="Times New Roman" w:hAnsi="Calibri" w:cs="Times New Roman"/>
          <w:lang w:eastAsia="en-IN"/>
        </w:rPr>
        <w:t>NGF</w:t>
      </w:r>
      <w:r w:rsidRPr="00684EA6">
        <w:rPr>
          <w:rFonts w:ascii="Calibri" w:eastAsia="Times New Roman" w:hAnsi="Calibri" w:cs="Times New Roman"/>
          <w:lang w:eastAsia="en-IN"/>
        </w:rPr>
        <w:t xml:space="preserve"> include transportation (notably airports and wharves), energy, telecommunications and water. While sectors such as health, education and small business finance are critical to PNG’s growth, they demonstrate less demand for </w:t>
      </w:r>
      <w:r>
        <w:rPr>
          <w:rFonts w:ascii="Calibri" w:eastAsia="Times New Roman" w:hAnsi="Calibri" w:cs="Times New Roman"/>
          <w:lang w:eastAsia="en-IN"/>
        </w:rPr>
        <w:t>NGF</w:t>
      </w:r>
      <w:r w:rsidRPr="00684EA6">
        <w:rPr>
          <w:rFonts w:ascii="Calibri" w:eastAsia="Times New Roman" w:hAnsi="Calibri" w:cs="Times New Roman"/>
          <w:lang w:eastAsia="en-IN"/>
        </w:rPr>
        <w:t>—in these sectors, for the foreseeable future, grant-based mechanisms will remain the most important form of aid.</w:t>
      </w:r>
    </w:p>
    <w:p w14:paraId="674B1C6D" w14:textId="6B7A4F00" w:rsidR="006B593E" w:rsidRPr="00684EA6" w:rsidRDefault="006B593E" w:rsidP="006B593E">
      <w:pPr>
        <w:pStyle w:val="ListParagraph"/>
        <w:numPr>
          <w:ilvl w:val="0"/>
          <w:numId w:val="43"/>
        </w:numPr>
        <w:tabs>
          <w:tab w:val="left" w:pos="360"/>
          <w:tab w:val="left" w:pos="540"/>
        </w:tabs>
        <w:spacing w:before="120" w:after="120" w:line="240" w:lineRule="auto"/>
        <w:ind w:left="0" w:right="602" w:firstLine="0"/>
        <w:contextualSpacing w:val="0"/>
        <w:jc w:val="both"/>
        <w:rPr>
          <w:rFonts w:ascii="Calibri" w:eastAsia="Times New Roman" w:hAnsi="Calibri" w:cs="Times New Roman"/>
          <w:lang w:eastAsia="en-IN"/>
        </w:rPr>
      </w:pPr>
      <w:r w:rsidRPr="00684EA6">
        <w:rPr>
          <w:rFonts w:ascii="Calibri" w:eastAsia="Times New Roman" w:hAnsi="Calibri" w:cs="Times New Roman"/>
          <w:b/>
          <w:lang w:eastAsia="en-IN"/>
        </w:rPr>
        <w:t>Australia already has successful track record in PNG of financing smaller infrastructure, such as hospitals and university buildings</w:t>
      </w:r>
      <w:r w:rsidRPr="00684EA6">
        <w:rPr>
          <w:rFonts w:ascii="Calibri" w:eastAsia="Times New Roman" w:hAnsi="Calibri" w:cs="Times New Roman"/>
          <w:lang w:eastAsia="en-IN"/>
        </w:rPr>
        <w:t xml:space="preserve">. Australia also has an active set of </w:t>
      </w:r>
      <w:r>
        <w:rPr>
          <w:rFonts w:ascii="Calibri" w:eastAsia="Arial" w:hAnsi="Calibri" w:cs="Calibri"/>
          <w:lang w:eastAsia="zh-CN"/>
        </w:rPr>
        <w:t>TA</w:t>
      </w:r>
      <w:r w:rsidRPr="00684EA6">
        <w:rPr>
          <w:rFonts w:ascii="Calibri" w:eastAsia="Times New Roman" w:hAnsi="Calibri" w:cs="Times New Roman"/>
          <w:lang w:eastAsia="en-IN"/>
        </w:rPr>
        <w:t xml:space="preserve"> </w:t>
      </w:r>
      <w:r w:rsidR="0073249A">
        <w:rPr>
          <w:rFonts w:ascii="Calibri" w:eastAsia="Times New Roman" w:hAnsi="Calibri" w:cs="Times New Roman"/>
          <w:lang w:eastAsia="en-IN"/>
        </w:rPr>
        <w:t>program</w:t>
      </w:r>
      <w:r>
        <w:rPr>
          <w:rFonts w:ascii="Calibri" w:eastAsia="Times New Roman" w:hAnsi="Calibri" w:cs="Times New Roman"/>
          <w:lang w:eastAsia="en-IN"/>
        </w:rPr>
        <w:t xml:space="preserve">s </w:t>
      </w:r>
      <w:r w:rsidRPr="00684EA6">
        <w:rPr>
          <w:rFonts w:ascii="Calibri" w:eastAsia="Times New Roman" w:hAnsi="Calibri" w:cs="Times New Roman"/>
          <w:lang w:eastAsia="en-IN"/>
        </w:rPr>
        <w:t xml:space="preserve">across multiple sectors to advise </w:t>
      </w:r>
      <w:proofErr w:type="spellStart"/>
      <w:r w:rsidRPr="00684EA6">
        <w:rPr>
          <w:rFonts w:ascii="Calibri" w:eastAsia="Times New Roman" w:hAnsi="Calibri" w:cs="Times New Roman"/>
          <w:lang w:eastAsia="en-IN"/>
        </w:rPr>
        <w:t>GoPNG</w:t>
      </w:r>
      <w:proofErr w:type="spellEnd"/>
      <w:r w:rsidRPr="00684EA6">
        <w:rPr>
          <w:rFonts w:ascii="Calibri" w:eastAsia="Times New Roman" w:hAnsi="Calibri" w:cs="Times New Roman"/>
          <w:lang w:eastAsia="en-IN"/>
        </w:rPr>
        <w:t xml:space="preserve"> on how to better prioritise, plan and advance the development of high-impact infrastructure projects. Many of the prerequisites for </w:t>
      </w:r>
      <w:r>
        <w:rPr>
          <w:rFonts w:ascii="Calibri" w:eastAsia="MS Mincho" w:hAnsi="Calibri" w:cs="Times New Roman"/>
          <w:lang w:val="en-US"/>
        </w:rPr>
        <w:t>Australia</w:t>
      </w:r>
      <w:r w:rsidRPr="00684EA6">
        <w:rPr>
          <w:rFonts w:ascii="Calibri" w:eastAsia="Times New Roman" w:hAnsi="Calibri" w:cs="Times New Roman"/>
          <w:lang w:eastAsia="en-IN"/>
        </w:rPr>
        <w:t xml:space="preserve"> to move into the role of an investor—for example, deep relationships, strong technical knowledge of the sectors, project procurement experience, a long-term view and a command of the complexities of the operational challenges in PNG—are already in place. </w:t>
      </w:r>
    </w:p>
    <w:p w14:paraId="478E7390" w14:textId="77777777" w:rsidR="006B593E" w:rsidRPr="00684EA6" w:rsidRDefault="006B593E" w:rsidP="006B593E">
      <w:pPr>
        <w:pStyle w:val="ListParagraph"/>
        <w:numPr>
          <w:ilvl w:val="0"/>
          <w:numId w:val="43"/>
        </w:numPr>
        <w:tabs>
          <w:tab w:val="left" w:pos="360"/>
          <w:tab w:val="left" w:pos="540"/>
        </w:tabs>
        <w:spacing w:before="120" w:after="120" w:line="240" w:lineRule="auto"/>
        <w:ind w:left="0" w:right="602" w:firstLine="0"/>
        <w:contextualSpacing w:val="0"/>
        <w:jc w:val="both"/>
        <w:rPr>
          <w:rFonts w:ascii="Calibri" w:eastAsia="Times New Roman" w:hAnsi="Calibri" w:cs="Times New Roman"/>
          <w:lang w:eastAsia="en-IN"/>
        </w:rPr>
      </w:pPr>
      <w:r w:rsidRPr="00684EA6">
        <w:rPr>
          <w:rFonts w:ascii="Calibri" w:eastAsia="Times New Roman" w:hAnsi="Calibri" w:cs="Times New Roman"/>
          <w:b/>
          <w:lang w:eastAsia="en-IN"/>
        </w:rPr>
        <w:t xml:space="preserve">Introducing the ability to deploy </w:t>
      </w:r>
      <w:r>
        <w:rPr>
          <w:rFonts w:ascii="Calibri" w:eastAsia="Times New Roman" w:hAnsi="Calibri" w:cs="Times New Roman"/>
          <w:b/>
          <w:lang w:eastAsia="en-IN"/>
        </w:rPr>
        <w:t>NGF</w:t>
      </w:r>
      <w:r w:rsidRPr="00684EA6">
        <w:rPr>
          <w:rFonts w:ascii="Calibri" w:eastAsia="Times New Roman" w:hAnsi="Calibri" w:cs="Times New Roman"/>
          <w:b/>
          <w:lang w:eastAsia="en-IN"/>
        </w:rPr>
        <w:t xml:space="preserve"> will be important for Australia’s relationship with PNG to evolve into a mature economic partnership. </w:t>
      </w:r>
      <w:r w:rsidRPr="00684EA6">
        <w:rPr>
          <w:rFonts w:ascii="Calibri" w:eastAsia="Times New Roman" w:hAnsi="Calibri" w:cs="Times New Roman"/>
          <w:lang w:eastAsia="en-IN"/>
        </w:rPr>
        <w:t>PNG officials express a desire to move away from a donor-beneficiary relationship toward one of partners in development.</w:t>
      </w:r>
      <w:r w:rsidRPr="00684EA6">
        <w:rPr>
          <w:rFonts w:ascii="Calibri" w:eastAsia="Times New Roman" w:hAnsi="Calibri" w:cs="Times New Roman"/>
          <w:b/>
          <w:lang w:eastAsia="en-IN"/>
        </w:rPr>
        <w:t xml:space="preserve"> </w:t>
      </w:r>
      <w:r>
        <w:rPr>
          <w:rFonts w:ascii="Calibri" w:eastAsia="Times New Roman" w:hAnsi="Calibri" w:cs="Times New Roman"/>
          <w:lang w:eastAsia="en-IN"/>
        </w:rPr>
        <w:t>NGF</w:t>
      </w:r>
      <w:r w:rsidRPr="00684EA6">
        <w:rPr>
          <w:rFonts w:ascii="Calibri" w:eastAsia="Times New Roman" w:hAnsi="Calibri" w:cs="Times New Roman"/>
          <w:lang w:eastAsia="en-IN"/>
        </w:rPr>
        <w:t xml:space="preserve"> would enable Australia to participate in PNG’s growth at a scale that is commensurate with the level of opportunity. Participating as an investment principal through the use </w:t>
      </w:r>
      <w:r>
        <w:rPr>
          <w:rFonts w:ascii="Calibri" w:eastAsia="Times New Roman" w:hAnsi="Calibri" w:cs="Times New Roman"/>
          <w:lang w:eastAsia="en-IN"/>
        </w:rPr>
        <w:t>NGF</w:t>
      </w:r>
      <w:r w:rsidRPr="00684EA6">
        <w:rPr>
          <w:rFonts w:ascii="Calibri" w:eastAsia="Times New Roman" w:hAnsi="Calibri" w:cs="Times New Roman"/>
          <w:lang w:eastAsia="en-IN"/>
        </w:rPr>
        <w:t xml:space="preserve"> will also ensure </w:t>
      </w:r>
      <w:r w:rsidRPr="00684EA6">
        <w:rPr>
          <w:rFonts w:ascii="Calibri" w:eastAsia="Times New Roman" w:hAnsi="Calibri" w:cs="Times New Roman"/>
          <w:lang w:eastAsia="en-IN"/>
        </w:rPr>
        <w:lastRenderedPageBreak/>
        <w:t xml:space="preserve">Australia a “seat at the table” to positively influence project design, transparency, governance and ongoing implementation efforts. </w:t>
      </w:r>
    </w:p>
    <w:p w14:paraId="3EF43FB8" w14:textId="71845158" w:rsidR="006B593E" w:rsidRPr="00684EA6" w:rsidRDefault="006B593E" w:rsidP="006B593E">
      <w:pPr>
        <w:pStyle w:val="ListParagraph"/>
        <w:numPr>
          <w:ilvl w:val="0"/>
          <w:numId w:val="43"/>
        </w:numPr>
        <w:tabs>
          <w:tab w:val="left" w:pos="360"/>
          <w:tab w:val="left" w:pos="540"/>
        </w:tabs>
        <w:spacing w:before="120" w:after="120" w:line="240" w:lineRule="auto"/>
        <w:ind w:left="0" w:right="602" w:firstLine="0"/>
        <w:contextualSpacing w:val="0"/>
        <w:jc w:val="both"/>
        <w:rPr>
          <w:rFonts w:ascii="Calibri" w:eastAsia="Times New Roman" w:hAnsi="Calibri" w:cs="Times New Roman"/>
          <w:lang w:eastAsia="en-IN"/>
        </w:rPr>
      </w:pPr>
      <w:r w:rsidRPr="00684EA6">
        <w:rPr>
          <w:rFonts w:ascii="Calibri" w:eastAsia="Times New Roman" w:hAnsi="Calibri" w:cs="Times New Roman"/>
          <w:b/>
          <w:lang w:eastAsia="en-IN"/>
        </w:rPr>
        <w:t xml:space="preserve">Introducing </w:t>
      </w:r>
      <w:r>
        <w:rPr>
          <w:rFonts w:ascii="Calibri" w:eastAsia="Times New Roman" w:hAnsi="Calibri" w:cs="Times New Roman"/>
          <w:b/>
          <w:lang w:eastAsia="en-IN"/>
        </w:rPr>
        <w:t>NGF</w:t>
      </w:r>
      <w:r w:rsidRPr="00684EA6">
        <w:rPr>
          <w:rFonts w:ascii="Calibri" w:eastAsia="Times New Roman" w:hAnsi="Calibri" w:cs="Times New Roman"/>
          <w:b/>
          <w:lang w:eastAsia="en-IN"/>
        </w:rPr>
        <w:t xml:space="preserve"> in PNG will have both capacity and institutional implications. </w:t>
      </w:r>
      <w:r w:rsidRPr="00684EA6">
        <w:rPr>
          <w:rFonts w:ascii="Calibri" w:eastAsia="Times New Roman" w:hAnsi="Calibri" w:cs="Times New Roman"/>
          <w:lang w:eastAsia="en-IN"/>
        </w:rPr>
        <w:t xml:space="preserve">The highly dynamic nature of the demand for </w:t>
      </w:r>
      <w:r>
        <w:rPr>
          <w:rFonts w:ascii="Calibri" w:eastAsia="Times New Roman" w:hAnsi="Calibri" w:cs="Times New Roman"/>
          <w:lang w:eastAsia="en-IN"/>
        </w:rPr>
        <w:t>NGF</w:t>
      </w:r>
      <w:r w:rsidRPr="00684EA6">
        <w:rPr>
          <w:rFonts w:ascii="Calibri" w:eastAsia="Times New Roman" w:hAnsi="Calibri" w:cs="Times New Roman"/>
          <w:lang w:eastAsia="en-IN"/>
        </w:rPr>
        <w:t xml:space="preserve">, as well as the complexity of project development, suggest the need for a flexible pool of capital that Australia can deploy as opportunities arise. As the recent experience with the Coral Sea Cable project illustrates, while it is possible to participate in larger-scale projects using a grant-based modality, there are constraints on the number of times that Australia is be able to do so. To be a strategic partner, Australia will likely need at its disposal a full range of instruments—including debt, equity and guarantees—as well as the expertise and capacity to deploy them quickly and </w:t>
      </w:r>
      <w:proofErr w:type="gramStart"/>
      <w:r w:rsidRPr="00684EA6">
        <w:rPr>
          <w:rFonts w:ascii="Calibri" w:eastAsia="Times New Roman" w:hAnsi="Calibri" w:cs="Times New Roman"/>
          <w:lang w:eastAsia="en-IN"/>
        </w:rPr>
        <w:t>efficiently..</w:t>
      </w:r>
      <w:proofErr w:type="gramEnd"/>
      <w:r w:rsidRPr="00684EA6">
        <w:rPr>
          <w:rFonts w:ascii="Calibri" w:eastAsia="Times New Roman" w:hAnsi="Calibri" w:cs="Times New Roman"/>
          <w:lang w:eastAsia="en-IN"/>
        </w:rPr>
        <w:t xml:space="preserve"> </w:t>
      </w:r>
      <w:r>
        <w:rPr>
          <w:rFonts w:ascii="Calibri" w:eastAsia="MS Mincho" w:hAnsi="Calibri" w:cs="Times New Roman"/>
          <w:lang w:val="en-US"/>
        </w:rPr>
        <w:t>Australia</w:t>
      </w:r>
      <w:r w:rsidRPr="00684EA6">
        <w:rPr>
          <w:rFonts w:ascii="Calibri" w:eastAsia="Times New Roman" w:hAnsi="Calibri" w:cs="Times New Roman"/>
          <w:lang w:eastAsia="en-IN"/>
        </w:rPr>
        <w:t xml:space="preserve"> has the capabilities to deliver </w:t>
      </w:r>
      <w:r>
        <w:rPr>
          <w:rFonts w:ascii="Calibri" w:eastAsia="Times New Roman" w:hAnsi="Calibri" w:cs="Times New Roman"/>
          <w:lang w:eastAsia="en-IN"/>
        </w:rPr>
        <w:t>NGF</w:t>
      </w:r>
      <w:r w:rsidRPr="00684EA6">
        <w:rPr>
          <w:rFonts w:ascii="Calibri" w:eastAsia="Times New Roman" w:hAnsi="Calibri" w:cs="Times New Roman"/>
          <w:lang w:eastAsia="en-IN"/>
        </w:rPr>
        <w:t xml:space="preserve"> in the near term; however, these skills will need to be augmented as the project portfolio expands in size and scope. Developing capabilities to co-invest alongside others, especially commercial banks and local super funds, is one way to position Australia as distinct from other bilateral and multilateral funders. A robust function for ensuring environmental and social safeguards, especially gender analysis, will also be a critical capacity to further develop. Similarly, it will also be necessary to bolster </w:t>
      </w:r>
      <w:r>
        <w:rPr>
          <w:rFonts w:ascii="Calibri" w:eastAsia="MS Mincho" w:hAnsi="Calibri" w:cs="Times New Roman"/>
          <w:lang w:val="en-US"/>
        </w:rPr>
        <w:t>Australia’s</w:t>
      </w:r>
      <w:r w:rsidRPr="00684EA6">
        <w:rPr>
          <w:rFonts w:ascii="Calibri" w:eastAsia="Times New Roman" w:hAnsi="Calibri" w:cs="Times New Roman"/>
          <w:lang w:eastAsia="en-IN"/>
        </w:rPr>
        <w:t xml:space="preserve"> existing capabilities for monitoring and evaluating the development impact of these projects </w:t>
      </w:r>
      <w:proofErr w:type="gramStart"/>
      <w:r w:rsidRPr="00684EA6">
        <w:rPr>
          <w:rFonts w:ascii="Calibri" w:eastAsia="Times New Roman" w:hAnsi="Calibri" w:cs="Times New Roman"/>
          <w:lang w:eastAsia="en-IN"/>
        </w:rPr>
        <w:t>in order to</w:t>
      </w:r>
      <w:proofErr w:type="gramEnd"/>
      <w:r w:rsidRPr="00684EA6">
        <w:rPr>
          <w:rFonts w:ascii="Calibri" w:eastAsia="Times New Roman" w:hAnsi="Calibri" w:cs="Times New Roman"/>
          <w:lang w:eastAsia="en-IN"/>
        </w:rPr>
        <w:t xml:space="preserve"> ensure that development outcomes are being realised. </w:t>
      </w:r>
    </w:p>
    <w:p w14:paraId="3B3D389B" w14:textId="77777777" w:rsidR="006B593E" w:rsidRDefault="006B593E" w:rsidP="006B593E">
      <w:pPr>
        <w:widowControl w:val="0"/>
        <w:tabs>
          <w:tab w:val="left" w:pos="360"/>
          <w:tab w:val="left" w:pos="540"/>
        </w:tabs>
        <w:spacing w:before="120" w:after="120" w:line="240" w:lineRule="auto"/>
        <w:ind w:right="602"/>
        <w:jc w:val="both"/>
        <w:outlineLvl w:val="0"/>
        <w:rPr>
          <w:rFonts w:ascii="Calibri" w:eastAsia="Lato" w:hAnsi="Calibri" w:cs="Lato"/>
          <w:lang w:eastAsia="en-IN"/>
        </w:rPr>
      </w:pPr>
    </w:p>
    <w:p w14:paraId="36B16614" w14:textId="77777777" w:rsidR="006B593E" w:rsidRDefault="006B593E" w:rsidP="006B593E">
      <w:pPr>
        <w:widowControl w:val="0"/>
        <w:numPr>
          <w:ilvl w:val="0"/>
          <w:numId w:val="42"/>
        </w:numPr>
        <w:tabs>
          <w:tab w:val="left" w:pos="360"/>
          <w:tab w:val="left" w:pos="540"/>
        </w:tabs>
        <w:spacing w:before="120" w:after="120" w:line="240" w:lineRule="auto"/>
        <w:ind w:right="602"/>
        <w:jc w:val="both"/>
        <w:outlineLvl w:val="0"/>
        <w:rPr>
          <w:rFonts w:ascii="Calibri" w:eastAsia="Times New Roman" w:hAnsi="Calibri" w:cs="Times New Roman"/>
          <w:b/>
          <w:smallCaps/>
          <w:color w:val="4F81BD"/>
          <w:sz w:val="32"/>
          <w:szCs w:val="32"/>
          <w:lang w:eastAsia="en-IN"/>
        </w:rPr>
      </w:pPr>
      <w:r w:rsidRPr="00E93CCB">
        <w:rPr>
          <w:rFonts w:ascii="Calibri" w:eastAsia="Times New Roman" w:hAnsi="Calibri" w:cs="Times New Roman"/>
          <w:b/>
          <w:smallCaps/>
          <w:color w:val="4F81BD"/>
          <w:sz w:val="32"/>
          <w:szCs w:val="32"/>
          <w:lang w:eastAsia="en-IN"/>
        </w:rPr>
        <w:t>Analysis of the Strategic Dimensions</w:t>
      </w:r>
    </w:p>
    <w:p w14:paraId="4EA5E9F4" w14:textId="77777777" w:rsidR="006B593E" w:rsidRDefault="006B593E" w:rsidP="006B593E">
      <w:pPr>
        <w:widowControl w:val="0"/>
        <w:tabs>
          <w:tab w:val="left" w:pos="360"/>
          <w:tab w:val="left" w:pos="540"/>
        </w:tabs>
        <w:spacing w:before="120" w:after="120" w:line="240" w:lineRule="auto"/>
        <w:ind w:right="602"/>
        <w:jc w:val="both"/>
        <w:outlineLvl w:val="0"/>
        <w:rPr>
          <w:rFonts w:ascii="Calibri" w:eastAsia="Times New Roman" w:hAnsi="Calibri" w:cs="Times New Roman"/>
          <w:b/>
          <w:smallCaps/>
          <w:color w:val="4F81BD"/>
          <w:sz w:val="32"/>
          <w:szCs w:val="32"/>
          <w:lang w:eastAsia="en-IN"/>
        </w:rPr>
      </w:pPr>
    </w:p>
    <w:p w14:paraId="4E0D0391" w14:textId="77777777" w:rsidR="006B593E" w:rsidRPr="00684EA6" w:rsidRDefault="006B593E" w:rsidP="006B593E">
      <w:pPr>
        <w:pStyle w:val="ListParagraph"/>
        <w:numPr>
          <w:ilvl w:val="0"/>
          <w:numId w:val="43"/>
        </w:numPr>
        <w:tabs>
          <w:tab w:val="left" w:pos="360"/>
          <w:tab w:val="left" w:pos="540"/>
        </w:tabs>
        <w:spacing w:before="120" w:after="120" w:line="240" w:lineRule="auto"/>
        <w:ind w:left="0" w:right="602" w:firstLine="0"/>
        <w:contextualSpacing w:val="0"/>
        <w:jc w:val="both"/>
        <w:rPr>
          <w:rFonts w:ascii="Calibri" w:eastAsia="Times New Roman" w:hAnsi="Calibri" w:cs="Times New Roman"/>
          <w:lang w:eastAsia="en-IN"/>
        </w:rPr>
      </w:pPr>
      <w:r w:rsidRPr="004F683D">
        <w:rPr>
          <w:rFonts w:ascii="Calibri" w:eastAsia="Times New Roman" w:hAnsi="Calibri" w:cs="Times New Roman"/>
          <w:b/>
          <w:lang w:eastAsia="en-IN"/>
        </w:rPr>
        <w:t>The geopolitical context in PNG is rapidly evolving.</w:t>
      </w:r>
      <w:r w:rsidRPr="00684EA6">
        <w:rPr>
          <w:rFonts w:ascii="Calibri" w:eastAsia="Times New Roman" w:hAnsi="Calibri" w:cs="Times New Roman"/>
          <w:lang w:eastAsia="en-IN"/>
        </w:rPr>
        <w:t xml:space="preserve"> A broader range of instruments and a more innovative use of grant financing will be important for Australia to achieve PNG’s stated goal of realising a mature economic partnership with PNG. </w:t>
      </w:r>
    </w:p>
    <w:p w14:paraId="644EA7EB" w14:textId="77777777" w:rsidR="006B593E" w:rsidRPr="00684EA6" w:rsidRDefault="006B593E" w:rsidP="006B593E">
      <w:pPr>
        <w:pStyle w:val="ListParagraph"/>
        <w:numPr>
          <w:ilvl w:val="0"/>
          <w:numId w:val="43"/>
        </w:numPr>
        <w:tabs>
          <w:tab w:val="left" w:pos="360"/>
          <w:tab w:val="left" w:pos="540"/>
        </w:tabs>
        <w:spacing w:before="120" w:after="120" w:line="240" w:lineRule="auto"/>
        <w:ind w:left="0" w:right="602" w:firstLine="0"/>
        <w:contextualSpacing w:val="0"/>
        <w:jc w:val="both"/>
        <w:rPr>
          <w:rFonts w:ascii="Calibri" w:eastAsia="Times New Roman" w:hAnsi="Calibri" w:cs="Times New Roman"/>
          <w:lang w:eastAsia="en-IN"/>
        </w:rPr>
      </w:pPr>
      <w:r w:rsidRPr="00684EA6">
        <w:rPr>
          <w:rFonts w:ascii="Calibri" w:eastAsia="Times New Roman" w:hAnsi="Calibri" w:cs="Times New Roman"/>
          <w:b/>
          <w:color w:val="000000"/>
          <w:lang w:eastAsia="en-IN"/>
        </w:rPr>
        <w:t>Australia’s Foreign Policy White Paper has identified the stability and prosperity of PNG as one of Australia’s most important foreign policy goals</w:t>
      </w:r>
      <w:r>
        <w:rPr>
          <w:rFonts w:ascii="Calibri" w:eastAsia="Times New Roman" w:hAnsi="Calibri" w:cs="Times New Roman"/>
          <w:b/>
          <w:color w:val="000000"/>
          <w:lang w:eastAsia="en-IN"/>
        </w:rPr>
        <w:t>.</w:t>
      </w:r>
      <w:r w:rsidRPr="007E2005">
        <w:rPr>
          <w:rFonts w:eastAsia="Lato" w:cs="Lato"/>
          <w:vertAlign w:val="superscript"/>
          <w:lang w:eastAsia="en-IN"/>
        </w:rPr>
        <w:footnoteReference w:id="104"/>
      </w:r>
      <w:r w:rsidRPr="00684EA6">
        <w:rPr>
          <w:rFonts w:ascii="Calibri" w:eastAsia="Times New Roman" w:hAnsi="Calibri" w:cs="Times New Roman"/>
          <w:b/>
          <w:color w:val="000000"/>
          <w:lang w:eastAsia="en-IN"/>
        </w:rPr>
        <w:t xml:space="preserve"> </w:t>
      </w:r>
      <w:r w:rsidRPr="00684EA6">
        <w:rPr>
          <w:rFonts w:ascii="Calibri" w:eastAsia="Times New Roman" w:hAnsi="Calibri" w:cs="Times New Roman"/>
          <w:color w:val="000000"/>
          <w:lang w:eastAsia="en-IN"/>
        </w:rPr>
        <w:t xml:space="preserve">The underlying premise of Australia’s engagement with PNG is that vibrant and inclusive economic growth within PNG is in the strategic interest of both countries. The goal of engaging with PNG as a mature partner with shared economic growth objectives naturally raises the question of </w:t>
      </w:r>
      <w:proofErr w:type="gramStart"/>
      <w:r w:rsidRPr="00684EA6">
        <w:rPr>
          <w:rFonts w:ascii="Calibri" w:eastAsia="Times New Roman" w:hAnsi="Calibri" w:cs="Times New Roman"/>
          <w:color w:val="000000"/>
          <w:lang w:eastAsia="en-IN"/>
        </w:rPr>
        <w:t>whether or not</w:t>
      </w:r>
      <w:proofErr w:type="gramEnd"/>
      <w:r w:rsidRPr="00684EA6">
        <w:rPr>
          <w:rFonts w:ascii="Calibri" w:eastAsia="Times New Roman" w:hAnsi="Calibri" w:cs="Times New Roman"/>
          <w:color w:val="000000"/>
          <w:lang w:eastAsia="en-IN"/>
        </w:rPr>
        <w:t xml:space="preserve"> Australia’s traditional means of engagement align with a contemporary approach. </w:t>
      </w:r>
    </w:p>
    <w:p w14:paraId="388CBED5" w14:textId="77777777" w:rsidR="006B593E" w:rsidRPr="00684EA6" w:rsidRDefault="006B593E" w:rsidP="006B593E">
      <w:pPr>
        <w:pStyle w:val="ListParagraph"/>
        <w:numPr>
          <w:ilvl w:val="0"/>
          <w:numId w:val="43"/>
        </w:numPr>
        <w:tabs>
          <w:tab w:val="left" w:pos="360"/>
          <w:tab w:val="left" w:pos="540"/>
        </w:tabs>
        <w:spacing w:before="120" w:after="120" w:line="240" w:lineRule="auto"/>
        <w:ind w:left="0" w:right="602" w:firstLine="0"/>
        <w:contextualSpacing w:val="0"/>
        <w:jc w:val="both"/>
        <w:rPr>
          <w:rFonts w:ascii="Calibri" w:eastAsia="Times New Roman" w:hAnsi="Calibri" w:cs="Times New Roman"/>
          <w:lang w:eastAsia="en-IN"/>
        </w:rPr>
      </w:pPr>
      <w:r w:rsidRPr="00684EA6">
        <w:rPr>
          <w:rFonts w:ascii="Calibri" w:eastAsia="Times New Roman" w:hAnsi="Calibri" w:cs="Times New Roman"/>
          <w:b/>
          <w:lang w:eastAsia="en-IN"/>
        </w:rPr>
        <w:t xml:space="preserve">A more </w:t>
      </w:r>
      <w:r w:rsidRPr="00684EA6">
        <w:rPr>
          <w:rFonts w:ascii="Calibri" w:eastAsia="Times New Roman" w:hAnsi="Calibri" w:cs="Times New Roman"/>
          <w:b/>
          <w:color w:val="000000"/>
          <w:lang w:eastAsia="en-IN"/>
        </w:rPr>
        <w:t xml:space="preserve">mature bilateral partnership recognises PNG’s tremendous potential for economic growth and prosperity, as well as the importance of addressing key constraints to achieving this growth. </w:t>
      </w:r>
      <w:r w:rsidRPr="00684EA6">
        <w:rPr>
          <w:rFonts w:ascii="Calibri" w:eastAsia="Times New Roman" w:hAnsi="Calibri" w:cs="Times New Roman"/>
          <w:color w:val="000000"/>
          <w:lang w:eastAsia="en-IN"/>
        </w:rPr>
        <w:t>PNG</w:t>
      </w:r>
      <w:r w:rsidRPr="00684EA6">
        <w:rPr>
          <w:rFonts w:ascii="Calibri" w:eastAsia="Times New Roman" w:hAnsi="Calibri" w:cs="Times New Roman"/>
          <w:b/>
          <w:color w:val="000000"/>
          <w:lang w:eastAsia="en-IN"/>
        </w:rPr>
        <w:t xml:space="preserve"> </w:t>
      </w:r>
      <w:r w:rsidRPr="00684EA6">
        <w:rPr>
          <w:rFonts w:ascii="Calibri" w:eastAsia="Times New Roman" w:hAnsi="Calibri" w:cs="Times New Roman"/>
          <w:color w:val="000000"/>
          <w:lang w:eastAsia="en-IN"/>
        </w:rPr>
        <w:t>is endowed with vast natural resources. Its mineral and other resource deposits—including copper, gold and oil—account for nearly two-thirds of export earnings while its massive natural gas reserves (estimated to be over 140 billion cubic meters</w:t>
      </w:r>
      <w:r>
        <w:rPr>
          <w:rFonts w:ascii="Calibri" w:eastAsia="Times New Roman" w:hAnsi="Calibri" w:cs="Times New Roman"/>
          <w:color w:val="000000"/>
          <w:lang w:eastAsia="en-IN"/>
        </w:rPr>
        <w:t>,</w:t>
      </w:r>
      <w:r w:rsidRPr="007E2005">
        <w:rPr>
          <w:rFonts w:eastAsia="Lato" w:cs="Lato"/>
          <w:vertAlign w:val="superscript"/>
          <w:lang w:eastAsia="en-IN"/>
        </w:rPr>
        <w:footnoteReference w:id="105"/>
      </w:r>
      <w:r w:rsidRPr="00684EA6">
        <w:rPr>
          <w:rFonts w:ascii="Calibri" w:eastAsia="Times New Roman" w:hAnsi="Calibri" w:cs="Times New Roman"/>
          <w:color w:val="000000"/>
          <w:lang w:eastAsia="en-IN"/>
        </w:rPr>
        <w:t xml:space="preserve"> the 48</w:t>
      </w:r>
      <w:r w:rsidRPr="00684EA6">
        <w:rPr>
          <w:rFonts w:ascii="Calibri" w:eastAsia="Times New Roman" w:hAnsi="Calibri" w:cs="Times New Roman"/>
          <w:color w:val="000000"/>
          <w:vertAlign w:val="superscript"/>
          <w:lang w:eastAsia="en-IN"/>
        </w:rPr>
        <w:t>th</w:t>
      </w:r>
      <w:r w:rsidRPr="00684EA6">
        <w:rPr>
          <w:rFonts w:ascii="Calibri" w:eastAsia="Times New Roman" w:hAnsi="Calibri" w:cs="Times New Roman"/>
          <w:color w:val="000000"/>
          <w:lang w:eastAsia="en-IN"/>
        </w:rPr>
        <w:t xml:space="preserve"> largest in the world and among the largest for a country of its size). However, lack of core economic infrastructure—including for transport, communication and energy—</w:t>
      </w:r>
      <w:r w:rsidRPr="00684EA6">
        <w:rPr>
          <w:rFonts w:ascii="Calibri" w:eastAsia="Times New Roman" w:hAnsi="Calibri" w:cs="Times New Roman"/>
          <w:lang w:eastAsia="en-IN"/>
        </w:rPr>
        <w:t>constrains</w:t>
      </w:r>
      <w:r w:rsidRPr="00684EA6">
        <w:rPr>
          <w:rFonts w:ascii="Calibri" w:eastAsia="Times New Roman" w:hAnsi="Calibri" w:cs="Times New Roman"/>
          <w:color w:val="000000"/>
          <w:lang w:eastAsia="en-IN"/>
        </w:rPr>
        <w:t xml:space="preserve"> PNG’s ability to translate this natural wealth into economic growth. Existing infrastructure remains poor in quality and concentrated in centres of economic activity. The nation’s unique topography and widely distributed population create challenges in designing and realising high-impact, economically feasible projects. A further constraint on all aspects of development work is PNG’s overall lack of human capacity, reflected in the country’s poor ranking on the Human Development Index (154—higher than only Timor-Leste and Afghanistan in the Asia-Pacific region). Finally, there are concerns about governance and the </w:t>
      </w:r>
      <w:r w:rsidRPr="00684EA6">
        <w:rPr>
          <w:rFonts w:ascii="Calibri" w:eastAsia="Times New Roman" w:hAnsi="Calibri" w:cs="Times New Roman"/>
          <w:lang w:eastAsia="en-IN"/>
        </w:rPr>
        <w:t>strength of public institutions</w:t>
      </w:r>
      <w:r w:rsidRPr="00684EA6">
        <w:rPr>
          <w:rFonts w:ascii="Calibri" w:eastAsia="Times New Roman" w:hAnsi="Calibri" w:cs="Times New Roman"/>
          <w:color w:val="000000"/>
          <w:lang w:eastAsia="en-IN"/>
        </w:rPr>
        <w:t xml:space="preserve">. </w:t>
      </w:r>
      <w:r w:rsidRPr="00684EA6">
        <w:rPr>
          <w:rFonts w:ascii="Calibri" w:eastAsia="Times New Roman" w:hAnsi="Calibri" w:cs="Times New Roman"/>
          <w:color w:val="000000"/>
          <w:lang w:eastAsia="en-IN"/>
        </w:rPr>
        <w:lastRenderedPageBreak/>
        <w:t>Despite these issues, however, PNG presents tremendous opportunity for economic activity and growth.</w:t>
      </w:r>
    </w:p>
    <w:p w14:paraId="0A81D0C4" w14:textId="77777777" w:rsidR="006B593E" w:rsidRPr="00684EA6" w:rsidRDefault="006B593E" w:rsidP="006B593E">
      <w:pPr>
        <w:pStyle w:val="ListParagraph"/>
        <w:numPr>
          <w:ilvl w:val="0"/>
          <w:numId w:val="43"/>
        </w:numPr>
        <w:tabs>
          <w:tab w:val="left" w:pos="360"/>
          <w:tab w:val="left" w:pos="540"/>
        </w:tabs>
        <w:spacing w:before="120" w:after="120" w:line="240" w:lineRule="auto"/>
        <w:ind w:left="0" w:right="602" w:firstLine="0"/>
        <w:contextualSpacing w:val="0"/>
        <w:jc w:val="both"/>
        <w:rPr>
          <w:rFonts w:ascii="Calibri" w:eastAsia="Times New Roman" w:hAnsi="Calibri" w:cs="Times New Roman"/>
          <w:lang w:eastAsia="en-IN"/>
        </w:rPr>
      </w:pPr>
      <w:r w:rsidRPr="00684EA6">
        <w:rPr>
          <w:rFonts w:ascii="Calibri" w:eastAsia="Times New Roman" w:hAnsi="Calibri" w:cs="Times New Roman"/>
          <w:b/>
          <w:color w:val="000000"/>
          <w:lang w:eastAsia="en-IN"/>
        </w:rPr>
        <w:t>PNG’s recently released MTDP calls for an ambitious agenda of inclusive economic growth with a strong emphasis both on developing economic enablers—notably, improved transport, power and telecommunications—and on increasing economic diversification, with a particular focus on agriculture</w:t>
      </w:r>
      <w:r>
        <w:rPr>
          <w:rFonts w:ascii="Calibri" w:eastAsia="Times New Roman" w:hAnsi="Calibri" w:cs="Times New Roman"/>
          <w:b/>
          <w:color w:val="000000"/>
          <w:lang w:eastAsia="en-IN"/>
        </w:rPr>
        <w:t>.</w:t>
      </w:r>
      <w:r w:rsidRPr="007E2005">
        <w:rPr>
          <w:rFonts w:eastAsia="Lato" w:cs="Lato"/>
          <w:vertAlign w:val="superscript"/>
          <w:lang w:eastAsia="en-IN"/>
        </w:rPr>
        <w:footnoteReference w:id="106"/>
      </w:r>
      <w:r w:rsidRPr="00684EA6">
        <w:rPr>
          <w:rFonts w:ascii="Calibri" w:eastAsia="Times New Roman" w:hAnsi="Calibri" w:cs="Times New Roman"/>
          <w:b/>
          <w:color w:val="000000"/>
          <w:lang w:eastAsia="en-IN"/>
        </w:rPr>
        <w:t xml:space="preserve"> </w:t>
      </w:r>
      <w:r w:rsidRPr="00684EA6">
        <w:rPr>
          <w:rFonts w:ascii="Calibri" w:eastAsia="Times New Roman" w:hAnsi="Calibri" w:cs="Times New Roman"/>
          <w:color w:val="000000"/>
          <w:lang w:eastAsia="en-IN"/>
        </w:rPr>
        <w:t xml:space="preserve">The plan lays out infrastructure investment priorities including major road construction, the development of national ports and wharves and the rehabilitation and upgrade of airports. The plan also calls for a dramatic improvement in the reliability and affordability of electricity through investments in power generation, including renewable sources, as well as improvements in transmission and distribution. Telecommunications are also a key priority—in particular, expanding cellular networks into the interior of the country. The development of the agricultural sector is also seen as a critical lever for fostering inclusive economic growth and opportunities for </w:t>
      </w:r>
      <w:proofErr w:type="gramStart"/>
      <w:r w:rsidRPr="00684EA6">
        <w:rPr>
          <w:rFonts w:ascii="Calibri" w:eastAsia="Times New Roman" w:hAnsi="Calibri" w:cs="Times New Roman"/>
          <w:color w:val="000000"/>
          <w:lang w:eastAsia="en-IN"/>
        </w:rPr>
        <w:t>the significant majority of</w:t>
      </w:r>
      <w:proofErr w:type="gramEnd"/>
      <w:r w:rsidRPr="00684EA6">
        <w:rPr>
          <w:rFonts w:ascii="Calibri" w:eastAsia="Times New Roman" w:hAnsi="Calibri" w:cs="Times New Roman"/>
          <w:color w:val="000000"/>
          <w:lang w:eastAsia="en-IN"/>
        </w:rPr>
        <w:t xml:space="preserve"> people in PNG who live in rural areas, as well as a strategy for replacing imports. </w:t>
      </w:r>
    </w:p>
    <w:p w14:paraId="3132AB72" w14:textId="528CBA5E" w:rsidR="006B593E" w:rsidRPr="00684EA6" w:rsidRDefault="006B593E" w:rsidP="006B593E">
      <w:pPr>
        <w:pStyle w:val="ListParagraph"/>
        <w:numPr>
          <w:ilvl w:val="0"/>
          <w:numId w:val="43"/>
        </w:numPr>
        <w:tabs>
          <w:tab w:val="left" w:pos="360"/>
          <w:tab w:val="left" w:pos="540"/>
        </w:tabs>
        <w:spacing w:before="120" w:after="120" w:line="240" w:lineRule="auto"/>
        <w:ind w:left="0" w:right="602" w:firstLine="0"/>
        <w:contextualSpacing w:val="0"/>
        <w:jc w:val="both"/>
        <w:rPr>
          <w:rFonts w:ascii="Calibri" w:eastAsia="Times New Roman" w:hAnsi="Calibri" w:cs="Times New Roman"/>
          <w:lang w:eastAsia="en-IN"/>
        </w:rPr>
      </w:pPr>
      <w:proofErr w:type="spellStart"/>
      <w:r w:rsidRPr="00684EA6">
        <w:rPr>
          <w:rFonts w:ascii="Calibri" w:eastAsia="Times New Roman" w:hAnsi="Calibri" w:cs="Times New Roman"/>
          <w:b/>
          <w:color w:val="000000"/>
          <w:lang w:eastAsia="en-IN"/>
        </w:rPr>
        <w:t>GoPNG’s</w:t>
      </w:r>
      <w:proofErr w:type="spellEnd"/>
      <w:r w:rsidRPr="00684EA6">
        <w:rPr>
          <w:rFonts w:ascii="Calibri" w:eastAsia="Times New Roman" w:hAnsi="Calibri" w:cs="Times New Roman"/>
          <w:b/>
          <w:color w:val="000000"/>
          <w:lang w:eastAsia="en-IN"/>
        </w:rPr>
        <w:t xml:space="preserve"> plans to finance the MTDP call for a dramatic increase in concessional lending, from </w:t>
      </w:r>
      <w:r w:rsidR="00800236">
        <w:rPr>
          <w:rFonts w:ascii="Calibri" w:eastAsia="Times New Roman" w:hAnsi="Calibri" w:cs="Times New Roman"/>
          <w:b/>
          <w:color w:val="000000"/>
          <w:lang w:eastAsia="en-IN"/>
        </w:rPr>
        <w:t>US$</w:t>
      </w:r>
      <w:r w:rsidRPr="00684EA6">
        <w:rPr>
          <w:rFonts w:ascii="Calibri" w:eastAsia="Times New Roman" w:hAnsi="Calibri" w:cs="Times New Roman"/>
          <w:b/>
          <w:color w:val="000000"/>
          <w:lang w:eastAsia="en-IN"/>
        </w:rPr>
        <w:t xml:space="preserve"> 177 million in 2018 to </w:t>
      </w:r>
      <w:r w:rsidR="00800236">
        <w:rPr>
          <w:rFonts w:ascii="Calibri" w:eastAsia="Times New Roman" w:hAnsi="Calibri" w:cs="Times New Roman"/>
          <w:b/>
          <w:color w:val="000000"/>
          <w:lang w:eastAsia="en-IN"/>
        </w:rPr>
        <w:t>US$</w:t>
      </w:r>
      <w:r w:rsidRPr="00684EA6">
        <w:rPr>
          <w:rFonts w:ascii="Calibri" w:eastAsia="Times New Roman" w:hAnsi="Calibri" w:cs="Times New Roman"/>
          <w:b/>
          <w:color w:val="000000"/>
          <w:lang w:eastAsia="en-IN"/>
        </w:rPr>
        <w:t xml:space="preserve"> 601 million in 2022. </w:t>
      </w:r>
      <w:proofErr w:type="spellStart"/>
      <w:r w:rsidRPr="00684EA6">
        <w:rPr>
          <w:rFonts w:ascii="Calibri" w:eastAsia="Times New Roman" w:hAnsi="Calibri" w:cs="Times New Roman"/>
          <w:color w:val="000000"/>
          <w:lang w:eastAsia="en-IN"/>
        </w:rPr>
        <w:t>GoPNG’s</w:t>
      </w:r>
      <w:proofErr w:type="spellEnd"/>
      <w:r w:rsidRPr="00684EA6">
        <w:rPr>
          <w:rFonts w:ascii="Calibri" w:eastAsia="Times New Roman" w:hAnsi="Calibri" w:cs="Times New Roman"/>
          <w:color w:val="000000"/>
          <w:lang w:eastAsia="en-IN"/>
        </w:rPr>
        <w:t xml:space="preserve"> internal revenues are already the single largest source of financing, but that share is forecast to grow to 54.3% of all financing by 2022. Grants are forecast to decrease as a share of total financing, shrinking from 22.1% at present to 14.5% in 2022. According to IMF data from 2016, Asian </w:t>
      </w:r>
      <w:r w:rsidR="007906F3">
        <w:t>countries and regions</w:t>
      </w:r>
      <w:r w:rsidR="007906F3">
        <w:rPr>
          <w:rFonts w:ascii="Calibri" w:eastAsia="Times New Roman" w:hAnsi="Calibri" w:cs="Times New Roman"/>
          <w:color w:val="000000"/>
          <w:lang w:eastAsia="en-IN"/>
        </w:rPr>
        <w:t xml:space="preserve"> </w:t>
      </w:r>
      <w:r w:rsidRPr="00684EA6">
        <w:rPr>
          <w:rFonts w:ascii="Calibri" w:eastAsia="Times New Roman" w:hAnsi="Calibri" w:cs="Times New Roman"/>
          <w:color w:val="000000"/>
          <w:lang w:eastAsia="en-IN"/>
        </w:rPr>
        <w:t xml:space="preserve">now comprise seven of PNG's top ten trading partners, with Singapore second, China third, Japan fourth, Taiwan sixth, Malaysia seventh, India eighth and Thailand tenth. Much of the aid is currently committed or disbursed in the form of grants and ODA loans that are almost exclusively provided by China and the multilaterals. Simply put, if Australia continues to offer only grants, its strategic influence will decline as grant funding becomes less integral to financing </w:t>
      </w:r>
      <w:proofErr w:type="spellStart"/>
      <w:r w:rsidRPr="00684EA6">
        <w:rPr>
          <w:rFonts w:ascii="Calibri" w:eastAsia="Times New Roman" w:hAnsi="Calibri" w:cs="Times New Roman"/>
          <w:color w:val="000000"/>
          <w:lang w:eastAsia="en-IN"/>
        </w:rPr>
        <w:t>GoPNG’s</w:t>
      </w:r>
      <w:proofErr w:type="spellEnd"/>
      <w:r w:rsidRPr="00684EA6">
        <w:rPr>
          <w:rFonts w:ascii="Calibri" w:eastAsia="Times New Roman" w:hAnsi="Calibri" w:cs="Times New Roman"/>
          <w:color w:val="000000"/>
          <w:lang w:eastAsia="en-IN"/>
        </w:rPr>
        <w:t xml:space="preserve"> growth priorities. In some cases, more creative uses of grants may address some constraints. </w:t>
      </w:r>
      <w:r w:rsidRPr="00684EA6">
        <w:rPr>
          <w:rFonts w:ascii="Calibri" w:eastAsia="Times New Roman" w:hAnsi="Calibri" w:cs="Times New Roman"/>
          <w:lang w:eastAsia="en-IN"/>
        </w:rPr>
        <w:t xml:space="preserve">For instance, grants can be used to buy down the blended rate of interest in case of multilateral loans, increasing their offtake. However, </w:t>
      </w:r>
      <w:r w:rsidRPr="00684EA6">
        <w:rPr>
          <w:rFonts w:ascii="Calibri" w:eastAsia="Times New Roman" w:hAnsi="Calibri" w:cs="Times New Roman"/>
          <w:color w:val="000000"/>
          <w:lang w:eastAsia="en-IN"/>
        </w:rPr>
        <w:t xml:space="preserve">it is likely that </w:t>
      </w:r>
      <w:r>
        <w:rPr>
          <w:rFonts w:ascii="Calibri" w:eastAsia="Times New Roman" w:hAnsi="Calibri" w:cs="Times New Roman"/>
          <w:color w:val="000000"/>
          <w:lang w:eastAsia="en-IN"/>
        </w:rPr>
        <w:t>NGF</w:t>
      </w:r>
      <w:r w:rsidRPr="00684EA6">
        <w:rPr>
          <w:rFonts w:ascii="Calibri" w:eastAsia="Times New Roman" w:hAnsi="Calibri" w:cs="Times New Roman"/>
          <w:color w:val="000000"/>
          <w:lang w:eastAsia="en-IN"/>
        </w:rPr>
        <w:t xml:space="preserve"> will be required. </w:t>
      </w:r>
    </w:p>
    <w:p w14:paraId="7FE80FC0" w14:textId="77777777" w:rsidR="006B593E" w:rsidRPr="00684EA6" w:rsidRDefault="006B593E" w:rsidP="006B593E">
      <w:pPr>
        <w:pStyle w:val="ListParagraph"/>
        <w:numPr>
          <w:ilvl w:val="0"/>
          <w:numId w:val="43"/>
        </w:numPr>
        <w:tabs>
          <w:tab w:val="left" w:pos="360"/>
          <w:tab w:val="left" w:pos="540"/>
        </w:tabs>
        <w:spacing w:before="120" w:after="120" w:line="240" w:lineRule="auto"/>
        <w:ind w:left="0" w:right="602" w:firstLine="0"/>
        <w:contextualSpacing w:val="0"/>
        <w:jc w:val="both"/>
        <w:rPr>
          <w:rFonts w:ascii="Calibri" w:eastAsia="Times New Roman" w:hAnsi="Calibri" w:cs="Times New Roman"/>
          <w:lang w:eastAsia="en-IN"/>
        </w:rPr>
      </w:pPr>
      <w:r w:rsidRPr="00684EA6">
        <w:rPr>
          <w:rFonts w:ascii="Calibri" w:eastAsia="Times New Roman" w:hAnsi="Calibri" w:cs="Times New Roman"/>
          <w:b/>
          <w:color w:val="000000"/>
          <w:lang w:eastAsia="en-IN"/>
        </w:rPr>
        <w:t xml:space="preserve">Australia is seen by many actors, including </w:t>
      </w:r>
      <w:proofErr w:type="spellStart"/>
      <w:r w:rsidRPr="00684EA6">
        <w:rPr>
          <w:rFonts w:ascii="Calibri" w:eastAsia="Times New Roman" w:hAnsi="Calibri" w:cs="Times New Roman"/>
          <w:b/>
          <w:color w:val="000000"/>
          <w:lang w:eastAsia="en-IN"/>
        </w:rPr>
        <w:t>GoPNG</w:t>
      </w:r>
      <w:proofErr w:type="spellEnd"/>
      <w:r w:rsidRPr="00684EA6">
        <w:rPr>
          <w:rFonts w:ascii="Calibri" w:eastAsia="Times New Roman" w:hAnsi="Calibri" w:cs="Times New Roman"/>
          <w:b/>
          <w:color w:val="000000"/>
          <w:lang w:eastAsia="en-IN"/>
        </w:rPr>
        <w:t xml:space="preserve">, as having distinctive capabilities that could translate into the ability to make catalytic investments with positive influence. </w:t>
      </w:r>
      <w:r w:rsidRPr="00684EA6">
        <w:rPr>
          <w:rFonts w:ascii="Calibri" w:eastAsia="Times New Roman" w:hAnsi="Calibri" w:cs="Times New Roman"/>
          <w:color w:val="000000"/>
          <w:lang w:eastAsia="en-IN"/>
        </w:rPr>
        <w:t xml:space="preserve">As a longstanding source of advisors to </w:t>
      </w:r>
      <w:proofErr w:type="spellStart"/>
      <w:r w:rsidRPr="00684EA6">
        <w:rPr>
          <w:rFonts w:ascii="Calibri" w:eastAsia="Times New Roman" w:hAnsi="Calibri" w:cs="Times New Roman"/>
          <w:color w:val="000000"/>
          <w:lang w:eastAsia="en-IN"/>
        </w:rPr>
        <w:t>GoPNG</w:t>
      </w:r>
      <w:proofErr w:type="spellEnd"/>
      <w:r w:rsidRPr="00684EA6">
        <w:rPr>
          <w:rFonts w:ascii="Calibri" w:eastAsia="Times New Roman" w:hAnsi="Calibri" w:cs="Times New Roman"/>
          <w:color w:val="000000"/>
          <w:lang w:eastAsia="en-IN"/>
        </w:rPr>
        <w:t xml:space="preserve">, as well as a provider of </w:t>
      </w:r>
      <w:r>
        <w:rPr>
          <w:rFonts w:ascii="Calibri" w:eastAsia="Arial" w:hAnsi="Calibri" w:cs="Calibri"/>
          <w:lang w:eastAsia="zh-CN"/>
        </w:rPr>
        <w:t>TA</w:t>
      </w:r>
      <w:r w:rsidRPr="00684EA6">
        <w:rPr>
          <w:rFonts w:ascii="Calibri" w:eastAsia="Times New Roman" w:hAnsi="Calibri" w:cs="Times New Roman"/>
          <w:color w:val="000000"/>
          <w:lang w:eastAsia="en-IN"/>
        </w:rPr>
        <w:t xml:space="preserve"> across a range of sectors, Australia is seen to have rich market insights, strong relationships within </w:t>
      </w:r>
      <w:proofErr w:type="spellStart"/>
      <w:r w:rsidRPr="00684EA6">
        <w:rPr>
          <w:rFonts w:ascii="Calibri" w:eastAsia="Times New Roman" w:hAnsi="Calibri" w:cs="Times New Roman"/>
          <w:color w:val="000000"/>
          <w:lang w:eastAsia="en-IN"/>
        </w:rPr>
        <w:t>GoPNG</w:t>
      </w:r>
      <w:proofErr w:type="spellEnd"/>
      <w:r w:rsidRPr="00684EA6">
        <w:rPr>
          <w:rFonts w:ascii="Calibri" w:eastAsia="Times New Roman" w:hAnsi="Calibri" w:cs="Times New Roman"/>
          <w:color w:val="000000"/>
          <w:lang w:eastAsia="en-IN"/>
        </w:rPr>
        <w:t xml:space="preserve">, technical expertise in key sectors and a successful track record of collaborating with </w:t>
      </w:r>
      <w:proofErr w:type="spellStart"/>
      <w:r w:rsidRPr="00684EA6">
        <w:rPr>
          <w:rFonts w:ascii="Calibri" w:eastAsia="Times New Roman" w:hAnsi="Calibri" w:cs="Times New Roman"/>
          <w:color w:val="000000"/>
          <w:lang w:eastAsia="en-IN"/>
        </w:rPr>
        <w:t>GoPNG</w:t>
      </w:r>
      <w:proofErr w:type="spellEnd"/>
      <w:r w:rsidRPr="00684EA6">
        <w:rPr>
          <w:rFonts w:ascii="Calibri" w:eastAsia="Times New Roman" w:hAnsi="Calibri" w:cs="Times New Roman"/>
          <w:color w:val="000000"/>
          <w:lang w:eastAsia="en-IN"/>
        </w:rPr>
        <w:t xml:space="preserve"> on advancing reforms. Often Australia has done the hard work of advancing sectoral reforms that have allowed other investors to transact (e.g., ADB). While this is a positive outcome from a resource mobilisation perspective, it is a missed opportunity for Australia to continue to influence the operations and implementation of these projects</w:t>
      </w:r>
      <w:r w:rsidRPr="00684EA6">
        <w:rPr>
          <w:rFonts w:ascii="Calibri" w:eastAsia="Times New Roman" w:hAnsi="Calibri" w:cs="Times New Roman"/>
          <w:lang w:eastAsia="en-IN"/>
        </w:rPr>
        <w:t xml:space="preserve"> in a potentially greater capacity—for example, by introducing </w:t>
      </w:r>
      <w:r w:rsidRPr="00684EA6">
        <w:rPr>
          <w:rFonts w:ascii="Calibri" w:eastAsia="Times New Roman" w:hAnsi="Calibri" w:cs="Times New Roman"/>
          <w:color w:val="000000"/>
          <w:lang w:eastAsia="en-IN"/>
        </w:rPr>
        <w:t>credible international private sector operators, with a healthy representation of Australian corporations.</w:t>
      </w:r>
    </w:p>
    <w:p w14:paraId="04B122B4" w14:textId="56F36A8B" w:rsidR="006B593E" w:rsidRPr="00684EA6" w:rsidRDefault="006B593E" w:rsidP="006B593E">
      <w:pPr>
        <w:pStyle w:val="ListParagraph"/>
        <w:numPr>
          <w:ilvl w:val="0"/>
          <w:numId w:val="43"/>
        </w:numPr>
        <w:tabs>
          <w:tab w:val="left" w:pos="360"/>
          <w:tab w:val="left" w:pos="540"/>
        </w:tabs>
        <w:spacing w:before="120" w:after="120" w:line="240" w:lineRule="auto"/>
        <w:ind w:left="0" w:right="602" w:firstLine="0"/>
        <w:contextualSpacing w:val="0"/>
        <w:jc w:val="both"/>
        <w:rPr>
          <w:rFonts w:ascii="Calibri" w:eastAsia="Times New Roman" w:hAnsi="Calibri" w:cs="Times New Roman"/>
          <w:lang w:eastAsia="en-IN"/>
        </w:rPr>
      </w:pPr>
      <w:r w:rsidRPr="00684EA6">
        <w:rPr>
          <w:rFonts w:ascii="Calibri" w:eastAsia="Times New Roman" w:hAnsi="Calibri" w:cs="Times New Roman"/>
          <w:b/>
          <w:color w:val="000000"/>
          <w:lang w:eastAsia="en-IN"/>
        </w:rPr>
        <w:t xml:space="preserve">While there are promising signs of increased funding from bilateral and multilateral funders in PNG, their efforts are not likely to close the financing gap. </w:t>
      </w:r>
      <w:r w:rsidRPr="00684EA6">
        <w:rPr>
          <w:rFonts w:ascii="Calibri" w:eastAsia="Times New Roman" w:hAnsi="Calibri" w:cs="Times New Roman"/>
          <w:color w:val="000000"/>
          <w:lang w:eastAsia="en-IN"/>
        </w:rPr>
        <w:t>For instance,</w:t>
      </w:r>
      <w:r w:rsidRPr="00684EA6">
        <w:rPr>
          <w:rFonts w:ascii="Calibri" w:eastAsia="Times New Roman" w:hAnsi="Calibri" w:cs="Times New Roman"/>
          <w:b/>
          <w:color w:val="000000"/>
          <w:lang w:eastAsia="en-IN"/>
        </w:rPr>
        <w:t xml:space="preserve"> </w:t>
      </w:r>
      <w:r w:rsidRPr="00684EA6">
        <w:rPr>
          <w:rFonts w:ascii="Calibri" w:eastAsia="Times New Roman" w:hAnsi="Calibri" w:cs="Times New Roman"/>
          <w:color w:val="000000"/>
          <w:lang w:eastAsia="en-IN"/>
        </w:rPr>
        <w:t xml:space="preserve">the United States’ recent announcement of </w:t>
      </w:r>
      <w:r w:rsidR="00800236">
        <w:rPr>
          <w:rFonts w:ascii="Calibri" w:eastAsia="Times New Roman" w:hAnsi="Calibri" w:cs="Times New Roman"/>
          <w:color w:val="000000"/>
          <w:lang w:eastAsia="en-IN"/>
        </w:rPr>
        <w:t>US$</w:t>
      </w:r>
      <w:r w:rsidRPr="00684EA6">
        <w:rPr>
          <w:rFonts w:ascii="Calibri" w:eastAsia="Times New Roman" w:hAnsi="Calibri" w:cs="Times New Roman"/>
          <w:color w:val="000000"/>
          <w:lang w:eastAsia="en-IN"/>
        </w:rPr>
        <w:t xml:space="preserve"> 113 million in financing for projects in the Indo-Pacific region was met with criticism, even within the US itself, of the relative modesty of the sum compared to the billions of financing that China is offering</w:t>
      </w:r>
      <w:r>
        <w:rPr>
          <w:rFonts w:ascii="Calibri" w:eastAsia="Times New Roman" w:hAnsi="Calibri" w:cs="Times New Roman"/>
          <w:color w:val="000000"/>
          <w:lang w:eastAsia="en-IN"/>
        </w:rPr>
        <w:t>.</w:t>
      </w:r>
      <w:r w:rsidRPr="007E2005">
        <w:rPr>
          <w:rFonts w:eastAsia="Lato" w:cs="Lato"/>
          <w:vertAlign w:val="superscript"/>
          <w:lang w:eastAsia="en-IN"/>
        </w:rPr>
        <w:footnoteReference w:id="107"/>
      </w:r>
      <w:r w:rsidRPr="00684EA6">
        <w:rPr>
          <w:rFonts w:ascii="Calibri" w:eastAsia="Times New Roman" w:hAnsi="Calibri" w:cs="Times New Roman"/>
          <w:color w:val="000000"/>
          <w:lang w:eastAsia="en-IN"/>
        </w:rPr>
        <w:t xml:space="preserve"> While the establishment of the United States International Development Finance Corporation will offer greater opportunities for Australia to work with the US on scaling up opportunities, it is unlikely that this option alone </w:t>
      </w:r>
      <w:r w:rsidRPr="00684EA6">
        <w:rPr>
          <w:rFonts w:ascii="Calibri" w:eastAsia="Times New Roman" w:hAnsi="Calibri" w:cs="Times New Roman"/>
          <w:color w:val="000000"/>
          <w:lang w:eastAsia="en-IN"/>
        </w:rPr>
        <w:lastRenderedPageBreak/>
        <w:t>will be sufficient to close the financing gap. The recently announced trilateral partnership between Australia, Japan and the United States to invest in infrastructure projects is also a promising avenue for catalysing the flow of more finance for infrastructure into the country</w:t>
      </w:r>
      <w:r w:rsidRPr="00684EA6">
        <w:rPr>
          <w:rFonts w:ascii="Calibri" w:eastAsia="Times New Roman" w:hAnsi="Calibri" w:cs="Times New Roman"/>
          <w:lang w:eastAsia="en-IN"/>
        </w:rPr>
        <w:t xml:space="preserve">; in a similar vein, Australia could take the lead in shared financing agreements with other partner countries while driving policy and development goals. </w:t>
      </w:r>
    </w:p>
    <w:p w14:paraId="1A8D00E0" w14:textId="0581B0D1" w:rsidR="006B593E" w:rsidRPr="00684EA6" w:rsidRDefault="006B593E" w:rsidP="006B593E">
      <w:pPr>
        <w:pStyle w:val="ListParagraph"/>
        <w:numPr>
          <w:ilvl w:val="0"/>
          <w:numId w:val="43"/>
        </w:numPr>
        <w:tabs>
          <w:tab w:val="left" w:pos="360"/>
          <w:tab w:val="left" w:pos="540"/>
        </w:tabs>
        <w:spacing w:before="120" w:after="120" w:line="240" w:lineRule="auto"/>
        <w:ind w:left="0" w:right="602" w:firstLine="0"/>
        <w:contextualSpacing w:val="0"/>
        <w:jc w:val="both"/>
        <w:rPr>
          <w:rFonts w:ascii="Calibri" w:eastAsia="Times New Roman" w:hAnsi="Calibri" w:cs="Times New Roman"/>
          <w:color w:val="000000"/>
          <w:lang w:eastAsia="en-IN"/>
        </w:rPr>
      </w:pPr>
      <w:r w:rsidRPr="00684EA6">
        <w:rPr>
          <w:rFonts w:ascii="Calibri" w:eastAsia="Times New Roman" w:hAnsi="Calibri" w:cs="Times New Roman"/>
          <w:b/>
          <w:color w:val="000000"/>
          <w:lang w:eastAsia="en-IN"/>
        </w:rPr>
        <w:t>Participating as an investment principal (i.e., taking an ownership stake as a provider of equity or acting as a creditor) would enable Australia to participate in more significant ways in major strategic initiatives and projects</w:t>
      </w:r>
      <w:r w:rsidRPr="00684EA6">
        <w:rPr>
          <w:rFonts w:ascii="Calibri" w:eastAsia="Times New Roman" w:hAnsi="Calibri" w:cs="Times New Roman"/>
          <w:color w:val="000000"/>
          <w:lang w:eastAsia="en-IN"/>
        </w:rPr>
        <w:t xml:space="preserve">. The rights afforded to creditors and equity holders would offer Australia a greater ability to maintain an ongoing positive influence on transparency, governance and safeguards, as well as an opportunity to ensure that projects are well designed and are likely to translate into actual development outcomes for the people of PNG. Ownership and creditor investment positions involve regular contact over the long term, with free access to the accounts, all of which are critical to modelling and establishing standards for governance and transparency. Inhabiting these positions is also a way of improving the operations of </w:t>
      </w:r>
      <w:r>
        <w:rPr>
          <w:rFonts w:ascii="Calibri" w:eastAsia="Times New Roman" w:hAnsi="Calibri" w:cs="Times New Roman"/>
          <w:color w:val="000000"/>
          <w:lang w:eastAsia="en-IN"/>
        </w:rPr>
        <w:t>SOEs</w:t>
      </w:r>
      <w:r w:rsidRPr="00684EA6">
        <w:rPr>
          <w:rFonts w:ascii="Calibri" w:eastAsia="Times New Roman" w:hAnsi="Calibri" w:cs="Times New Roman"/>
          <w:color w:val="000000"/>
          <w:lang w:eastAsia="en-IN"/>
        </w:rPr>
        <w:t xml:space="preserve"> that are critical to the delivery of essential services. A recent example that demonstrates this strategic participation was the launch of the 4,000-kilometer undersea cable linking PNG, Solomon Islands and Australia, costing </w:t>
      </w:r>
      <w:r w:rsidR="00800236">
        <w:rPr>
          <w:rFonts w:ascii="Calibri" w:eastAsia="Times New Roman" w:hAnsi="Calibri" w:cs="Times New Roman"/>
          <w:color w:val="000000"/>
          <w:lang w:eastAsia="en-IN"/>
        </w:rPr>
        <w:t>US$</w:t>
      </w:r>
      <w:r w:rsidRPr="00684EA6">
        <w:rPr>
          <w:rFonts w:ascii="Calibri" w:eastAsia="Times New Roman" w:hAnsi="Calibri" w:cs="Times New Roman"/>
          <w:color w:val="000000"/>
          <w:lang w:eastAsia="en-IN"/>
        </w:rPr>
        <w:t xml:space="preserve"> 96 million</w:t>
      </w:r>
      <w:r>
        <w:rPr>
          <w:rFonts w:ascii="Calibri" w:eastAsia="Times New Roman" w:hAnsi="Calibri" w:cs="Times New Roman"/>
          <w:color w:val="000000"/>
          <w:lang w:eastAsia="en-IN"/>
        </w:rPr>
        <w:t>.</w:t>
      </w:r>
      <w:r w:rsidRPr="007E2005">
        <w:rPr>
          <w:rFonts w:eastAsia="Lato" w:cs="Lato"/>
          <w:vertAlign w:val="superscript"/>
          <w:lang w:eastAsia="en-IN"/>
        </w:rPr>
        <w:footnoteReference w:id="108"/>
      </w:r>
      <w:r w:rsidRPr="00684EA6">
        <w:rPr>
          <w:rFonts w:ascii="Calibri" w:eastAsia="Times New Roman" w:hAnsi="Calibri" w:cs="Times New Roman"/>
          <w:color w:val="000000"/>
          <w:lang w:eastAsia="en-IN"/>
        </w:rPr>
        <w:t xml:space="preserve"> that is expected to boost international connectivity and provide high-speed telecommunications capacity to both PNG and Solomon Islands. Australia financed the project with grant-based modalities. With the ability to deploy </w:t>
      </w:r>
      <w:r>
        <w:rPr>
          <w:rFonts w:ascii="Calibri" w:eastAsia="Times New Roman" w:hAnsi="Calibri" w:cs="Times New Roman"/>
          <w:color w:val="000000"/>
          <w:lang w:eastAsia="en-IN"/>
        </w:rPr>
        <w:t>NGF</w:t>
      </w:r>
      <w:r w:rsidRPr="00684EA6">
        <w:rPr>
          <w:rFonts w:ascii="Calibri" w:eastAsia="Times New Roman" w:hAnsi="Calibri" w:cs="Times New Roman"/>
          <w:color w:val="000000"/>
          <w:lang w:eastAsia="en-IN"/>
        </w:rPr>
        <w:t xml:space="preserve">, Australia would have been able to better leverage its very scarce grant finance with concessional capital, and, as a creditor or part owner, would have been positioned to have a greater say in ongoing operations. </w:t>
      </w:r>
    </w:p>
    <w:p w14:paraId="2E674EAB" w14:textId="77777777" w:rsidR="006B593E" w:rsidRPr="00684EA6" w:rsidRDefault="006B593E" w:rsidP="006B593E">
      <w:pPr>
        <w:pStyle w:val="ListParagraph"/>
        <w:numPr>
          <w:ilvl w:val="0"/>
          <w:numId w:val="43"/>
        </w:numPr>
        <w:tabs>
          <w:tab w:val="left" w:pos="360"/>
          <w:tab w:val="left" w:pos="540"/>
        </w:tabs>
        <w:spacing w:before="120" w:after="120" w:line="240" w:lineRule="auto"/>
        <w:ind w:left="0" w:right="602" w:firstLine="0"/>
        <w:contextualSpacing w:val="0"/>
        <w:jc w:val="both"/>
        <w:rPr>
          <w:rFonts w:ascii="Calibri" w:eastAsia="Times New Roman" w:hAnsi="Calibri" w:cs="Times New Roman"/>
          <w:color w:val="000000"/>
          <w:lang w:eastAsia="en-IN"/>
        </w:rPr>
      </w:pPr>
      <w:r w:rsidRPr="00684EA6">
        <w:rPr>
          <w:rFonts w:ascii="Calibri" w:eastAsia="Times New Roman" w:hAnsi="Calibri" w:cs="Times New Roman"/>
          <w:color w:val="000000"/>
          <w:lang w:eastAsia="en-IN"/>
        </w:rPr>
        <w:t xml:space="preserve">This point was reinforced by private investors—in particular, by domestic superannuation funds and commercial banks such as ANZ. They noted that Australia has credibility within the PNG context to provide high-quality technical advice to the government </w:t>
      </w:r>
      <w:proofErr w:type="gramStart"/>
      <w:r w:rsidRPr="00684EA6">
        <w:rPr>
          <w:rFonts w:ascii="Calibri" w:eastAsia="Times New Roman" w:hAnsi="Calibri" w:cs="Times New Roman"/>
          <w:color w:val="000000"/>
          <w:lang w:eastAsia="en-IN"/>
        </w:rPr>
        <w:t>in order to</w:t>
      </w:r>
      <w:proofErr w:type="gramEnd"/>
      <w:r w:rsidRPr="00684EA6">
        <w:rPr>
          <w:rFonts w:ascii="Calibri" w:eastAsia="Times New Roman" w:hAnsi="Calibri" w:cs="Times New Roman"/>
          <w:color w:val="000000"/>
          <w:lang w:eastAsia="en-IN"/>
        </w:rPr>
        <w:t xml:space="preserve"> improve the design and operation of major projects and initiatives. </w:t>
      </w:r>
      <w:r>
        <w:rPr>
          <w:rFonts w:ascii="Calibri" w:eastAsia="Times New Roman" w:hAnsi="Calibri" w:cs="Times New Roman"/>
          <w:color w:val="000000"/>
          <w:lang w:eastAsia="en-IN"/>
        </w:rPr>
        <w:t>NGF</w:t>
      </w:r>
      <w:r w:rsidRPr="00684EA6">
        <w:rPr>
          <w:rFonts w:ascii="Calibri" w:eastAsia="Times New Roman" w:hAnsi="Calibri" w:cs="Times New Roman"/>
          <w:color w:val="000000"/>
          <w:lang w:eastAsia="en-IN"/>
        </w:rPr>
        <w:t xml:space="preserve"> would enable Australia to have that much more influence on a specific project as well as mitigate risk for private investors, allowing them to participate in projects that otherwise would not meet their standards for creditworthiness. Interviews with private investors revealed a strong appetite for Australia to play the role of setting up funds and investment structures that can provide other investors with the confidence to co-invest. </w:t>
      </w:r>
      <w:r w:rsidRPr="00684EA6">
        <w:rPr>
          <w:rFonts w:ascii="Calibri" w:eastAsia="Times New Roman" w:hAnsi="Calibri" w:cs="Times New Roman"/>
          <w:lang w:eastAsia="en-IN"/>
        </w:rPr>
        <w:t>Australian Super</w:t>
      </w:r>
      <w:r w:rsidRPr="00684EA6">
        <w:rPr>
          <w:rFonts w:ascii="Calibri" w:eastAsia="Times New Roman" w:hAnsi="Calibri" w:cs="Times New Roman"/>
          <w:color w:val="000000"/>
          <w:lang w:eastAsia="en-IN"/>
        </w:rPr>
        <w:t xml:space="preserve"> appears </w:t>
      </w:r>
      <w:r w:rsidRPr="00684EA6">
        <w:rPr>
          <w:rFonts w:ascii="Calibri" w:eastAsia="Times New Roman" w:hAnsi="Calibri" w:cs="Times New Roman"/>
          <w:lang w:eastAsia="en-IN"/>
        </w:rPr>
        <w:t xml:space="preserve">to be a </w:t>
      </w:r>
      <w:r w:rsidRPr="00684EA6">
        <w:rPr>
          <w:rFonts w:ascii="Calibri" w:eastAsia="Times New Roman" w:hAnsi="Calibri" w:cs="Times New Roman"/>
          <w:color w:val="000000"/>
          <w:lang w:eastAsia="en-IN"/>
        </w:rPr>
        <w:t>promising superannuation fund for the effo</w:t>
      </w:r>
      <w:r w:rsidRPr="00684EA6">
        <w:rPr>
          <w:rFonts w:ascii="Calibri" w:eastAsia="Times New Roman" w:hAnsi="Calibri" w:cs="Times New Roman"/>
          <w:lang w:eastAsia="en-IN"/>
        </w:rPr>
        <w:t>rt—however, no firm proposals have been submitted, and no financial opportunities have been concretely identified.</w:t>
      </w:r>
    </w:p>
    <w:p w14:paraId="4C41BFED" w14:textId="77777777" w:rsidR="006B593E" w:rsidRPr="00684EA6" w:rsidRDefault="006B593E" w:rsidP="006B593E">
      <w:pPr>
        <w:pStyle w:val="ListParagraph"/>
        <w:numPr>
          <w:ilvl w:val="0"/>
          <w:numId w:val="43"/>
        </w:numPr>
        <w:tabs>
          <w:tab w:val="left" w:pos="360"/>
          <w:tab w:val="left" w:pos="540"/>
        </w:tabs>
        <w:spacing w:before="120" w:after="120" w:line="240" w:lineRule="auto"/>
        <w:ind w:left="0" w:right="602" w:firstLine="0"/>
        <w:contextualSpacing w:val="0"/>
        <w:jc w:val="both"/>
        <w:rPr>
          <w:rFonts w:ascii="Calibri" w:eastAsia="Times New Roman" w:hAnsi="Calibri" w:cs="Times New Roman"/>
          <w:color w:val="000000"/>
          <w:lang w:eastAsia="en-IN"/>
        </w:rPr>
      </w:pPr>
      <w:r w:rsidRPr="00684EA6">
        <w:rPr>
          <w:rFonts w:ascii="Calibri" w:eastAsia="Times New Roman" w:hAnsi="Calibri" w:cs="Times New Roman"/>
          <w:b/>
          <w:color w:val="000000"/>
          <w:lang w:eastAsia="en-IN"/>
        </w:rPr>
        <w:t xml:space="preserve">The need for capable partners for the financing and delivery of major projects is particularly important </w:t>
      </w:r>
      <w:proofErr w:type="gramStart"/>
      <w:r w:rsidRPr="00684EA6">
        <w:rPr>
          <w:rFonts w:ascii="Calibri" w:eastAsia="Times New Roman" w:hAnsi="Calibri" w:cs="Times New Roman"/>
          <w:b/>
          <w:color w:val="000000"/>
          <w:lang w:eastAsia="en-IN"/>
        </w:rPr>
        <w:t>in light of</w:t>
      </w:r>
      <w:proofErr w:type="gramEnd"/>
      <w:r w:rsidRPr="00684EA6">
        <w:rPr>
          <w:rFonts w:ascii="Calibri" w:eastAsia="Times New Roman" w:hAnsi="Calibri" w:cs="Times New Roman"/>
          <w:b/>
          <w:color w:val="000000"/>
          <w:lang w:eastAsia="en-IN"/>
        </w:rPr>
        <w:t xml:space="preserve"> the fiscal situation in PNG</w:t>
      </w:r>
      <w:r w:rsidRPr="00684EA6">
        <w:rPr>
          <w:rFonts w:ascii="Calibri" w:eastAsia="Times New Roman" w:hAnsi="Calibri" w:cs="Times New Roman"/>
          <w:color w:val="000000"/>
          <w:lang w:eastAsia="en-IN"/>
        </w:rPr>
        <w:t>. Debt-to-GDP ratios are approaching legislative caps established in the Fiscal Responsibility Act and are likely to increase if accounting rules are enforced that would recognise the debt on the balance sheets of the SOEs</w:t>
      </w:r>
      <w:r>
        <w:rPr>
          <w:rFonts w:ascii="Calibri" w:eastAsia="Times New Roman" w:hAnsi="Calibri" w:cs="Times New Roman"/>
          <w:color w:val="000000"/>
          <w:lang w:eastAsia="en-IN"/>
        </w:rPr>
        <w:t>.</w:t>
      </w:r>
      <w:r w:rsidRPr="007E2005">
        <w:rPr>
          <w:rFonts w:eastAsia="Lato" w:cs="Lato"/>
          <w:vertAlign w:val="superscript"/>
          <w:lang w:eastAsia="en-IN"/>
        </w:rPr>
        <w:footnoteReference w:id="109"/>
      </w:r>
      <w:r w:rsidRPr="00684EA6">
        <w:rPr>
          <w:rFonts w:ascii="Calibri" w:eastAsia="Times New Roman" w:hAnsi="Calibri" w:cs="Times New Roman"/>
          <w:color w:val="000000"/>
          <w:lang w:eastAsia="en-IN"/>
        </w:rPr>
        <w:t xml:space="preserve"> Australia’s strategic interests </w:t>
      </w:r>
      <w:r w:rsidRPr="00684EA6">
        <w:rPr>
          <w:rFonts w:ascii="Calibri" w:eastAsia="Times New Roman" w:hAnsi="Calibri" w:cs="Times New Roman"/>
          <w:lang w:eastAsia="en-IN"/>
        </w:rPr>
        <w:t xml:space="preserve">may </w:t>
      </w:r>
      <w:r w:rsidRPr="00684EA6">
        <w:rPr>
          <w:rFonts w:ascii="Calibri" w:eastAsia="Times New Roman" w:hAnsi="Calibri" w:cs="Times New Roman"/>
          <w:color w:val="000000"/>
          <w:lang w:eastAsia="en-IN"/>
        </w:rPr>
        <w:t xml:space="preserve">be </w:t>
      </w:r>
      <w:r w:rsidRPr="00684EA6">
        <w:rPr>
          <w:rFonts w:ascii="Calibri" w:eastAsia="Times New Roman" w:hAnsi="Calibri" w:cs="Times New Roman"/>
          <w:lang w:eastAsia="en-IN"/>
        </w:rPr>
        <w:t xml:space="preserve">best </w:t>
      </w:r>
      <w:r w:rsidRPr="00684EA6">
        <w:rPr>
          <w:rFonts w:ascii="Calibri" w:eastAsia="Times New Roman" w:hAnsi="Calibri" w:cs="Times New Roman"/>
          <w:color w:val="000000"/>
          <w:lang w:eastAsia="en-IN"/>
        </w:rPr>
        <w:t xml:space="preserve">served by exercising greater influence to ensure that projects involving new debt in PNG are of high quality and likely to succeed. </w:t>
      </w:r>
    </w:p>
    <w:p w14:paraId="116CBDB8" w14:textId="77777777" w:rsidR="006B593E" w:rsidRPr="00E93CCB" w:rsidRDefault="006B593E" w:rsidP="006B593E">
      <w:pPr>
        <w:pStyle w:val="ListParagraph"/>
        <w:numPr>
          <w:ilvl w:val="0"/>
          <w:numId w:val="43"/>
        </w:numPr>
        <w:tabs>
          <w:tab w:val="left" w:pos="360"/>
          <w:tab w:val="left" w:pos="540"/>
        </w:tabs>
        <w:spacing w:before="120" w:after="120" w:line="240" w:lineRule="auto"/>
        <w:ind w:left="0" w:right="602" w:firstLine="0"/>
        <w:contextualSpacing w:val="0"/>
        <w:jc w:val="both"/>
        <w:rPr>
          <w:rFonts w:ascii="Calibri" w:eastAsia="Times New Roman" w:hAnsi="Calibri" w:cs="Times New Roman"/>
          <w:color w:val="000000"/>
          <w:lang w:eastAsia="en-IN"/>
        </w:rPr>
      </w:pPr>
      <w:r>
        <w:rPr>
          <w:rFonts w:ascii="Calibri" w:eastAsia="Times New Roman" w:hAnsi="Calibri" w:cs="Times New Roman"/>
          <w:b/>
          <w:color w:val="000000"/>
          <w:lang w:eastAsia="en-IN"/>
        </w:rPr>
        <w:t>MDBs</w:t>
      </w:r>
      <w:r w:rsidRPr="00684EA6">
        <w:rPr>
          <w:rFonts w:ascii="Calibri" w:eastAsia="Times New Roman" w:hAnsi="Calibri" w:cs="Times New Roman"/>
          <w:b/>
          <w:color w:val="000000"/>
          <w:lang w:eastAsia="en-IN"/>
        </w:rPr>
        <w:t xml:space="preserve"> are critical partners, yet there are limitations to Australia’s ability to advance its strategic interests by working through them. </w:t>
      </w:r>
      <w:r w:rsidRPr="00684EA6">
        <w:rPr>
          <w:rFonts w:ascii="Calibri" w:eastAsia="Times New Roman" w:hAnsi="Calibri" w:cs="Times New Roman"/>
          <w:color w:val="000000"/>
          <w:lang w:eastAsia="en-IN"/>
        </w:rPr>
        <w:t xml:space="preserve">MDBs play an important role in realising development outcomes in the region, and Australia should continue to strengthen and deepen these partnerships to achieve maximum impact. However, while </w:t>
      </w:r>
      <w:r>
        <w:rPr>
          <w:rFonts w:ascii="Calibri" w:eastAsia="MS Mincho" w:hAnsi="Calibri" w:cs="Times New Roman"/>
          <w:lang w:val="en-US"/>
        </w:rPr>
        <w:t>Australia</w:t>
      </w:r>
      <w:r w:rsidRPr="00684EA6">
        <w:rPr>
          <w:rFonts w:ascii="Calibri" w:eastAsia="Times New Roman" w:hAnsi="Calibri" w:cs="Times New Roman"/>
          <w:color w:val="000000"/>
          <w:lang w:eastAsia="en-IN"/>
        </w:rPr>
        <w:t xml:space="preserve"> collaborates frequently and effectively with MDBs within PNG, these institutions are independently governed and pursue projects according to strategic priorities and incentives that do not always </w:t>
      </w:r>
      <w:r w:rsidRPr="00684EA6">
        <w:rPr>
          <w:rFonts w:ascii="Calibri" w:eastAsia="Times New Roman" w:hAnsi="Calibri" w:cs="Times New Roman"/>
          <w:color w:val="000000"/>
          <w:lang w:eastAsia="en-IN"/>
        </w:rPr>
        <w:lastRenderedPageBreak/>
        <w:t>align with those of Australia. MDBs have also been the target of criticism for being overly bureaucratic, risk-averse, and slow to act</w:t>
      </w:r>
      <w:r>
        <w:rPr>
          <w:rFonts w:ascii="Calibri" w:eastAsia="Times New Roman" w:hAnsi="Calibri" w:cs="Times New Roman"/>
          <w:color w:val="000000"/>
          <w:lang w:eastAsia="en-IN"/>
        </w:rPr>
        <w:t>.</w:t>
      </w:r>
      <w:r w:rsidRPr="007E2005">
        <w:rPr>
          <w:rFonts w:eastAsia="Lato" w:cs="Lato"/>
          <w:vertAlign w:val="superscript"/>
          <w:lang w:eastAsia="en-IN"/>
        </w:rPr>
        <w:footnoteReference w:id="110"/>
      </w:r>
      <w:r w:rsidRPr="00684EA6">
        <w:rPr>
          <w:rFonts w:ascii="Calibri" w:eastAsia="Times New Roman" w:hAnsi="Calibri" w:cs="Times New Roman"/>
          <w:color w:val="000000"/>
          <w:lang w:eastAsia="en-IN"/>
        </w:rPr>
        <w:t xml:space="preserve"> In some circumstances, MDBs follow procurement processes that do not meet appropriate due diligence standards and therefore enable poor contracting and monitoring. When projects involving collaboration with MDBs go well, Australia does not benefit reputationally, despite providing funding and project support. W</w:t>
      </w:r>
      <w:r w:rsidRPr="00684EA6">
        <w:rPr>
          <w:rFonts w:ascii="Calibri" w:eastAsia="Times New Roman" w:hAnsi="Calibri" w:cs="Times New Roman"/>
          <w:lang w:eastAsia="en-IN"/>
        </w:rPr>
        <w:t>hen projects go poorly, Australia retains a reputational risk.</w:t>
      </w:r>
    </w:p>
    <w:p w14:paraId="13B6EE6C" w14:textId="77777777" w:rsidR="006B593E" w:rsidRPr="00684EA6" w:rsidRDefault="006B593E" w:rsidP="006B593E">
      <w:pPr>
        <w:pStyle w:val="ListParagraph"/>
        <w:tabs>
          <w:tab w:val="left" w:pos="360"/>
          <w:tab w:val="left" w:pos="540"/>
        </w:tabs>
        <w:spacing w:before="120" w:after="120" w:line="240" w:lineRule="auto"/>
        <w:ind w:left="0" w:right="602"/>
        <w:contextualSpacing w:val="0"/>
        <w:jc w:val="both"/>
        <w:rPr>
          <w:rFonts w:ascii="Calibri" w:eastAsia="Times New Roman" w:hAnsi="Calibri" w:cs="Times New Roman"/>
          <w:color w:val="000000"/>
          <w:lang w:eastAsia="en-IN"/>
        </w:rPr>
      </w:pPr>
    </w:p>
    <w:p w14:paraId="6BE57003" w14:textId="77777777" w:rsidR="006B593E" w:rsidRPr="00E93CCB" w:rsidRDefault="006B593E" w:rsidP="006B593E">
      <w:pPr>
        <w:widowControl w:val="0"/>
        <w:numPr>
          <w:ilvl w:val="0"/>
          <w:numId w:val="42"/>
        </w:numPr>
        <w:tabs>
          <w:tab w:val="left" w:pos="360"/>
          <w:tab w:val="left" w:pos="540"/>
        </w:tabs>
        <w:spacing w:before="120" w:after="120" w:line="240" w:lineRule="auto"/>
        <w:ind w:right="602"/>
        <w:jc w:val="both"/>
        <w:outlineLvl w:val="0"/>
        <w:rPr>
          <w:rFonts w:ascii="Calibri" w:eastAsia="Times New Roman" w:hAnsi="Calibri" w:cs="Times New Roman"/>
          <w:b/>
          <w:smallCaps/>
          <w:color w:val="4F81BD"/>
          <w:sz w:val="32"/>
          <w:szCs w:val="32"/>
          <w:lang w:eastAsia="en-IN"/>
        </w:rPr>
      </w:pPr>
      <w:r w:rsidRPr="00E93CCB">
        <w:rPr>
          <w:rFonts w:ascii="Calibri" w:eastAsia="Times New Roman" w:hAnsi="Calibri" w:cs="Times New Roman"/>
          <w:b/>
          <w:smallCaps/>
          <w:color w:val="4F81BD"/>
          <w:sz w:val="32"/>
          <w:szCs w:val="32"/>
          <w:lang w:eastAsia="en-IN"/>
        </w:rPr>
        <w:t>Demand Analysis</w:t>
      </w:r>
    </w:p>
    <w:p w14:paraId="5C070791" w14:textId="77777777" w:rsidR="006B593E" w:rsidRPr="00684EA6" w:rsidRDefault="006B593E" w:rsidP="006B593E">
      <w:pPr>
        <w:tabs>
          <w:tab w:val="left" w:pos="360"/>
          <w:tab w:val="left" w:pos="540"/>
        </w:tabs>
        <w:spacing w:before="120" w:after="120" w:line="240" w:lineRule="auto"/>
        <w:ind w:right="602"/>
        <w:jc w:val="both"/>
        <w:rPr>
          <w:rFonts w:ascii="Calibri" w:eastAsia="Times New Roman" w:hAnsi="Calibri" w:cs="Times New Roman"/>
          <w:color w:val="C0504D"/>
          <w:sz w:val="24"/>
          <w:szCs w:val="24"/>
          <w:lang w:eastAsia="en-IN"/>
        </w:rPr>
      </w:pPr>
      <w:r w:rsidRPr="00684EA6">
        <w:rPr>
          <w:rFonts w:ascii="Calibri" w:eastAsia="Times New Roman" w:hAnsi="Calibri" w:cs="Times New Roman"/>
          <w:color w:val="C0504D"/>
          <w:sz w:val="24"/>
          <w:szCs w:val="24"/>
          <w:lang w:eastAsia="en-IN"/>
        </w:rPr>
        <w:t>Overall Commentary</w:t>
      </w:r>
    </w:p>
    <w:p w14:paraId="14BA35D9" w14:textId="77777777" w:rsidR="006B593E" w:rsidRPr="00684EA6" w:rsidRDefault="006B593E" w:rsidP="006B593E">
      <w:pPr>
        <w:pStyle w:val="ListParagraph"/>
        <w:numPr>
          <w:ilvl w:val="0"/>
          <w:numId w:val="43"/>
        </w:numPr>
        <w:tabs>
          <w:tab w:val="left" w:pos="360"/>
          <w:tab w:val="left" w:pos="540"/>
        </w:tabs>
        <w:spacing w:before="120" w:after="120" w:line="240" w:lineRule="auto"/>
        <w:ind w:left="0" w:right="602" w:firstLine="0"/>
        <w:contextualSpacing w:val="0"/>
        <w:jc w:val="both"/>
        <w:rPr>
          <w:rFonts w:ascii="Calibri" w:eastAsia="Times New Roman" w:hAnsi="Calibri" w:cs="Times New Roman"/>
          <w:color w:val="000000"/>
          <w:lang w:eastAsia="en-IN"/>
        </w:rPr>
      </w:pPr>
      <w:r w:rsidRPr="00684EA6">
        <w:rPr>
          <w:rFonts w:ascii="Calibri" w:eastAsia="Times New Roman" w:hAnsi="Calibri" w:cs="Times New Roman"/>
          <w:b/>
          <w:lang w:eastAsia="en-IN"/>
        </w:rPr>
        <w:t xml:space="preserve">There is evidence of strong demand for </w:t>
      </w:r>
      <w:r>
        <w:rPr>
          <w:rFonts w:ascii="Calibri" w:eastAsia="Times New Roman" w:hAnsi="Calibri" w:cs="Times New Roman"/>
          <w:b/>
          <w:lang w:eastAsia="en-IN"/>
        </w:rPr>
        <w:t>NGF</w:t>
      </w:r>
      <w:r w:rsidRPr="00684EA6">
        <w:rPr>
          <w:rFonts w:ascii="Calibri" w:eastAsia="Times New Roman" w:hAnsi="Calibri" w:cs="Times New Roman"/>
          <w:b/>
          <w:lang w:eastAsia="en-IN"/>
        </w:rPr>
        <w:t xml:space="preserve"> and more innovative use of </w:t>
      </w:r>
      <w:r>
        <w:rPr>
          <w:rFonts w:ascii="Calibri" w:eastAsia="Times New Roman" w:hAnsi="Calibri" w:cs="Times New Roman"/>
          <w:b/>
          <w:lang w:eastAsia="en-IN"/>
        </w:rPr>
        <w:t>NGF</w:t>
      </w:r>
      <w:r w:rsidRPr="00684EA6">
        <w:rPr>
          <w:rFonts w:ascii="Calibri" w:eastAsia="Times New Roman" w:hAnsi="Calibri" w:cs="Times New Roman"/>
          <w:b/>
          <w:lang w:eastAsia="en-IN"/>
        </w:rPr>
        <w:t xml:space="preserve"> alongside the capability to design and deliver effective projects that translate into strong development outcomes.</w:t>
      </w:r>
    </w:p>
    <w:p w14:paraId="46B07616" w14:textId="5A638989" w:rsidR="006B593E" w:rsidRPr="00684EA6" w:rsidRDefault="006B593E" w:rsidP="006B593E">
      <w:pPr>
        <w:pStyle w:val="ListParagraph"/>
        <w:numPr>
          <w:ilvl w:val="0"/>
          <w:numId w:val="43"/>
        </w:numPr>
        <w:tabs>
          <w:tab w:val="left" w:pos="360"/>
          <w:tab w:val="left" w:pos="540"/>
        </w:tabs>
        <w:spacing w:before="120" w:after="120" w:line="240" w:lineRule="auto"/>
        <w:ind w:left="0" w:right="602" w:firstLine="0"/>
        <w:contextualSpacing w:val="0"/>
        <w:jc w:val="both"/>
        <w:rPr>
          <w:rFonts w:ascii="Calibri" w:eastAsia="Times New Roman" w:hAnsi="Calibri" w:cs="Times New Roman"/>
          <w:color w:val="000000"/>
          <w:lang w:eastAsia="en-IN"/>
        </w:rPr>
      </w:pPr>
      <w:r w:rsidRPr="00684EA6">
        <w:rPr>
          <w:rFonts w:ascii="Calibri" w:eastAsia="Times New Roman" w:hAnsi="Calibri" w:cs="Times New Roman"/>
          <w:b/>
          <w:color w:val="000000"/>
          <w:lang w:eastAsia="en-IN"/>
        </w:rPr>
        <w:t xml:space="preserve">While there is strong demand for </w:t>
      </w:r>
      <w:r>
        <w:rPr>
          <w:rFonts w:ascii="Calibri" w:eastAsia="Times New Roman" w:hAnsi="Calibri" w:cs="Times New Roman"/>
          <w:b/>
          <w:color w:val="000000"/>
          <w:lang w:eastAsia="en-IN"/>
        </w:rPr>
        <w:t>NGF</w:t>
      </w:r>
      <w:r w:rsidRPr="00684EA6">
        <w:rPr>
          <w:rFonts w:ascii="Calibri" w:eastAsia="Times New Roman" w:hAnsi="Calibri" w:cs="Times New Roman"/>
          <w:b/>
          <w:color w:val="000000"/>
          <w:lang w:eastAsia="en-IN"/>
        </w:rPr>
        <w:t xml:space="preserve">, PNG faces a larger constraint related to the government’s capacity to develop and implement projects that will translate into tangible development outcomes. </w:t>
      </w:r>
      <w:r w:rsidRPr="00684EA6">
        <w:rPr>
          <w:rFonts w:ascii="Calibri" w:eastAsia="Times New Roman" w:hAnsi="Calibri" w:cs="Times New Roman"/>
          <w:color w:val="000000"/>
          <w:lang w:eastAsia="en-IN"/>
        </w:rPr>
        <w:t xml:space="preserve">The MTDP III notes that draw downs on existing loans reached a low of </w:t>
      </w:r>
      <w:r w:rsidR="00800236">
        <w:rPr>
          <w:rFonts w:ascii="Calibri" w:eastAsia="Times New Roman" w:hAnsi="Calibri" w:cs="Times New Roman"/>
          <w:color w:val="000000"/>
          <w:lang w:eastAsia="en-IN"/>
        </w:rPr>
        <w:t>US$</w:t>
      </w:r>
      <w:r w:rsidRPr="00684EA6">
        <w:rPr>
          <w:rFonts w:ascii="Calibri" w:eastAsia="Times New Roman" w:hAnsi="Calibri" w:cs="Times New Roman"/>
          <w:color w:val="000000"/>
          <w:lang w:eastAsia="en-IN"/>
        </w:rPr>
        <w:t xml:space="preserve"> 88 million in 2017, down from </w:t>
      </w:r>
      <w:r w:rsidR="00800236">
        <w:rPr>
          <w:rFonts w:ascii="Calibri" w:eastAsia="Times New Roman" w:hAnsi="Calibri" w:cs="Times New Roman"/>
          <w:color w:val="000000"/>
          <w:lang w:eastAsia="en-IN"/>
        </w:rPr>
        <w:t>US$</w:t>
      </w:r>
      <w:r w:rsidRPr="00684EA6">
        <w:rPr>
          <w:rFonts w:ascii="Calibri" w:eastAsia="Times New Roman" w:hAnsi="Calibri" w:cs="Times New Roman"/>
          <w:color w:val="000000"/>
          <w:lang w:eastAsia="en-IN"/>
        </w:rPr>
        <w:t xml:space="preserve"> 447 million in 2015. The MTDP highlights two constraints that are driving this slowdown: 1) the shortage of </w:t>
      </w:r>
      <w:proofErr w:type="spellStart"/>
      <w:r w:rsidRPr="00684EA6">
        <w:rPr>
          <w:rFonts w:ascii="Calibri" w:eastAsia="Times New Roman" w:hAnsi="Calibri" w:cs="Times New Roman"/>
          <w:color w:val="000000"/>
          <w:lang w:eastAsia="en-IN"/>
        </w:rPr>
        <w:t>GoPNG</w:t>
      </w:r>
      <w:proofErr w:type="spellEnd"/>
      <w:r w:rsidRPr="00684EA6">
        <w:rPr>
          <w:rFonts w:ascii="Calibri" w:eastAsia="Times New Roman" w:hAnsi="Calibri" w:cs="Times New Roman"/>
          <w:color w:val="000000"/>
          <w:lang w:eastAsia="en-IN"/>
        </w:rPr>
        <w:t xml:space="preserve"> counterpart funding to launch and finance new projects and 2) implementation challenges for existing projects. Indeed, </w:t>
      </w:r>
      <w:r w:rsidR="00800236">
        <w:rPr>
          <w:rFonts w:ascii="Calibri" w:eastAsia="Times New Roman" w:hAnsi="Calibri" w:cs="Times New Roman"/>
          <w:color w:val="000000"/>
          <w:lang w:eastAsia="en-IN"/>
        </w:rPr>
        <w:t>US$</w:t>
      </w:r>
      <w:r w:rsidRPr="00684EA6">
        <w:rPr>
          <w:rFonts w:ascii="Calibri" w:eastAsia="Times New Roman" w:hAnsi="Calibri" w:cs="Times New Roman"/>
          <w:color w:val="000000"/>
          <w:lang w:eastAsia="en-IN"/>
        </w:rPr>
        <w:t xml:space="preserve"> 2.4 billion in loans remain undisbursed due to these key issues</w:t>
      </w:r>
      <w:r>
        <w:rPr>
          <w:rFonts w:ascii="Calibri" w:eastAsia="Times New Roman" w:hAnsi="Calibri" w:cs="Times New Roman"/>
          <w:color w:val="000000"/>
          <w:lang w:eastAsia="en-IN"/>
        </w:rPr>
        <w:t>.</w:t>
      </w:r>
      <w:r w:rsidRPr="007E2005">
        <w:rPr>
          <w:rFonts w:eastAsia="Lato" w:cs="Lato"/>
          <w:vertAlign w:val="superscript"/>
          <w:lang w:eastAsia="en-IN"/>
        </w:rPr>
        <w:footnoteReference w:id="111"/>
      </w:r>
      <w:r w:rsidRPr="00684EA6">
        <w:rPr>
          <w:rFonts w:ascii="Calibri" w:eastAsia="Times New Roman" w:hAnsi="Calibri" w:cs="Times New Roman"/>
          <w:color w:val="000000"/>
          <w:lang w:eastAsia="en-IN"/>
        </w:rPr>
        <w:t xml:space="preserve"> </w:t>
      </w:r>
    </w:p>
    <w:p w14:paraId="7AAF02EE" w14:textId="77777777" w:rsidR="006B593E" w:rsidRPr="00684EA6" w:rsidRDefault="006B593E" w:rsidP="006B593E">
      <w:pPr>
        <w:pStyle w:val="ListParagraph"/>
        <w:numPr>
          <w:ilvl w:val="0"/>
          <w:numId w:val="43"/>
        </w:numPr>
        <w:tabs>
          <w:tab w:val="left" w:pos="360"/>
          <w:tab w:val="left" w:pos="540"/>
        </w:tabs>
        <w:spacing w:before="120" w:after="120" w:line="240" w:lineRule="auto"/>
        <w:ind w:left="0" w:right="602" w:firstLine="0"/>
        <w:contextualSpacing w:val="0"/>
        <w:jc w:val="both"/>
        <w:rPr>
          <w:rFonts w:ascii="Calibri" w:eastAsia="Times New Roman" w:hAnsi="Calibri" w:cs="Times New Roman"/>
          <w:color w:val="000000"/>
          <w:lang w:eastAsia="en-IN"/>
        </w:rPr>
      </w:pPr>
      <w:r w:rsidRPr="00684EA6">
        <w:rPr>
          <w:rFonts w:ascii="Calibri" w:eastAsia="Times New Roman" w:hAnsi="Calibri" w:cs="Times New Roman"/>
          <w:b/>
          <w:color w:val="000000"/>
          <w:lang w:eastAsia="en-IN"/>
        </w:rPr>
        <w:t>Implementation risks abound when working in PNG, requiring highly capable operating partners with strong track records of delivering results in this or a similar business environment.</w:t>
      </w:r>
      <w:r w:rsidRPr="00684EA6">
        <w:rPr>
          <w:rFonts w:ascii="Calibri" w:eastAsia="Times New Roman" w:hAnsi="Calibri" w:cs="Times New Roman"/>
          <w:color w:val="000000"/>
          <w:lang w:eastAsia="en-IN"/>
        </w:rPr>
        <w:t xml:space="preserve"> Australia’s ability to introduce credible international private sector operators, with a heavy representation of Australian corporations, will assist greatly. Companies face difficulties in starting a business, enforcing contracts, trading across borders and resolving insolvency. For instance, it can often take over a year and a half to enforce a contract through PNG’s court system, at the cost of up to 110% of a company’s damage claims—a clear disincentive to push for legal remedy</w:t>
      </w:r>
      <w:r>
        <w:rPr>
          <w:rFonts w:ascii="Calibri" w:eastAsia="Times New Roman" w:hAnsi="Calibri" w:cs="Times New Roman"/>
          <w:color w:val="000000"/>
          <w:lang w:eastAsia="en-IN"/>
        </w:rPr>
        <w:t>.</w:t>
      </w:r>
      <w:r w:rsidRPr="007E2005">
        <w:rPr>
          <w:rFonts w:eastAsia="Lato" w:cs="Lato"/>
          <w:vertAlign w:val="superscript"/>
          <w:lang w:eastAsia="en-IN"/>
        </w:rPr>
        <w:footnoteReference w:id="112"/>
      </w:r>
      <w:r w:rsidRPr="00684EA6">
        <w:rPr>
          <w:rFonts w:ascii="Calibri" w:eastAsia="Times New Roman" w:hAnsi="Calibri" w:cs="Times New Roman"/>
          <w:color w:val="000000"/>
          <w:lang w:eastAsia="en-IN"/>
        </w:rPr>
        <w:t xml:space="preserve"> Other challenges include a regulatory ecosystem characterised by low levels of transparency, poor governance, and a lack of supporting basic infrastructure including transport, electricity and communication, all resulting in high transaction costs for private players.</w:t>
      </w:r>
    </w:p>
    <w:p w14:paraId="2710559B" w14:textId="77777777" w:rsidR="006B593E" w:rsidRPr="007E2005" w:rsidRDefault="006B593E" w:rsidP="006B593E">
      <w:pPr>
        <w:numPr>
          <w:ilvl w:val="0"/>
          <w:numId w:val="43"/>
        </w:numPr>
        <w:tabs>
          <w:tab w:val="left" w:pos="360"/>
          <w:tab w:val="left" w:pos="540"/>
        </w:tabs>
        <w:spacing w:before="120" w:after="120" w:line="240" w:lineRule="auto"/>
        <w:ind w:left="0" w:right="602" w:firstLine="0"/>
        <w:jc w:val="both"/>
        <w:rPr>
          <w:rFonts w:ascii="Calibri" w:eastAsia="Times New Roman" w:hAnsi="Calibri" w:cs="Times New Roman"/>
          <w:color w:val="000000"/>
          <w:lang w:eastAsia="en-IN"/>
        </w:rPr>
      </w:pPr>
      <w:r w:rsidRPr="007E2005">
        <w:rPr>
          <w:rFonts w:ascii="Calibri" w:eastAsia="Times New Roman" w:hAnsi="Calibri" w:cs="Times New Roman"/>
          <w:b/>
          <w:color w:val="000000"/>
          <w:lang w:eastAsia="en-IN"/>
        </w:rPr>
        <w:t xml:space="preserve">Accordingly, the demand for </w:t>
      </w:r>
      <w:r>
        <w:rPr>
          <w:rFonts w:ascii="Calibri" w:eastAsia="Times New Roman" w:hAnsi="Calibri" w:cs="Times New Roman"/>
          <w:b/>
          <w:color w:val="000000"/>
          <w:lang w:eastAsia="en-IN"/>
        </w:rPr>
        <w:t>NGF</w:t>
      </w:r>
      <w:r w:rsidRPr="007E2005">
        <w:rPr>
          <w:rFonts w:ascii="Calibri" w:eastAsia="Times New Roman" w:hAnsi="Calibri" w:cs="Times New Roman"/>
          <w:b/>
          <w:color w:val="000000"/>
          <w:lang w:eastAsia="en-IN"/>
        </w:rPr>
        <w:t xml:space="preserve"> in PNG is not just for new forms of finance, but also for partners with a proven, comprehensive set of capabilities—including project development, financing and contracting with highly capable firms to implement projects. </w:t>
      </w:r>
      <w:r w:rsidRPr="007E2005">
        <w:rPr>
          <w:rFonts w:ascii="Calibri" w:eastAsia="Times New Roman" w:hAnsi="Calibri" w:cs="Times New Roman"/>
          <w:color w:val="000000"/>
          <w:lang w:eastAsia="en-IN"/>
        </w:rPr>
        <w:t xml:space="preserve">Stakeholders across the private and public sectors alike indicated that the key constraint in the market is not financing per se, nor is it the scale of opportunities to work in sectors that deliver both strong financial and development impact. </w:t>
      </w:r>
      <w:r w:rsidRPr="007E2005">
        <w:rPr>
          <w:rFonts w:ascii="Calibri" w:eastAsia="Times New Roman" w:hAnsi="Calibri" w:cs="Times New Roman"/>
          <w:lang w:eastAsia="en-IN"/>
        </w:rPr>
        <w:t xml:space="preserve">One of the </w:t>
      </w:r>
      <w:r w:rsidRPr="007E2005">
        <w:rPr>
          <w:rFonts w:ascii="Calibri" w:eastAsia="Times New Roman" w:hAnsi="Calibri" w:cs="Times New Roman"/>
          <w:color w:val="000000"/>
          <w:lang w:eastAsia="en-IN"/>
        </w:rPr>
        <w:t xml:space="preserve">critical constraints in the market is the actual pipeline of viable, bankable projects—due to a lack of in-country actors who have the necessary long-term time horizons, risk appetite and capability to originate, develop and deliver major investment opportunities. In contrast to </w:t>
      </w:r>
      <w:proofErr w:type="gramStart"/>
      <w:r w:rsidRPr="007E2005">
        <w:rPr>
          <w:rFonts w:ascii="Calibri" w:eastAsia="Times New Roman" w:hAnsi="Calibri" w:cs="Times New Roman"/>
          <w:color w:val="000000"/>
          <w:lang w:eastAsia="en-IN"/>
        </w:rPr>
        <w:t>a number of</w:t>
      </w:r>
      <w:proofErr w:type="gramEnd"/>
      <w:r w:rsidRPr="007E2005">
        <w:rPr>
          <w:rFonts w:ascii="Calibri" w:eastAsia="Times New Roman" w:hAnsi="Calibri" w:cs="Times New Roman"/>
          <w:color w:val="000000"/>
          <w:lang w:eastAsia="en-IN"/>
        </w:rPr>
        <w:t xml:space="preserve"> major bilateral donors, </w:t>
      </w:r>
      <w:r w:rsidRPr="007E2005">
        <w:rPr>
          <w:rFonts w:ascii="Calibri" w:eastAsia="Times New Roman" w:hAnsi="Calibri" w:cs="Times New Roman"/>
          <w:lang w:eastAsia="en-IN"/>
        </w:rPr>
        <w:t xml:space="preserve">certain stakeholders we consulted in </w:t>
      </w:r>
      <w:r w:rsidRPr="007E2005">
        <w:rPr>
          <w:rFonts w:ascii="Calibri" w:eastAsia="Times New Roman" w:hAnsi="Calibri" w:cs="Times New Roman"/>
          <w:color w:val="000000"/>
          <w:lang w:eastAsia="en-IN"/>
        </w:rPr>
        <w:t xml:space="preserve">PNG </w:t>
      </w:r>
      <w:r w:rsidRPr="007E2005">
        <w:rPr>
          <w:rFonts w:ascii="Calibri" w:eastAsia="Times New Roman" w:hAnsi="Calibri" w:cs="Times New Roman"/>
          <w:lang w:eastAsia="en-IN"/>
        </w:rPr>
        <w:t>are</w:t>
      </w:r>
      <w:r w:rsidRPr="007E2005">
        <w:rPr>
          <w:rFonts w:ascii="Calibri" w:eastAsia="Times New Roman" w:hAnsi="Calibri" w:cs="Times New Roman"/>
          <w:color w:val="000000"/>
          <w:lang w:eastAsia="en-IN"/>
        </w:rPr>
        <w:t xml:space="preserve"> looking to partner with financiers who will prioritise working with institutions and employees that are committed to transferring knowledge and capacity to local PNG employees.</w:t>
      </w:r>
      <w:r w:rsidRPr="007E2005">
        <w:rPr>
          <w:rFonts w:ascii="Calibri" w:eastAsia="Lato" w:hAnsi="Calibri" w:cs="Lato"/>
          <w:color w:val="000000"/>
          <w:lang w:eastAsia="en-IN"/>
        </w:rPr>
        <w:t xml:space="preserve"> </w:t>
      </w:r>
      <w:r w:rsidRPr="007E2005">
        <w:rPr>
          <w:rFonts w:ascii="Calibri" w:eastAsia="Times New Roman" w:hAnsi="Calibri" w:cs="Times New Roman"/>
          <w:color w:val="000000"/>
          <w:lang w:eastAsia="en-IN"/>
        </w:rPr>
        <w:t xml:space="preserve">There is also a strong demand for the kind of partner that can </w:t>
      </w:r>
      <w:r w:rsidRPr="007E2005">
        <w:rPr>
          <w:rFonts w:ascii="Calibri" w:eastAsia="Times New Roman" w:hAnsi="Calibri" w:cs="Times New Roman"/>
          <w:color w:val="000000"/>
          <w:lang w:eastAsia="en-IN"/>
        </w:rPr>
        <w:lastRenderedPageBreak/>
        <w:t xml:space="preserve">help support accompanying regulatory reform efforts alongside investment, </w:t>
      </w:r>
      <w:proofErr w:type="gramStart"/>
      <w:r w:rsidRPr="007E2005">
        <w:rPr>
          <w:rFonts w:ascii="Calibri" w:eastAsia="Times New Roman" w:hAnsi="Calibri" w:cs="Times New Roman"/>
          <w:color w:val="000000"/>
          <w:lang w:eastAsia="en-IN"/>
        </w:rPr>
        <w:t>so as to</w:t>
      </w:r>
      <w:proofErr w:type="gramEnd"/>
      <w:r w:rsidRPr="007E2005">
        <w:rPr>
          <w:rFonts w:ascii="Calibri" w:eastAsia="Times New Roman" w:hAnsi="Calibri" w:cs="Times New Roman"/>
          <w:color w:val="000000"/>
          <w:lang w:eastAsia="en-IN"/>
        </w:rPr>
        <w:t xml:space="preserve"> enhance the chances of success of the investments.</w:t>
      </w:r>
    </w:p>
    <w:p w14:paraId="38B0D993" w14:textId="4E35ADCF" w:rsidR="006B593E" w:rsidRPr="007E2005" w:rsidRDefault="006B593E" w:rsidP="006B593E">
      <w:pPr>
        <w:numPr>
          <w:ilvl w:val="0"/>
          <w:numId w:val="43"/>
        </w:numPr>
        <w:tabs>
          <w:tab w:val="left" w:pos="360"/>
          <w:tab w:val="left" w:pos="540"/>
        </w:tabs>
        <w:spacing w:before="120" w:after="120" w:line="240" w:lineRule="auto"/>
        <w:ind w:left="0" w:right="602" w:firstLine="0"/>
        <w:jc w:val="both"/>
        <w:rPr>
          <w:rFonts w:ascii="Calibri" w:eastAsia="Times New Roman" w:hAnsi="Calibri" w:cs="Times New Roman"/>
          <w:color w:val="000000"/>
          <w:lang w:eastAsia="en-IN"/>
        </w:rPr>
      </w:pPr>
      <w:r w:rsidRPr="00F67C79">
        <w:rPr>
          <w:rFonts w:ascii="Calibri" w:eastAsia="MS Mincho" w:hAnsi="Calibri" w:cs="Times New Roman"/>
          <w:b/>
          <w:lang w:val="en-US"/>
        </w:rPr>
        <w:t>Australia</w:t>
      </w:r>
      <w:r w:rsidRPr="007E2005">
        <w:rPr>
          <w:rFonts w:ascii="Calibri" w:eastAsia="Times New Roman" w:hAnsi="Calibri" w:cs="Times New Roman"/>
          <w:b/>
          <w:color w:val="000000"/>
          <w:lang w:eastAsia="en-IN"/>
        </w:rPr>
        <w:t xml:space="preserve"> is already working to address some of these challenges through the Economic and Social Infrastructure</w:t>
      </w:r>
      <w:r>
        <w:rPr>
          <w:rFonts w:ascii="Calibri" w:eastAsia="Times New Roman" w:hAnsi="Calibri" w:cs="Times New Roman"/>
          <w:b/>
          <w:color w:val="000000"/>
          <w:lang w:eastAsia="en-IN"/>
        </w:rPr>
        <w:t xml:space="preserve"> </w:t>
      </w:r>
      <w:r w:rsidR="0073249A">
        <w:rPr>
          <w:rFonts w:ascii="Calibri" w:eastAsia="Times New Roman" w:hAnsi="Calibri" w:cs="Times New Roman"/>
          <w:b/>
          <w:color w:val="000000"/>
          <w:lang w:eastAsia="en-IN"/>
        </w:rPr>
        <w:t>program</w:t>
      </w:r>
      <w:r>
        <w:rPr>
          <w:rFonts w:ascii="Calibri" w:eastAsia="Times New Roman" w:hAnsi="Calibri" w:cs="Times New Roman"/>
          <w:b/>
          <w:color w:val="000000"/>
          <w:lang w:eastAsia="en-IN"/>
        </w:rPr>
        <w:t xml:space="preserve"> </w:t>
      </w:r>
      <w:r w:rsidRPr="007E2005">
        <w:rPr>
          <w:rFonts w:ascii="Calibri" w:eastAsia="Times New Roman" w:hAnsi="Calibri" w:cs="Times New Roman"/>
          <w:b/>
          <w:color w:val="000000"/>
          <w:lang w:eastAsia="en-IN"/>
        </w:rPr>
        <w:t>(ESIP)</w:t>
      </w:r>
      <w:r w:rsidRPr="007E2005">
        <w:rPr>
          <w:rFonts w:ascii="Calibri" w:eastAsia="Times New Roman" w:hAnsi="Calibri" w:cs="Times New Roman"/>
          <w:color w:val="000000"/>
          <w:lang w:eastAsia="en-IN"/>
        </w:rPr>
        <w:t xml:space="preserve">. This eight-year effort seeks to close the infrastructure gap in PNG through addressing shortcomings in public sector capacity, lack of maintenance of existing infrastructure, a challenging overall business environment and the lack of capacity for ensuring that environmental and social safeguards for infrastructure projects are in place. ESIP builds capacity and provides </w:t>
      </w:r>
      <w:r>
        <w:rPr>
          <w:rFonts w:ascii="Calibri" w:eastAsia="Arial" w:hAnsi="Calibri" w:cs="Calibri"/>
          <w:lang w:eastAsia="zh-CN"/>
        </w:rPr>
        <w:t>TA</w:t>
      </w:r>
      <w:r w:rsidRPr="007E2005">
        <w:rPr>
          <w:rFonts w:ascii="Calibri" w:eastAsia="Times New Roman" w:hAnsi="Calibri" w:cs="Times New Roman"/>
          <w:color w:val="000000"/>
          <w:lang w:eastAsia="en-IN"/>
        </w:rPr>
        <w:t xml:space="preserve"> at the project, sector and national levels to deliver regulatory reforms, high-quality sectoral plans and an increase in the number of capital projects being designed, financed and completed. Above and beyond sectoral reform and planning, ESIP aims to support project preparation and is equipped to directly design and implement capital projects, essentially providing a standalone vehicle to support the use of </w:t>
      </w:r>
      <w:r>
        <w:rPr>
          <w:rFonts w:ascii="Calibri" w:eastAsia="Times New Roman" w:hAnsi="Calibri" w:cs="Times New Roman"/>
          <w:color w:val="000000"/>
          <w:lang w:eastAsia="en-IN"/>
        </w:rPr>
        <w:t>NGF</w:t>
      </w:r>
      <w:r w:rsidRPr="007E2005">
        <w:rPr>
          <w:rFonts w:ascii="Calibri" w:eastAsia="Times New Roman" w:hAnsi="Calibri" w:cs="Times New Roman"/>
          <w:color w:val="000000"/>
          <w:lang w:eastAsia="en-IN"/>
        </w:rPr>
        <w:t xml:space="preserve">. This deep involvement in a variety of projects across PNG can serve as a foundation for Australia to become the investor </w:t>
      </w:r>
      <w:r w:rsidRPr="007E2005">
        <w:rPr>
          <w:rFonts w:ascii="Calibri" w:eastAsia="Times New Roman" w:hAnsi="Calibri" w:cs="Times New Roman"/>
          <w:lang w:eastAsia="en-IN"/>
        </w:rPr>
        <w:t xml:space="preserve">that brings a </w:t>
      </w:r>
      <w:r w:rsidRPr="007E2005">
        <w:rPr>
          <w:rFonts w:ascii="Calibri" w:eastAsia="Times New Roman" w:hAnsi="Calibri" w:cs="Times New Roman"/>
          <w:color w:val="000000"/>
          <w:lang w:eastAsia="en-IN"/>
        </w:rPr>
        <w:t xml:space="preserve">full suite of capacities to make high-impact contributions to PNG’s economic and social development. </w:t>
      </w:r>
    </w:p>
    <w:p w14:paraId="7397B411" w14:textId="77777777" w:rsidR="006B593E" w:rsidRPr="007E2005" w:rsidRDefault="006B593E" w:rsidP="006B593E">
      <w:pPr>
        <w:numPr>
          <w:ilvl w:val="0"/>
          <w:numId w:val="43"/>
        </w:numPr>
        <w:tabs>
          <w:tab w:val="left" w:pos="360"/>
          <w:tab w:val="left" w:pos="540"/>
        </w:tabs>
        <w:spacing w:before="120" w:after="120" w:line="240" w:lineRule="auto"/>
        <w:ind w:left="0" w:right="602" w:firstLine="0"/>
        <w:jc w:val="both"/>
        <w:rPr>
          <w:rFonts w:ascii="Calibri" w:eastAsia="Times New Roman" w:hAnsi="Calibri" w:cs="Times New Roman"/>
          <w:color w:val="000000"/>
          <w:lang w:eastAsia="en-IN"/>
        </w:rPr>
      </w:pPr>
      <w:r w:rsidRPr="007E2005">
        <w:rPr>
          <w:rFonts w:ascii="Calibri" w:eastAsia="Times New Roman" w:hAnsi="Calibri" w:cs="Times New Roman"/>
          <w:b/>
          <w:color w:val="000000"/>
          <w:lang w:eastAsia="en-IN"/>
        </w:rPr>
        <w:t xml:space="preserve">Also in high demand are </w:t>
      </w:r>
      <w:r>
        <w:rPr>
          <w:rFonts w:ascii="Calibri" w:eastAsia="Times New Roman" w:hAnsi="Calibri" w:cs="Times New Roman"/>
          <w:b/>
          <w:color w:val="000000"/>
          <w:lang w:eastAsia="en-IN"/>
        </w:rPr>
        <w:t>NGF</w:t>
      </w:r>
      <w:r w:rsidRPr="007E2005">
        <w:rPr>
          <w:rFonts w:ascii="Calibri" w:eastAsia="Times New Roman" w:hAnsi="Calibri" w:cs="Times New Roman"/>
          <w:b/>
          <w:color w:val="000000"/>
          <w:lang w:eastAsia="en-IN"/>
        </w:rPr>
        <w:t xml:space="preserve"> that can help address the foreign exchange shortage</w:t>
      </w:r>
      <w:r w:rsidRPr="007E2005">
        <w:rPr>
          <w:rFonts w:ascii="Calibri" w:eastAsia="Times New Roman" w:hAnsi="Calibri" w:cs="Times New Roman"/>
          <w:color w:val="000000"/>
          <w:lang w:eastAsia="en-IN"/>
        </w:rPr>
        <w:t>. Foreign exchange restrictions are in place as part of measures to stabilise the value of the kina</w:t>
      </w:r>
      <w:r>
        <w:rPr>
          <w:rFonts w:ascii="Calibri" w:eastAsia="Times New Roman" w:hAnsi="Calibri" w:cs="Times New Roman"/>
          <w:color w:val="000000"/>
          <w:lang w:eastAsia="en-IN"/>
        </w:rPr>
        <w:t>.</w:t>
      </w:r>
      <w:r w:rsidRPr="007E2005">
        <w:rPr>
          <w:rFonts w:ascii="Calibri" w:eastAsia="Lato" w:hAnsi="Calibri" w:cs="Lato"/>
          <w:vertAlign w:val="superscript"/>
          <w:lang w:eastAsia="en-IN"/>
        </w:rPr>
        <w:footnoteReference w:id="113"/>
      </w:r>
      <w:r w:rsidRPr="007E2005">
        <w:rPr>
          <w:rFonts w:ascii="Calibri" w:eastAsia="Times New Roman" w:hAnsi="Calibri" w:cs="Times New Roman"/>
          <w:color w:val="000000"/>
          <w:lang w:eastAsia="en-IN"/>
        </w:rPr>
        <w:t xml:space="preserve"> There are now substantial backlogs in processing foreign exchange orders, with wait times estimated between six and 16 weeks</w:t>
      </w:r>
      <w:r>
        <w:rPr>
          <w:rFonts w:ascii="Calibri" w:eastAsia="Times New Roman" w:hAnsi="Calibri" w:cs="Times New Roman"/>
          <w:color w:val="000000"/>
          <w:lang w:eastAsia="en-IN"/>
        </w:rPr>
        <w:t>.</w:t>
      </w:r>
      <w:r w:rsidRPr="007E2005">
        <w:rPr>
          <w:rFonts w:ascii="Calibri" w:eastAsia="Lato" w:hAnsi="Calibri" w:cs="Lato"/>
          <w:vertAlign w:val="superscript"/>
          <w:lang w:eastAsia="en-IN"/>
        </w:rPr>
        <w:footnoteReference w:id="114"/>
      </w:r>
      <w:r w:rsidRPr="007E2005">
        <w:rPr>
          <w:rFonts w:ascii="Calibri" w:eastAsia="Times New Roman" w:hAnsi="Calibri" w:cs="Times New Roman"/>
          <w:color w:val="000000"/>
          <w:lang w:eastAsia="en-IN"/>
        </w:rPr>
        <w:t xml:space="preserve"> In a recent survey, 60% of CEOs indicated that this shortage is “the major obstacle, more than double any other challenge</w:t>
      </w:r>
      <w:r>
        <w:rPr>
          <w:rFonts w:ascii="Calibri" w:eastAsia="Times New Roman" w:hAnsi="Calibri" w:cs="Times New Roman"/>
          <w:color w:val="000000"/>
          <w:lang w:eastAsia="en-IN"/>
        </w:rPr>
        <w:t>.</w:t>
      </w:r>
      <w:r w:rsidRPr="007E2005">
        <w:rPr>
          <w:rFonts w:ascii="Calibri" w:eastAsia="Times New Roman" w:hAnsi="Calibri" w:cs="Times New Roman"/>
          <w:color w:val="000000"/>
          <w:lang w:eastAsia="en-IN"/>
        </w:rPr>
        <w:t>”</w:t>
      </w:r>
      <w:r w:rsidRPr="007E2005">
        <w:rPr>
          <w:rFonts w:ascii="Calibri" w:eastAsia="Lato" w:hAnsi="Calibri" w:cs="Lato"/>
          <w:vertAlign w:val="superscript"/>
          <w:lang w:eastAsia="en-IN"/>
        </w:rPr>
        <w:footnoteReference w:id="115"/>
      </w:r>
      <w:r w:rsidRPr="007E2005">
        <w:rPr>
          <w:rFonts w:ascii="Calibri" w:eastAsia="Times New Roman" w:hAnsi="Calibri" w:cs="Times New Roman"/>
          <w:color w:val="000000"/>
          <w:lang w:eastAsia="en-IN"/>
        </w:rPr>
        <w:t xml:space="preserve"> Currency swaps that would enable improved access to foreign reserves are among the instruments that Australia could consider as part of its NGF offerings for PNG.</w:t>
      </w:r>
    </w:p>
    <w:p w14:paraId="1DE3DDF3" w14:textId="77777777" w:rsidR="006B593E" w:rsidRPr="00684EA6" w:rsidRDefault="006B593E" w:rsidP="006B593E">
      <w:pPr>
        <w:tabs>
          <w:tab w:val="left" w:pos="360"/>
          <w:tab w:val="left" w:pos="540"/>
        </w:tabs>
        <w:spacing w:before="120" w:after="120" w:line="240" w:lineRule="auto"/>
        <w:ind w:right="602"/>
        <w:jc w:val="both"/>
        <w:rPr>
          <w:rFonts w:ascii="Calibri" w:eastAsia="Times New Roman" w:hAnsi="Calibri" w:cs="Times New Roman"/>
          <w:color w:val="C0504D"/>
          <w:sz w:val="24"/>
          <w:szCs w:val="24"/>
          <w:lang w:eastAsia="en-IN"/>
        </w:rPr>
      </w:pPr>
      <w:r w:rsidRPr="00684EA6">
        <w:rPr>
          <w:rFonts w:ascii="Calibri" w:eastAsia="Times New Roman" w:hAnsi="Calibri" w:cs="Times New Roman"/>
          <w:color w:val="C0504D"/>
          <w:sz w:val="24"/>
          <w:szCs w:val="24"/>
          <w:lang w:eastAsia="en-IN"/>
        </w:rPr>
        <w:t>Sector Analysis</w:t>
      </w:r>
    </w:p>
    <w:p w14:paraId="49C66ACD" w14:textId="77777777" w:rsidR="006B593E" w:rsidRPr="007E2005" w:rsidRDefault="006B593E" w:rsidP="006B593E">
      <w:pPr>
        <w:numPr>
          <w:ilvl w:val="0"/>
          <w:numId w:val="43"/>
        </w:numPr>
        <w:tabs>
          <w:tab w:val="left" w:pos="360"/>
          <w:tab w:val="left" w:pos="540"/>
        </w:tabs>
        <w:spacing w:before="120" w:after="120" w:line="240" w:lineRule="auto"/>
        <w:ind w:left="0" w:right="602" w:firstLine="0"/>
        <w:jc w:val="both"/>
        <w:rPr>
          <w:rFonts w:ascii="Calibri" w:eastAsia="Times New Roman" w:hAnsi="Calibri" w:cs="Times New Roman"/>
          <w:color w:val="000000"/>
          <w:lang w:eastAsia="en-IN"/>
        </w:rPr>
      </w:pPr>
      <w:r w:rsidRPr="007E2005">
        <w:rPr>
          <w:rFonts w:ascii="Calibri" w:eastAsia="Times New Roman" w:hAnsi="Calibri" w:cs="Times New Roman"/>
          <w:b/>
          <w:color w:val="000000"/>
          <w:lang w:eastAsia="en-IN"/>
        </w:rPr>
        <w:t xml:space="preserve">With this context in mind, the analysis that follows provides an overview of expected demand for </w:t>
      </w:r>
      <w:r>
        <w:rPr>
          <w:rFonts w:ascii="Calibri" w:eastAsia="Times New Roman" w:hAnsi="Calibri" w:cs="Times New Roman"/>
          <w:b/>
          <w:color w:val="000000"/>
          <w:lang w:eastAsia="en-IN"/>
        </w:rPr>
        <w:t>NGF</w:t>
      </w:r>
      <w:r w:rsidRPr="007E2005">
        <w:rPr>
          <w:rFonts w:ascii="Calibri" w:eastAsia="Times New Roman" w:hAnsi="Calibri" w:cs="Times New Roman"/>
          <w:b/>
          <w:color w:val="000000"/>
          <w:lang w:eastAsia="en-IN"/>
        </w:rPr>
        <w:t xml:space="preserve"> over the next 3</w:t>
      </w:r>
      <w:r>
        <w:rPr>
          <w:rFonts w:ascii="Calibri" w:eastAsia="Times New Roman" w:hAnsi="Calibri" w:cs="Times New Roman"/>
          <w:b/>
          <w:color w:val="000000"/>
          <w:lang w:eastAsia="en-IN"/>
        </w:rPr>
        <w:t>—</w:t>
      </w:r>
      <w:r w:rsidRPr="007E2005">
        <w:rPr>
          <w:rFonts w:ascii="Calibri" w:eastAsia="Times New Roman" w:hAnsi="Calibri" w:cs="Times New Roman"/>
          <w:b/>
          <w:color w:val="000000"/>
          <w:lang w:eastAsia="en-IN"/>
        </w:rPr>
        <w:t xml:space="preserve">5 years, by instrument and by sector, </w:t>
      </w:r>
      <w:r w:rsidRPr="007E2005">
        <w:rPr>
          <w:rFonts w:ascii="Calibri" w:eastAsia="Times New Roman" w:hAnsi="Calibri" w:cs="Times New Roman"/>
          <w:color w:val="000000"/>
          <w:lang w:eastAsia="en-IN"/>
        </w:rPr>
        <w:t xml:space="preserve">with particular emphasis on the opportunities in which Australia could feasibly participate over this </w:t>
      </w:r>
      <w:proofErr w:type="gramStart"/>
      <w:r w:rsidRPr="007E2005">
        <w:rPr>
          <w:rFonts w:ascii="Calibri" w:eastAsia="Times New Roman" w:hAnsi="Calibri" w:cs="Times New Roman"/>
          <w:color w:val="000000"/>
          <w:lang w:eastAsia="en-IN"/>
        </w:rPr>
        <w:t>time period</w:t>
      </w:r>
      <w:proofErr w:type="gramEnd"/>
      <w:r w:rsidRPr="007E2005">
        <w:rPr>
          <w:rFonts w:ascii="Calibri" w:eastAsia="Times New Roman" w:hAnsi="Calibri" w:cs="Times New Roman"/>
          <w:color w:val="000000"/>
          <w:lang w:eastAsia="en-IN"/>
        </w:rPr>
        <w:t xml:space="preserve"> should it introduce </w:t>
      </w:r>
      <w:r>
        <w:rPr>
          <w:rFonts w:ascii="Calibri" w:eastAsia="Times New Roman" w:hAnsi="Calibri" w:cs="Times New Roman"/>
          <w:color w:val="000000"/>
          <w:lang w:eastAsia="en-IN"/>
        </w:rPr>
        <w:t>NGF</w:t>
      </w:r>
      <w:r w:rsidRPr="007E2005">
        <w:rPr>
          <w:rFonts w:ascii="Calibri" w:eastAsia="Times New Roman" w:hAnsi="Calibri" w:cs="Times New Roman"/>
          <w:color w:val="000000"/>
          <w:lang w:eastAsia="en-IN"/>
        </w:rPr>
        <w:t xml:space="preserve">. This analysis is informed by </w:t>
      </w:r>
      <w:proofErr w:type="spellStart"/>
      <w:r w:rsidRPr="007E2005">
        <w:rPr>
          <w:rFonts w:ascii="Calibri" w:eastAsia="Times New Roman" w:hAnsi="Calibri" w:cs="Times New Roman"/>
          <w:color w:val="000000"/>
          <w:lang w:eastAsia="en-IN"/>
        </w:rPr>
        <w:t>GoPNG’s</w:t>
      </w:r>
      <w:proofErr w:type="spellEnd"/>
      <w:r w:rsidRPr="007E2005">
        <w:rPr>
          <w:rFonts w:ascii="Calibri" w:eastAsia="Times New Roman" w:hAnsi="Calibri" w:cs="Times New Roman"/>
          <w:color w:val="000000"/>
          <w:lang w:eastAsia="en-IN"/>
        </w:rPr>
        <w:t xml:space="preserve"> stated priorities, the current priorities of Australia’s engagement with PNG and consultations with a range of public and private sector leaders. However, it is important to note that demand for </w:t>
      </w:r>
      <w:r>
        <w:rPr>
          <w:rFonts w:ascii="Calibri" w:eastAsia="Times New Roman" w:hAnsi="Calibri" w:cs="Times New Roman"/>
          <w:color w:val="000000"/>
          <w:lang w:eastAsia="en-IN"/>
        </w:rPr>
        <w:t>NGF</w:t>
      </w:r>
      <w:r w:rsidRPr="007E2005">
        <w:rPr>
          <w:rFonts w:ascii="Calibri" w:eastAsia="Times New Roman" w:hAnsi="Calibri" w:cs="Times New Roman"/>
          <w:color w:val="000000"/>
          <w:lang w:eastAsia="en-IN"/>
        </w:rPr>
        <w:t xml:space="preserve"> in PNG is likely to be highly dynamic over time. </w:t>
      </w:r>
      <w:r w:rsidRPr="007E2005">
        <w:rPr>
          <w:rFonts w:ascii="Calibri" w:eastAsia="Times New Roman" w:hAnsi="Calibri" w:cs="Times New Roman"/>
          <w:b/>
          <w:color w:val="000000"/>
          <w:lang w:eastAsia="en-IN"/>
        </w:rPr>
        <w:t xml:space="preserve">This analysis is purely representative in nature and should not, in any way, be interpreted as investment advice on the suitability of specific transactions. </w:t>
      </w:r>
    </w:p>
    <w:p w14:paraId="5BFC04CD" w14:textId="77777777" w:rsidR="006B593E" w:rsidRPr="007E2005" w:rsidRDefault="006B593E" w:rsidP="006B593E">
      <w:pPr>
        <w:numPr>
          <w:ilvl w:val="0"/>
          <w:numId w:val="43"/>
        </w:numPr>
        <w:tabs>
          <w:tab w:val="left" w:pos="360"/>
          <w:tab w:val="left" w:pos="540"/>
        </w:tabs>
        <w:spacing w:before="120" w:after="120" w:line="240" w:lineRule="auto"/>
        <w:ind w:left="0" w:right="602" w:firstLine="0"/>
        <w:jc w:val="both"/>
        <w:rPr>
          <w:rFonts w:ascii="Calibri" w:eastAsia="Times New Roman" w:hAnsi="Calibri" w:cs="Times New Roman"/>
          <w:color w:val="000000"/>
          <w:lang w:eastAsia="en-IN"/>
        </w:rPr>
      </w:pPr>
      <w:r w:rsidRPr="007E2005">
        <w:rPr>
          <w:rFonts w:ascii="Calibri" w:eastAsia="Times New Roman" w:hAnsi="Calibri" w:cs="Times New Roman"/>
          <w:b/>
          <w:color w:val="000000"/>
          <w:lang w:eastAsia="en-IN"/>
        </w:rPr>
        <w:t>The key finding of this analysis is that, over the next 3</w:t>
      </w:r>
      <w:r>
        <w:rPr>
          <w:rFonts w:ascii="Calibri" w:eastAsia="Times New Roman" w:hAnsi="Calibri" w:cs="Times New Roman"/>
          <w:b/>
          <w:color w:val="000000"/>
          <w:lang w:eastAsia="en-IN"/>
        </w:rPr>
        <w:t>—</w:t>
      </w:r>
      <w:r w:rsidRPr="007E2005">
        <w:rPr>
          <w:rFonts w:ascii="Calibri" w:eastAsia="Times New Roman" w:hAnsi="Calibri" w:cs="Times New Roman"/>
          <w:b/>
          <w:color w:val="000000"/>
          <w:lang w:eastAsia="en-IN"/>
        </w:rPr>
        <w:t xml:space="preserve">5 years, across a range of sectors, a suite of feasible opportunities exists for Australia to deploy </w:t>
      </w:r>
      <w:r>
        <w:rPr>
          <w:rFonts w:ascii="Calibri" w:eastAsia="Times New Roman" w:hAnsi="Calibri" w:cs="Times New Roman"/>
          <w:b/>
          <w:color w:val="000000"/>
          <w:lang w:eastAsia="en-IN"/>
        </w:rPr>
        <w:t>NGF</w:t>
      </w:r>
      <w:r w:rsidRPr="007E2005">
        <w:rPr>
          <w:rFonts w:ascii="Calibri" w:eastAsia="Times New Roman" w:hAnsi="Calibri" w:cs="Times New Roman"/>
          <w:b/>
          <w:color w:val="000000"/>
          <w:lang w:eastAsia="en-IN"/>
        </w:rPr>
        <w:t xml:space="preserve"> that—if successfully implemented—would deliver outcomes that are in the shared interests of </w:t>
      </w:r>
      <w:proofErr w:type="spellStart"/>
      <w:r w:rsidRPr="007E2005">
        <w:rPr>
          <w:rFonts w:ascii="Calibri" w:eastAsia="Times New Roman" w:hAnsi="Calibri" w:cs="Times New Roman"/>
          <w:b/>
          <w:color w:val="000000"/>
          <w:lang w:eastAsia="en-IN"/>
        </w:rPr>
        <w:t>GoPNG</w:t>
      </w:r>
      <w:proofErr w:type="spellEnd"/>
      <w:r w:rsidRPr="007E2005">
        <w:rPr>
          <w:rFonts w:ascii="Calibri" w:eastAsia="Times New Roman" w:hAnsi="Calibri" w:cs="Times New Roman"/>
          <w:b/>
          <w:color w:val="000000"/>
          <w:lang w:eastAsia="en-IN"/>
        </w:rPr>
        <w:t xml:space="preserve"> and Australia</w:t>
      </w:r>
      <w:r w:rsidRPr="007E2005">
        <w:rPr>
          <w:rFonts w:ascii="Calibri" w:eastAsia="Times New Roman" w:hAnsi="Calibri" w:cs="Times New Roman"/>
          <w:color w:val="000000"/>
          <w:lang w:eastAsia="en-IN"/>
        </w:rPr>
        <w:t xml:space="preserve">. While the time frame of 3–5 years also accounts for project delivery, there are opportunities that are actionable in the nearer term and could be financed much sooner if Australia were to have access to </w:t>
      </w:r>
      <w:r>
        <w:rPr>
          <w:rFonts w:ascii="Calibri" w:eastAsia="Times New Roman" w:hAnsi="Calibri" w:cs="Times New Roman"/>
          <w:color w:val="000000"/>
          <w:lang w:eastAsia="en-IN"/>
        </w:rPr>
        <w:t>NGF</w:t>
      </w:r>
      <w:r w:rsidRPr="007E2005">
        <w:rPr>
          <w:rFonts w:ascii="Calibri" w:eastAsia="Times New Roman" w:hAnsi="Calibri" w:cs="Times New Roman"/>
          <w:color w:val="000000"/>
          <w:lang w:eastAsia="en-IN"/>
        </w:rPr>
        <w:t>. These opportunities would, of course, also involve a range of financial, governance and operational risks that would need to be carefully managed. This demand should also be tempered by the limited revenue potential of some projects, and by the government’s and SOEs</w:t>
      </w:r>
      <w:r w:rsidRPr="007E2005">
        <w:rPr>
          <w:rFonts w:ascii="Calibri" w:eastAsia="Times New Roman" w:hAnsi="Calibri" w:cs="Times New Roman"/>
          <w:lang w:eastAsia="en-IN"/>
        </w:rPr>
        <w:t>’</w:t>
      </w:r>
      <w:r w:rsidRPr="007E2005">
        <w:rPr>
          <w:rFonts w:ascii="Calibri" w:eastAsia="Times New Roman" w:hAnsi="Calibri" w:cs="Times New Roman"/>
          <w:color w:val="000000"/>
          <w:lang w:eastAsia="en-IN"/>
        </w:rPr>
        <w:t xml:space="preserve"> limited ability to service existing debt obligations.</w:t>
      </w:r>
    </w:p>
    <w:p w14:paraId="6E510D81" w14:textId="77777777" w:rsidR="006B593E" w:rsidRPr="007E2005" w:rsidRDefault="006B593E" w:rsidP="006B593E">
      <w:pPr>
        <w:numPr>
          <w:ilvl w:val="0"/>
          <w:numId w:val="43"/>
        </w:numPr>
        <w:tabs>
          <w:tab w:val="left" w:pos="360"/>
          <w:tab w:val="left" w:pos="540"/>
        </w:tabs>
        <w:spacing w:before="120" w:after="120" w:line="240" w:lineRule="auto"/>
        <w:ind w:left="0" w:right="602" w:firstLine="0"/>
        <w:jc w:val="both"/>
        <w:rPr>
          <w:rFonts w:ascii="Calibri" w:eastAsia="Times New Roman" w:hAnsi="Calibri" w:cs="Times New Roman"/>
          <w:color w:val="000000"/>
          <w:lang w:eastAsia="en-IN"/>
        </w:rPr>
      </w:pPr>
      <w:r w:rsidRPr="007E2005">
        <w:rPr>
          <w:rFonts w:ascii="Calibri" w:eastAsia="Times New Roman" w:hAnsi="Calibri" w:cs="Times New Roman"/>
          <w:b/>
          <w:color w:val="000000"/>
          <w:lang w:eastAsia="en-IN"/>
        </w:rPr>
        <w:lastRenderedPageBreak/>
        <w:t xml:space="preserve">The strongest near-term demand for </w:t>
      </w:r>
      <w:r>
        <w:rPr>
          <w:rFonts w:ascii="Calibri" w:eastAsia="Times New Roman" w:hAnsi="Calibri" w:cs="Times New Roman"/>
          <w:b/>
          <w:color w:val="000000"/>
          <w:lang w:eastAsia="en-IN"/>
        </w:rPr>
        <w:t>NGF</w:t>
      </w:r>
      <w:r w:rsidRPr="007E2005">
        <w:rPr>
          <w:rFonts w:ascii="Calibri" w:eastAsia="Times New Roman" w:hAnsi="Calibri" w:cs="Times New Roman"/>
          <w:b/>
          <w:color w:val="000000"/>
          <w:lang w:eastAsia="en-IN"/>
        </w:rPr>
        <w:t xml:space="preserve"> is in the sectors of transportation (notably airports and wharves), energy, telecommunications and water</w:t>
      </w:r>
      <w:r w:rsidRPr="007E2005">
        <w:rPr>
          <w:rFonts w:ascii="Calibri" w:eastAsia="Times New Roman" w:hAnsi="Calibri" w:cs="Times New Roman"/>
          <w:color w:val="000000"/>
          <w:lang w:eastAsia="en-IN"/>
        </w:rPr>
        <w:t>. Three of these sectors—energy, telecommunications and water—are the focus of Australia’s Economic and Social Infrastructure Program</w:t>
      </w:r>
      <w:r>
        <w:rPr>
          <w:rFonts w:ascii="Calibri" w:eastAsia="Times New Roman" w:hAnsi="Calibri" w:cs="Times New Roman"/>
          <w:color w:val="000000"/>
          <w:lang w:eastAsia="en-IN"/>
        </w:rPr>
        <w:t>.</w:t>
      </w:r>
      <w:r w:rsidRPr="007E2005">
        <w:rPr>
          <w:rFonts w:ascii="Calibri" w:eastAsia="Lato" w:hAnsi="Calibri" w:cs="Lato"/>
          <w:vertAlign w:val="superscript"/>
          <w:lang w:eastAsia="en-IN"/>
        </w:rPr>
        <w:footnoteReference w:id="116"/>
      </w:r>
      <w:r w:rsidRPr="007E2005">
        <w:rPr>
          <w:rFonts w:ascii="Calibri" w:eastAsia="Times New Roman" w:hAnsi="Calibri" w:cs="Times New Roman"/>
          <w:color w:val="000000"/>
          <w:lang w:eastAsia="en-IN"/>
        </w:rPr>
        <w:t xml:space="preserve"> While health, education and small business finance are critical to PNG’s growth, these sectors demonstrate less demand for </w:t>
      </w:r>
      <w:r>
        <w:rPr>
          <w:rFonts w:ascii="Calibri" w:eastAsia="Times New Roman" w:hAnsi="Calibri" w:cs="Times New Roman"/>
          <w:color w:val="000000"/>
          <w:lang w:eastAsia="en-IN"/>
        </w:rPr>
        <w:t>NGF</w:t>
      </w:r>
      <w:r w:rsidRPr="007E2005">
        <w:rPr>
          <w:rFonts w:ascii="Calibri" w:eastAsia="Times New Roman" w:hAnsi="Calibri" w:cs="Times New Roman"/>
          <w:color w:val="000000"/>
          <w:lang w:eastAsia="en-IN"/>
        </w:rPr>
        <w:t xml:space="preserve"> in the near term; for these sectors, grant-based mechanisms will continue to play an important role. Moreover, working in these sectors would require a cross-cutting approach that meets </w:t>
      </w:r>
      <w:r>
        <w:rPr>
          <w:rFonts w:ascii="Calibri" w:eastAsia="MS Mincho" w:hAnsi="Calibri" w:cs="Times New Roman"/>
          <w:lang w:val="en-US"/>
        </w:rPr>
        <w:t>Australia’s</w:t>
      </w:r>
      <w:r w:rsidRPr="007E2005">
        <w:rPr>
          <w:rFonts w:ascii="Calibri" w:eastAsia="Times New Roman" w:hAnsi="Calibri" w:cs="Times New Roman"/>
          <w:color w:val="000000"/>
          <w:lang w:eastAsia="en-IN"/>
        </w:rPr>
        <w:t xml:space="preserve"> rigorous development impact guidelines.</w:t>
      </w:r>
    </w:p>
    <w:p w14:paraId="367FF052" w14:textId="7C59ACF2" w:rsidR="006B593E" w:rsidRPr="007E2005" w:rsidRDefault="006B593E" w:rsidP="006B593E">
      <w:pPr>
        <w:numPr>
          <w:ilvl w:val="0"/>
          <w:numId w:val="43"/>
        </w:numPr>
        <w:tabs>
          <w:tab w:val="left" w:pos="360"/>
          <w:tab w:val="left" w:pos="540"/>
        </w:tabs>
        <w:spacing w:before="120" w:after="120" w:line="240" w:lineRule="auto"/>
        <w:ind w:left="0" w:right="602" w:firstLine="0"/>
        <w:jc w:val="both"/>
        <w:rPr>
          <w:rFonts w:ascii="Calibri" w:eastAsia="Times New Roman" w:hAnsi="Calibri" w:cs="Times New Roman"/>
          <w:color w:val="000000"/>
          <w:lang w:eastAsia="en-IN"/>
        </w:rPr>
      </w:pPr>
      <w:r w:rsidRPr="007E2005">
        <w:rPr>
          <w:rFonts w:ascii="Calibri" w:eastAsia="Times New Roman" w:hAnsi="Calibri" w:cs="Times New Roman"/>
          <w:b/>
          <w:color w:val="000000"/>
          <w:lang w:eastAsia="en-IN"/>
        </w:rPr>
        <w:t xml:space="preserve">It is important to note that Australia is already active in financing or providing </w:t>
      </w:r>
      <w:r w:rsidRPr="00280E0D">
        <w:rPr>
          <w:rFonts w:ascii="Calibri" w:eastAsia="Arial" w:hAnsi="Calibri" w:cs="Calibri"/>
          <w:b/>
          <w:lang w:eastAsia="zh-CN"/>
        </w:rPr>
        <w:t>TA</w:t>
      </w:r>
      <w:r w:rsidRPr="007E2005">
        <w:rPr>
          <w:rFonts w:ascii="Calibri" w:eastAsia="Times New Roman" w:hAnsi="Calibri" w:cs="Times New Roman"/>
          <w:b/>
          <w:color w:val="000000"/>
          <w:lang w:eastAsia="en-IN"/>
        </w:rPr>
        <w:t xml:space="preserve"> to projects in many of these sectors</w:t>
      </w:r>
      <w:r w:rsidRPr="007E2005">
        <w:rPr>
          <w:rFonts w:ascii="Calibri" w:eastAsia="Times New Roman" w:hAnsi="Calibri" w:cs="Times New Roman"/>
          <w:color w:val="000000"/>
          <w:lang w:eastAsia="en-IN"/>
        </w:rPr>
        <w:t xml:space="preserve">. Australia has a long track record of providing </w:t>
      </w:r>
      <w:r>
        <w:rPr>
          <w:rFonts w:ascii="Calibri" w:eastAsia="Arial" w:hAnsi="Calibri" w:cs="Calibri"/>
          <w:lang w:eastAsia="zh-CN"/>
        </w:rPr>
        <w:t>TA</w:t>
      </w:r>
      <w:r w:rsidRPr="007E2005">
        <w:rPr>
          <w:rFonts w:ascii="Calibri" w:eastAsia="Times New Roman" w:hAnsi="Calibri" w:cs="Times New Roman"/>
          <w:color w:val="000000"/>
          <w:lang w:eastAsia="en-IN"/>
        </w:rPr>
        <w:t xml:space="preserve"> and financing for infrastructure projects in each of these sectors in PNG. In the transport sector, for example, Australia is financing an AU</w:t>
      </w:r>
      <w:r w:rsidRPr="007E2005">
        <w:rPr>
          <w:rFonts w:ascii="Calibri" w:eastAsia="Times New Roman" w:hAnsi="Calibri" w:cs="Times New Roman"/>
          <w:lang w:eastAsia="en-IN"/>
        </w:rPr>
        <w:t>D</w:t>
      </w:r>
      <w:r w:rsidRPr="007E2005">
        <w:rPr>
          <w:rFonts w:ascii="Calibri" w:eastAsia="Times New Roman" w:hAnsi="Calibri" w:cs="Times New Roman"/>
          <w:color w:val="000000"/>
          <w:lang w:eastAsia="en-IN"/>
        </w:rPr>
        <w:t xml:space="preserve"> 350 million Australia Transport Sector support</w:t>
      </w:r>
      <w:r>
        <w:rPr>
          <w:rFonts w:ascii="Calibri" w:eastAsia="Times New Roman" w:hAnsi="Calibri" w:cs="Times New Roman"/>
          <w:color w:val="000000"/>
          <w:lang w:eastAsia="en-IN"/>
        </w:rPr>
        <w:t xml:space="preserve"> </w:t>
      </w:r>
      <w:r w:rsidR="0073249A">
        <w:rPr>
          <w:rFonts w:ascii="Calibri" w:eastAsia="Times New Roman" w:hAnsi="Calibri" w:cs="Times New Roman"/>
          <w:color w:val="000000"/>
          <w:lang w:eastAsia="en-IN"/>
        </w:rPr>
        <w:t>program</w:t>
      </w:r>
      <w:r>
        <w:rPr>
          <w:rFonts w:ascii="Calibri" w:eastAsia="Times New Roman" w:hAnsi="Calibri" w:cs="Times New Roman"/>
          <w:color w:val="000000"/>
          <w:lang w:eastAsia="en-IN"/>
        </w:rPr>
        <w:t xml:space="preserve"> </w:t>
      </w:r>
      <w:r w:rsidRPr="007E2005">
        <w:rPr>
          <w:rFonts w:ascii="Calibri" w:eastAsia="Times New Roman" w:hAnsi="Calibri" w:cs="Times New Roman"/>
          <w:color w:val="000000"/>
          <w:lang w:eastAsia="en-IN"/>
        </w:rPr>
        <w:t xml:space="preserve">using grants. In telecommunications, the Australian telecommunication company </w:t>
      </w:r>
      <w:proofErr w:type="spellStart"/>
      <w:r w:rsidRPr="007E2005">
        <w:rPr>
          <w:rFonts w:ascii="Calibri" w:eastAsia="Times New Roman" w:hAnsi="Calibri" w:cs="Times New Roman"/>
          <w:color w:val="000000"/>
          <w:lang w:eastAsia="en-IN"/>
        </w:rPr>
        <w:t>Vocus</w:t>
      </w:r>
      <w:proofErr w:type="spellEnd"/>
      <w:r w:rsidRPr="007E2005">
        <w:rPr>
          <w:rFonts w:ascii="Calibri" w:eastAsia="Times New Roman" w:hAnsi="Calibri" w:cs="Times New Roman"/>
          <w:color w:val="000000"/>
          <w:lang w:eastAsia="en-IN"/>
        </w:rPr>
        <w:t xml:space="preserve"> Group </w:t>
      </w:r>
      <w:r w:rsidRPr="007E2005">
        <w:rPr>
          <w:rFonts w:ascii="Calibri" w:eastAsia="Times New Roman" w:hAnsi="Calibri" w:cs="Times New Roman"/>
          <w:lang w:eastAsia="en-IN"/>
        </w:rPr>
        <w:t>Limited will deliver the</w:t>
      </w:r>
      <w:r w:rsidRPr="007E2005">
        <w:rPr>
          <w:rFonts w:ascii="Calibri" w:eastAsia="Times New Roman" w:hAnsi="Calibri" w:cs="Times New Roman"/>
          <w:color w:val="000000"/>
          <w:lang w:eastAsia="en-IN"/>
        </w:rPr>
        <w:t xml:space="preserve"> Coral Sea underwater cable project, with majority</w:t>
      </w:r>
      <w:r w:rsidRPr="007E2005">
        <w:rPr>
          <w:rFonts w:ascii="Calibri" w:eastAsia="Times New Roman" w:hAnsi="Calibri" w:cs="Times New Roman"/>
          <w:lang w:eastAsia="en-IN"/>
        </w:rPr>
        <w:t xml:space="preserve"> </w:t>
      </w:r>
      <w:r w:rsidRPr="007E2005">
        <w:rPr>
          <w:rFonts w:ascii="Calibri" w:eastAsia="Times New Roman" w:hAnsi="Calibri" w:cs="Times New Roman"/>
          <w:color w:val="000000"/>
          <w:lang w:eastAsia="en-IN"/>
        </w:rPr>
        <w:t>financing from A</w:t>
      </w:r>
      <w:r w:rsidRPr="007E2005">
        <w:rPr>
          <w:rFonts w:ascii="Calibri" w:eastAsia="Times New Roman" w:hAnsi="Calibri" w:cs="Times New Roman"/>
          <w:lang w:eastAsia="en-IN"/>
        </w:rPr>
        <w:t>ustralia and financial co-contribution from PNG and Solomon Islands</w:t>
      </w:r>
      <w:r>
        <w:rPr>
          <w:rFonts w:ascii="Calibri" w:eastAsia="Times New Roman" w:hAnsi="Calibri" w:cs="Times New Roman"/>
          <w:lang w:eastAsia="en-IN"/>
        </w:rPr>
        <w:t>.</w:t>
      </w:r>
      <w:r w:rsidRPr="007E2005">
        <w:rPr>
          <w:rFonts w:ascii="Calibri" w:eastAsia="Lato" w:hAnsi="Calibri" w:cs="Lato"/>
          <w:vertAlign w:val="superscript"/>
          <w:lang w:eastAsia="en-IN"/>
        </w:rPr>
        <w:footnoteReference w:id="117"/>
      </w:r>
      <w:r w:rsidRPr="007E2005">
        <w:rPr>
          <w:rFonts w:ascii="Calibri" w:eastAsia="Times New Roman" w:hAnsi="Calibri" w:cs="Times New Roman"/>
          <w:color w:val="000000"/>
          <w:lang w:eastAsia="en-IN"/>
        </w:rPr>
        <w:t xml:space="preserve"> In health and education, Australia has financed the construction of facilities such as the ANGAU hospital and buildings at the University of </w:t>
      </w:r>
      <w:r>
        <w:rPr>
          <w:rFonts w:ascii="Calibri" w:eastAsia="Times New Roman" w:hAnsi="Calibri" w:cs="Times New Roman"/>
          <w:color w:val="000000"/>
          <w:lang w:eastAsia="en-IN"/>
        </w:rPr>
        <w:t>PNG</w:t>
      </w:r>
      <w:r w:rsidRPr="007E2005">
        <w:rPr>
          <w:rFonts w:ascii="Calibri" w:eastAsia="Times New Roman" w:hAnsi="Calibri" w:cs="Times New Roman"/>
          <w:color w:val="000000"/>
          <w:lang w:eastAsia="en-IN"/>
        </w:rPr>
        <w:t xml:space="preserve">. Australia has also provided technical advisory services to the </w:t>
      </w:r>
      <w:proofErr w:type="spellStart"/>
      <w:r>
        <w:rPr>
          <w:rFonts w:ascii="Calibri" w:eastAsia="Times New Roman" w:hAnsi="Calibri" w:cs="Times New Roman"/>
          <w:color w:val="000000"/>
          <w:lang w:eastAsia="en-IN"/>
        </w:rPr>
        <w:t>Go</w:t>
      </w:r>
      <w:r w:rsidRPr="007E2005">
        <w:rPr>
          <w:rFonts w:ascii="Calibri" w:eastAsia="Times New Roman" w:hAnsi="Calibri" w:cs="Times New Roman"/>
          <w:color w:val="000000"/>
          <w:lang w:eastAsia="en-IN"/>
        </w:rPr>
        <w:t>PNG</w:t>
      </w:r>
      <w:proofErr w:type="spellEnd"/>
      <w:r w:rsidRPr="007E2005">
        <w:rPr>
          <w:rFonts w:ascii="Calibri" w:eastAsia="Times New Roman" w:hAnsi="Calibri" w:cs="Times New Roman"/>
          <w:color w:val="000000"/>
          <w:lang w:eastAsia="en-IN"/>
        </w:rPr>
        <w:t xml:space="preserve"> on key sectoral planning and specific projects in the energy, water and telecommunications sectors.  </w:t>
      </w:r>
    </w:p>
    <w:p w14:paraId="65334757" w14:textId="77777777" w:rsidR="006B593E" w:rsidRPr="007E2005" w:rsidRDefault="006B593E" w:rsidP="006B593E">
      <w:pPr>
        <w:numPr>
          <w:ilvl w:val="0"/>
          <w:numId w:val="43"/>
        </w:numPr>
        <w:tabs>
          <w:tab w:val="left" w:pos="360"/>
          <w:tab w:val="left" w:pos="540"/>
        </w:tabs>
        <w:spacing w:before="120" w:after="120" w:line="240" w:lineRule="auto"/>
        <w:ind w:left="0" w:right="602" w:firstLine="0"/>
        <w:jc w:val="both"/>
        <w:rPr>
          <w:rFonts w:ascii="Calibri" w:eastAsia="Times New Roman" w:hAnsi="Calibri" w:cs="Times New Roman"/>
          <w:color w:val="000000"/>
          <w:lang w:eastAsia="en-IN"/>
        </w:rPr>
      </w:pPr>
      <w:r w:rsidRPr="007E2005">
        <w:rPr>
          <w:rFonts w:ascii="Calibri" w:eastAsia="Times New Roman" w:hAnsi="Calibri" w:cs="Times New Roman"/>
          <w:b/>
          <w:color w:val="000000"/>
          <w:lang w:eastAsia="en-IN"/>
        </w:rPr>
        <w:t xml:space="preserve">Accordingly, the demand for </w:t>
      </w:r>
      <w:r>
        <w:rPr>
          <w:rFonts w:ascii="Calibri" w:eastAsia="Times New Roman" w:hAnsi="Calibri" w:cs="Times New Roman"/>
          <w:b/>
          <w:color w:val="000000"/>
          <w:lang w:eastAsia="en-IN"/>
        </w:rPr>
        <w:t>NGF</w:t>
      </w:r>
      <w:r w:rsidRPr="007E2005">
        <w:rPr>
          <w:rFonts w:ascii="Calibri" w:eastAsia="Times New Roman" w:hAnsi="Calibri" w:cs="Times New Roman"/>
          <w:b/>
          <w:color w:val="000000"/>
          <w:lang w:eastAsia="en-IN"/>
        </w:rPr>
        <w:t xml:space="preserve"> is premised on the imperative for Australia to play a much more catalytic role in each of these sectors as part of a broader effort to modernise and mature its relationship with the </w:t>
      </w:r>
      <w:proofErr w:type="spellStart"/>
      <w:r w:rsidRPr="007E2005">
        <w:rPr>
          <w:rFonts w:ascii="Calibri" w:eastAsia="Times New Roman" w:hAnsi="Calibri" w:cs="Times New Roman"/>
          <w:b/>
          <w:color w:val="000000"/>
          <w:lang w:eastAsia="en-IN"/>
        </w:rPr>
        <w:t>GoPNG</w:t>
      </w:r>
      <w:proofErr w:type="spellEnd"/>
      <w:r w:rsidRPr="007E2005">
        <w:rPr>
          <w:rFonts w:ascii="Calibri" w:eastAsia="Times New Roman" w:hAnsi="Calibri" w:cs="Times New Roman"/>
          <w:color w:val="000000"/>
          <w:lang w:eastAsia="en-IN"/>
        </w:rPr>
        <w:t xml:space="preserve">. </w:t>
      </w:r>
      <w:r>
        <w:rPr>
          <w:rFonts w:ascii="Calibri" w:eastAsia="Times New Roman" w:hAnsi="Calibri" w:cs="Times New Roman"/>
          <w:color w:val="000000"/>
          <w:lang w:eastAsia="en-IN"/>
        </w:rPr>
        <w:t>NGF</w:t>
      </w:r>
      <w:r w:rsidRPr="007E2005">
        <w:rPr>
          <w:rFonts w:ascii="Calibri" w:eastAsia="Times New Roman" w:hAnsi="Calibri" w:cs="Times New Roman"/>
          <w:color w:val="000000"/>
          <w:lang w:eastAsia="en-IN"/>
        </w:rPr>
        <w:t xml:space="preserve">—particularly concessional finance and risk-sharing instruments—would enable Australia to amplify the scale of its financial contributions to a level that is commensurate with the opportunities and needs within PNG. In this context, </w:t>
      </w:r>
      <w:r w:rsidRPr="007E2005">
        <w:rPr>
          <w:rFonts w:ascii="Calibri" w:eastAsia="Times New Roman" w:hAnsi="Calibri" w:cs="Times New Roman"/>
          <w:lang w:eastAsia="en-IN"/>
        </w:rPr>
        <w:t>p</w:t>
      </w:r>
      <w:r w:rsidRPr="007E2005">
        <w:rPr>
          <w:rFonts w:ascii="Calibri" w:eastAsia="Times New Roman" w:hAnsi="Calibri" w:cs="Times New Roman"/>
          <w:color w:val="000000"/>
          <w:lang w:eastAsia="en-IN"/>
        </w:rPr>
        <w:t>ositioning itself as a financial principal, rather than just an advisor, would also afford Australia greater rights and privileges to influence the transparency, governance and quality of project design and implementation efforts—</w:t>
      </w:r>
      <w:r w:rsidRPr="007E2005">
        <w:rPr>
          <w:rFonts w:ascii="Calibri" w:eastAsia="Times New Roman" w:hAnsi="Calibri" w:cs="Times New Roman"/>
          <w:lang w:eastAsia="en-IN"/>
        </w:rPr>
        <w:t>especially</w:t>
      </w:r>
      <w:r w:rsidRPr="007E2005">
        <w:rPr>
          <w:rFonts w:ascii="Calibri" w:eastAsia="Times New Roman" w:hAnsi="Calibri" w:cs="Times New Roman"/>
          <w:color w:val="000000"/>
          <w:lang w:eastAsia="en-IN"/>
        </w:rPr>
        <w:t xml:space="preserve"> when compared to a </w:t>
      </w:r>
      <w:r w:rsidRPr="007E2005">
        <w:rPr>
          <w:rFonts w:ascii="Calibri" w:eastAsia="Times New Roman" w:hAnsi="Calibri" w:cs="Times New Roman"/>
          <w:lang w:eastAsia="en-IN"/>
        </w:rPr>
        <w:t>context wherein grants cannot holistically address PNG’s needs, and therefore cannot provide Australia the same level of influence</w:t>
      </w:r>
      <w:r w:rsidRPr="007E2005">
        <w:rPr>
          <w:rFonts w:ascii="Calibri" w:eastAsia="Times New Roman" w:hAnsi="Calibri" w:cs="Times New Roman"/>
          <w:color w:val="000000"/>
          <w:lang w:eastAsia="en-IN"/>
        </w:rPr>
        <w:t xml:space="preserve">.  </w:t>
      </w:r>
    </w:p>
    <w:p w14:paraId="7B44AE5E" w14:textId="77777777" w:rsidR="006B593E" w:rsidRPr="00684EA6" w:rsidRDefault="006B593E" w:rsidP="00E84878">
      <w:pPr>
        <w:pStyle w:val="Heading2"/>
        <w:rPr>
          <w:lang w:eastAsia="en-IN"/>
        </w:rPr>
      </w:pPr>
      <w:r w:rsidRPr="00684EA6">
        <w:rPr>
          <w:lang w:eastAsia="en-IN"/>
        </w:rPr>
        <w:t xml:space="preserve">Demand for </w:t>
      </w:r>
      <w:r>
        <w:rPr>
          <w:lang w:eastAsia="en-IN"/>
        </w:rPr>
        <w:t>NGF</w:t>
      </w:r>
      <w:r w:rsidRPr="00684EA6">
        <w:rPr>
          <w:lang w:eastAsia="en-IN"/>
        </w:rPr>
        <w:t xml:space="preserve"> in the Transport Sector</w:t>
      </w:r>
      <w:r w:rsidRPr="007E2005">
        <w:rPr>
          <w:vertAlign w:val="superscript"/>
          <w:lang w:eastAsia="en-IN"/>
        </w:rPr>
        <w:footnoteReference w:id="118"/>
      </w:r>
      <w:r w:rsidRPr="00684EA6">
        <w:rPr>
          <w:lang w:eastAsia="en-IN"/>
        </w:rPr>
        <w:t xml:space="preserve"> </w:t>
      </w:r>
    </w:p>
    <w:p w14:paraId="14E23D38" w14:textId="15BC82EF" w:rsidR="006B593E" w:rsidRPr="007E2005" w:rsidRDefault="006B593E" w:rsidP="006B593E">
      <w:pPr>
        <w:numPr>
          <w:ilvl w:val="0"/>
          <w:numId w:val="43"/>
        </w:numPr>
        <w:tabs>
          <w:tab w:val="left" w:pos="360"/>
          <w:tab w:val="left" w:pos="540"/>
        </w:tabs>
        <w:spacing w:before="120" w:after="120" w:line="240" w:lineRule="auto"/>
        <w:ind w:left="0" w:right="602" w:firstLine="0"/>
        <w:jc w:val="both"/>
        <w:rPr>
          <w:rFonts w:ascii="Calibri" w:eastAsia="Times New Roman" w:hAnsi="Calibri" w:cs="Times New Roman"/>
          <w:color w:val="000000"/>
          <w:lang w:eastAsia="en-IN"/>
        </w:rPr>
      </w:pPr>
      <w:r w:rsidRPr="007E2005">
        <w:rPr>
          <w:rFonts w:ascii="Calibri" w:eastAsia="Times New Roman" w:hAnsi="Calibri" w:cs="Times New Roman"/>
          <w:b/>
          <w:color w:val="000000"/>
          <w:lang w:eastAsia="en-IN"/>
        </w:rPr>
        <w:t xml:space="preserve">Advancing transportation infrastructure is a key priority of </w:t>
      </w:r>
      <w:proofErr w:type="spellStart"/>
      <w:r w:rsidRPr="007E2005">
        <w:rPr>
          <w:rFonts w:ascii="Calibri" w:eastAsia="Times New Roman" w:hAnsi="Calibri" w:cs="Times New Roman"/>
          <w:b/>
          <w:color w:val="000000"/>
          <w:lang w:eastAsia="en-IN"/>
        </w:rPr>
        <w:t>GoPNG</w:t>
      </w:r>
      <w:proofErr w:type="spellEnd"/>
      <w:r w:rsidRPr="007E2005">
        <w:rPr>
          <w:rFonts w:ascii="Calibri" w:eastAsia="Times New Roman" w:hAnsi="Calibri" w:cs="Times New Roman"/>
          <w:b/>
          <w:color w:val="000000"/>
          <w:lang w:eastAsia="en-IN"/>
        </w:rPr>
        <w:t xml:space="preserve">. </w:t>
      </w:r>
      <w:r w:rsidRPr="007E2005">
        <w:rPr>
          <w:rFonts w:ascii="Calibri" w:eastAsia="Times New Roman" w:hAnsi="Calibri" w:cs="Times New Roman"/>
          <w:color w:val="000000"/>
          <w:lang w:eastAsia="en-IN"/>
        </w:rPr>
        <w:t xml:space="preserve">Through the MTDP III, the </w:t>
      </w:r>
      <w:proofErr w:type="spellStart"/>
      <w:r>
        <w:rPr>
          <w:rFonts w:ascii="Calibri" w:eastAsia="Times New Roman" w:hAnsi="Calibri" w:cs="Times New Roman"/>
          <w:color w:val="000000"/>
          <w:lang w:eastAsia="en-IN"/>
        </w:rPr>
        <w:t>Go</w:t>
      </w:r>
      <w:r w:rsidRPr="007E2005">
        <w:rPr>
          <w:rFonts w:ascii="Calibri" w:eastAsia="Times New Roman" w:hAnsi="Calibri" w:cs="Times New Roman"/>
          <w:color w:val="000000"/>
          <w:lang w:eastAsia="en-IN"/>
        </w:rPr>
        <w:t>PNG</w:t>
      </w:r>
      <w:proofErr w:type="spellEnd"/>
      <w:r w:rsidRPr="007E2005">
        <w:rPr>
          <w:rFonts w:ascii="Calibri" w:eastAsia="Times New Roman" w:hAnsi="Calibri" w:cs="Times New Roman"/>
          <w:color w:val="000000"/>
          <w:lang w:eastAsia="en-IN"/>
        </w:rPr>
        <w:t xml:space="preserve"> has laid out ambitious targets for the transport sector that will require significant investment. The MDTP aims to increase the share of national priority roads in good condition from the baseline of 34% to 80% by 2022 and increase the number of bridges on national roads in good condition from 15 to 80 within the same time frame. For water transport, the government aims to increase the number of new/improved wharves and ports from the existing 16 to 22 in addition to increasing the capacity of existing ports and improving the efficiency of cargo handling. In the aviation sector, the government aims to upgrade seven more airports by 2022 to handle larger jets and rehabilitate up to 290 rural airstrips to basic safety standards. While </w:t>
      </w:r>
      <w:proofErr w:type="spellStart"/>
      <w:r w:rsidRPr="007E2005">
        <w:rPr>
          <w:rFonts w:ascii="Calibri" w:eastAsia="Times New Roman" w:hAnsi="Calibri" w:cs="Times New Roman"/>
          <w:color w:val="000000"/>
          <w:lang w:eastAsia="en-IN"/>
        </w:rPr>
        <w:t>GoPNG’s</w:t>
      </w:r>
      <w:proofErr w:type="spellEnd"/>
      <w:r w:rsidRPr="007E2005">
        <w:rPr>
          <w:rFonts w:ascii="Calibri" w:eastAsia="Times New Roman" w:hAnsi="Calibri" w:cs="Times New Roman"/>
          <w:color w:val="000000"/>
          <w:lang w:eastAsia="en-IN"/>
        </w:rPr>
        <w:t xml:space="preserve"> transportation budget has grown rapidly in recent years, distribution has been </w:t>
      </w:r>
      <w:r w:rsidRPr="007E2005">
        <w:rPr>
          <w:rFonts w:ascii="Calibri" w:eastAsia="Times New Roman" w:hAnsi="Calibri" w:cs="Times New Roman"/>
          <w:color w:val="000000"/>
          <w:lang w:eastAsia="en-IN"/>
        </w:rPr>
        <w:lastRenderedPageBreak/>
        <w:t>largely skewed in favour of road transport</w:t>
      </w:r>
      <w:r>
        <w:rPr>
          <w:rFonts w:ascii="Calibri" w:eastAsia="Times New Roman" w:hAnsi="Calibri" w:cs="Times New Roman"/>
          <w:color w:val="000000"/>
          <w:lang w:eastAsia="en-IN"/>
        </w:rPr>
        <w:t>.</w:t>
      </w:r>
      <w:r w:rsidRPr="007E2005">
        <w:rPr>
          <w:rFonts w:ascii="Calibri" w:eastAsia="Lato" w:hAnsi="Calibri" w:cs="Lato"/>
          <w:vertAlign w:val="superscript"/>
          <w:lang w:eastAsia="en-IN"/>
        </w:rPr>
        <w:footnoteReference w:id="119"/>
      </w:r>
      <w:r w:rsidRPr="007E2005">
        <w:rPr>
          <w:rFonts w:ascii="Calibri" w:eastAsia="Times New Roman" w:hAnsi="Calibri" w:cs="Times New Roman"/>
          <w:color w:val="000000"/>
          <w:lang w:eastAsia="en-IN"/>
        </w:rPr>
        <w:t xml:space="preserve"> The country’s 2014 transportation budget of approximately </w:t>
      </w:r>
      <w:r w:rsidR="00800236">
        <w:rPr>
          <w:rFonts w:ascii="Calibri" w:eastAsia="Times New Roman" w:hAnsi="Calibri" w:cs="Times New Roman"/>
          <w:color w:val="000000"/>
          <w:lang w:eastAsia="en-IN"/>
        </w:rPr>
        <w:t>US$</w:t>
      </w:r>
      <w:r w:rsidRPr="007E2005">
        <w:rPr>
          <w:rFonts w:ascii="Calibri" w:eastAsia="Times New Roman" w:hAnsi="Calibri" w:cs="Times New Roman"/>
          <w:color w:val="000000"/>
          <w:lang w:eastAsia="en-IN"/>
        </w:rPr>
        <w:t xml:space="preserve"> 1 billion was nearly triple the transportation budget for 2011; of that figure, roads accounted for 82% of the allocation while maritime and civil aviation budget allocations each represented approximately 9% of the total</w:t>
      </w:r>
      <w:r>
        <w:rPr>
          <w:rFonts w:ascii="Calibri" w:eastAsia="Times New Roman" w:hAnsi="Calibri" w:cs="Times New Roman"/>
          <w:color w:val="000000"/>
          <w:lang w:eastAsia="en-IN"/>
        </w:rPr>
        <w:t>.</w:t>
      </w:r>
      <w:r w:rsidRPr="007E2005">
        <w:rPr>
          <w:rFonts w:ascii="Calibri" w:eastAsia="Lato" w:hAnsi="Calibri" w:cs="Lato"/>
          <w:vertAlign w:val="superscript"/>
          <w:lang w:eastAsia="en-IN"/>
        </w:rPr>
        <w:footnoteReference w:id="120"/>
      </w:r>
    </w:p>
    <w:p w14:paraId="46534491" w14:textId="77777777" w:rsidR="006B593E" w:rsidRPr="007E2005" w:rsidRDefault="006B593E" w:rsidP="006B593E">
      <w:pPr>
        <w:numPr>
          <w:ilvl w:val="0"/>
          <w:numId w:val="43"/>
        </w:numPr>
        <w:tabs>
          <w:tab w:val="left" w:pos="360"/>
          <w:tab w:val="left" w:pos="540"/>
        </w:tabs>
        <w:spacing w:before="120" w:after="120" w:line="240" w:lineRule="auto"/>
        <w:ind w:left="0" w:right="602" w:firstLine="0"/>
        <w:jc w:val="both"/>
        <w:rPr>
          <w:rFonts w:ascii="Calibri" w:eastAsia="Times New Roman" w:hAnsi="Calibri" w:cs="Times New Roman"/>
          <w:color w:val="000000"/>
          <w:lang w:eastAsia="en-IN"/>
        </w:rPr>
      </w:pPr>
      <w:r>
        <w:rPr>
          <w:rFonts w:ascii="Calibri" w:eastAsia="Times New Roman" w:hAnsi="Calibri" w:cs="Times New Roman"/>
          <w:b/>
          <w:color w:val="000000"/>
          <w:lang w:eastAsia="en-IN"/>
        </w:rPr>
        <w:t>NGF</w:t>
      </w:r>
      <w:r w:rsidRPr="007E2005">
        <w:rPr>
          <w:rFonts w:ascii="Calibri" w:eastAsia="Times New Roman" w:hAnsi="Calibri" w:cs="Times New Roman"/>
          <w:b/>
          <w:color w:val="000000"/>
          <w:lang w:eastAsia="en-IN"/>
        </w:rPr>
        <w:t xml:space="preserve"> have a critical role to play in achieving high-priority </w:t>
      </w:r>
      <w:proofErr w:type="spellStart"/>
      <w:r w:rsidRPr="007E2005">
        <w:rPr>
          <w:rFonts w:ascii="Calibri" w:eastAsia="Times New Roman" w:hAnsi="Calibri" w:cs="Times New Roman"/>
          <w:b/>
          <w:color w:val="000000"/>
          <w:lang w:eastAsia="en-IN"/>
        </w:rPr>
        <w:t>GoPNG</w:t>
      </w:r>
      <w:proofErr w:type="spellEnd"/>
      <w:r w:rsidRPr="007E2005">
        <w:rPr>
          <w:rFonts w:ascii="Calibri" w:eastAsia="Times New Roman" w:hAnsi="Calibri" w:cs="Times New Roman"/>
          <w:b/>
          <w:color w:val="000000"/>
          <w:lang w:eastAsia="en-IN"/>
        </w:rPr>
        <w:t xml:space="preserve"> goals</w:t>
      </w:r>
      <w:r w:rsidRPr="007E2005">
        <w:rPr>
          <w:rFonts w:ascii="Calibri" w:eastAsia="Times New Roman" w:hAnsi="Calibri" w:cs="Times New Roman"/>
          <w:color w:val="000000"/>
          <w:lang w:eastAsia="en-IN"/>
        </w:rPr>
        <w:t xml:space="preserve">. Our analysis highlights two sub-sectors with strong potential for the deployment of </w:t>
      </w:r>
      <w:r>
        <w:rPr>
          <w:rFonts w:ascii="Calibri" w:eastAsia="Times New Roman" w:hAnsi="Calibri" w:cs="Times New Roman"/>
          <w:color w:val="000000"/>
          <w:lang w:eastAsia="en-IN"/>
        </w:rPr>
        <w:t>NGF</w:t>
      </w:r>
      <w:r w:rsidRPr="007E2005">
        <w:rPr>
          <w:rFonts w:ascii="Calibri" w:eastAsia="Times New Roman" w:hAnsi="Calibri" w:cs="Times New Roman"/>
          <w:color w:val="000000"/>
          <w:lang w:eastAsia="en-IN"/>
        </w:rPr>
        <w:t xml:space="preserve">: aviation and maritime. Projects in </w:t>
      </w:r>
      <w:proofErr w:type="gramStart"/>
      <w:r w:rsidRPr="007E2005">
        <w:rPr>
          <w:rFonts w:ascii="Calibri" w:eastAsia="Times New Roman" w:hAnsi="Calibri" w:cs="Times New Roman"/>
          <w:color w:val="000000"/>
          <w:lang w:eastAsia="en-IN"/>
        </w:rPr>
        <w:t>both of these</w:t>
      </w:r>
      <w:proofErr w:type="gramEnd"/>
      <w:r w:rsidRPr="007E2005">
        <w:rPr>
          <w:rFonts w:ascii="Calibri" w:eastAsia="Times New Roman" w:hAnsi="Calibri" w:cs="Times New Roman"/>
          <w:color w:val="000000"/>
          <w:lang w:eastAsia="en-IN"/>
        </w:rPr>
        <w:t xml:space="preserve"> sectors are likely to have the potential to generate sufficient revenue to merit </w:t>
      </w:r>
      <w:r>
        <w:rPr>
          <w:rFonts w:ascii="Calibri" w:eastAsia="Times New Roman" w:hAnsi="Calibri" w:cs="Times New Roman"/>
          <w:color w:val="000000"/>
          <w:lang w:eastAsia="en-IN"/>
        </w:rPr>
        <w:t>NGF</w:t>
      </w:r>
      <w:r w:rsidRPr="007E2005">
        <w:rPr>
          <w:rFonts w:ascii="Calibri" w:eastAsia="Times New Roman" w:hAnsi="Calibri" w:cs="Times New Roman"/>
          <w:color w:val="000000"/>
          <w:lang w:eastAsia="en-IN"/>
        </w:rPr>
        <w:t>. Roads are clearly a major priority for the Government and an area where concessional financing will be important in the case of sub-</w:t>
      </w:r>
      <w:r w:rsidRPr="007E2005">
        <w:rPr>
          <w:rFonts w:ascii="Calibri" w:eastAsia="Times New Roman" w:hAnsi="Calibri" w:cs="Times New Roman"/>
          <w:lang w:eastAsia="en-IN"/>
        </w:rPr>
        <w:t>commercial opportunities</w:t>
      </w:r>
      <w:r w:rsidRPr="007E2005">
        <w:rPr>
          <w:rFonts w:ascii="Calibri" w:eastAsia="Times New Roman" w:hAnsi="Calibri" w:cs="Times New Roman"/>
          <w:color w:val="000000"/>
          <w:lang w:eastAsia="en-IN"/>
        </w:rPr>
        <w:t xml:space="preserve">, but several of these proposed efforts may not be bankable due to their limited revenue potential. </w:t>
      </w:r>
    </w:p>
    <w:p w14:paraId="037A4380" w14:textId="75E6370E" w:rsidR="006B593E" w:rsidRPr="007E2005" w:rsidRDefault="006B593E" w:rsidP="006B593E">
      <w:pPr>
        <w:numPr>
          <w:ilvl w:val="0"/>
          <w:numId w:val="44"/>
        </w:numPr>
        <w:tabs>
          <w:tab w:val="left" w:pos="720"/>
        </w:tabs>
        <w:spacing w:before="120" w:after="120" w:line="240" w:lineRule="auto"/>
        <w:ind w:right="602"/>
        <w:jc w:val="both"/>
        <w:rPr>
          <w:rFonts w:ascii="Calibri" w:eastAsia="Lato" w:hAnsi="Calibri" w:cs="Lato"/>
          <w:color w:val="000000"/>
          <w:lang w:eastAsia="en-IN"/>
        </w:rPr>
      </w:pPr>
      <w:r w:rsidRPr="007E2005">
        <w:rPr>
          <w:rFonts w:ascii="Calibri" w:eastAsia="Times New Roman" w:hAnsi="Calibri" w:cs="Times New Roman"/>
          <w:i/>
          <w:color w:val="000000"/>
          <w:lang w:eastAsia="en-IN"/>
        </w:rPr>
        <w:t>Aviation:</w:t>
      </w:r>
      <w:r w:rsidRPr="007E2005">
        <w:rPr>
          <w:rFonts w:ascii="Calibri" w:eastAsia="Times New Roman" w:hAnsi="Calibri" w:cs="Times New Roman"/>
          <w:color w:val="000000"/>
          <w:lang w:eastAsia="en-IN"/>
        </w:rPr>
        <w:t xml:space="preserve"> The air transport sector presents opportunities for deploying a mix of concessional lending and equity to finance the contracting of capable operating partners to upgrade airports throughout PNG—particularly in rural and provincial locations. There may also be opportunities to co-invest alongside other multilaterally funded efforts—for example, the ADB is active in this sector through its Civil Aviation Development Investment </w:t>
      </w:r>
      <w:r w:rsidR="0073249A">
        <w:rPr>
          <w:rFonts w:ascii="Calibri" w:eastAsia="Times New Roman" w:hAnsi="Calibri" w:cs="Times New Roman"/>
          <w:color w:val="000000"/>
          <w:lang w:eastAsia="en-IN"/>
        </w:rPr>
        <w:t>Program</w:t>
      </w:r>
      <w:r w:rsidRPr="007E2005">
        <w:rPr>
          <w:rFonts w:ascii="Calibri" w:eastAsia="Times New Roman" w:hAnsi="Calibri" w:cs="Times New Roman"/>
          <w:color w:val="000000"/>
          <w:lang w:eastAsia="en-IN"/>
        </w:rPr>
        <w:t>, which includes efforts to overhaul aging navigation aids and flight management systems, as well as to improve the nation’s air transport safety. A co-investment by Australia could amplify the impact of this effort.</w:t>
      </w:r>
    </w:p>
    <w:p w14:paraId="047C2A4B" w14:textId="6B159897" w:rsidR="006B593E" w:rsidRPr="007E2005" w:rsidRDefault="006B593E" w:rsidP="006B593E">
      <w:pPr>
        <w:numPr>
          <w:ilvl w:val="0"/>
          <w:numId w:val="44"/>
        </w:numPr>
        <w:spacing w:before="120" w:after="120" w:line="240" w:lineRule="auto"/>
        <w:ind w:right="602"/>
        <w:jc w:val="both"/>
        <w:rPr>
          <w:rFonts w:ascii="Calibri" w:eastAsia="Lato" w:hAnsi="Calibri" w:cs="Lato"/>
          <w:color w:val="000000"/>
          <w:lang w:eastAsia="en-IN"/>
        </w:rPr>
      </w:pPr>
      <w:r w:rsidRPr="007E2005">
        <w:rPr>
          <w:rFonts w:ascii="Calibri" w:eastAsia="Times New Roman" w:hAnsi="Calibri" w:cs="Times New Roman"/>
          <w:i/>
          <w:color w:val="000000"/>
          <w:lang w:eastAsia="en-IN"/>
        </w:rPr>
        <w:t>Maritime:</w:t>
      </w:r>
      <w:r w:rsidRPr="007E2005">
        <w:rPr>
          <w:rFonts w:ascii="Calibri" w:eastAsia="Times New Roman" w:hAnsi="Calibri" w:cs="Times New Roman"/>
          <w:color w:val="000000"/>
          <w:lang w:eastAsia="en-IN"/>
        </w:rPr>
        <w:t xml:space="preserve"> Maritime transport plays a particularly important role in an island nation where topography makes road travel difficult. There are several opportunities to deploy concessional finance in the maritime sector, including financing the upgrade and improvement 15 wharves managed by PNG Ports Limited or contracting capable port operators to secure long-term leases on port facilities. </w:t>
      </w:r>
      <w:r>
        <w:rPr>
          <w:rFonts w:ascii="Calibri" w:eastAsia="Times New Roman" w:hAnsi="Calibri" w:cs="Times New Roman"/>
          <w:color w:val="000000"/>
          <w:lang w:eastAsia="en-IN"/>
        </w:rPr>
        <w:t>NGF</w:t>
      </w:r>
      <w:r w:rsidRPr="007E2005">
        <w:rPr>
          <w:rFonts w:ascii="Calibri" w:eastAsia="Times New Roman" w:hAnsi="Calibri" w:cs="Times New Roman"/>
          <w:color w:val="000000"/>
          <w:lang w:eastAsia="en-IN"/>
        </w:rPr>
        <w:t xml:space="preserve"> have been deployed successfully in this sector—for example, ADB extended a </w:t>
      </w:r>
      <w:r w:rsidR="00800236">
        <w:rPr>
          <w:rFonts w:ascii="Calibri" w:eastAsia="Times New Roman" w:hAnsi="Calibri" w:cs="Times New Roman"/>
          <w:color w:val="000000"/>
          <w:lang w:eastAsia="en-IN"/>
        </w:rPr>
        <w:t>US$</w:t>
      </w:r>
      <w:r w:rsidRPr="007E2005">
        <w:rPr>
          <w:rFonts w:ascii="Calibri" w:eastAsia="Times New Roman" w:hAnsi="Calibri" w:cs="Times New Roman"/>
          <w:color w:val="000000"/>
          <w:lang w:eastAsia="en-IN"/>
        </w:rPr>
        <w:t xml:space="preserve"> 20 million loan to PNG for improving waterway access for marginalised and remote maritime and river-based communities and established a Community Water Transport Trust Fund (CWTTF). This project positively impacted commuter safety and was assessed to be financially sustainable</w:t>
      </w:r>
      <w:r>
        <w:rPr>
          <w:rFonts w:ascii="Calibri" w:eastAsia="Times New Roman" w:hAnsi="Calibri" w:cs="Times New Roman"/>
          <w:color w:val="000000"/>
          <w:lang w:eastAsia="en-IN"/>
        </w:rPr>
        <w:t>.</w:t>
      </w:r>
      <w:r w:rsidRPr="007E2005">
        <w:rPr>
          <w:rFonts w:ascii="Calibri" w:eastAsia="Times New Roman" w:hAnsi="Calibri" w:cs="Times New Roman"/>
          <w:color w:val="000000"/>
          <w:vertAlign w:val="superscript"/>
          <w:lang w:eastAsia="en-IN"/>
        </w:rPr>
        <w:footnoteReference w:id="121"/>
      </w:r>
      <w:r w:rsidRPr="007E2005">
        <w:rPr>
          <w:rFonts w:ascii="Calibri" w:eastAsia="Times New Roman" w:hAnsi="Calibri" w:cs="Times New Roman"/>
          <w:color w:val="000000"/>
          <w:lang w:eastAsia="en-IN"/>
        </w:rPr>
        <w:t xml:space="preserve"> </w:t>
      </w:r>
    </w:p>
    <w:p w14:paraId="2A6F39D7" w14:textId="1BDB0588" w:rsidR="006B593E" w:rsidRPr="007E2005" w:rsidRDefault="006B593E" w:rsidP="006B593E">
      <w:pPr>
        <w:numPr>
          <w:ilvl w:val="0"/>
          <w:numId w:val="44"/>
        </w:numPr>
        <w:tabs>
          <w:tab w:val="left" w:pos="720"/>
        </w:tabs>
        <w:spacing w:before="120" w:after="120" w:line="240" w:lineRule="auto"/>
        <w:ind w:right="602"/>
        <w:jc w:val="both"/>
        <w:rPr>
          <w:rFonts w:ascii="Calibri" w:eastAsia="Lato" w:hAnsi="Calibri" w:cs="Lato"/>
          <w:color w:val="000000"/>
          <w:lang w:eastAsia="en-IN"/>
        </w:rPr>
      </w:pPr>
      <w:r w:rsidRPr="007E2005">
        <w:rPr>
          <w:rFonts w:ascii="Calibri" w:eastAsia="Times New Roman" w:hAnsi="Calibri" w:cs="Times New Roman"/>
          <w:i/>
          <w:color w:val="000000"/>
          <w:lang w:eastAsia="en-IN"/>
        </w:rPr>
        <w:t>Roads:</w:t>
      </w:r>
      <w:r w:rsidRPr="007E2005">
        <w:rPr>
          <w:rFonts w:ascii="Calibri" w:eastAsia="Times New Roman" w:hAnsi="Calibri" w:cs="Times New Roman"/>
          <w:color w:val="000000"/>
          <w:lang w:eastAsia="en-IN"/>
        </w:rPr>
        <w:t xml:space="preserve"> </w:t>
      </w:r>
      <w:r w:rsidRPr="007E2005">
        <w:rPr>
          <w:rFonts w:ascii="Calibri" w:eastAsia="Times New Roman" w:hAnsi="Calibri" w:cs="Times New Roman"/>
          <w:lang w:eastAsia="en-IN"/>
        </w:rPr>
        <w:t>The Transport Sector Support</w:t>
      </w:r>
      <w:r>
        <w:rPr>
          <w:rFonts w:ascii="Calibri" w:eastAsia="Times New Roman" w:hAnsi="Calibri" w:cs="Times New Roman"/>
          <w:lang w:eastAsia="en-IN"/>
        </w:rPr>
        <w:t xml:space="preserve"> </w:t>
      </w:r>
      <w:r w:rsidR="0073249A">
        <w:rPr>
          <w:rFonts w:ascii="Calibri" w:eastAsia="Times New Roman" w:hAnsi="Calibri" w:cs="Times New Roman"/>
          <w:lang w:eastAsia="en-IN"/>
        </w:rPr>
        <w:t>program</w:t>
      </w:r>
      <w:r>
        <w:rPr>
          <w:rFonts w:ascii="Calibri" w:eastAsia="Times New Roman" w:hAnsi="Calibri" w:cs="Times New Roman"/>
          <w:lang w:eastAsia="en-IN"/>
        </w:rPr>
        <w:t xml:space="preserve"> </w:t>
      </w:r>
      <w:r w:rsidRPr="007E2005">
        <w:rPr>
          <w:rFonts w:ascii="Calibri" w:eastAsia="Times New Roman" w:hAnsi="Calibri" w:cs="Times New Roman"/>
          <w:lang w:eastAsia="en-IN"/>
        </w:rPr>
        <w:t>(TSSP)</w:t>
      </w:r>
      <w:r w:rsidRPr="007E2005">
        <w:rPr>
          <w:rFonts w:ascii="Calibri" w:eastAsia="Times New Roman" w:hAnsi="Calibri" w:cs="Times New Roman"/>
          <w:vertAlign w:val="superscript"/>
          <w:lang w:eastAsia="en-IN"/>
        </w:rPr>
        <w:footnoteReference w:id="122"/>
      </w:r>
      <w:r w:rsidRPr="007E2005">
        <w:rPr>
          <w:rFonts w:ascii="Calibri" w:eastAsia="Times New Roman" w:hAnsi="Calibri" w:cs="Times New Roman"/>
          <w:lang w:eastAsia="en-IN"/>
        </w:rPr>
        <w:t xml:space="preserve"> and the National Road Network Strategy 2018</w:t>
      </w:r>
      <w:r>
        <w:rPr>
          <w:rFonts w:ascii="Calibri" w:eastAsia="Times New Roman" w:hAnsi="Calibri" w:cs="Times New Roman"/>
          <w:lang w:eastAsia="en-IN"/>
        </w:rPr>
        <w:t>—</w:t>
      </w:r>
      <w:r w:rsidRPr="007E2005">
        <w:rPr>
          <w:rFonts w:ascii="Calibri" w:eastAsia="Times New Roman" w:hAnsi="Calibri" w:cs="Times New Roman"/>
          <w:lang w:eastAsia="en-IN"/>
        </w:rPr>
        <w:t>2037 will require significant levels of financing</w:t>
      </w:r>
      <w:r w:rsidRPr="007E2005">
        <w:rPr>
          <w:rFonts w:ascii="Calibri" w:eastAsia="Times New Roman" w:hAnsi="Calibri" w:cs="Times New Roman"/>
          <w:vertAlign w:val="superscript"/>
          <w:lang w:eastAsia="en-IN"/>
        </w:rPr>
        <w:footnoteReference w:id="123"/>
      </w:r>
      <w:r w:rsidRPr="007E2005">
        <w:rPr>
          <w:rFonts w:ascii="Calibri" w:eastAsia="Times New Roman" w:hAnsi="Calibri" w:cs="Times New Roman"/>
          <w:lang w:eastAsia="en-IN"/>
        </w:rPr>
        <w:t xml:space="preserve"> and will provide several opportunities for Australia to finance portions of the many expected upgrades to roads and bridges, as well as opportunities to bid for long-term maintenance contracts. However, in weighing its participation in the TSSP, Australia should take into consideration the limited potential for generating revenues from financing roads, as well as the challenges that the </w:t>
      </w:r>
      <w:proofErr w:type="spellStart"/>
      <w:r>
        <w:rPr>
          <w:rFonts w:ascii="Calibri" w:eastAsia="Times New Roman" w:hAnsi="Calibri" w:cs="Times New Roman"/>
          <w:lang w:eastAsia="en-IN"/>
        </w:rPr>
        <w:t>Go</w:t>
      </w:r>
      <w:r w:rsidRPr="007E2005">
        <w:rPr>
          <w:rFonts w:ascii="Calibri" w:eastAsia="Times New Roman" w:hAnsi="Calibri" w:cs="Times New Roman"/>
          <w:lang w:eastAsia="en-IN"/>
        </w:rPr>
        <w:t>PNG</w:t>
      </w:r>
      <w:proofErr w:type="spellEnd"/>
      <w:r w:rsidRPr="007E2005">
        <w:rPr>
          <w:rFonts w:ascii="Calibri" w:eastAsia="Times New Roman" w:hAnsi="Calibri" w:cs="Times New Roman"/>
          <w:lang w:eastAsia="en-IN"/>
        </w:rPr>
        <w:t xml:space="preserve"> has faced in servicing existing debts and financing the ongoing construction and rehabilitation of its road networks. </w:t>
      </w:r>
    </w:p>
    <w:p w14:paraId="080AC899" w14:textId="3C6FE62F" w:rsidR="006B593E" w:rsidRPr="007E2005" w:rsidRDefault="006B593E" w:rsidP="006B593E">
      <w:pPr>
        <w:numPr>
          <w:ilvl w:val="0"/>
          <w:numId w:val="43"/>
        </w:numPr>
        <w:tabs>
          <w:tab w:val="left" w:pos="360"/>
          <w:tab w:val="left" w:pos="540"/>
        </w:tabs>
        <w:spacing w:before="120" w:after="120" w:line="240" w:lineRule="auto"/>
        <w:ind w:left="0" w:right="602" w:firstLine="0"/>
        <w:jc w:val="both"/>
        <w:rPr>
          <w:rFonts w:ascii="Calibri" w:eastAsia="Lato" w:hAnsi="Calibri" w:cs="Lato"/>
          <w:color w:val="000000"/>
          <w:lang w:eastAsia="en-IN"/>
        </w:rPr>
      </w:pPr>
      <w:r w:rsidRPr="007E2005">
        <w:rPr>
          <w:rFonts w:ascii="Calibri" w:eastAsia="Times New Roman" w:hAnsi="Calibri" w:cs="Times New Roman"/>
          <w:lang w:eastAsia="en-IN"/>
        </w:rPr>
        <w:t>ADB has an innovative, results-based grant for building roads in the Solomon Islands that provides lower transaction costs, a strong incentive to achieve development goals and greater accountability for achieving them—leading to more efficient public spending in the sector. The grant also relies on country systems to deliver a well-defined and monitored</w:t>
      </w:r>
      <w:r>
        <w:rPr>
          <w:rFonts w:ascii="Calibri" w:eastAsia="Times New Roman" w:hAnsi="Calibri" w:cs="Times New Roman"/>
          <w:lang w:eastAsia="en-IN"/>
        </w:rPr>
        <w:t xml:space="preserve"> </w:t>
      </w:r>
      <w:r w:rsidR="0073249A">
        <w:rPr>
          <w:rFonts w:ascii="Calibri" w:eastAsia="Times New Roman" w:hAnsi="Calibri" w:cs="Times New Roman"/>
          <w:lang w:eastAsia="en-IN"/>
        </w:rPr>
        <w:t>program</w:t>
      </w:r>
      <w:r>
        <w:rPr>
          <w:rFonts w:ascii="Calibri" w:eastAsia="Times New Roman" w:hAnsi="Calibri" w:cs="Times New Roman"/>
          <w:lang w:eastAsia="en-IN"/>
        </w:rPr>
        <w:t xml:space="preserve"> </w:t>
      </w:r>
      <w:r w:rsidRPr="007E2005">
        <w:rPr>
          <w:rFonts w:ascii="Calibri" w:eastAsia="Times New Roman" w:hAnsi="Calibri" w:cs="Times New Roman"/>
          <w:lang w:eastAsia="en-IN"/>
        </w:rPr>
        <w:t xml:space="preserve">and </w:t>
      </w:r>
      <w:r w:rsidRPr="007E2005">
        <w:rPr>
          <w:rFonts w:ascii="Calibri" w:eastAsia="Times New Roman" w:hAnsi="Calibri" w:cs="Times New Roman"/>
          <w:lang w:eastAsia="en-IN"/>
        </w:rPr>
        <w:lastRenderedPageBreak/>
        <w:t>encourages larger government contributions to finance asset maintenance</w:t>
      </w:r>
      <w:r>
        <w:rPr>
          <w:rFonts w:ascii="Calibri" w:eastAsia="Times New Roman" w:hAnsi="Calibri" w:cs="Times New Roman"/>
          <w:lang w:eastAsia="en-IN"/>
        </w:rPr>
        <w:t>.</w:t>
      </w:r>
      <w:r w:rsidRPr="007E2005">
        <w:rPr>
          <w:rFonts w:ascii="Calibri" w:eastAsia="Times New Roman" w:hAnsi="Calibri" w:cs="Times New Roman"/>
          <w:vertAlign w:val="superscript"/>
          <w:lang w:eastAsia="en-IN"/>
        </w:rPr>
        <w:footnoteReference w:id="124"/>
      </w:r>
      <w:r w:rsidRPr="007E2005">
        <w:rPr>
          <w:rFonts w:ascii="Calibri" w:eastAsia="Times New Roman" w:hAnsi="Calibri" w:cs="Times New Roman"/>
          <w:lang w:eastAsia="en-IN"/>
        </w:rPr>
        <w:t xml:space="preserve"> There should be scope to introduce results-based grants in the transport sector in PNG.</w:t>
      </w:r>
    </w:p>
    <w:p w14:paraId="20BE40BE" w14:textId="77777777" w:rsidR="006B593E" w:rsidRPr="007E2005" w:rsidRDefault="006B593E" w:rsidP="006B593E">
      <w:pPr>
        <w:numPr>
          <w:ilvl w:val="0"/>
          <w:numId w:val="43"/>
        </w:numPr>
        <w:tabs>
          <w:tab w:val="left" w:pos="360"/>
          <w:tab w:val="left" w:pos="540"/>
        </w:tabs>
        <w:spacing w:before="120" w:after="120" w:line="240" w:lineRule="auto"/>
        <w:ind w:left="0" w:right="602" w:firstLine="0"/>
        <w:jc w:val="both"/>
        <w:rPr>
          <w:rFonts w:ascii="Calibri" w:eastAsia="Times New Roman" w:hAnsi="Calibri" w:cs="Times New Roman"/>
          <w:lang w:eastAsia="en-IN"/>
        </w:rPr>
      </w:pPr>
      <w:r w:rsidRPr="007E2005">
        <w:rPr>
          <w:rFonts w:ascii="Calibri" w:eastAsia="Times New Roman" w:hAnsi="Calibri" w:cs="Times New Roman"/>
          <w:lang w:eastAsia="en-IN"/>
        </w:rPr>
        <w:t xml:space="preserve">Consultations indicate that there may also be scope to finance the rehabilitation and maintenance of roads in </w:t>
      </w:r>
      <w:proofErr w:type="spellStart"/>
      <w:r w:rsidRPr="007E2005">
        <w:rPr>
          <w:rFonts w:ascii="Calibri" w:eastAsia="Times New Roman" w:hAnsi="Calibri" w:cs="Times New Roman"/>
          <w:lang w:eastAsia="en-IN"/>
        </w:rPr>
        <w:t>Morobe’s</w:t>
      </w:r>
      <w:proofErr w:type="spellEnd"/>
      <w:r w:rsidRPr="007E2005">
        <w:rPr>
          <w:rFonts w:ascii="Calibri" w:eastAsia="Times New Roman" w:hAnsi="Calibri" w:cs="Times New Roman"/>
          <w:lang w:eastAsia="en-IN"/>
        </w:rPr>
        <w:t xml:space="preserve"> economic corridor, in cooperation with the national and provincial governments.</w:t>
      </w:r>
    </w:p>
    <w:p w14:paraId="3DC6847A" w14:textId="77777777" w:rsidR="006B593E" w:rsidRPr="00684EA6" w:rsidRDefault="006B593E" w:rsidP="006B593E">
      <w:pPr>
        <w:tabs>
          <w:tab w:val="left" w:pos="360"/>
          <w:tab w:val="left" w:pos="540"/>
        </w:tabs>
        <w:spacing w:before="120" w:after="120" w:line="240" w:lineRule="auto"/>
        <w:ind w:right="602"/>
        <w:jc w:val="both"/>
        <w:rPr>
          <w:rFonts w:asciiTheme="majorHAnsi" w:eastAsia="Times New Roman" w:hAnsiTheme="majorHAnsi" w:cs="Times New Roman"/>
          <w:color w:val="4F81BD"/>
          <w:sz w:val="26"/>
          <w:szCs w:val="26"/>
          <w:lang w:eastAsia="en-IN"/>
        </w:rPr>
      </w:pPr>
      <w:r w:rsidRPr="00684EA6">
        <w:rPr>
          <w:rFonts w:asciiTheme="majorHAnsi" w:eastAsia="Times New Roman" w:hAnsiTheme="majorHAnsi" w:cs="Times New Roman"/>
          <w:color w:val="4F81BD"/>
          <w:sz w:val="26"/>
          <w:szCs w:val="26"/>
          <w:lang w:eastAsia="en-IN"/>
        </w:rPr>
        <w:t xml:space="preserve">Demand for </w:t>
      </w:r>
      <w:r>
        <w:rPr>
          <w:rFonts w:asciiTheme="majorHAnsi" w:eastAsia="Times New Roman" w:hAnsiTheme="majorHAnsi" w:cs="Times New Roman"/>
          <w:color w:val="4F81BD"/>
          <w:sz w:val="26"/>
          <w:szCs w:val="26"/>
          <w:lang w:eastAsia="en-IN"/>
        </w:rPr>
        <w:t>NGF</w:t>
      </w:r>
      <w:r w:rsidRPr="00684EA6">
        <w:rPr>
          <w:rFonts w:asciiTheme="majorHAnsi" w:eastAsia="Times New Roman" w:hAnsiTheme="majorHAnsi" w:cs="Times New Roman"/>
          <w:color w:val="4F81BD"/>
          <w:sz w:val="26"/>
          <w:szCs w:val="26"/>
          <w:lang w:eastAsia="en-IN"/>
        </w:rPr>
        <w:t xml:space="preserve"> in the Power Sector </w:t>
      </w:r>
    </w:p>
    <w:p w14:paraId="03D512CB" w14:textId="77777777" w:rsidR="006B593E" w:rsidRPr="007E2005" w:rsidRDefault="006B593E" w:rsidP="006B593E">
      <w:pPr>
        <w:numPr>
          <w:ilvl w:val="0"/>
          <w:numId w:val="43"/>
        </w:numPr>
        <w:tabs>
          <w:tab w:val="left" w:pos="360"/>
          <w:tab w:val="left" w:pos="540"/>
        </w:tabs>
        <w:spacing w:before="120" w:after="120" w:line="240" w:lineRule="auto"/>
        <w:ind w:left="0" w:right="602" w:firstLine="0"/>
        <w:jc w:val="both"/>
        <w:rPr>
          <w:rFonts w:ascii="Calibri" w:eastAsia="Times New Roman" w:hAnsi="Calibri" w:cs="Times New Roman"/>
          <w:color w:val="000000"/>
          <w:lang w:eastAsia="en-IN"/>
        </w:rPr>
      </w:pPr>
      <w:r w:rsidRPr="007E2005">
        <w:rPr>
          <w:rFonts w:ascii="Calibri" w:eastAsia="Times New Roman" w:hAnsi="Calibri" w:cs="Times New Roman"/>
          <w:b/>
          <w:color w:val="000000"/>
          <w:lang w:eastAsia="en-IN"/>
        </w:rPr>
        <w:t xml:space="preserve">The power sector in PNG presents significant opportunities for realising both economic and development impact. </w:t>
      </w:r>
      <w:r w:rsidRPr="007E2005">
        <w:rPr>
          <w:rFonts w:ascii="Calibri" w:eastAsia="Times New Roman" w:hAnsi="Calibri" w:cs="Times New Roman"/>
          <w:color w:val="000000"/>
          <w:lang w:eastAsia="en-IN"/>
        </w:rPr>
        <w:t xml:space="preserve">Only 12% of the population has access to electricity. Where power is available (generally in the main urban centres), supply is often unreliable. However, the country is close to achieving fossil fuel self-sufficiency and has the potential to harness 15,000 megawatts of hydropower. PNG also has extensive resources for geothermal generation. Despite these advantages, PNG is the least energy-intensive economy in the Asia Pacific region due to ageing, fragmented, and inadequate plant and distribution systems. Planning has not sufficiently addressed growing energy needs as household incomes and population continue to rise. </w:t>
      </w:r>
    </w:p>
    <w:p w14:paraId="203E9A63" w14:textId="2B050960" w:rsidR="006B593E" w:rsidRPr="007E2005" w:rsidRDefault="006B593E" w:rsidP="006B593E">
      <w:pPr>
        <w:numPr>
          <w:ilvl w:val="0"/>
          <w:numId w:val="43"/>
        </w:numPr>
        <w:tabs>
          <w:tab w:val="left" w:pos="360"/>
          <w:tab w:val="left" w:pos="540"/>
        </w:tabs>
        <w:spacing w:before="120" w:after="120" w:line="240" w:lineRule="auto"/>
        <w:ind w:left="0" w:right="602" w:firstLine="0"/>
        <w:jc w:val="both"/>
        <w:rPr>
          <w:rFonts w:ascii="Calibri" w:eastAsia="Times New Roman" w:hAnsi="Calibri" w:cs="Times New Roman"/>
          <w:color w:val="000000"/>
          <w:lang w:eastAsia="en-IN"/>
        </w:rPr>
      </w:pPr>
      <w:r w:rsidRPr="007E2005">
        <w:rPr>
          <w:rFonts w:ascii="Calibri" w:eastAsia="Times New Roman" w:hAnsi="Calibri" w:cs="Times New Roman"/>
          <w:b/>
          <w:color w:val="000000"/>
          <w:lang w:eastAsia="en-IN"/>
        </w:rPr>
        <w:t>Government targets for improving local energy access are ambitious; PNG is now looking to encourage private sector participation in the energy sector through a series of policy-related reforms</w:t>
      </w:r>
      <w:r>
        <w:rPr>
          <w:rFonts w:ascii="Calibri" w:eastAsia="Times New Roman" w:hAnsi="Calibri" w:cs="Times New Roman"/>
          <w:b/>
          <w:color w:val="000000"/>
          <w:lang w:eastAsia="en-IN"/>
        </w:rPr>
        <w:t>.</w:t>
      </w:r>
      <w:r w:rsidRPr="007E2005">
        <w:rPr>
          <w:rFonts w:ascii="Calibri" w:eastAsia="Lato" w:hAnsi="Calibri" w:cs="Lato"/>
          <w:b/>
          <w:vertAlign w:val="superscript"/>
          <w:lang w:eastAsia="en-IN"/>
        </w:rPr>
        <w:footnoteReference w:id="125"/>
      </w:r>
      <w:r w:rsidRPr="007E2005">
        <w:rPr>
          <w:rFonts w:ascii="Calibri" w:eastAsia="Times New Roman" w:hAnsi="Calibri" w:cs="Times New Roman"/>
          <w:color w:val="000000"/>
          <w:lang w:eastAsia="en-IN"/>
        </w:rPr>
        <w:t xml:space="preserve">The MTDP III aims to double the household electrification rate from 17% to 33% by 2022. The Electricity Industry Policy (EIP) of 2011 aims to facilitate competition, develop a clearly defined access regime, transfer a range of regulation functions from the power authority PNG Power Limited (PPL) to the government and increase rural electrification through government assistance. The government has also passed the Public–Private Partnership Policy, which will support the development of private sector participation in the energy sector. There is also potential for PNG to bring more of its considerable petroleum and natural gas deposits to the export market by expanding the nation’s extraction and processing capabilities. The government plans to increase its proven petroleum reserves by 60% and establish at least three liquefied natural gas (LNG) projects by 2030, which should generate new revenues of at least </w:t>
      </w:r>
      <w:r w:rsidR="00800236">
        <w:rPr>
          <w:rFonts w:ascii="Calibri" w:eastAsia="Times New Roman" w:hAnsi="Calibri" w:cs="Times New Roman"/>
          <w:color w:val="000000"/>
          <w:lang w:eastAsia="en-IN"/>
        </w:rPr>
        <w:t>US$</w:t>
      </w:r>
      <w:r w:rsidRPr="007E2005">
        <w:rPr>
          <w:rFonts w:ascii="Calibri" w:eastAsia="Times New Roman" w:hAnsi="Calibri" w:cs="Times New Roman"/>
          <w:color w:val="000000"/>
          <w:lang w:eastAsia="en-IN"/>
        </w:rPr>
        <w:t xml:space="preserve"> 1.65 billion per year. </w:t>
      </w:r>
    </w:p>
    <w:p w14:paraId="1CB59AFD" w14:textId="77777777" w:rsidR="006B593E" w:rsidRPr="007E2005" w:rsidRDefault="006B593E" w:rsidP="006B593E">
      <w:pPr>
        <w:numPr>
          <w:ilvl w:val="0"/>
          <w:numId w:val="43"/>
        </w:numPr>
        <w:tabs>
          <w:tab w:val="left" w:pos="360"/>
          <w:tab w:val="left" w:pos="540"/>
        </w:tabs>
        <w:spacing w:before="120" w:after="120" w:line="240" w:lineRule="auto"/>
        <w:ind w:left="0" w:right="602" w:firstLine="0"/>
        <w:jc w:val="both"/>
        <w:rPr>
          <w:rFonts w:ascii="Calibri" w:eastAsia="Times New Roman" w:hAnsi="Calibri" w:cs="Times New Roman"/>
          <w:color w:val="000000"/>
          <w:lang w:eastAsia="en-IN"/>
        </w:rPr>
      </w:pPr>
      <w:r>
        <w:rPr>
          <w:rFonts w:ascii="Calibri" w:eastAsia="Times New Roman" w:hAnsi="Calibri" w:cs="Times New Roman"/>
          <w:b/>
          <w:color w:val="000000"/>
          <w:lang w:eastAsia="en-IN"/>
        </w:rPr>
        <w:t>NGF</w:t>
      </w:r>
      <w:r w:rsidRPr="007E2005">
        <w:rPr>
          <w:rFonts w:ascii="Calibri" w:eastAsia="Times New Roman" w:hAnsi="Calibri" w:cs="Times New Roman"/>
          <w:b/>
          <w:color w:val="000000"/>
          <w:lang w:eastAsia="en-IN"/>
        </w:rPr>
        <w:t xml:space="preserve"> enable much more catalytic approaches to expanding access to energy than do traditional grant instruments. </w:t>
      </w:r>
      <w:r w:rsidRPr="007E2005">
        <w:rPr>
          <w:rFonts w:ascii="Calibri" w:eastAsia="Times New Roman" w:hAnsi="Calibri" w:cs="Times New Roman"/>
          <w:color w:val="000000"/>
          <w:lang w:eastAsia="en-IN"/>
        </w:rPr>
        <w:t xml:space="preserve">Our analysis found several ways that </w:t>
      </w:r>
      <w:r>
        <w:rPr>
          <w:rFonts w:ascii="Calibri" w:eastAsia="Times New Roman" w:hAnsi="Calibri" w:cs="Times New Roman"/>
          <w:color w:val="000000"/>
          <w:lang w:eastAsia="en-IN"/>
        </w:rPr>
        <w:t>NGF</w:t>
      </w:r>
      <w:r w:rsidRPr="007E2005">
        <w:rPr>
          <w:rFonts w:ascii="Calibri" w:eastAsia="Times New Roman" w:hAnsi="Calibri" w:cs="Times New Roman"/>
          <w:color w:val="000000"/>
          <w:lang w:eastAsia="en-IN"/>
        </w:rPr>
        <w:t xml:space="preserve"> could be strategically deployed—where grant instruments alone cannot—to finance the development of the power sector. These opportunities include:</w:t>
      </w:r>
    </w:p>
    <w:p w14:paraId="7E079946" w14:textId="77777777" w:rsidR="006B593E" w:rsidRPr="007E2005" w:rsidRDefault="006B593E" w:rsidP="006B593E">
      <w:pPr>
        <w:numPr>
          <w:ilvl w:val="0"/>
          <w:numId w:val="45"/>
        </w:numPr>
        <w:tabs>
          <w:tab w:val="left" w:pos="360"/>
        </w:tabs>
        <w:spacing w:before="120" w:after="120" w:line="240" w:lineRule="auto"/>
        <w:ind w:right="602"/>
        <w:jc w:val="both"/>
        <w:rPr>
          <w:rFonts w:ascii="Calibri" w:eastAsia="Lato" w:hAnsi="Calibri" w:cs="Lato"/>
          <w:color w:val="000000"/>
          <w:lang w:eastAsia="en-IN"/>
        </w:rPr>
      </w:pPr>
      <w:r w:rsidRPr="007E2005">
        <w:rPr>
          <w:rFonts w:ascii="Calibri" w:eastAsia="Times New Roman" w:hAnsi="Calibri" w:cs="Times New Roman"/>
          <w:i/>
          <w:color w:val="000000"/>
          <w:lang w:eastAsia="en-IN"/>
        </w:rPr>
        <w:t>Providing PNG SOEs or companies under contract with concession or PPP arrangements backed by Australian guarantees</w:t>
      </w:r>
      <w:r w:rsidRPr="007E2005">
        <w:rPr>
          <w:rFonts w:ascii="Calibri" w:eastAsia="Times New Roman" w:hAnsi="Calibri" w:cs="Times New Roman"/>
          <w:color w:val="000000"/>
          <w:lang w:eastAsia="en-IN"/>
        </w:rPr>
        <w:t xml:space="preserve"> to allow them to access lower-cost capital for financing utility projects (e.g., grid extensions, power plant rehabilitations) with diminished commercial viability</w:t>
      </w:r>
    </w:p>
    <w:p w14:paraId="04900992" w14:textId="2BDE6042" w:rsidR="006B593E" w:rsidRPr="007E2005" w:rsidRDefault="006B593E" w:rsidP="006B593E">
      <w:pPr>
        <w:numPr>
          <w:ilvl w:val="0"/>
          <w:numId w:val="45"/>
        </w:numPr>
        <w:tabs>
          <w:tab w:val="left" w:pos="360"/>
        </w:tabs>
        <w:spacing w:before="120" w:after="120" w:line="240" w:lineRule="auto"/>
        <w:ind w:right="602"/>
        <w:jc w:val="both"/>
        <w:rPr>
          <w:rFonts w:ascii="Calibri" w:eastAsia="Lato" w:hAnsi="Calibri" w:cs="Lato"/>
          <w:color w:val="000000"/>
          <w:lang w:eastAsia="en-IN"/>
        </w:rPr>
      </w:pPr>
      <w:r w:rsidRPr="007E2005">
        <w:rPr>
          <w:rFonts w:ascii="Calibri" w:eastAsia="Times New Roman" w:hAnsi="Calibri" w:cs="Times New Roman"/>
          <w:i/>
          <w:color w:val="000000"/>
          <w:lang w:eastAsia="en-IN"/>
        </w:rPr>
        <w:t xml:space="preserve">Providing a combination of instruments including debt and </w:t>
      </w:r>
      <w:r w:rsidRPr="00280E0D">
        <w:rPr>
          <w:rFonts w:ascii="Calibri" w:eastAsia="Arial" w:hAnsi="Calibri" w:cs="Calibri"/>
          <w:i/>
          <w:lang w:eastAsia="zh-CN"/>
        </w:rPr>
        <w:t>TA</w:t>
      </w:r>
      <w:r w:rsidRPr="007E2005">
        <w:rPr>
          <w:rFonts w:ascii="Calibri" w:eastAsia="Times New Roman" w:hAnsi="Calibri" w:cs="Times New Roman"/>
          <w:i/>
          <w:color w:val="000000"/>
          <w:lang w:eastAsia="en-IN"/>
        </w:rPr>
        <w:t xml:space="preserve">, or equity and </w:t>
      </w:r>
      <w:r w:rsidRPr="00280E0D">
        <w:rPr>
          <w:rFonts w:ascii="Calibri" w:eastAsia="Arial" w:hAnsi="Calibri" w:cs="Calibri"/>
          <w:i/>
          <w:lang w:eastAsia="zh-CN"/>
        </w:rPr>
        <w:t>TA</w:t>
      </w:r>
      <w:r w:rsidRPr="007E2005">
        <w:rPr>
          <w:rFonts w:ascii="Calibri" w:eastAsia="Times New Roman" w:hAnsi="Calibri" w:cs="Times New Roman"/>
          <w:i/>
          <w:color w:val="000000"/>
          <w:lang w:eastAsia="en-IN"/>
        </w:rPr>
        <w:t xml:space="preserve">, to set up renewable energy investment plans, partial-risk guarantees, letters of credit and pre-purchase agreements </w:t>
      </w:r>
      <w:proofErr w:type="gramStart"/>
      <w:r w:rsidRPr="007E2005">
        <w:rPr>
          <w:rFonts w:ascii="Calibri" w:eastAsia="Times New Roman" w:hAnsi="Calibri" w:cs="Times New Roman"/>
          <w:color w:val="000000"/>
          <w:lang w:eastAsia="en-IN"/>
        </w:rPr>
        <w:t>in order to</w:t>
      </w:r>
      <w:proofErr w:type="gramEnd"/>
      <w:r w:rsidRPr="007E2005">
        <w:rPr>
          <w:rFonts w:ascii="Calibri" w:eastAsia="Times New Roman" w:hAnsi="Calibri" w:cs="Times New Roman"/>
          <w:color w:val="000000"/>
          <w:lang w:eastAsia="en-IN"/>
        </w:rPr>
        <w:t xml:space="preserve"> ensure short-term liquidity and secure operations for an initial period of 2</w:t>
      </w:r>
      <w:r>
        <w:rPr>
          <w:rFonts w:ascii="Calibri" w:eastAsia="Times New Roman" w:hAnsi="Calibri" w:cs="Times New Roman"/>
          <w:color w:val="000000"/>
          <w:lang w:eastAsia="en-IN"/>
        </w:rPr>
        <w:t>—</w:t>
      </w:r>
      <w:r w:rsidRPr="007E2005">
        <w:rPr>
          <w:rFonts w:ascii="Calibri" w:eastAsia="Times New Roman" w:hAnsi="Calibri" w:cs="Times New Roman"/>
          <w:color w:val="000000"/>
          <w:lang w:eastAsia="en-IN"/>
        </w:rPr>
        <w:t>3 years. For instance, ADB’s Pacific Renewable Offtake Guarantee</w:t>
      </w:r>
      <w:r>
        <w:rPr>
          <w:rFonts w:ascii="Calibri" w:eastAsia="Times New Roman" w:hAnsi="Calibri" w:cs="Times New Roman"/>
          <w:color w:val="000000"/>
          <w:lang w:eastAsia="en-IN"/>
        </w:rPr>
        <w:t xml:space="preserve"> </w:t>
      </w:r>
      <w:r w:rsidR="0073249A">
        <w:rPr>
          <w:rFonts w:ascii="Calibri" w:eastAsia="Times New Roman" w:hAnsi="Calibri" w:cs="Times New Roman"/>
          <w:color w:val="000000"/>
          <w:lang w:eastAsia="en-IN"/>
        </w:rPr>
        <w:t>program</w:t>
      </w:r>
      <w:r>
        <w:rPr>
          <w:rFonts w:ascii="Calibri" w:eastAsia="Times New Roman" w:hAnsi="Calibri" w:cs="Times New Roman"/>
          <w:color w:val="000000"/>
          <w:lang w:eastAsia="en-IN"/>
        </w:rPr>
        <w:t xml:space="preserve"> </w:t>
      </w:r>
      <w:r w:rsidRPr="007E2005">
        <w:rPr>
          <w:rFonts w:ascii="Calibri" w:eastAsia="Times New Roman" w:hAnsi="Calibri" w:cs="Times New Roman"/>
          <w:color w:val="000000"/>
          <w:lang w:eastAsia="en-IN"/>
        </w:rPr>
        <w:t>proposes a similar structure for its solar independent power project facility</w:t>
      </w:r>
    </w:p>
    <w:p w14:paraId="24CBD253" w14:textId="77777777" w:rsidR="006B593E" w:rsidRPr="007E2005" w:rsidRDefault="006B593E" w:rsidP="006B593E">
      <w:pPr>
        <w:numPr>
          <w:ilvl w:val="0"/>
          <w:numId w:val="45"/>
        </w:numPr>
        <w:tabs>
          <w:tab w:val="left" w:pos="360"/>
        </w:tabs>
        <w:spacing w:before="120" w:after="120" w:line="240" w:lineRule="auto"/>
        <w:ind w:right="602"/>
        <w:jc w:val="both"/>
        <w:rPr>
          <w:rFonts w:ascii="Calibri" w:eastAsia="Lato" w:hAnsi="Calibri" w:cs="Lato"/>
          <w:color w:val="000000"/>
          <w:lang w:eastAsia="en-IN"/>
        </w:rPr>
      </w:pPr>
      <w:r w:rsidRPr="007E2005">
        <w:rPr>
          <w:rFonts w:ascii="Calibri" w:eastAsia="Times New Roman" w:hAnsi="Calibri" w:cs="Times New Roman"/>
          <w:i/>
          <w:color w:val="000000"/>
          <w:lang w:eastAsia="en-IN"/>
        </w:rPr>
        <w:lastRenderedPageBreak/>
        <w:t>Providing equity (where possible) and loans to participate in PPPs that build out distributed power generation technologies,</w:t>
      </w:r>
      <w:r w:rsidRPr="007E2005">
        <w:rPr>
          <w:rFonts w:ascii="Calibri" w:eastAsia="Times New Roman" w:hAnsi="Calibri" w:cs="Times New Roman"/>
          <w:color w:val="000000"/>
          <w:lang w:eastAsia="en-IN"/>
        </w:rPr>
        <w:t xml:space="preserve"> such as small gas turbines and renewables (solar, biogas, etc.)</w:t>
      </w:r>
    </w:p>
    <w:p w14:paraId="3A507B0A" w14:textId="77777777" w:rsidR="006B593E" w:rsidRPr="007E2005" w:rsidRDefault="006B593E" w:rsidP="006B593E">
      <w:pPr>
        <w:numPr>
          <w:ilvl w:val="0"/>
          <w:numId w:val="45"/>
        </w:numPr>
        <w:tabs>
          <w:tab w:val="left" w:pos="360"/>
        </w:tabs>
        <w:spacing w:before="120" w:after="120" w:line="240" w:lineRule="auto"/>
        <w:ind w:right="602"/>
        <w:jc w:val="both"/>
        <w:rPr>
          <w:rFonts w:ascii="Calibri" w:eastAsia="Lato" w:hAnsi="Calibri" w:cs="Lato"/>
          <w:color w:val="000000"/>
          <w:lang w:eastAsia="en-IN"/>
        </w:rPr>
      </w:pPr>
      <w:r w:rsidRPr="007E2005">
        <w:rPr>
          <w:rFonts w:ascii="Calibri" w:eastAsia="Times New Roman" w:hAnsi="Calibri" w:cs="Times New Roman"/>
          <w:i/>
          <w:color w:val="000000"/>
          <w:lang w:eastAsia="en-IN"/>
        </w:rPr>
        <w:t>Providing financing or co-financing for government equity in LNG II</w:t>
      </w:r>
      <w:r w:rsidRPr="007E2005">
        <w:rPr>
          <w:rFonts w:ascii="Calibri" w:eastAsia="Times New Roman" w:hAnsi="Calibri" w:cs="Times New Roman"/>
          <w:color w:val="000000"/>
          <w:lang w:eastAsia="en-IN"/>
        </w:rPr>
        <w:t xml:space="preserve"> or other extractive / utility projects </w:t>
      </w:r>
    </w:p>
    <w:p w14:paraId="3C8D1403" w14:textId="77777777" w:rsidR="006B593E" w:rsidRPr="00684EA6" w:rsidRDefault="006B593E" w:rsidP="006B593E">
      <w:pPr>
        <w:tabs>
          <w:tab w:val="left" w:pos="360"/>
          <w:tab w:val="left" w:pos="540"/>
        </w:tabs>
        <w:spacing w:before="120" w:after="120" w:line="240" w:lineRule="auto"/>
        <w:ind w:right="602"/>
        <w:jc w:val="both"/>
        <w:rPr>
          <w:rFonts w:asciiTheme="majorHAnsi" w:eastAsia="Times New Roman" w:hAnsiTheme="majorHAnsi" w:cs="Times New Roman"/>
          <w:color w:val="000000"/>
          <w:lang w:eastAsia="en-IN"/>
        </w:rPr>
      </w:pPr>
      <w:r w:rsidRPr="00684EA6">
        <w:rPr>
          <w:rFonts w:asciiTheme="majorHAnsi" w:eastAsia="Times New Roman" w:hAnsiTheme="majorHAnsi" w:cs="Times New Roman"/>
          <w:color w:val="4F81BD"/>
          <w:sz w:val="26"/>
          <w:szCs w:val="26"/>
          <w:lang w:eastAsia="en-IN"/>
        </w:rPr>
        <w:t xml:space="preserve">Demand for </w:t>
      </w:r>
      <w:r>
        <w:rPr>
          <w:rFonts w:asciiTheme="majorHAnsi" w:eastAsia="Times New Roman" w:hAnsiTheme="majorHAnsi" w:cs="Times New Roman"/>
          <w:color w:val="4F81BD"/>
          <w:sz w:val="26"/>
          <w:szCs w:val="26"/>
          <w:lang w:eastAsia="en-IN"/>
        </w:rPr>
        <w:t>NGF</w:t>
      </w:r>
      <w:r w:rsidRPr="00684EA6">
        <w:rPr>
          <w:rFonts w:asciiTheme="majorHAnsi" w:eastAsia="Times New Roman" w:hAnsiTheme="majorHAnsi" w:cs="Times New Roman"/>
          <w:color w:val="4F81BD"/>
          <w:sz w:val="26"/>
          <w:szCs w:val="26"/>
          <w:lang w:eastAsia="en-IN"/>
        </w:rPr>
        <w:t xml:space="preserve"> in the Telecommunications Sector </w:t>
      </w:r>
    </w:p>
    <w:p w14:paraId="0B4587B7" w14:textId="77777777" w:rsidR="006B593E" w:rsidRPr="007E2005" w:rsidRDefault="006B593E" w:rsidP="006B593E">
      <w:pPr>
        <w:numPr>
          <w:ilvl w:val="0"/>
          <w:numId w:val="43"/>
        </w:numPr>
        <w:tabs>
          <w:tab w:val="left" w:pos="360"/>
          <w:tab w:val="left" w:pos="540"/>
        </w:tabs>
        <w:spacing w:before="120" w:after="120" w:line="240" w:lineRule="auto"/>
        <w:ind w:left="0" w:right="602" w:firstLine="0"/>
        <w:jc w:val="both"/>
        <w:rPr>
          <w:rFonts w:ascii="Calibri" w:eastAsia="Times New Roman" w:hAnsi="Calibri" w:cs="Times New Roman"/>
          <w:color w:val="000000"/>
          <w:lang w:eastAsia="en-IN"/>
        </w:rPr>
      </w:pPr>
      <w:proofErr w:type="spellStart"/>
      <w:r w:rsidRPr="007E2005">
        <w:rPr>
          <w:rFonts w:ascii="Calibri" w:eastAsia="Times New Roman" w:hAnsi="Calibri" w:cs="Times New Roman"/>
          <w:b/>
          <w:color w:val="000000"/>
          <w:lang w:eastAsia="en-IN"/>
        </w:rPr>
        <w:t>GoPNG</w:t>
      </w:r>
      <w:proofErr w:type="spellEnd"/>
      <w:r w:rsidRPr="007E2005">
        <w:rPr>
          <w:rFonts w:ascii="Calibri" w:eastAsia="Times New Roman" w:hAnsi="Calibri" w:cs="Times New Roman"/>
          <w:b/>
          <w:color w:val="000000"/>
          <w:lang w:eastAsia="en-IN"/>
        </w:rPr>
        <w:t xml:space="preserve"> is prioritising improving mobile and internet penetration in the near term through financing the expansion of networks throughout the interior of the country. </w:t>
      </w:r>
      <w:r w:rsidRPr="007E2005">
        <w:rPr>
          <w:rFonts w:ascii="Calibri" w:eastAsia="Times New Roman" w:hAnsi="Calibri" w:cs="Times New Roman"/>
          <w:color w:val="000000"/>
          <w:lang w:eastAsia="en-IN"/>
        </w:rPr>
        <w:t xml:space="preserve">Telecommunication infrastructure is largely concentrated in central regions of economic activity, away from rural and isolated pockets of population. Overall penetration rates are </w:t>
      </w:r>
      <w:proofErr w:type="gramStart"/>
      <w:r w:rsidRPr="007E2005">
        <w:rPr>
          <w:rFonts w:ascii="Calibri" w:eastAsia="Times New Roman" w:hAnsi="Calibri" w:cs="Times New Roman"/>
          <w:color w:val="000000"/>
          <w:lang w:eastAsia="en-IN"/>
        </w:rPr>
        <w:t>low</w:t>
      </w:r>
      <w:proofErr w:type="gramEnd"/>
      <w:r w:rsidRPr="007E2005">
        <w:rPr>
          <w:rFonts w:ascii="Calibri" w:eastAsia="Times New Roman" w:hAnsi="Calibri" w:cs="Times New Roman"/>
          <w:color w:val="000000"/>
          <w:lang w:eastAsia="en-IN"/>
        </w:rPr>
        <w:t xml:space="preserve"> and affordability is a key challenge, yet PNG is beginning to face bandwidth pressures. Demand is expected to grow rapidly in the coming years; given current investment flows, stock of infrastructure and frequency of outages due to natural phenomena, attaining a level of connectivity on par with the rest of the world appears to be a steep challenge. Moreover, </w:t>
      </w:r>
      <w:r w:rsidRPr="007E2005">
        <w:rPr>
          <w:rFonts w:ascii="Calibri" w:eastAsia="Times New Roman" w:hAnsi="Calibri" w:cs="Times New Roman"/>
          <w:lang w:eastAsia="en-IN"/>
        </w:rPr>
        <w:t>access to power is impacting the availability of mobile coverage, as handsets cannot be easily recharged in many regions of the country.</w:t>
      </w:r>
    </w:p>
    <w:p w14:paraId="05743C0B" w14:textId="77777777" w:rsidR="006B593E" w:rsidRPr="007E2005" w:rsidRDefault="006B593E" w:rsidP="006B593E">
      <w:pPr>
        <w:numPr>
          <w:ilvl w:val="0"/>
          <w:numId w:val="43"/>
        </w:numPr>
        <w:tabs>
          <w:tab w:val="left" w:pos="360"/>
          <w:tab w:val="left" w:pos="540"/>
        </w:tabs>
        <w:spacing w:before="120" w:after="120" w:line="240" w:lineRule="auto"/>
        <w:ind w:left="0" w:right="602" w:firstLine="0"/>
        <w:jc w:val="both"/>
        <w:rPr>
          <w:rFonts w:ascii="Calibri" w:eastAsia="Times New Roman" w:hAnsi="Calibri" w:cs="Times New Roman"/>
          <w:lang w:eastAsia="en-IN"/>
        </w:rPr>
      </w:pPr>
      <w:r w:rsidRPr="007E2005">
        <w:rPr>
          <w:rFonts w:ascii="Calibri" w:eastAsia="Times New Roman" w:hAnsi="Calibri" w:cs="Times New Roman"/>
          <w:b/>
          <w:color w:val="000000"/>
          <w:lang w:eastAsia="en-IN"/>
        </w:rPr>
        <w:t xml:space="preserve">The telecommunications sector presents several opportunities for the high-impact deployment of </w:t>
      </w:r>
      <w:r>
        <w:rPr>
          <w:rFonts w:ascii="Calibri" w:eastAsia="Times New Roman" w:hAnsi="Calibri" w:cs="Times New Roman"/>
          <w:b/>
          <w:color w:val="000000"/>
          <w:lang w:eastAsia="en-IN"/>
        </w:rPr>
        <w:t>NGF</w:t>
      </w:r>
      <w:r w:rsidRPr="007E2005">
        <w:rPr>
          <w:rFonts w:ascii="Calibri" w:eastAsia="Times New Roman" w:hAnsi="Calibri" w:cs="Times New Roman"/>
          <w:b/>
          <w:color w:val="000000"/>
          <w:lang w:eastAsia="en-IN"/>
        </w:rPr>
        <w:t xml:space="preserve">: </w:t>
      </w:r>
    </w:p>
    <w:p w14:paraId="57302D30" w14:textId="310A63A2" w:rsidR="006B593E" w:rsidRPr="007E2005" w:rsidRDefault="006B593E" w:rsidP="006B593E">
      <w:pPr>
        <w:numPr>
          <w:ilvl w:val="0"/>
          <w:numId w:val="46"/>
        </w:numPr>
        <w:pBdr>
          <w:top w:val="nil"/>
          <w:left w:val="nil"/>
          <w:bottom w:val="nil"/>
          <w:right w:val="nil"/>
          <w:between w:val="nil"/>
        </w:pBdr>
        <w:tabs>
          <w:tab w:val="left" w:pos="360"/>
        </w:tabs>
        <w:spacing w:before="120" w:after="120" w:line="240" w:lineRule="auto"/>
        <w:ind w:right="602"/>
        <w:jc w:val="both"/>
        <w:rPr>
          <w:rFonts w:ascii="Calibri" w:eastAsia="Lato" w:hAnsi="Calibri" w:cs="Lato"/>
          <w:color w:val="000000"/>
          <w:lang w:eastAsia="en-IN"/>
        </w:rPr>
      </w:pPr>
      <w:r w:rsidRPr="007E2005">
        <w:rPr>
          <w:rFonts w:ascii="Calibri" w:eastAsia="Times New Roman" w:hAnsi="Calibri" w:cs="Times New Roman"/>
          <w:i/>
          <w:color w:val="000000"/>
          <w:lang w:eastAsia="en-IN"/>
        </w:rPr>
        <w:t>Providing concessional financing for expanding the reach of broadband networks to underserved communities.</w:t>
      </w:r>
      <w:r w:rsidRPr="007E2005">
        <w:rPr>
          <w:rFonts w:ascii="Calibri" w:eastAsia="Times New Roman" w:hAnsi="Calibri" w:cs="Times New Roman"/>
          <w:color w:val="000000"/>
          <w:lang w:eastAsia="en-IN"/>
        </w:rPr>
        <w:t xml:space="preserve"> For example, over the past decade, both ADB and OPIC have assisted Digicel, the country’s largest mobile network, in expanding its network capacity and coverage. OPIC’s </w:t>
      </w:r>
      <w:r w:rsidR="00800236">
        <w:rPr>
          <w:rFonts w:ascii="Calibri" w:eastAsia="Times New Roman" w:hAnsi="Calibri" w:cs="Times New Roman"/>
          <w:color w:val="000000"/>
          <w:lang w:eastAsia="en-IN"/>
        </w:rPr>
        <w:t>US$</w:t>
      </w:r>
      <w:r w:rsidRPr="007E2005">
        <w:rPr>
          <w:rFonts w:ascii="Calibri" w:eastAsia="Times New Roman" w:hAnsi="Calibri" w:cs="Times New Roman"/>
          <w:color w:val="000000"/>
          <w:lang w:eastAsia="en-IN"/>
        </w:rPr>
        <w:t xml:space="preserve"> 10 million investment guarantee in 2012 helped the company introduce telecommunications services to underserved markets in PNG, including rural areas. Digicel also continued to invest in solar-powered telecom towers, thus reducing pollution and fossil fuel usage. </w:t>
      </w:r>
    </w:p>
    <w:p w14:paraId="6E42774E" w14:textId="279DF1EA" w:rsidR="006B593E" w:rsidRPr="007E2005" w:rsidRDefault="006B593E" w:rsidP="006B593E">
      <w:pPr>
        <w:numPr>
          <w:ilvl w:val="0"/>
          <w:numId w:val="46"/>
        </w:numPr>
        <w:pBdr>
          <w:top w:val="nil"/>
          <w:left w:val="nil"/>
          <w:bottom w:val="nil"/>
          <w:right w:val="nil"/>
          <w:between w:val="nil"/>
        </w:pBdr>
        <w:tabs>
          <w:tab w:val="left" w:pos="360"/>
        </w:tabs>
        <w:spacing w:before="120" w:after="120" w:line="240" w:lineRule="auto"/>
        <w:ind w:right="602"/>
        <w:jc w:val="both"/>
        <w:rPr>
          <w:rFonts w:ascii="Calibri" w:eastAsia="Lato" w:hAnsi="Calibri" w:cs="Lato"/>
          <w:b/>
          <w:color w:val="000000"/>
          <w:lang w:eastAsia="en-IN"/>
        </w:rPr>
      </w:pPr>
      <w:r w:rsidRPr="007E2005">
        <w:rPr>
          <w:rFonts w:ascii="Calibri" w:eastAsia="Times New Roman" w:hAnsi="Calibri" w:cs="Times New Roman"/>
          <w:i/>
          <w:color w:val="000000"/>
          <w:lang w:eastAsia="en-IN"/>
        </w:rPr>
        <w:t xml:space="preserve">Facilitating restructuring of the existing players </w:t>
      </w:r>
      <w:proofErr w:type="spellStart"/>
      <w:r w:rsidRPr="007E2005">
        <w:rPr>
          <w:rFonts w:ascii="Calibri" w:eastAsia="Times New Roman" w:hAnsi="Calibri" w:cs="Times New Roman"/>
          <w:i/>
          <w:color w:val="000000"/>
          <w:lang w:eastAsia="en-IN"/>
        </w:rPr>
        <w:t>Bmobile</w:t>
      </w:r>
      <w:proofErr w:type="spellEnd"/>
      <w:r w:rsidRPr="007E2005">
        <w:rPr>
          <w:rFonts w:ascii="Calibri" w:eastAsia="Times New Roman" w:hAnsi="Calibri" w:cs="Times New Roman"/>
          <w:i/>
          <w:color w:val="000000"/>
          <w:lang w:eastAsia="en-IN"/>
        </w:rPr>
        <w:t xml:space="preserve"> and </w:t>
      </w:r>
      <w:proofErr w:type="spellStart"/>
      <w:r w:rsidRPr="007E2005">
        <w:rPr>
          <w:rFonts w:ascii="Calibri" w:eastAsia="Times New Roman" w:hAnsi="Calibri" w:cs="Times New Roman"/>
          <w:i/>
          <w:color w:val="000000"/>
          <w:lang w:eastAsia="en-IN"/>
        </w:rPr>
        <w:t>Citifon</w:t>
      </w:r>
      <w:proofErr w:type="spellEnd"/>
      <w:r w:rsidRPr="007E2005">
        <w:rPr>
          <w:rFonts w:ascii="Calibri" w:eastAsia="Times New Roman" w:hAnsi="Calibri" w:cs="Times New Roman"/>
          <w:i/>
          <w:color w:val="000000"/>
          <w:lang w:eastAsia="en-IN"/>
        </w:rPr>
        <w:t xml:space="preserve"> to</w:t>
      </w:r>
      <w:r w:rsidRPr="007E2005">
        <w:rPr>
          <w:rFonts w:ascii="Calibri" w:eastAsia="Times New Roman" w:hAnsi="Calibri" w:cs="Times New Roman"/>
          <w:i/>
          <w:lang w:eastAsia="en-IN"/>
        </w:rPr>
        <w:t xml:space="preserve"> </w:t>
      </w:r>
      <w:r w:rsidRPr="007E2005">
        <w:rPr>
          <w:rFonts w:ascii="Calibri" w:eastAsia="Times New Roman" w:hAnsi="Calibri" w:cs="Times New Roman"/>
          <w:i/>
          <w:color w:val="000000"/>
          <w:lang w:eastAsia="en-IN"/>
        </w:rPr>
        <w:t xml:space="preserve">improve the transparency and operational capabilities of both companies. </w:t>
      </w:r>
      <w:r w:rsidRPr="007E2005">
        <w:rPr>
          <w:rFonts w:ascii="Calibri" w:eastAsia="Times New Roman" w:hAnsi="Calibri" w:cs="Times New Roman"/>
          <w:color w:val="000000"/>
          <w:lang w:eastAsia="en-IN"/>
        </w:rPr>
        <w:t xml:space="preserve">As an example of what might be possible in the PNG context, IFC advised the government of Kenya on the privatisation of Telkom Kenya Limited (TKL) in 2007. IFC was able to assist the Kenyan government with a restructuring package that demanded transparency and balanced the interests of several public and private players. A consortium led by France Telecom won the bid, paying </w:t>
      </w:r>
      <w:r w:rsidR="00800236">
        <w:rPr>
          <w:rFonts w:ascii="Calibri" w:eastAsia="Times New Roman" w:hAnsi="Calibri" w:cs="Times New Roman"/>
          <w:color w:val="000000"/>
          <w:lang w:eastAsia="en-IN"/>
        </w:rPr>
        <w:t>US$</w:t>
      </w:r>
      <w:r w:rsidRPr="007E2005">
        <w:rPr>
          <w:rFonts w:ascii="Calibri" w:eastAsia="Times New Roman" w:hAnsi="Calibri" w:cs="Times New Roman"/>
          <w:color w:val="000000"/>
          <w:lang w:eastAsia="en-IN"/>
        </w:rPr>
        <w:t xml:space="preserve"> 390 million for 51% of TKL. IFC also helped to unbundle TKL’s 60% stake in Safaricom and vest it back to the government. The unbundling of this stake led to the flotation of 25 per cent of Safaricom in June 2008. The initial public offering was the largest ever in East Africa and raised over </w:t>
      </w:r>
      <w:r w:rsidR="00800236">
        <w:rPr>
          <w:rFonts w:ascii="Calibri" w:eastAsia="Times New Roman" w:hAnsi="Calibri" w:cs="Times New Roman"/>
          <w:color w:val="000000"/>
          <w:lang w:eastAsia="en-IN"/>
        </w:rPr>
        <w:t>US$</w:t>
      </w:r>
      <w:r w:rsidRPr="007E2005">
        <w:rPr>
          <w:rFonts w:ascii="Calibri" w:eastAsia="Times New Roman" w:hAnsi="Calibri" w:cs="Times New Roman"/>
          <w:color w:val="000000"/>
          <w:lang w:eastAsia="en-IN"/>
        </w:rPr>
        <w:t xml:space="preserve"> 800 million for the government.</w:t>
      </w:r>
    </w:p>
    <w:p w14:paraId="06E7E89F" w14:textId="77777777" w:rsidR="006B593E" w:rsidRPr="007E2005" w:rsidRDefault="006B593E" w:rsidP="006B593E">
      <w:pPr>
        <w:numPr>
          <w:ilvl w:val="0"/>
          <w:numId w:val="46"/>
        </w:numPr>
        <w:pBdr>
          <w:top w:val="nil"/>
          <w:left w:val="nil"/>
          <w:bottom w:val="nil"/>
          <w:right w:val="nil"/>
          <w:between w:val="nil"/>
        </w:pBdr>
        <w:tabs>
          <w:tab w:val="left" w:pos="360"/>
        </w:tabs>
        <w:spacing w:before="120" w:after="120" w:line="240" w:lineRule="auto"/>
        <w:ind w:right="602"/>
        <w:jc w:val="both"/>
        <w:rPr>
          <w:rFonts w:ascii="Calibri" w:eastAsia="Lato" w:hAnsi="Calibri" w:cs="Lato"/>
          <w:color w:val="000000"/>
          <w:lang w:eastAsia="en-IN"/>
        </w:rPr>
      </w:pPr>
      <w:r w:rsidRPr="007E2005">
        <w:rPr>
          <w:rFonts w:ascii="Calibri" w:eastAsia="Times New Roman" w:hAnsi="Calibri" w:cs="Times New Roman"/>
          <w:i/>
          <w:color w:val="000000"/>
          <w:lang w:eastAsia="en-IN"/>
        </w:rPr>
        <w:t>Facilitating spinoff businesses following the arrival of the undersea fibre optic cable.</w:t>
      </w:r>
      <w:r w:rsidRPr="007E2005">
        <w:rPr>
          <w:rFonts w:ascii="Calibri" w:eastAsia="Times New Roman" w:hAnsi="Calibri" w:cs="Times New Roman"/>
          <w:color w:val="000000"/>
          <w:lang w:eastAsia="en-IN"/>
        </w:rPr>
        <w:t xml:space="preserve"> The cable should stimulate significant demand for spinoff business opportunities in a segment where, with DFAT’s assistance, Australian tech companies could play a meaningful role.</w:t>
      </w:r>
    </w:p>
    <w:p w14:paraId="09D3C3DA" w14:textId="77777777" w:rsidR="006B593E" w:rsidRPr="00684EA6" w:rsidRDefault="006B593E" w:rsidP="006B593E">
      <w:pPr>
        <w:tabs>
          <w:tab w:val="left" w:pos="360"/>
          <w:tab w:val="left" w:pos="540"/>
        </w:tabs>
        <w:spacing w:before="120" w:after="120" w:line="240" w:lineRule="auto"/>
        <w:ind w:right="602"/>
        <w:jc w:val="both"/>
        <w:rPr>
          <w:rFonts w:ascii="Calibri" w:eastAsia="Times New Roman" w:hAnsi="Calibri" w:cs="Times New Roman"/>
          <w:lang w:eastAsia="en-IN"/>
        </w:rPr>
      </w:pPr>
      <w:r w:rsidRPr="00684EA6">
        <w:rPr>
          <w:rFonts w:ascii="Calibri" w:eastAsia="Times New Roman" w:hAnsi="Calibri" w:cs="Times New Roman"/>
          <w:color w:val="4F81BD"/>
          <w:sz w:val="26"/>
          <w:szCs w:val="26"/>
          <w:lang w:eastAsia="en-IN"/>
        </w:rPr>
        <w:t xml:space="preserve">Demand for </w:t>
      </w:r>
      <w:r>
        <w:rPr>
          <w:rFonts w:ascii="Calibri" w:eastAsia="Times New Roman" w:hAnsi="Calibri" w:cs="Times New Roman"/>
          <w:color w:val="4F81BD"/>
          <w:sz w:val="26"/>
          <w:szCs w:val="26"/>
          <w:lang w:eastAsia="en-IN"/>
        </w:rPr>
        <w:t>NGF</w:t>
      </w:r>
      <w:r w:rsidRPr="00684EA6">
        <w:rPr>
          <w:rFonts w:ascii="Calibri" w:eastAsia="Times New Roman" w:hAnsi="Calibri" w:cs="Times New Roman"/>
          <w:color w:val="4F81BD"/>
          <w:sz w:val="26"/>
          <w:szCs w:val="26"/>
          <w:lang w:eastAsia="en-IN"/>
        </w:rPr>
        <w:t xml:space="preserve"> in the Agricultural and Fisheries Sector </w:t>
      </w:r>
    </w:p>
    <w:p w14:paraId="1C0D3C7E" w14:textId="181EEC9C" w:rsidR="006B593E" w:rsidRPr="007E2005" w:rsidRDefault="006B593E" w:rsidP="006B593E">
      <w:pPr>
        <w:numPr>
          <w:ilvl w:val="0"/>
          <w:numId w:val="43"/>
        </w:numPr>
        <w:tabs>
          <w:tab w:val="left" w:pos="360"/>
          <w:tab w:val="left" w:pos="540"/>
        </w:tabs>
        <w:spacing w:before="120" w:after="120" w:line="240" w:lineRule="auto"/>
        <w:ind w:left="0" w:right="602" w:firstLine="0"/>
        <w:jc w:val="both"/>
        <w:rPr>
          <w:rFonts w:ascii="Calibri" w:eastAsia="Times New Roman" w:hAnsi="Calibri" w:cs="Times New Roman"/>
          <w:lang w:eastAsia="en-IN"/>
        </w:rPr>
      </w:pPr>
      <w:r w:rsidRPr="007E2005">
        <w:rPr>
          <w:rFonts w:ascii="Calibri" w:eastAsia="Times New Roman" w:hAnsi="Calibri" w:cs="Times New Roman"/>
          <w:b/>
          <w:color w:val="000000"/>
          <w:lang w:eastAsia="en-IN"/>
        </w:rPr>
        <w:t xml:space="preserve">The relatively undeveloped agriculture and fisheries sector is critical to the livelihoods of millions in PNG. </w:t>
      </w:r>
      <w:r w:rsidRPr="007E2005">
        <w:rPr>
          <w:rFonts w:ascii="Calibri" w:eastAsia="Times New Roman" w:hAnsi="Calibri" w:cs="Times New Roman"/>
          <w:color w:val="000000"/>
          <w:lang w:eastAsia="en-IN"/>
        </w:rPr>
        <w:t xml:space="preserve">Agriculture constitutes between 25% to 40% of the nation’s GDP and more than 85% of the population—overwhelmingly indigenous—is employed in subsistence farming and fishing. However, less than 2% of the national </w:t>
      </w:r>
      <w:r w:rsidRPr="007E2005">
        <w:rPr>
          <w:rFonts w:ascii="Calibri" w:eastAsia="Times New Roman" w:hAnsi="Calibri" w:cs="Times New Roman"/>
          <w:color w:val="000000"/>
          <w:highlight w:val="white"/>
          <w:lang w:eastAsia="en-IN"/>
        </w:rPr>
        <w:t>budget is allocated for agriculture.</w:t>
      </w:r>
      <w:r w:rsidRPr="007E2005">
        <w:rPr>
          <w:rFonts w:ascii="Calibri" w:eastAsia="Times New Roman" w:hAnsi="Calibri" w:cs="Times New Roman"/>
          <w:color w:val="000000"/>
          <w:lang w:eastAsia="en-IN"/>
        </w:rPr>
        <w:t xml:space="preserve"> PNG has extensive and valuable fishery resources, including inland river fisheries. </w:t>
      </w:r>
      <w:r w:rsidRPr="007E2005">
        <w:rPr>
          <w:rFonts w:ascii="Calibri" w:eastAsia="Times New Roman" w:hAnsi="Calibri" w:cs="Times New Roman"/>
          <w:color w:val="000000"/>
          <w:highlight w:val="white"/>
          <w:lang w:eastAsia="en-IN"/>
        </w:rPr>
        <w:t xml:space="preserve">The Pacific Tuna Forum estimates that the value of the annual tuna catch in PNG’s waters could double to </w:t>
      </w:r>
      <w:r w:rsidR="00800236">
        <w:rPr>
          <w:rFonts w:ascii="Calibri" w:eastAsia="Times New Roman" w:hAnsi="Calibri" w:cs="Times New Roman"/>
          <w:color w:val="000000"/>
          <w:highlight w:val="white"/>
          <w:lang w:eastAsia="en-IN"/>
        </w:rPr>
        <w:t>US$</w:t>
      </w:r>
      <w:r w:rsidRPr="007E2005">
        <w:rPr>
          <w:rFonts w:ascii="Calibri" w:eastAsia="Times New Roman" w:hAnsi="Calibri" w:cs="Times New Roman"/>
          <w:color w:val="000000"/>
          <w:highlight w:val="white"/>
          <w:lang w:eastAsia="en-IN"/>
        </w:rPr>
        <w:t xml:space="preserve"> 2.7 billion if the industry explored more value-added activities</w:t>
      </w:r>
      <w:r w:rsidRPr="007E2005">
        <w:rPr>
          <w:rFonts w:ascii="Calibri" w:eastAsia="Times New Roman" w:hAnsi="Calibri" w:cs="Times New Roman"/>
          <w:color w:val="000000"/>
          <w:lang w:eastAsia="en-IN"/>
        </w:rPr>
        <w:t xml:space="preserve">. However, </w:t>
      </w:r>
      <w:r w:rsidRPr="007E2005">
        <w:rPr>
          <w:rFonts w:ascii="Calibri" w:eastAsia="Times New Roman" w:hAnsi="Calibri" w:cs="Times New Roman"/>
          <w:color w:val="000000"/>
          <w:highlight w:val="white"/>
          <w:lang w:eastAsia="en-IN"/>
        </w:rPr>
        <w:t xml:space="preserve">large ocean territories </w:t>
      </w:r>
      <w:r w:rsidRPr="007E2005">
        <w:rPr>
          <w:rFonts w:ascii="Calibri" w:eastAsia="Times New Roman" w:hAnsi="Calibri" w:cs="Times New Roman"/>
          <w:color w:val="000000"/>
          <w:highlight w:val="white"/>
          <w:lang w:eastAsia="en-IN"/>
        </w:rPr>
        <w:lastRenderedPageBreak/>
        <w:t xml:space="preserve">have made it difficult to prevent unlicensed fishing boats from encroaching on PNG's exclusive economic zone (EEZ), while climate change has had further adverse effects on fish stock. Poor infrastructure and fragmented supply chains, combined with high production costs and infrequent use of modern inputs, have essentially shut PNG out of the broader global agriculture market. </w:t>
      </w:r>
      <w:proofErr w:type="gramStart"/>
      <w:r w:rsidRPr="007E2005">
        <w:rPr>
          <w:rFonts w:ascii="Calibri" w:eastAsia="Times New Roman" w:hAnsi="Calibri" w:cs="Times New Roman"/>
          <w:color w:val="000000"/>
          <w:highlight w:val="white"/>
          <w:lang w:eastAsia="en-IN"/>
        </w:rPr>
        <w:t>With the exception of</w:t>
      </w:r>
      <w:proofErr w:type="gramEnd"/>
      <w:r w:rsidRPr="007E2005">
        <w:rPr>
          <w:rFonts w:ascii="Calibri" w:eastAsia="Times New Roman" w:hAnsi="Calibri" w:cs="Times New Roman"/>
          <w:color w:val="000000"/>
          <w:highlight w:val="white"/>
          <w:lang w:eastAsia="en-IN"/>
        </w:rPr>
        <w:t xml:space="preserve"> </w:t>
      </w:r>
      <w:r w:rsidRPr="007E2005">
        <w:rPr>
          <w:rFonts w:ascii="Calibri" w:eastAsia="Times New Roman" w:hAnsi="Calibri" w:cs="Times New Roman"/>
          <w:color w:val="000000"/>
          <w:lang w:eastAsia="en-IN"/>
        </w:rPr>
        <w:t xml:space="preserve">commodities such as rice, palm oil and sugar cane, which are supported for political reasons, the government does not invest in research and development for most other commodities. Few financial institutions are willing to lend to smallholder farmers under the best circumstances; in PNG, climate vulnerability, land tenure uncertainty and transaction costs add to the high level of perceived risk. </w:t>
      </w:r>
    </w:p>
    <w:p w14:paraId="42D66D63" w14:textId="77777777" w:rsidR="006B593E" w:rsidRPr="007E2005" w:rsidRDefault="006B593E" w:rsidP="006B593E">
      <w:pPr>
        <w:numPr>
          <w:ilvl w:val="0"/>
          <w:numId w:val="43"/>
        </w:numPr>
        <w:tabs>
          <w:tab w:val="left" w:pos="360"/>
          <w:tab w:val="left" w:pos="540"/>
        </w:tabs>
        <w:spacing w:before="120" w:after="120" w:line="240" w:lineRule="auto"/>
        <w:ind w:left="0" w:right="602" w:firstLine="0"/>
        <w:jc w:val="both"/>
        <w:rPr>
          <w:rFonts w:ascii="Calibri" w:eastAsia="Times New Roman" w:hAnsi="Calibri" w:cs="Times New Roman"/>
          <w:lang w:eastAsia="en-IN"/>
        </w:rPr>
      </w:pPr>
      <w:r w:rsidRPr="007E2005">
        <w:rPr>
          <w:rFonts w:ascii="Calibri" w:eastAsia="Times New Roman" w:hAnsi="Calibri" w:cs="Times New Roman"/>
          <w:b/>
          <w:color w:val="000000"/>
          <w:lang w:eastAsia="en-IN"/>
        </w:rPr>
        <w:t xml:space="preserve">Further developing the productivity and commercial viability of the agricultural sector will be critical for PNG to realise a more inclusive and diversified economy. </w:t>
      </w:r>
      <w:r w:rsidRPr="007E2005">
        <w:rPr>
          <w:rFonts w:ascii="Calibri" w:eastAsia="Times New Roman" w:hAnsi="Calibri" w:cs="Times New Roman"/>
          <w:color w:val="000000"/>
          <w:highlight w:val="white"/>
          <w:lang w:eastAsia="en-IN"/>
        </w:rPr>
        <w:t>As per the MTDP III, the state is focused on developing agriculture and agribusinesses in the medium term. To this end, the state has committed itself to enacting land reforms, developing road networks to link rural areas to trade hubs, improving extension services, assisting farmers in replanting high-yield varieties of certain commodities and implementing food safety standards to boost PNG's exports</w:t>
      </w:r>
      <w:r>
        <w:rPr>
          <w:rFonts w:ascii="Calibri" w:eastAsia="Times New Roman" w:hAnsi="Calibri" w:cs="Times New Roman"/>
          <w:color w:val="000000"/>
          <w:highlight w:val="white"/>
          <w:lang w:eastAsia="en-IN"/>
        </w:rPr>
        <w:t>.</w:t>
      </w:r>
      <w:r w:rsidRPr="007E2005">
        <w:rPr>
          <w:rFonts w:ascii="Calibri" w:eastAsia="Lato" w:hAnsi="Calibri" w:cs="Lato"/>
          <w:color w:val="000000"/>
          <w:highlight w:val="white"/>
          <w:vertAlign w:val="superscript"/>
          <w:lang w:eastAsia="en-IN"/>
        </w:rPr>
        <w:footnoteReference w:id="126"/>
      </w:r>
      <w:r w:rsidRPr="007E2005">
        <w:rPr>
          <w:rFonts w:ascii="Calibri" w:eastAsia="Times New Roman" w:hAnsi="Calibri" w:cs="Times New Roman"/>
          <w:color w:val="000000"/>
          <w:highlight w:val="white"/>
          <w:lang w:eastAsia="en-IN"/>
        </w:rPr>
        <w:t xml:space="preserve"> </w:t>
      </w:r>
    </w:p>
    <w:p w14:paraId="372F50F9" w14:textId="77777777" w:rsidR="006B593E" w:rsidRPr="007E2005" w:rsidRDefault="006B593E" w:rsidP="006B593E">
      <w:pPr>
        <w:numPr>
          <w:ilvl w:val="0"/>
          <w:numId w:val="43"/>
        </w:numPr>
        <w:tabs>
          <w:tab w:val="left" w:pos="360"/>
          <w:tab w:val="left" w:pos="540"/>
        </w:tabs>
        <w:spacing w:before="120" w:after="120" w:line="240" w:lineRule="auto"/>
        <w:ind w:left="0" w:right="602" w:firstLine="0"/>
        <w:jc w:val="both"/>
        <w:rPr>
          <w:rFonts w:ascii="Calibri" w:eastAsia="Times New Roman" w:hAnsi="Calibri" w:cs="Times New Roman"/>
          <w:lang w:eastAsia="en-IN"/>
        </w:rPr>
      </w:pPr>
      <w:r w:rsidRPr="007E2005">
        <w:rPr>
          <w:rFonts w:ascii="Calibri" w:eastAsia="Times New Roman" w:hAnsi="Calibri" w:cs="Times New Roman"/>
          <w:b/>
          <w:color w:val="000000"/>
          <w:lang w:eastAsia="en-IN"/>
        </w:rPr>
        <w:t xml:space="preserve">The agricultural sector in PNG offers Australia opportunities to deploy </w:t>
      </w:r>
      <w:r>
        <w:rPr>
          <w:rFonts w:ascii="Calibri" w:eastAsia="Times New Roman" w:hAnsi="Calibri" w:cs="Times New Roman"/>
          <w:b/>
          <w:color w:val="000000"/>
          <w:lang w:eastAsia="en-IN"/>
        </w:rPr>
        <w:t>NGF</w:t>
      </w:r>
      <w:r w:rsidRPr="007E2005">
        <w:rPr>
          <w:rFonts w:ascii="Calibri" w:eastAsia="Times New Roman" w:hAnsi="Calibri" w:cs="Times New Roman"/>
          <w:b/>
          <w:color w:val="000000"/>
          <w:lang w:eastAsia="en-IN"/>
        </w:rPr>
        <w:t xml:space="preserve"> in ways that can have strong development impact through spurring more inclusive market development; however, given the relatively underdeveloped state of the sector, significant effort will likely be required in project development phases </w:t>
      </w:r>
      <w:proofErr w:type="gramStart"/>
      <w:r w:rsidRPr="007E2005">
        <w:rPr>
          <w:rFonts w:ascii="Calibri" w:eastAsia="Times New Roman" w:hAnsi="Calibri" w:cs="Times New Roman"/>
          <w:b/>
          <w:color w:val="000000"/>
          <w:lang w:eastAsia="en-IN"/>
        </w:rPr>
        <w:t>in order to</w:t>
      </w:r>
      <w:proofErr w:type="gramEnd"/>
      <w:r w:rsidRPr="007E2005">
        <w:rPr>
          <w:rFonts w:ascii="Calibri" w:eastAsia="Times New Roman" w:hAnsi="Calibri" w:cs="Times New Roman"/>
          <w:b/>
          <w:color w:val="000000"/>
          <w:lang w:eastAsia="en-IN"/>
        </w:rPr>
        <w:t xml:space="preserve"> create bankable opportunities. </w:t>
      </w:r>
      <w:r w:rsidRPr="007E2005">
        <w:rPr>
          <w:rFonts w:ascii="Calibri" w:eastAsia="Times New Roman" w:hAnsi="Calibri" w:cs="Times New Roman"/>
          <w:color w:val="000000"/>
          <w:lang w:eastAsia="en-IN"/>
        </w:rPr>
        <w:t xml:space="preserve">Promising opportunities include: </w:t>
      </w:r>
    </w:p>
    <w:p w14:paraId="2D422A6A" w14:textId="77777777" w:rsidR="006B593E" w:rsidRPr="007E2005" w:rsidRDefault="006B593E" w:rsidP="006B593E">
      <w:pPr>
        <w:numPr>
          <w:ilvl w:val="0"/>
          <w:numId w:val="47"/>
        </w:numPr>
        <w:pBdr>
          <w:top w:val="nil"/>
          <w:left w:val="nil"/>
          <w:bottom w:val="nil"/>
          <w:right w:val="nil"/>
          <w:between w:val="nil"/>
        </w:pBdr>
        <w:tabs>
          <w:tab w:val="left" w:pos="360"/>
        </w:tabs>
        <w:spacing w:before="120" w:after="120" w:line="240" w:lineRule="auto"/>
        <w:ind w:right="602"/>
        <w:jc w:val="both"/>
        <w:rPr>
          <w:rFonts w:ascii="Calibri" w:eastAsia="Lato" w:hAnsi="Calibri" w:cs="Lato"/>
          <w:i/>
          <w:color w:val="000000"/>
          <w:lang w:eastAsia="en-IN"/>
        </w:rPr>
      </w:pPr>
      <w:r w:rsidRPr="007E2005">
        <w:rPr>
          <w:rFonts w:ascii="Calibri" w:eastAsia="Times New Roman" w:hAnsi="Calibri" w:cs="Times New Roman"/>
          <w:i/>
          <w:color w:val="000000"/>
          <w:lang w:eastAsia="en-IN"/>
        </w:rPr>
        <w:t xml:space="preserve">Providing finance (concessional, where </w:t>
      </w:r>
      <w:r w:rsidRPr="007E2005">
        <w:rPr>
          <w:rFonts w:ascii="Calibri" w:eastAsia="Times New Roman" w:hAnsi="Calibri" w:cs="Times New Roman"/>
          <w:i/>
          <w:lang w:eastAsia="en-IN"/>
        </w:rPr>
        <w:t>opportunities</w:t>
      </w:r>
      <w:r w:rsidRPr="007E2005">
        <w:rPr>
          <w:rFonts w:ascii="Calibri" w:eastAsia="Times New Roman" w:hAnsi="Calibri" w:cs="Times New Roman"/>
          <w:i/>
          <w:color w:val="000000"/>
          <w:lang w:eastAsia="en-IN"/>
        </w:rPr>
        <w:t xml:space="preserve"> have been eval</w:t>
      </w:r>
      <w:r w:rsidRPr="007E2005">
        <w:rPr>
          <w:rFonts w:ascii="Calibri" w:eastAsia="Times New Roman" w:hAnsi="Calibri" w:cs="Times New Roman"/>
          <w:i/>
          <w:lang w:eastAsia="en-IN"/>
        </w:rPr>
        <w:t xml:space="preserve">uated as </w:t>
      </w:r>
      <w:r w:rsidRPr="007E2005">
        <w:rPr>
          <w:rFonts w:ascii="Calibri" w:eastAsia="Times New Roman" w:hAnsi="Calibri" w:cs="Times New Roman"/>
          <w:i/>
          <w:color w:val="000000"/>
          <w:lang w:eastAsia="en-IN"/>
        </w:rPr>
        <w:t>sub-commercial) to intermediaries (banks, funds, etc.) to finance the formalisation and growth of agribusinesses that have inclusive business models</w:t>
      </w:r>
    </w:p>
    <w:p w14:paraId="5E61E2B2" w14:textId="77777777" w:rsidR="006B593E" w:rsidRPr="007E2005" w:rsidRDefault="006B593E" w:rsidP="006B593E">
      <w:pPr>
        <w:numPr>
          <w:ilvl w:val="0"/>
          <w:numId w:val="47"/>
        </w:numPr>
        <w:pBdr>
          <w:top w:val="nil"/>
          <w:left w:val="nil"/>
          <w:bottom w:val="nil"/>
          <w:right w:val="nil"/>
          <w:between w:val="nil"/>
        </w:pBdr>
        <w:tabs>
          <w:tab w:val="left" w:pos="360"/>
        </w:tabs>
        <w:spacing w:before="120" w:after="120" w:line="240" w:lineRule="auto"/>
        <w:ind w:right="602"/>
        <w:jc w:val="both"/>
        <w:rPr>
          <w:rFonts w:ascii="Calibri" w:eastAsia="Lato" w:hAnsi="Calibri" w:cs="Lato"/>
          <w:color w:val="000000"/>
          <w:lang w:eastAsia="en-IN"/>
        </w:rPr>
      </w:pPr>
      <w:r w:rsidRPr="007E2005">
        <w:rPr>
          <w:rFonts w:ascii="Calibri" w:eastAsia="Times New Roman" w:hAnsi="Calibri" w:cs="Times New Roman"/>
          <w:i/>
          <w:color w:val="000000"/>
          <w:lang w:eastAsia="en-IN"/>
        </w:rPr>
        <w:t xml:space="preserve">Providing financing </w:t>
      </w:r>
      <w:r w:rsidRPr="007E2005">
        <w:rPr>
          <w:rFonts w:ascii="Calibri" w:eastAsia="Times New Roman" w:hAnsi="Calibri" w:cs="Times New Roman"/>
          <w:i/>
          <w:lang w:eastAsia="en-IN"/>
        </w:rPr>
        <w:t xml:space="preserve">(concessional, where opportunities have been evaluated as sub-commercial) </w:t>
      </w:r>
      <w:r w:rsidRPr="007E2005">
        <w:rPr>
          <w:rFonts w:ascii="Calibri" w:eastAsia="Times New Roman" w:hAnsi="Calibri" w:cs="Times New Roman"/>
          <w:i/>
          <w:color w:val="000000"/>
          <w:lang w:eastAsia="en-IN"/>
        </w:rPr>
        <w:t xml:space="preserve">to larger-scale projects to develop agricultural zones and corridors </w:t>
      </w:r>
    </w:p>
    <w:p w14:paraId="6C42BDB9" w14:textId="0D1F8CE3" w:rsidR="006B593E" w:rsidRPr="007E2005" w:rsidRDefault="006B593E" w:rsidP="006B593E">
      <w:pPr>
        <w:numPr>
          <w:ilvl w:val="0"/>
          <w:numId w:val="47"/>
        </w:numPr>
        <w:pBdr>
          <w:top w:val="nil"/>
          <w:left w:val="nil"/>
          <w:bottom w:val="nil"/>
          <w:right w:val="nil"/>
          <w:between w:val="nil"/>
        </w:pBdr>
        <w:tabs>
          <w:tab w:val="left" w:pos="360"/>
        </w:tabs>
        <w:spacing w:before="120" w:after="120" w:line="240" w:lineRule="auto"/>
        <w:ind w:right="602"/>
        <w:jc w:val="both"/>
        <w:rPr>
          <w:rFonts w:ascii="Calibri" w:eastAsia="Lato" w:hAnsi="Calibri" w:cs="Lato"/>
          <w:color w:val="000000"/>
          <w:lang w:eastAsia="en-IN"/>
        </w:rPr>
      </w:pPr>
      <w:r w:rsidRPr="007E2005">
        <w:rPr>
          <w:rFonts w:ascii="Calibri" w:eastAsia="Times New Roman" w:hAnsi="Calibri" w:cs="Times New Roman"/>
          <w:i/>
          <w:color w:val="000000"/>
          <w:lang w:eastAsia="en-IN"/>
        </w:rPr>
        <w:t>Financing projects to further develop fisheries in PNG.</w:t>
      </w:r>
      <w:r w:rsidRPr="007E2005">
        <w:rPr>
          <w:rFonts w:ascii="Calibri" w:eastAsia="Times New Roman" w:hAnsi="Calibri" w:cs="Times New Roman"/>
          <w:color w:val="000000"/>
          <w:lang w:eastAsia="en-IN"/>
        </w:rPr>
        <w:t xml:space="preserve"> For example, the EU-financed Rural Coastal Fisheries Development</w:t>
      </w:r>
      <w:r>
        <w:rPr>
          <w:rFonts w:ascii="Calibri" w:eastAsia="Times New Roman" w:hAnsi="Calibri" w:cs="Times New Roman"/>
          <w:color w:val="000000"/>
          <w:lang w:eastAsia="en-IN"/>
        </w:rPr>
        <w:t xml:space="preserve"> </w:t>
      </w:r>
      <w:r w:rsidR="0073249A">
        <w:rPr>
          <w:rFonts w:ascii="Calibri" w:eastAsia="Times New Roman" w:hAnsi="Calibri" w:cs="Times New Roman"/>
          <w:color w:val="000000"/>
          <w:lang w:eastAsia="en-IN"/>
        </w:rPr>
        <w:t>program</w:t>
      </w:r>
      <w:r>
        <w:rPr>
          <w:rFonts w:ascii="Calibri" w:eastAsia="Times New Roman" w:hAnsi="Calibri" w:cs="Times New Roman"/>
          <w:color w:val="000000"/>
          <w:lang w:eastAsia="en-IN"/>
        </w:rPr>
        <w:t xml:space="preserve"> </w:t>
      </w:r>
      <w:r w:rsidRPr="007E2005">
        <w:rPr>
          <w:rFonts w:ascii="Calibri" w:eastAsia="Times New Roman" w:hAnsi="Calibri" w:cs="Times New Roman"/>
          <w:color w:val="000000"/>
          <w:lang w:eastAsia="en-IN"/>
        </w:rPr>
        <w:t>(RCFDP) has managed a revolving fund for paying off boat loans since 2002. In addition, private players such as PNG Microfinance Limited have collaborated with the National Fishery Authority to extend microfinance facilities to buy fishing equipment or start wholesaling stock</w:t>
      </w:r>
      <w:r>
        <w:rPr>
          <w:rFonts w:ascii="Calibri" w:eastAsia="Times New Roman" w:hAnsi="Calibri" w:cs="Times New Roman"/>
          <w:color w:val="000000"/>
          <w:lang w:eastAsia="en-IN"/>
        </w:rPr>
        <w:t>.</w:t>
      </w:r>
      <w:r w:rsidRPr="007E2005">
        <w:rPr>
          <w:rFonts w:ascii="Calibri" w:eastAsia="Times New Roman" w:hAnsi="Calibri" w:cs="Times New Roman"/>
          <w:color w:val="000000"/>
          <w:vertAlign w:val="superscript"/>
          <w:lang w:eastAsia="en-IN"/>
        </w:rPr>
        <w:footnoteReference w:id="127"/>
      </w:r>
    </w:p>
    <w:p w14:paraId="57755419" w14:textId="77777777" w:rsidR="006B593E" w:rsidRPr="00684EA6" w:rsidRDefault="006B593E" w:rsidP="006B593E">
      <w:pPr>
        <w:tabs>
          <w:tab w:val="left" w:pos="360"/>
          <w:tab w:val="left" w:pos="540"/>
        </w:tabs>
        <w:spacing w:before="120" w:after="120" w:line="240" w:lineRule="auto"/>
        <w:ind w:right="602"/>
        <w:jc w:val="both"/>
        <w:rPr>
          <w:rFonts w:ascii="Calibri" w:eastAsia="Times New Roman" w:hAnsi="Calibri" w:cs="Times New Roman"/>
          <w:lang w:eastAsia="en-IN"/>
        </w:rPr>
      </w:pPr>
      <w:r w:rsidRPr="00684EA6">
        <w:rPr>
          <w:rFonts w:ascii="Calibri" w:eastAsia="Times New Roman" w:hAnsi="Calibri" w:cs="Times New Roman"/>
          <w:color w:val="4F81BD"/>
          <w:sz w:val="26"/>
          <w:szCs w:val="26"/>
          <w:lang w:eastAsia="en-IN"/>
        </w:rPr>
        <w:t xml:space="preserve">Demand for </w:t>
      </w:r>
      <w:r>
        <w:rPr>
          <w:rFonts w:ascii="Calibri" w:eastAsia="Times New Roman" w:hAnsi="Calibri" w:cs="Times New Roman"/>
          <w:color w:val="4F81BD"/>
          <w:sz w:val="26"/>
          <w:szCs w:val="26"/>
          <w:lang w:eastAsia="en-IN"/>
        </w:rPr>
        <w:t>NGF</w:t>
      </w:r>
      <w:r w:rsidRPr="00684EA6">
        <w:rPr>
          <w:rFonts w:ascii="Calibri" w:eastAsia="Times New Roman" w:hAnsi="Calibri" w:cs="Times New Roman"/>
          <w:color w:val="4F81BD"/>
          <w:sz w:val="26"/>
          <w:szCs w:val="26"/>
          <w:lang w:eastAsia="en-IN"/>
        </w:rPr>
        <w:t xml:space="preserve"> in the Water Sector </w:t>
      </w:r>
    </w:p>
    <w:p w14:paraId="4B282084" w14:textId="77777777" w:rsidR="006B593E" w:rsidRPr="007E2005" w:rsidRDefault="006B593E" w:rsidP="006B593E">
      <w:pPr>
        <w:numPr>
          <w:ilvl w:val="0"/>
          <w:numId w:val="43"/>
        </w:numPr>
        <w:tabs>
          <w:tab w:val="left" w:pos="360"/>
          <w:tab w:val="left" w:pos="540"/>
        </w:tabs>
        <w:spacing w:before="120" w:after="120" w:line="240" w:lineRule="auto"/>
        <w:ind w:left="0" w:right="602" w:firstLine="0"/>
        <w:jc w:val="both"/>
        <w:rPr>
          <w:rFonts w:ascii="Calibri" w:eastAsia="Times New Roman" w:hAnsi="Calibri" w:cs="Times New Roman"/>
          <w:lang w:eastAsia="en-IN"/>
        </w:rPr>
      </w:pPr>
      <w:r w:rsidRPr="007E2005">
        <w:rPr>
          <w:rFonts w:ascii="Calibri" w:eastAsia="Times New Roman" w:hAnsi="Calibri" w:cs="Times New Roman"/>
          <w:b/>
          <w:color w:val="000000"/>
          <w:lang w:eastAsia="en-IN"/>
        </w:rPr>
        <w:t xml:space="preserve">PNG has strong demand for water supply and sanitation upgrades. </w:t>
      </w:r>
      <w:r w:rsidRPr="007E2005">
        <w:rPr>
          <w:rFonts w:ascii="Calibri" w:eastAsia="Times New Roman" w:hAnsi="Calibri" w:cs="Times New Roman"/>
          <w:color w:val="000000"/>
          <w:lang w:eastAsia="en-IN"/>
        </w:rPr>
        <w:t>An estimated 4.2 million Papua New Guineans, representing roughly 61% of the population, do not have access to safe water, while 3.8 million people, or 55% of the population, do not have access to improved sanitation. Due to high population growth and declining coverage rates, over the last two decades the absolute number of people without access to safe water has grown by 67% and improved sanitation by 73%, with wide disparity in access between urban and rural populations</w:t>
      </w:r>
      <w:r>
        <w:rPr>
          <w:rFonts w:ascii="Calibri" w:eastAsia="Times New Roman" w:hAnsi="Calibri" w:cs="Times New Roman"/>
          <w:color w:val="000000"/>
          <w:lang w:eastAsia="en-IN"/>
        </w:rPr>
        <w:t>.</w:t>
      </w:r>
      <w:r w:rsidRPr="007E2005">
        <w:rPr>
          <w:rFonts w:ascii="Calibri" w:eastAsia="Lato" w:hAnsi="Calibri" w:cs="Lato"/>
          <w:vertAlign w:val="superscript"/>
          <w:lang w:eastAsia="en-IN"/>
        </w:rPr>
        <w:footnoteReference w:id="128"/>
      </w:r>
      <w:r>
        <w:rPr>
          <w:rFonts w:ascii="Calibri" w:eastAsia="Times New Roman" w:hAnsi="Calibri" w:cs="Times New Roman"/>
          <w:color w:val="000000"/>
          <w:lang w:eastAsia="en-IN"/>
        </w:rPr>
        <w:t xml:space="preserve"> </w:t>
      </w:r>
      <w:r w:rsidRPr="007E2005">
        <w:rPr>
          <w:rFonts w:ascii="Calibri" w:eastAsia="Times New Roman" w:hAnsi="Calibri" w:cs="Times New Roman"/>
          <w:color w:val="000000"/>
          <w:lang w:eastAsia="en-IN"/>
        </w:rPr>
        <w:t xml:space="preserve">By 2020, the MTDP III aims to increase the proportions of the rural population </w:t>
      </w:r>
      <w:r w:rsidRPr="007E2005">
        <w:rPr>
          <w:rFonts w:ascii="Calibri" w:eastAsia="Times New Roman" w:hAnsi="Calibri" w:cs="Times New Roman"/>
          <w:color w:val="000000"/>
          <w:lang w:eastAsia="en-IN"/>
        </w:rPr>
        <w:lastRenderedPageBreak/>
        <w:t xml:space="preserve">using an improved source of drinking water and sanitation facilities from 33% and 13%, respectively, to 50% and 20%, respectively. </w:t>
      </w:r>
    </w:p>
    <w:p w14:paraId="5D745532" w14:textId="77777777" w:rsidR="006B593E" w:rsidRPr="007E2005" w:rsidRDefault="006B593E" w:rsidP="006B593E">
      <w:pPr>
        <w:numPr>
          <w:ilvl w:val="0"/>
          <w:numId w:val="43"/>
        </w:numPr>
        <w:tabs>
          <w:tab w:val="left" w:pos="360"/>
          <w:tab w:val="left" w:pos="540"/>
        </w:tabs>
        <w:spacing w:before="120" w:after="120" w:line="240" w:lineRule="auto"/>
        <w:ind w:left="0" w:right="602" w:firstLine="0"/>
        <w:jc w:val="both"/>
        <w:rPr>
          <w:rFonts w:ascii="Calibri" w:eastAsia="Times New Roman" w:hAnsi="Calibri" w:cs="Times New Roman"/>
          <w:lang w:eastAsia="en-IN"/>
        </w:rPr>
      </w:pPr>
      <w:r w:rsidRPr="007E2005">
        <w:rPr>
          <w:rFonts w:ascii="Calibri" w:eastAsia="Times New Roman" w:hAnsi="Calibri" w:cs="Times New Roman"/>
          <w:b/>
          <w:color w:val="000000"/>
          <w:lang w:eastAsia="en-IN"/>
        </w:rPr>
        <w:t xml:space="preserve">The </w:t>
      </w:r>
      <w:r>
        <w:rPr>
          <w:rFonts w:ascii="Calibri" w:eastAsia="Times New Roman" w:hAnsi="Calibri" w:cs="Times New Roman"/>
          <w:b/>
          <w:color w:val="000000"/>
          <w:lang w:eastAsia="en-IN"/>
        </w:rPr>
        <w:t>Water, Sanitation and Hygiene (WASH)</w:t>
      </w:r>
      <w:r w:rsidRPr="007E2005">
        <w:rPr>
          <w:rFonts w:ascii="Calibri" w:eastAsia="Times New Roman" w:hAnsi="Calibri" w:cs="Times New Roman"/>
          <w:b/>
          <w:color w:val="000000"/>
          <w:lang w:eastAsia="en-IN"/>
        </w:rPr>
        <w:t xml:space="preserve"> sector presents opportunities to deploy </w:t>
      </w:r>
      <w:r>
        <w:rPr>
          <w:rFonts w:ascii="Calibri" w:eastAsia="Times New Roman" w:hAnsi="Calibri" w:cs="Times New Roman"/>
          <w:b/>
          <w:color w:val="000000"/>
          <w:lang w:eastAsia="en-IN"/>
        </w:rPr>
        <w:t>NGF</w:t>
      </w:r>
      <w:r w:rsidRPr="007E2005">
        <w:rPr>
          <w:rFonts w:ascii="Calibri" w:eastAsia="Times New Roman" w:hAnsi="Calibri" w:cs="Times New Roman"/>
          <w:b/>
          <w:color w:val="000000"/>
          <w:lang w:eastAsia="en-IN"/>
        </w:rPr>
        <w:t>, largely for building supporting infrastructure to facilitate service delivery.</w:t>
      </w:r>
      <w:r w:rsidRPr="007E2005">
        <w:rPr>
          <w:rFonts w:ascii="Calibri" w:eastAsia="Times New Roman" w:hAnsi="Calibri" w:cs="Times New Roman"/>
          <w:color w:val="000000"/>
          <w:lang w:eastAsia="en-IN"/>
        </w:rPr>
        <w:t xml:space="preserve"> These opportunities include:</w:t>
      </w:r>
    </w:p>
    <w:p w14:paraId="52F558EC" w14:textId="77777777" w:rsidR="006B593E" w:rsidRPr="007E2005" w:rsidRDefault="006B593E" w:rsidP="006B593E">
      <w:pPr>
        <w:numPr>
          <w:ilvl w:val="0"/>
          <w:numId w:val="48"/>
        </w:numPr>
        <w:pBdr>
          <w:top w:val="nil"/>
          <w:left w:val="nil"/>
          <w:bottom w:val="nil"/>
          <w:right w:val="nil"/>
          <w:between w:val="nil"/>
        </w:pBdr>
        <w:spacing w:before="120" w:after="120" w:line="240" w:lineRule="auto"/>
        <w:ind w:right="602"/>
        <w:jc w:val="both"/>
        <w:rPr>
          <w:rFonts w:ascii="Calibri" w:eastAsia="Lato" w:hAnsi="Calibri" w:cs="Lato"/>
          <w:color w:val="000000"/>
          <w:lang w:eastAsia="en-IN"/>
        </w:rPr>
      </w:pPr>
      <w:r w:rsidRPr="007E2005">
        <w:rPr>
          <w:rFonts w:ascii="Calibri" w:eastAsia="Times New Roman" w:hAnsi="Calibri" w:cs="Times New Roman"/>
          <w:i/>
          <w:color w:val="000000"/>
          <w:lang w:eastAsia="en-IN"/>
        </w:rPr>
        <w:t>Contributing finance</w:t>
      </w:r>
      <w:r w:rsidRPr="007E2005">
        <w:rPr>
          <w:rFonts w:ascii="Calibri" w:eastAsia="Times New Roman" w:hAnsi="Calibri" w:cs="Times New Roman"/>
          <w:i/>
          <w:lang w:eastAsia="en-IN"/>
        </w:rPr>
        <w:t xml:space="preserve"> (concessional, where opportunities have been evaluated as sub-commercial)</w:t>
      </w:r>
      <w:r w:rsidRPr="007E2005">
        <w:rPr>
          <w:rFonts w:ascii="Calibri" w:eastAsia="Times New Roman" w:hAnsi="Calibri" w:cs="Times New Roman"/>
          <w:i/>
          <w:color w:val="000000"/>
          <w:lang w:eastAsia="en-IN"/>
        </w:rPr>
        <w:t xml:space="preserve"> to one or more WASH funds proposed by the National Water, Sanitation and Hygiene Authority (NWSHA) to finance the extension, rehabilitation and maintenance of WASH service delivery, </w:t>
      </w:r>
      <w:r w:rsidRPr="007E2005">
        <w:rPr>
          <w:rFonts w:ascii="Calibri" w:eastAsia="Times New Roman" w:hAnsi="Calibri" w:cs="Times New Roman"/>
          <w:color w:val="000000"/>
          <w:lang w:eastAsia="en-IN"/>
        </w:rPr>
        <w:t>particularly in rural and peri-urban settlement areas.</w:t>
      </w:r>
    </w:p>
    <w:p w14:paraId="296135F2" w14:textId="2B21CE0C" w:rsidR="006B593E" w:rsidRPr="007E2005" w:rsidRDefault="006B593E" w:rsidP="006B593E">
      <w:pPr>
        <w:numPr>
          <w:ilvl w:val="0"/>
          <w:numId w:val="48"/>
        </w:numPr>
        <w:pBdr>
          <w:top w:val="nil"/>
          <w:left w:val="nil"/>
          <w:bottom w:val="nil"/>
          <w:right w:val="nil"/>
          <w:between w:val="nil"/>
        </w:pBdr>
        <w:spacing w:before="120" w:after="120" w:line="240" w:lineRule="auto"/>
        <w:ind w:right="602"/>
        <w:jc w:val="both"/>
        <w:rPr>
          <w:rFonts w:ascii="Calibri" w:eastAsia="Lato" w:hAnsi="Calibri" w:cs="Lato"/>
          <w:color w:val="000000"/>
          <w:lang w:eastAsia="en-IN"/>
        </w:rPr>
      </w:pPr>
      <w:r w:rsidRPr="007E2005">
        <w:rPr>
          <w:rFonts w:ascii="Calibri" w:eastAsia="Times New Roman" w:hAnsi="Calibri" w:cs="Times New Roman"/>
          <w:i/>
          <w:color w:val="000000"/>
          <w:lang w:eastAsia="en-IN"/>
        </w:rPr>
        <w:t xml:space="preserve">Providing finance </w:t>
      </w:r>
      <w:r w:rsidRPr="007E2005">
        <w:rPr>
          <w:rFonts w:ascii="Calibri" w:eastAsia="Times New Roman" w:hAnsi="Calibri" w:cs="Times New Roman"/>
          <w:i/>
          <w:lang w:eastAsia="en-IN"/>
        </w:rPr>
        <w:t xml:space="preserve">(concessional, where opportunities have been evaluated as sub-commercial) </w:t>
      </w:r>
      <w:r w:rsidRPr="007E2005">
        <w:rPr>
          <w:rFonts w:ascii="Calibri" w:eastAsia="Times New Roman" w:hAnsi="Calibri" w:cs="Times New Roman"/>
          <w:i/>
          <w:color w:val="000000"/>
          <w:lang w:eastAsia="en-IN"/>
        </w:rPr>
        <w:t xml:space="preserve">to </w:t>
      </w:r>
      <w:proofErr w:type="spellStart"/>
      <w:r w:rsidRPr="007E2005">
        <w:rPr>
          <w:rFonts w:ascii="Calibri" w:eastAsia="Times New Roman" w:hAnsi="Calibri" w:cs="Times New Roman"/>
          <w:i/>
          <w:color w:val="000000"/>
          <w:lang w:eastAsia="en-IN"/>
        </w:rPr>
        <w:t>GoPNG</w:t>
      </w:r>
      <w:proofErr w:type="spellEnd"/>
      <w:r w:rsidRPr="007E2005">
        <w:rPr>
          <w:rFonts w:ascii="Calibri" w:eastAsia="Times New Roman" w:hAnsi="Calibri" w:cs="Times New Roman"/>
          <w:i/>
          <w:color w:val="000000"/>
          <w:lang w:eastAsia="en-IN"/>
        </w:rPr>
        <w:t xml:space="preserve"> and SOEs to ensure the availability of safe and reliable water supply in remote areas of the country.</w:t>
      </w:r>
      <w:r w:rsidRPr="007E2005">
        <w:rPr>
          <w:rFonts w:ascii="Calibri" w:eastAsia="Times New Roman" w:hAnsi="Calibri" w:cs="Times New Roman"/>
          <w:color w:val="000000"/>
          <w:lang w:eastAsia="en-IN"/>
        </w:rPr>
        <w:t xml:space="preserve"> For instance, World Bank has recently approved credit of </w:t>
      </w:r>
      <w:r w:rsidR="00800236">
        <w:rPr>
          <w:rFonts w:ascii="Calibri" w:eastAsia="Times New Roman" w:hAnsi="Calibri" w:cs="Times New Roman"/>
          <w:color w:val="000000"/>
          <w:lang w:eastAsia="en-IN"/>
        </w:rPr>
        <w:t>US$</w:t>
      </w:r>
      <w:r w:rsidRPr="007E2005">
        <w:rPr>
          <w:rFonts w:ascii="Calibri" w:eastAsia="Times New Roman" w:hAnsi="Calibri" w:cs="Times New Roman"/>
          <w:color w:val="000000"/>
          <w:lang w:eastAsia="en-IN"/>
        </w:rPr>
        <w:t xml:space="preserve"> 70 million to support the </w:t>
      </w:r>
      <w:proofErr w:type="spellStart"/>
      <w:r w:rsidRPr="007E2005">
        <w:rPr>
          <w:rFonts w:ascii="Calibri" w:eastAsia="Times New Roman" w:hAnsi="Calibri" w:cs="Times New Roman"/>
          <w:color w:val="000000"/>
          <w:lang w:eastAsia="en-IN"/>
        </w:rPr>
        <w:t>GoPNG’s</w:t>
      </w:r>
      <w:proofErr w:type="spellEnd"/>
      <w:r w:rsidRPr="007E2005">
        <w:rPr>
          <w:rFonts w:ascii="Calibri" w:eastAsia="Times New Roman" w:hAnsi="Calibri" w:cs="Times New Roman"/>
          <w:color w:val="000000"/>
          <w:lang w:eastAsia="en-IN"/>
        </w:rPr>
        <w:t xml:space="preserve"> WASH policy to oversee policy implementation, regulation, training and monitoring at the national level. In addition, the project will assist state-owned water institutions in expanding and improving services in provincial and district towns across PNG that currently do not have water supply systems.</w:t>
      </w:r>
    </w:p>
    <w:p w14:paraId="115F4116" w14:textId="77777777" w:rsidR="006B593E" w:rsidRPr="007E2005" w:rsidRDefault="006B593E" w:rsidP="006B593E">
      <w:pPr>
        <w:numPr>
          <w:ilvl w:val="0"/>
          <w:numId w:val="48"/>
        </w:numPr>
        <w:pBdr>
          <w:top w:val="nil"/>
          <w:left w:val="nil"/>
          <w:bottom w:val="nil"/>
          <w:right w:val="nil"/>
          <w:between w:val="nil"/>
        </w:pBdr>
        <w:spacing w:before="120" w:after="120" w:line="240" w:lineRule="auto"/>
        <w:ind w:right="602"/>
        <w:jc w:val="both"/>
        <w:rPr>
          <w:rFonts w:ascii="Calibri" w:eastAsia="Lato" w:hAnsi="Calibri" w:cs="Lato"/>
          <w:i/>
          <w:color w:val="000000"/>
          <w:lang w:eastAsia="en-IN"/>
        </w:rPr>
      </w:pPr>
      <w:r w:rsidRPr="007E2005">
        <w:rPr>
          <w:rFonts w:ascii="Calibri" w:eastAsia="Times New Roman" w:hAnsi="Calibri" w:cs="Times New Roman"/>
          <w:i/>
          <w:color w:val="000000"/>
          <w:lang w:eastAsia="en-IN"/>
        </w:rPr>
        <w:t>Financing potential PPPs that would support the development of additional water treatment plans in Port Moresby.</w:t>
      </w:r>
    </w:p>
    <w:p w14:paraId="0E509700" w14:textId="77777777" w:rsidR="006B593E" w:rsidRPr="00684EA6" w:rsidRDefault="006B593E" w:rsidP="006B593E">
      <w:pPr>
        <w:pStyle w:val="ListParagraph"/>
        <w:numPr>
          <w:ilvl w:val="0"/>
          <w:numId w:val="43"/>
        </w:numPr>
        <w:pBdr>
          <w:top w:val="nil"/>
          <w:left w:val="nil"/>
          <w:bottom w:val="nil"/>
          <w:right w:val="nil"/>
          <w:between w:val="nil"/>
        </w:pBdr>
        <w:tabs>
          <w:tab w:val="left" w:pos="360"/>
          <w:tab w:val="left" w:pos="540"/>
        </w:tabs>
        <w:spacing w:before="120" w:after="120" w:line="240" w:lineRule="auto"/>
        <w:ind w:left="0" w:right="602" w:firstLine="0"/>
        <w:contextualSpacing w:val="0"/>
        <w:jc w:val="both"/>
        <w:rPr>
          <w:rFonts w:ascii="Calibri" w:eastAsia="Times New Roman" w:hAnsi="Calibri" w:cs="Times New Roman"/>
          <w:lang w:eastAsia="en-IN"/>
        </w:rPr>
      </w:pPr>
      <w:r w:rsidRPr="00684EA6">
        <w:rPr>
          <w:rFonts w:ascii="Calibri" w:eastAsia="Times New Roman" w:hAnsi="Calibri" w:cs="Times New Roman"/>
          <w:lang w:eastAsia="en-IN"/>
        </w:rPr>
        <w:t>Innovative grants could also have relevance here. Australia could look to Tajikistan, where Oxfam is funding a social impact bond designed to improve access to safe drinking water by providing individual water connections to 50,000 households; local governments are carrying out the implementation</w:t>
      </w:r>
      <w:r>
        <w:rPr>
          <w:rFonts w:ascii="Calibri" w:eastAsia="Times New Roman" w:hAnsi="Calibri" w:cs="Times New Roman"/>
          <w:lang w:eastAsia="en-IN"/>
        </w:rPr>
        <w:t>.</w:t>
      </w:r>
      <w:r w:rsidRPr="007E2005">
        <w:rPr>
          <w:vertAlign w:val="superscript"/>
          <w:lang w:eastAsia="en-IN"/>
        </w:rPr>
        <w:footnoteReference w:id="129"/>
      </w:r>
    </w:p>
    <w:p w14:paraId="44BDA2B5" w14:textId="77777777" w:rsidR="006B593E" w:rsidRPr="005F78A1" w:rsidRDefault="006B593E" w:rsidP="006B593E">
      <w:pPr>
        <w:tabs>
          <w:tab w:val="left" w:pos="360"/>
          <w:tab w:val="left" w:pos="540"/>
        </w:tabs>
        <w:spacing w:before="120" w:after="120" w:line="240" w:lineRule="auto"/>
        <w:ind w:right="602"/>
        <w:jc w:val="both"/>
        <w:rPr>
          <w:rFonts w:ascii="Calibri" w:eastAsia="Times New Roman" w:hAnsi="Calibri" w:cs="Times New Roman"/>
          <w:lang w:eastAsia="en-IN"/>
        </w:rPr>
      </w:pPr>
      <w:r w:rsidRPr="005F78A1">
        <w:rPr>
          <w:rFonts w:ascii="Calibri" w:eastAsia="Times New Roman" w:hAnsi="Calibri" w:cs="Times New Roman"/>
          <w:color w:val="4F81BD"/>
          <w:sz w:val="26"/>
          <w:szCs w:val="26"/>
          <w:lang w:eastAsia="en-IN"/>
        </w:rPr>
        <w:t xml:space="preserve">Demand for </w:t>
      </w:r>
      <w:r>
        <w:rPr>
          <w:rFonts w:ascii="Calibri" w:eastAsia="Times New Roman" w:hAnsi="Calibri" w:cs="Times New Roman"/>
          <w:color w:val="4F81BD"/>
          <w:sz w:val="26"/>
          <w:szCs w:val="26"/>
          <w:lang w:eastAsia="en-IN"/>
        </w:rPr>
        <w:t>NGF</w:t>
      </w:r>
      <w:r w:rsidRPr="005F78A1">
        <w:rPr>
          <w:rFonts w:ascii="Calibri" w:eastAsia="Times New Roman" w:hAnsi="Calibri" w:cs="Times New Roman"/>
          <w:color w:val="4F81BD"/>
          <w:sz w:val="26"/>
          <w:szCs w:val="26"/>
          <w:lang w:eastAsia="en-IN"/>
        </w:rPr>
        <w:t xml:space="preserve"> in the Health and Education Sector </w:t>
      </w:r>
    </w:p>
    <w:p w14:paraId="3A17CD13" w14:textId="77777777" w:rsidR="006B593E" w:rsidRPr="007E2005" w:rsidRDefault="006B593E" w:rsidP="006B593E">
      <w:pPr>
        <w:numPr>
          <w:ilvl w:val="0"/>
          <w:numId w:val="43"/>
        </w:numPr>
        <w:tabs>
          <w:tab w:val="left" w:pos="360"/>
          <w:tab w:val="left" w:pos="540"/>
        </w:tabs>
        <w:spacing w:before="120" w:after="120" w:line="240" w:lineRule="auto"/>
        <w:ind w:left="0" w:right="602" w:firstLine="0"/>
        <w:jc w:val="both"/>
        <w:rPr>
          <w:rFonts w:ascii="Calibri" w:eastAsia="Times New Roman" w:hAnsi="Calibri" w:cs="Times New Roman"/>
          <w:lang w:eastAsia="en-IN"/>
        </w:rPr>
      </w:pPr>
      <w:r w:rsidRPr="007E2005">
        <w:rPr>
          <w:rFonts w:ascii="Calibri" w:eastAsia="Times New Roman" w:hAnsi="Calibri" w:cs="Times New Roman"/>
          <w:b/>
          <w:color w:val="000000"/>
          <w:lang w:eastAsia="en-IN"/>
        </w:rPr>
        <w:t xml:space="preserve">There is an urgent and clear need for significant upgrades to the nation’s health and education systems. </w:t>
      </w:r>
      <w:r w:rsidRPr="007E2005">
        <w:rPr>
          <w:rFonts w:ascii="Calibri" w:eastAsia="Times New Roman" w:hAnsi="Calibri" w:cs="Times New Roman"/>
          <w:color w:val="000000"/>
          <w:lang w:eastAsia="en-IN"/>
        </w:rPr>
        <w:t>PNG performs poorly on most health and education indicators, specifically for vulnerable populations such as the rural poor and women, largely due to inadequate state expenditure.</w:t>
      </w:r>
      <w:r w:rsidRPr="007E2005">
        <w:rPr>
          <w:rFonts w:ascii="Calibri" w:eastAsia="Times New Roman" w:hAnsi="Calibri" w:cs="Times New Roman"/>
          <w:b/>
          <w:color w:val="000000"/>
          <w:lang w:eastAsia="en-IN"/>
        </w:rPr>
        <w:t xml:space="preserve"> </w:t>
      </w:r>
      <w:r w:rsidRPr="007E2005">
        <w:rPr>
          <w:rFonts w:ascii="Calibri" w:eastAsia="Times New Roman" w:hAnsi="Calibri" w:cs="Times New Roman"/>
          <w:color w:val="000000"/>
          <w:lang w:eastAsia="en-IN"/>
        </w:rPr>
        <w:t xml:space="preserve">The MDTP III highlights </w:t>
      </w:r>
      <w:proofErr w:type="gramStart"/>
      <w:r w:rsidRPr="007E2005">
        <w:rPr>
          <w:rFonts w:ascii="Calibri" w:eastAsia="Times New Roman" w:hAnsi="Calibri" w:cs="Times New Roman"/>
          <w:color w:val="000000"/>
          <w:lang w:eastAsia="en-IN"/>
        </w:rPr>
        <w:t>both of these</w:t>
      </w:r>
      <w:proofErr w:type="gramEnd"/>
      <w:r w:rsidRPr="007E2005">
        <w:rPr>
          <w:rFonts w:ascii="Calibri" w:eastAsia="Times New Roman" w:hAnsi="Calibri" w:cs="Times New Roman"/>
          <w:color w:val="000000"/>
          <w:lang w:eastAsia="en-IN"/>
        </w:rPr>
        <w:t xml:space="preserve"> areas as very high priorities for </w:t>
      </w:r>
      <w:proofErr w:type="spellStart"/>
      <w:r w:rsidRPr="007E2005">
        <w:rPr>
          <w:rFonts w:ascii="Calibri" w:eastAsia="Times New Roman" w:hAnsi="Calibri" w:cs="Times New Roman"/>
          <w:color w:val="000000"/>
          <w:lang w:eastAsia="en-IN"/>
        </w:rPr>
        <w:t>GoPNG</w:t>
      </w:r>
      <w:proofErr w:type="spellEnd"/>
      <w:r w:rsidRPr="007E2005">
        <w:rPr>
          <w:rFonts w:ascii="Calibri" w:eastAsia="Times New Roman" w:hAnsi="Calibri" w:cs="Times New Roman"/>
          <w:color w:val="000000"/>
          <w:lang w:eastAsia="en-IN"/>
        </w:rPr>
        <w:t xml:space="preserve"> and aims to improve the quality of healthcare in both rural and urban areas through strategic investments in secondary health services and improved health systems. As part of the plan, Level 4 District Hospitals will be established in every district of the country. A deliberate quality-of-education initiative is also underway that will upgrade the four National High Schools to Schools of Excellence.</w:t>
      </w:r>
    </w:p>
    <w:p w14:paraId="3E232B24" w14:textId="77777777" w:rsidR="006B593E" w:rsidRPr="007E2005" w:rsidRDefault="006B593E" w:rsidP="006B593E">
      <w:pPr>
        <w:numPr>
          <w:ilvl w:val="0"/>
          <w:numId w:val="43"/>
        </w:numPr>
        <w:tabs>
          <w:tab w:val="left" w:pos="360"/>
          <w:tab w:val="left" w:pos="540"/>
        </w:tabs>
        <w:spacing w:before="120" w:after="120" w:line="240" w:lineRule="auto"/>
        <w:ind w:left="0" w:right="602" w:firstLine="0"/>
        <w:jc w:val="both"/>
        <w:rPr>
          <w:rFonts w:ascii="Calibri" w:eastAsia="Times New Roman" w:hAnsi="Calibri" w:cs="Times New Roman"/>
          <w:lang w:eastAsia="en-IN"/>
        </w:rPr>
      </w:pPr>
      <w:r w:rsidRPr="007E2005">
        <w:rPr>
          <w:rFonts w:ascii="Calibri" w:eastAsia="Times New Roman" w:hAnsi="Calibri" w:cs="Times New Roman"/>
          <w:b/>
          <w:color w:val="000000"/>
          <w:lang w:eastAsia="en-IN"/>
        </w:rPr>
        <w:t xml:space="preserve">However, in the near term it is likely that grants, </w:t>
      </w:r>
      <w:r w:rsidRPr="007E2005">
        <w:rPr>
          <w:rFonts w:ascii="Calibri" w:eastAsia="Times New Roman" w:hAnsi="Calibri" w:cs="Times New Roman"/>
          <w:b/>
          <w:lang w:eastAsia="en-IN"/>
        </w:rPr>
        <w:t xml:space="preserve">including those with innovative structures, </w:t>
      </w:r>
      <w:r w:rsidRPr="007E2005">
        <w:rPr>
          <w:rFonts w:ascii="Calibri" w:eastAsia="Times New Roman" w:hAnsi="Calibri" w:cs="Times New Roman"/>
          <w:b/>
          <w:color w:val="000000"/>
          <w:lang w:eastAsia="en-IN"/>
        </w:rPr>
        <w:t xml:space="preserve">will continue to be the most effective way to continue supporting health and education. </w:t>
      </w:r>
      <w:r w:rsidRPr="007E2005">
        <w:rPr>
          <w:rFonts w:ascii="Calibri" w:eastAsia="Times New Roman" w:hAnsi="Calibri" w:cs="Times New Roman"/>
          <w:color w:val="000000"/>
          <w:lang w:eastAsia="en-IN"/>
        </w:rPr>
        <w:t xml:space="preserve">There may be some opportunities to </w:t>
      </w:r>
      <w:proofErr w:type="gramStart"/>
      <w:r w:rsidRPr="007E2005">
        <w:rPr>
          <w:rFonts w:ascii="Calibri" w:eastAsia="Times New Roman" w:hAnsi="Calibri" w:cs="Times New Roman"/>
          <w:color w:val="000000"/>
          <w:lang w:eastAsia="en-IN"/>
        </w:rPr>
        <w:t>more efficiently finance school and hospital construction</w:t>
      </w:r>
      <w:proofErr w:type="gramEnd"/>
      <w:r w:rsidRPr="007E2005">
        <w:rPr>
          <w:rFonts w:ascii="Calibri" w:eastAsia="Times New Roman" w:hAnsi="Calibri" w:cs="Times New Roman"/>
          <w:color w:val="000000"/>
          <w:lang w:eastAsia="en-IN"/>
        </w:rPr>
        <w:t xml:space="preserve">—e.g., mobilising local pension funds, such as </w:t>
      </w:r>
      <w:proofErr w:type="spellStart"/>
      <w:r w:rsidRPr="007E2005">
        <w:rPr>
          <w:rFonts w:ascii="Calibri" w:eastAsia="Times New Roman" w:hAnsi="Calibri" w:cs="Times New Roman"/>
          <w:color w:val="000000"/>
          <w:lang w:eastAsia="en-IN"/>
        </w:rPr>
        <w:t>Nasfund</w:t>
      </w:r>
      <w:proofErr w:type="spellEnd"/>
      <w:r w:rsidRPr="007E2005">
        <w:rPr>
          <w:rFonts w:ascii="Calibri" w:eastAsia="Times New Roman" w:hAnsi="Calibri" w:cs="Times New Roman"/>
          <w:color w:val="000000"/>
          <w:lang w:eastAsia="en-IN"/>
        </w:rPr>
        <w:t xml:space="preserve">, to finance the construction of schools or providing sovereign loans for the construction of hospitals (as EXIM did to finance hospitals for which Australia provided </w:t>
      </w:r>
      <w:r>
        <w:rPr>
          <w:rFonts w:ascii="Calibri" w:eastAsia="Arial" w:hAnsi="Calibri" w:cs="Calibri"/>
          <w:lang w:eastAsia="zh-CN"/>
        </w:rPr>
        <w:t>TA</w:t>
      </w:r>
      <w:r w:rsidRPr="007E2005">
        <w:rPr>
          <w:rFonts w:ascii="Calibri" w:eastAsia="Times New Roman" w:hAnsi="Calibri" w:cs="Times New Roman"/>
          <w:lang w:eastAsia="en-IN"/>
        </w:rPr>
        <w:t xml:space="preserve">). There may also be opportunities to use grant-based modalities more innovatively—for instance, Palladium Group recently sponsored </w:t>
      </w:r>
      <w:r w:rsidRPr="007E2005">
        <w:rPr>
          <w:rFonts w:ascii="Calibri" w:eastAsia="Lato" w:hAnsi="Calibri" w:cs="Lato"/>
          <w:lang w:eastAsia="en-IN"/>
        </w:rPr>
        <w:t xml:space="preserve">a development impact bond (DIB) in </w:t>
      </w:r>
      <w:r>
        <w:rPr>
          <w:rFonts w:ascii="Calibri" w:eastAsia="Lato" w:hAnsi="Calibri" w:cs="Lato"/>
          <w:lang w:eastAsia="en-IN"/>
        </w:rPr>
        <w:t>PNG</w:t>
      </w:r>
      <w:r w:rsidRPr="007E2005">
        <w:rPr>
          <w:rFonts w:ascii="Calibri" w:eastAsia="Lato" w:hAnsi="Calibri" w:cs="Lato"/>
          <w:lang w:eastAsia="en-IN"/>
        </w:rPr>
        <w:t xml:space="preserve"> that will help spread awareness about gender-based violence and HIV/AIDS. </w:t>
      </w:r>
      <w:r w:rsidRPr="007E2005">
        <w:rPr>
          <w:rFonts w:ascii="Calibri" w:eastAsia="Times New Roman" w:hAnsi="Calibri" w:cs="Times New Roman"/>
          <w:color w:val="000000"/>
          <w:lang w:eastAsia="en-IN"/>
        </w:rPr>
        <w:t xml:space="preserve">However, experience would suggest that unless these efforts are incorporated within well-designed, broader system-strengthening efforts, financing the construction of new facilities alone is unlikely to translate into improved health or education outcomes. In addition, given of the weakness of each of these systems, it is unclear that there </w:t>
      </w:r>
      <w:r w:rsidRPr="007E2005">
        <w:rPr>
          <w:rFonts w:ascii="Calibri" w:eastAsia="Times New Roman" w:hAnsi="Calibri" w:cs="Times New Roman"/>
          <w:color w:val="000000"/>
          <w:lang w:eastAsia="en-IN"/>
        </w:rPr>
        <w:lastRenderedPageBreak/>
        <w:t xml:space="preserve">are projects that would be sufficiently creditworthy, even with very concessional forms of finance. </w:t>
      </w:r>
    </w:p>
    <w:p w14:paraId="663AEABA" w14:textId="77777777" w:rsidR="006B593E" w:rsidRPr="005F78A1" w:rsidRDefault="006B593E" w:rsidP="006B593E">
      <w:pPr>
        <w:tabs>
          <w:tab w:val="left" w:pos="360"/>
          <w:tab w:val="left" w:pos="540"/>
        </w:tabs>
        <w:spacing w:before="120" w:after="120" w:line="240" w:lineRule="auto"/>
        <w:ind w:right="602"/>
        <w:jc w:val="both"/>
        <w:rPr>
          <w:rFonts w:ascii="Calibri" w:eastAsia="Times New Roman" w:hAnsi="Calibri" w:cs="Times New Roman"/>
          <w:lang w:eastAsia="en-IN"/>
        </w:rPr>
      </w:pPr>
      <w:r w:rsidRPr="005F78A1">
        <w:rPr>
          <w:rFonts w:ascii="Calibri" w:eastAsia="Times New Roman" w:hAnsi="Calibri" w:cs="Times New Roman"/>
          <w:color w:val="4F81BD"/>
          <w:sz w:val="26"/>
          <w:szCs w:val="26"/>
          <w:lang w:eastAsia="en-IN"/>
        </w:rPr>
        <w:t xml:space="preserve">Demand for </w:t>
      </w:r>
      <w:r>
        <w:rPr>
          <w:rFonts w:ascii="Calibri" w:eastAsia="Times New Roman" w:hAnsi="Calibri" w:cs="Times New Roman"/>
          <w:color w:val="4F81BD"/>
          <w:sz w:val="26"/>
          <w:szCs w:val="26"/>
          <w:lang w:eastAsia="en-IN"/>
        </w:rPr>
        <w:t>NGF</w:t>
      </w:r>
      <w:r w:rsidRPr="005F78A1">
        <w:rPr>
          <w:rFonts w:ascii="Calibri" w:eastAsia="Times New Roman" w:hAnsi="Calibri" w:cs="Times New Roman"/>
          <w:color w:val="4F81BD"/>
          <w:sz w:val="26"/>
          <w:szCs w:val="26"/>
          <w:lang w:eastAsia="en-IN"/>
        </w:rPr>
        <w:t xml:space="preserve"> to Finance the Growth of Micro, Small and Medium-sized Enterprises (MSMEs) </w:t>
      </w:r>
    </w:p>
    <w:p w14:paraId="7D4BDBED" w14:textId="77777777" w:rsidR="006B593E" w:rsidRPr="007E2005" w:rsidRDefault="006B593E" w:rsidP="006B593E">
      <w:pPr>
        <w:numPr>
          <w:ilvl w:val="0"/>
          <w:numId w:val="43"/>
        </w:numPr>
        <w:tabs>
          <w:tab w:val="left" w:pos="360"/>
          <w:tab w:val="left" w:pos="540"/>
        </w:tabs>
        <w:spacing w:before="120" w:after="120" w:line="240" w:lineRule="auto"/>
        <w:ind w:left="0" w:right="602" w:firstLine="0"/>
        <w:jc w:val="both"/>
        <w:rPr>
          <w:rFonts w:ascii="Calibri" w:eastAsia="Times New Roman" w:hAnsi="Calibri" w:cs="Times New Roman"/>
          <w:lang w:eastAsia="en-IN"/>
        </w:rPr>
      </w:pPr>
      <w:r w:rsidRPr="007E2005">
        <w:rPr>
          <w:rFonts w:ascii="Calibri" w:eastAsia="Times New Roman" w:hAnsi="Calibri" w:cs="Times New Roman"/>
          <w:b/>
          <w:color w:val="000000"/>
          <w:lang w:eastAsia="en-IN"/>
        </w:rPr>
        <w:t xml:space="preserve">MSMEs in PNG have limited access to finance. </w:t>
      </w:r>
      <w:r w:rsidRPr="007E2005">
        <w:rPr>
          <w:rFonts w:ascii="Calibri" w:eastAsia="Times New Roman" w:hAnsi="Calibri" w:cs="Times New Roman"/>
          <w:color w:val="000000"/>
          <w:lang w:eastAsia="en-IN"/>
        </w:rPr>
        <w:t xml:space="preserve">The MSME sector also faces other challenges, not least of which are the cultural community rights to assets and a lack of entrepreneurial role models. MTDP III calls for a diversification of the economy away from reliance on extractives and toward inclusive growth in key sectors such as tourism and agriculture through the development of small and medium-sized businesses. The SME Policy aims to promote the development of small to medium-sized enterprises—in particular, through strengthening linkages between SMEs and larger industries and investors, as well as regional and international markets, and through the transfer and adoption of appropriate technology to boost the efficiency and productivity of domestic producers. </w:t>
      </w:r>
    </w:p>
    <w:p w14:paraId="624104B0" w14:textId="0E6C89D4" w:rsidR="006B593E" w:rsidRPr="007E2005" w:rsidRDefault="006B593E" w:rsidP="006B593E">
      <w:pPr>
        <w:numPr>
          <w:ilvl w:val="0"/>
          <w:numId w:val="43"/>
        </w:numPr>
        <w:tabs>
          <w:tab w:val="left" w:pos="360"/>
          <w:tab w:val="left" w:pos="540"/>
        </w:tabs>
        <w:spacing w:before="120" w:after="120" w:line="240" w:lineRule="auto"/>
        <w:ind w:left="0" w:right="602" w:firstLine="0"/>
        <w:jc w:val="both"/>
        <w:rPr>
          <w:rFonts w:ascii="Calibri" w:eastAsia="Lato" w:hAnsi="Calibri" w:cs="Lato"/>
          <w:color w:val="000000"/>
          <w:lang w:eastAsia="en-IN"/>
        </w:rPr>
      </w:pPr>
      <w:r w:rsidRPr="007E2005">
        <w:rPr>
          <w:rFonts w:ascii="Calibri" w:eastAsia="Times New Roman" w:hAnsi="Calibri" w:cs="Times New Roman"/>
          <w:b/>
          <w:color w:val="000000"/>
          <w:lang w:eastAsia="en-IN"/>
        </w:rPr>
        <w:t xml:space="preserve">However, the overall lack of bankable SMEs in PNG presents a deeper challenge. Given this broad limitation, Australia could consider deploying grant-based </w:t>
      </w:r>
      <w:r w:rsidRPr="00280E0D">
        <w:rPr>
          <w:rFonts w:ascii="Calibri" w:eastAsia="Arial" w:hAnsi="Calibri" w:cs="Calibri"/>
          <w:b/>
          <w:lang w:eastAsia="zh-CN"/>
        </w:rPr>
        <w:t>TA</w:t>
      </w:r>
      <w:r>
        <w:rPr>
          <w:rFonts w:ascii="Calibri" w:eastAsia="Times New Roman" w:hAnsi="Calibri" w:cs="Times New Roman"/>
          <w:b/>
          <w:color w:val="000000"/>
          <w:lang w:eastAsia="en-IN"/>
        </w:rPr>
        <w:t xml:space="preserve"> </w:t>
      </w:r>
      <w:r w:rsidR="0073249A">
        <w:rPr>
          <w:rFonts w:ascii="Calibri" w:eastAsia="Times New Roman" w:hAnsi="Calibri" w:cs="Times New Roman"/>
          <w:b/>
          <w:color w:val="000000"/>
          <w:lang w:eastAsia="en-IN"/>
        </w:rPr>
        <w:t>program</w:t>
      </w:r>
      <w:r>
        <w:rPr>
          <w:rFonts w:ascii="Calibri" w:eastAsia="Times New Roman" w:hAnsi="Calibri" w:cs="Times New Roman"/>
          <w:b/>
          <w:color w:val="000000"/>
          <w:lang w:eastAsia="en-IN"/>
        </w:rPr>
        <w:t>s.</w:t>
      </w:r>
      <w:r w:rsidRPr="007E2005">
        <w:rPr>
          <w:rFonts w:ascii="Calibri" w:eastAsia="Times New Roman" w:hAnsi="Calibri" w:cs="Times New Roman"/>
          <w:b/>
          <w:color w:val="000000"/>
          <w:lang w:eastAsia="en-IN"/>
        </w:rPr>
        <w:t xml:space="preserve"> </w:t>
      </w:r>
      <w:r w:rsidRPr="007E2005">
        <w:rPr>
          <w:rFonts w:ascii="Calibri" w:eastAsia="Times New Roman" w:hAnsi="Calibri" w:cs="Times New Roman"/>
          <w:color w:val="000000"/>
          <w:lang w:eastAsia="en-IN"/>
        </w:rPr>
        <w:t>While IFC’s investment in Bank South Pacific did translate into greater finance for SMEs, there are currently few other viable opportunities (ANZ, for example, recently sold its retail banking business to the PNG-based Kina Bank</w:t>
      </w:r>
      <w:r w:rsidRPr="007E2005">
        <w:rPr>
          <w:rFonts w:ascii="Calibri" w:eastAsia="Lato" w:hAnsi="Calibri" w:cs="Lato"/>
          <w:vertAlign w:val="superscript"/>
          <w:lang w:eastAsia="en-IN"/>
        </w:rPr>
        <w:footnoteReference w:id="130"/>
      </w:r>
      <w:r w:rsidRPr="007E2005">
        <w:rPr>
          <w:rFonts w:ascii="Calibri" w:eastAsia="Times New Roman" w:hAnsi="Calibri" w:cs="Times New Roman"/>
          <w:color w:val="000000"/>
          <w:lang w:eastAsia="en-IN"/>
        </w:rPr>
        <w:t xml:space="preserve">). Potential options for the more effective use of grant-based mechanisms could include: </w:t>
      </w:r>
    </w:p>
    <w:p w14:paraId="735DBBDC" w14:textId="74F047AE" w:rsidR="006B593E" w:rsidRPr="007E2005" w:rsidRDefault="006B593E" w:rsidP="006B593E">
      <w:pPr>
        <w:numPr>
          <w:ilvl w:val="0"/>
          <w:numId w:val="49"/>
        </w:numPr>
        <w:tabs>
          <w:tab w:val="left" w:pos="360"/>
        </w:tabs>
        <w:spacing w:before="120" w:after="120" w:line="240" w:lineRule="auto"/>
        <w:ind w:right="602"/>
        <w:jc w:val="both"/>
        <w:rPr>
          <w:rFonts w:ascii="Calibri" w:eastAsia="Times New Roman" w:hAnsi="Calibri" w:cs="Times New Roman"/>
          <w:lang w:eastAsia="en-IN"/>
        </w:rPr>
      </w:pPr>
      <w:r w:rsidRPr="007E2005">
        <w:rPr>
          <w:rFonts w:ascii="Calibri" w:eastAsia="Times New Roman" w:hAnsi="Calibri" w:cs="Times New Roman"/>
          <w:i/>
          <w:color w:val="000000"/>
          <w:lang w:eastAsia="en-IN"/>
        </w:rPr>
        <w:t xml:space="preserve">Financing small business accelerator </w:t>
      </w:r>
      <w:r w:rsidR="0073249A">
        <w:rPr>
          <w:rFonts w:ascii="Calibri" w:eastAsia="Times New Roman" w:hAnsi="Calibri" w:cs="Times New Roman"/>
          <w:i/>
          <w:color w:val="000000"/>
          <w:lang w:eastAsia="en-IN"/>
        </w:rPr>
        <w:t>program</w:t>
      </w:r>
      <w:r>
        <w:rPr>
          <w:rFonts w:ascii="Calibri" w:eastAsia="Times New Roman" w:hAnsi="Calibri" w:cs="Times New Roman"/>
          <w:i/>
          <w:color w:val="000000"/>
          <w:lang w:eastAsia="en-IN"/>
        </w:rPr>
        <w:t xml:space="preserve">s </w:t>
      </w:r>
      <w:r w:rsidRPr="007E2005">
        <w:rPr>
          <w:rFonts w:ascii="Calibri" w:eastAsia="Times New Roman" w:hAnsi="Calibri" w:cs="Times New Roman"/>
          <w:color w:val="000000"/>
          <w:lang w:eastAsia="en-IN"/>
        </w:rPr>
        <w:t xml:space="preserve">that help companies become ready to receive external finance (formalisation, building management capacity, etc.). </w:t>
      </w:r>
      <w:r w:rsidRPr="007E2005">
        <w:rPr>
          <w:rFonts w:ascii="Calibri" w:eastAsia="Times New Roman" w:hAnsi="Calibri" w:cs="Times New Roman"/>
          <w:lang w:eastAsia="en-IN"/>
        </w:rPr>
        <w:t>Consultations suggest that t</w:t>
      </w:r>
      <w:r w:rsidRPr="007E2005">
        <w:rPr>
          <w:rFonts w:ascii="Calibri" w:eastAsia="Times New Roman" w:hAnsi="Calibri" w:cs="Times New Roman"/>
          <w:color w:val="000000"/>
          <w:lang w:eastAsia="en-IN"/>
        </w:rPr>
        <w:t>he Bank of S</w:t>
      </w:r>
      <w:r w:rsidRPr="007E2005">
        <w:rPr>
          <w:rFonts w:ascii="Calibri" w:eastAsia="Times New Roman" w:hAnsi="Calibri" w:cs="Times New Roman"/>
          <w:lang w:eastAsia="en-IN"/>
        </w:rPr>
        <w:t>outh Pacific and IFC could be potential project leaders for incubators such as these.</w:t>
      </w:r>
    </w:p>
    <w:p w14:paraId="6DFCE4A6" w14:textId="77777777" w:rsidR="006B593E" w:rsidRPr="007E2005" w:rsidRDefault="006B593E" w:rsidP="006B593E">
      <w:pPr>
        <w:numPr>
          <w:ilvl w:val="0"/>
          <w:numId w:val="49"/>
        </w:numPr>
        <w:tabs>
          <w:tab w:val="left" w:pos="360"/>
        </w:tabs>
        <w:spacing w:before="120" w:after="120" w:line="240" w:lineRule="auto"/>
        <w:ind w:right="602"/>
        <w:jc w:val="both"/>
        <w:rPr>
          <w:rFonts w:ascii="Calibri" w:eastAsia="Times New Roman" w:hAnsi="Calibri" w:cs="Times New Roman"/>
          <w:lang w:eastAsia="en-IN"/>
        </w:rPr>
      </w:pPr>
      <w:r w:rsidRPr="007E2005">
        <w:rPr>
          <w:rFonts w:ascii="Calibri" w:eastAsia="Times New Roman" w:hAnsi="Calibri" w:cs="Times New Roman"/>
          <w:i/>
          <w:lang w:eastAsia="en-IN"/>
        </w:rPr>
        <w:t>P</w:t>
      </w:r>
      <w:r w:rsidRPr="007E2005">
        <w:rPr>
          <w:rFonts w:ascii="Calibri" w:eastAsia="Times New Roman" w:hAnsi="Calibri" w:cs="Times New Roman"/>
          <w:i/>
          <w:color w:val="000000"/>
          <w:lang w:eastAsia="en-IN"/>
        </w:rPr>
        <w:t xml:space="preserve">roviding challenge grants </w:t>
      </w:r>
      <w:r w:rsidRPr="007E2005">
        <w:rPr>
          <w:rFonts w:ascii="Calibri" w:eastAsia="Times New Roman" w:hAnsi="Calibri" w:cs="Times New Roman"/>
          <w:color w:val="000000"/>
          <w:lang w:eastAsia="en-IN"/>
        </w:rPr>
        <w:t>to the banks and financial technology companies (</w:t>
      </w:r>
      <w:proofErr w:type="spellStart"/>
      <w:r w:rsidRPr="007E2005">
        <w:rPr>
          <w:rFonts w:ascii="Calibri" w:eastAsia="Times New Roman" w:hAnsi="Calibri" w:cs="Times New Roman"/>
          <w:color w:val="000000"/>
          <w:lang w:eastAsia="en-IN"/>
        </w:rPr>
        <w:t>fintechs</w:t>
      </w:r>
      <w:proofErr w:type="spellEnd"/>
      <w:r w:rsidRPr="007E2005">
        <w:rPr>
          <w:rFonts w:ascii="Calibri" w:eastAsia="Times New Roman" w:hAnsi="Calibri" w:cs="Times New Roman"/>
          <w:color w:val="000000"/>
          <w:lang w:eastAsia="en-IN"/>
        </w:rPr>
        <w:t>) that are starting to use agent banking models to increase the reach and quality of usage among a wider swath of the population.</w:t>
      </w:r>
    </w:p>
    <w:p w14:paraId="19DCACB8" w14:textId="77777777" w:rsidR="006B593E" w:rsidRPr="005F78A1" w:rsidRDefault="006B593E" w:rsidP="006B593E">
      <w:pPr>
        <w:numPr>
          <w:ilvl w:val="0"/>
          <w:numId w:val="49"/>
        </w:numPr>
        <w:tabs>
          <w:tab w:val="left" w:pos="360"/>
        </w:tabs>
        <w:spacing w:before="120" w:after="120" w:line="240" w:lineRule="auto"/>
        <w:ind w:right="602"/>
        <w:jc w:val="both"/>
        <w:rPr>
          <w:rFonts w:ascii="Calibri" w:eastAsia="Lato" w:hAnsi="Calibri" w:cs="Lato"/>
          <w:lang w:eastAsia="en-IN"/>
        </w:rPr>
      </w:pPr>
      <w:r w:rsidRPr="007E2005">
        <w:rPr>
          <w:rFonts w:ascii="Calibri" w:eastAsia="Times New Roman" w:hAnsi="Calibri" w:cs="Times New Roman"/>
          <w:i/>
          <w:lang w:eastAsia="en-IN"/>
        </w:rPr>
        <w:t xml:space="preserve">Providing </w:t>
      </w:r>
      <w:r w:rsidRPr="00280E0D">
        <w:rPr>
          <w:rFonts w:ascii="Calibri" w:eastAsia="Times New Roman" w:hAnsi="Calibri" w:cs="Times New Roman"/>
          <w:i/>
          <w:lang w:eastAsia="en-IN"/>
        </w:rPr>
        <w:t>technical assistance</w:t>
      </w:r>
      <w:r w:rsidRPr="007E2005">
        <w:rPr>
          <w:rFonts w:ascii="Calibri" w:eastAsia="Times New Roman" w:hAnsi="Calibri" w:cs="Times New Roman"/>
          <w:i/>
          <w:lang w:eastAsia="en-IN"/>
        </w:rPr>
        <w:t xml:space="preserve"> </w:t>
      </w:r>
      <w:r w:rsidRPr="007E2005">
        <w:rPr>
          <w:rFonts w:ascii="Calibri" w:eastAsia="Times New Roman" w:hAnsi="Calibri" w:cs="Times New Roman"/>
          <w:lang w:eastAsia="en-IN"/>
        </w:rPr>
        <w:t xml:space="preserve">to help small businesses that are part of the value chains of some of the higher-priority </w:t>
      </w:r>
      <w:r w:rsidRPr="007E2005">
        <w:rPr>
          <w:rFonts w:ascii="Calibri" w:eastAsia="Times New Roman" w:hAnsi="Calibri" w:cs="Times New Roman"/>
          <w:color w:val="000000"/>
          <w:lang w:eastAsia="en-IN"/>
        </w:rPr>
        <w:t xml:space="preserve">sectors to access more and better finance (e.g., small businesses in PNG’s agriculture, water and energy sectors). </w:t>
      </w:r>
    </w:p>
    <w:p w14:paraId="41DABE6C" w14:textId="77777777" w:rsidR="006B593E" w:rsidRPr="005F78A1" w:rsidRDefault="006B593E" w:rsidP="006B593E">
      <w:pPr>
        <w:tabs>
          <w:tab w:val="left" w:pos="360"/>
          <w:tab w:val="left" w:pos="540"/>
        </w:tabs>
        <w:spacing w:before="120" w:after="120" w:line="240" w:lineRule="auto"/>
        <w:ind w:right="602"/>
        <w:jc w:val="both"/>
        <w:rPr>
          <w:rFonts w:ascii="Calibri" w:eastAsia="Times New Roman" w:hAnsi="Calibri" w:cs="Times New Roman"/>
          <w:color w:val="C0504D"/>
          <w:sz w:val="28"/>
          <w:szCs w:val="28"/>
          <w:lang w:eastAsia="en-IN"/>
        </w:rPr>
      </w:pPr>
      <w:r w:rsidRPr="005F78A1">
        <w:rPr>
          <w:rFonts w:ascii="Calibri" w:eastAsia="Times New Roman" w:hAnsi="Calibri" w:cs="Times New Roman"/>
          <w:color w:val="C0504D"/>
          <w:sz w:val="28"/>
          <w:szCs w:val="28"/>
          <w:lang w:eastAsia="en-IN"/>
        </w:rPr>
        <w:t>Key Challenges and Constraints</w:t>
      </w:r>
    </w:p>
    <w:p w14:paraId="7FC81C2F" w14:textId="77777777" w:rsidR="006B593E" w:rsidRPr="007E2005" w:rsidRDefault="006B593E" w:rsidP="006B593E">
      <w:pPr>
        <w:numPr>
          <w:ilvl w:val="0"/>
          <w:numId w:val="43"/>
        </w:numPr>
        <w:tabs>
          <w:tab w:val="left" w:pos="360"/>
          <w:tab w:val="left" w:pos="540"/>
        </w:tabs>
        <w:spacing w:before="120" w:after="120" w:line="240" w:lineRule="auto"/>
        <w:ind w:left="0" w:right="602" w:firstLine="0"/>
        <w:jc w:val="both"/>
        <w:rPr>
          <w:rFonts w:ascii="Calibri" w:eastAsia="Lato" w:hAnsi="Calibri" w:cs="Lato"/>
          <w:color w:val="000000"/>
          <w:lang w:eastAsia="en-IN"/>
        </w:rPr>
      </w:pPr>
      <w:r w:rsidRPr="007E2005">
        <w:rPr>
          <w:rFonts w:ascii="Calibri" w:eastAsia="Times New Roman" w:hAnsi="Calibri" w:cs="Times New Roman"/>
          <w:b/>
          <w:color w:val="000000"/>
          <w:lang w:eastAsia="en-IN"/>
        </w:rPr>
        <w:t>Providers of development finance face significant barriers in PNG due to a lack of investable opportunities and difficulties in provision. These issues can be attributed to the following drivers</w:t>
      </w:r>
      <w:r>
        <w:rPr>
          <w:rFonts w:ascii="Calibri" w:eastAsia="Times New Roman" w:hAnsi="Calibri" w:cs="Times New Roman"/>
          <w:b/>
          <w:color w:val="000000"/>
          <w:lang w:eastAsia="en-IN"/>
        </w:rPr>
        <w:t>:</w:t>
      </w:r>
      <w:r w:rsidRPr="007E2005">
        <w:rPr>
          <w:rFonts w:ascii="Calibri" w:eastAsia="Lato" w:hAnsi="Calibri" w:cs="Lato"/>
          <w:vertAlign w:val="superscript"/>
          <w:lang w:eastAsia="en-IN"/>
        </w:rPr>
        <w:footnoteReference w:id="131"/>
      </w:r>
      <w:r w:rsidRPr="007E2005">
        <w:rPr>
          <w:rFonts w:ascii="Calibri" w:eastAsia="Times New Roman" w:hAnsi="Calibri" w:cs="Times New Roman"/>
          <w:b/>
          <w:color w:val="000000"/>
          <w:lang w:eastAsia="en-IN"/>
        </w:rPr>
        <w:t xml:space="preserve"> </w:t>
      </w:r>
    </w:p>
    <w:p w14:paraId="3AEE26F1" w14:textId="77777777" w:rsidR="006B593E" w:rsidRPr="007E2005" w:rsidRDefault="006B593E" w:rsidP="006B593E">
      <w:pPr>
        <w:numPr>
          <w:ilvl w:val="0"/>
          <w:numId w:val="50"/>
        </w:numPr>
        <w:pBdr>
          <w:top w:val="nil"/>
          <w:left w:val="nil"/>
          <w:bottom w:val="nil"/>
          <w:right w:val="nil"/>
          <w:between w:val="nil"/>
        </w:pBdr>
        <w:tabs>
          <w:tab w:val="left" w:pos="360"/>
        </w:tabs>
        <w:spacing w:before="120" w:after="120" w:line="240" w:lineRule="auto"/>
        <w:ind w:right="602"/>
        <w:jc w:val="both"/>
        <w:rPr>
          <w:rFonts w:ascii="Calibri" w:eastAsia="Lato" w:hAnsi="Calibri" w:cs="Lato"/>
          <w:color w:val="000000"/>
          <w:lang w:eastAsia="en-IN"/>
        </w:rPr>
      </w:pPr>
      <w:r w:rsidRPr="007E2005">
        <w:rPr>
          <w:rFonts w:ascii="Calibri" w:eastAsia="Times New Roman" w:hAnsi="Calibri" w:cs="Times New Roman"/>
          <w:i/>
          <w:color w:val="000000"/>
          <w:lang w:eastAsia="en-IN"/>
        </w:rPr>
        <w:t>Lack of viable deal pipeline:</w:t>
      </w:r>
      <w:r w:rsidRPr="007E2005">
        <w:rPr>
          <w:rFonts w:ascii="Calibri" w:eastAsia="Times New Roman" w:hAnsi="Calibri" w:cs="Times New Roman"/>
          <w:color w:val="000000"/>
          <w:lang w:eastAsia="en-IN"/>
        </w:rPr>
        <w:t xml:space="preserve"> A well-developed private sector creates a virtuous cycle of investment and consumption, having positive externalities on associated demand for infrastructure and other services. The private sector in PNG is </w:t>
      </w:r>
      <w:proofErr w:type="gramStart"/>
      <w:r w:rsidRPr="007E2005">
        <w:rPr>
          <w:rFonts w:ascii="Calibri" w:eastAsia="Times New Roman" w:hAnsi="Calibri" w:cs="Times New Roman"/>
          <w:color w:val="000000"/>
          <w:lang w:eastAsia="en-IN"/>
        </w:rPr>
        <w:t>fairly nascent</w:t>
      </w:r>
      <w:proofErr w:type="gramEnd"/>
      <w:r w:rsidRPr="007E2005">
        <w:rPr>
          <w:rFonts w:ascii="Calibri" w:eastAsia="Times New Roman" w:hAnsi="Calibri" w:cs="Times New Roman"/>
          <w:color w:val="000000"/>
          <w:lang w:eastAsia="en-IN"/>
        </w:rPr>
        <w:t xml:space="preserve">, and hence limits the number of commercially viable projects that may require funding. For intermediaries, restricted deal flow does not allow them to reach a minimum viable scale of investments. This, coupled with uncertainties around exit opportunities owing to an almost non-existent equity market, may be a key challenge </w:t>
      </w:r>
    </w:p>
    <w:p w14:paraId="5D58CCBB" w14:textId="77777777" w:rsidR="006B593E" w:rsidRPr="007E2005" w:rsidRDefault="006B593E" w:rsidP="006B593E">
      <w:pPr>
        <w:numPr>
          <w:ilvl w:val="0"/>
          <w:numId w:val="50"/>
        </w:numPr>
        <w:pBdr>
          <w:top w:val="nil"/>
          <w:left w:val="nil"/>
          <w:bottom w:val="nil"/>
          <w:right w:val="nil"/>
          <w:between w:val="nil"/>
        </w:pBdr>
        <w:tabs>
          <w:tab w:val="left" w:pos="360"/>
        </w:tabs>
        <w:spacing w:before="120" w:after="120" w:line="240" w:lineRule="auto"/>
        <w:ind w:right="602"/>
        <w:jc w:val="both"/>
        <w:rPr>
          <w:rFonts w:ascii="Calibri" w:eastAsia="Lato" w:hAnsi="Calibri" w:cs="Lato"/>
          <w:color w:val="000000"/>
          <w:lang w:eastAsia="en-IN"/>
        </w:rPr>
      </w:pPr>
      <w:r w:rsidRPr="007E2005">
        <w:rPr>
          <w:rFonts w:ascii="Calibri" w:eastAsia="Times New Roman" w:hAnsi="Calibri" w:cs="Times New Roman"/>
          <w:i/>
          <w:color w:val="000000"/>
          <w:lang w:eastAsia="en-IN"/>
        </w:rPr>
        <w:lastRenderedPageBreak/>
        <w:t>Nepotism, corruption and mismanagement in governance:</w:t>
      </w:r>
      <w:r w:rsidRPr="007E2005">
        <w:rPr>
          <w:rFonts w:ascii="Calibri" w:eastAsia="Times New Roman" w:hAnsi="Calibri" w:cs="Times New Roman"/>
          <w:color w:val="000000"/>
          <w:lang w:eastAsia="en-IN"/>
        </w:rPr>
        <w:t xml:space="preserve"> Transparency International ranks PNG at 136</w:t>
      </w:r>
      <w:r w:rsidRPr="007E2005">
        <w:rPr>
          <w:rFonts w:ascii="Calibri" w:eastAsia="Times New Roman" w:hAnsi="Calibri" w:cs="Times New Roman"/>
          <w:color w:val="000000"/>
          <w:vertAlign w:val="superscript"/>
          <w:lang w:eastAsia="en-IN"/>
        </w:rPr>
        <w:t>th</w:t>
      </w:r>
      <w:r w:rsidRPr="007E2005">
        <w:rPr>
          <w:rFonts w:ascii="Calibri" w:eastAsia="Times New Roman" w:hAnsi="Calibri" w:cs="Times New Roman"/>
          <w:color w:val="000000"/>
          <w:lang w:eastAsia="en-IN"/>
        </w:rPr>
        <w:t xml:space="preserve"> least corrupt out of 172 nations. Independent institutions face the significant threat of politicisation or marginalisation. Many institutions are also not being held accountable for their mandated responsibilities, or have overlapping and unclear responsibilities</w:t>
      </w:r>
    </w:p>
    <w:p w14:paraId="32B31254" w14:textId="77777777" w:rsidR="006B593E" w:rsidRPr="007E2005" w:rsidRDefault="006B593E" w:rsidP="006B593E">
      <w:pPr>
        <w:numPr>
          <w:ilvl w:val="0"/>
          <w:numId w:val="50"/>
        </w:numPr>
        <w:pBdr>
          <w:top w:val="nil"/>
          <w:left w:val="nil"/>
          <w:bottom w:val="nil"/>
          <w:right w:val="nil"/>
          <w:between w:val="nil"/>
        </w:pBdr>
        <w:tabs>
          <w:tab w:val="left" w:pos="360"/>
        </w:tabs>
        <w:spacing w:before="120" w:after="120" w:line="240" w:lineRule="auto"/>
        <w:ind w:right="602"/>
        <w:jc w:val="both"/>
        <w:rPr>
          <w:rFonts w:ascii="Calibri" w:eastAsia="Lato" w:hAnsi="Calibri" w:cs="Lato"/>
          <w:color w:val="000000"/>
          <w:lang w:eastAsia="en-IN"/>
        </w:rPr>
      </w:pPr>
      <w:r w:rsidRPr="007E2005">
        <w:rPr>
          <w:rFonts w:ascii="Calibri" w:eastAsia="Times New Roman" w:hAnsi="Calibri" w:cs="Times New Roman"/>
          <w:i/>
          <w:color w:val="000000"/>
          <w:lang w:eastAsia="en-IN"/>
        </w:rPr>
        <w:t>Fiscal health:</w:t>
      </w:r>
      <w:r w:rsidRPr="007E2005">
        <w:rPr>
          <w:rFonts w:ascii="Calibri" w:eastAsia="Times New Roman" w:hAnsi="Calibri" w:cs="Times New Roman"/>
          <w:color w:val="000000"/>
          <w:lang w:eastAsia="en-IN"/>
        </w:rPr>
        <w:t xml:space="preserve"> PNG is facing a revenue crisis. Adjusting for inflation, the country’s 2017 revenues were back at 2006 levels. Imports have fallen by 57% from their 2013 peak and are back at 2005 levels. Imports in the machinery and equipment category have fallen by 58% since 2010, including by 20% in 2016 alone. This might result in the public sector’s inability to repay debts, and hence deter development actors from deploying </w:t>
      </w:r>
      <w:r>
        <w:rPr>
          <w:rFonts w:ascii="Calibri" w:eastAsia="Times New Roman" w:hAnsi="Calibri" w:cs="Times New Roman"/>
          <w:color w:val="000000"/>
          <w:lang w:eastAsia="en-IN"/>
        </w:rPr>
        <w:t>NGF</w:t>
      </w:r>
      <w:r w:rsidRPr="007E2005">
        <w:rPr>
          <w:rFonts w:ascii="Calibri" w:eastAsia="Times New Roman" w:hAnsi="Calibri" w:cs="Times New Roman"/>
          <w:color w:val="000000"/>
          <w:lang w:eastAsia="en-IN"/>
        </w:rPr>
        <w:t xml:space="preserve"> </w:t>
      </w:r>
    </w:p>
    <w:p w14:paraId="1AD2E5AD" w14:textId="77777777" w:rsidR="006B593E" w:rsidRPr="007E2005" w:rsidRDefault="006B593E" w:rsidP="006B593E">
      <w:pPr>
        <w:numPr>
          <w:ilvl w:val="0"/>
          <w:numId w:val="50"/>
        </w:numPr>
        <w:pBdr>
          <w:top w:val="nil"/>
          <w:left w:val="nil"/>
          <w:bottom w:val="nil"/>
          <w:right w:val="nil"/>
          <w:between w:val="nil"/>
        </w:pBdr>
        <w:tabs>
          <w:tab w:val="left" w:pos="360"/>
        </w:tabs>
        <w:spacing w:before="120" w:after="120" w:line="240" w:lineRule="auto"/>
        <w:ind w:right="602"/>
        <w:jc w:val="both"/>
        <w:rPr>
          <w:rFonts w:ascii="Calibri" w:eastAsia="Lato" w:hAnsi="Calibri" w:cs="Lato"/>
          <w:color w:val="000000"/>
          <w:lang w:eastAsia="en-IN"/>
        </w:rPr>
      </w:pPr>
      <w:r w:rsidRPr="007E2005">
        <w:rPr>
          <w:rFonts w:ascii="Calibri" w:eastAsia="Times New Roman" w:hAnsi="Calibri" w:cs="Times New Roman"/>
          <w:i/>
          <w:color w:val="000000"/>
          <w:lang w:eastAsia="en-IN"/>
        </w:rPr>
        <w:t>Vulnerability to disasters:</w:t>
      </w:r>
      <w:r w:rsidRPr="007E2005">
        <w:rPr>
          <w:rFonts w:ascii="Calibri" w:eastAsia="Times New Roman" w:hAnsi="Calibri" w:cs="Times New Roman"/>
          <w:color w:val="000000"/>
          <w:lang w:eastAsia="en-IN"/>
        </w:rPr>
        <w:t xml:space="preserve"> PNG is extremely vulnerable to natural disasters such as volcanic eruptions, floods, cyclones, landslides and tsunamis. The scale of infrastructure reconstruction needed in the aftermaths of these disasters can exceed what the government can afford. Development actors may be reluctant to provide </w:t>
      </w:r>
      <w:r>
        <w:rPr>
          <w:rFonts w:ascii="Calibri" w:eastAsia="Times New Roman" w:hAnsi="Calibri" w:cs="Times New Roman"/>
          <w:color w:val="000000"/>
          <w:lang w:eastAsia="en-IN"/>
        </w:rPr>
        <w:t>NGF</w:t>
      </w:r>
      <w:r w:rsidRPr="007E2005">
        <w:rPr>
          <w:rFonts w:ascii="Calibri" w:eastAsia="Times New Roman" w:hAnsi="Calibri" w:cs="Times New Roman"/>
          <w:color w:val="000000"/>
          <w:lang w:eastAsia="en-IN"/>
        </w:rPr>
        <w:t xml:space="preserve"> for infrastructure projects that do not account for climate change resiliency </w:t>
      </w:r>
    </w:p>
    <w:p w14:paraId="27C1EA6D" w14:textId="77777777" w:rsidR="006B593E" w:rsidRPr="007E2005" w:rsidRDefault="006B593E" w:rsidP="006B593E">
      <w:pPr>
        <w:numPr>
          <w:ilvl w:val="0"/>
          <w:numId w:val="50"/>
        </w:numPr>
        <w:pBdr>
          <w:top w:val="nil"/>
          <w:left w:val="nil"/>
          <w:bottom w:val="nil"/>
          <w:right w:val="nil"/>
          <w:between w:val="nil"/>
        </w:pBdr>
        <w:tabs>
          <w:tab w:val="left" w:pos="360"/>
        </w:tabs>
        <w:spacing w:before="120" w:after="120" w:line="240" w:lineRule="auto"/>
        <w:ind w:right="602"/>
        <w:jc w:val="both"/>
        <w:rPr>
          <w:rFonts w:ascii="Calibri" w:eastAsia="Lato" w:hAnsi="Calibri" w:cs="Lato"/>
          <w:color w:val="000000"/>
          <w:lang w:eastAsia="en-IN"/>
        </w:rPr>
      </w:pPr>
      <w:r w:rsidRPr="007E2005">
        <w:rPr>
          <w:rFonts w:ascii="Calibri" w:eastAsia="Times New Roman" w:hAnsi="Calibri" w:cs="Times New Roman"/>
          <w:i/>
          <w:color w:val="000000"/>
          <w:lang w:eastAsia="en-IN"/>
        </w:rPr>
        <w:t>Lack of supporting ecosystem</w:t>
      </w:r>
      <w:r w:rsidRPr="007E2005">
        <w:rPr>
          <w:rFonts w:ascii="Calibri" w:eastAsia="Times New Roman" w:hAnsi="Calibri" w:cs="Times New Roman"/>
          <w:color w:val="000000"/>
          <w:lang w:eastAsia="en-IN"/>
        </w:rPr>
        <w:t xml:space="preserve">: Not many private equity investors, venture funds or impact investors are present in the market, owing largely to the lack of investable opportunities. This problem compounds misfortune since large donors, many of whom may want to enter the market and offer concessional </w:t>
      </w:r>
      <w:r>
        <w:rPr>
          <w:rFonts w:ascii="Calibri" w:eastAsia="Times New Roman" w:hAnsi="Calibri" w:cs="Times New Roman"/>
          <w:color w:val="000000"/>
          <w:lang w:eastAsia="en-IN"/>
        </w:rPr>
        <w:t>NGF</w:t>
      </w:r>
      <w:r w:rsidRPr="007E2005">
        <w:rPr>
          <w:rFonts w:ascii="Calibri" w:eastAsia="Times New Roman" w:hAnsi="Calibri" w:cs="Times New Roman"/>
          <w:color w:val="000000"/>
          <w:lang w:eastAsia="en-IN"/>
        </w:rPr>
        <w:t xml:space="preserve">, cannot invest due to a lack of market information. Further, the lack of a banking, financial services and insurance (BFSI) ecosystem leads to high transaction costs for private players </w:t>
      </w:r>
    </w:p>
    <w:p w14:paraId="554B2380" w14:textId="40FACADB" w:rsidR="006B593E" w:rsidRPr="007E2005" w:rsidRDefault="006B593E" w:rsidP="006B593E">
      <w:pPr>
        <w:numPr>
          <w:ilvl w:val="0"/>
          <w:numId w:val="50"/>
        </w:numPr>
        <w:pBdr>
          <w:top w:val="nil"/>
          <w:left w:val="nil"/>
          <w:bottom w:val="nil"/>
          <w:right w:val="nil"/>
          <w:between w:val="nil"/>
        </w:pBdr>
        <w:tabs>
          <w:tab w:val="left" w:pos="360"/>
        </w:tabs>
        <w:spacing w:before="120" w:after="120" w:line="240" w:lineRule="auto"/>
        <w:ind w:right="602"/>
        <w:jc w:val="both"/>
        <w:rPr>
          <w:rFonts w:ascii="Calibri" w:eastAsia="Lato" w:hAnsi="Calibri" w:cs="Lato"/>
          <w:color w:val="000000"/>
          <w:lang w:eastAsia="en-IN"/>
        </w:rPr>
      </w:pPr>
      <w:r w:rsidRPr="007E2005">
        <w:rPr>
          <w:rFonts w:ascii="Calibri" w:eastAsia="Times New Roman" w:hAnsi="Calibri" w:cs="Times New Roman"/>
          <w:i/>
          <w:color w:val="000000"/>
          <w:lang w:eastAsia="en-IN"/>
        </w:rPr>
        <w:t>Diversity:</w:t>
      </w:r>
      <w:r w:rsidRPr="007E2005">
        <w:rPr>
          <w:rFonts w:ascii="Calibri" w:eastAsia="Times New Roman" w:hAnsi="Calibri" w:cs="Times New Roman"/>
          <w:color w:val="000000"/>
          <w:lang w:eastAsia="en-IN"/>
        </w:rPr>
        <w:t xml:space="preserve"> PNG is an extremely diverse country in which more than 800 languages are spoken. For social infrastructure and service provision, scaling becomes complex and resource-intensive, as it is difficult to produce standardised schemes and </w:t>
      </w:r>
      <w:r w:rsidR="0073249A">
        <w:rPr>
          <w:rFonts w:ascii="Calibri" w:eastAsia="Times New Roman" w:hAnsi="Calibri" w:cs="Times New Roman"/>
          <w:color w:val="000000"/>
          <w:lang w:eastAsia="en-IN"/>
        </w:rPr>
        <w:t>program</w:t>
      </w:r>
      <w:r>
        <w:rPr>
          <w:rFonts w:ascii="Calibri" w:eastAsia="Times New Roman" w:hAnsi="Calibri" w:cs="Times New Roman"/>
          <w:color w:val="000000"/>
          <w:lang w:eastAsia="en-IN"/>
        </w:rPr>
        <w:t xml:space="preserve">s </w:t>
      </w:r>
    </w:p>
    <w:p w14:paraId="3E9DBF6A" w14:textId="77777777" w:rsidR="006B593E" w:rsidRPr="00E93CCB" w:rsidRDefault="006B593E" w:rsidP="006B593E">
      <w:pPr>
        <w:numPr>
          <w:ilvl w:val="0"/>
          <w:numId w:val="50"/>
        </w:numPr>
        <w:pBdr>
          <w:top w:val="nil"/>
          <w:left w:val="nil"/>
          <w:bottom w:val="nil"/>
          <w:right w:val="nil"/>
          <w:between w:val="nil"/>
        </w:pBdr>
        <w:tabs>
          <w:tab w:val="left" w:pos="360"/>
        </w:tabs>
        <w:spacing w:before="120" w:after="120" w:line="240" w:lineRule="auto"/>
        <w:ind w:right="602"/>
        <w:jc w:val="both"/>
        <w:rPr>
          <w:rFonts w:ascii="Calibri" w:eastAsia="Lato" w:hAnsi="Calibri" w:cs="Lato"/>
          <w:color w:val="000000"/>
          <w:lang w:eastAsia="en-IN"/>
        </w:rPr>
      </w:pPr>
      <w:r w:rsidRPr="007E2005">
        <w:rPr>
          <w:rFonts w:ascii="Calibri" w:eastAsia="Times New Roman" w:hAnsi="Calibri" w:cs="Times New Roman"/>
          <w:i/>
          <w:color w:val="000000"/>
          <w:lang w:eastAsia="en-IN"/>
        </w:rPr>
        <w:t>Security:</w:t>
      </w:r>
      <w:r w:rsidRPr="007E2005">
        <w:rPr>
          <w:rFonts w:ascii="Calibri" w:eastAsia="Times New Roman" w:hAnsi="Calibri" w:cs="Times New Roman"/>
          <w:color w:val="000000"/>
          <w:lang w:eastAsia="en-IN"/>
        </w:rPr>
        <w:t xml:space="preserve"> Many actors point to the pressing physical security risk of investing and doing business in PNG, and list security expenses is one of their chief overheads. The main security threats include urban crime, gender-based violence, corruption, arms trafficking, border protection, resource poaching, climate change, natural disasters, and transnational crime</w:t>
      </w:r>
      <w:r>
        <w:rPr>
          <w:rFonts w:ascii="Calibri" w:eastAsia="Times New Roman" w:hAnsi="Calibri" w:cs="Times New Roman"/>
          <w:color w:val="000000"/>
          <w:lang w:eastAsia="en-IN"/>
        </w:rPr>
        <w:t>.</w:t>
      </w:r>
      <w:r w:rsidRPr="007E2005">
        <w:rPr>
          <w:rFonts w:ascii="Calibri" w:eastAsia="Lato" w:hAnsi="Calibri" w:cs="Lato"/>
          <w:vertAlign w:val="superscript"/>
          <w:lang w:eastAsia="en-IN"/>
        </w:rPr>
        <w:footnoteReference w:id="132"/>
      </w:r>
      <w:r w:rsidRPr="007E2005">
        <w:rPr>
          <w:rFonts w:ascii="Calibri" w:eastAsia="Times New Roman" w:hAnsi="Calibri" w:cs="Times New Roman"/>
          <w:color w:val="000000"/>
          <w:lang w:eastAsia="en-IN"/>
        </w:rPr>
        <w:t xml:space="preserve"> </w:t>
      </w:r>
      <w:r w:rsidRPr="007E2005">
        <w:rPr>
          <w:rFonts w:ascii="Calibri" w:eastAsia="Times New Roman" w:hAnsi="Calibri" w:cs="Times New Roman"/>
          <w:color w:val="C0504D"/>
          <w:sz w:val="28"/>
          <w:szCs w:val="28"/>
          <w:lang w:eastAsia="en-IN"/>
        </w:rPr>
        <w:t xml:space="preserve"> </w:t>
      </w:r>
    </w:p>
    <w:p w14:paraId="44C51E26" w14:textId="77777777" w:rsidR="006B593E" w:rsidRPr="007E2005" w:rsidRDefault="006B593E" w:rsidP="006B593E">
      <w:pPr>
        <w:pBdr>
          <w:top w:val="nil"/>
          <w:left w:val="nil"/>
          <w:bottom w:val="nil"/>
          <w:right w:val="nil"/>
          <w:between w:val="nil"/>
        </w:pBdr>
        <w:tabs>
          <w:tab w:val="left" w:pos="360"/>
        </w:tabs>
        <w:spacing w:before="120" w:after="120" w:line="240" w:lineRule="auto"/>
        <w:ind w:left="720" w:right="602"/>
        <w:jc w:val="both"/>
        <w:rPr>
          <w:rFonts w:ascii="Calibri" w:eastAsia="Lato" w:hAnsi="Calibri" w:cs="Lato"/>
          <w:color w:val="000000"/>
          <w:lang w:eastAsia="en-IN"/>
        </w:rPr>
      </w:pPr>
    </w:p>
    <w:p w14:paraId="59226D12" w14:textId="77777777" w:rsidR="006B593E" w:rsidRDefault="006B593E" w:rsidP="006B593E">
      <w:pPr>
        <w:widowControl w:val="0"/>
        <w:numPr>
          <w:ilvl w:val="0"/>
          <w:numId w:val="42"/>
        </w:numPr>
        <w:tabs>
          <w:tab w:val="left" w:pos="360"/>
          <w:tab w:val="left" w:pos="540"/>
        </w:tabs>
        <w:spacing w:before="120" w:after="120" w:line="240" w:lineRule="auto"/>
        <w:ind w:right="602"/>
        <w:jc w:val="both"/>
        <w:outlineLvl w:val="0"/>
        <w:rPr>
          <w:rFonts w:ascii="Calibri" w:eastAsia="Times New Roman" w:hAnsi="Calibri" w:cs="Times New Roman"/>
          <w:b/>
          <w:smallCaps/>
          <w:color w:val="4F81BD"/>
          <w:sz w:val="32"/>
          <w:szCs w:val="32"/>
          <w:lang w:eastAsia="en-IN"/>
        </w:rPr>
      </w:pPr>
      <w:r>
        <w:rPr>
          <w:rFonts w:ascii="Calibri" w:eastAsia="Times New Roman" w:hAnsi="Calibri" w:cs="Times New Roman"/>
          <w:b/>
          <w:smallCaps/>
          <w:color w:val="4F81BD"/>
          <w:sz w:val="32"/>
          <w:szCs w:val="32"/>
          <w:lang w:eastAsia="en-IN"/>
        </w:rPr>
        <w:t>Development Impact</w:t>
      </w:r>
    </w:p>
    <w:p w14:paraId="18BF4081" w14:textId="77777777" w:rsidR="006B593E" w:rsidRPr="00E93CCB" w:rsidRDefault="006B593E" w:rsidP="006B593E">
      <w:pPr>
        <w:widowControl w:val="0"/>
        <w:tabs>
          <w:tab w:val="left" w:pos="360"/>
          <w:tab w:val="left" w:pos="540"/>
        </w:tabs>
        <w:spacing w:before="120" w:after="120" w:line="240" w:lineRule="auto"/>
        <w:ind w:right="602"/>
        <w:jc w:val="both"/>
        <w:outlineLvl w:val="0"/>
        <w:rPr>
          <w:rFonts w:ascii="Calibri" w:eastAsia="Times New Roman" w:hAnsi="Calibri" w:cs="Times New Roman"/>
          <w:b/>
          <w:smallCaps/>
          <w:color w:val="4F81BD"/>
          <w:sz w:val="32"/>
          <w:szCs w:val="32"/>
          <w:lang w:eastAsia="en-IN"/>
        </w:rPr>
      </w:pPr>
    </w:p>
    <w:p w14:paraId="7C1A5D17" w14:textId="77777777" w:rsidR="006B593E" w:rsidRPr="007E2005" w:rsidRDefault="006B593E" w:rsidP="006B593E">
      <w:pPr>
        <w:numPr>
          <w:ilvl w:val="0"/>
          <w:numId w:val="43"/>
        </w:numPr>
        <w:tabs>
          <w:tab w:val="left" w:pos="360"/>
          <w:tab w:val="left" w:pos="540"/>
        </w:tabs>
        <w:spacing w:before="120" w:after="120" w:line="240" w:lineRule="auto"/>
        <w:ind w:left="0" w:right="602" w:firstLine="0"/>
        <w:jc w:val="both"/>
        <w:rPr>
          <w:rFonts w:ascii="Calibri" w:eastAsia="Lato" w:hAnsi="Calibri" w:cs="Lato"/>
          <w:color w:val="000000"/>
          <w:lang w:eastAsia="en-IN"/>
        </w:rPr>
      </w:pPr>
      <w:r w:rsidRPr="007E2005">
        <w:rPr>
          <w:rFonts w:ascii="Calibri" w:eastAsia="Times New Roman" w:hAnsi="Calibri" w:cs="Times New Roman"/>
          <w:b/>
          <w:color w:val="000000"/>
          <w:lang w:eastAsia="en-IN"/>
        </w:rPr>
        <w:t>PNG’s development needs, particularl</w:t>
      </w:r>
      <w:r w:rsidRPr="007E2005">
        <w:rPr>
          <w:rFonts w:ascii="Calibri" w:eastAsia="Times New Roman" w:hAnsi="Calibri" w:cs="Times New Roman"/>
          <w:b/>
          <w:lang w:eastAsia="en-IN"/>
        </w:rPr>
        <w:t>y viewed through a gender lens,</w:t>
      </w:r>
      <w:r w:rsidRPr="007E2005">
        <w:rPr>
          <w:rFonts w:ascii="Calibri" w:eastAsia="Times New Roman" w:hAnsi="Calibri" w:cs="Times New Roman"/>
          <w:b/>
          <w:color w:val="000000"/>
          <w:lang w:eastAsia="en-IN"/>
        </w:rPr>
        <w:t xml:space="preserve"> are closely related to the need for better infrastructure. </w:t>
      </w:r>
      <w:r w:rsidRPr="007E2005">
        <w:rPr>
          <w:rFonts w:ascii="Calibri" w:eastAsia="Times New Roman" w:hAnsi="Calibri" w:cs="Times New Roman"/>
          <w:color w:val="000000"/>
          <w:lang w:eastAsia="en-IN"/>
        </w:rPr>
        <w:t xml:space="preserve">Financing critical infrastructure upgrades frequently results in stimulation of inclusive economic growth. For instance: </w:t>
      </w:r>
    </w:p>
    <w:p w14:paraId="1A723F75" w14:textId="77777777" w:rsidR="006B593E" w:rsidRPr="007E2005" w:rsidRDefault="006B593E" w:rsidP="006B593E">
      <w:pPr>
        <w:numPr>
          <w:ilvl w:val="0"/>
          <w:numId w:val="51"/>
        </w:numPr>
        <w:pBdr>
          <w:top w:val="nil"/>
          <w:left w:val="nil"/>
          <w:bottom w:val="nil"/>
          <w:right w:val="nil"/>
          <w:between w:val="nil"/>
        </w:pBdr>
        <w:tabs>
          <w:tab w:val="left" w:pos="360"/>
        </w:tabs>
        <w:spacing w:before="120" w:after="120" w:line="240" w:lineRule="auto"/>
        <w:ind w:right="602"/>
        <w:jc w:val="both"/>
        <w:rPr>
          <w:rFonts w:ascii="Calibri" w:eastAsia="Lato" w:hAnsi="Calibri" w:cs="Lato"/>
          <w:color w:val="000000"/>
          <w:lang w:eastAsia="en-IN"/>
        </w:rPr>
      </w:pPr>
      <w:r w:rsidRPr="007E2005">
        <w:rPr>
          <w:rFonts w:ascii="Calibri" w:eastAsia="Times New Roman" w:hAnsi="Calibri" w:cs="Times New Roman"/>
          <w:i/>
          <w:lang w:eastAsia="en-IN"/>
        </w:rPr>
        <w:t>I</w:t>
      </w:r>
      <w:r w:rsidRPr="007E2005">
        <w:rPr>
          <w:rFonts w:ascii="Calibri" w:eastAsia="Times New Roman" w:hAnsi="Calibri" w:cs="Times New Roman"/>
          <w:i/>
          <w:color w:val="000000"/>
          <w:lang w:eastAsia="en-IN"/>
        </w:rPr>
        <w:t xml:space="preserve">mproved and affordable electricity </w:t>
      </w:r>
      <w:r w:rsidRPr="007E2005">
        <w:rPr>
          <w:rFonts w:ascii="Calibri" w:eastAsia="Times New Roman" w:hAnsi="Calibri" w:cs="Times New Roman"/>
          <w:i/>
          <w:lang w:eastAsia="en-IN"/>
        </w:rPr>
        <w:t>access</w:t>
      </w:r>
      <w:r w:rsidRPr="007E2005">
        <w:rPr>
          <w:rFonts w:ascii="Calibri" w:eastAsia="Times New Roman" w:hAnsi="Calibri" w:cs="Times New Roman"/>
          <w:color w:val="000000"/>
          <w:lang w:eastAsia="en-IN"/>
        </w:rPr>
        <w:t xml:space="preserve">. </w:t>
      </w:r>
      <w:r w:rsidRPr="007E2005">
        <w:rPr>
          <w:rFonts w:ascii="Calibri" w:eastAsia="Times New Roman" w:hAnsi="Calibri" w:cs="Times New Roman"/>
          <w:lang w:eastAsia="en-IN"/>
        </w:rPr>
        <w:t>PNG’s energy deprivation disproportionately affects women, who are</w:t>
      </w:r>
      <w:r w:rsidRPr="007E2005">
        <w:rPr>
          <w:rFonts w:ascii="Calibri" w:eastAsia="Times New Roman" w:hAnsi="Calibri" w:cs="Times New Roman"/>
          <w:color w:val="000000"/>
          <w:lang w:eastAsia="en-IN"/>
        </w:rPr>
        <w:t xml:space="preserve"> primarily responsible for collecting </w:t>
      </w:r>
      <w:r w:rsidRPr="007E2005">
        <w:rPr>
          <w:rFonts w:ascii="Calibri" w:eastAsia="Times New Roman" w:hAnsi="Calibri" w:cs="Times New Roman"/>
          <w:lang w:eastAsia="en-IN"/>
        </w:rPr>
        <w:t xml:space="preserve">firewood and other fuel materials for lighting and cooking, </w:t>
      </w:r>
      <w:proofErr w:type="gramStart"/>
      <w:r w:rsidRPr="007E2005">
        <w:rPr>
          <w:rFonts w:ascii="Calibri" w:eastAsia="Times New Roman" w:hAnsi="Calibri" w:cs="Times New Roman"/>
          <w:color w:val="000000"/>
          <w:lang w:eastAsia="en-IN"/>
        </w:rPr>
        <w:t xml:space="preserve">and </w:t>
      </w:r>
      <w:r w:rsidRPr="007E2005">
        <w:rPr>
          <w:rFonts w:ascii="Calibri" w:eastAsia="Times New Roman" w:hAnsi="Calibri" w:cs="Times New Roman"/>
          <w:lang w:eastAsia="en-IN"/>
        </w:rPr>
        <w:t>also</w:t>
      </w:r>
      <w:proofErr w:type="gramEnd"/>
      <w:r w:rsidRPr="007E2005">
        <w:rPr>
          <w:rFonts w:ascii="Calibri" w:eastAsia="Times New Roman" w:hAnsi="Calibri" w:cs="Times New Roman"/>
          <w:lang w:eastAsia="en-IN"/>
        </w:rPr>
        <w:t xml:space="preserve"> suffer from indoor pollution due to the lack of clean energy appliances. Stable power access allows women to meaningfully utilise timesaving energy appliances such as cooking stoves and solar lamps. Evidence from South Africa shows that rural electrification raised female labour force participation by 9.95%, likely because increased use of such appliances freed the time and effort previously required for a number of household obligations, and </w:t>
      </w:r>
      <w:r w:rsidRPr="007E2005">
        <w:rPr>
          <w:rFonts w:ascii="Calibri" w:eastAsia="Times New Roman" w:hAnsi="Calibri" w:cs="Times New Roman"/>
          <w:lang w:eastAsia="en-IN"/>
        </w:rPr>
        <w:lastRenderedPageBreak/>
        <w:t>effectively enabled micro-entrepreneurship; similar studies from Brazil and Nicaragua affirm this relationship between energy access and female employment</w:t>
      </w:r>
      <w:r>
        <w:rPr>
          <w:rFonts w:ascii="Calibri" w:eastAsia="Times New Roman" w:hAnsi="Calibri" w:cs="Times New Roman"/>
          <w:lang w:eastAsia="en-IN"/>
        </w:rPr>
        <w:t>.</w:t>
      </w:r>
      <w:r w:rsidRPr="007E2005">
        <w:rPr>
          <w:rFonts w:ascii="Calibri" w:eastAsia="Times New Roman" w:hAnsi="Calibri" w:cs="Times New Roman"/>
          <w:vertAlign w:val="superscript"/>
          <w:lang w:eastAsia="en-IN"/>
        </w:rPr>
        <w:footnoteReference w:id="133"/>
      </w:r>
      <w:r w:rsidRPr="007E2005">
        <w:rPr>
          <w:rFonts w:ascii="Calibri" w:eastAsia="Times New Roman" w:hAnsi="Calibri" w:cs="Times New Roman"/>
          <w:lang w:eastAsia="en-IN"/>
        </w:rPr>
        <w:t xml:space="preserve"> Further, increases in purchasing power can create a virtuous cycle wherein women can work their way up to other effective timesaving appliances such as washing machines and gain even more autonomy. Reliable access to energy also empowers self-employed women who run small businesses from their </w:t>
      </w:r>
      <w:proofErr w:type="gramStart"/>
      <w:r w:rsidRPr="007E2005">
        <w:rPr>
          <w:rFonts w:ascii="Calibri" w:eastAsia="Times New Roman" w:hAnsi="Calibri" w:cs="Times New Roman"/>
          <w:lang w:eastAsia="en-IN"/>
        </w:rPr>
        <w:t>homes, and</w:t>
      </w:r>
      <w:proofErr w:type="gramEnd"/>
      <w:r w:rsidRPr="007E2005">
        <w:rPr>
          <w:rFonts w:ascii="Calibri" w:eastAsia="Times New Roman" w:hAnsi="Calibri" w:cs="Times New Roman"/>
          <w:lang w:eastAsia="en-IN"/>
        </w:rPr>
        <w:t xml:space="preserve"> can have an outsized impact on girls whose household learning environment and education outcomes suffer from electricity disruption at night</w:t>
      </w:r>
      <w:r>
        <w:rPr>
          <w:rFonts w:ascii="Calibri" w:eastAsia="Times New Roman" w:hAnsi="Calibri" w:cs="Times New Roman"/>
          <w:lang w:eastAsia="en-IN"/>
        </w:rPr>
        <w:t>.</w:t>
      </w:r>
      <w:r w:rsidRPr="007E2005">
        <w:rPr>
          <w:rFonts w:ascii="Calibri" w:eastAsia="Times New Roman" w:hAnsi="Calibri" w:cs="Times New Roman"/>
          <w:vertAlign w:val="superscript"/>
          <w:lang w:eastAsia="en-IN"/>
        </w:rPr>
        <w:footnoteReference w:id="134"/>
      </w:r>
    </w:p>
    <w:p w14:paraId="2BF927F9" w14:textId="77777777" w:rsidR="006B593E" w:rsidRPr="007E2005" w:rsidRDefault="006B593E" w:rsidP="006B593E">
      <w:pPr>
        <w:numPr>
          <w:ilvl w:val="0"/>
          <w:numId w:val="51"/>
        </w:numPr>
        <w:pBdr>
          <w:top w:val="nil"/>
          <w:left w:val="nil"/>
          <w:bottom w:val="nil"/>
          <w:right w:val="nil"/>
          <w:between w:val="nil"/>
        </w:pBdr>
        <w:tabs>
          <w:tab w:val="left" w:pos="360"/>
        </w:tabs>
        <w:spacing w:before="120" w:after="120" w:line="240" w:lineRule="auto"/>
        <w:ind w:right="602"/>
        <w:jc w:val="both"/>
        <w:rPr>
          <w:rFonts w:ascii="Calibri" w:eastAsia="Lato" w:hAnsi="Calibri" w:cs="Lato"/>
          <w:color w:val="000000"/>
          <w:lang w:eastAsia="en-IN"/>
        </w:rPr>
      </w:pPr>
      <w:r w:rsidRPr="007E2005">
        <w:rPr>
          <w:rFonts w:ascii="Calibri" w:eastAsia="Times New Roman" w:hAnsi="Calibri" w:cs="Times New Roman"/>
          <w:i/>
          <w:lang w:eastAsia="en-IN"/>
        </w:rPr>
        <w:t xml:space="preserve">Greater and safer access to drinking water and sanitation facilities. </w:t>
      </w:r>
      <w:r w:rsidRPr="007E2005">
        <w:rPr>
          <w:rFonts w:ascii="Calibri" w:eastAsia="Times New Roman" w:hAnsi="Calibri" w:cs="Times New Roman"/>
          <w:lang w:eastAsia="en-IN"/>
        </w:rPr>
        <w:t>More extensive and better maintained WASH infrastructure can free up time to be used productively in income-generating activities, improve education outcomes, and lower safety risks for women. Women and girls are the primary collectors of water in PNG. Without water piped to their doorstep, women lose productive and leisure time to the drudgery of water hauling and other WASH-related domestic labour, while school attendance rates drop for girls. Female participation in schools also diminishes due to a lack of separate and usable sanitation facilities on the premises</w:t>
      </w:r>
      <w:r>
        <w:rPr>
          <w:rFonts w:ascii="Calibri" w:eastAsia="Times New Roman" w:hAnsi="Calibri" w:cs="Times New Roman"/>
          <w:lang w:eastAsia="en-IN"/>
        </w:rPr>
        <w:t>.</w:t>
      </w:r>
      <w:r w:rsidRPr="007E2005">
        <w:rPr>
          <w:rFonts w:ascii="Calibri" w:eastAsia="Times New Roman" w:hAnsi="Calibri" w:cs="Times New Roman"/>
          <w:vertAlign w:val="superscript"/>
          <w:lang w:eastAsia="en-IN"/>
        </w:rPr>
        <w:footnoteReference w:id="135"/>
      </w:r>
      <w:r w:rsidRPr="007E2005">
        <w:rPr>
          <w:rFonts w:ascii="Calibri" w:eastAsia="Times New Roman" w:hAnsi="Calibri" w:cs="Times New Roman"/>
          <w:lang w:eastAsia="en-IN"/>
        </w:rPr>
        <w:t xml:space="preserve"> When toilets are few and far between, the threat of sexual assault increases; in provinces like </w:t>
      </w:r>
      <w:proofErr w:type="spellStart"/>
      <w:r w:rsidRPr="007E2005">
        <w:rPr>
          <w:rFonts w:ascii="Calibri" w:eastAsia="Times New Roman" w:hAnsi="Calibri" w:cs="Times New Roman"/>
          <w:lang w:eastAsia="en-IN"/>
        </w:rPr>
        <w:t>Bialla</w:t>
      </w:r>
      <w:proofErr w:type="spellEnd"/>
      <w:r w:rsidRPr="007E2005">
        <w:rPr>
          <w:rFonts w:ascii="Calibri" w:eastAsia="Times New Roman" w:hAnsi="Calibri" w:cs="Times New Roman"/>
          <w:lang w:eastAsia="en-IN"/>
        </w:rPr>
        <w:t>, women use sanitation facilities at night for privacy</w:t>
      </w:r>
      <w:r>
        <w:rPr>
          <w:rFonts w:ascii="Calibri" w:eastAsia="Times New Roman" w:hAnsi="Calibri" w:cs="Times New Roman"/>
          <w:lang w:eastAsia="en-IN"/>
        </w:rPr>
        <w:t>.</w:t>
      </w:r>
      <w:r w:rsidRPr="007E2005">
        <w:rPr>
          <w:rFonts w:ascii="Calibri" w:eastAsia="Times New Roman" w:hAnsi="Calibri" w:cs="Times New Roman"/>
          <w:vertAlign w:val="superscript"/>
          <w:lang w:eastAsia="en-IN"/>
        </w:rPr>
        <w:footnoteReference w:id="136"/>
      </w:r>
      <w:r w:rsidRPr="007E2005">
        <w:rPr>
          <w:rFonts w:ascii="Calibri" w:eastAsia="Times New Roman" w:hAnsi="Calibri" w:cs="Times New Roman"/>
          <w:lang w:eastAsia="en-IN"/>
        </w:rPr>
        <w:t xml:space="preserve"> This is especially dangerous given how widespread gender-based violence is: two out of every three Papua New Guinean women are estimated to have experienced rape or assault in their lifetimes</w:t>
      </w:r>
      <w:r>
        <w:rPr>
          <w:rFonts w:ascii="Calibri" w:eastAsia="Times New Roman" w:hAnsi="Calibri" w:cs="Times New Roman"/>
          <w:lang w:eastAsia="en-IN"/>
        </w:rPr>
        <w:t>.</w:t>
      </w:r>
      <w:r w:rsidRPr="007E2005">
        <w:rPr>
          <w:rFonts w:ascii="Calibri" w:eastAsia="Times New Roman" w:hAnsi="Calibri" w:cs="Times New Roman"/>
          <w:vertAlign w:val="superscript"/>
          <w:lang w:eastAsia="en-IN"/>
        </w:rPr>
        <w:footnoteReference w:id="137"/>
      </w:r>
      <w:r w:rsidRPr="007E2005">
        <w:rPr>
          <w:rFonts w:ascii="Calibri" w:eastAsia="Times New Roman" w:hAnsi="Calibri" w:cs="Times New Roman"/>
          <w:lang w:eastAsia="en-IN"/>
        </w:rPr>
        <w:t xml:space="preserve"> </w:t>
      </w:r>
    </w:p>
    <w:p w14:paraId="107F4557" w14:textId="77777777" w:rsidR="006B593E" w:rsidRPr="007E2005" w:rsidRDefault="006B593E" w:rsidP="006B593E">
      <w:pPr>
        <w:numPr>
          <w:ilvl w:val="0"/>
          <w:numId w:val="51"/>
        </w:numPr>
        <w:pBdr>
          <w:top w:val="nil"/>
          <w:left w:val="nil"/>
          <w:bottom w:val="nil"/>
          <w:right w:val="nil"/>
          <w:between w:val="nil"/>
        </w:pBdr>
        <w:tabs>
          <w:tab w:val="left" w:pos="360"/>
        </w:tabs>
        <w:spacing w:before="120" w:after="120" w:line="240" w:lineRule="auto"/>
        <w:ind w:right="602"/>
        <w:jc w:val="both"/>
        <w:rPr>
          <w:rFonts w:ascii="Calibri" w:eastAsia="Lato" w:hAnsi="Calibri" w:cs="Lato"/>
          <w:color w:val="000000"/>
          <w:lang w:eastAsia="en-IN"/>
        </w:rPr>
      </w:pPr>
      <w:r w:rsidRPr="007E2005">
        <w:rPr>
          <w:rFonts w:ascii="Calibri" w:eastAsia="Times New Roman" w:hAnsi="Calibri" w:cs="Times New Roman"/>
          <w:i/>
          <w:lang w:eastAsia="en-IN"/>
        </w:rPr>
        <w:t>I</w:t>
      </w:r>
      <w:r w:rsidRPr="007E2005">
        <w:rPr>
          <w:rFonts w:ascii="Calibri" w:eastAsia="Times New Roman" w:hAnsi="Calibri" w:cs="Times New Roman"/>
          <w:i/>
          <w:color w:val="000000"/>
          <w:lang w:eastAsia="en-IN"/>
        </w:rPr>
        <w:t>mproved transport access.</w:t>
      </w:r>
      <w:r w:rsidRPr="007E2005">
        <w:rPr>
          <w:rFonts w:ascii="Calibri" w:eastAsia="Times New Roman" w:hAnsi="Calibri" w:cs="Times New Roman"/>
          <w:i/>
          <w:lang w:eastAsia="en-IN"/>
        </w:rPr>
        <w:t xml:space="preserve"> </w:t>
      </w:r>
      <w:r w:rsidRPr="007E2005">
        <w:rPr>
          <w:rFonts w:ascii="Calibri" w:eastAsia="Times New Roman" w:hAnsi="Calibri" w:cs="Times New Roman"/>
          <w:lang w:eastAsia="en-IN"/>
        </w:rPr>
        <w:t>Lack of access to urban healthcare facilities has significant consequences for rural women—professional health staff assist in only 47% of rural pregnancy deliveries in PNG</w:t>
      </w:r>
      <w:r>
        <w:rPr>
          <w:rFonts w:ascii="Calibri" w:eastAsia="Times New Roman" w:hAnsi="Calibri" w:cs="Times New Roman"/>
          <w:lang w:eastAsia="en-IN"/>
        </w:rPr>
        <w:t>.</w:t>
      </w:r>
      <w:r w:rsidRPr="007E2005">
        <w:rPr>
          <w:rFonts w:ascii="Calibri" w:eastAsia="Times New Roman" w:hAnsi="Calibri" w:cs="Times New Roman"/>
          <w:vertAlign w:val="superscript"/>
          <w:lang w:eastAsia="en-IN"/>
        </w:rPr>
        <w:footnoteReference w:id="138"/>
      </w:r>
      <w:r w:rsidRPr="007E2005">
        <w:rPr>
          <w:rFonts w:ascii="Calibri" w:eastAsia="Times New Roman" w:hAnsi="Calibri" w:cs="Times New Roman"/>
          <w:lang w:eastAsia="en-IN"/>
        </w:rPr>
        <w:t xml:space="preserve"> Poor connectivity to healthcare facilities also leads to reduced treatment and reporting of violent injuries caused by domestic abuse; more than half of married women experience rape in their marriage, and 68% are beaten at home</w:t>
      </w:r>
      <w:r>
        <w:rPr>
          <w:rFonts w:ascii="Calibri" w:eastAsia="Times New Roman" w:hAnsi="Calibri" w:cs="Times New Roman"/>
          <w:lang w:eastAsia="en-IN"/>
        </w:rPr>
        <w:t>.</w:t>
      </w:r>
      <w:r w:rsidRPr="007E2005">
        <w:rPr>
          <w:rFonts w:ascii="Calibri" w:eastAsia="Times New Roman" w:hAnsi="Calibri" w:cs="Times New Roman"/>
          <w:vertAlign w:val="superscript"/>
          <w:lang w:eastAsia="en-IN"/>
        </w:rPr>
        <w:footnoteReference w:id="139"/>
      </w:r>
      <w:r w:rsidRPr="007E2005">
        <w:rPr>
          <w:rFonts w:ascii="Calibri" w:eastAsia="Times New Roman" w:hAnsi="Calibri" w:cs="Times New Roman"/>
          <w:lang w:eastAsia="en-IN"/>
        </w:rPr>
        <w:t xml:space="preserve"> In addition to bettering health outcomes, improved roads could make schools less remote and education more accessible to girls (one in six teenage girls never attends school in PNG, compared to one in fourteen teenage boys)</w:t>
      </w:r>
      <w:r>
        <w:rPr>
          <w:rFonts w:ascii="Calibri" w:eastAsia="Times New Roman" w:hAnsi="Calibri" w:cs="Times New Roman"/>
          <w:lang w:eastAsia="en-IN"/>
        </w:rPr>
        <w:t>,</w:t>
      </w:r>
      <w:r w:rsidRPr="007E2005">
        <w:rPr>
          <w:rFonts w:ascii="Calibri" w:eastAsia="Times New Roman" w:hAnsi="Calibri" w:cs="Times New Roman"/>
          <w:vertAlign w:val="superscript"/>
          <w:lang w:eastAsia="en-IN"/>
        </w:rPr>
        <w:footnoteReference w:id="140"/>
      </w:r>
      <w:r w:rsidRPr="007E2005">
        <w:rPr>
          <w:rFonts w:ascii="Calibri" w:eastAsia="Times New Roman" w:hAnsi="Calibri" w:cs="Times New Roman"/>
          <w:lang w:eastAsia="en-IN"/>
        </w:rPr>
        <w:t xml:space="preserve"> and also connect women entrepreneurs to market centres at lower costs and with greater reliability.</w:t>
      </w:r>
    </w:p>
    <w:p w14:paraId="7D93D1D3" w14:textId="77777777" w:rsidR="006B593E" w:rsidRPr="007E2005" w:rsidRDefault="006B593E" w:rsidP="006B593E">
      <w:pPr>
        <w:numPr>
          <w:ilvl w:val="0"/>
          <w:numId w:val="51"/>
        </w:numPr>
        <w:pBdr>
          <w:top w:val="nil"/>
          <w:left w:val="nil"/>
          <w:bottom w:val="nil"/>
          <w:right w:val="nil"/>
          <w:between w:val="nil"/>
        </w:pBdr>
        <w:tabs>
          <w:tab w:val="left" w:pos="360"/>
        </w:tabs>
        <w:spacing w:before="120" w:after="120" w:line="240" w:lineRule="auto"/>
        <w:ind w:right="602"/>
        <w:jc w:val="both"/>
        <w:rPr>
          <w:rFonts w:ascii="Calibri" w:eastAsia="Lato" w:hAnsi="Calibri" w:cs="Lato"/>
          <w:color w:val="000000"/>
          <w:lang w:eastAsia="en-IN"/>
        </w:rPr>
      </w:pPr>
      <w:r w:rsidRPr="007E2005">
        <w:rPr>
          <w:rFonts w:ascii="Calibri" w:eastAsia="Times New Roman" w:hAnsi="Calibri" w:cs="Times New Roman"/>
          <w:i/>
          <w:lang w:eastAsia="en-IN"/>
        </w:rPr>
        <w:t>Improved agricultural infrastructure.</w:t>
      </w:r>
      <w:r w:rsidRPr="007E2005">
        <w:rPr>
          <w:rFonts w:ascii="Calibri" w:eastAsia="Times New Roman" w:hAnsi="Calibri" w:cs="Times New Roman"/>
          <w:lang w:eastAsia="en-IN"/>
        </w:rPr>
        <w:t xml:space="preserve"> As in many developing countries where the agriculture workforce is highly feminised, women carry out 70% of agricultural work in PNG. Extending concessional finance to agribusinesses to improve irrigation infrastructure and access other technological inputs could lead to greater income earnings for women, allowing them to invest in their own training and skill-</w:t>
      </w:r>
      <w:r w:rsidRPr="007E2005">
        <w:rPr>
          <w:rFonts w:ascii="Calibri" w:eastAsia="Times New Roman" w:hAnsi="Calibri" w:cs="Times New Roman"/>
          <w:lang w:eastAsia="en-IN"/>
        </w:rPr>
        <w:lastRenderedPageBreak/>
        <w:t>development, participate in cooperatives and even shift from subsistence farming to more lucrative employment opportunities that are currently male-dominated</w:t>
      </w:r>
      <w:r>
        <w:rPr>
          <w:rFonts w:ascii="Calibri" w:eastAsia="Times New Roman" w:hAnsi="Calibri" w:cs="Times New Roman"/>
          <w:lang w:eastAsia="en-IN"/>
        </w:rPr>
        <w:t>.</w:t>
      </w:r>
      <w:r w:rsidRPr="007E2005">
        <w:rPr>
          <w:rFonts w:ascii="Calibri" w:eastAsia="Times New Roman" w:hAnsi="Calibri" w:cs="Times New Roman"/>
          <w:vertAlign w:val="superscript"/>
          <w:lang w:eastAsia="en-IN"/>
        </w:rPr>
        <w:footnoteReference w:id="141"/>
      </w:r>
    </w:p>
    <w:p w14:paraId="2AE586D6" w14:textId="77777777" w:rsidR="006B593E" w:rsidRPr="007E2005" w:rsidRDefault="006B593E" w:rsidP="006B593E">
      <w:pPr>
        <w:numPr>
          <w:ilvl w:val="0"/>
          <w:numId w:val="51"/>
        </w:numPr>
        <w:pBdr>
          <w:top w:val="nil"/>
          <w:left w:val="nil"/>
          <w:bottom w:val="nil"/>
          <w:right w:val="nil"/>
          <w:between w:val="nil"/>
        </w:pBdr>
        <w:tabs>
          <w:tab w:val="left" w:pos="360"/>
        </w:tabs>
        <w:spacing w:before="120" w:after="120" w:line="240" w:lineRule="auto"/>
        <w:ind w:right="602"/>
        <w:jc w:val="both"/>
        <w:rPr>
          <w:rFonts w:ascii="Calibri" w:eastAsia="Times New Roman" w:hAnsi="Calibri" w:cs="Times New Roman"/>
          <w:lang w:eastAsia="en-IN"/>
        </w:rPr>
      </w:pPr>
      <w:r w:rsidRPr="007E2005">
        <w:rPr>
          <w:rFonts w:ascii="Calibri" w:eastAsia="Times New Roman" w:hAnsi="Calibri" w:cs="Times New Roman"/>
          <w:i/>
          <w:lang w:eastAsia="en-IN"/>
        </w:rPr>
        <w:t>Greater ICT connectivity.</w:t>
      </w:r>
      <w:r w:rsidRPr="007E2005">
        <w:rPr>
          <w:rFonts w:ascii="Calibri" w:eastAsia="Times New Roman" w:hAnsi="Calibri" w:cs="Times New Roman"/>
          <w:lang w:eastAsia="en-IN"/>
        </w:rPr>
        <w:t xml:space="preserve"> Increased mobile penetration and internet usage have also been shown to lead to beneficial outcomes for women, particularly in terms of the development of marketable skills and an increase in financial inclusion through mobile banking services. Women-owned businesses in PNG have testified that ICT infrastructure is driving economic benefits by allowing them to reach a wider consumer base</w:t>
      </w:r>
      <w:r>
        <w:rPr>
          <w:rFonts w:ascii="Calibri" w:eastAsia="Times New Roman" w:hAnsi="Calibri" w:cs="Times New Roman"/>
          <w:lang w:eastAsia="en-IN"/>
        </w:rPr>
        <w:t>.</w:t>
      </w:r>
      <w:r w:rsidRPr="007E2005">
        <w:rPr>
          <w:rFonts w:ascii="Calibri" w:eastAsia="Times New Roman" w:hAnsi="Calibri" w:cs="Times New Roman"/>
          <w:vertAlign w:val="superscript"/>
          <w:lang w:eastAsia="en-IN"/>
        </w:rPr>
        <w:footnoteReference w:id="142"/>
      </w:r>
    </w:p>
    <w:p w14:paraId="42728AE5" w14:textId="70451C15" w:rsidR="006B593E" w:rsidRPr="007E2005" w:rsidRDefault="006B593E" w:rsidP="006B593E">
      <w:pPr>
        <w:numPr>
          <w:ilvl w:val="0"/>
          <w:numId w:val="43"/>
        </w:numPr>
        <w:tabs>
          <w:tab w:val="left" w:pos="360"/>
          <w:tab w:val="left" w:pos="540"/>
        </w:tabs>
        <w:spacing w:before="120" w:after="120" w:line="240" w:lineRule="auto"/>
        <w:ind w:left="0" w:right="602" w:firstLine="0"/>
        <w:jc w:val="both"/>
        <w:rPr>
          <w:rFonts w:ascii="Calibri" w:eastAsia="Lato" w:hAnsi="Calibri" w:cs="Lato"/>
          <w:color w:val="000000"/>
          <w:lang w:eastAsia="en-IN"/>
        </w:rPr>
      </w:pPr>
      <w:r w:rsidRPr="007E2005">
        <w:rPr>
          <w:rFonts w:ascii="Calibri" w:eastAsia="Times New Roman" w:hAnsi="Calibri" w:cs="Times New Roman"/>
          <w:color w:val="000000"/>
          <w:lang w:eastAsia="en-IN"/>
        </w:rPr>
        <w:t xml:space="preserve">Australia’s investment in infrastructure should be seen as consistent with the objectives of its </w:t>
      </w:r>
      <w:r>
        <w:rPr>
          <w:rFonts w:ascii="Calibri" w:eastAsia="Times New Roman" w:hAnsi="Calibri" w:cs="Times New Roman"/>
          <w:lang w:eastAsia="en-IN"/>
        </w:rPr>
        <w:t>development assistance</w:t>
      </w:r>
      <w:r>
        <w:rPr>
          <w:rFonts w:ascii="Calibri" w:eastAsia="Times New Roman" w:hAnsi="Calibri" w:cs="Times New Roman"/>
          <w:color w:val="000000"/>
          <w:lang w:eastAsia="en-IN"/>
        </w:rPr>
        <w:t xml:space="preserve"> </w:t>
      </w:r>
      <w:r w:rsidR="0073249A">
        <w:rPr>
          <w:rFonts w:ascii="Calibri" w:eastAsia="Times New Roman" w:hAnsi="Calibri" w:cs="Times New Roman"/>
          <w:color w:val="000000"/>
          <w:lang w:eastAsia="en-IN"/>
        </w:rPr>
        <w:t>program</w:t>
      </w:r>
      <w:r>
        <w:rPr>
          <w:rFonts w:ascii="Calibri" w:eastAsia="Times New Roman" w:hAnsi="Calibri" w:cs="Times New Roman"/>
          <w:color w:val="000000"/>
          <w:lang w:eastAsia="en-IN"/>
        </w:rPr>
        <w:t xml:space="preserve"> </w:t>
      </w:r>
      <w:r w:rsidRPr="007E2005">
        <w:rPr>
          <w:rFonts w:ascii="Calibri" w:eastAsia="Times New Roman" w:hAnsi="Calibri" w:cs="Times New Roman"/>
          <w:color w:val="000000"/>
          <w:lang w:eastAsia="en-IN"/>
        </w:rPr>
        <w:t>as well as its strategic interests.</w:t>
      </w:r>
      <w:r w:rsidRPr="007E2005">
        <w:rPr>
          <w:rFonts w:ascii="Calibri" w:eastAsia="Times New Roman" w:hAnsi="Calibri" w:cs="Times New Roman"/>
          <w:lang w:eastAsia="en-IN"/>
        </w:rPr>
        <w:t xml:space="preserve"> </w:t>
      </w:r>
      <w:r w:rsidRPr="007E2005">
        <w:rPr>
          <w:rFonts w:ascii="Calibri" w:eastAsia="Times New Roman" w:hAnsi="Calibri" w:cs="Times New Roman"/>
          <w:color w:val="000000"/>
          <w:lang w:eastAsia="en-IN"/>
        </w:rPr>
        <w:t>Improvements in the top priority areas—including power, energy and water—have generally been perceived as tangible, transformative and clearly attributable to Australia’s interventions.</w:t>
      </w:r>
    </w:p>
    <w:p w14:paraId="3F475426" w14:textId="26533A61" w:rsidR="006B593E" w:rsidRPr="007E2005" w:rsidRDefault="006B593E" w:rsidP="006B593E">
      <w:pPr>
        <w:numPr>
          <w:ilvl w:val="0"/>
          <w:numId w:val="43"/>
        </w:numPr>
        <w:tabs>
          <w:tab w:val="left" w:pos="360"/>
          <w:tab w:val="left" w:pos="540"/>
        </w:tabs>
        <w:spacing w:before="120" w:after="120" w:line="240" w:lineRule="auto"/>
        <w:ind w:left="0" w:right="602" w:firstLine="0"/>
        <w:jc w:val="both"/>
        <w:rPr>
          <w:rFonts w:ascii="Calibri" w:eastAsia="Lato" w:hAnsi="Calibri" w:cs="Lato"/>
          <w:color w:val="000000"/>
          <w:lang w:eastAsia="en-IN"/>
        </w:rPr>
      </w:pPr>
      <w:r w:rsidRPr="007E2005">
        <w:rPr>
          <w:rFonts w:ascii="Calibri" w:eastAsia="Times New Roman" w:hAnsi="Calibri" w:cs="Times New Roman"/>
          <w:b/>
          <w:color w:val="000000"/>
          <w:lang w:eastAsia="en-IN"/>
        </w:rPr>
        <w:t>The key sectors that are most associated with PNG’s development constraints—power, transport and telecommunications—require far more than just grants</w:t>
      </w:r>
      <w:r w:rsidRPr="007E2005">
        <w:rPr>
          <w:rFonts w:ascii="Calibri" w:eastAsia="Times New Roman" w:hAnsi="Calibri" w:cs="Times New Roman"/>
          <w:color w:val="000000"/>
          <w:lang w:eastAsia="en-IN"/>
        </w:rPr>
        <w:t>. Australia is a c</w:t>
      </w:r>
      <w:r w:rsidRPr="007E2005">
        <w:rPr>
          <w:rFonts w:ascii="Calibri" w:eastAsia="Times New Roman" w:hAnsi="Calibri" w:cs="Times New Roman"/>
          <w:lang w:eastAsia="en-IN"/>
        </w:rPr>
        <w:t>redible partner</w:t>
      </w:r>
      <w:r w:rsidRPr="007E2005">
        <w:rPr>
          <w:rFonts w:ascii="Calibri" w:eastAsia="Times New Roman" w:hAnsi="Calibri" w:cs="Times New Roman"/>
          <w:color w:val="000000"/>
          <w:lang w:eastAsia="en-IN"/>
        </w:rPr>
        <w:t xml:space="preserve"> to </w:t>
      </w:r>
      <w:proofErr w:type="spellStart"/>
      <w:r w:rsidRPr="007E2005">
        <w:rPr>
          <w:rFonts w:ascii="Calibri" w:eastAsia="Times New Roman" w:hAnsi="Calibri" w:cs="Times New Roman"/>
          <w:color w:val="000000"/>
          <w:lang w:eastAsia="en-IN"/>
        </w:rPr>
        <w:t>GoPNG</w:t>
      </w:r>
      <w:proofErr w:type="spellEnd"/>
      <w:r w:rsidRPr="007E2005">
        <w:rPr>
          <w:rFonts w:ascii="Calibri" w:eastAsia="Times New Roman" w:hAnsi="Calibri" w:cs="Times New Roman"/>
          <w:color w:val="000000"/>
          <w:lang w:eastAsia="en-IN"/>
        </w:rPr>
        <w:t xml:space="preserve">, but more frequent involvement in </w:t>
      </w:r>
      <w:r w:rsidRPr="007E2005">
        <w:rPr>
          <w:rFonts w:ascii="Calibri" w:eastAsia="Times New Roman" w:hAnsi="Calibri" w:cs="Times New Roman"/>
          <w:lang w:eastAsia="en-IN"/>
        </w:rPr>
        <w:t>larger</w:t>
      </w:r>
      <w:r w:rsidRPr="007E2005">
        <w:rPr>
          <w:rFonts w:ascii="Calibri" w:eastAsia="Times New Roman" w:hAnsi="Calibri" w:cs="Times New Roman"/>
          <w:color w:val="000000"/>
          <w:lang w:eastAsia="en-IN"/>
        </w:rPr>
        <w:t xml:space="preserve"> infrastructure pro</w:t>
      </w:r>
      <w:r w:rsidRPr="007E2005">
        <w:rPr>
          <w:rFonts w:ascii="Calibri" w:eastAsia="Times New Roman" w:hAnsi="Calibri" w:cs="Times New Roman"/>
          <w:lang w:eastAsia="en-IN"/>
        </w:rPr>
        <w:t>jects will bolster this credibility.</w:t>
      </w:r>
      <w:r w:rsidRPr="007E2005">
        <w:rPr>
          <w:rFonts w:ascii="Calibri" w:eastAsia="Times New Roman" w:hAnsi="Calibri" w:cs="Times New Roman"/>
          <w:color w:val="000000"/>
          <w:lang w:eastAsia="en-IN"/>
        </w:rPr>
        <w:t xml:space="preserve"> While grant-based funding efforts are important (e.g., funding sector analysis, feasibility studies, technical advisory work and institutional strengthening), there are limits to what these </w:t>
      </w:r>
      <w:r w:rsidR="0073249A">
        <w:rPr>
          <w:rFonts w:ascii="Calibri" w:eastAsia="Times New Roman" w:hAnsi="Calibri" w:cs="Times New Roman"/>
          <w:color w:val="000000"/>
          <w:lang w:eastAsia="en-IN"/>
        </w:rPr>
        <w:t>program</w:t>
      </w:r>
      <w:r>
        <w:rPr>
          <w:rFonts w:ascii="Calibri" w:eastAsia="Times New Roman" w:hAnsi="Calibri" w:cs="Times New Roman"/>
          <w:color w:val="000000"/>
          <w:lang w:eastAsia="en-IN"/>
        </w:rPr>
        <w:t xml:space="preserve">s </w:t>
      </w:r>
      <w:r w:rsidRPr="007E2005">
        <w:rPr>
          <w:rFonts w:ascii="Calibri" w:eastAsia="Times New Roman" w:hAnsi="Calibri" w:cs="Times New Roman"/>
          <w:color w:val="000000"/>
          <w:lang w:eastAsia="en-IN"/>
        </w:rPr>
        <w:t>can achieve. Influence in Melanesia is strongly relationship-based. In contrast to the up-front, one-off benefits of grants, investments typically</w:t>
      </w:r>
      <w:r w:rsidRPr="007E2005">
        <w:rPr>
          <w:rFonts w:ascii="Calibri" w:eastAsia="Times New Roman" w:hAnsi="Calibri" w:cs="Times New Roman"/>
          <w:lang w:eastAsia="en-IN"/>
        </w:rPr>
        <w:t xml:space="preserve"> </w:t>
      </w:r>
      <w:r w:rsidRPr="007E2005">
        <w:rPr>
          <w:rFonts w:ascii="Calibri" w:eastAsia="Times New Roman" w:hAnsi="Calibri" w:cs="Times New Roman"/>
          <w:color w:val="000000"/>
          <w:lang w:eastAsia="en-IN"/>
        </w:rPr>
        <w:t xml:space="preserve">involve longer-term partnerships for the life of the project—which, for infrastructure projects, may mean decades of close collaboration. </w:t>
      </w:r>
    </w:p>
    <w:p w14:paraId="2E74114B" w14:textId="1DA924DC" w:rsidR="006B593E" w:rsidRPr="007E2005" w:rsidRDefault="006B593E" w:rsidP="006B593E">
      <w:pPr>
        <w:numPr>
          <w:ilvl w:val="0"/>
          <w:numId w:val="43"/>
        </w:numPr>
        <w:pBdr>
          <w:top w:val="nil"/>
          <w:left w:val="nil"/>
          <w:bottom w:val="nil"/>
          <w:right w:val="nil"/>
          <w:between w:val="nil"/>
        </w:pBdr>
        <w:tabs>
          <w:tab w:val="left" w:pos="360"/>
        </w:tabs>
        <w:spacing w:before="120" w:after="120" w:line="240" w:lineRule="auto"/>
        <w:ind w:left="0" w:right="602" w:firstLine="0"/>
        <w:jc w:val="both"/>
        <w:rPr>
          <w:rFonts w:ascii="Calibri" w:eastAsia="Lato" w:hAnsi="Calibri" w:cs="Lato"/>
          <w:color w:val="000000"/>
          <w:lang w:eastAsia="en-IN"/>
        </w:rPr>
      </w:pPr>
      <w:r w:rsidRPr="007E2005">
        <w:rPr>
          <w:rFonts w:ascii="Calibri" w:eastAsia="Times New Roman" w:hAnsi="Calibri" w:cs="Times New Roman"/>
          <w:color w:val="000000"/>
          <w:lang w:eastAsia="en-IN"/>
        </w:rPr>
        <w:t xml:space="preserve">For instance, ADB has a solid track record in financing investment </w:t>
      </w:r>
      <w:r w:rsidR="0073249A">
        <w:rPr>
          <w:rFonts w:ascii="Calibri" w:eastAsia="Times New Roman" w:hAnsi="Calibri" w:cs="Times New Roman"/>
          <w:color w:val="000000"/>
          <w:lang w:eastAsia="en-IN"/>
        </w:rPr>
        <w:t>program</w:t>
      </w:r>
      <w:r>
        <w:rPr>
          <w:rFonts w:ascii="Calibri" w:eastAsia="Times New Roman" w:hAnsi="Calibri" w:cs="Times New Roman"/>
          <w:color w:val="000000"/>
          <w:lang w:eastAsia="en-IN"/>
        </w:rPr>
        <w:t xml:space="preserve">s </w:t>
      </w:r>
      <w:r w:rsidRPr="007E2005">
        <w:rPr>
          <w:rFonts w:ascii="Calibri" w:eastAsia="Times New Roman" w:hAnsi="Calibri" w:cs="Times New Roman"/>
          <w:color w:val="000000"/>
          <w:lang w:eastAsia="en-IN"/>
        </w:rPr>
        <w:t>that support the government's target of electrifying 70% of all households by 2030</w:t>
      </w:r>
      <w:r>
        <w:rPr>
          <w:rFonts w:ascii="Calibri" w:eastAsia="Times New Roman" w:hAnsi="Calibri" w:cs="Times New Roman"/>
          <w:color w:val="000000"/>
          <w:lang w:eastAsia="en-IN"/>
        </w:rPr>
        <w:t>.</w:t>
      </w:r>
      <w:r w:rsidRPr="007E2005">
        <w:rPr>
          <w:rFonts w:ascii="Calibri" w:eastAsia="Times New Roman" w:hAnsi="Calibri" w:cs="Times New Roman"/>
          <w:color w:val="000000"/>
          <w:vertAlign w:val="superscript"/>
          <w:lang w:eastAsia="en-IN"/>
        </w:rPr>
        <w:footnoteReference w:id="143"/>
      </w:r>
      <w:r w:rsidRPr="007E2005">
        <w:rPr>
          <w:rFonts w:ascii="Calibri" w:eastAsia="Times New Roman" w:hAnsi="Calibri" w:cs="Times New Roman"/>
          <w:color w:val="000000"/>
          <w:lang w:eastAsia="en-IN"/>
        </w:rPr>
        <w:t xml:space="preserve"> The </w:t>
      </w:r>
      <w:r w:rsidR="00800236">
        <w:rPr>
          <w:rFonts w:ascii="Calibri" w:eastAsia="Times New Roman" w:hAnsi="Calibri" w:cs="Times New Roman"/>
          <w:color w:val="000000"/>
          <w:lang w:eastAsia="en-IN"/>
        </w:rPr>
        <w:t>US$</w:t>
      </w:r>
      <w:r w:rsidRPr="007E2005">
        <w:rPr>
          <w:rFonts w:ascii="Calibri" w:eastAsia="Times New Roman" w:hAnsi="Calibri" w:cs="Times New Roman"/>
          <w:color w:val="000000"/>
          <w:lang w:eastAsia="en-IN"/>
        </w:rPr>
        <w:t xml:space="preserve"> 238 million investment </w:t>
      </w:r>
      <w:r w:rsidR="0073249A">
        <w:rPr>
          <w:rFonts w:ascii="Calibri" w:eastAsia="Times New Roman" w:hAnsi="Calibri" w:cs="Times New Roman"/>
          <w:color w:val="000000"/>
          <w:lang w:eastAsia="en-IN"/>
        </w:rPr>
        <w:t>program</w:t>
      </w:r>
      <w:r>
        <w:rPr>
          <w:rFonts w:ascii="Calibri" w:eastAsia="Times New Roman" w:hAnsi="Calibri" w:cs="Times New Roman"/>
          <w:color w:val="000000"/>
          <w:lang w:eastAsia="en-IN"/>
        </w:rPr>
        <w:t xml:space="preserve">s </w:t>
      </w:r>
      <w:r w:rsidRPr="007E2005">
        <w:rPr>
          <w:rFonts w:ascii="Calibri" w:eastAsia="Times New Roman" w:hAnsi="Calibri" w:cs="Times New Roman"/>
          <w:color w:val="000000"/>
          <w:lang w:eastAsia="en-IN"/>
        </w:rPr>
        <w:t xml:space="preserve">prioritise renewable energy generation, improving transmission and distribution efficiencies and expansion to peri-urban areas. The investments are expected to respond to the government's national development and sector strategies by promoting sustainable development in peri-urban and rural areas and by increasing the grid penetration from 12% to approximately 19% by 2028, as well as by replacing diesel generation with renewable energy sources in provincial centres. The investment </w:t>
      </w:r>
      <w:r w:rsidR="0073249A">
        <w:rPr>
          <w:rFonts w:ascii="Calibri" w:eastAsia="Times New Roman" w:hAnsi="Calibri" w:cs="Times New Roman"/>
          <w:color w:val="000000"/>
          <w:lang w:eastAsia="en-IN"/>
        </w:rPr>
        <w:t>program</w:t>
      </w:r>
      <w:r>
        <w:rPr>
          <w:rFonts w:ascii="Calibri" w:eastAsia="Times New Roman" w:hAnsi="Calibri" w:cs="Times New Roman"/>
          <w:color w:val="000000"/>
          <w:lang w:eastAsia="en-IN"/>
        </w:rPr>
        <w:t xml:space="preserve">s </w:t>
      </w:r>
      <w:r w:rsidRPr="007E2005">
        <w:rPr>
          <w:rFonts w:ascii="Calibri" w:eastAsia="Times New Roman" w:hAnsi="Calibri" w:cs="Times New Roman"/>
          <w:color w:val="000000"/>
          <w:lang w:eastAsia="en-IN"/>
        </w:rPr>
        <w:t xml:space="preserve">are also likely to enhance the operational efficiency of PPL and address institutional capacities and policy framework, as well as facilitate private sector mobilisation in off-grid areas. </w:t>
      </w:r>
    </w:p>
    <w:p w14:paraId="5DA9C005" w14:textId="77777777" w:rsidR="006B593E" w:rsidRPr="007E2005" w:rsidRDefault="006B593E" w:rsidP="006B593E">
      <w:pPr>
        <w:numPr>
          <w:ilvl w:val="0"/>
          <w:numId w:val="43"/>
        </w:numPr>
        <w:tabs>
          <w:tab w:val="left" w:pos="360"/>
          <w:tab w:val="left" w:pos="540"/>
        </w:tabs>
        <w:spacing w:before="120" w:after="120" w:line="240" w:lineRule="auto"/>
        <w:ind w:left="0" w:right="602" w:firstLine="0"/>
        <w:jc w:val="both"/>
        <w:rPr>
          <w:rFonts w:ascii="Calibri" w:eastAsia="Lato" w:hAnsi="Calibri" w:cs="Lato"/>
          <w:color w:val="000000"/>
          <w:lang w:eastAsia="en-IN"/>
        </w:rPr>
      </w:pPr>
      <w:r w:rsidRPr="007E2005">
        <w:rPr>
          <w:rFonts w:ascii="Calibri" w:eastAsia="Times New Roman" w:hAnsi="Calibri" w:cs="Times New Roman"/>
          <w:b/>
          <w:color w:val="000000"/>
          <w:lang w:eastAsia="en-IN"/>
        </w:rPr>
        <w:t xml:space="preserve">However, the decision to deploy </w:t>
      </w:r>
      <w:r>
        <w:rPr>
          <w:rFonts w:ascii="Calibri" w:eastAsia="Times New Roman" w:hAnsi="Calibri" w:cs="Times New Roman"/>
          <w:b/>
          <w:color w:val="000000"/>
          <w:lang w:eastAsia="en-IN"/>
        </w:rPr>
        <w:t>NGF</w:t>
      </w:r>
      <w:r w:rsidRPr="007E2005">
        <w:rPr>
          <w:rFonts w:ascii="Calibri" w:eastAsia="Times New Roman" w:hAnsi="Calibri" w:cs="Times New Roman"/>
          <w:b/>
          <w:color w:val="000000"/>
          <w:lang w:eastAsia="en-IN"/>
        </w:rPr>
        <w:t xml:space="preserve"> in the PNG context must also take into consideration the impact of these instruments on the country’s fiscal situation. </w:t>
      </w:r>
      <w:r w:rsidRPr="007E2005">
        <w:rPr>
          <w:rFonts w:ascii="Calibri" w:eastAsia="Times New Roman" w:hAnsi="Calibri" w:cs="Times New Roman"/>
          <w:color w:val="000000"/>
          <w:lang w:eastAsia="en-IN"/>
        </w:rPr>
        <w:t>The IMF Debt Sustainability Analysis classifies PNG’s public and external debt burden as moderate and its debt-to-GDP ratio as low, at 33.4%</w:t>
      </w:r>
      <w:r>
        <w:rPr>
          <w:rFonts w:ascii="Calibri" w:eastAsia="Times New Roman" w:hAnsi="Calibri" w:cs="Times New Roman"/>
          <w:color w:val="000000"/>
          <w:lang w:eastAsia="en-IN"/>
        </w:rPr>
        <w:t>.</w:t>
      </w:r>
      <w:r w:rsidRPr="007E2005">
        <w:rPr>
          <w:rFonts w:ascii="Calibri" w:eastAsia="Lato" w:hAnsi="Calibri" w:cs="Lato"/>
          <w:vertAlign w:val="superscript"/>
          <w:lang w:eastAsia="en-IN"/>
        </w:rPr>
        <w:footnoteReference w:id="144"/>
      </w:r>
      <w:r w:rsidRPr="007E2005">
        <w:rPr>
          <w:rFonts w:ascii="Calibri" w:eastAsia="Times New Roman" w:hAnsi="Calibri" w:cs="Times New Roman"/>
          <w:color w:val="000000"/>
          <w:lang w:eastAsia="en-IN"/>
        </w:rPr>
        <w:t xml:space="preserve"> However, it is worth noting a lack of consistent data and </w:t>
      </w:r>
      <w:r w:rsidRPr="007E2005">
        <w:rPr>
          <w:rFonts w:ascii="Calibri" w:eastAsia="Times New Roman" w:hAnsi="Calibri" w:cs="Times New Roman"/>
          <w:color w:val="000000"/>
          <w:lang w:eastAsia="en-IN"/>
        </w:rPr>
        <w:lastRenderedPageBreak/>
        <w:t>the fact that the IMF’s analysis does not recognise the debt on the balance sheets of SOEs. Any sovereign-based lending over the next 3</w:t>
      </w:r>
      <w:r>
        <w:rPr>
          <w:rFonts w:ascii="Calibri" w:eastAsia="Times New Roman" w:hAnsi="Calibri" w:cs="Times New Roman"/>
          <w:color w:val="000000"/>
          <w:lang w:eastAsia="en-IN"/>
        </w:rPr>
        <w:t>—</w:t>
      </w:r>
      <w:r w:rsidRPr="007E2005">
        <w:rPr>
          <w:rFonts w:ascii="Calibri" w:eastAsia="Times New Roman" w:hAnsi="Calibri" w:cs="Times New Roman"/>
          <w:color w:val="000000"/>
          <w:lang w:eastAsia="en-IN"/>
        </w:rPr>
        <w:t xml:space="preserve">5 years should be undertaken with significant prudence. Australia’s current efforts to support </w:t>
      </w:r>
      <w:proofErr w:type="spellStart"/>
      <w:r w:rsidRPr="007E2005">
        <w:rPr>
          <w:rFonts w:ascii="Calibri" w:eastAsia="Times New Roman" w:hAnsi="Calibri" w:cs="Times New Roman"/>
          <w:color w:val="000000"/>
          <w:lang w:eastAsia="en-IN"/>
        </w:rPr>
        <w:t>GoPNG’s</w:t>
      </w:r>
      <w:proofErr w:type="spellEnd"/>
      <w:r w:rsidRPr="007E2005">
        <w:rPr>
          <w:rFonts w:ascii="Calibri" w:eastAsia="Times New Roman" w:hAnsi="Calibri" w:cs="Times New Roman"/>
          <w:color w:val="000000"/>
          <w:lang w:eastAsia="en-IN"/>
        </w:rPr>
        <w:t xml:space="preserve"> priorities around improving revenue generation will be key. Commercial banks operating in PNG are very cautious about increasing their exposure to </w:t>
      </w:r>
      <w:proofErr w:type="spellStart"/>
      <w:r w:rsidRPr="007E2005">
        <w:rPr>
          <w:rFonts w:ascii="Calibri" w:eastAsia="Times New Roman" w:hAnsi="Calibri" w:cs="Times New Roman"/>
          <w:color w:val="000000"/>
          <w:lang w:eastAsia="en-IN"/>
        </w:rPr>
        <w:t>GoPNG</w:t>
      </w:r>
      <w:proofErr w:type="spellEnd"/>
      <w:r w:rsidRPr="007E2005">
        <w:rPr>
          <w:rFonts w:ascii="Calibri" w:eastAsia="Times New Roman" w:hAnsi="Calibri" w:cs="Times New Roman"/>
          <w:color w:val="000000"/>
          <w:lang w:eastAsia="en-IN"/>
        </w:rPr>
        <w:t xml:space="preserve">, citing concerns about debt sustainability. While public borrowing to support productive investment continues to drive growth in emerging economies—and is central to building infrastructure that cannot be funded by taxpayers—there is also considerable evidence indicating significant negative impacts on countries and their people when governments incur too much debt. However, instruments such as equity investments provide a means of project financing through </w:t>
      </w:r>
      <w:r>
        <w:rPr>
          <w:rFonts w:ascii="Calibri" w:eastAsia="Times New Roman" w:hAnsi="Calibri" w:cs="Times New Roman"/>
          <w:color w:val="000000"/>
          <w:lang w:eastAsia="en-IN"/>
        </w:rPr>
        <w:t>NGF</w:t>
      </w:r>
      <w:r w:rsidRPr="007E2005">
        <w:rPr>
          <w:rFonts w:ascii="Calibri" w:eastAsia="Times New Roman" w:hAnsi="Calibri" w:cs="Times New Roman"/>
          <w:color w:val="000000"/>
          <w:lang w:eastAsia="en-IN"/>
        </w:rPr>
        <w:t xml:space="preserve"> without necessarily adversely impacting overall fiscal health, underscoring the need for </w:t>
      </w:r>
      <w:r>
        <w:rPr>
          <w:rFonts w:ascii="Calibri" w:eastAsia="MS Mincho" w:hAnsi="Calibri" w:cs="Times New Roman"/>
          <w:lang w:val="en-US"/>
        </w:rPr>
        <w:t>Australia</w:t>
      </w:r>
      <w:r w:rsidRPr="007E2005">
        <w:rPr>
          <w:rFonts w:ascii="Calibri" w:eastAsia="Times New Roman" w:hAnsi="Calibri" w:cs="Times New Roman"/>
          <w:color w:val="000000"/>
          <w:lang w:eastAsia="en-IN"/>
        </w:rPr>
        <w:t xml:space="preserve"> to adopt a full suite of finance tools. </w:t>
      </w:r>
    </w:p>
    <w:p w14:paraId="54385648" w14:textId="77777777" w:rsidR="006B593E" w:rsidRPr="007E2005" w:rsidRDefault="006B593E" w:rsidP="006B593E">
      <w:pPr>
        <w:numPr>
          <w:ilvl w:val="0"/>
          <w:numId w:val="43"/>
        </w:numPr>
        <w:tabs>
          <w:tab w:val="left" w:pos="360"/>
          <w:tab w:val="left" w:pos="540"/>
        </w:tabs>
        <w:spacing w:before="120" w:after="120" w:line="240" w:lineRule="auto"/>
        <w:ind w:left="0" w:right="602" w:firstLine="0"/>
        <w:jc w:val="both"/>
        <w:rPr>
          <w:rFonts w:ascii="Calibri" w:eastAsia="Times New Roman" w:hAnsi="Calibri" w:cs="Times New Roman"/>
          <w:lang w:eastAsia="en-IN"/>
        </w:rPr>
      </w:pPr>
      <w:r w:rsidRPr="007E2005">
        <w:rPr>
          <w:rFonts w:ascii="Calibri" w:eastAsia="Times New Roman" w:hAnsi="Calibri" w:cs="Times New Roman"/>
          <w:b/>
          <w:color w:val="000000"/>
          <w:lang w:eastAsia="en-IN"/>
        </w:rPr>
        <w:t>Ensuring that these investments translate into sustainable development outcomes will require robust efforts to establish and monitor good governance practices as well as investments in sound and transparent data systems that can measure relevant development outcomes.</w:t>
      </w:r>
      <w:r w:rsidRPr="007E2005">
        <w:rPr>
          <w:rFonts w:ascii="Calibri" w:eastAsia="Times New Roman" w:hAnsi="Calibri" w:cs="Times New Roman"/>
          <w:color w:val="000000"/>
          <w:lang w:eastAsia="en-IN"/>
        </w:rPr>
        <w:t xml:space="preserve"> For instance, ADB recognises that some of the challenges faced in the country include:</w:t>
      </w:r>
    </w:p>
    <w:p w14:paraId="1052F987" w14:textId="77777777" w:rsidR="006B593E" w:rsidRPr="007E2005" w:rsidRDefault="006B593E" w:rsidP="006B593E">
      <w:pPr>
        <w:numPr>
          <w:ilvl w:val="0"/>
          <w:numId w:val="52"/>
        </w:numPr>
        <w:pBdr>
          <w:top w:val="nil"/>
          <w:left w:val="nil"/>
          <w:bottom w:val="nil"/>
          <w:right w:val="nil"/>
          <w:between w:val="nil"/>
        </w:pBdr>
        <w:tabs>
          <w:tab w:val="left" w:pos="360"/>
        </w:tabs>
        <w:spacing w:before="120" w:after="120" w:line="240" w:lineRule="auto"/>
        <w:ind w:right="602"/>
        <w:jc w:val="both"/>
        <w:rPr>
          <w:rFonts w:ascii="Calibri" w:eastAsia="Lato" w:hAnsi="Calibri" w:cs="Lato"/>
          <w:color w:val="000000"/>
          <w:lang w:eastAsia="en-IN"/>
        </w:rPr>
      </w:pPr>
      <w:r w:rsidRPr="007E2005">
        <w:rPr>
          <w:rFonts w:ascii="Calibri" w:eastAsia="Times New Roman" w:hAnsi="Calibri" w:cs="Times New Roman"/>
          <w:color w:val="000000"/>
          <w:lang w:eastAsia="en-IN"/>
        </w:rPr>
        <w:t xml:space="preserve">Lengthy contract approval procedures within </w:t>
      </w:r>
      <w:proofErr w:type="spellStart"/>
      <w:r w:rsidRPr="007E2005">
        <w:rPr>
          <w:rFonts w:ascii="Calibri" w:eastAsia="Times New Roman" w:hAnsi="Calibri" w:cs="Times New Roman"/>
          <w:color w:val="000000"/>
          <w:lang w:eastAsia="en-IN"/>
        </w:rPr>
        <w:t>GoPNG</w:t>
      </w:r>
      <w:proofErr w:type="spellEnd"/>
      <w:r w:rsidRPr="007E2005">
        <w:rPr>
          <w:rFonts w:ascii="Calibri" w:eastAsia="Times New Roman" w:hAnsi="Calibri" w:cs="Times New Roman"/>
          <w:color w:val="000000"/>
          <w:lang w:eastAsia="en-IN"/>
        </w:rPr>
        <w:t xml:space="preserve"> that affect timely delivery of the projects</w:t>
      </w:r>
    </w:p>
    <w:p w14:paraId="5A3B5CB3" w14:textId="77777777" w:rsidR="006B593E" w:rsidRPr="007E2005" w:rsidRDefault="006B593E" w:rsidP="006B593E">
      <w:pPr>
        <w:numPr>
          <w:ilvl w:val="0"/>
          <w:numId w:val="52"/>
        </w:numPr>
        <w:pBdr>
          <w:top w:val="nil"/>
          <w:left w:val="nil"/>
          <w:bottom w:val="nil"/>
          <w:right w:val="nil"/>
          <w:between w:val="nil"/>
        </w:pBdr>
        <w:tabs>
          <w:tab w:val="left" w:pos="360"/>
        </w:tabs>
        <w:spacing w:before="120" w:after="120" w:line="240" w:lineRule="auto"/>
        <w:ind w:right="602"/>
        <w:jc w:val="both"/>
        <w:rPr>
          <w:rFonts w:ascii="Calibri" w:eastAsia="Lato" w:hAnsi="Calibri" w:cs="Lato"/>
          <w:color w:val="000000"/>
          <w:lang w:eastAsia="en-IN"/>
        </w:rPr>
      </w:pPr>
      <w:r w:rsidRPr="007E2005">
        <w:rPr>
          <w:rFonts w:ascii="Calibri" w:eastAsia="Times New Roman" w:hAnsi="Calibri" w:cs="Times New Roman"/>
          <w:color w:val="000000"/>
          <w:lang w:eastAsia="en-IN"/>
        </w:rPr>
        <w:t xml:space="preserve">Outstanding contractual obligations that affect project implementation </w:t>
      </w:r>
    </w:p>
    <w:p w14:paraId="326022C2" w14:textId="77777777" w:rsidR="006B593E" w:rsidRPr="007E2005" w:rsidRDefault="006B593E" w:rsidP="006B593E">
      <w:pPr>
        <w:numPr>
          <w:ilvl w:val="0"/>
          <w:numId w:val="52"/>
        </w:numPr>
        <w:pBdr>
          <w:top w:val="nil"/>
          <w:left w:val="nil"/>
          <w:bottom w:val="nil"/>
          <w:right w:val="nil"/>
          <w:between w:val="nil"/>
        </w:pBdr>
        <w:tabs>
          <w:tab w:val="left" w:pos="360"/>
        </w:tabs>
        <w:spacing w:before="120" w:after="120" w:line="240" w:lineRule="auto"/>
        <w:ind w:right="602"/>
        <w:jc w:val="both"/>
        <w:rPr>
          <w:rFonts w:ascii="Calibri" w:eastAsia="Lato" w:hAnsi="Calibri" w:cs="Lato"/>
          <w:color w:val="000000"/>
          <w:lang w:eastAsia="en-IN"/>
        </w:rPr>
      </w:pPr>
      <w:r w:rsidRPr="007E2005">
        <w:rPr>
          <w:rFonts w:ascii="Calibri" w:eastAsia="Times New Roman" w:hAnsi="Calibri" w:cs="Times New Roman"/>
          <w:color w:val="000000"/>
          <w:lang w:eastAsia="en-IN"/>
        </w:rPr>
        <w:t>Lack of capacity, such as existing road contractors with poor expertise and construction capability</w:t>
      </w:r>
    </w:p>
    <w:p w14:paraId="2D223D40" w14:textId="77777777" w:rsidR="006B593E" w:rsidRPr="007E2005" w:rsidRDefault="006B593E" w:rsidP="006B593E">
      <w:pPr>
        <w:numPr>
          <w:ilvl w:val="0"/>
          <w:numId w:val="52"/>
        </w:numPr>
        <w:pBdr>
          <w:top w:val="nil"/>
          <w:left w:val="nil"/>
          <w:bottom w:val="nil"/>
          <w:right w:val="nil"/>
          <w:between w:val="nil"/>
        </w:pBdr>
        <w:tabs>
          <w:tab w:val="left" w:pos="360"/>
        </w:tabs>
        <w:spacing w:before="120" w:after="120" w:line="240" w:lineRule="auto"/>
        <w:ind w:right="602"/>
        <w:jc w:val="both"/>
        <w:rPr>
          <w:rFonts w:ascii="Calibri" w:eastAsia="Lato" w:hAnsi="Calibri" w:cs="Lato"/>
          <w:color w:val="000000"/>
          <w:lang w:eastAsia="en-IN"/>
        </w:rPr>
      </w:pPr>
      <w:r w:rsidRPr="007E2005">
        <w:rPr>
          <w:rFonts w:ascii="Calibri" w:eastAsia="Times New Roman" w:hAnsi="Calibri" w:cs="Times New Roman"/>
          <w:color w:val="000000"/>
          <w:lang w:eastAsia="en-IN"/>
        </w:rPr>
        <w:t>Inadequate government counterpart funding due to project cost overruns and additional costs borne by the projects</w:t>
      </w:r>
    </w:p>
    <w:p w14:paraId="159492C0" w14:textId="77777777" w:rsidR="006B593E" w:rsidRPr="007E2005" w:rsidRDefault="006B593E" w:rsidP="006B593E">
      <w:pPr>
        <w:numPr>
          <w:ilvl w:val="0"/>
          <w:numId w:val="52"/>
        </w:numPr>
        <w:pBdr>
          <w:top w:val="nil"/>
          <w:left w:val="nil"/>
          <w:bottom w:val="nil"/>
          <w:right w:val="nil"/>
          <w:between w:val="nil"/>
        </w:pBdr>
        <w:tabs>
          <w:tab w:val="left" w:pos="360"/>
        </w:tabs>
        <w:spacing w:before="120" w:after="120" w:line="240" w:lineRule="auto"/>
        <w:ind w:right="602"/>
        <w:jc w:val="both"/>
        <w:rPr>
          <w:rFonts w:ascii="Calibri" w:eastAsia="Lato" w:hAnsi="Calibri" w:cs="Lato"/>
          <w:color w:val="000000"/>
          <w:lang w:eastAsia="en-IN"/>
        </w:rPr>
      </w:pPr>
      <w:r w:rsidRPr="007E2005">
        <w:rPr>
          <w:rFonts w:ascii="Calibri" w:eastAsia="Times New Roman" w:hAnsi="Calibri" w:cs="Times New Roman"/>
          <w:color w:val="000000"/>
          <w:lang w:eastAsia="en-IN"/>
        </w:rPr>
        <w:t>The commonplace occurrence of land disputes and compensation claims when working in various targeted provinces</w:t>
      </w:r>
      <w:r w:rsidRPr="007E2005">
        <w:rPr>
          <w:rFonts w:ascii="Calibri" w:eastAsia="Times New Roman" w:hAnsi="Calibri" w:cs="Times New Roman"/>
          <w:color w:val="000000"/>
          <w:vertAlign w:val="superscript"/>
          <w:lang w:eastAsia="en-IN"/>
        </w:rPr>
        <w:footnoteReference w:id="145"/>
      </w:r>
    </w:p>
    <w:p w14:paraId="7FCE82B3" w14:textId="77777777" w:rsidR="006B593E" w:rsidRDefault="006B593E" w:rsidP="006B593E">
      <w:pPr>
        <w:pStyle w:val="ListParagraph"/>
        <w:numPr>
          <w:ilvl w:val="0"/>
          <w:numId w:val="43"/>
        </w:numPr>
        <w:tabs>
          <w:tab w:val="left" w:pos="360"/>
          <w:tab w:val="left" w:pos="540"/>
        </w:tabs>
        <w:spacing w:before="120" w:after="120" w:line="240" w:lineRule="auto"/>
        <w:ind w:left="0" w:right="602" w:firstLine="0"/>
        <w:contextualSpacing w:val="0"/>
        <w:jc w:val="both"/>
        <w:rPr>
          <w:rFonts w:ascii="Calibri" w:eastAsia="Times New Roman" w:hAnsi="Calibri" w:cs="Times New Roman"/>
          <w:lang w:eastAsia="en-IN"/>
        </w:rPr>
      </w:pPr>
      <w:r w:rsidRPr="00684EA6">
        <w:rPr>
          <w:rFonts w:ascii="Calibri" w:eastAsia="Times New Roman" w:hAnsi="Calibri" w:cs="Times New Roman"/>
          <w:lang w:eastAsia="en-IN"/>
        </w:rPr>
        <w:t xml:space="preserve">These are all challenges that DFAT is likely accustomed to dealing </w:t>
      </w:r>
      <w:proofErr w:type="gramStart"/>
      <w:r w:rsidRPr="00684EA6">
        <w:rPr>
          <w:rFonts w:ascii="Calibri" w:eastAsia="Times New Roman" w:hAnsi="Calibri" w:cs="Times New Roman"/>
          <w:lang w:eastAsia="en-IN"/>
        </w:rPr>
        <w:t>with, and</w:t>
      </w:r>
      <w:proofErr w:type="gramEnd"/>
      <w:r w:rsidRPr="00684EA6">
        <w:rPr>
          <w:rFonts w:ascii="Calibri" w:eastAsia="Times New Roman" w:hAnsi="Calibri" w:cs="Times New Roman"/>
          <w:lang w:eastAsia="en-IN"/>
        </w:rPr>
        <w:t xml:space="preserve"> may not pose any new difficulties.</w:t>
      </w:r>
    </w:p>
    <w:p w14:paraId="3078FAA6" w14:textId="77777777" w:rsidR="006B593E" w:rsidRPr="00684EA6" w:rsidRDefault="006B593E" w:rsidP="006B593E">
      <w:pPr>
        <w:pStyle w:val="ListParagraph"/>
        <w:tabs>
          <w:tab w:val="left" w:pos="360"/>
          <w:tab w:val="left" w:pos="540"/>
        </w:tabs>
        <w:spacing w:before="120" w:after="120" w:line="240" w:lineRule="auto"/>
        <w:ind w:left="0" w:right="602"/>
        <w:contextualSpacing w:val="0"/>
        <w:jc w:val="both"/>
        <w:rPr>
          <w:rFonts w:ascii="Calibri" w:eastAsia="Times New Roman" w:hAnsi="Calibri" w:cs="Times New Roman"/>
          <w:lang w:eastAsia="en-IN"/>
        </w:rPr>
      </w:pPr>
    </w:p>
    <w:p w14:paraId="2C348241" w14:textId="77777777" w:rsidR="006B593E" w:rsidRDefault="006B593E" w:rsidP="006B593E">
      <w:pPr>
        <w:widowControl w:val="0"/>
        <w:numPr>
          <w:ilvl w:val="0"/>
          <w:numId w:val="42"/>
        </w:numPr>
        <w:tabs>
          <w:tab w:val="left" w:pos="360"/>
          <w:tab w:val="left" w:pos="540"/>
        </w:tabs>
        <w:spacing w:before="120" w:after="120" w:line="240" w:lineRule="auto"/>
        <w:ind w:right="602"/>
        <w:jc w:val="both"/>
        <w:outlineLvl w:val="0"/>
        <w:rPr>
          <w:rFonts w:ascii="Calibri" w:eastAsia="Times New Roman" w:hAnsi="Calibri" w:cs="Times New Roman"/>
          <w:b/>
          <w:smallCaps/>
          <w:color w:val="4F81BD"/>
          <w:sz w:val="32"/>
          <w:szCs w:val="32"/>
          <w:lang w:eastAsia="en-IN"/>
        </w:rPr>
      </w:pPr>
      <w:r>
        <w:rPr>
          <w:rFonts w:ascii="Calibri" w:eastAsia="Times New Roman" w:hAnsi="Calibri" w:cs="Times New Roman"/>
          <w:b/>
          <w:smallCaps/>
          <w:color w:val="4F81BD"/>
          <w:sz w:val="32"/>
          <w:szCs w:val="32"/>
          <w:lang w:eastAsia="en-IN"/>
        </w:rPr>
        <w:t>Institutional, Capacity and Financing Requirement</w:t>
      </w:r>
    </w:p>
    <w:p w14:paraId="7575CA2E" w14:textId="77777777" w:rsidR="006B593E" w:rsidRPr="00E93CCB" w:rsidRDefault="006B593E" w:rsidP="006B593E">
      <w:pPr>
        <w:widowControl w:val="0"/>
        <w:tabs>
          <w:tab w:val="left" w:pos="360"/>
          <w:tab w:val="left" w:pos="540"/>
        </w:tabs>
        <w:spacing w:before="120" w:after="120" w:line="240" w:lineRule="auto"/>
        <w:ind w:right="602"/>
        <w:jc w:val="both"/>
        <w:outlineLvl w:val="0"/>
        <w:rPr>
          <w:rFonts w:ascii="Calibri" w:eastAsia="Times New Roman" w:hAnsi="Calibri" w:cs="Times New Roman"/>
          <w:b/>
          <w:smallCaps/>
          <w:color w:val="4F81BD"/>
          <w:sz w:val="32"/>
          <w:szCs w:val="32"/>
          <w:lang w:eastAsia="en-IN"/>
        </w:rPr>
      </w:pPr>
    </w:p>
    <w:p w14:paraId="42DA4D5B" w14:textId="77777777" w:rsidR="006B593E" w:rsidRPr="007E2005" w:rsidRDefault="006B593E" w:rsidP="006B593E">
      <w:pPr>
        <w:numPr>
          <w:ilvl w:val="0"/>
          <w:numId w:val="43"/>
        </w:numPr>
        <w:tabs>
          <w:tab w:val="left" w:pos="360"/>
          <w:tab w:val="left" w:pos="540"/>
        </w:tabs>
        <w:spacing w:before="120" w:after="120" w:line="240" w:lineRule="auto"/>
        <w:ind w:left="0" w:right="602" w:firstLine="0"/>
        <w:jc w:val="both"/>
        <w:rPr>
          <w:rFonts w:ascii="Calibri" w:eastAsia="Times New Roman" w:hAnsi="Calibri" w:cs="Times New Roman"/>
          <w:lang w:eastAsia="en-IN"/>
        </w:rPr>
      </w:pPr>
      <w:r w:rsidRPr="007E2005">
        <w:rPr>
          <w:rFonts w:ascii="Calibri" w:eastAsia="Times New Roman" w:hAnsi="Calibri" w:cs="Times New Roman"/>
          <w:b/>
          <w:color w:val="000000"/>
          <w:lang w:eastAsia="en-IN"/>
        </w:rPr>
        <w:t xml:space="preserve">To successfully deploy </w:t>
      </w:r>
      <w:r>
        <w:rPr>
          <w:rFonts w:ascii="Calibri" w:eastAsia="Times New Roman" w:hAnsi="Calibri" w:cs="Times New Roman"/>
          <w:b/>
          <w:color w:val="000000"/>
          <w:lang w:eastAsia="en-IN"/>
        </w:rPr>
        <w:t>NGF</w:t>
      </w:r>
      <w:r w:rsidRPr="007E2005">
        <w:rPr>
          <w:rFonts w:ascii="Calibri" w:eastAsia="Times New Roman" w:hAnsi="Calibri" w:cs="Times New Roman"/>
          <w:b/>
          <w:color w:val="000000"/>
          <w:lang w:eastAsia="en-IN"/>
        </w:rPr>
        <w:t xml:space="preserve"> in a PNG context, any institutional arrangements would need to allow for the following capabilities:</w:t>
      </w:r>
    </w:p>
    <w:p w14:paraId="4BD685A2" w14:textId="77777777" w:rsidR="006B593E" w:rsidRPr="007E2005" w:rsidRDefault="006B593E" w:rsidP="006B593E">
      <w:pPr>
        <w:numPr>
          <w:ilvl w:val="0"/>
          <w:numId w:val="53"/>
        </w:numPr>
        <w:pBdr>
          <w:top w:val="nil"/>
          <w:left w:val="nil"/>
          <w:bottom w:val="nil"/>
          <w:right w:val="nil"/>
          <w:between w:val="nil"/>
        </w:pBdr>
        <w:tabs>
          <w:tab w:val="left" w:pos="360"/>
        </w:tabs>
        <w:spacing w:before="120" w:after="120" w:line="240" w:lineRule="auto"/>
        <w:ind w:right="602"/>
        <w:jc w:val="both"/>
        <w:rPr>
          <w:rFonts w:ascii="Calibri" w:eastAsia="Lato" w:hAnsi="Calibri" w:cs="Lato"/>
          <w:color w:val="000000"/>
          <w:lang w:eastAsia="en-IN"/>
        </w:rPr>
      </w:pPr>
      <w:r w:rsidRPr="007E2005">
        <w:rPr>
          <w:rFonts w:ascii="Calibri" w:eastAsia="Times New Roman" w:hAnsi="Calibri" w:cs="Times New Roman"/>
          <w:color w:val="000000"/>
          <w:lang w:eastAsia="en-IN"/>
        </w:rPr>
        <w:t>Flexible financing that can be deployed with significant discretion as to the timing and nature of specific activities financed</w:t>
      </w:r>
    </w:p>
    <w:p w14:paraId="7FD16F11" w14:textId="77777777" w:rsidR="006B593E" w:rsidRPr="007E2005" w:rsidRDefault="006B593E" w:rsidP="006B593E">
      <w:pPr>
        <w:numPr>
          <w:ilvl w:val="0"/>
          <w:numId w:val="53"/>
        </w:numPr>
        <w:pBdr>
          <w:top w:val="nil"/>
          <w:left w:val="nil"/>
          <w:bottom w:val="nil"/>
          <w:right w:val="nil"/>
          <w:between w:val="nil"/>
        </w:pBdr>
        <w:tabs>
          <w:tab w:val="left" w:pos="360"/>
        </w:tabs>
        <w:spacing w:before="120" w:after="120" w:line="240" w:lineRule="auto"/>
        <w:ind w:right="602"/>
        <w:jc w:val="both"/>
        <w:rPr>
          <w:rFonts w:ascii="Calibri" w:eastAsia="Lato" w:hAnsi="Calibri" w:cs="Lato"/>
          <w:color w:val="000000"/>
          <w:lang w:eastAsia="en-IN"/>
        </w:rPr>
      </w:pPr>
      <w:r w:rsidRPr="007E2005">
        <w:rPr>
          <w:rFonts w:ascii="Calibri" w:eastAsia="Times New Roman" w:hAnsi="Calibri" w:cs="Times New Roman"/>
          <w:color w:val="000000"/>
          <w:lang w:eastAsia="en-IN"/>
        </w:rPr>
        <w:t xml:space="preserve">The ability to move quickly with financing decisions and contracting processes </w:t>
      </w:r>
    </w:p>
    <w:p w14:paraId="209EC980" w14:textId="77777777" w:rsidR="006B593E" w:rsidRPr="007E2005" w:rsidRDefault="006B593E" w:rsidP="006B593E">
      <w:pPr>
        <w:numPr>
          <w:ilvl w:val="0"/>
          <w:numId w:val="53"/>
        </w:numPr>
        <w:pBdr>
          <w:top w:val="nil"/>
          <w:left w:val="nil"/>
          <w:bottom w:val="nil"/>
          <w:right w:val="nil"/>
          <w:between w:val="nil"/>
        </w:pBdr>
        <w:tabs>
          <w:tab w:val="left" w:pos="360"/>
        </w:tabs>
        <w:spacing w:before="120" w:after="120" w:line="240" w:lineRule="auto"/>
        <w:ind w:right="602"/>
        <w:jc w:val="both"/>
        <w:rPr>
          <w:rFonts w:ascii="Calibri" w:eastAsia="Lato" w:hAnsi="Calibri" w:cs="Lato"/>
          <w:color w:val="000000"/>
          <w:lang w:eastAsia="en-IN"/>
        </w:rPr>
      </w:pPr>
      <w:r w:rsidRPr="007E2005">
        <w:rPr>
          <w:rFonts w:ascii="Calibri" w:eastAsia="Times New Roman" w:hAnsi="Calibri" w:cs="Times New Roman"/>
          <w:color w:val="000000"/>
          <w:lang w:eastAsia="en-IN"/>
        </w:rPr>
        <w:t>A whole-of-government approach to ensure that investment decisions benefit from a full range of perspectives including development, trade and security perspectives</w:t>
      </w:r>
    </w:p>
    <w:p w14:paraId="06A503C1" w14:textId="5FED526B" w:rsidR="006B593E" w:rsidRPr="007E2005" w:rsidRDefault="006B593E" w:rsidP="006B593E">
      <w:pPr>
        <w:numPr>
          <w:ilvl w:val="0"/>
          <w:numId w:val="53"/>
        </w:numPr>
        <w:pBdr>
          <w:top w:val="nil"/>
          <w:left w:val="nil"/>
          <w:bottom w:val="nil"/>
          <w:right w:val="nil"/>
          <w:between w:val="nil"/>
        </w:pBdr>
        <w:tabs>
          <w:tab w:val="left" w:pos="360"/>
        </w:tabs>
        <w:spacing w:before="120" w:after="120" w:line="240" w:lineRule="auto"/>
        <w:ind w:right="602"/>
        <w:jc w:val="both"/>
        <w:rPr>
          <w:rFonts w:ascii="Calibri" w:eastAsia="Lato" w:hAnsi="Calibri" w:cs="Lato"/>
          <w:color w:val="000000"/>
          <w:lang w:eastAsia="en-IN"/>
        </w:rPr>
      </w:pPr>
      <w:r w:rsidRPr="007E2005">
        <w:rPr>
          <w:rFonts w:ascii="Calibri" w:eastAsia="Times New Roman" w:hAnsi="Calibri" w:cs="Times New Roman"/>
          <w:color w:val="000000"/>
          <w:lang w:eastAsia="en-IN"/>
        </w:rPr>
        <w:t xml:space="preserve">The alignment of staff incentives (i.e., a strong focus not on </w:t>
      </w:r>
      <w:r w:rsidRPr="007E2005">
        <w:rPr>
          <w:rFonts w:ascii="Calibri" w:eastAsia="Times New Roman" w:hAnsi="Calibri" w:cs="Times New Roman"/>
          <w:i/>
          <w:color w:val="000000"/>
          <w:lang w:eastAsia="en-IN"/>
        </w:rPr>
        <w:t>volume</w:t>
      </w:r>
      <w:r w:rsidRPr="007E2005">
        <w:rPr>
          <w:rFonts w:ascii="Calibri" w:eastAsia="Times New Roman" w:hAnsi="Calibri" w:cs="Times New Roman"/>
          <w:color w:val="000000"/>
          <w:lang w:eastAsia="en-IN"/>
        </w:rPr>
        <w:t xml:space="preserve"> of financing but rather on the </w:t>
      </w:r>
      <w:r w:rsidRPr="007E2005">
        <w:rPr>
          <w:rFonts w:ascii="Calibri" w:eastAsia="Times New Roman" w:hAnsi="Calibri" w:cs="Times New Roman"/>
          <w:i/>
          <w:color w:val="000000"/>
          <w:lang w:eastAsia="en-IN"/>
        </w:rPr>
        <w:t>quality</w:t>
      </w:r>
      <w:r w:rsidRPr="007E2005">
        <w:rPr>
          <w:rFonts w:ascii="Calibri" w:eastAsia="Times New Roman" w:hAnsi="Calibri" w:cs="Times New Roman"/>
          <w:color w:val="000000"/>
          <w:lang w:eastAsia="en-IN"/>
        </w:rPr>
        <w:t xml:space="preserve"> of projects and delivery of outcomes)</w:t>
      </w:r>
      <w:r w:rsidR="00FC682D">
        <w:rPr>
          <w:rFonts w:ascii="Calibri" w:eastAsia="Times New Roman" w:hAnsi="Calibri" w:cs="Times New Roman"/>
          <w:color w:val="000000"/>
          <w:lang w:eastAsia="en-IN"/>
        </w:rPr>
        <w:t>.</w:t>
      </w:r>
    </w:p>
    <w:p w14:paraId="038DA4D6" w14:textId="44970438" w:rsidR="006B593E" w:rsidRPr="007E2005" w:rsidRDefault="006B593E" w:rsidP="006B593E">
      <w:pPr>
        <w:numPr>
          <w:ilvl w:val="0"/>
          <w:numId w:val="43"/>
        </w:numPr>
        <w:tabs>
          <w:tab w:val="left" w:pos="360"/>
          <w:tab w:val="left" w:pos="540"/>
        </w:tabs>
        <w:spacing w:before="120" w:after="120" w:line="240" w:lineRule="auto"/>
        <w:ind w:left="0" w:right="602" w:firstLine="0"/>
        <w:jc w:val="both"/>
        <w:rPr>
          <w:rFonts w:ascii="Calibri" w:eastAsia="Times New Roman" w:hAnsi="Calibri" w:cs="Times New Roman"/>
          <w:lang w:eastAsia="en-IN"/>
        </w:rPr>
      </w:pPr>
      <w:r w:rsidRPr="007E2005">
        <w:rPr>
          <w:rFonts w:ascii="Calibri" w:eastAsia="Times New Roman" w:hAnsi="Calibri" w:cs="Times New Roman"/>
          <w:b/>
          <w:color w:val="000000"/>
          <w:lang w:eastAsia="en-IN"/>
        </w:rPr>
        <w:lastRenderedPageBreak/>
        <w:t xml:space="preserve">There are significant capabilities already in place in the PNG </w:t>
      </w:r>
      <w:proofErr w:type="spellStart"/>
      <w:r w:rsidRPr="007E2005">
        <w:rPr>
          <w:rFonts w:ascii="Calibri" w:eastAsia="Times New Roman" w:hAnsi="Calibri" w:cs="Times New Roman"/>
          <w:b/>
          <w:color w:val="000000"/>
          <w:lang w:eastAsia="en-IN"/>
        </w:rPr>
        <w:t>HiComm</w:t>
      </w:r>
      <w:proofErr w:type="spellEnd"/>
      <w:r w:rsidRPr="007E2005">
        <w:rPr>
          <w:rFonts w:ascii="Calibri" w:eastAsia="Times New Roman" w:hAnsi="Calibri" w:cs="Times New Roman"/>
          <w:b/>
          <w:color w:val="000000"/>
          <w:lang w:eastAsia="en-IN"/>
        </w:rPr>
        <w:t xml:space="preserve"> to deliver projects in the near term; over time, these capabilities would need to be augmented as the project portfolio grew </w:t>
      </w:r>
      <w:proofErr w:type="gramStart"/>
      <w:r w:rsidRPr="007E2005">
        <w:rPr>
          <w:rFonts w:ascii="Calibri" w:eastAsia="Times New Roman" w:hAnsi="Calibri" w:cs="Times New Roman"/>
          <w:b/>
          <w:color w:val="000000"/>
          <w:lang w:eastAsia="en-IN"/>
        </w:rPr>
        <w:t>in order to</w:t>
      </w:r>
      <w:proofErr w:type="gramEnd"/>
      <w:r w:rsidRPr="007E2005">
        <w:rPr>
          <w:rFonts w:ascii="Calibri" w:eastAsia="Times New Roman" w:hAnsi="Calibri" w:cs="Times New Roman"/>
          <w:b/>
          <w:color w:val="000000"/>
          <w:lang w:eastAsia="en-IN"/>
        </w:rPr>
        <w:t xml:space="preserve"> fully realise the opportunity of deploying </w:t>
      </w:r>
      <w:r>
        <w:rPr>
          <w:rFonts w:ascii="Calibri" w:eastAsia="Times New Roman" w:hAnsi="Calibri" w:cs="Times New Roman"/>
          <w:b/>
          <w:color w:val="000000"/>
          <w:lang w:eastAsia="en-IN"/>
        </w:rPr>
        <w:t>NGF</w:t>
      </w:r>
      <w:r w:rsidRPr="007E2005">
        <w:rPr>
          <w:rFonts w:ascii="Calibri" w:eastAsia="Times New Roman" w:hAnsi="Calibri" w:cs="Times New Roman"/>
          <w:b/>
          <w:color w:val="000000"/>
          <w:lang w:eastAsia="en-IN"/>
        </w:rPr>
        <w:t xml:space="preserve">. </w:t>
      </w:r>
      <w:r>
        <w:rPr>
          <w:rFonts w:ascii="Calibri" w:eastAsia="MS Mincho" w:hAnsi="Calibri" w:cs="Times New Roman"/>
          <w:lang w:val="en-US"/>
        </w:rPr>
        <w:t>Australia</w:t>
      </w:r>
      <w:r w:rsidRPr="007E2005">
        <w:rPr>
          <w:rFonts w:ascii="Calibri" w:eastAsia="Times New Roman" w:hAnsi="Calibri" w:cs="Times New Roman"/>
          <w:color w:val="000000"/>
          <w:lang w:eastAsia="en-IN"/>
        </w:rPr>
        <w:t xml:space="preserve"> already has some </w:t>
      </w:r>
      <w:r w:rsidRPr="007E2005">
        <w:rPr>
          <w:rFonts w:ascii="Calibri" w:eastAsia="Times New Roman" w:hAnsi="Calibri" w:cs="Times New Roman"/>
          <w:lang w:eastAsia="en-IN"/>
        </w:rPr>
        <w:t>r</w:t>
      </w:r>
      <w:r w:rsidRPr="007E2005">
        <w:rPr>
          <w:rFonts w:ascii="Calibri" w:eastAsia="Times New Roman" w:hAnsi="Calibri" w:cs="Times New Roman"/>
          <w:color w:val="000000"/>
          <w:lang w:eastAsia="en-IN"/>
        </w:rPr>
        <w:t>elevant capabilities includ</w:t>
      </w:r>
      <w:r w:rsidRPr="007E2005">
        <w:rPr>
          <w:rFonts w:ascii="Calibri" w:eastAsia="Times New Roman" w:hAnsi="Calibri" w:cs="Times New Roman"/>
          <w:lang w:eastAsia="en-IN"/>
        </w:rPr>
        <w:t>ing a t</w:t>
      </w:r>
      <w:r w:rsidRPr="007E2005">
        <w:rPr>
          <w:rFonts w:ascii="Calibri" w:eastAsia="Times New Roman" w:hAnsi="Calibri" w:cs="Times New Roman"/>
          <w:color w:val="000000"/>
          <w:lang w:eastAsia="en-IN"/>
        </w:rPr>
        <w:t>rack record of financing infrastructure projects (although on a smaller scale)</w:t>
      </w:r>
      <w:r w:rsidRPr="007E2005">
        <w:rPr>
          <w:rFonts w:ascii="Calibri" w:eastAsia="Times New Roman" w:hAnsi="Calibri" w:cs="Times New Roman"/>
          <w:lang w:eastAsia="en-IN"/>
        </w:rPr>
        <w:t xml:space="preserve"> and o</w:t>
      </w:r>
      <w:r w:rsidRPr="007E2005">
        <w:rPr>
          <w:rFonts w:ascii="Calibri" w:eastAsia="Times New Roman" w:hAnsi="Calibri" w:cs="Times New Roman"/>
          <w:color w:val="000000"/>
          <w:lang w:eastAsia="en-IN"/>
        </w:rPr>
        <w:t>ngoing advisory work in key infrastructure sectors (</w:t>
      </w:r>
      <w:r w:rsidRPr="007E2005">
        <w:rPr>
          <w:rFonts w:ascii="Calibri" w:eastAsia="Times New Roman" w:hAnsi="Calibri" w:cs="Times New Roman"/>
          <w:lang w:eastAsia="en-IN"/>
        </w:rPr>
        <w:t xml:space="preserve">such as </w:t>
      </w:r>
      <w:r w:rsidRPr="007E2005">
        <w:rPr>
          <w:rFonts w:ascii="Calibri" w:eastAsia="Times New Roman" w:hAnsi="Calibri" w:cs="Times New Roman"/>
          <w:color w:val="000000"/>
          <w:lang w:eastAsia="en-IN"/>
        </w:rPr>
        <w:t>energy, power, etc.)</w:t>
      </w:r>
      <w:r w:rsidRPr="007E2005">
        <w:rPr>
          <w:rFonts w:ascii="Calibri" w:eastAsia="Times New Roman" w:hAnsi="Calibri" w:cs="Times New Roman"/>
          <w:lang w:eastAsia="en-IN"/>
        </w:rPr>
        <w:t xml:space="preserve">. </w:t>
      </w:r>
      <w:r>
        <w:rPr>
          <w:rFonts w:ascii="Calibri" w:eastAsia="MS Mincho" w:hAnsi="Calibri" w:cs="Times New Roman"/>
          <w:lang w:val="en-US"/>
        </w:rPr>
        <w:t>Australia’s</w:t>
      </w:r>
      <w:r w:rsidRPr="007E2005">
        <w:rPr>
          <w:rFonts w:ascii="Calibri" w:eastAsia="Times New Roman" w:hAnsi="Calibri" w:cs="Times New Roman"/>
          <w:lang w:eastAsia="en-IN"/>
        </w:rPr>
        <w:t xml:space="preserve"> e</w:t>
      </w:r>
      <w:r w:rsidRPr="007E2005">
        <w:rPr>
          <w:rFonts w:ascii="Calibri" w:eastAsia="Times New Roman" w:hAnsi="Calibri" w:cs="Times New Roman"/>
          <w:color w:val="000000"/>
          <w:lang w:eastAsia="en-IN"/>
        </w:rPr>
        <w:t>nvironmental, social and governance (ESG) expertise is widely recognised, particularly in the areas of community safeguards and gender analysis</w:t>
      </w:r>
      <w:r w:rsidRPr="007E2005">
        <w:rPr>
          <w:rFonts w:ascii="Calibri" w:eastAsia="Times New Roman" w:hAnsi="Calibri" w:cs="Times New Roman"/>
          <w:lang w:eastAsia="en-IN"/>
        </w:rPr>
        <w:t>. Al</w:t>
      </w:r>
      <w:r w:rsidRPr="007E2005">
        <w:rPr>
          <w:rFonts w:ascii="Calibri" w:eastAsia="Times New Roman" w:hAnsi="Calibri" w:cs="Times New Roman"/>
          <w:color w:val="000000"/>
          <w:lang w:eastAsia="en-IN"/>
        </w:rPr>
        <w:t>though significant internal resources are dedicated to these safeguards curren</w:t>
      </w:r>
      <w:r w:rsidRPr="007E2005">
        <w:rPr>
          <w:rFonts w:ascii="Calibri" w:eastAsia="Times New Roman" w:hAnsi="Calibri" w:cs="Times New Roman"/>
          <w:lang w:eastAsia="en-IN"/>
        </w:rPr>
        <w:t>tly</w:t>
      </w:r>
      <w:r w:rsidRPr="007E2005">
        <w:rPr>
          <w:rFonts w:ascii="Calibri" w:eastAsia="Times New Roman" w:hAnsi="Calibri" w:cs="Times New Roman"/>
          <w:color w:val="000000"/>
          <w:lang w:eastAsia="en-IN"/>
        </w:rPr>
        <w:t xml:space="preserve">, they would need to be more effectively translated into practical elements of project implementation. </w:t>
      </w:r>
      <w:r>
        <w:rPr>
          <w:rFonts w:ascii="Calibri" w:eastAsia="MS Mincho" w:hAnsi="Calibri" w:cs="Times New Roman"/>
          <w:lang w:val="en-US"/>
        </w:rPr>
        <w:t>Australia</w:t>
      </w:r>
      <w:r w:rsidRPr="007E2005">
        <w:rPr>
          <w:rFonts w:ascii="Calibri" w:eastAsia="Times New Roman" w:hAnsi="Calibri" w:cs="Times New Roman"/>
          <w:lang w:eastAsia="en-IN"/>
        </w:rPr>
        <w:t xml:space="preserve"> also has many existing relationships across key stakeholders, including within </w:t>
      </w:r>
      <w:proofErr w:type="spellStart"/>
      <w:r w:rsidRPr="007E2005">
        <w:rPr>
          <w:rFonts w:ascii="Calibri" w:eastAsia="Times New Roman" w:hAnsi="Calibri" w:cs="Times New Roman"/>
          <w:lang w:eastAsia="en-IN"/>
        </w:rPr>
        <w:t>GoPNG</w:t>
      </w:r>
      <w:proofErr w:type="spellEnd"/>
      <w:r w:rsidRPr="007E2005">
        <w:rPr>
          <w:rFonts w:ascii="Calibri" w:eastAsia="Times New Roman" w:hAnsi="Calibri" w:cs="Times New Roman"/>
          <w:lang w:eastAsia="en-IN"/>
        </w:rPr>
        <w:t xml:space="preserve">, which would likely prove helpful as Australia expanded its </w:t>
      </w:r>
      <w:r>
        <w:rPr>
          <w:rFonts w:ascii="Calibri" w:eastAsia="Times New Roman" w:hAnsi="Calibri" w:cs="Times New Roman"/>
          <w:lang w:eastAsia="en-IN"/>
        </w:rPr>
        <w:t>development assistance</w:t>
      </w:r>
      <w:r w:rsidRPr="007E2005">
        <w:rPr>
          <w:rFonts w:ascii="Calibri" w:eastAsia="Times New Roman" w:hAnsi="Calibri" w:cs="Times New Roman"/>
          <w:lang w:eastAsia="en-IN"/>
        </w:rPr>
        <w:t xml:space="preserve"> </w:t>
      </w:r>
      <w:r w:rsidR="0073249A">
        <w:rPr>
          <w:rFonts w:ascii="Calibri" w:eastAsia="Times New Roman" w:hAnsi="Calibri" w:cs="Times New Roman"/>
          <w:lang w:eastAsia="en-IN"/>
        </w:rPr>
        <w:t>program</w:t>
      </w:r>
      <w:r w:rsidRPr="007E2005">
        <w:rPr>
          <w:rFonts w:ascii="Calibri" w:eastAsia="Times New Roman" w:hAnsi="Calibri" w:cs="Times New Roman"/>
          <w:lang w:eastAsia="en-IN"/>
        </w:rPr>
        <w:t>. However, Australia would need to add further</w:t>
      </w:r>
      <w:r w:rsidRPr="007E2005">
        <w:rPr>
          <w:rFonts w:ascii="Calibri" w:eastAsia="Times New Roman" w:hAnsi="Calibri" w:cs="Times New Roman"/>
          <w:color w:val="000000"/>
          <w:lang w:eastAsia="en-IN"/>
        </w:rPr>
        <w:t xml:space="preserve"> capacity</w:t>
      </w:r>
      <w:r w:rsidRPr="007E2005">
        <w:rPr>
          <w:rFonts w:ascii="Calibri" w:eastAsia="Times New Roman" w:hAnsi="Calibri" w:cs="Times New Roman"/>
          <w:lang w:eastAsia="en-IN"/>
        </w:rPr>
        <w:t>, including a</w:t>
      </w:r>
      <w:r w:rsidRPr="007E2005">
        <w:rPr>
          <w:rFonts w:ascii="Calibri" w:eastAsia="Times New Roman" w:hAnsi="Calibri" w:cs="Times New Roman"/>
          <w:color w:val="000000"/>
          <w:lang w:eastAsia="en-IN"/>
        </w:rPr>
        <w:t>dditional technical expertise in project financing a</w:t>
      </w:r>
      <w:r w:rsidRPr="007E2005">
        <w:rPr>
          <w:rFonts w:ascii="Calibri" w:eastAsia="Times New Roman" w:hAnsi="Calibri" w:cs="Times New Roman"/>
          <w:lang w:eastAsia="en-IN"/>
        </w:rPr>
        <w:t>nd f</w:t>
      </w:r>
      <w:r w:rsidRPr="007E2005">
        <w:rPr>
          <w:rFonts w:ascii="Calibri" w:eastAsia="Times New Roman" w:hAnsi="Calibri" w:cs="Times New Roman"/>
          <w:color w:val="000000"/>
          <w:lang w:eastAsia="en-IN"/>
        </w:rPr>
        <w:t xml:space="preserve">lexible access to sector experts. </w:t>
      </w:r>
    </w:p>
    <w:p w14:paraId="6BF94F2D" w14:textId="7089AB96" w:rsidR="006B593E" w:rsidRPr="007E2005" w:rsidRDefault="006B593E" w:rsidP="006B593E">
      <w:pPr>
        <w:numPr>
          <w:ilvl w:val="0"/>
          <w:numId w:val="43"/>
        </w:numPr>
        <w:tabs>
          <w:tab w:val="left" w:pos="360"/>
          <w:tab w:val="left" w:pos="540"/>
        </w:tabs>
        <w:spacing w:before="120" w:after="120" w:line="240" w:lineRule="auto"/>
        <w:ind w:left="0" w:right="602" w:firstLine="0"/>
        <w:jc w:val="both"/>
        <w:rPr>
          <w:rFonts w:ascii="Calibri" w:eastAsia="Times New Roman" w:hAnsi="Calibri" w:cs="Times New Roman"/>
          <w:lang w:eastAsia="en-IN"/>
        </w:rPr>
      </w:pPr>
      <w:r w:rsidRPr="007E2005">
        <w:rPr>
          <w:rFonts w:ascii="Calibri" w:eastAsia="Times New Roman" w:hAnsi="Calibri" w:cs="Times New Roman"/>
          <w:b/>
          <w:color w:val="000000"/>
          <w:lang w:eastAsia="en-IN"/>
        </w:rPr>
        <w:t xml:space="preserve">There will also be potential opportunities to use Australia’s industry expertise and reputation. </w:t>
      </w:r>
      <w:r w:rsidRPr="007E2005">
        <w:rPr>
          <w:rFonts w:ascii="Calibri" w:eastAsia="Times New Roman" w:hAnsi="Calibri" w:cs="Times New Roman"/>
          <w:color w:val="000000"/>
          <w:lang w:eastAsia="en-IN"/>
        </w:rPr>
        <w:t xml:space="preserve">Australian corporations enjoy a reputation both for high-quality services and products and for “clean” business practices, including a willingness to employ, train and promote local workers, transfer technology to local partner businesses, utilise best practice procurement processes and deploy world-class systems and sector-specific technologies. Australia’s </w:t>
      </w:r>
      <w:r>
        <w:rPr>
          <w:rFonts w:ascii="Calibri" w:eastAsia="Times New Roman" w:hAnsi="Calibri" w:cs="Times New Roman"/>
          <w:lang w:eastAsia="en-IN"/>
        </w:rPr>
        <w:t>development assistance</w:t>
      </w:r>
      <w:r>
        <w:rPr>
          <w:rFonts w:ascii="Calibri" w:eastAsia="Times New Roman" w:hAnsi="Calibri" w:cs="Times New Roman"/>
          <w:color w:val="000000"/>
          <w:lang w:eastAsia="en-IN"/>
        </w:rPr>
        <w:t xml:space="preserve"> </w:t>
      </w:r>
      <w:r w:rsidR="0073249A">
        <w:rPr>
          <w:rFonts w:ascii="Calibri" w:eastAsia="Times New Roman" w:hAnsi="Calibri" w:cs="Times New Roman"/>
          <w:color w:val="000000"/>
          <w:lang w:eastAsia="en-IN"/>
        </w:rPr>
        <w:t>program</w:t>
      </w:r>
      <w:r>
        <w:rPr>
          <w:rFonts w:ascii="Calibri" w:eastAsia="Times New Roman" w:hAnsi="Calibri" w:cs="Times New Roman"/>
          <w:color w:val="000000"/>
          <w:lang w:eastAsia="en-IN"/>
        </w:rPr>
        <w:t xml:space="preserve"> </w:t>
      </w:r>
      <w:r w:rsidRPr="007E2005">
        <w:rPr>
          <w:rFonts w:ascii="Calibri" w:eastAsia="Times New Roman" w:hAnsi="Calibri" w:cs="Times New Roman"/>
          <w:color w:val="000000"/>
          <w:lang w:eastAsia="en-IN"/>
        </w:rPr>
        <w:t xml:space="preserve">would benefit from forming deeper relationships with Australia’s major companies by using </w:t>
      </w:r>
      <w:r>
        <w:rPr>
          <w:rFonts w:ascii="Calibri" w:eastAsia="Times New Roman" w:hAnsi="Calibri" w:cs="Times New Roman"/>
          <w:color w:val="000000"/>
          <w:lang w:eastAsia="en-IN"/>
        </w:rPr>
        <w:t>NGF</w:t>
      </w:r>
      <w:r w:rsidRPr="007E2005">
        <w:rPr>
          <w:rFonts w:ascii="Calibri" w:eastAsia="Times New Roman" w:hAnsi="Calibri" w:cs="Times New Roman"/>
          <w:color w:val="000000"/>
          <w:lang w:eastAsia="en-IN"/>
        </w:rPr>
        <w:t xml:space="preserve"> judiciously to attract them into commercial opportunities in PNG.</w:t>
      </w:r>
    </w:p>
    <w:p w14:paraId="565F5C58" w14:textId="77777777" w:rsidR="006B593E" w:rsidRPr="007E2005" w:rsidRDefault="006B593E" w:rsidP="006B593E">
      <w:pPr>
        <w:tabs>
          <w:tab w:val="left" w:pos="360"/>
          <w:tab w:val="left" w:pos="540"/>
        </w:tabs>
        <w:spacing w:before="120" w:after="120" w:line="240" w:lineRule="auto"/>
        <w:ind w:left="720" w:right="602"/>
        <w:jc w:val="both"/>
        <w:rPr>
          <w:rFonts w:ascii="Calibri" w:eastAsia="Times New Roman" w:hAnsi="Calibri" w:cs="Times New Roman"/>
          <w:smallCaps/>
          <w:lang w:eastAsia="en-IN"/>
        </w:rPr>
      </w:pPr>
    </w:p>
    <w:p w14:paraId="2366847F" w14:textId="77777777" w:rsidR="006B593E" w:rsidRDefault="006B593E" w:rsidP="006B593E">
      <w:pPr>
        <w:spacing w:before="120" w:after="120" w:line="240" w:lineRule="auto"/>
        <w:jc w:val="both"/>
      </w:pPr>
      <w:r>
        <w:br w:type="page"/>
      </w:r>
    </w:p>
    <w:p w14:paraId="4D13B038" w14:textId="6C889220" w:rsidR="00456443" w:rsidRPr="0003026F" w:rsidRDefault="00456443" w:rsidP="00456443">
      <w:pPr>
        <w:spacing w:before="120" w:after="120" w:line="240" w:lineRule="auto"/>
        <w:jc w:val="both"/>
        <w:rPr>
          <w:sz w:val="32"/>
          <w:szCs w:val="32"/>
          <w:lang w:eastAsia="en-IN"/>
        </w:rPr>
      </w:pPr>
      <w:r w:rsidRPr="0003026F">
        <w:rPr>
          <w:sz w:val="32"/>
          <w:szCs w:val="32"/>
          <w:lang w:eastAsia="en-IN"/>
        </w:rPr>
        <w:lastRenderedPageBreak/>
        <w:t xml:space="preserve">ANNEX </w:t>
      </w:r>
      <w:r w:rsidR="008C4017">
        <w:rPr>
          <w:sz w:val="32"/>
          <w:szCs w:val="32"/>
          <w:lang w:eastAsia="en-IN"/>
        </w:rPr>
        <w:t>5</w:t>
      </w:r>
      <w:r>
        <w:rPr>
          <w:sz w:val="32"/>
          <w:szCs w:val="32"/>
          <w:lang w:eastAsia="en-IN"/>
        </w:rPr>
        <w:t>—</w:t>
      </w:r>
      <w:r w:rsidRPr="0003026F">
        <w:rPr>
          <w:sz w:val="32"/>
          <w:szCs w:val="32"/>
          <w:lang w:eastAsia="en-IN"/>
        </w:rPr>
        <w:t>Country Report: Vanuatu</w:t>
      </w:r>
    </w:p>
    <w:p w14:paraId="075C43FE" w14:textId="77777777" w:rsidR="00456443" w:rsidRPr="00D25101" w:rsidRDefault="00456443" w:rsidP="00D25101">
      <w:pPr>
        <w:spacing w:before="120" w:after="120" w:line="240" w:lineRule="auto"/>
        <w:ind w:right="567"/>
        <w:jc w:val="both"/>
        <w:rPr>
          <w:rFonts w:ascii="Calibri" w:eastAsia="Times New Roman" w:hAnsi="Calibri" w:cs="Times New Roman"/>
          <w:lang w:eastAsia="en-IN"/>
        </w:rPr>
      </w:pPr>
      <w:r w:rsidRPr="00D25101">
        <w:rPr>
          <w:rFonts w:ascii="Calibri" w:eastAsia="Times New Roman" w:hAnsi="Calibri" w:cs="Times New Roman"/>
          <w:lang w:eastAsia="en-IN"/>
        </w:rPr>
        <w:t>This annex has been developed by Dalberg Advisors, and represents their independent interpretation and analysis of the team’s visit to Vanuatu.</w:t>
      </w:r>
    </w:p>
    <w:p w14:paraId="79A90D1C" w14:textId="77777777" w:rsidR="00456443" w:rsidRPr="00862056" w:rsidRDefault="00456443" w:rsidP="00456443">
      <w:pPr>
        <w:widowControl w:val="0"/>
        <w:numPr>
          <w:ilvl w:val="0"/>
          <w:numId w:val="54"/>
        </w:numPr>
        <w:tabs>
          <w:tab w:val="left" w:pos="360"/>
          <w:tab w:val="left" w:pos="540"/>
        </w:tabs>
        <w:spacing w:before="120" w:after="120" w:line="240" w:lineRule="auto"/>
        <w:ind w:right="602"/>
        <w:jc w:val="both"/>
        <w:outlineLvl w:val="0"/>
        <w:rPr>
          <w:rFonts w:ascii="Calibri" w:eastAsia="Times New Roman" w:hAnsi="Calibri" w:cs="Times New Roman"/>
          <w:b/>
          <w:smallCaps/>
          <w:color w:val="4F81BD"/>
          <w:sz w:val="32"/>
          <w:szCs w:val="32"/>
          <w:lang w:eastAsia="en-IN"/>
        </w:rPr>
      </w:pPr>
      <w:r w:rsidRPr="00862056">
        <w:rPr>
          <w:rFonts w:ascii="Calibri" w:eastAsia="Times New Roman" w:hAnsi="Calibri" w:cs="Times New Roman"/>
          <w:b/>
          <w:smallCaps/>
          <w:color w:val="4F81BD"/>
          <w:sz w:val="32"/>
          <w:szCs w:val="32"/>
          <w:lang w:eastAsia="en-IN"/>
        </w:rPr>
        <w:t>Executive Summary</w:t>
      </w:r>
    </w:p>
    <w:p w14:paraId="6568E0F5" w14:textId="77777777" w:rsidR="00456443" w:rsidRPr="00990B3F" w:rsidRDefault="00456443" w:rsidP="00456443">
      <w:pPr>
        <w:pStyle w:val="ListParagraph"/>
        <w:numPr>
          <w:ilvl w:val="0"/>
          <w:numId w:val="67"/>
        </w:numPr>
        <w:tabs>
          <w:tab w:val="left" w:pos="360"/>
          <w:tab w:val="left" w:pos="540"/>
        </w:tabs>
        <w:spacing w:before="120" w:after="120" w:line="240" w:lineRule="auto"/>
        <w:ind w:left="0" w:right="601" w:firstLine="0"/>
        <w:contextualSpacing w:val="0"/>
        <w:jc w:val="both"/>
        <w:rPr>
          <w:rFonts w:ascii="Calibri" w:eastAsia="Times New Roman" w:hAnsi="Calibri" w:cs="Times New Roman"/>
          <w:lang w:eastAsia="en-IN"/>
        </w:rPr>
      </w:pPr>
      <w:r w:rsidRPr="00990B3F">
        <w:rPr>
          <w:rFonts w:ascii="Calibri" w:eastAsia="Times New Roman" w:hAnsi="Calibri" w:cs="Times New Roman"/>
          <w:b/>
          <w:lang w:eastAsia="en-IN"/>
        </w:rPr>
        <w:t>Significant demand for infrastructure investments, across multiple sectors, is expected as the Government of Vanuatu (</w:t>
      </w:r>
      <w:proofErr w:type="spellStart"/>
      <w:r w:rsidRPr="00990B3F">
        <w:rPr>
          <w:rFonts w:ascii="Calibri" w:eastAsia="Times New Roman" w:hAnsi="Calibri" w:cs="Times New Roman"/>
          <w:b/>
          <w:lang w:eastAsia="en-IN"/>
        </w:rPr>
        <w:t>GoV</w:t>
      </w:r>
      <w:proofErr w:type="spellEnd"/>
      <w:r w:rsidRPr="00990B3F">
        <w:rPr>
          <w:rFonts w:ascii="Calibri" w:eastAsia="Times New Roman" w:hAnsi="Calibri" w:cs="Times New Roman"/>
          <w:b/>
          <w:lang w:eastAsia="en-IN"/>
        </w:rPr>
        <w:t>) implements the ambitious vision for the country’s society, environment and economy outlined in the National Sustainable Development Plan (NSDP) (2016</w:t>
      </w:r>
      <w:r>
        <w:rPr>
          <w:rFonts w:ascii="Calibri" w:eastAsia="Times New Roman" w:hAnsi="Calibri" w:cs="Times New Roman"/>
          <w:b/>
          <w:lang w:eastAsia="en-IN"/>
        </w:rPr>
        <w:t>—</w:t>
      </w:r>
      <w:r w:rsidRPr="00990B3F">
        <w:rPr>
          <w:rFonts w:ascii="Calibri" w:eastAsia="Times New Roman" w:hAnsi="Calibri" w:cs="Times New Roman"/>
          <w:b/>
          <w:lang w:eastAsia="en-IN"/>
        </w:rPr>
        <w:t xml:space="preserve">2030). </w:t>
      </w:r>
      <w:r w:rsidRPr="00990B3F">
        <w:rPr>
          <w:rFonts w:ascii="Calibri" w:eastAsia="Times New Roman" w:hAnsi="Calibri" w:cs="Times New Roman"/>
          <w:lang w:eastAsia="en-IN"/>
        </w:rPr>
        <w:t>The demand will be supported by ongoing recovery efforts and the implementation of national plans in the aftermath of Cyclone Pam. Three years since the cyclone hit, Vanuatu is still rebuilding much of its infrastructure and will require considerable financial investment over the next decade.</w:t>
      </w:r>
    </w:p>
    <w:p w14:paraId="038B0587" w14:textId="77777777" w:rsidR="00456443" w:rsidRPr="00990B3F" w:rsidRDefault="00456443" w:rsidP="00456443">
      <w:pPr>
        <w:pStyle w:val="ListParagraph"/>
        <w:numPr>
          <w:ilvl w:val="0"/>
          <w:numId w:val="67"/>
        </w:numPr>
        <w:tabs>
          <w:tab w:val="left" w:pos="360"/>
          <w:tab w:val="left" w:pos="540"/>
        </w:tabs>
        <w:spacing w:before="120" w:after="120" w:line="240" w:lineRule="auto"/>
        <w:ind w:left="0" w:right="601" w:firstLine="0"/>
        <w:contextualSpacing w:val="0"/>
        <w:jc w:val="both"/>
        <w:rPr>
          <w:rFonts w:ascii="Calibri" w:eastAsia="Times New Roman" w:hAnsi="Calibri" w:cs="Times New Roman"/>
          <w:lang w:eastAsia="en-IN"/>
        </w:rPr>
      </w:pPr>
      <w:r w:rsidRPr="00990B3F">
        <w:rPr>
          <w:rFonts w:ascii="Calibri" w:eastAsia="Times New Roman" w:hAnsi="Calibri" w:cs="Times New Roman"/>
          <w:b/>
          <w:lang w:eastAsia="en-IN"/>
        </w:rPr>
        <w:t xml:space="preserve">NGFs may have limited applicability in the context of Vanuatu under present conditions and circumstances. </w:t>
      </w:r>
      <w:r w:rsidRPr="00990B3F">
        <w:rPr>
          <w:rFonts w:ascii="Calibri" w:eastAsia="Times New Roman" w:hAnsi="Calibri" w:cs="Times New Roman"/>
          <w:lang w:eastAsia="en-IN"/>
        </w:rPr>
        <w:t xml:space="preserve">Bilateral donors in the past have focused on grant provision in the country, as opposed to ODA loans, owing to concerns around debt sustainability, poor governance practices, perceived preference among domestic politicians for grants instead of </w:t>
      </w:r>
      <w:r>
        <w:rPr>
          <w:rFonts w:ascii="Calibri" w:eastAsia="Times New Roman" w:hAnsi="Calibri" w:cs="Times New Roman"/>
          <w:lang w:eastAsia="en-IN"/>
        </w:rPr>
        <w:t>NGF</w:t>
      </w:r>
      <w:r w:rsidRPr="00990B3F">
        <w:rPr>
          <w:rFonts w:ascii="Calibri" w:eastAsia="Times New Roman" w:hAnsi="Calibri" w:cs="Times New Roman"/>
          <w:lang w:eastAsia="en-IN"/>
        </w:rPr>
        <w:t xml:space="preserve">, a limited domestic market size, absence of a thriving private sector and few bankable projects. Given that many of these constraints remain in place, Vanuatu may not yet be ready for intensive deployment of </w:t>
      </w:r>
      <w:r>
        <w:rPr>
          <w:rFonts w:ascii="Calibri" w:eastAsia="Times New Roman" w:hAnsi="Calibri" w:cs="Times New Roman"/>
          <w:lang w:eastAsia="en-IN"/>
        </w:rPr>
        <w:t>NGF</w:t>
      </w:r>
      <w:r w:rsidRPr="00990B3F">
        <w:rPr>
          <w:rFonts w:ascii="Calibri" w:eastAsia="Times New Roman" w:hAnsi="Calibri" w:cs="Times New Roman"/>
          <w:lang w:eastAsia="en-IN"/>
        </w:rPr>
        <w:t xml:space="preserve">. </w:t>
      </w:r>
    </w:p>
    <w:p w14:paraId="075FBC73" w14:textId="77777777" w:rsidR="00456443" w:rsidRDefault="00456443" w:rsidP="00456443">
      <w:pPr>
        <w:pStyle w:val="ListParagraph"/>
        <w:numPr>
          <w:ilvl w:val="0"/>
          <w:numId w:val="67"/>
        </w:numPr>
        <w:tabs>
          <w:tab w:val="left" w:pos="360"/>
          <w:tab w:val="left" w:pos="540"/>
        </w:tabs>
        <w:spacing w:before="120" w:after="120" w:line="240" w:lineRule="auto"/>
        <w:ind w:left="0" w:right="601" w:firstLine="0"/>
        <w:contextualSpacing w:val="0"/>
        <w:jc w:val="both"/>
        <w:rPr>
          <w:rFonts w:ascii="Calibri" w:eastAsia="Times New Roman" w:hAnsi="Calibri" w:cs="Times New Roman"/>
          <w:lang w:eastAsia="en-IN"/>
        </w:rPr>
      </w:pPr>
      <w:r w:rsidRPr="00990B3F">
        <w:rPr>
          <w:rFonts w:ascii="Calibri" w:eastAsia="Times New Roman" w:hAnsi="Calibri" w:cs="Times New Roman"/>
          <w:b/>
          <w:lang w:eastAsia="en-IN"/>
        </w:rPr>
        <w:t>For the present,</w:t>
      </w:r>
      <w:r>
        <w:rPr>
          <w:rFonts w:ascii="Calibri" w:eastAsia="Times New Roman" w:hAnsi="Calibri" w:cs="Times New Roman"/>
          <w:b/>
          <w:lang w:eastAsia="en-IN"/>
        </w:rPr>
        <w:t xml:space="preserve"> </w:t>
      </w:r>
      <w:r w:rsidRPr="00990B3F">
        <w:rPr>
          <w:rFonts w:ascii="Calibri" w:eastAsia="Times New Roman" w:hAnsi="Calibri" w:cs="Times New Roman"/>
          <w:b/>
          <w:lang w:eastAsia="en-IN"/>
        </w:rPr>
        <w:t xml:space="preserve">the continued use of grant financing complemented by dedicated </w:t>
      </w:r>
      <w:r w:rsidRPr="00280E0D">
        <w:rPr>
          <w:rFonts w:ascii="Calibri" w:eastAsia="Arial" w:hAnsi="Calibri" w:cs="Calibri"/>
          <w:b/>
          <w:lang w:eastAsia="zh-CN"/>
        </w:rPr>
        <w:t>TA</w:t>
      </w:r>
      <w:r>
        <w:rPr>
          <w:rFonts w:ascii="Calibri" w:eastAsia="Times New Roman" w:hAnsi="Calibri" w:cs="Times New Roman"/>
          <w:b/>
          <w:lang w:eastAsia="en-IN"/>
        </w:rPr>
        <w:t xml:space="preserve"> will be most impactful</w:t>
      </w:r>
      <w:r w:rsidRPr="00990B3F">
        <w:rPr>
          <w:rFonts w:ascii="Calibri" w:eastAsia="Times New Roman" w:hAnsi="Calibri" w:cs="Times New Roman"/>
          <w:b/>
          <w:lang w:eastAsia="en-IN"/>
        </w:rPr>
        <w:t xml:space="preserve">. </w:t>
      </w:r>
      <w:r w:rsidRPr="00990B3F">
        <w:rPr>
          <w:rFonts w:ascii="Calibri" w:eastAsia="Times New Roman" w:hAnsi="Calibri" w:cs="Times New Roman"/>
          <w:lang w:eastAsia="en-IN"/>
        </w:rPr>
        <w:t xml:space="preserve">Grant financing can continue to be used to provide </w:t>
      </w:r>
      <w:r>
        <w:rPr>
          <w:rFonts w:ascii="Calibri" w:eastAsia="Arial" w:hAnsi="Calibri" w:cs="Calibri"/>
          <w:lang w:eastAsia="zh-CN"/>
        </w:rPr>
        <w:t>TA</w:t>
      </w:r>
      <w:r w:rsidRPr="00990B3F">
        <w:rPr>
          <w:rFonts w:ascii="Calibri" w:eastAsia="Times New Roman" w:hAnsi="Calibri" w:cs="Times New Roman"/>
          <w:lang w:eastAsia="en-IN"/>
        </w:rPr>
        <w:t xml:space="preserve"> and build institutional and human capacity to support infrastructure projects. In addition, these grants should continue to be designed with the aim of transferring technical knowledge and expertise to the local Vanuatu workforce.</w:t>
      </w:r>
    </w:p>
    <w:p w14:paraId="7ECD4849" w14:textId="77777777" w:rsidR="00456443" w:rsidRDefault="00456443" w:rsidP="00456443">
      <w:pPr>
        <w:pStyle w:val="ListParagraph"/>
        <w:numPr>
          <w:ilvl w:val="0"/>
          <w:numId w:val="67"/>
        </w:numPr>
        <w:tabs>
          <w:tab w:val="left" w:pos="360"/>
          <w:tab w:val="left" w:pos="540"/>
        </w:tabs>
        <w:spacing w:before="120" w:after="120" w:line="240" w:lineRule="auto"/>
        <w:ind w:left="0" w:right="601" w:firstLine="0"/>
        <w:contextualSpacing w:val="0"/>
        <w:jc w:val="both"/>
        <w:rPr>
          <w:rFonts w:ascii="Calibri" w:eastAsia="Times New Roman" w:hAnsi="Calibri" w:cs="Times New Roman"/>
          <w:lang w:eastAsia="en-IN"/>
        </w:rPr>
      </w:pPr>
      <w:r w:rsidRPr="00990B3F">
        <w:rPr>
          <w:rFonts w:ascii="Calibri" w:eastAsia="Times New Roman" w:hAnsi="Calibri" w:cs="Times New Roman"/>
          <w:b/>
          <w:lang w:eastAsia="en-IN"/>
        </w:rPr>
        <w:t xml:space="preserve">However, the ability to deploy </w:t>
      </w:r>
      <w:r>
        <w:rPr>
          <w:rFonts w:ascii="Calibri" w:eastAsia="Times New Roman" w:hAnsi="Calibri" w:cs="Times New Roman"/>
          <w:b/>
          <w:lang w:eastAsia="en-IN"/>
        </w:rPr>
        <w:t>NGF</w:t>
      </w:r>
      <w:r w:rsidRPr="00990B3F">
        <w:rPr>
          <w:rFonts w:ascii="Calibri" w:eastAsia="Times New Roman" w:hAnsi="Calibri" w:cs="Times New Roman"/>
          <w:b/>
          <w:lang w:eastAsia="en-IN"/>
        </w:rPr>
        <w:t xml:space="preserve"> in select circumstances will be valuable for both Australia and Vanuatu.</w:t>
      </w:r>
      <w:r w:rsidRPr="00990B3F">
        <w:rPr>
          <w:rFonts w:ascii="Calibri" w:eastAsia="Times New Roman" w:hAnsi="Calibri" w:cs="Times New Roman"/>
          <w:lang w:eastAsia="en-IN"/>
        </w:rPr>
        <w:t xml:space="preserve"> We believe that four use cases emerge for the applicability of </w:t>
      </w:r>
      <w:r>
        <w:rPr>
          <w:rFonts w:ascii="Calibri" w:eastAsia="Times New Roman" w:hAnsi="Calibri" w:cs="Times New Roman"/>
          <w:lang w:eastAsia="en-IN"/>
        </w:rPr>
        <w:t>NGF</w:t>
      </w:r>
      <w:r w:rsidRPr="00990B3F">
        <w:rPr>
          <w:rFonts w:ascii="Calibri" w:eastAsia="Times New Roman" w:hAnsi="Calibri" w:cs="Times New Roman"/>
          <w:lang w:eastAsia="en-IN"/>
        </w:rPr>
        <w:t xml:space="preserve"> in the Vanuatu context: (1) financing large, strategic infrastructure projects, specifically in the sectors of ports, airports and power; (2) playing the role of a market maker through smaller-sized investments in private sector players such as MSMEs and social enterprises; (3) committing highly concessional debt or guarantees to finance disaster relief; and (4) creating parallel co-financing arrangements with MDBs to take more ownership of project implementation.</w:t>
      </w:r>
    </w:p>
    <w:p w14:paraId="245B27C9" w14:textId="77777777" w:rsidR="00456443" w:rsidRDefault="00456443" w:rsidP="00456443">
      <w:pPr>
        <w:pStyle w:val="ListParagraph"/>
        <w:tabs>
          <w:tab w:val="left" w:pos="360"/>
          <w:tab w:val="left" w:pos="540"/>
        </w:tabs>
        <w:spacing w:before="120" w:after="120" w:line="240" w:lineRule="auto"/>
        <w:ind w:left="0" w:right="601"/>
        <w:contextualSpacing w:val="0"/>
        <w:jc w:val="both"/>
        <w:rPr>
          <w:rFonts w:ascii="Calibri" w:eastAsia="Times New Roman" w:hAnsi="Calibri" w:cs="Times New Roman"/>
          <w:lang w:eastAsia="en-IN"/>
        </w:rPr>
      </w:pPr>
    </w:p>
    <w:p w14:paraId="581208E2" w14:textId="77777777" w:rsidR="00456443" w:rsidRDefault="00456443" w:rsidP="00456443">
      <w:pPr>
        <w:widowControl w:val="0"/>
        <w:numPr>
          <w:ilvl w:val="0"/>
          <w:numId w:val="54"/>
        </w:numPr>
        <w:tabs>
          <w:tab w:val="left" w:pos="360"/>
          <w:tab w:val="left" w:pos="540"/>
        </w:tabs>
        <w:spacing w:before="120" w:after="120" w:line="240" w:lineRule="auto"/>
        <w:ind w:left="576" w:right="602" w:hanging="576"/>
        <w:jc w:val="both"/>
        <w:outlineLvl w:val="0"/>
        <w:rPr>
          <w:rFonts w:ascii="Calibri" w:eastAsia="Times New Roman" w:hAnsi="Calibri" w:cs="Times New Roman"/>
          <w:b/>
          <w:smallCaps/>
          <w:color w:val="4F81BD"/>
          <w:sz w:val="32"/>
          <w:szCs w:val="32"/>
          <w:lang w:eastAsia="en-IN"/>
        </w:rPr>
      </w:pPr>
      <w:r w:rsidRPr="00862056">
        <w:rPr>
          <w:rFonts w:ascii="Calibri" w:eastAsia="Times New Roman" w:hAnsi="Calibri" w:cs="Times New Roman"/>
          <w:b/>
          <w:smallCaps/>
          <w:color w:val="4F81BD"/>
          <w:sz w:val="32"/>
          <w:szCs w:val="32"/>
          <w:lang w:eastAsia="en-IN"/>
        </w:rPr>
        <w:t>Analysis of Strategic Dimensions</w:t>
      </w:r>
    </w:p>
    <w:p w14:paraId="46EBAF27" w14:textId="77777777" w:rsidR="00456443" w:rsidRPr="00862056" w:rsidRDefault="00456443" w:rsidP="00456443">
      <w:pPr>
        <w:widowControl w:val="0"/>
        <w:tabs>
          <w:tab w:val="left" w:pos="360"/>
          <w:tab w:val="left" w:pos="540"/>
        </w:tabs>
        <w:spacing w:before="120" w:after="120" w:line="240" w:lineRule="auto"/>
        <w:ind w:left="576" w:right="602"/>
        <w:jc w:val="both"/>
        <w:outlineLvl w:val="0"/>
        <w:rPr>
          <w:rFonts w:ascii="Calibri" w:eastAsia="Times New Roman" w:hAnsi="Calibri" w:cs="Times New Roman"/>
          <w:b/>
          <w:smallCaps/>
          <w:color w:val="4F81BD"/>
          <w:sz w:val="32"/>
          <w:szCs w:val="32"/>
          <w:lang w:eastAsia="en-IN"/>
        </w:rPr>
      </w:pPr>
    </w:p>
    <w:p w14:paraId="5AAB37F8" w14:textId="77777777" w:rsidR="00456443" w:rsidRPr="00990B3F" w:rsidRDefault="00456443" w:rsidP="00456443">
      <w:pPr>
        <w:pStyle w:val="ListParagraph"/>
        <w:numPr>
          <w:ilvl w:val="0"/>
          <w:numId w:val="67"/>
        </w:numPr>
        <w:tabs>
          <w:tab w:val="left" w:pos="360"/>
          <w:tab w:val="left" w:pos="540"/>
        </w:tabs>
        <w:spacing w:before="120" w:after="120" w:line="240" w:lineRule="auto"/>
        <w:ind w:left="0" w:right="601" w:firstLine="0"/>
        <w:contextualSpacing w:val="0"/>
        <w:jc w:val="both"/>
        <w:rPr>
          <w:rFonts w:ascii="Calibri" w:eastAsia="Times New Roman" w:hAnsi="Calibri" w:cs="Times New Roman"/>
          <w:b/>
          <w:lang w:eastAsia="en-IN"/>
        </w:rPr>
      </w:pPr>
      <w:proofErr w:type="gramStart"/>
      <w:r w:rsidRPr="00990B3F">
        <w:rPr>
          <w:rFonts w:ascii="Calibri" w:eastAsia="Times New Roman" w:hAnsi="Calibri" w:cs="Times New Roman"/>
          <w:b/>
          <w:lang w:eastAsia="en-IN"/>
        </w:rPr>
        <w:t xml:space="preserve">As the largest bilateral partner of Vanuatu, Australia’s </w:t>
      </w:r>
      <w:r>
        <w:rPr>
          <w:rFonts w:ascii="Calibri" w:eastAsia="Times New Roman" w:hAnsi="Calibri" w:cs="Times New Roman"/>
          <w:b/>
          <w:lang w:eastAsia="en-IN"/>
        </w:rPr>
        <w:t>assistance</w:t>
      </w:r>
      <w:proofErr w:type="gramEnd"/>
      <w:r w:rsidRPr="00990B3F">
        <w:rPr>
          <w:rFonts w:ascii="Calibri" w:eastAsia="Times New Roman" w:hAnsi="Calibri" w:cs="Times New Roman"/>
          <w:b/>
          <w:lang w:eastAsia="en-IN"/>
        </w:rPr>
        <w:t xml:space="preserve"> has been key to the country’s development. The socioeconomic context in Vanuatu is evolving; by 2020, the country is expected to transition out of its least developed country (LDC) status. At the same time, other bilateral actors are increasing their efforts in the region. Given these variables, there is potential for Australia to introduce </w:t>
      </w:r>
      <w:r>
        <w:rPr>
          <w:rFonts w:ascii="Calibri" w:eastAsia="Times New Roman" w:hAnsi="Calibri" w:cs="Times New Roman"/>
          <w:b/>
          <w:lang w:eastAsia="en-IN"/>
        </w:rPr>
        <w:t>NGF</w:t>
      </w:r>
      <w:r w:rsidRPr="00990B3F">
        <w:rPr>
          <w:rFonts w:ascii="Calibri" w:eastAsia="Times New Roman" w:hAnsi="Calibri" w:cs="Times New Roman"/>
          <w:b/>
          <w:lang w:eastAsia="en-IN"/>
        </w:rPr>
        <w:t xml:space="preserve"> selectively over time </w:t>
      </w:r>
      <w:proofErr w:type="gramStart"/>
      <w:r w:rsidRPr="00990B3F">
        <w:rPr>
          <w:rFonts w:ascii="Calibri" w:eastAsia="Times New Roman" w:hAnsi="Calibri" w:cs="Times New Roman"/>
          <w:b/>
          <w:lang w:eastAsia="en-IN"/>
        </w:rPr>
        <w:t>in order to</w:t>
      </w:r>
      <w:proofErr w:type="gramEnd"/>
      <w:r w:rsidRPr="00990B3F">
        <w:rPr>
          <w:rFonts w:ascii="Calibri" w:eastAsia="Times New Roman" w:hAnsi="Calibri" w:cs="Times New Roman"/>
          <w:b/>
          <w:lang w:eastAsia="en-IN"/>
        </w:rPr>
        <w:t xml:space="preserve"> remain strategically relevant. In the more immediate term, given Vanuatu’s limited market size and the concerns around its ability to repay, Australia should continue providing grants.</w:t>
      </w:r>
    </w:p>
    <w:p w14:paraId="758F05E6" w14:textId="77777777" w:rsidR="00456443" w:rsidRPr="00990B3F" w:rsidRDefault="00456443" w:rsidP="00456443">
      <w:pPr>
        <w:pStyle w:val="ListParagraph"/>
        <w:numPr>
          <w:ilvl w:val="0"/>
          <w:numId w:val="67"/>
        </w:numPr>
        <w:tabs>
          <w:tab w:val="left" w:pos="360"/>
          <w:tab w:val="left" w:pos="540"/>
        </w:tabs>
        <w:spacing w:before="120" w:after="120" w:line="240" w:lineRule="auto"/>
        <w:ind w:left="0" w:right="601" w:firstLine="0"/>
        <w:contextualSpacing w:val="0"/>
        <w:jc w:val="both"/>
        <w:rPr>
          <w:rFonts w:ascii="Calibri" w:eastAsia="Times New Roman" w:hAnsi="Calibri" w:cs="Times New Roman"/>
          <w:b/>
          <w:lang w:eastAsia="en-IN"/>
        </w:rPr>
      </w:pPr>
      <w:r w:rsidRPr="00990B3F">
        <w:rPr>
          <w:rFonts w:ascii="Calibri" w:eastAsia="Times New Roman" w:hAnsi="Calibri" w:cs="Times New Roman"/>
          <w:b/>
          <w:color w:val="000000"/>
          <w:lang w:eastAsia="en-IN"/>
        </w:rPr>
        <w:t>Vanuatu is an important strategic partner for Australia given its historical ties, geographic location and broader geopolitical implications.</w:t>
      </w:r>
      <w:r w:rsidRPr="00990B3F">
        <w:rPr>
          <w:rFonts w:ascii="Calibri" w:eastAsia="Times New Roman" w:hAnsi="Calibri" w:cs="Times New Roman"/>
          <w:color w:val="000000"/>
          <w:lang w:eastAsia="en-IN"/>
        </w:rPr>
        <w:t xml:space="preserve"> Australia has a direct interest in a prosperous and stable Vanuatu given the country’s proximity and a long history of aid and trade. Australia is Vanuatu's largest development partner, providing approximately 40% of total ODA to the </w:t>
      </w:r>
      <w:r w:rsidRPr="00990B3F">
        <w:rPr>
          <w:rFonts w:ascii="Calibri" w:eastAsia="Times New Roman" w:hAnsi="Calibri" w:cs="Times New Roman"/>
          <w:color w:val="000000"/>
          <w:lang w:eastAsia="en-IN"/>
        </w:rPr>
        <w:lastRenderedPageBreak/>
        <w:t>country</w:t>
      </w:r>
      <w:r>
        <w:rPr>
          <w:rFonts w:ascii="Calibri" w:eastAsia="Times New Roman" w:hAnsi="Calibri" w:cs="Times New Roman"/>
          <w:color w:val="000000"/>
          <w:lang w:eastAsia="en-IN"/>
        </w:rPr>
        <w:t>.</w:t>
      </w:r>
      <w:r w:rsidRPr="00862056">
        <w:rPr>
          <w:rFonts w:eastAsia="Lato" w:cs="Lato"/>
          <w:vertAlign w:val="superscript"/>
          <w:lang w:eastAsia="en-IN"/>
        </w:rPr>
        <w:footnoteReference w:id="146"/>
      </w:r>
      <w:r w:rsidRPr="00990B3F">
        <w:rPr>
          <w:rFonts w:ascii="Calibri" w:eastAsia="Times New Roman" w:hAnsi="Calibri" w:cs="Times New Roman"/>
          <w:color w:val="000000"/>
          <w:lang w:eastAsia="en-IN"/>
        </w:rPr>
        <w:t xml:space="preserve"> Australia is also an important economic partner of Vanuatu, providing the country with </w:t>
      </w:r>
      <w:proofErr w:type="gramStart"/>
      <w:r w:rsidRPr="00990B3F">
        <w:rPr>
          <w:rFonts w:ascii="Calibri" w:eastAsia="Times New Roman" w:hAnsi="Calibri" w:cs="Times New Roman"/>
          <w:color w:val="000000"/>
          <w:lang w:eastAsia="en-IN"/>
        </w:rPr>
        <w:t>the majority of</w:t>
      </w:r>
      <w:proofErr w:type="gramEnd"/>
      <w:r w:rsidRPr="00990B3F">
        <w:rPr>
          <w:rFonts w:ascii="Calibri" w:eastAsia="Times New Roman" w:hAnsi="Calibri" w:cs="Times New Roman"/>
          <w:color w:val="000000"/>
          <w:lang w:eastAsia="en-IN"/>
        </w:rPr>
        <w:t xml:space="preserve"> its foreign direct investments. In addition, Australians comprise </w:t>
      </w:r>
      <w:proofErr w:type="gramStart"/>
      <w:r w:rsidRPr="00990B3F">
        <w:rPr>
          <w:rFonts w:ascii="Calibri" w:eastAsia="Times New Roman" w:hAnsi="Calibri" w:cs="Times New Roman"/>
          <w:color w:val="000000"/>
          <w:lang w:eastAsia="en-IN"/>
        </w:rPr>
        <w:t>the majority of</w:t>
      </w:r>
      <w:proofErr w:type="gramEnd"/>
      <w:r w:rsidRPr="00990B3F">
        <w:rPr>
          <w:rFonts w:ascii="Calibri" w:eastAsia="Times New Roman" w:hAnsi="Calibri" w:cs="Times New Roman"/>
          <w:color w:val="000000"/>
          <w:lang w:eastAsia="en-IN"/>
        </w:rPr>
        <w:t xml:space="preserve"> tourists to Vanuatu.</w:t>
      </w:r>
    </w:p>
    <w:p w14:paraId="0AE23C79" w14:textId="77777777" w:rsidR="00456443" w:rsidRPr="00990B3F" w:rsidRDefault="00456443" w:rsidP="00456443">
      <w:pPr>
        <w:pStyle w:val="ListParagraph"/>
        <w:numPr>
          <w:ilvl w:val="0"/>
          <w:numId w:val="67"/>
        </w:numPr>
        <w:tabs>
          <w:tab w:val="left" w:pos="360"/>
          <w:tab w:val="left" w:pos="540"/>
        </w:tabs>
        <w:spacing w:before="120" w:after="120" w:line="240" w:lineRule="auto"/>
        <w:ind w:left="0" w:right="601" w:firstLine="0"/>
        <w:contextualSpacing w:val="0"/>
        <w:jc w:val="both"/>
        <w:rPr>
          <w:rFonts w:ascii="Calibri" w:eastAsia="Times New Roman" w:hAnsi="Calibri" w:cs="Times New Roman"/>
          <w:b/>
          <w:lang w:eastAsia="en-IN"/>
        </w:rPr>
      </w:pPr>
      <w:r w:rsidRPr="00990B3F">
        <w:rPr>
          <w:rFonts w:ascii="Calibri" w:eastAsia="Times New Roman" w:hAnsi="Calibri" w:cs="Times New Roman"/>
          <w:b/>
          <w:color w:val="000000"/>
          <w:lang w:eastAsia="en-IN"/>
        </w:rPr>
        <w:t>In comparison to other Pacific islands, Vanuatu does not have rich natural resources and is at high risk of suffering from natural disasters; aid remains a critical source of financing for national infrastructure and social services.</w:t>
      </w:r>
      <w:r w:rsidRPr="00990B3F">
        <w:rPr>
          <w:rFonts w:ascii="Calibri" w:eastAsia="Times New Roman" w:hAnsi="Calibri" w:cs="Times New Roman"/>
          <w:color w:val="000000"/>
          <w:lang w:eastAsia="en-IN"/>
        </w:rPr>
        <w:t xml:space="preserve"> According to the UN University World Risk Index, Vanuatu is the world’s most “at-risk” country for natural hazards. In addition, economic growth in Vanuatu is constrained by a lack of natural resources, the country’s distance to major markets, infrastructure needs, limited access to financial services and a narrow market base. Aid has remained a critical source of revenue under public finance, constituting, in some years, as much as 15% of the total government revenue</w:t>
      </w:r>
      <w:r>
        <w:rPr>
          <w:rFonts w:ascii="Calibri" w:eastAsia="Times New Roman" w:hAnsi="Calibri" w:cs="Times New Roman"/>
          <w:color w:val="000000"/>
          <w:lang w:eastAsia="en-IN"/>
        </w:rPr>
        <w:t>.</w:t>
      </w:r>
      <w:r w:rsidRPr="00862056">
        <w:rPr>
          <w:rFonts w:eastAsia="Lato" w:cs="Lato"/>
          <w:vertAlign w:val="superscript"/>
          <w:lang w:eastAsia="en-IN"/>
        </w:rPr>
        <w:footnoteReference w:id="147"/>
      </w:r>
      <w:r w:rsidRPr="00990B3F">
        <w:rPr>
          <w:rFonts w:ascii="Calibri" w:eastAsia="Times New Roman" w:hAnsi="Calibri" w:cs="Times New Roman"/>
          <w:color w:val="000000"/>
          <w:lang w:eastAsia="en-IN"/>
        </w:rPr>
        <w:t xml:space="preserve"> Despite these challenges, Vanuatu’s economic growth over recent years has been in line with the countries in the region, with forecasts suggesting GDP growth of around 4% in 2018</w:t>
      </w:r>
      <w:r>
        <w:rPr>
          <w:rFonts w:ascii="Calibri" w:eastAsia="Times New Roman" w:hAnsi="Calibri" w:cs="Times New Roman"/>
          <w:color w:val="000000"/>
          <w:lang w:eastAsia="en-IN"/>
        </w:rPr>
        <w:t>.</w:t>
      </w:r>
      <w:r w:rsidRPr="00862056">
        <w:rPr>
          <w:rFonts w:eastAsia="Lato" w:cs="Lato"/>
          <w:vertAlign w:val="superscript"/>
          <w:lang w:eastAsia="en-IN"/>
        </w:rPr>
        <w:footnoteReference w:id="148"/>
      </w:r>
      <w:r w:rsidRPr="00990B3F">
        <w:rPr>
          <w:rFonts w:ascii="Calibri" w:eastAsia="Times New Roman" w:hAnsi="Calibri" w:cs="Times New Roman"/>
          <w:color w:val="000000"/>
          <w:lang w:eastAsia="en-IN"/>
        </w:rPr>
        <w:t xml:space="preserve"> Economic and social stability have, in turn, helped attract investment and tourism.</w:t>
      </w:r>
    </w:p>
    <w:p w14:paraId="2436A16F" w14:textId="4BEE8A41" w:rsidR="00456443" w:rsidRPr="00990B3F" w:rsidRDefault="00456443" w:rsidP="00456443">
      <w:pPr>
        <w:pStyle w:val="ListParagraph"/>
        <w:numPr>
          <w:ilvl w:val="0"/>
          <w:numId w:val="67"/>
        </w:numPr>
        <w:tabs>
          <w:tab w:val="left" w:pos="360"/>
          <w:tab w:val="left" w:pos="540"/>
        </w:tabs>
        <w:spacing w:before="120" w:after="120" w:line="240" w:lineRule="auto"/>
        <w:ind w:left="0" w:right="601" w:firstLine="0"/>
        <w:contextualSpacing w:val="0"/>
        <w:jc w:val="both"/>
        <w:rPr>
          <w:rFonts w:ascii="Calibri" w:eastAsia="Times New Roman" w:hAnsi="Calibri" w:cs="Times New Roman"/>
          <w:b/>
          <w:lang w:eastAsia="en-IN"/>
        </w:rPr>
      </w:pPr>
      <w:r w:rsidRPr="00990B3F">
        <w:rPr>
          <w:rFonts w:ascii="Calibri" w:eastAsia="Times New Roman" w:hAnsi="Calibri" w:cs="Times New Roman"/>
          <w:b/>
          <w:color w:val="000000"/>
          <w:lang w:eastAsia="en-IN"/>
        </w:rPr>
        <w:t xml:space="preserve">In carrying out its NSDP, and as part of ongoing post-Cyclone Pam and post-Volcano </w:t>
      </w:r>
      <w:proofErr w:type="spellStart"/>
      <w:r w:rsidRPr="00990B3F">
        <w:rPr>
          <w:rFonts w:ascii="Calibri" w:eastAsia="Times New Roman" w:hAnsi="Calibri" w:cs="Times New Roman"/>
          <w:b/>
          <w:lang w:eastAsia="en-IN"/>
        </w:rPr>
        <w:t>Manaro</w:t>
      </w:r>
      <w:proofErr w:type="spellEnd"/>
      <w:r w:rsidRPr="00990B3F">
        <w:rPr>
          <w:rFonts w:ascii="Calibri" w:eastAsia="Times New Roman" w:hAnsi="Calibri" w:cs="Times New Roman"/>
          <w:b/>
          <w:lang w:eastAsia="en-IN"/>
        </w:rPr>
        <w:t xml:space="preserve"> </w:t>
      </w:r>
      <w:proofErr w:type="spellStart"/>
      <w:r w:rsidRPr="00990B3F">
        <w:rPr>
          <w:rFonts w:ascii="Calibri" w:eastAsia="Times New Roman" w:hAnsi="Calibri" w:cs="Times New Roman"/>
          <w:b/>
          <w:lang w:eastAsia="en-IN"/>
        </w:rPr>
        <w:t>Voui</w:t>
      </w:r>
      <w:proofErr w:type="spellEnd"/>
      <w:r w:rsidRPr="00990B3F">
        <w:rPr>
          <w:rFonts w:ascii="Calibri" w:eastAsia="Times New Roman" w:hAnsi="Calibri" w:cs="Times New Roman"/>
          <w:b/>
          <w:lang w:eastAsia="en-IN"/>
        </w:rPr>
        <w:t xml:space="preserve"> </w:t>
      </w:r>
      <w:r w:rsidRPr="00990B3F">
        <w:rPr>
          <w:rFonts w:ascii="Calibri" w:eastAsia="Times New Roman" w:hAnsi="Calibri" w:cs="Times New Roman"/>
          <w:b/>
          <w:color w:val="000000"/>
          <w:lang w:eastAsia="en-IN"/>
        </w:rPr>
        <w:t xml:space="preserve">recovery efforts, Vanuatu will continue to require considerable financing to rebuild, build and maintain its infrastructure. </w:t>
      </w:r>
      <w:r w:rsidRPr="00990B3F">
        <w:rPr>
          <w:rFonts w:ascii="Calibri" w:eastAsia="Times New Roman" w:hAnsi="Calibri" w:cs="Times New Roman"/>
          <w:color w:val="000000"/>
          <w:lang w:eastAsia="en-IN"/>
        </w:rPr>
        <w:t>In 2015, Cyclone Pam hit Vanuatu, resulting in damages to infrastructure and other losses estimated at over 64% of GDP</w:t>
      </w:r>
      <w:r>
        <w:rPr>
          <w:rFonts w:ascii="Calibri" w:eastAsia="Times New Roman" w:hAnsi="Calibri" w:cs="Times New Roman"/>
          <w:color w:val="000000"/>
          <w:lang w:eastAsia="en-IN"/>
        </w:rPr>
        <w:t>.</w:t>
      </w:r>
      <w:r w:rsidRPr="00862056">
        <w:rPr>
          <w:rFonts w:eastAsia="Lato" w:cs="Lato"/>
          <w:vertAlign w:val="superscript"/>
          <w:lang w:eastAsia="en-IN"/>
        </w:rPr>
        <w:footnoteReference w:id="149"/>
      </w:r>
      <w:r w:rsidRPr="00990B3F">
        <w:rPr>
          <w:rFonts w:ascii="Calibri" w:eastAsia="Times New Roman" w:hAnsi="Calibri" w:cs="Times New Roman"/>
          <w:color w:val="000000"/>
          <w:lang w:eastAsia="en-IN"/>
        </w:rPr>
        <w:t xml:space="preserve"> While reconstruction efforts have been greatly supported by donors through grants</w:t>
      </w:r>
      <w:r>
        <w:rPr>
          <w:rFonts w:ascii="Calibri" w:eastAsia="Times New Roman" w:hAnsi="Calibri" w:cs="Times New Roman"/>
          <w:color w:val="000000"/>
          <w:lang w:eastAsia="en-IN"/>
        </w:rPr>
        <w:t>,</w:t>
      </w:r>
      <w:r w:rsidRPr="00862056">
        <w:rPr>
          <w:rFonts w:eastAsia="Lato" w:cs="Lato"/>
          <w:vertAlign w:val="superscript"/>
          <w:lang w:eastAsia="en-IN"/>
        </w:rPr>
        <w:footnoteReference w:id="150"/>
      </w:r>
      <w:r w:rsidRPr="00990B3F">
        <w:rPr>
          <w:rFonts w:ascii="Calibri" w:eastAsia="Times New Roman" w:hAnsi="Calibri" w:cs="Times New Roman"/>
          <w:color w:val="000000"/>
          <w:lang w:eastAsia="en-IN"/>
        </w:rPr>
        <w:t xml:space="preserve"> the </w:t>
      </w:r>
      <w:proofErr w:type="spellStart"/>
      <w:r>
        <w:rPr>
          <w:rFonts w:ascii="Calibri" w:eastAsia="Times New Roman" w:hAnsi="Calibri" w:cs="Times New Roman"/>
          <w:color w:val="000000"/>
          <w:lang w:eastAsia="en-IN"/>
        </w:rPr>
        <w:t>GoV</w:t>
      </w:r>
      <w:proofErr w:type="spellEnd"/>
      <w:r w:rsidRPr="00990B3F">
        <w:rPr>
          <w:rFonts w:ascii="Calibri" w:eastAsia="Times New Roman" w:hAnsi="Calibri" w:cs="Times New Roman"/>
          <w:color w:val="000000"/>
          <w:lang w:eastAsia="en-IN"/>
        </w:rPr>
        <w:t xml:space="preserve"> was still required to borrow from external sources and run a significant fiscal deficit in order to access the sheer volume of funding required</w:t>
      </w:r>
      <w:r>
        <w:rPr>
          <w:rFonts w:ascii="Calibri" w:eastAsia="Times New Roman" w:hAnsi="Calibri" w:cs="Times New Roman"/>
          <w:color w:val="000000"/>
          <w:lang w:eastAsia="en-IN"/>
        </w:rPr>
        <w:t>.</w:t>
      </w:r>
      <w:r w:rsidRPr="00862056">
        <w:rPr>
          <w:rFonts w:eastAsia="Lato" w:cs="Lato"/>
          <w:vertAlign w:val="superscript"/>
          <w:lang w:eastAsia="en-IN"/>
        </w:rPr>
        <w:footnoteReference w:id="151"/>
      </w:r>
      <w:r w:rsidRPr="00990B3F">
        <w:rPr>
          <w:rFonts w:ascii="Calibri" w:eastAsia="Times New Roman" w:hAnsi="Calibri" w:cs="Times New Roman"/>
          <w:color w:val="000000"/>
          <w:lang w:eastAsia="en-IN"/>
        </w:rPr>
        <w:t xml:space="preserve"> Three years since, the country is still rebuilding some of its infrastructure</w:t>
      </w:r>
      <w:r w:rsidRPr="00990B3F">
        <w:rPr>
          <w:rFonts w:ascii="Calibri" w:eastAsia="Times New Roman" w:hAnsi="Calibri" w:cs="Times New Roman"/>
          <w:lang w:eastAsia="en-IN"/>
        </w:rPr>
        <w:t xml:space="preserve">, with some MDBs yet to commence their </w:t>
      </w:r>
      <w:r w:rsidR="0073249A">
        <w:rPr>
          <w:rFonts w:ascii="Calibri" w:eastAsia="Times New Roman" w:hAnsi="Calibri" w:cs="Times New Roman"/>
          <w:lang w:eastAsia="en-IN"/>
        </w:rPr>
        <w:t>program</w:t>
      </w:r>
      <w:r>
        <w:rPr>
          <w:rFonts w:ascii="Calibri" w:eastAsia="Times New Roman" w:hAnsi="Calibri" w:cs="Times New Roman"/>
          <w:lang w:eastAsia="en-IN"/>
        </w:rPr>
        <w:t>s:</w:t>
      </w:r>
      <w:r w:rsidRPr="00990B3F">
        <w:rPr>
          <w:rFonts w:ascii="Calibri" w:eastAsia="Times New Roman" w:hAnsi="Calibri" w:cs="Times New Roman"/>
          <w:lang w:eastAsia="en-IN"/>
        </w:rPr>
        <w:t xml:space="preserve"> the World Bank’s </w:t>
      </w:r>
      <w:r w:rsidR="00800236">
        <w:rPr>
          <w:rFonts w:ascii="Calibri" w:eastAsia="Times New Roman" w:hAnsi="Calibri" w:cs="Times New Roman"/>
          <w:lang w:eastAsia="en-IN"/>
        </w:rPr>
        <w:t>US$</w:t>
      </w:r>
      <w:r w:rsidRPr="00990B3F">
        <w:rPr>
          <w:rFonts w:ascii="Calibri" w:eastAsia="Times New Roman" w:hAnsi="Calibri" w:cs="Times New Roman"/>
          <w:lang w:eastAsia="en-IN"/>
        </w:rPr>
        <w:t xml:space="preserve"> 50 million </w:t>
      </w:r>
      <w:r w:rsidRPr="00990B3F">
        <w:rPr>
          <w:rFonts w:ascii="Calibri" w:eastAsia="Times New Roman" w:hAnsi="Calibri" w:cs="Times New Roman"/>
          <w:highlight w:val="white"/>
          <w:lang w:eastAsia="en-IN"/>
        </w:rPr>
        <w:t>Vanuatu Reconstruction and Improvement Project is still in the procurement planning stages as of November 2018, and the EU recently announced an EUR 10 million grant recovery package</w:t>
      </w:r>
      <w:r>
        <w:rPr>
          <w:rFonts w:ascii="Calibri" w:eastAsia="Times New Roman" w:hAnsi="Calibri" w:cs="Times New Roman"/>
          <w:highlight w:val="white"/>
          <w:lang w:eastAsia="en-IN"/>
        </w:rPr>
        <w:t>.</w:t>
      </w:r>
      <w:r w:rsidRPr="00862056">
        <w:rPr>
          <w:rFonts w:eastAsia="Lato" w:cs="Lato"/>
          <w:highlight w:val="white"/>
          <w:vertAlign w:val="superscript"/>
          <w:lang w:eastAsia="en-IN"/>
        </w:rPr>
        <w:footnoteReference w:id="152"/>
      </w:r>
    </w:p>
    <w:p w14:paraId="5EDBF0FF" w14:textId="77777777" w:rsidR="00456443" w:rsidRPr="00990B3F" w:rsidRDefault="00456443" w:rsidP="00456443">
      <w:pPr>
        <w:pStyle w:val="ListParagraph"/>
        <w:numPr>
          <w:ilvl w:val="0"/>
          <w:numId w:val="67"/>
        </w:numPr>
        <w:tabs>
          <w:tab w:val="left" w:pos="360"/>
          <w:tab w:val="left" w:pos="540"/>
        </w:tabs>
        <w:spacing w:before="120" w:after="120" w:line="240" w:lineRule="auto"/>
        <w:ind w:left="0" w:right="601" w:firstLine="0"/>
        <w:contextualSpacing w:val="0"/>
        <w:jc w:val="both"/>
        <w:rPr>
          <w:rFonts w:ascii="Calibri" w:eastAsia="Times New Roman" w:hAnsi="Calibri" w:cs="Times New Roman"/>
          <w:b/>
          <w:lang w:eastAsia="en-IN"/>
        </w:rPr>
      </w:pPr>
      <w:r w:rsidRPr="00990B3F">
        <w:rPr>
          <w:rFonts w:ascii="Calibri" w:eastAsia="Times New Roman" w:hAnsi="Calibri" w:cs="Times New Roman"/>
          <w:lang w:eastAsia="en-IN"/>
        </w:rPr>
        <w:t xml:space="preserve">Following Cyclone Pam, the eruption of the volcano </w:t>
      </w:r>
      <w:proofErr w:type="spellStart"/>
      <w:r w:rsidRPr="00990B3F">
        <w:rPr>
          <w:rFonts w:ascii="Calibri" w:eastAsia="Times New Roman" w:hAnsi="Calibri" w:cs="Times New Roman"/>
          <w:lang w:eastAsia="en-IN"/>
        </w:rPr>
        <w:t>Manaro</w:t>
      </w:r>
      <w:proofErr w:type="spellEnd"/>
      <w:r w:rsidRPr="00990B3F">
        <w:rPr>
          <w:rFonts w:ascii="Calibri" w:eastAsia="Times New Roman" w:hAnsi="Calibri" w:cs="Times New Roman"/>
          <w:lang w:eastAsia="en-IN"/>
        </w:rPr>
        <w:t xml:space="preserve"> </w:t>
      </w:r>
      <w:proofErr w:type="spellStart"/>
      <w:r w:rsidRPr="00990B3F">
        <w:rPr>
          <w:rFonts w:ascii="Calibri" w:eastAsia="Times New Roman" w:hAnsi="Calibri" w:cs="Times New Roman"/>
          <w:lang w:eastAsia="en-IN"/>
        </w:rPr>
        <w:t>Voui</w:t>
      </w:r>
      <w:proofErr w:type="spellEnd"/>
      <w:r w:rsidRPr="00990B3F">
        <w:rPr>
          <w:rFonts w:ascii="Calibri" w:eastAsia="Times New Roman" w:hAnsi="Calibri" w:cs="Times New Roman"/>
          <w:lang w:eastAsia="en-IN"/>
        </w:rPr>
        <w:t xml:space="preserve"> in July 2018 presented another major natural disaster, resulting in the evacuation of the entire island of </w:t>
      </w:r>
      <w:proofErr w:type="spellStart"/>
      <w:r w:rsidRPr="00990B3F">
        <w:rPr>
          <w:rFonts w:ascii="Calibri" w:eastAsia="Times New Roman" w:hAnsi="Calibri" w:cs="Times New Roman"/>
          <w:lang w:eastAsia="en-IN"/>
        </w:rPr>
        <w:t>Ambae</w:t>
      </w:r>
      <w:proofErr w:type="spellEnd"/>
      <w:r>
        <w:rPr>
          <w:rFonts w:ascii="Calibri" w:eastAsia="Times New Roman" w:hAnsi="Calibri" w:cs="Times New Roman"/>
          <w:lang w:eastAsia="en-IN"/>
        </w:rPr>
        <w:t>.</w:t>
      </w:r>
      <w:r w:rsidRPr="00862056">
        <w:rPr>
          <w:rFonts w:eastAsia="Lato" w:cs="Lato"/>
          <w:vertAlign w:val="superscript"/>
          <w:lang w:eastAsia="en-IN"/>
        </w:rPr>
        <w:footnoteReference w:id="153"/>
      </w:r>
      <w:r w:rsidRPr="00990B3F">
        <w:rPr>
          <w:rFonts w:ascii="Calibri" w:eastAsia="Times New Roman" w:hAnsi="Calibri" w:cs="Times New Roman"/>
          <w:lang w:eastAsia="en-IN"/>
        </w:rPr>
        <w:t xml:space="preserve"> Infrastructure financing will be required for the construction of housing and public buildings to accommodate evacuees on the islands of Santo and </w:t>
      </w:r>
      <w:proofErr w:type="spellStart"/>
      <w:r w:rsidRPr="00990B3F">
        <w:rPr>
          <w:rFonts w:ascii="Calibri" w:eastAsia="Times New Roman" w:hAnsi="Calibri" w:cs="Times New Roman"/>
          <w:lang w:eastAsia="en-IN"/>
        </w:rPr>
        <w:t>Maewo</w:t>
      </w:r>
      <w:proofErr w:type="spellEnd"/>
      <w:r w:rsidRPr="00990B3F">
        <w:rPr>
          <w:rFonts w:ascii="Calibri" w:eastAsia="Times New Roman" w:hAnsi="Calibri" w:cs="Times New Roman"/>
          <w:lang w:eastAsia="en-IN"/>
        </w:rPr>
        <w:t>.</w:t>
      </w:r>
    </w:p>
    <w:p w14:paraId="36B94007" w14:textId="77777777" w:rsidR="00456443" w:rsidRPr="00990B3F" w:rsidRDefault="00456443" w:rsidP="00456443">
      <w:pPr>
        <w:pStyle w:val="ListParagraph"/>
        <w:numPr>
          <w:ilvl w:val="0"/>
          <w:numId w:val="67"/>
        </w:numPr>
        <w:tabs>
          <w:tab w:val="left" w:pos="360"/>
          <w:tab w:val="left" w:pos="540"/>
        </w:tabs>
        <w:spacing w:before="120" w:after="120" w:line="240" w:lineRule="auto"/>
        <w:ind w:left="0" w:right="601" w:firstLine="0"/>
        <w:contextualSpacing w:val="0"/>
        <w:jc w:val="both"/>
        <w:rPr>
          <w:rFonts w:ascii="Calibri" w:eastAsia="Times New Roman" w:hAnsi="Calibri" w:cs="Times New Roman"/>
          <w:b/>
          <w:lang w:eastAsia="en-IN"/>
        </w:rPr>
      </w:pPr>
      <w:r w:rsidRPr="00990B3F">
        <w:rPr>
          <w:rFonts w:ascii="Calibri" w:eastAsia="Times New Roman" w:hAnsi="Calibri" w:cs="Times New Roman"/>
          <w:color w:val="000000"/>
          <w:lang w:eastAsia="en-IN"/>
        </w:rPr>
        <w:t xml:space="preserve">Vanuatu has just two urban centres (Port Vila and </w:t>
      </w:r>
      <w:proofErr w:type="spellStart"/>
      <w:r w:rsidRPr="00990B3F">
        <w:rPr>
          <w:rFonts w:ascii="Calibri" w:eastAsia="Times New Roman" w:hAnsi="Calibri" w:cs="Times New Roman"/>
          <w:color w:val="000000"/>
          <w:lang w:eastAsia="en-IN"/>
        </w:rPr>
        <w:t>Luganville</w:t>
      </w:r>
      <w:proofErr w:type="spellEnd"/>
      <w:r w:rsidRPr="00990B3F">
        <w:rPr>
          <w:rFonts w:ascii="Calibri" w:eastAsia="Times New Roman" w:hAnsi="Calibri" w:cs="Times New Roman"/>
          <w:color w:val="000000"/>
          <w:lang w:eastAsia="en-IN"/>
        </w:rPr>
        <w:t xml:space="preserve">); over 70% of the population lives in rural areas that lack infrastructure even for basic services such as electricity and water supply. The absence of other essential infrastructure such as roads is also a huge bottleneck for the growth of the tourism sector. </w:t>
      </w:r>
    </w:p>
    <w:p w14:paraId="7BDA1AC4" w14:textId="77777777" w:rsidR="00456443" w:rsidRPr="00990B3F" w:rsidRDefault="00456443" w:rsidP="00456443">
      <w:pPr>
        <w:pStyle w:val="ListParagraph"/>
        <w:numPr>
          <w:ilvl w:val="0"/>
          <w:numId w:val="67"/>
        </w:numPr>
        <w:tabs>
          <w:tab w:val="left" w:pos="360"/>
          <w:tab w:val="left" w:pos="540"/>
        </w:tabs>
        <w:spacing w:before="120" w:after="120" w:line="240" w:lineRule="auto"/>
        <w:ind w:left="0" w:right="601" w:firstLine="0"/>
        <w:contextualSpacing w:val="0"/>
        <w:jc w:val="both"/>
        <w:rPr>
          <w:rFonts w:ascii="Calibri" w:eastAsia="Times New Roman" w:hAnsi="Calibri" w:cs="Times New Roman"/>
          <w:b/>
          <w:lang w:eastAsia="en-IN"/>
        </w:rPr>
      </w:pPr>
      <w:r w:rsidRPr="00990B3F">
        <w:rPr>
          <w:rFonts w:ascii="Calibri" w:eastAsia="Times New Roman" w:hAnsi="Calibri" w:cs="Times New Roman"/>
          <w:color w:val="000000"/>
          <w:lang w:eastAsia="en-IN"/>
        </w:rPr>
        <w:t xml:space="preserve">In 2016, </w:t>
      </w:r>
      <w:proofErr w:type="spellStart"/>
      <w:r w:rsidRPr="00990B3F">
        <w:rPr>
          <w:rFonts w:ascii="Calibri" w:eastAsia="Times New Roman" w:hAnsi="Calibri" w:cs="Times New Roman"/>
          <w:color w:val="000000"/>
          <w:lang w:eastAsia="en-IN"/>
        </w:rPr>
        <w:t>GoV</w:t>
      </w:r>
      <w:proofErr w:type="spellEnd"/>
      <w:r w:rsidRPr="00990B3F">
        <w:rPr>
          <w:rFonts w:ascii="Calibri" w:eastAsia="Times New Roman" w:hAnsi="Calibri" w:cs="Times New Roman"/>
          <w:color w:val="000000"/>
          <w:lang w:eastAsia="en-IN"/>
        </w:rPr>
        <w:t xml:space="preserve"> committed itself to the NSDP (2016</w:t>
      </w:r>
      <w:r>
        <w:rPr>
          <w:rFonts w:ascii="Calibri" w:eastAsia="Times New Roman" w:hAnsi="Calibri" w:cs="Times New Roman"/>
          <w:color w:val="000000"/>
          <w:lang w:eastAsia="en-IN"/>
        </w:rPr>
        <w:t>—</w:t>
      </w:r>
      <w:r w:rsidRPr="00990B3F">
        <w:rPr>
          <w:rFonts w:ascii="Calibri" w:eastAsia="Times New Roman" w:hAnsi="Calibri" w:cs="Times New Roman"/>
          <w:color w:val="000000"/>
          <w:lang w:eastAsia="en-IN"/>
        </w:rPr>
        <w:t xml:space="preserve">2030), laying out a fifteen-year vision for the society, environment and economy of Vanuatu. While the plan does not present any specific targets, the vision is ambitious, and Vanuatu will require considerable financial investment over the next decade to deliver on its national plans. </w:t>
      </w:r>
    </w:p>
    <w:p w14:paraId="7941C351" w14:textId="0B971347" w:rsidR="00456443" w:rsidRPr="00990B3F" w:rsidRDefault="00456443" w:rsidP="00456443">
      <w:pPr>
        <w:pStyle w:val="ListParagraph"/>
        <w:numPr>
          <w:ilvl w:val="0"/>
          <w:numId w:val="67"/>
        </w:numPr>
        <w:tabs>
          <w:tab w:val="left" w:pos="360"/>
          <w:tab w:val="left" w:pos="540"/>
        </w:tabs>
        <w:spacing w:before="120" w:after="120" w:line="240" w:lineRule="auto"/>
        <w:ind w:left="0" w:right="601" w:firstLine="0"/>
        <w:contextualSpacing w:val="0"/>
        <w:jc w:val="both"/>
        <w:rPr>
          <w:rFonts w:ascii="Calibri" w:eastAsia="Times New Roman" w:hAnsi="Calibri" w:cs="Times New Roman"/>
          <w:b/>
          <w:lang w:eastAsia="en-IN"/>
        </w:rPr>
      </w:pPr>
      <w:r w:rsidRPr="00990B3F">
        <w:rPr>
          <w:rFonts w:ascii="Calibri" w:eastAsia="Times New Roman" w:hAnsi="Calibri" w:cs="Times New Roman"/>
          <w:b/>
          <w:color w:val="000000"/>
          <w:lang w:eastAsia="en-IN"/>
        </w:rPr>
        <w:lastRenderedPageBreak/>
        <w:t xml:space="preserve">While the aid inflows into Vanuatu are presently dominated by Australia, other players are making significant inroads into the country and are financing strategic infrastructure. Most of the disbursements, however, have been in the form of grants and the offtake of loans has been less common. </w:t>
      </w:r>
      <w:r w:rsidRPr="00990B3F">
        <w:rPr>
          <w:rFonts w:ascii="Calibri" w:eastAsia="Times New Roman" w:hAnsi="Calibri" w:cs="Times New Roman"/>
          <w:color w:val="000000"/>
          <w:lang w:eastAsia="en-IN"/>
        </w:rPr>
        <w:t>According to the OECD database, Australia is the largest donor of aid to Vanuatu. Other significant players include Japan, New Zealand and the United States, along with EU institutions, the IMF and the Global Environmental Facility. Much of the aid is currently committed or disbursed in the form of grants and technical cooperation, with ODA loans constituting only 2.6% of overall aid</w:t>
      </w:r>
      <w:r>
        <w:rPr>
          <w:rFonts w:ascii="Calibri" w:eastAsia="Times New Roman" w:hAnsi="Calibri" w:cs="Times New Roman"/>
          <w:color w:val="000000"/>
          <w:lang w:eastAsia="en-IN"/>
        </w:rPr>
        <w:t>.</w:t>
      </w:r>
      <w:r w:rsidRPr="00862056">
        <w:rPr>
          <w:rFonts w:eastAsia="Lato" w:cs="Lato"/>
          <w:vertAlign w:val="superscript"/>
          <w:lang w:eastAsia="en-IN"/>
        </w:rPr>
        <w:footnoteReference w:id="154"/>
      </w:r>
      <w:r w:rsidRPr="00990B3F">
        <w:rPr>
          <w:rFonts w:ascii="Calibri" w:eastAsia="Times New Roman" w:hAnsi="Calibri" w:cs="Times New Roman"/>
          <w:color w:val="000000"/>
          <w:lang w:eastAsia="en-IN"/>
        </w:rPr>
        <w:t xml:space="preserve"> Most aid focuses on the social infrastructure sector (approximately </w:t>
      </w:r>
      <w:r w:rsidR="00800236">
        <w:rPr>
          <w:rFonts w:ascii="Calibri" w:eastAsia="Times New Roman" w:hAnsi="Calibri" w:cs="Times New Roman"/>
          <w:color w:val="000000"/>
          <w:lang w:eastAsia="en-IN"/>
        </w:rPr>
        <w:t>US$</w:t>
      </w:r>
      <w:r w:rsidRPr="00990B3F">
        <w:rPr>
          <w:rFonts w:ascii="Calibri" w:eastAsia="Times New Roman" w:hAnsi="Calibri" w:cs="Times New Roman"/>
          <w:color w:val="000000"/>
          <w:lang w:eastAsia="en-IN"/>
        </w:rPr>
        <w:t xml:space="preserve"> 1.5 billion over 2007</w:t>
      </w:r>
      <w:r>
        <w:rPr>
          <w:rFonts w:ascii="Calibri" w:eastAsia="Times New Roman" w:hAnsi="Calibri" w:cs="Times New Roman"/>
          <w:color w:val="000000"/>
          <w:lang w:eastAsia="en-IN"/>
        </w:rPr>
        <w:t>—</w:t>
      </w:r>
      <w:r w:rsidRPr="00990B3F">
        <w:rPr>
          <w:rFonts w:ascii="Calibri" w:eastAsia="Times New Roman" w:hAnsi="Calibri" w:cs="Times New Roman"/>
          <w:color w:val="000000"/>
          <w:lang w:eastAsia="en-IN"/>
        </w:rPr>
        <w:t xml:space="preserve">2016), which includes education and healthcare. In comparison, aid for economic infrastructure—including for transport, energy and communication—amounted to a little over </w:t>
      </w:r>
      <w:r w:rsidR="00800236">
        <w:rPr>
          <w:rFonts w:ascii="Calibri" w:eastAsia="Times New Roman" w:hAnsi="Calibri" w:cs="Times New Roman"/>
          <w:color w:val="000000"/>
          <w:lang w:eastAsia="en-IN"/>
        </w:rPr>
        <w:t>US$</w:t>
      </w:r>
      <w:r w:rsidRPr="00990B3F">
        <w:rPr>
          <w:rFonts w:ascii="Calibri" w:eastAsia="Times New Roman" w:hAnsi="Calibri" w:cs="Times New Roman"/>
          <w:color w:val="000000"/>
          <w:lang w:eastAsia="en-IN"/>
        </w:rPr>
        <w:t xml:space="preserve"> 699 million for the same period.</w:t>
      </w:r>
    </w:p>
    <w:p w14:paraId="6AEEECD7" w14:textId="0B005B86" w:rsidR="00456443" w:rsidRPr="00990B3F" w:rsidRDefault="00456443" w:rsidP="00456443">
      <w:pPr>
        <w:pStyle w:val="ListParagraph"/>
        <w:numPr>
          <w:ilvl w:val="0"/>
          <w:numId w:val="67"/>
        </w:numPr>
        <w:tabs>
          <w:tab w:val="left" w:pos="360"/>
          <w:tab w:val="left" w:pos="540"/>
        </w:tabs>
        <w:spacing w:before="120" w:after="120" w:line="240" w:lineRule="auto"/>
        <w:ind w:left="0" w:right="601" w:firstLine="0"/>
        <w:contextualSpacing w:val="0"/>
        <w:jc w:val="both"/>
        <w:rPr>
          <w:rFonts w:ascii="Calibri" w:eastAsia="Times New Roman" w:hAnsi="Calibri" w:cs="Times New Roman"/>
          <w:b/>
          <w:lang w:eastAsia="en-IN"/>
        </w:rPr>
      </w:pPr>
      <w:r w:rsidRPr="00990B3F">
        <w:rPr>
          <w:rFonts w:ascii="Calibri" w:eastAsia="Times New Roman" w:hAnsi="Calibri" w:cs="Times New Roman"/>
          <w:color w:val="000000"/>
          <w:lang w:eastAsia="en-IN"/>
        </w:rPr>
        <w:t xml:space="preserve">However, other players are increasing their presence in the region. For instance, while official figures are not available, estimates from the Lowy Institute indicate that China has disbursed </w:t>
      </w:r>
      <w:r w:rsidR="00800236">
        <w:rPr>
          <w:rFonts w:ascii="Calibri" w:eastAsia="Times New Roman" w:hAnsi="Calibri" w:cs="Times New Roman"/>
          <w:color w:val="000000"/>
          <w:lang w:eastAsia="en-IN"/>
        </w:rPr>
        <w:t>US$</w:t>
      </w:r>
      <w:r w:rsidRPr="00990B3F">
        <w:rPr>
          <w:rFonts w:ascii="Calibri" w:eastAsia="Times New Roman" w:hAnsi="Calibri" w:cs="Times New Roman"/>
          <w:color w:val="000000"/>
          <w:lang w:eastAsia="en-IN"/>
        </w:rPr>
        <w:t xml:space="preserve"> 243 million in aid since 2006. If true, this makes China the second largest donor behind Australia. Chin</w:t>
      </w:r>
      <w:r w:rsidRPr="00990B3F">
        <w:rPr>
          <w:rFonts w:ascii="Calibri" w:eastAsia="Times New Roman" w:hAnsi="Calibri" w:cs="Times New Roman"/>
          <w:lang w:eastAsia="en-IN"/>
        </w:rPr>
        <w:t>ese companies</w:t>
      </w:r>
      <w:r w:rsidRPr="00990B3F">
        <w:rPr>
          <w:rFonts w:ascii="Calibri" w:eastAsia="Times New Roman" w:hAnsi="Calibri" w:cs="Times New Roman"/>
          <w:color w:val="000000"/>
          <w:lang w:eastAsia="en-IN"/>
        </w:rPr>
        <w:t xml:space="preserve"> ha</w:t>
      </w:r>
      <w:r w:rsidRPr="00990B3F">
        <w:rPr>
          <w:rFonts w:ascii="Calibri" w:eastAsia="Times New Roman" w:hAnsi="Calibri" w:cs="Times New Roman"/>
          <w:lang w:eastAsia="en-IN"/>
        </w:rPr>
        <w:t>ve been contracted for</w:t>
      </w:r>
      <w:r w:rsidRPr="00990B3F">
        <w:rPr>
          <w:rFonts w:ascii="Calibri" w:eastAsia="Times New Roman" w:hAnsi="Calibri" w:cs="Times New Roman"/>
          <w:color w:val="000000"/>
          <w:lang w:eastAsia="en-IN"/>
        </w:rPr>
        <w:t xml:space="preserve"> strategic assets, including the upgrade of the </w:t>
      </w:r>
      <w:proofErr w:type="spellStart"/>
      <w:r w:rsidRPr="00990B3F">
        <w:rPr>
          <w:rFonts w:ascii="Calibri" w:eastAsia="Times New Roman" w:hAnsi="Calibri" w:cs="Times New Roman"/>
          <w:color w:val="000000"/>
          <w:lang w:eastAsia="en-IN"/>
        </w:rPr>
        <w:t>Bauerfield</w:t>
      </w:r>
      <w:proofErr w:type="spellEnd"/>
      <w:r w:rsidRPr="00990B3F">
        <w:rPr>
          <w:rFonts w:ascii="Calibri" w:eastAsia="Times New Roman" w:hAnsi="Calibri" w:cs="Times New Roman"/>
          <w:color w:val="000000"/>
          <w:lang w:eastAsia="en-IN"/>
        </w:rPr>
        <w:t xml:space="preserve"> Airport runway in Port Vila, which remains the only international airport in the country until the upgrade of the </w:t>
      </w:r>
      <w:proofErr w:type="spellStart"/>
      <w:r w:rsidRPr="00990B3F">
        <w:rPr>
          <w:rFonts w:ascii="Calibri" w:eastAsia="Times New Roman" w:hAnsi="Calibri" w:cs="Times New Roman"/>
          <w:color w:val="000000"/>
          <w:lang w:eastAsia="en-IN"/>
        </w:rPr>
        <w:t>Luganville</w:t>
      </w:r>
      <w:proofErr w:type="spellEnd"/>
      <w:r w:rsidRPr="00990B3F">
        <w:rPr>
          <w:rFonts w:ascii="Calibri" w:eastAsia="Times New Roman" w:hAnsi="Calibri" w:cs="Times New Roman"/>
          <w:color w:val="000000"/>
          <w:lang w:eastAsia="en-IN"/>
        </w:rPr>
        <w:t xml:space="preserve"> airport is completed. The China Civil Engineering Construction Corporation (CCECC) is the main contractor for the World Bank-funded </w:t>
      </w:r>
      <w:r w:rsidR="00800236">
        <w:rPr>
          <w:rFonts w:ascii="Calibri" w:eastAsia="Times New Roman" w:hAnsi="Calibri" w:cs="Times New Roman"/>
          <w:color w:val="000000"/>
          <w:lang w:eastAsia="en-IN"/>
        </w:rPr>
        <w:t>US$</w:t>
      </w:r>
      <w:r w:rsidRPr="00990B3F">
        <w:rPr>
          <w:rFonts w:ascii="Calibri" w:eastAsia="Times New Roman" w:hAnsi="Calibri" w:cs="Times New Roman"/>
          <w:color w:val="000000"/>
          <w:lang w:eastAsia="en-IN"/>
        </w:rPr>
        <w:t xml:space="preserve"> 47 million Vanuatu Aviation Investment Project</w:t>
      </w:r>
      <w:r>
        <w:rPr>
          <w:rFonts w:ascii="Calibri" w:eastAsia="Times New Roman" w:hAnsi="Calibri" w:cs="Times New Roman"/>
          <w:color w:val="000000"/>
          <w:lang w:eastAsia="en-IN"/>
        </w:rPr>
        <w:t>.</w:t>
      </w:r>
      <w:r w:rsidRPr="00862056">
        <w:rPr>
          <w:rFonts w:eastAsia="Lato" w:cs="Lato"/>
          <w:vertAlign w:val="superscript"/>
          <w:lang w:eastAsia="en-IN"/>
        </w:rPr>
        <w:footnoteReference w:id="155"/>
      </w:r>
      <w:r w:rsidRPr="00990B3F">
        <w:rPr>
          <w:rFonts w:ascii="Calibri" w:eastAsia="Times New Roman" w:hAnsi="Calibri" w:cs="Times New Roman"/>
          <w:color w:val="000000"/>
          <w:lang w:eastAsia="en-IN"/>
        </w:rPr>
        <w:t xml:space="preserve"> In addition, the Chinese have built an exhibition centre and a stadium in Port Vila and </w:t>
      </w:r>
      <w:proofErr w:type="gramStart"/>
      <w:r w:rsidRPr="00990B3F">
        <w:rPr>
          <w:rFonts w:ascii="Calibri" w:eastAsia="Times New Roman" w:hAnsi="Calibri" w:cs="Times New Roman"/>
          <w:color w:val="000000"/>
          <w:lang w:eastAsia="en-IN"/>
        </w:rPr>
        <w:t>are in charge of</w:t>
      </w:r>
      <w:proofErr w:type="gramEnd"/>
      <w:r w:rsidRPr="00990B3F">
        <w:rPr>
          <w:rFonts w:ascii="Calibri" w:eastAsia="Times New Roman" w:hAnsi="Calibri" w:cs="Times New Roman"/>
          <w:color w:val="000000"/>
          <w:lang w:eastAsia="en-IN"/>
        </w:rPr>
        <w:t xml:space="preserve"> the </w:t>
      </w:r>
      <w:proofErr w:type="spellStart"/>
      <w:r w:rsidRPr="00990B3F">
        <w:rPr>
          <w:rFonts w:ascii="Calibri" w:eastAsia="Times New Roman" w:hAnsi="Calibri" w:cs="Times New Roman"/>
          <w:lang w:eastAsia="en-IN"/>
        </w:rPr>
        <w:t>Tanna-Malekula</w:t>
      </w:r>
      <w:proofErr w:type="spellEnd"/>
      <w:r w:rsidRPr="00990B3F">
        <w:rPr>
          <w:rFonts w:ascii="Calibri" w:eastAsia="Times New Roman" w:hAnsi="Calibri" w:cs="Times New Roman"/>
          <w:color w:val="000000"/>
          <w:lang w:eastAsia="en-IN"/>
        </w:rPr>
        <w:t xml:space="preserve"> Road rehabilitation and the construction of the </w:t>
      </w:r>
      <w:proofErr w:type="spellStart"/>
      <w:r w:rsidRPr="00990B3F">
        <w:rPr>
          <w:rFonts w:ascii="Calibri" w:eastAsia="Times New Roman" w:hAnsi="Calibri" w:cs="Times New Roman"/>
          <w:color w:val="000000"/>
          <w:lang w:eastAsia="en-IN"/>
        </w:rPr>
        <w:t>Luganville</w:t>
      </w:r>
      <w:proofErr w:type="spellEnd"/>
      <w:r w:rsidRPr="00990B3F">
        <w:rPr>
          <w:rFonts w:ascii="Calibri" w:eastAsia="Times New Roman" w:hAnsi="Calibri" w:cs="Times New Roman"/>
          <w:color w:val="000000"/>
          <w:lang w:eastAsia="en-IN"/>
        </w:rPr>
        <w:t xml:space="preserve"> wharf. In education, proposed projects valued at </w:t>
      </w:r>
      <w:r w:rsidR="00800236">
        <w:rPr>
          <w:rFonts w:ascii="Calibri" w:eastAsia="Times New Roman" w:hAnsi="Calibri" w:cs="Times New Roman"/>
          <w:color w:val="000000"/>
          <w:lang w:eastAsia="en-IN"/>
        </w:rPr>
        <w:t>US$</w:t>
      </w:r>
      <w:r w:rsidRPr="00990B3F">
        <w:rPr>
          <w:rFonts w:ascii="Calibri" w:eastAsia="Times New Roman" w:hAnsi="Calibri" w:cs="Times New Roman"/>
          <w:color w:val="000000"/>
          <w:lang w:eastAsia="en-IN"/>
        </w:rPr>
        <w:t xml:space="preserve"> 282 million are almost entirely being funded by Chinese aid</w:t>
      </w:r>
      <w:r>
        <w:rPr>
          <w:rFonts w:ascii="Calibri" w:eastAsia="Times New Roman" w:hAnsi="Calibri" w:cs="Times New Roman"/>
          <w:color w:val="000000"/>
          <w:lang w:eastAsia="en-IN"/>
        </w:rPr>
        <w:t>.</w:t>
      </w:r>
      <w:r w:rsidRPr="00862056">
        <w:rPr>
          <w:rFonts w:eastAsia="Lato" w:cs="Lato"/>
          <w:vertAlign w:val="superscript"/>
          <w:lang w:eastAsia="en-IN"/>
        </w:rPr>
        <w:footnoteReference w:id="156"/>
      </w:r>
      <w:r w:rsidRPr="00990B3F">
        <w:rPr>
          <w:rFonts w:ascii="Calibri" w:eastAsia="Times New Roman" w:hAnsi="Calibri" w:cs="Times New Roman"/>
          <w:color w:val="000000"/>
          <w:lang w:eastAsia="en-IN"/>
        </w:rPr>
        <w:t xml:space="preserve"> While some projects such as the exhibition centre and the stadium are funded through grants, others such as the construction of roads and wharfs have been structured as loans. The </w:t>
      </w:r>
      <w:proofErr w:type="spellStart"/>
      <w:r w:rsidRPr="00990B3F">
        <w:rPr>
          <w:rFonts w:ascii="Calibri" w:eastAsia="Times New Roman" w:hAnsi="Calibri" w:cs="Times New Roman"/>
          <w:color w:val="000000"/>
          <w:lang w:eastAsia="en-IN"/>
        </w:rPr>
        <w:t>Lapetasi</w:t>
      </w:r>
      <w:proofErr w:type="spellEnd"/>
      <w:r w:rsidRPr="00990B3F">
        <w:rPr>
          <w:rFonts w:ascii="Calibri" w:eastAsia="Times New Roman" w:hAnsi="Calibri" w:cs="Times New Roman"/>
          <w:color w:val="000000"/>
          <w:lang w:eastAsia="en-IN"/>
        </w:rPr>
        <w:t xml:space="preserve"> wharf in Port Vila, meanwhile, has been financed by Japan and offers another example of bilateral donor investment. </w:t>
      </w:r>
    </w:p>
    <w:p w14:paraId="6B00DC07" w14:textId="080ED75E" w:rsidR="00456443" w:rsidRPr="00990B3F" w:rsidRDefault="00456443" w:rsidP="00456443">
      <w:pPr>
        <w:pStyle w:val="ListParagraph"/>
        <w:numPr>
          <w:ilvl w:val="0"/>
          <w:numId w:val="67"/>
        </w:numPr>
        <w:tabs>
          <w:tab w:val="left" w:pos="360"/>
          <w:tab w:val="left" w:pos="540"/>
        </w:tabs>
        <w:spacing w:before="120" w:after="120" w:line="240" w:lineRule="auto"/>
        <w:ind w:left="0" w:right="601" w:firstLine="0"/>
        <w:contextualSpacing w:val="0"/>
        <w:jc w:val="both"/>
        <w:rPr>
          <w:rFonts w:ascii="Calibri" w:eastAsia="Times New Roman" w:hAnsi="Calibri" w:cs="Times New Roman"/>
          <w:b/>
          <w:lang w:eastAsia="en-IN"/>
        </w:rPr>
      </w:pPr>
      <w:r w:rsidRPr="00990B3F">
        <w:rPr>
          <w:rFonts w:ascii="Calibri" w:eastAsia="Times New Roman" w:hAnsi="Calibri" w:cs="Times New Roman"/>
          <w:b/>
          <w:color w:val="000000"/>
          <w:lang w:eastAsia="en-IN"/>
        </w:rPr>
        <w:t xml:space="preserve">The tendency of countries leading some of these development projects to bring in their own labour has given rise to concerns around the lack of technical and knowledge transfer to Vanuatu workers. </w:t>
      </w:r>
      <w:r w:rsidRPr="00990B3F">
        <w:rPr>
          <w:rFonts w:ascii="Calibri" w:eastAsia="Times New Roman" w:hAnsi="Calibri" w:cs="Times New Roman"/>
          <w:color w:val="000000"/>
          <w:lang w:eastAsia="en-IN"/>
        </w:rPr>
        <w:t xml:space="preserve">The </w:t>
      </w:r>
      <w:proofErr w:type="spellStart"/>
      <w:r w:rsidRPr="00990B3F">
        <w:rPr>
          <w:rFonts w:ascii="Calibri" w:eastAsia="Times New Roman" w:hAnsi="Calibri" w:cs="Times New Roman"/>
          <w:color w:val="000000"/>
          <w:lang w:eastAsia="en-IN"/>
        </w:rPr>
        <w:t>Bauerfield</w:t>
      </w:r>
      <w:proofErr w:type="spellEnd"/>
      <w:r w:rsidRPr="00990B3F">
        <w:rPr>
          <w:rFonts w:ascii="Calibri" w:eastAsia="Times New Roman" w:hAnsi="Calibri" w:cs="Times New Roman"/>
          <w:color w:val="000000"/>
          <w:lang w:eastAsia="en-IN"/>
        </w:rPr>
        <w:t xml:space="preserve"> runway upgrade project, for instance, largely uses non-local labour at almost all levels. This is in stark contrast to some of the other projects in the region, such as the development of the </w:t>
      </w:r>
      <w:proofErr w:type="spellStart"/>
      <w:r w:rsidRPr="00990B3F">
        <w:rPr>
          <w:rFonts w:ascii="Calibri" w:eastAsia="Times New Roman" w:hAnsi="Calibri" w:cs="Times New Roman"/>
          <w:color w:val="000000"/>
          <w:lang w:eastAsia="en-IN"/>
        </w:rPr>
        <w:t>Lapetasi</w:t>
      </w:r>
      <w:proofErr w:type="spellEnd"/>
      <w:r w:rsidRPr="00990B3F">
        <w:rPr>
          <w:rFonts w:ascii="Calibri" w:eastAsia="Times New Roman" w:hAnsi="Calibri" w:cs="Times New Roman"/>
          <w:color w:val="000000"/>
          <w:lang w:eastAsia="en-IN"/>
        </w:rPr>
        <w:t xml:space="preserve"> wharf by </w:t>
      </w:r>
      <w:r>
        <w:rPr>
          <w:rFonts w:ascii="Calibri" w:eastAsia="Times New Roman" w:hAnsi="Calibri" w:cs="Times New Roman"/>
          <w:color w:val="000000"/>
          <w:lang w:eastAsia="en-IN"/>
        </w:rPr>
        <w:t xml:space="preserve">JICA, </w:t>
      </w:r>
      <w:r w:rsidRPr="00990B3F">
        <w:rPr>
          <w:rFonts w:ascii="Calibri" w:eastAsia="Times New Roman" w:hAnsi="Calibri" w:cs="Times New Roman"/>
          <w:color w:val="000000"/>
          <w:lang w:eastAsia="en-IN"/>
        </w:rPr>
        <w:t xml:space="preserve">which largely used local labour and, in the process, upskilled </w:t>
      </w:r>
      <w:r w:rsidR="006A0625">
        <w:t>ni-</w:t>
      </w:r>
      <w:proofErr w:type="gramStart"/>
      <w:r w:rsidR="006A0625">
        <w:t xml:space="preserve">Vanuatu </w:t>
      </w:r>
      <w:r w:rsidRPr="00990B3F">
        <w:rPr>
          <w:rFonts w:ascii="Calibri" w:eastAsia="Times New Roman" w:hAnsi="Calibri" w:cs="Times New Roman"/>
          <w:color w:val="000000"/>
          <w:lang w:eastAsia="en-IN"/>
        </w:rPr>
        <w:t xml:space="preserve"> workers</w:t>
      </w:r>
      <w:proofErr w:type="gramEnd"/>
      <w:r w:rsidRPr="00990B3F">
        <w:rPr>
          <w:rFonts w:ascii="Calibri" w:eastAsia="Times New Roman" w:hAnsi="Calibri" w:cs="Times New Roman"/>
          <w:color w:val="000000"/>
          <w:lang w:eastAsia="en-IN"/>
        </w:rPr>
        <w:t xml:space="preserve">.  </w:t>
      </w:r>
    </w:p>
    <w:p w14:paraId="1B05F65A" w14:textId="77777777" w:rsidR="00456443" w:rsidRPr="00990B3F" w:rsidRDefault="00456443" w:rsidP="00456443">
      <w:pPr>
        <w:pStyle w:val="ListParagraph"/>
        <w:numPr>
          <w:ilvl w:val="0"/>
          <w:numId w:val="67"/>
        </w:numPr>
        <w:tabs>
          <w:tab w:val="left" w:pos="360"/>
          <w:tab w:val="left" w:pos="540"/>
        </w:tabs>
        <w:spacing w:before="120" w:after="120" w:line="240" w:lineRule="auto"/>
        <w:ind w:left="0" w:right="601" w:firstLine="0"/>
        <w:contextualSpacing w:val="0"/>
        <w:jc w:val="both"/>
        <w:rPr>
          <w:rFonts w:ascii="Calibri" w:eastAsia="Times New Roman" w:hAnsi="Calibri" w:cs="Times New Roman"/>
          <w:b/>
          <w:lang w:eastAsia="en-IN"/>
        </w:rPr>
      </w:pPr>
      <w:r w:rsidRPr="00990B3F">
        <w:rPr>
          <w:rFonts w:ascii="Calibri" w:eastAsia="Times New Roman" w:hAnsi="Calibri" w:cs="Times New Roman"/>
          <w:color w:val="000000"/>
          <w:lang w:eastAsia="en-IN"/>
        </w:rPr>
        <w:t xml:space="preserve">While </w:t>
      </w:r>
      <w:r w:rsidRPr="00990B3F">
        <w:rPr>
          <w:rFonts w:ascii="Calibri" w:eastAsia="Times New Roman" w:hAnsi="Calibri" w:cs="Times New Roman"/>
          <w:lang w:eastAsia="en-IN"/>
        </w:rPr>
        <w:t>implementers</w:t>
      </w:r>
      <w:r w:rsidRPr="00990B3F">
        <w:rPr>
          <w:rFonts w:ascii="Calibri" w:eastAsia="Times New Roman" w:hAnsi="Calibri" w:cs="Times New Roman"/>
          <w:color w:val="000000"/>
          <w:lang w:eastAsia="en-IN"/>
        </w:rPr>
        <w:t xml:space="preserve"> often face difficulties in sourcing local labour due to low skill levels, past projects have attempted to bridge this gap by providing training opportunities to local workers. Australia, for example, has intentionally submitted its major projects, such as the</w:t>
      </w:r>
      <w:r w:rsidRPr="00990B3F">
        <w:rPr>
          <w:rFonts w:ascii="Calibri" w:eastAsia="Times New Roman" w:hAnsi="Calibri" w:cs="Times New Roman"/>
          <w:lang w:eastAsia="en-IN"/>
        </w:rPr>
        <w:t xml:space="preserve"> Port Vila Urban Development Project,</w:t>
      </w:r>
      <w:r w:rsidRPr="00990B3F">
        <w:rPr>
          <w:rFonts w:ascii="Calibri" w:eastAsia="Times New Roman" w:hAnsi="Calibri" w:cs="Times New Roman"/>
          <w:color w:val="000000"/>
          <w:lang w:eastAsia="en-IN"/>
        </w:rPr>
        <w:t xml:space="preserve"> through </w:t>
      </w:r>
      <w:proofErr w:type="spellStart"/>
      <w:r w:rsidRPr="00990B3F">
        <w:rPr>
          <w:rFonts w:ascii="Calibri" w:eastAsia="Times New Roman" w:hAnsi="Calibri" w:cs="Times New Roman"/>
          <w:color w:val="000000"/>
          <w:lang w:eastAsia="en-IN"/>
        </w:rPr>
        <w:t>GoV</w:t>
      </w:r>
      <w:proofErr w:type="spellEnd"/>
      <w:r w:rsidRPr="00990B3F">
        <w:rPr>
          <w:rFonts w:ascii="Calibri" w:eastAsia="Times New Roman" w:hAnsi="Calibri" w:cs="Times New Roman"/>
          <w:color w:val="000000"/>
          <w:lang w:eastAsia="en-IN"/>
        </w:rPr>
        <w:t xml:space="preserve"> systems to demonstrate trust and build local capacity. </w:t>
      </w:r>
    </w:p>
    <w:p w14:paraId="4EC88D45" w14:textId="42155B40" w:rsidR="00456443" w:rsidRPr="00990B3F" w:rsidRDefault="00456443" w:rsidP="00456443">
      <w:pPr>
        <w:pStyle w:val="ListParagraph"/>
        <w:numPr>
          <w:ilvl w:val="0"/>
          <w:numId w:val="67"/>
        </w:numPr>
        <w:tabs>
          <w:tab w:val="left" w:pos="360"/>
          <w:tab w:val="left" w:pos="540"/>
        </w:tabs>
        <w:spacing w:before="120" w:after="120" w:line="240" w:lineRule="auto"/>
        <w:ind w:left="0" w:right="601" w:firstLine="0"/>
        <w:contextualSpacing w:val="0"/>
        <w:jc w:val="both"/>
        <w:rPr>
          <w:rFonts w:ascii="Calibri" w:eastAsia="Times New Roman" w:hAnsi="Calibri" w:cs="Times New Roman"/>
          <w:b/>
          <w:lang w:eastAsia="en-IN"/>
        </w:rPr>
      </w:pPr>
      <w:r w:rsidRPr="00990B3F">
        <w:rPr>
          <w:rFonts w:ascii="Calibri" w:eastAsia="Times New Roman" w:hAnsi="Calibri" w:cs="Times New Roman"/>
          <w:b/>
          <w:color w:val="000000"/>
          <w:lang w:eastAsia="en-IN"/>
        </w:rPr>
        <w:t xml:space="preserve">Australia’s </w:t>
      </w:r>
      <w:r w:rsidRPr="00651DCD">
        <w:rPr>
          <w:rFonts w:ascii="Calibri" w:eastAsia="Times New Roman" w:hAnsi="Calibri" w:cs="Times New Roman"/>
          <w:b/>
          <w:lang w:eastAsia="en-IN"/>
        </w:rPr>
        <w:t>development assistance</w:t>
      </w:r>
      <w:r w:rsidRPr="00990B3F">
        <w:rPr>
          <w:rFonts w:ascii="Calibri" w:eastAsia="Times New Roman" w:hAnsi="Calibri" w:cs="Times New Roman"/>
          <w:b/>
          <w:color w:val="000000"/>
          <w:lang w:eastAsia="en-IN"/>
        </w:rPr>
        <w:t xml:space="preserve"> has supported Vanuatu’s efforts to build resilient urban infrastructure, recover from Cyclone Pam and achieve better health and education outcomes.</w:t>
      </w:r>
      <w:r w:rsidRPr="00990B3F">
        <w:rPr>
          <w:rFonts w:ascii="Calibri" w:eastAsia="Times New Roman" w:hAnsi="Calibri" w:cs="Times New Roman"/>
          <w:color w:val="000000"/>
          <w:lang w:eastAsia="en-IN"/>
        </w:rPr>
        <w:t xml:space="preserve"> </w:t>
      </w:r>
      <w:r w:rsidRPr="00990B3F">
        <w:rPr>
          <w:rFonts w:ascii="Calibri" w:eastAsia="Times New Roman" w:hAnsi="Calibri" w:cs="Times New Roman"/>
          <w:b/>
          <w:color w:val="000000"/>
          <w:lang w:eastAsia="en-IN"/>
        </w:rPr>
        <w:t>However, that aid has been spent with mixed results.</w:t>
      </w:r>
      <w:r w:rsidRPr="00990B3F">
        <w:rPr>
          <w:rFonts w:ascii="Calibri" w:eastAsia="Times New Roman" w:hAnsi="Calibri" w:cs="Times New Roman"/>
          <w:color w:val="000000"/>
          <w:lang w:eastAsia="en-IN"/>
        </w:rPr>
        <w:t xml:space="preserve"> Australia was one of the first responders post-Cyclone Pam in Vanuatu and provided both humanitarian support and funds for immediate and long-term recovery. Some of the immediate efforts helped in providing food security, healthcare, education and rehabilitation support, while the long-term support is </w:t>
      </w:r>
      <w:r w:rsidRPr="00990B3F">
        <w:rPr>
          <w:rFonts w:ascii="Calibri" w:eastAsia="Times New Roman" w:hAnsi="Calibri" w:cs="Times New Roman"/>
          <w:color w:val="000000"/>
          <w:lang w:eastAsia="en-IN"/>
        </w:rPr>
        <w:lastRenderedPageBreak/>
        <w:t>continuing to rebuild much of the physical infrastructure in the country</w:t>
      </w:r>
      <w:r w:rsidRPr="00990B3F">
        <w:rPr>
          <w:rFonts w:ascii="Calibri" w:eastAsia="Times New Roman" w:hAnsi="Calibri" w:cs="Times New Roman"/>
          <w:lang w:eastAsia="en-IN"/>
        </w:rPr>
        <w:t>—</w:t>
      </w:r>
      <w:r w:rsidR="0073249A">
        <w:rPr>
          <w:rFonts w:ascii="Calibri" w:eastAsia="Times New Roman" w:hAnsi="Calibri" w:cs="Times New Roman"/>
          <w:lang w:eastAsia="en-IN"/>
        </w:rPr>
        <w:t>program</w:t>
      </w:r>
      <w:r w:rsidRPr="00990B3F">
        <w:rPr>
          <w:rFonts w:ascii="Calibri" w:eastAsia="Times New Roman" w:hAnsi="Calibri" w:cs="Times New Roman"/>
          <w:lang w:eastAsia="en-IN"/>
        </w:rPr>
        <w:t xml:space="preserve"> works are scheduled to be completed in June 2019. </w:t>
      </w:r>
    </w:p>
    <w:p w14:paraId="7EE08134" w14:textId="200500FD" w:rsidR="00456443" w:rsidRPr="00990B3F" w:rsidRDefault="00456443" w:rsidP="00456443">
      <w:pPr>
        <w:pStyle w:val="ListParagraph"/>
        <w:numPr>
          <w:ilvl w:val="0"/>
          <w:numId w:val="67"/>
        </w:numPr>
        <w:tabs>
          <w:tab w:val="left" w:pos="360"/>
          <w:tab w:val="left" w:pos="540"/>
        </w:tabs>
        <w:spacing w:before="120" w:after="120" w:line="240" w:lineRule="auto"/>
        <w:ind w:left="0" w:right="601" w:firstLine="0"/>
        <w:contextualSpacing w:val="0"/>
        <w:jc w:val="both"/>
        <w:rPr>
          <w:rFonts w:ascii="Calibri" w:eastAsia="Times New Roman" w:hAnsi="Calibri" w:cs="Times New Roman"/>
          <w:b/>
          <w:lang w:eastAsia="en-IN"/>
        </w:rPr>
      </w:pPr>
      <w:r w:rsidRPr="00990B3F">
        <w:rPr>
          <w:rFonts w:ascii="Calibri" w:eastAsia="Times New Roman" w:hAnsi="Calibri" w:cs="Times New Roman"/>
          <w:color w:val="000000"/>
          <w:lang w:eastAsia="en-IN"/>
        </w:rPr>
        <w:t xml:space="preserve">In another instance, Australia announced the </w:t>
      </w:r>
      <w:r w:rsidR="00800236">
        <w:rPr>
          <w:rFonts w:ascii="Calibri" w:eastAsia="Times New Roman" w:hAnsi="Calibri" w:cs="Times New Roman"/>
          <w:color w:val="000000"/>
          <w:lang w:eastAsia="en-IN"/>
        </w:rPr>
        <w:t>US$</w:t>
      </w:r>
      <w:r w:rsidRPr="00990B3F">
        <w:rPr>
          <w:rFonts w:ascii="Calibri" w:eastAsia="Times New Roman" w:hAnsi="Calibri" w:cs="Times New Roman"/>
          <w:color w:val="000000"/>
          <w:lang w:eastAsia="en-IN"/>
        </w:rPr>
        <w:t xml:space="preserve"> 25 million Port Vila Urban Development Project to build urban infrastructure to be co-fi</w:t>
      </w:r>
      <w:r w:rsidRPr="00990B3F">
        <w:rPr>
          <w:rFonts w:ascii="Calibri" w:eastAsia="Times New Roman" w:hAnsi="Calibri" w:cs="Times New Roman"/>
          <w:lang w:eastAsia="en-IN"/>
        </w:rPr>
        <w:t>nanced with ADB</w:t>
      </w:r>
      <w:r w:rsidRPr="00990B3F">
        <w:rPr>
          <w:rFonts w:ascii="Calibri" w:eastAsia="Times New Roman" w:hAnsi="Calibri" w:cs="Times New Roman"/>
          <w:color w:val="000000"/>
          <w:lang w:eastAsia="en-IN"/>
        </w:rPr>
        <w:t xml:space="preserve">. Funds were committed to resurface 21 kilometres of roads in the Vanuatu capital as well as build 33 kilometres of roadside drainage. However, an assessment undertaken by the Australian National Audit Office in June 2015 rated the project poorly across </w:t>
      </w:r>
      <w:proofErr w:type="gramStart"/>
      <w:r w:rsidRPr="00990B3F">
        <w:rPr>
          <w:rFonts w:ascii="Calibri" w:eastAsia="Times New Roman" w:hAnsi="Calibri" w:cs="Times New Roman"/>
          <w:color w:val="000000"/>
          <w:lang w:eastAsia="en-IN"/>
        </w:rPr>
        <w:t>a number of</w:t>
      </w:r>
      <w:proofErr w:type="gramEnd"/>
      <w:r w:rsidRPr="00990B3F">
        <w:rPr>
          <w:rFonts w:ascii="Calibri" w:eastAsia="Times New Roman" w:hAnsi="Calibri" w:cs="Times New Roman"/>
          <w:color w:val="000000"/>
          <w:lang w:eastAsia="en-IN"/>
        </w:rPr>
        <w:t xml:space="preserve"> criteria. </w:t>
      </w:r>
      <w:r w:rsidRPr="00990B3F">
        <w:rPr>
          <w:rFonts w:ascii="Calibri" w:eastAsia="Times New Roman" w:hAnsi="Calibri" w:cs="Times New Roman"/>
          <w:lang w:eastAsia="en-IN"/>
        </w:rPr>
        <w:t>While the project has since continued, the 2015</w:t>
      </w:r>
      <w:r w:rsidRPr="00990B3F">
        <w:rPr>
          <w:rFonts w:ascii="Calibri" w:eastAsia="Times New Roman" w:hAnsi="Calibri" w:cs="Times New Roman"/>
          <w:color w:val="000000"/>
          <w:lang w:eastAsia="en-IN"/>
        </w:rPr>
        <w:t xml:space="preserve"> assessment found that the project had not followed standard processes and planning had not been efficient</w:t>
      </w:r>
      <w:r>
        <w:rPr>
          <w:rFonts w:ascii="Calibri" w:eastAsia="Times New Roman" w:hAnsi="Calibri" w:cs="Times New Roman"/>
          <w:color w:val="000000"/>
          <w:lang w:eastAsia="en-IN"/>
        </w:rPr>
        <w:t>.</w:t>
      </w:r>
      <w:r w:rsidRPr="00862056">
        <w:rPr>
          <w:rFonts w:eastAsia="Lato" w:cs="Lato"/>
          <w:vertAlign w:val="superscript"/>
          <w:lang w:eastAsia="en-IN"/>
        </w:rPr>
        <w:footnoteReference w:id="157"/>
      </w:r>
    </w:p>
    <w:p w14:paraId="05C9B2BD" w14:textId="77777777" w:rsidR="00456443" w:rsidRPr="00990B3F" w:rsidRDefault="00456443" w:rsidP="00456443">
      <w:pPr>
        <w:pStyle w:val="ListParagraph"/>
        <w:numPr>
          <w:ilvl w:val="0"/>
          <w:numId w:val="67"/>
        </w:numPr>
        <w:tabs>
          <w:tab w:val="left" w:pos="360"/>
          <w:tab w:val="left" w:pos="540"/>
        </w:tabs>
        <w:spacing w:before="120" w:after="120" w:line="240" w:lineRule="auto"/>
        <w:ind w:left="0" w:right="601" w:firstLine="0"/>
        <w:contextualSpacing w:val="0"/>
        <w:jc w:val="both"/>
        <w:rPr>
          <w:rFonts w:ascii="Calibri" w:eastAsia="Times New Roman" w:hAnsi="Calibri" w:cs="Times New Roman"/>
          <w:b/>
          <w:lang w:eastAsia="en-IN"/>
        </w:rPr>
      </w:pPr>
      <w:r w:rsidRPr="00990B3F">
        <w:rPr>
          <w:rFonts w:ascii="Calibri" w:eastAsia="Times New Roman" w:hAnsi="Calibri" w:cs="Times New Roman"/>
          <w:b/>
          <w:color w:val="000000"/>
          <w:lang w:eastAsia="en-IN"/>
        </w:rPr>
        <w:t xml:space="preserve">For Vanuatu, the centrepiece of Australian engagement will likely continue to be grant financing, complemented by dedicated </w:t>
      </w:r>
      <w:r w:rsidRPr="00280E0D">
        <w:rPr>
          <w:rFonts w:ascii="Calibri" w:eastAsia="Arial" w:hAnsi="Calibri" w:cs="Calibri"/>
          <w:b/>
          <w:lang w:eastAsia="zh-CN"/>
        </w:rPr>
        <w:t>TA</w:t>
      </w:r>
      <w:r w:rsidRPr="00990B3F">
        <w:rPr>
          <w:rFonts w:ascii="Calibri" w:eastAsia="Times New Roman" w:hAnsi="Calibri" w:cs="Times New Roman"/>
          <w:b/>
          <w:color w:val="000000"/>
          <w:lang w:eastAsia="en-IN"/>
        </w:rPr>
        <w:t xml:space="preserve"> with the ability and capacity to exercise active engagement in project implementation. </w:t>
      </w:r>
      <w:r w:rsidRPr="00990B3F">
        <w:rPr>
          <w:rFonts w:ascii="Calibri" w:eastAsia="Times New Roman" w:hAnsi="Calibri" w:cs="Times New Roman"/>
          <w:color w:val="000000"/>
          <w:lang w:eastAsia="en-IN"/>
        </w:rPr>
        <w:t>Many development</w:t>
      </w:r>
      <w:r w:rsidRPr="00990B3F">
        <w:rPr>
          <w:rFonts w:ascii="Calibri" w:eastAsia="Times New Roman" w:hAnsi="Calibri" w:cs="Times New Roman"/>
          <w:b/>
          <w:color w:val="000000"/>
          <w:lang w:eastAsia="en-IN"/>
        </w:rPr>
        <w:t xml:space="preserve"> </w:t>
      </w:r>
      <w:r w:rsidRPr="00990B3F">
        <w:rPr>
          <w:rFonts w:ascii="Calibri" w:eastAsia="Times New Roman" w:hAnsi="Calibri" w:cs="Times New Roman"/>
          <w:color w:val="000000"/>
          <w:lang w:eastAsia="en-IN"/>
        </w:rPr>
        <w:t xml:space="preserve">projects, infrastructure or otherwise, are of smaller </w:t>
      </w:r>
      <w:r w:rsidRPr="00990B3F">
        <w:rPr>
          <w:rFonts w:ascii="Calibri" w:eastAsia="Times New Roman" w:hAnsi="Calibri" w:cs="Times New Roman"/>
          <w:lang w:eastAsia="en-IN"/>
        </w:rPr>
        <w:t>size</w:t>
      </w:r>
      <w:r w:rsidRPr="00990B3F">
        <w:rPr>
          <w:rFonts w:ascii="Calibri" w:eastAsia="Times New Roman" w:hAnsi="Calibri" w:cs="Times New Roman"/>
          <w:color w:val="000000"/>
          <w:lang w:eastAsia="en-IN"/>
        </w:rPr>
        <w:t xml:space="preserve"> and may be sub-commercial for development players looking to invest in the region. There are also concerns about rising debt levels of the country, pointing to a looming sovereign risk. Grant financing can continue to be used to provide </w:t>
      </w:r>
      <w:r>
        <w:rPr>
          <w:rFonts w:ascii="Calibri" w:eastAsia="Arial" w:hAnsi="Calibri" w:cs="Calibri"/>
          <w:lang w:eastAsia="zh-CN"/>
        </w:rPr>
        <w:t>TA</w:t>
      </w:r>
      <w:r w:rsidRPr="00990B3F">
        <w:rPr>
          <w:rFonts w:ascii="Calibri" w:eastAsia="Times New Roman" w:hAnsi="Calibri" w:cs="Times New Roman"/>
          <w:color w:val="000000"/>
          <w:lang w:eastAsia="en-IN"/>
        </w:rPr>
        <w:t xml:space="preserve"> and build institutional and human capacity to support infrastructure projects. For instance, the supply of project planning and management software, computer systems and training of staff provided through grants will be beneficial for a host of infrastructure projects. Past examples that have worked well include the use of grants for management software purposes during the construction of the </w:t>
      </w:r>
      <w:proofErr w:type="spellStart"/>
      <w:r w:rsidRPr="00990B3F">
        <w:rPr>
          <w:rFonts w:ascii="Calibri" w:eastAsia="Times New Roman" w:hAnsi="Calibri" w:cs="Times New Roman"/>
          <w:color w:val="000000"/>
          <w:lang w:eastAsia="en-IN"/>
        </w:rPr>
        <w:t>Ifira</w:t>
      </w:r>
      <w:proofErr w:type="spellEnd"/>
      <w:r w:rsidRPr="00990B3F">
        <w:rPr>
          <w:rFonts w:ascii="Calibri" w:eastAsia="Times New Roman" w:hAnsi="Calibri" w:cs="Times New Roman"/>
          <w:color w:val="000000"/>
          <w:lang w:eastAsia="en-IN"/>
        </w:rPr>
        <w:t xml:space="preserve"> Port Development Company.</w:t>
      </w:r>
    </w:p>
    <w:p w14:paraId="25DAA01A" w14:textId="77777777" w:rsidR="00456443" w:rsidRPr="00E93CCB" w:rsidRDefault="00456443" w:rsidP="00456443">
      <w:pPr>
        <w:pStyle w:val="ListParagraph"/>
        <w:numPr>
          <w:ilvl w:val="0"/>
          <w:numId w:val="67"/>
        </w:numPr>
        <w:tabs>
          <w:tab w:val="left" w:pos="360"/>
          <w:tab w:val="left" w:pos="540"/>
        </w:tabs>
        <w:spacing w:before="120" w:after="120" w:line="240" w:lineRule="auto"/>
        <w:ind w:left="0" w:right="601" w:firstLine="0"/>
        <w:contextualSpacing w:val="0"/>
        <w:jc w:val="both"/>
        <w:rPr>
          <w:rFonts w:ascii="Calibri" w:eastAsia="Lato" w:hAnsi="Calibri" w:cs="Lato"/>
          <w:color w:val="000000"/>
          <w:lang w:eastAsia="en-IN"/>
        </w:rPr>
      </w:pPr>
      <w:r w:rsidRPr="00990B3F">
        <w:rPr>
          <w:rFonts w:ascii="Calibri" w:eastAsia="Times New Roman" w:hAnsi="Calibri" w:cs="Times New Roman"/>
          <w:b/>
          <w:color w:val="000000"/>
          <w:lang w:eastAsia="en-IN"/>
        </w:rPr>
        <w:t xml:space="preserve">However, the ability to deploy </w:t>
      </w:r>
      <w:r>
        <w:rPr>
          <w:rFonts w:ascii="Calibri" w:eastAsia="Times New Roman" w:hAnsi="Calibri" w:cs="Times New Roman"/>
          <w:b/>
          <w:color w:val="000000"/>
          <w:lang w:eastAsia="en-IN"/>
        </w:rPr>
        <w:t>NGF</w:t>
      </w:r>
      <w:r w:rsidRPr="00990B3F">
        <w:rPr>
          <w:rFonts w:ascii="Calibri" w:eastAsia="Times New Roman" w:hAnsi="Calibri" w:cs="Times New Roman"/>
          <w:b/>
          <w:color w:val="000000"/>
          <w:lang w:eastAsia="en-IN"/>
        </w:rPr>
        <w:t xml:space="preserve"> in select circumstances will be important for funding strategic and high-impact projects. </w:t>
      </w:r>
      <w:r w:rsidRPr="00990B3F">
        <w:rPr>
          <w:rFonts w:ascii="Calibri" w:eastAsia="Times New Roman" w:hAnsi="Calibri" w:cs="Times New Roman"/>
          <w:color w:val="000000"/>
          <w:lang w:eastAsia="en-IN"/>
        </w:rPr>
        <w:t xml:space="preserve">The financing needs in Vanuatu are large and recur on a regular basis, meaning that a grant-only model is not likely to be sufficient for Australia to remain a key strategic partner. The following section highlights some of the clear cases in which deployment of </w:t>
      </w:r>
      <w:r>
        <w:rPr>
          <w:rFonts w:ascii="Calibri" w:eastAsia="Times New Roman" w:hAnsi="Calibri" w:cs="Times New Roman"/>
          <w:color w:val="000000"/>
          <w:lang w:eastAsia="en-IN"/>
        </w:rPr>
        <w:t>NGF</w:t>
      </w:r>
      <w:r w:rsidRPr="00990B3F">
        <w:rPr>
          <w:rFonts w:ascii="Calibri" w:eastAsia="Times New Roman" w:hAnsi="Calibri" w:cs="Times New Roman"/>
          <w:color w:val="000000"/>
          <w:lang w:eastAsia="en-IN"/>
        </w:rPr>
        <w:t xml:space="preserve"> will be most useful.</w:t>
      </w:r>
    </w:p>
    <w:p w14:paraId="4F3CDC10" w14:textId="77777777" w:rsidR="00456443" w:rsidRPr="00990B3F" w:rsidRDefault="00456443" w:rsidP="00456443">
      <w:pPr>
        <w:pStyle w:val="ListParagraph"/>
        <w:tabs>
          <w:tab w:val="left" w:pos="360"/>
          <w:tab w:val="left" w:pos="540"/>
        </w:tabs>
        <w:spacing w:before="120" w:after="120" w:line="240" w:lineRule="auto"/>
        <w:ind w:left="0" w:right="601"/>
        <w:contextualSpacing w:val="0"/>
        <w:jc w:val="both"/>
        <w:rPr>
          <w:rFonts w:ascii="Calibri" w:eastAsia="Lato" w:hAnsi="Calibri" w:cs="Lato"/>
          <w:color w:val="000000"/>
          <w:lang w:eastAsia="en-IN"/>
        </w:rPr>
      </w:pPr>
    </w:p>
    <w:p w14:paraId="6CD32AC0" w14:textId="77777777" w:rsidR="00456443" w:rsidRPr="00862056" w:rsidRDefault="00456443" w:rsidP="00456443">
      <w:pPr>
        <w:widowControl w:val="0"/>
        <w:numPr>
          <w:ilvl w:val="0"/>
          <w:numId w:val="54"/>
        </w:numPr>
        <w:tabs>
          <w:tab w:val="left" w:pos="360"/>
          <w:tab w:val="left" w:pos="540"/>
        </w:tabs>
        <w:spacing w:before="120" w:after="120" w:line="240" w:lineRule="auto"/>
        <w:ind w:left="576" w:right="602" w:hanging="576"/>
        <w:jc w:val="both"/>
        <w:outlineLvl w:val="0"/>
        <w:rPr>
          <w:rFonts w:ascii="Calibri" w:eastAsia="Times New Roman" w:hAnsi="Calibri" w:cs="Times New Roman"/>
          <w:b/>
          <w:smallCaps/>
          <w:color w:val="4F81BD"/>
          <w:sz w:val="32"/>
          <w:szCs w:val="32"/>
          <w:lang w:eastAsia="en-IN"/>
        </w:rPr>
      </w:pPr>
      <w:r w:rsidRPr="00862056">
        <w:rPr>
          <w:rFonts w:ascii="Calibri" w:eastAsia="Times New Roman" w:hAnsi="Calibri" w:cs="Times New Roman"/>
          <w:b/>
          <w:smallCaps/>
          <w:color w:val="4F81BD"/>
          <w:sz w:val="32"/>
          <w:szCs w:val="32"/>
          <w:lang w:eastAsia="en-IN"/>
        </w:rPr>
        <w:t>Demand Analysis</w:t>
      </w:r>
    </w:p>
    <w:p w14:paraId="7C1BF8E3" w14:textId="77777777" w:rsidR="00456443" w:rsidRPr="00862056" w:rsidRDefault="00456443" w:rsidP="00456443">
      <w:pPr>
        <w:keepNext/>
        <w:keepLines/>
        <w:tabs>
          <w:tab w:val="left" w:pos="360"/>
          <w:tab w:val="left" w:pos="540"/>
        </w:tabs>
        <w:spacing w:before="120" w:after="120" w:line="240" w:lineRule="auto"/>
        <w:ind w:right="602"/>
        <w:jc w:val="both"/>
        <w:outlineLvl w:val="1"/>
        <w:rPr>
          <w:rFonts w:ascii="Calibri" w:eastAsia="Times New Roman" w:hAnsi="Calibri" w:cs="Times New Roman"/>
          <w:color w:val="C0504D"/>
          <w:sz w:val="28"/>
          <w:szCs w:val="28"/>
          <w:lang w:eastAsia="en-IN"/>
        </w:rPr>
      </w:pPr>
      <w:r w:rsidRPr="00862056">
        <w:rPr>
          <w:rFonts w:ascii="Calibri" w:eastAsia="Times New Roman" w:hAnsi="Calibri" w:cs="Times New Roman"/>
          <w:color w:val="C0504D"/>
          <w:sz w:val="28"/>
          <w:szCs w:val="28"/>
          <w:lang w:eastAsia="en-IN"/>
        </w:rPr>
        <w:t>Detailed Findings</w:t>
      </w:r>
    </w:p>
    <w:p w14:paraId="58282775" w14:textId="77777777" w:rsidR="00456443" w:rsidRPr="00990B3F" w:rsidRDefault="00456443" w:rsidP="00456443">
      <w:pPr>
        <w:pStyle w:val="ListParagraph"/>
        <w:numPr>
          <w:ilvl w:val="0"/>
          <w:numId w:val="68"/>
        </w:numPr>
        <w:tabs>
          <w:tab w:val="left" w:pos="360"/>
          <w:tab w:val="left" w:pos="540"/>
        </w:tabs>
        <w:spacing w:before="120" w:after="120" w:line="240" w:lineRule="auto"/>
        <w:ind w:left="0" w:right="601" w:firstLine="0"/>
        <w:contextualSpacing w:val="0"/>
        <w:jc w:val="both"/>
        <w:rPr>
          <w:rFonts w:ascii="Calibri" w:eastAsia="Lato" w:hAnsi="Calibri" w:cs="Lato"/>
          <w:color w:val="000000"/>
          <w:lang w:eastAsia="en-IN"/>
        </w:rPr>
      </w:pPr>
      <w:r w:rsidRPr="00990B3F">
        <w:rPr>
          <w:rFonts w:ascii="Calibri" w:eastAsia="Times New Roman" w:hAnsi="Calibri" w:cs="Times New Roman"/>
          <w:b/>
          <w:color w:val="000000"/>
          <w:lang w:eastAsia="en-IN"/>
        </w:rPr>
        <w:t xml:space="preserve">Our demand-side analysis reveals four NGF use cases in the Vanuatu context that demonstrate the value to Australia of having access to </w:t>
      </w:r>
      <w:r w:rsidRPr="00552F2C">
        <w:rPr>
          <w:rFonts w:ascii="Calibri" w:eastAsia="Arial" w:hAnsi="Calibri" w:cs="Calibri"/>
          <w:b/>
          <w:lang w:eastAsia="zh-CN"/>
        </w:rPr>
        <w:t>NGF</w:t>
      </w:r>
      <w:r w:rsidRPr="00990B3F">
        <w:rPr>
          <w:rFonts w:ascii="Calibri" w:eastAsia="Times New Roman" w:hAnsi="Calibri" w:cs="Times New Roman"/>
          <w:b/>
          <w:color w:val="000000"/>
          <w:lang w:eastAsia="en-IN"/>
        </w:rPr>
        <w:t xml:space="preserve">. </w:t>
      </w:r>
      <w:r w:rsidRPr="00990B3F">
        <w:rPr>
          <w:rFonts w:ascii="Calibri" w:eastAsia="Times New Roman" w:hAnsi="Calibri" w:cs="Times New Roman"/>
          <w:color w:val="000000"/>
          <w:lang w:eastAsia="en-IN"/>
        </w:rPr>
        <w:t>As incomes rise and Vanuatu transitions from being an LDC in 2020, Australia’s strategy should reflect these underlying economic changes.</w:t>
      </w:r>
      <w:r w:rsidRPr="00990B3F">
        <w:rPr>
          <w:rFonts w:ascii="Calibri" w:eastAsia="Times New Roman" w:hAnsi="Calibri" w:cs="Times New Roman"/>
          <w:b/>
          <w:color w:val="000000"/>
          <w:lang w:eastAsia="en-IN"/>
        </w:rPr>
        <w:t xml:space="preserve"> </w:t>
      </w:r>
      <w:r w:rsidRPr="00990B3F">
        <w:rPr>
          <w:rFonts w:ascii="Calibri" w:eastAsia="Times New Roman" w:hAnsi="Calibri" w:cs="Times New Roman"/>
          <w:color w:val="000000"/>
          <w:lang w:eastAsia="en-IN"/>
        </w:rPr>
        <w:t>The</w:t>
      </w:r>
      <w:r w:rsidRPr="00990B3F">
        <w:rPr>
          <w:rFonts w:ascii="Calibri" w:eastAsia="Times New Roman" w:hAnsi="Calibri" w:cs="Times New Roman"/>
          <w:b/>
          <w:color w:val="000000"/>
          <w:lang w:eastAsia="en-IN"/>
        </w:rPr>
        <w:t xml:space="preserve"> </w:t>
      </w:r>
      <w:r w:rsidRPr="00990B3F">
        <w:rPr>
          <w:rFonts w:ascii="Calibri" w:eastAsia="Times New Roman" w:hAnsi="Calibri" w:cs="Times New Roman"/>
          <w:color w:val="000000"/>
          <w:lang w:eastAsia="en-IN"/>
        </w:rPr>
        <w:t xml:space="preserve">four use cases for </w:t>
      </w:r>
      <w:r>
        <w:rPr>
          <w:rFonts w:ascii="Calibri" w:eastAsia="Times New Roman" w:hAnsi="Calibri" w:cs="Times New Roman"/>
          <w:color w:val="000000"/>
          <w:lang w:eastAsia="en-IN"/>
        </w:rPr>
        <w:t>NGF</w:t>
      </w:r>
      <w:r w:rsidRPr="00990B3F">
        <w:rPr>
          <w:rFonts w:ascii="Calibri" w:eastAsia="Times New Roman" w:hAnsi="Calibri" w:cs="Times New Roman"/>
          <w:color w:val="000000"/>
          <w:lang w:eastAsia="en-IN"/>
        </w:rPr>
        <w:t xml:space="preserve"> in Vanuatu are as follows: (</w:t>
      </w:r>
      <w:proofErr w:type="spellStart"/>
      <w:r w:rsidRPr="00990B3F">
        <w:rPr>
          <w:rFonts w:ascii="Calibri" w:eastAsia="Times New Roman" w:hAnsi="Calibri" w:cs="Times New Roman"/>
          <w:color w:val="000000"/>
          <w:lang w:eastAsia="en-IN"/>
        </w:rPr>
        <w:t>i</w:t>
      </w:r>
      <w:proofErr w:type="spellEnd"/>
      <w:r w:rsidRPr="00990B3F">
        <w:rPr>
          <w:rFonts w:ascii="Calibri" w:eastAsia="Times New Roman" w:hAnsi="Calibri" w:cs="Times New Roman"/>
          <w:color w:val="000000"/>
          <w:lang w:eastAsia="en-IN"/>
        </w:rPr>
        <w:t xml:space="preserve">) providing finance for large, strategic infrastructure projects; (ii) providing financing for smaller-sized investment deals; (iii) providing finance for disaster relief; and (iv) creating parallel co-financing arrangements with MDBs. </w:t>
      </w:r>
    </w:p>
    <w:p w14:paraId="177E8B3F" w14:textId="041217E5" w:rsidR="00456443" w:rsidRPr="00FC682D" w:rsidRDefault="00456443" w:rsidP="00456443">
      <w:pPr>
        <w:numPr>
          <w:ilvl w:val="0"/>
          <w:numId w:val="69"/>
        </w:numPr>
        <w:tabs>
          <w:tab w:val="left" w:pos="360"/>
          <w:tab w:val="left" w:pos="540"/>
        </w:tabs>
        <w:spacing w:before="120" w:after="120" w:line="240" w:lineRule="auto"/>
        <w:ind w:left="0" w:right="601" w:firstLine="0"/>
        <w:jc w:val="both"/>
        <w:rPr>
          <w:rFonts w:ascii="Calibri" w:eastAsia="Lato" w:hAnsi="Calibri" w:cs="Lato"/>
          <w:color w:val="000000"/>
          <w:lang w:eastAsia="en-IN"/>
        </w:rPr>
      </w:pPr>
      <w:r w:rsidRPr="00862056">
        <w:rPr>
          <w:rFonts w:ascii="Calibri" w:eastAsia="Times New Roman" w:hAnsi="Calibri" w:cs="Times New Roman"/>
          <w:b/>
          <w:color w:val="000000"/>
          <w:lang w:eastAsia="en-IN"/>
        </w:rPr>
        <w:t xml:space="preserve">First, </w:t>
      </w:r>
      <w:r>
        <w:rPr>
          <w:rFonts w:ascii="Calibri" w:eastAsia="Times New Roman" w:hAnsi="Calibri" w:cs="Times New Roman"/>
          <w:b/>
          <w:color w:val="000000"/>
          <w:lang w:eastAsia="en-IN"/>
        </w:rPr>
        <w:t>NGF</w:t>
      </w:r>
      <w:r w:rsidRPr="00862056">
        <w:rPr>
          <w:rFonts w:ascii="Calibri" w:eastAsia="Times New Roman" w:hAnsi="Calibri" w:cs="Times New Roman"/>
          <w:b/>
          <w:color w:val="000000"/>
          <w:lang w:eastAsia="en-IN"/>
        </w:rPr>
        <w:t xml:space="preserve"> will be valuable for financing larger-</w:t>
      </w:r>
      <w:r w:rsidRPr="00862056">
        <w:rPr>
          <w:rFonts w:ascii="Calibri" w:eastAsia="Times New Roman" w:hAnsi="Calibri" w:cs="Times New Roman"/>
          <w:b/>
          <w:lang w:eastAsia="en-IN"/>
        </w:rPr>
        <w:t>sized</w:t>
      </w:r>
      <w:r w:rsidRPr="00862056">
        <w:rPr>
          <w:rFonts w:ascii="Calibri" w:eastAsia="Times New Roman" w:hAnsi="Calibri" w:cs="Times New Roman"/>
          <w:b/>
          <w:color w:val="000000"/>
          <w:lang w:eastAsia="en-IN"/>
        </w:rPr>
        <w:t xml:space="preserve"> national infrastructure projects with important geopolitical implications. </w:t>
      </w:r>
      <w:r w:rsidRPr="00862056">
        <w:rPr>
          <w:rFonts w:ascii="Calibri" w:eastAsia="Times New Roman" w:hAnsi="Calibri" w:cs="Times New Roman"/>
          <w:color w:val="000000"/>
          <w:lang w:eastAsia="en-IN"/>
        </w:rPr>
        <w:t>Grants, by nature, are constrained by size and more suited for projects that may not have the potential to generate profit over extended periods of time. Given their ability to attract and repay investments, large, revenue-generating projects are principally funded through loan and equity investments</w:t>
      </w:r>
      <w:r>
        <w:rPr>
          <w:rFonts w:ascii="Calibri" w:eastAsia="Times New Roman" w:hAnsi="Calibri" w:cs="Times New Roman"/>
          <w:color w:val="000000"/>
          <w:lang w:eastAsia="en-IN"/>
        </w:rPr>
        <w:t>.</w:t>
      </w:r>
      <w:r w:rsidRPr="00862056">
        <w:rPr>
          <w:rFonts w:ascii="Calibri" w:eastAsia="Lato" w:hAnsi="Calibri" w:cs="Lato"/>
          <w:vertAlign w:val="superscript"/>
          <w:lang w:eastAsia="en-IN"/>
        </w:rPr>
        <w:footnoteReference w:id="158"/>
      </w:r>
      <w:r w:rsidRPr="00862056">
        <w:rPr>
          <w:rFonts w:ascii="Calibri" w:eastAsia="Times New Roman" w:hAnsi="Calibri" w:cs="Times New Roman"/>
          <w:color w:val="000000"/>
          <w:lang w:eastAsia="en-IN"/>
        </w:rPr>
        <w:t xml:space="preserve"> As such, aid may be best reserved for other </w:t>
      </w:r>
      <w:r w:rsidRPr="00862056">
        <w:rPr>
          <w:rFonts w:ascii="Calibri" w:eastAsia="Times New Roman" w:hAnsi="Calibri" w:cs="Times New Roman"/>
          <w:lang w:eastAsia="en-IN"/>
        </w:rPr>
        <w:t>sub-commercial non-</w:t>
      </w:r>
      <w:r w:rsidRPr="00862056">
        <w:rPr>
          <w:rFonts w:ascii="Calibri" w:eastAsia="Times New Roman" w:hAnsi="Calibri" w:cs="Times New Roman"/>
          <w:color w:val="000000"/>
          <w:lang w:eastAsia="en-IN"/>
        </w:rPr>
        <w:t xml:space="preserve">revenue generating projects and sectors. </w:t>
      </w:r>
    </w:p>
    <w:p w14:paraId="6CB0BE42" w14:textId="3588D8D1" w:rsidR="00456443" w:rsidRPr="00FC682D" w:rsidRDefault="00456443" w:rsidP="00FC682D">
      <w:pPr>
        <w:numPr>
          <w:ilvl w:val="0"/>
          <w:numId w:val="69"/>
        </w:numPr>
        <w:tabs>
          <w:tab w:val="left" w:pos="360"/>
          <w:tab w:val="left" w:pos="540"/>
        </w:tabs>
        <w:spacing w:before="120" w:after="120" w:line="240" w:lineRule="auto"/>
        <w:ind w:left="0" w:right="601" w:firstLine="0"/>
        <w:jc w:val="both"/>
        <w:rPr>
          <w:rFonts w:ascii="Calibri" w:eastAsia="Lato" w:hAnsi="Calibri" w:cs="Lato"/>
          <w:color w:val="000000"/>
          <w:lang w:eastAsia="en-IN"/>
        </w:rPr>
      </w:pPr>
      <w:r w:rsidRPr="00FC682D">
        <w:rPr>
          <w:rFonts w:ascii="Calibri" w:eastAsia="Times New Roman" w:hAnsi="Calibri" w:cs="Times New Roman"/>
          <w:color w:val="000000"/>
          <w:lang w:eastAsia="en-IN"/>
        </w:rPr>
        <w:t xml:space="preserve">Adding NGF to the current set of offerings can enable Australia to make investments multiple times </w:t>
      </w:r>
      <w:r w:rsidRPr="00FC682D">
        <w:rPr>
          <w:rFonts w:ascii="Calibri" w:eastAsia="Times New Roman" w:hAnsi="Calibri" w:cs="Times New Roman"/>
          <w:lang w:eastAsia="en-IN"/>
        </w:rPr>
        <w:t>larger than</w:t>
      </w:r>
      <w:r w:rsidRPr="00FC682D">
        <w:rPr>
          <w:rFonts w:ascii="Calibri" w:eastAsia="Times New Roman" w:hAnsi="Calibri" w:cs="Times New Roman"/>
          <w:color w:val="000000"/>
          <w:lang w:eastAsia="en-IN"/>
        </w:rPr>
        <w:t xml:space="preserve"> current grant </w:t>
      </w:r>
      <w:r w:rsidRPr="00FC682D">
        <w:rPr>
          <w:rFonts w:ascii="Calibri" w:eastAsia="Times New Roman" w:hAnsi="Calibri" w:cs="Times New Roman"/>
          <w:lang w:eastAsia="en-IN"/>
        </w:rPr>
        <w:t>investment sizes</w:t>
      </w:r>
      <w:r w:rsidRPr="00FC682D">
        <w:rPr>
          <w:rFonts w:ascii="Calibri" w:eastAsia="Times New Roman" w:hAnsi="Calibri" w:cs="Times New Roman"/>
          <w:color w:val="000000"/>
          <w:lang w:eastAsia="en-IN"/>
        </w:rPr>
        <w:t xml:space="preserve">, and hence fund larger projects. Some </w:t>
      </w:r>
      <w:r w:rsidRPr="00FC682D">
        <w:rPr>
          <w:rFonts w:ascii="Calibri" w:eastAsia="Times New Roman" w:hAnsi="Calibri" w:cs="Times New Roman"/>
          <w:color w:val="000000"/>
          <w:lang w:eastAsia="en-IN"/>
        </w:rPr>
        <w:lastRenderedPageBreak/>
        <w:t xml:space="preserve">of the other players’ investments in individual infrastructure projects surpass Australia’s entire annual </w:t>
      </w:r>
      <w:r w:rsidRPr="00FC682D">
        <w:rPr>
          <w:rFonts w:ascii="Calibri" w:eastAsia="Times New Roman" w:hAnsi="Calibri" w:cs="Times New Roman"/>
          <w:lang w:eastAsia="en-IN"/>
        </w:rPr>
        <w:t>development assistance</w:t>
      </w:r>
      <w:r w:rsidRPr="00FC682D">
        <w:rPr>
          <w:rFonts w:ascii="Calibri" w:eastAsia="Times New Roman" w:hAnsi="Calibri" w:cs="Times New Roman"/>
          <w:color w:val="000000"/>
          <w:lang w:eastAsia="en-IN"/>
        </w:rPr>
        <w:t xml:space="preserve"> budget for Vanuatu. Instruments such as loans can, within the same financial envelope, be offered responsibly in much larger sums than grants </w:t>
      </w:r>
      <w:proofErr w:type="gramStart"/>
      <w:r w:rsidRPr="00FC682D">
        <w:rPr>
          <w:rFonts w:ascii="Calibri" w:eastAsia="Times New Roman" w:hAnsi="Calibri" w:cs="Times New Roman"/>
          <w:color w:val="000000"/>
          <w:lang w:eastAsia="en-IN"/>
        </w:rPr>
        <w:t>in order to</w:t>
      </w:r>
      <w:proofErr w:type="gramEnd"/>
      <w:r w:rsidRPr="00FC682D">
        <w:rPr>
          <w:rFonts w:ascii="Calibri" w:eastAsia="Times New Roman" w:hAnsi="Calibri" w:cs="Times New Roman"/>
          <w:color w:val="000000"/>
          <w:lang w:eastAsia="en-IN"/>
        </w:rPr>
        <w:t xml:space="preserve"> help finance larger and costlier developments projects. </w:t>
      </w:r>
      <w:r w:rsidRPr="00FC682D">
        <w:rPr>
          <w:rFonts w:ascii="Calibri" w:eastAsia="Times New Roman" w:hAnsi="Calibri" w:cs="Times New Roman"/>
          <w:lang w:eastAsia="en-IN"/>
        </w:rPr>
        <w:t xml:space="preserve">Risk aside, </w:t>
      </w:r>
      <w:r w:rsidRPr="00FC682D">
        <w:rPr>
          <w:rFonts w:ascii="Calibri" w:eastAsia="Times New Roman" w:hAnsi="Calibri" w:cs="Times New Roman"/>
          <w:color w:val="000000"/>
          <w:lang w:eastAsia="en-IN"/>
        </w:rPr>
        <w:t xml:space="preserve">a </w:t>
      </w:r>
      <w:r w:rsidR="00800236" w:rsidRPr="00FC682D">
        <w:rPr>
          <w:rFonts w:ascii="Calibri" w:eastAsia="Times New Roman" w:hAnsi="Calibri" w:cs="Times New Roman"/>
          <w:color w:val="000000"/>
          <w:lang w:eastAsia="en-IN"/>
        </w:rPr>
        <w:t>US$</w:t>
      </w:r>
      <w:r w:rsidRPr="00FC682D">
        <w:rPr>
          <w:rFonts w:ascii="Calibri" w:eastAsia="Times New Roman" w:hAnsi="Calibri" w:cs="Times New Roman"/>
          <w:color w:val="000000"/>
          <w:lang w:eastAsia="en-IN"/>
        </w:rPr>
        <w:t xml:space="preserve"> 100 million zero-interest loan for a period of thre</w:t>
      </w:r>
      <w:r w:rsidRPr="00FC682D">
        <w:rPr>
          <w:rFonts w:ascii="Calibri" w:eastAsia="Times New Roman" w:hAnsi="Calibri" w:cs="Times New Roman"/>
          <w:lang w:eastAsia="en-IN"/>
        </w:rPr>
        <w:t>e years represents the same expenditure as a</w:t>
      </w:r>
      <w:r w:rsidRPr="00FC682D">
        <w:rPr>
          <w:rFonts w:ascii="Calibri" w:eastAsia="Times New Roman" w:hAnsi="Calibri" w:cs="Times New Roman"/>
          <w:color w:val="000000"/>
          <w:lang w:eastAsia="en-IN"/>
        </w:rPr>
        <w:t xml:space="preserve"> </w:t>
      </w:r>
      <w:r w:rsidR="00800236" w:rsidRPr="00FC682D">
        <w:rPr>
          <w:rFonts w:ascii="Calibri" w:eastAsia="Times New Roman" w:hAnsi="Calibri" w:cs="Times New Roman"/>
          <w:color w:val="000000"/>
          <w:lang w:eastAsia="en-IN"/>
        </w:rPr>
        <w:t>US$</w:t>
      </w:r>
      <w:r w:rsidRPr="00FC682D">
        <w:rPr>
          <w:rFonts w:ascii="Calibri" w:eastAsia="Times New Roman" w:hAnsi="Calibri" w:cs="Times New Roman"/>
          <w:color w:val="000000"/>
          <w:lang w:eastAsia="en-IN"/>
        </w:rPr>
        <w:t xml:space="preserve"> 1</w:t>
      </w:r>
      <w:r w:rsidRPr="00FC682D">
        <w:rPr>
          <w:rFonts w:ascii="Calibri" w:eastAsia="Times New Roman" w:hAnsi="Calibri" w:cs="Times New Roman"/>
          <w:lang w:eastAsia="en-IN"/>
        </w:rPr>
        <w:t>9</w:t>
      </w:r>
      <w:r w:rsidRPr="00FC682D">
        <w:rPr>
          <w:rFonts w:ascii="Calibri" w:eastAsia="Times New Roman" w:hAnsi="Calibri" w:cs="Times New Roman"/>
          <w:color w:val="000000"/>
          <w:lang w:eastAsia="en-IN"/>
        </w:rPr>
        <w:t xml:space="preserve"> million one-year </w:t>
      </w:r>
      <w:r w:rsidRPr="00FC682D">
        <w:rPr>
          <w:rFonts w:ascii="Calibri" w:eastAsia="Times New Roman" w:hAnsi="Calibri" w:cs="Times New Roman"/>
          <w:lang w:eastAsia="en-IN"/>
        </w:rPr>
        <w:t>grant,</w:t>
      </w:r>
      <w:r w:rsidRPr="00862056">
        <w:rPr>
          <w:rFonts w:ascii="Calibri" w:eastAsia="Lato" w:hAnsi="Calibri" w:cs="Lato"/>
          <w:vertAlign w:val="superscript"/>
          <w:lang w:eastAsia="en-IN"/>
        </w:rPr>
        <w:footnoteReference w:id="159"/>
      </w:r>
      <w:r w:rsidRPr="00FC682D">
        <w:rPr>
          <w:rFonts w:ascii="Calibri" w:eastAsia="Times New Roman" w:hAnsi="Calibri" w:cs="Times New Roman"/>
          <w:color w:val="000000"/>
          <w:lang w:eastAsia="en-IN"/>
        </w:rPr>
        <w:t xml:space="preserve"> yet larger env</w:t>
      </w:r>
      <w:r w:rsidRPr="00FC682D">
        <w:rPr>
          <w:rFonts w:ascii="Calibri" w:eastAsia="Times New Roman" w:hAnsi="Calibri" w:cs="Times New Roman"/>
          <w:lang w:eastAsia="en-IN"/>
        </w:rPr>
        <w:t xml:space="preserve">elopes can go further toward funding much larger projects. </w:t>
      </w:r>
      <w:r w:rsidRPr="00FC682D">
        <w:rPr>
          <w:rFonts w:ascii="Calibri" w:eastAsia="Times New Roman" w:hAnsi="Calibri" w:cs="Times New Roman"/>
          <w:color w:val="000000"/>
          <w:lang w:eastAsia="en-IN"/>
        </w:rPr>
        <w:t xml:space="preserve">For instance, JICA invested in the </w:t>
      </w:r>
      <w:proofErr w:type="spellStart"/>
      <w:r w:rsidRPr="00FC682D">
        <w:rPr>
          <w:rFonts w:ascii="Calibri" w:eastAsia="Times New Roman" w:hAnsi="Calibri" w:cs="Times New Roman"/>
          <w:color w:val="000000"/>
          <w:lang w:eastAsia="en-IN"/>
        </w:rPr>
        <w:t>Lapetasi</w:t>
      </w:r>
      <w:proofErr w:type="spellEnd"/>
      <w:r w:rsidRPr="00FC682D">
        <w:rPr>
          <w:rFonts w:ascii="Calibri" w:eastAsia="Times New Roman" w:hAnsi="Calibri" w:cs="Times New Roman"/>
          <w:color w:val="000000"/>
          <w:lang w:eastAsia="en-IN"/>
        </w:rPr>
        <w:t xml:space="preserve"> wharf to the tune of </w:t>
      </w:r>
      <w:r w:rsidR="00800236" w:rsidRPr="00FC682D">
        <w:rPr>
          <w:rFonts w:ascii="Calibri" w:eastAsia="Times New Roman" w:hAnsi="Calibri" w:cs="Times New Roman"/>
          <w:color w:val="000000"/>
          <w:lang w:eastAsia="en-IN"/>
        </w:rPr>
        <w:t>US$</w:t>
      </w:r>
      <w:r w:rsidRPr="00FC682D">
        <w:rPr>
          <w:rFonts w:ascii="Calibri" w:eastAsia="Times New Roman" w:hAnsi="Calibri" w:cs="Times New Roman"/>
          <w:color w:val="000000"/>
          <w:lang w:eastAsia="en-IN"/>
        </w:rPr>
        <w:t xml:space="preserve"> </w:t>
      </w:r>
      <w:r w:rsidRPr="00FC682D">
        <w:rPr>
          <w:rFonts w:ascii="Calibri" w:eastAsia="Times New Roman" w:hAnsi="Calibri" w:cs="Times New Roman"/>
          <w:lang w:eastAsia="en-IN"/>
        </w:rPr>
        <w:t>7</w:t>
      </w:r>
      <w:r w:rsidRPr="00FC682D">
        <w:rPr>
          <w:rFonts w:ascii="Calibri" w:eastAsia="Times New Roman" w:hAnsi="Calibri" w:cs="Times New Roman"/>
          <w:color w:val="000000"/>
          <w:lang w:eastAsia="en-IN"/>
        </w:rPr>
        <w:t xml:space="preserve">0 million—almost equal to the total annual </w:t>
      </w:r>
      <w:r w:rsidRPr="00FC682D">
        <w:rPr>
          <w:rFonts w:ascii="Calibri" w:eastAsia="Times New Roman" w:hAnsi="Calibri" w:cs="Times New Roman"/>
          <w:lang w:eastAsia="en-IN"/>
        </w:rPr>
        <w:t>development assistance</w:t>
      </w:r>
      <w:r w:rsidRPr="00FC682D">
        <w:rPr>
          <w:rFonts w:ascii="Calibri" w:eastAsia="Times New Roman" w:hAnsi="Calibri" w:cs="Times New Roman"/>
          <w:color w:val="000000"/>
          <w:lang w:eastAsia="en-IN"/>
        </w:rPr>
        <w:t xml:space="preserve"> budget that </w:t>
      </w:r>
      <w:r w:rsidRPr="00FC682D">
        <w:rPr>
          <w:rFonts w:ascii="Calibri" w:eastAsia="MS Mincho" w:hAnsi="Calibri" w:cs="Times New Roman"/>
          <w:lang w:val="en-US"/>
        </w:rPr>
        <w:t>Australia</w:t>
      </w:r>
      <w:r w:rsidRPr="00FC682D">
        <w:rPr>
          <w:rFonts w:ascii="Calibri" w:eastAsia="Times New Roman" w:hAnsi="Calibri" w:cs="Times New Roman"/>
          <w:color w:val="000000"/>
          <w:lang w:eastAsia="en-IN"/>
        </w:rPr>
        <w:t xml:space="preserve"> allocates for Vanuatu.</w:t>
      </w:r>
      <w:r w:rsidRPr="00862056">
        <w:rPr>
          <w:rFonts w:ascii="Calibri" w:eastAsia="Lato" w:hAnsi="Calibri" w:cs="Lato"/>
          <w:vertAlign w:val="superscript"/>
          <w:lang w:eastAsia="en-IN"/>
        </w:rPr>
        <w:footnoteReference w:id="160"/>
      </w:r>
      <w:r w:rsidRPr="00FC682D">
        <w:rPr>
          <w:rFonts w:ascii="Calibri" w:eastAsia="Times New Roman" w:hAnsi="Calibri" w:cs="Times New Roman"/>
          <w:color w:val="000000"/>
          <w:lang w:eastAsia="en-IN"/>
        </w:rPr>
        <w:t xml:space="preserve"> </w:t>
      </w:r>
    </w:p>
    <w:p w14:paraId="537FEA07" w14:textId="51C37EF3" w:rsidR="00456443" w:rsidRPr="00862056" w:rsidRDefault="00456443" w:rsidP="00456443">
      <w:pPr>
        <w:numPr>
          <w:ilvl w:val="0"/>
          <w:numId w:val="70"/>
        </w:numPr>
        <w:tabs>
          <w:tab w:val="left" w:pos="360"/>
          <w:tab w:val="left" w:pos="540"/>
        </w:tabs>
        <w:spacing w:before="120" w:after="120" w:line="240" w:lineRule="auto"/>
        <w:ind w:left="0" w:right="601" w:firstLine="0"/>
        <w:jc w:val="both"/>
        <w:rPr>
          <w:rFonts w:ascii="Calibri" w:eastAsia="Times New Roman" w:hAnsi="Calibri" w:cs="Times New Roman"/>
          <w:color w:val="000000"/>
          <w:lang w:eastAsia="en-IN"/>
        </w:rPr>
      </w:pPr>
      <w:r w:rsidRPr="00862056">
        <w:rPr>
          <w:rFonts w:ascii="Calibri" w:eastAsia="Times New Roman" w:hAnsi="Calibri" w:cs="Times New Roman"/>
          <w:color w:val="000000"/>
          <w:lang w:eastAsia="en-IN"/>
        </w:rPr>
        <w:t xml:space="preserve">Opportunities to deploy </w:t>
      </w:r>
      <w:r>
        <w:rPr>
          <w:rFonts w:ascii="Calibri" w:eastAsia="Times New Roman" w:hAnsi="Calibri" w:cs="Times New Roman"/>
          <w:color w:val="000000"/>
          <w:lang w:eastAsia="en-IN"/>
        </w:rPr>
        <w:t>NGF</w:t>
      </w:r>
      <w:r w:rsidRPr="00862056">
        <w:rPr>
          <w:rFonts w:ascii="Calibri" w:eastAsia="Times New Roman" w:hAnsi="Calibri" w:cs="Times New Roman"/>
          <w:color w:val="000000"/>
          <w:lang w:eastAsia="en-IN"/>
        </w:rPr>
        <w:t xml:space="preserve"> may not </w:t>
      </w:r>
      <w:r w:rsidRPr="00862056">
        <w:rPr>
          <w:rFonts w:ascii="Calibri" w:eastAsia="Times New Roman" w:hAnsi="Calibri" w:cs="Times New Roman"/>
          <w:lang w:eastAsia="en-IN"/>
        </w:rPr>
        <w:t>surface</w:t>
      </w:r>
      <w:r w:rsidRPr="00862056">
        <w:rPr>
          <w:rFonts w:ascii="Calibri" w:eastAsia="Times New Roman" w:hAnsi="Calibri" w:cs="Times New Roman"/>
          <w:color w:val="000000"/>
          <w:lang w:eastAsia="en-IN"/>
        </w:rPr>
        <w:t xml:space="preserve"> in the near term due to </w:t>
      </w:r>
      <w:proofErr w:type="gramStart"/>
      <w:r w:rsidRPr="00862056">
        <w:rPr>
          <w:rFonts w:ascii="Calibri" w:eastAsia="Times New Roman" w:hAnsi="Calibri" w:cs="Times New Roman"/>
          <w:color w:val="000000"/>
          <w:lang w:eastAsia="en-IN"/>
        </w:rPr>
        <w:t>a number of</w:t>
      </w:r>
      <w:proofErr w:type="gramEnd"/>
      <w:r w:rsidRPr="00862056">
        <w:rPr>
          <w:rFonts w:ascii="Calibri" w:eastAsia="Times New Roman" w:hAnsi="Calibri" w:cs="Times New Roman"/>
          <w:color w:val="000000"/>
          <w:lang w:eastAsia="en-IN"/>
        </w:rPr>
        <w:t xml:space="preserve"> factors. </w:t>
      </w:r>
      <w:r w:rsidRPr="00862056">
        <w:rPr>
          <w:rFonts w:ascii="Calibri" w:eastAsia="Times New Roman" w:hAnsi="Calibri" w:cs="Times New Roman"/>
          <w:lang w:eastAsia="en-IN"/>
        </w:rPr>
        <w:t xml:space="preserve">The constrained market size, sparse private sector activity and institutional weaknesses can all deter private players, while investors like JICA are already actively meeting many of the existing major opportunities to deploy </w:t>
      </w:r>
      <w:r>
        <w:rPr>
          <w:rFonts w:ascii="Calibri" w:eastAsia="Times New Roman" w:hAnsi="Calibri" w:cs="Times New Roman"/>
          <w:lang w:eastAsia="en-IN"/>
        </w:rPr>
        <w:t>NGF</w:t>
      </w:r>
      <w:r w:rsidRPr="00862056">
        <w:rPr>
          <w:rFonts w:ascii="Calibri" w:eastAsia="Times New Roman" w:hAnsi="Calibri" w:cs="Times New Roman"/>
          <w:lang w:eastAsia="en-IN"/>
        </w:rPr>
        <w:t xml:space="preserve">. Moreover, many of the opportunities that have surfaced—such as lending through green bonds or supporting company-led projects to improve and expand telecommunication, electricity, </w:t>
      </w:r>
      <w:proofErr w:type="gramStart"/>
      <w:r w:rsidRPr="00862056">
        <w:rPr>
          <w:rFonts w:ascii="Calibri" w:eastAsia="Times New Roman" w:hAnsi="Calibri" w:cs="Times New Roman"/>
          <w:lang w:eastAsia="en-IN"/>
        </w:rPr>
        <w:t>water</w:t>
      </w:r>
      <w:proofErr w:type="gramEnd"/>
      <w:r w:rsidRPr="00862056">
        <w:rPr>
          <w:rFonts w:ascii="Calibri" w:eastAsia="Times New Roman" w:hAnsi="Calibri" w:cs="Times New Roman"/>
          <w:lang w:eastAsia="en-IN"/>
        </w:rPr>
        <w:t xml:space="preserve"> and transport infrastructure—are still theoretical at this stage; none are actually underway or in the pipeline. Taken together, these factors do not paint an encouraging picture for bankable opportunities right now. However, </w:t>
      </w:r>
      <w:r w:rsidRPr="00862056">
        <w:rPr>
          <w:rFonts w:ascii="Calibri" w:eastAsia="Times New Roman" w:hAnsi="Calibri" w:cs="Times New Roman"/>
          <w:color w:val="000000"/>
          <w:lang w:eastAsia="en-IN"/>
        </w:rPr>
        <w:t xml:space="preserve">having access to </w:t>
      </w:r>
      <w:r>
        <w:rPr>
          <w:rFonts w:ascii="Calibri" w:eastAsia="Times New Roman" w:hAnsi="Calibri" w:cs="Times New Roman"/>
          <w:color w:val="000000"/>
          <w:lang w:eastAsia="en-IN"/>
        </w:rPr>
        <w:t>NGF</w:t>
      </w:r>
      <w:r w:rsidRPr="00862056">
        <w:rPr>
          <w:rFonts w:ascii="Calibri" w:eastAsia="Times New Roman" w:hAnsi="Calibri" w:cs="Times New Roman"/>
          <w:color w:val="000000"/>
          <w:lang w:eastAsia="en-IN"/>
        </w:rPr>
        <w:t xml:space="preserve"> would be valuable should opportunities for larger-</w:t>
      </w:r>
      <w:r w:rsidRPr="00862056">
        <w:rPr>
          <w:rFonts w:ascii="Calibri" w:eastAsia="Times New Roman" w:hAnsi="Calibri" w:cs="Times New Roman"/>
          <w:lang w:eastAsia="en-IN"/>
        </w:rPr>
        <w:t>sized</w:t>
      </w:r>
      <w:r w:rsidRPr="00862056">
        <w:rPr>
          <w:rFonts w:ascii="Calibri" w:eastAsia="Times New Roman" w:hAnsi="Calibri" w:cs="Times New Roman"/>
          <w:color w:val="000000"/>
          <w:lang w:eastAsia="en-IN"/>
        </w:rPr>
        <w:t xml:space="preserve"> infrastructure projects with geopolitical advantages present themselves in the future. As such opportunities reached readiness, investments could be made either directly or through institutional investors such as the Vanuatu National Provident Fund, a joint investment platform of the pension funds of various Pacific islands, or the Australia</w:t>
      </w:r>
      <w:r w:rsidRPr="00862056">
        <w:rPr>
          <w:rFonts w:ascii="Calibri" w:eastAsia="Times New Roman" w:hAnsi="Calibri" w:cs="Times New Roman"/>
          <w:lang w:eastAsia="en-IN"/>
        </w:rPr>
        <w:t>n High Commission’s</w:t>
      </w:r>
      <w:r w:rsidRPr="00862056">
        <w:rPr>
          <w:rFonts w:ascii="Calibri" w:eastAsia="Times New Roman" w:hAnsi="Calibri" w:cs="Times New Roman"/>
          <w:color w:val="000000"/>
          <w:lang w:eastAsia="en-IN"/>
        </w:rPr>
        <w:t xml:space="preserve"> developments in new areas. Examples of potential larger-profile infrastructure projects include the following: </w:t>
      </w:r>
    </w:p>
    <w:p w14:paraId="6D41F8B7" w14:textId="77777777" w:rsidR="00456443" w:rsidRPr="00862056" w:rsidRDefault="00456443" w:rsidP="00456443">
      <w:pPr>
        <w:numPr>
          <w:ilvl w:val="0"/>
          <w:numId w:val="55"/>
        </w:numPr>
        <w:pBdr>
          <w:top w:val="nil"/>
          <w:left w:val="nil"/>
          <w:bottom w:val="nil"/>
          <w:right w:val="nil"/>
          <w:between w:val="nil"/>
        </w:pBdr>
        <w:tabs>
          <w:tab w:val="left" w:pos="360"/>
        </w:tabs>
        <w:spacing w:before="120" w:after="120" w:line="240" w:lineRule="auto"/>
        <w:ind w:right="602"/>
        <w:jc w:val="both"/>
        <w:rPr>
          <w:rFonts w:ascii="Calibri" w:eastAsia="Lato" w:hAnsi="Calibri" w:cs="Lato"/>
          <w:color w:val="000000"/>
          <w:lang w:eastAsia="en-IN"/>
        </w:rPr>
      </w:pPr>
      <w:r w:rsidRPr="00862056">
        <w:rPr>
          <w:rFonts w:ascii="Calibri" w:eastAsia="Times New Roman" w:hAnsi="Calibri" w:cs="Times New Roman"/>
          <w:b/>
          <w:color w:val="000000"/>
          <w:lang w:eastAsia="en-IN"/>
        </w:rPr>
        <w:t>Ports.</w:t>
      </w:r>
      <w:r w:rsidRPr="00862056">
        <w:rPr>
          <w:rFonts w:ascii="Calibri" w:eastAsia="Times New Roman" w:hAnsi="Calibri" w:cs="Times New Roman"/>
          <w:color w:val="000000"/>
          <w:lang w:eastAsia="en-IN"/>
        </w:rPr>
        <w:t xml:space="preserve"> As trade improves, there is potential to increase the capacity of existing ports and wharfs or build new ones. These projects can be funded through long-term concessional loans with repayment ensured by the revenue stream generated by the project.</w:t>
      </w:r>
    </w:p>
    <w:p w14:paraId="16EF6D15" w14:textId="3E707FAC" w:rsidR="00456443" w:rsidRPr="00862056" w:rsidRDefault="00456443" w:rsidP="00456443">
      <w:pPr>
        <w:numPr>
          <w:ilvl w:val="2"/>
          <w:numId w:val="60"/>
        </w:numPr>
        <w:pBdr>
          <w:top w:val="nil"/>
          <w:left w:val="nil"/>
          <w:bottom w:val="nil"/>
          <w:right w:val="nil"/>
          <w:between w:val="nil"/>
        </w:pBdr>
        <w:tabs>
          <w:tab w:val="left" w:pos="360"/>
          <w:tab w:val="left" w:pos="540"/>
        </w:tabs>
        <w:spacing w:before="120" w:after="120" w:line="240" w:lineRule="auto"/>
        <w:ind w:right="602"/>
        <w:jc w:val="both"/>
        <w:rPr>
          <w:rFonts w:ascii="Calibri" w:eastAsia="Lato" w:hAnsi="Calibri" w:cs="Lato"/>
          <w:color w:val="000000"/>
          <w:lang w:eastAsia="en-IN"/>
        </w:rPr>
      </w:pPr>
      <w:r w:rsidRPr="00862056">
        <w:rPr>
          <w:rFonts w:ascii="Calibri" w:eastAsia="Times New Roman" w:hAnsi="Calibri" w:cs="Times New Roman"/>
          <w:color w:val="000000"/>
          <w:lang w:eastAsia="en-IN"/>
        </w:rPr>
        <w:t xml:space="preserve">For instance, JICA funded the construction of the new </w:t>
      </w:r>
      <w:proofErr w:type="spellStart"/>
      <w:r w:rsidRPr="00862056">
        <w:rPr>
          <w:rFonts w:ascii="Calibri" w:eastAsia="Times New Roman" w:hAnsi="Calibri" w:cs="Times New Roman"/>
          <w:color w:val="000000"/>
          <w:lang w:eastAsia="en-IN"/>
        </w:rPr>
        <w:t>Lapetasi</w:t>
      </w:r>
      <w:proofErr w:type="spellEnd"/>
      <w:r w:rsidRPr="00862056">
        <w:rPr>
          <w:rFonts w:ascii="Calibri" w:eastAsia="Times New Roman" w:hAnsi="Calibri" w:cs="Times New Roman"/>
          <w:color w:val="000000"/>
          <w:lang w:eastAsia="en-IN"/>
        </w:rPr>
        <w:t xml:space="preserve"> wharf, container yard and facilities in Port Vila to alleviate the high berth occupancy at the existing International Wharf. The project aimed to improve efficiency, mitigate the high cost of stevedoring and reduce delays and congestion that were causing poor delivery capacity of containers and cargo to consignees. The facility was funded through long-term concessional loans in the range of </w:t>
      </w:r>
      <w:r w:rsidR="00800236">
        <w:rPr>
          <w:rFonts w:ascii="Calibri" w:eastAsia="Times New Roman" w:hAnsi="Calibri" w:cs="Times New Roman"/>
          <w:color w:val="000000"/>
          <w:lang w:eastAsia="en-IN"/>
        </w:rPr>
        <w:t>US$</w:t>
      </w:r>
      <w:r w:rsidRPr="00862056">
        <w:rPr>
          <w:rFonts w:ascii="Calibri" w:eastAsia="Times New Roman" w:hAnsi="Calibri" w:cs="Times New Roman"/>
          <w:color w:val="000000"/>
          <w:lang w:eastAsia="en-IN"/>
        </w:rPr>
        <w:t xml:space="preserve"> </w:t>
      </w:r>
      <w:r w:rsidRPr="00862056">
        <w:rPr>
          <w:rFonts w:ascii="Calibri" w:eastAsia="Times New Roman" w:hAnsi="Calibri" w:cs="Times New Roman"/>
          <w:lang w:eastAsia="en-IN"/>
        </w:rPr>
        <w:t>7</w:t>
      </w:r>
      <w:r w:rsidRPr="00862056">
        <w:rPr>
          <w:rFonts w:ascii="Calibri" w:eastAsia="Times New Roman" w:hAnsi="Calibri" w:cs="Times New Roman"/>
          <w:color w:val="000000"/>
          <w:lang w:eastAsia="en-IN"/>
        </w:rPr>
        <w:t xml:space="preserve">0 million with ten years of grace period. Loans were awarded to a private entity, </w:t>
      </w:r>
      <w:proofErr w:type="spellStart"/>
      <w:r w:rsidRPr="00862056">
        <w:rPr>
          <w:rFonts w:ascii="Calibri" w:eastAsia="Times New Roman" w:hAnsi="Calibri" w:cs="Times New Roman"/>
          <w:color w:val="000000"/>
          <w:lang w:eastAsia="en-IN"/>
        </w:rPr>
        <w:t>Ifira</w:t>
      </w:r>
      <w:proofErr w:type="spellEnd"/>
      <w:r w:rsidRPr="00862056">
        <w:rPr>
          <w:rFonts w:ascii="Calibri" w:eastAsia="Times New Roman" w:hAnsi="Calibri" w:cs="Times New Roman"/>
          <w:color w:val="000000"/>
          <w:lang w:eastAsia="en-IN"/>
        </w:rPr>
        <w:t xml:space="preserve"> Trust Limited, which expects the project to generate a steady flow of cash—currently being used to repay the loan.</w:t>
      </w:r>
    </w:p>
    <w:p w14:paraId="7A3887FB" w14:textId="078DE91F" w:rsidR="00456443" w:rsidRPr="00862056" w:rsidRDefault="00456443" w:rsidP="00456443">
      <w:pPr>
        <w:numPr>
          <w:ilvl w:val="2"/>
          <w:numId w:val="60"/>
        </w:numPr>
        <w:pBdr>
          <w:top w:val="nil"/>
          <w:left w:val="nil"/>
          <w:bottom w:val="nil"/>
          <w:right w:val="nil"/>
          <w:between w:val="nil"/>
        </w:pBdr>
        <w:tabs>
          <w:tab w:val="left" w:pos="360"/>
          <w:tab w:val="left" w:pos="540"/>
        </w:tabs>
        <w:spacing w:before="120" w:after="120" w:line="240" w:lineRule="auto"/>
        <w:ind w:right="602"/>
        <w:jc w:val="both"/>
        <w:rPr>
          <w:rFonts w:ascii="Calibri" w:eastAsia="Lato" w:hAnsi="Calibri" w:cs="Lato"/>
          <w:color w:val="000000"/>
          <w:lang w:eastAsia="en-IN"/>
        </w:rPr>
      </w:pPr>
      <w:r w:rsidRPr="00862056">
        <w:rPr>
          <w:rFonts w:ascii="Calibri" w:eastAsia="Times New Roman" w:hAnsi="Calibri" w:cs="Times New Roman"/>
          <w:color w:val="000000"/>
          <w:lang w:eastAsia="en-IN"/>
        </w:rPr>
        <w:t xml:space="preserve">Similarly, China is funding the construction of a wharf in </w:t>
      </w:r>
      <w:proofErr w:type="spellStart"/>
      <w:r w:rsidRPr="00862056">
        <w:rPr>
          <w:rFonts w:ascii="Calibri" w:eastAsia="Times New Roman" w:hAnsi="Calibri" w:cs="Times New Roman"/>
          <w:color w:val="000000"/>
          <w:lang w:eastAsia="en-IN"/>
        </w:rPr>
        <w:t>Luganville</w:t>
      </w:r>
      <w:proofErr w:type="spellEnd"/>
      <w:r w:rsidRPr="00862056">
        <w:rPr>
          <w:rFonts w:ascii="Calibri" w:eastAsia="Times New Roman" w:hAnsi="Calibri" w:cs="Times New Roman"/>
          <w:color w:val="000000"/>
          <w:lang w:eastAsia="en-IN"/>
        </w:rPr>
        <w:t xml:space="preserve"> at the cost of </w:t>
      </w:r>
      <w:r w:rsidR="00800236">
        <w:rPr>
          <w:rFonts w:ascii="Calibri" w:eastAsia="Times New Roman" w:hAnsi="Calibri" w:cs="Times New Roman"/>
          <w:color w:val="000000"/>
          <w:lang w:eastAsia="en-IN"/>
        </w:rPr>
        <w:t>US$</w:t>
      </w:r>
      <w:r w:rsidRPr="00862056">
        <w:rPr>
          <w:rFonts w:ascii="Calibri" w:eastAsia="Times New Roman" w:hAnsi="Calibri" w:cs="Times New Roman"/>
          <w:color w:val="000000"/>
          <w:lang w:eastAsia="en-IN"/>
        </w:rPr>
        <w:t xml:space="preserve"> 114 million, which is now the largest in the South Pacific and strategically located in the same harbour in which the US based many of its troops during World War II. The terms of the construction between China and the Vanuatu government are unknown. </w:t>
      </w:r>
    </w:p>
    <w:p w14:paraId="65C5A1B7" w14:textId="77777777" w:rsidR="00456443" w:rsidRPr="00862056" w:rsidRDefault="00456443" w:rsidP="00456443">
      <w:pPr>
        <w:numPr>
          <w:ilvl w:val="0"/>
          <w:numId w:val="56"/>
        </w:numPr>
        <w:pBdr>
          <w:top w:val="nil"/>
          <w:left w:val="nil"/>
          <w:bottom w:val="nil"/>
          <w:right w:val="nil"/>
          <w:between w:val="nil"/>
        </w:pBdr>
        <w:tabs>
          <w:tab w:val="left" w:pos="360"/>
        </w:tabs>
        <w:spacing w:before="120" w:after="120" w:line="240" w:lineRule="auto"/>
        <w:ind w:right="602"/>
        <w:jc w:val="both"/>
        <w:rPr>
          <w:rFonts w:ascii="Calibri" w:eastAsia="Lato" w:hAnsi="Calibri" w:cs="Lato"/>
          <w:color w:val="000000"/>
          <w:lang w:eastAsia="en-IN"/>
        </w:rPr>
      </w:pPr>
      <w:r w:rsidRPr="00862056">
        <w:rPr>
          <w:rFonts w:ascii="Calibri" w:eastAsia="Times New Roman" w:hAnsi="Calibri" w:cs="Times New Roman"/>
          <w:b/>
          <w:color w:val="000000"/>
          <w:lang w:eastAsia="en-IN"/>
        </w:rPr>
        <w:t xml:space="preserve">Airports. </w:t>
      </w:r>
      <w:r w:rsidRPr="00862056">
        <w:rPr>
          <w:rFonts w:ascii="Calibri" w:eastAsia="Times New Roman" w:hAnsi="Calibri" w:cs="Times New Roman"/>
          <w:color w:val="000000"/>
          <w:lang w:eastAsia="en-IN"/>
        </w:rPr>
        <w:t xml:space="preserve">As mentioned above, CCECC is currently conducting a runway upgrade of the </w:t>
      </w:r>
      <w:proofErr w:type="spellStart"/>
      <w:r w:rsidRPr="00862056">
        <w:rPr>
          <w:rFonts w:ascii="Calibri" w:eastAsia="Times New Roman" w:hAnsi="Calibri" w:cs="Times New Roman"/>
          <w:lang w:eastAsia="en-IN"/>
        </w:rPr>
        <w:t>Bauerfield</w:t>
      </w:r>
      <w:proofErr w:type="spellEnd"/>
      <w:r w:rsidRPr="00862056">
        <w:rPr>
          <w:rFonts w:ascii="Calibri" w:eastAsia="Times New Roman" w:hAnsi="Calibri" w:cs="Times New Roman"/>
          <w:color w:val="000000"/>
          <w:lang w:eastAsia="en-IN"/>
        </w:rPr>
        <w:t xml:space="preserve"> Airport in Port Vila through a World Bank-funded project. </w:t>
      </w:r>
    </w:p>
    <w:p w14:paraId="69D9DB4B" w14:textId="77777777" w:rsidR="00456443" w:rsidRPr="00862056" w:rsidRDefault="00456443" w:rsidP="00456443">
      <w:pPr>
        <w:numPr>
          <w:ilvl w:val="2"/>
          <w:numId w:val="59"/>
        </w:numPr>
        <w:pBdr>
          <w:top w:val="nil"/>
          <w:left w:val="nil"/>
          <w:bottom w:val="nil"/>
          <w:right w:val="nil"/>
          <w:between w:val="nil"/>
        </w:pBdr>
        <w:tabs>
          <w:tab w:val="left" w:pos="360"/>
          <w:tab w:val="left" w:pos="540"/>
        </w:tabs>
        <w:spacing w:before="120" w:after="120" w:line="240" w:lineRule="auto"/>
        <w:ind w:right="602"/>
        <w:jc w:val="both"/>
        <w:rPr>
          <w:rFonts w:ascii="Calibri" w:eastAsia="Lato" w:hAnsi="Calibri" w:cs="Lato"/>
          <w:color w:val="000000"/>
          <w:lang w:eastAsia="en-IN"/>
        </w:rPr>
      </w:pPr>
      <w:r w:rsidRPr="00862056">
        <w:rPr>
          <w:rFonts w:ascii="Calibri" w:eastAsia="Times New Roman" w:hAnsi="Calibri" w:cs="Times New Roman"/>
          <w:color w:val="000000"/>
          <w:lang w:eastAsia="en-IN"/>
        </w:rPr>
        <w:t xml:space="preserve">There are also plans to upgrade the </w:t>
      </w:r>
      <w:proofErr w:type="spellStart"/>
      <w:r w:rsidRPr="00862056">
        <w:rPr>
          <w:rFonts w:ascii="Calibri" w:eastAsia="Times New Roman" w:hAnsi="Calibri" w:cs="Times New Roman"/>
          <w:color w:val="000000"/>
          <w:lang w:eastAsia="en-IN"/>
        </w:rPr>
        <w:t>Pekoa</w:t>
      </w:r>
      <w:proofErr w:type="spellEnd"/>
      <w:r w:rsidRPr="00862056">
        <w:rPr>
          <w:rFonts w:ascii="Calibri" w:eastAsia="Times New Roman" w:hAnsi="Calibri" w:cs="Times New Roman"/>
          <w:color w:val="000000"/>
          <w:lang w:eastAsia="en-IN"/>
        </w:rPr>
        <w:t xml:space="preserve"> and </w:t>
      </w:r>
      <w:proofErr w:type="spellStart"/>
      <w:r w:rsidRPr="00862056">
        <w:rPr>
          <w:rFonts w:ascii="Calibri" w:eastAsia="Times New Roman" w:hAnsi="Calibri" w:cs="Times New Roman"/>
          <w:color w:val="000000"/>
          <w:lang w:eastAsia="en-IN"/>
        </w:rPr>
        <w:t>Whitegrass</w:t>
      </w:r>
      <w:proofErr w:type="spellEnd"/>
      <w:r w:rsidRPr="00862056">
        <w:rPr>
          <w:rFonts w:ascii="Calibri" w:eastAsia="Times New Roman" w:hAnsi="Calibri" w:cs="Times New Roman"/>
          <w:color w:val="000000"/>
          <w:lang w:eastAsia="en-IN"/>
        </w:rPr>
        <w:t xml:space="preserve"> International Airports with World Bank funding, but construction has not yet commenced. There may </w:t>
      </w:r>
      <w:r w:rsidRPr="00862056">
        <w:rPr>
          <w:rFonts w:ascii="Calibri" w:eastAsia="Times New Roman" w:hAnsi="Calibri" w:cs="Times New Roman"/>
          <w:color w:val="000000"/>
          <w:lang w:eastAsia="en-IN"/>
        </w:rPr>
        <w:lastRenderedPageBreak/>
        <w:t>exist scope for Australia to provide technical support and additional funding for some of the airport upgrade projects.</w:t>
      </w:r>
    </w:p>
    <w:p w14:paraId="65BEC913" w14:textId="77777777" w:rsidR="00456443" w:rsidRPr="00862056" w:rsidRDefault="00456443" w:rsidP="00456443">
      <w:pPr>
        <w:numPr>
          <w:ilvl w:val="2"/>
          <w:numId w:val="59"/>
        </w:numPr>
        <w:pBdr>
          <w:top w:val="nil"/>
          <w:left w:val="nil"/>
          <w:bottom w:val="nil"/>
          <w:right w:val="nil"/>
          <w:between w:val="nil"/>
        </w:pBdr>
        <w:tabs>
          <w:tab w:val="left" w:pos="360"/>
          <w:tab w:val="left" w:pos="540"/>
        </w:tabs>
        <w:spacing w:before="120" w:after="120" w:line="240" w:lineRule="auto"/>
        <w:ind w:right="602"/>
        <w:jc w:val="both"/>
        <w:rPr>
          <w:rFonts w:ascii="Calibri" w:eastAsia="Lato" w:hAnsi="Calibri" w:cs="Lato"/>
          <w:color w:val="000000"/>
          <w:lang w:eastAsia="en-IN"/>
        </w:rPr>
      </w:pPr>
      <w:r>
        <w:rPr>
          <w:rFonts w:ascii="Calibri" w:eastAsia="Times New Roman" w:hAnsi="Calibri" w:cs="Times New Roman"/>
          <w:color w:val="000000"/>
          <w:lang w:eastAsia="en-IN"/>
        </w:rPr>
        <w:t>PPP</w:t>
      </w:r>
      <w:r w:rsidRPr="00862056">
        <w:rPr>
          <w:rFonts w:ascii="Calibri" w:eastAsia="Times New Roman" w:hAnsi="Calibri" w:cs="Times New Roman"/>
          <w:color w:val="000000"/>
          <w:lang w:eastAsia="en-IN"/>
        </w:rPr>
        <w:t xml:space="preserve"> models such as “build-own-operate” have the potential to be used in Vanuatu as well, given the increas</w:t>
      </w:r>
      <w:r w:rsidRPr="00862056">
        <w:rPr>
          <w:rFonts w:ascii="Calibri" w:eastAsia="Times New Roman" w:hAnsi="Calibri" w:cs="Times New Roman"/>
          <w:lang w:eastAsia="en-IN"/>
        </w:rPr>
        <w:t>ing number of tourists over the years, which should positively impact airport traffic</w:t>
      </w:r>
      <w:r>
        <w:rPr>
          <w:rFonts w:ascii="Calibri" w:eastAsia="Times New Roman" w:hAnsi="Calibri" w:cs="Times New Roman"/>
          <w:lang w:eastAsia="en-IN"/>
        </w:rPr>
        <w:t>;</w:t>
      </w:r>
      <w:r w:rsidRPr="00862056">
        <w:rPr>
          <w:rFonts w:ascii="Calibri" w:eastAsia="Times New Roman" w:hAnsi="Calibri" w:cs="Times New Roman"/>
          <w:vertAlign w:val="superscript"/>
          <w:lang w:eastAsia="en-IN"/>
        </w:rPr>
        <w:footnoteReference w:id="161"/>
      </w:r>
      <w:r w:rsidRPr="00862056">
        <w:rPr>
          <w:rFonts w:ascii="Calibri" w:eastAsia="Times New Roman" w:hAnsi="Calibri" w:cs="Times New Roman"/>
          <w:color w:val="000000"/>
          <w:lang w:eastAsia="en-IN"/>
        </w:rPr>
        <w:t xml:space="preserve"> IFC is exploring such models for airports in East Timor, which may prove relevant for Vanuatu.</w:t>
      </w:r>
    </w:p>
    <w:p w14:paraId="6334CF44" w14:textId="77777777" w:rsidR="00456443" w:rsidRPr="00862056" w:rsidRDefault="00456443" w:rsidP="00456443">
      <w:pPr>
        <w:numPr>
          <w:ilvl w:val="0"/>
          <w:numId w:val="57"/>
        </w:numPr>
        <w:pBdr>
          <w:top w:val="nil"/>
          <w:left w:val="nil"/>
          <w:bottom w:val="nil"/>
          <w:right w:val="nil"/>
          <w:between w:val="nil"/>
        </w:pBdr>
        <w:tabs>
          <w:tab w:val="left" w:pos="360"/>
        </w:tabs>
        <w:spacing w:before="120" w:after="120" w:line="240" w:lineRule="auto"/>
        <w:ind w:right="602"/>
        <w:jc w:val="both"/>
        <w:rPr>
          <w:rFonts w:ascii="Calibri" w:eastAsia="Lato" w:hAnsi="Calibri" w:cs="Lato"/>
          <w:color w:val="000000"/>
          <w:lang w:eastAsia="en-IN"/>
        </w:rPr>
      </w:pPr>
      <w:r w:rsidRPr="00862056">
        <w:rPr>
          <w:rFonts w:ascii="Calibri" w:eastAsia="Times New Roman" w:hAnsi="Calibri" w:cs="Times New Roman"/>
          <w:b/>
          <w:color w:val="000000"/>
          <w:lang w:eastAsia="en-IN"/>
        </w:rPr>
        <w:t xml:space="preserve">Power. </w:t>
      </w:r>
      <w:r w:rsidRPr="00862056">
        <w:rPr>
          <w:rFonts w:ascii="Calibri" w:eastAsia="Times New Roman" w:hAnsi="Calibri" w:cs="Times New Roman"/>
          <w:color w:val="000000"/>
          <w:lang w:eastAsia="en-IN"/>
        </w:rPr>
        <w:t xml:space="preserve">Electricity penetration rates remain extremely low. The two private utilities, Union </w:t>
      </w:r>
      <w:proofErr w:type="spellStart"/>
      <w:r w:rsidRPr="00862056">
        <w:rPr>
          <w:rFonts w:ascii="Calibri" w:eastAsia="Times New Roman" w:hAnsi="Calibri" w:cs="Times New Roman"/>
          <w:color w:val="000000"/>
          <w:lang w:eastAsia="en-IN"/>
        </w:rPr>
        <w:t>Electrique</w:t>
      </w:r>
      <w:proofErr w:type="spellEnd"/>
      <w:r w:rsidRPr="00862056">
        <w:rPr>
          <w:rFonts w:ascii="Calibri" w:eastAsia="Times New Roman" w:hAnsi="Calibri" w:cs="Times New Roman"/>
          <w:color w:val="000000"/>
          <w:lang w:eastAsia="en-IN"/>
        </w:rPr>
        <w:t xml:space="preserve"> du Vanuatu (UNELCO) and Vanuatu Utilities and Infrastructure (VUI), capture </w:t>
      </w:r>
      <w:proofErr w:type="gramStart"/>
      <w:r w:rsidRPr="00862056">
        <w:rPr>
          <w:rFonts w:ascii="Calibri" w:eastAsia="Times New Roman" w:hAnsi="Calibri" w:cs="Times New Roman"/>
          <w:color w:val="000000"/>
          <w:lang w:eastAsia="en-IN"/>
        </w:rPr>
        <w:t>all of</w:t>
      </w:r>
      <w:proofErr w:type="gramEnd"/>
      <w:r w:rsidRPr="00862056">
        <w:rPr>
          <w:rFonts w:ascii="Calibri" w:eastAsia="Times New Roman" w:hAnsi="Calibri" w:cs="Times New Roman"/>
          <w:color w:val="000000"/>
          <w:lang w:eastAsia="en-IN"/>
        </w:rPr>
        <w:t xml:space="preserve"> the market; UNELCO has a concessional pricing agreement with the </w:t>
      </w:r>
      <w:proofErr w:type="spellStart"/>
      <w:r w:rsidRPr="00862056">
        <w:rPr>
          <w:rFonts w:ascii="Calibri" w:eastAsia="Times New Roman" w:hAnsi="Calibri" w:cs="Times New Roman"/>
          <w:color w:val="000000"/>
          <w:lang w:eastAsia="en-IN"/>
        </w:rPr>
        <w:t>GoV</w:t>
      </w:r>
      <w:proofErr w:type="spellEnd"/>
      <w:r w:rsidRPr="00862056">
        <w:rPr>
          <w:rFonts w:ascii="Calibri" w:eastAsia="Times New Roman" w:hAnsi="Calibri" w:cs="Times New Roman"/>
          <w:color w:val="000000"/>
          <w:lang w:eastAsia="en-IN"/>
        </w:rPr>
        <w:t xml:space="preserve"> in several islands, in which the price is driven by cost of production, which is opaque.</w:t>
      </w:r>
    </w:p>
    <w:p w14:paraId="7C005D15" w14:textId="3F49A50D" w:rsidR="00456443" w:rsidRPr="00862056" w:rsidRDefault="00456443" w:rsidP="00456443">
      <w:pPr>
        <w:numPr>
          <w:ilvl w:val="2"/>
          <w:numId w:val="58"/>
        </w:numPr>
        <w:pBdr>
          <w:top w:val="nil"/>
          <w:left w:val="nil"/>
          <w:bottom w:val="nil"/>
          <w:right w:val="nil"/>
          <w:between w:val="nil"/>
        </w:pBdr>
        <w:tabs>
          <w:tab w:val="left" w:pos="360"/>
          <w:tab w:val="left" w:pos="540"/>
        </w:tabs>
        <w:spacing w:before="120" w:after="120" w:line="240" w:lineRule="auto"/>
        <w:ind w:right="602"/>
        <w:jc w:val="both"/>
        <w:rPr>
          <w:rFonts w:ascii="Calibri" w:eastAsia="Lato" w:hAnsi="Calibri" w:cs="Lato"/>
          <w:color w:val="000000"/>
          <w:lang w:eastAsia="en-IN"/>
        </w:rPr>
      </w:pPr>
      <w:r w:rsidRPr="00862056">
        <w:rPr>
          <w:rFonts w:ascii="Calibri" w:eastAsia="Times New Roman" w:hAnsi="Calibri" w:cs="Times New Roman"/>
          <w:color w:val="000000"/>
          <w:lang w:eastAsia="en-IN"/>
        </w:rPr>
        <w:t xml:space="preserve">Australia </w:t>
      </w:r>
      <w:r w:rsidRPr="00862056">
        <w:rPr>
          <w:rFonts w:ascii="Calibri" w:eastAsia="Times New Roman" w:hAnsi="Calibri" w:cs="Times New Roman"/>
          <w:lang w:eastAsia="en-IN"/>
        </w:rPr>
        <w:t xml:space="preserve">can explore the opportunity to </w:t>
      </w:r>
      <w:r w:rsidRPr="00862056">
        <w:rPr>
          <w:rFonts w:ascii="Calibri" w:eastAsia="Times New Roman" w:hAnsi="Calibri" w:cs="Times New Roman"/>
          <w:color w:val="000000"/>
          <w:lang w:eastAsia="en-IN"/>
        </w:rPr>
        <w:t xml:space="preserve">work with the </w:t>
      </w:r>
      <w:r w:rsidR="00AD0DFD" w:rsidRPr="00AD0DFD">
        <w:rPr>
          <w:rFonts w:ascii="Calibri" w:eastAsia="Times New Roman" w:hAnsi="Calibri" w:cs="Times New Roman"/>
          <w:color w:val="000000"/>
          <w:lang w:eastAsia="en-IN"/>
        </w:rPr>
        <w:t xml:space="preserve">Vanuatu National Provident Fund </w:t>
      </w:r>
      <w:r w:rsidRPr="00862056">
        <w:rPr>
          <w:rFonts w:ascii="Calibri" w:eastAsia="Times New Roman" w:hAnsi="Calibri" w:cs="Times New Roman"/>
          <w:color w:val="000000"/>
          <w:lang w:eastAsia="en-IN"/>
        </w:rPr>
        <w:t xml:space="preserve">through concessional loans to finance some of the equity investments </w:t>
      </w:r>
      <w:r w:rsidR="00AD0DFD">
        <w:rPr>
          <w:rFonts w:ascii="Calibri" w:eastAsia="Times New Roman" w:hAnsi="Calibri" w:cs="Times New Roman"/>
          <w:color w:val="000000"/>
          <w:lang w:eastAsia="en-IN"/>
        </w:rPr>
        <w:t>it</w:t>
      </w:r>
      <w:r w:rsidRPr="00862056">
        <w:rPr>
          <w:rFonts w:ascii="Calibri" w:eastAsia="Times New Roman" w:hAnsi="Calibri" w:cs="Times New Roman"/>
          <w:color w:val="000000"/>
          <w:lang w:eastAsia="en-IN"/>
        </w:rPr>
        <w:t xml:space="preserve"> is currently making in UNELCO. Taking a more active position in </w:t>
      </w:r>
      <w:r w:rsidRPr="00862056">
        <w:rPr>
          <w:rFonts w:ascii="Calibri" w:eastAsia="Times New Roman" w:hAnsi="Calibri" w:cs="Times New Roman"/>
          <w:lang w:eastAsia="en-IN"/>
        </w:rPr>
        <w:t xml:space="preserve">electricity companies </w:t>
      </w:r>
      <w:r w:rsidRPr="00862056">
        <w:rPr>
          <w:rFonts w:ascii="Calibri" w:eastAsia="Times New Roman" w:hAnsi="Calibri" w:cs="Times New Roman"/>
          <w:color w:val="000000"/>
          <w:lang w:eastAsia="en-IN"/>
        </w:rPr>
        <w:t>may also help Australia reduce the opacity around price setting and foster a more rules-based environment.</w:t>
      </w:r>
    </w:p>
    <w:p w14:paraId="34FFF8B9" w14:textId="10F96AAD" w:rsidR="00456443" w:rsidRPr="00862056" w:rsidRDefault="00456443" w:rsidP="00456443">
      <w:pPr>
        <w:numPr>
          <w:ilvl w:val="2"/>
          <w:numId w:val="58"/>
        </w:numPr>
        <w:pBdr>
          <w:top w:val="nil"/>
          <w:left w:val="nil"/>
          <w:bottom w:val="nil"/>
          <w:right w:val="nil"/>
          <w:between w:val="nil"/>
        </w:pBdr>
        <w:tabs>
          <w:tab w:val="left" w:pos="360"/>
          <w:tab w:val="left" w:pos="540"/>
        </w:tabs>
        <w:spacing w:before="120" w:after="120" w:line="240" w:lineRule="auto"/>
        <w:ind w:right="602"/>
        <w:jc w:val="both"/>
        <w:rPr>
          <w:rFonts w:ascii="Calibri" w:eastAsia="Lato" w:hAnsi="Calibri" w:cs="Lato"/>
          <w:color w:val="000000"/>
          <w:lang w:eastAsia="en-IN"/>
        </w:rPr>
      </w:pPr>
      <w:r w:rsidRPr="00862056">
        <w:rPr>
          <w:rFonts w:ascii="Calibri" w:eastAsia="Times New Roman" w:hAnsi="Calibri" w:cs="Times New Roman"/>
          <w:color w:val="000000"/>
          <w:lang w:eastAsia="en-IN"/>
        </w:rPr>
        <w:t>There has been some traction in the mini-grid market from the private sector, and V</w:t>
      </w:r>
      <w:r w:rsidRPr="00862056">
        <w:rPr>
          <w:rFonts w:ascii="Calibri" w:eastAsia="Times New Roman" w:hAnsi="Calibri" w:cs="Times New Roman"/>
          <w:lang w:eastAsia="en-IN"/>
        </w:rPr>
        <w:t>anuatu</w:t>
      </w:r>
      <w:r w:rsidRPr="00862056">
        <w:rPr>
          <w:rFonts w:ascii="Calibri" w:eastAsia="Times New Roman" w:hAnsi="Calibri" w:cs="Times New Roman"/>
          <w:color w:val="000000"/>
          <w:lang w:eastAsia="en-IN"/>
        </w:rPr>
        <w:t xml:space="preserve"> </w:t>
      </w:r>
      <w:r w:rsidRPr="00862056">
        <w:rPr>
          <w:rFonts w:ascii="Calibri" w:eastAsia="Times New Roman" w:hAnsi="Calibri" w:cs="Times New Roman"/>
          <w:lang w:eastAsia="en-IN"/>
        </w:rPr>
        <w:t xml:space="preserve">recently received </w:t>
      </w:r>
      <w:r w:rsidR="00800236">
        <w:rPr>
          <w:rFonts w:ascii="Calibri" w:eastAsia="Times New Roman" w:hAnsi="Calibri" w:cs="Times New Roman"/>
          <w:lang w:eastAsia="en-IN"/>
        </w:rPr>
        <w:t>US$</w:t>
      </w:r>
      <w:r w:rsidRPr="00862056">
        <w:rPr>
          <w:rFonts w:ascii="Calibri" w:eastAsia="Times New Roman" w:hAnsi="Calibri" w:cs="Times New Roman"/>
          <w:lang w:eastAsia="en-IN"/>
        </w:rPr>
        <w:t xml:space="preserve"> 15 million from </w:t>
      </w:r>
      <w:r w:rsidRPr="00862056">
        <w:rPr>
          <w:rFonts w:ascii="Calibri" w:eastAsia="Times New Roman" w:hAnsi="Calibri" w:cs="Times New Roman"/>
          <w:color w:val="000000"/>
          <w:lang w:eastAsia="en-IN"/>
        </w:rPr>
        <w:t>the World Bank</w:t>
      </w:r>
      <w:r w:rsidRPr="00862056">
        <w:rPr>
          <w:rFonts w:ascii="Calibri" w:eastAsia="Times New Roman" w:hAnsi="Calibri" w:cs="Times New Roman"/>
          <w:lang w:eastAsia="en-IN"/>
        </w:rPr>
        <w:t xml:space="preserve"> for the Rural Electrification Project Stage II, which seeks to construct five mini-grids in the nation’s rural areas</w:t>
      </w:r>
      <w:r w:rsidRPr="00862056">
        <w:rPr>
          <w:rFonts w:ascii="Calibri" w:eastAsia="Times New Roman" w:hAnsi="Calibri" w:cs="Times New Roman"/>
          <w:color w:val="000000"/>
          <w:lang w:eastAsia="en-IN"/>
        </w:rPr>
        <w:t>. Australia’s concessional loan support or guarantees through minimum purchase agreements could catalyse the market.</w:t>
      </w:r>
    </w:p>
    <w:p w14:paraId="5AF5A20E" w14:textId="77777777" w:rsidR="00456443" w:rsidRPr="00862056" w:rsidRDefault="00456443" w:rsidP="00456443">
      <w:pPr>
        <w:numPr>
          <w:ilvl w:val="2"/>
          <w:numId w:val="58"/>
        </w:numPr>
        <w:pBdr>
          <w:top w:val="nil"/>
          <w:left w:val="nil"/>
          <w:bottom w:val="nil"/>
          <w:right w:val="nil"/>
          <w:between w:val="nil"/>
        </w:pBdr>
        <w:tabs>
          <w:tab w:val="left" w:pos="360"/>
          <w:tab w:val="left" w:pos="540"/>
        </w:tabs>
        <w:spacing w:before="120" w:after="120" w:line="240" w:lineRule="auto"/>
        <w:ind w:right="602"/>
        <w:jc w:val="both"/>
        <w:rPr>
          <w:rFonts w:ascii="Calibri" w:eastAsia="Lato" w:hAnsi="Calibri" w:cs="Lato"/>
          <w:color w:val="000000"/>
          <w:lang w:eastAsia="en-IN"/>
        </w:rPr>
      </w:pPr>
      <w:r w:rsidRPr="00862056">
        <w:rPr>
          <w:rFonts w:ascii="Calibri" w:eastAsia="Times New Roman" w:hAnsi="Calibri" w:cs="Times New Roman"/>
          <w:color w:val="000000"/>
          <w:lang w:eastAsia="en-IN"/>
        </w:rPr>
        <w:t xml:space="preserve">JICA is funding the construction of a downstream hydropower station in </w:t>
      </w:r>
      <w:proofErr w:type="spellStart"/>
      <w:r w:rsidRPr="00862056">
        <w:rPr>
          <w:rFonts w:ascii="Calibri" w:eastAsia="Times New Roman" w:hAnsi="Calibri" w:cs="Times New Roman"/>
          <w:color w:val="000000"/>
          <w:lang w:eastAsia="en-IN"/>
        </w:rPr>
        <w:t>Louganville</w:t>
      </w:r>
      <w:proofErr w:type="spellEnd"/>
      <w:r w:rsidRPr="00862056">
        <w:rPr>
          <w:rFonts w:ascii="Calibri" w:eastAsia="Times New Roman" w:hAnsi="Calibri" w:cs="Times New Roman"/>
          <w:color w:val="000000"/>
          <w:lang w:eastAsia="en-IN"/>
        </w:rPr>
        <w:t xml:space="preserve"> with an additional capacity of 1.2 megawatts. However, this facility might be funded wholly through grants. There might be scope for Australia to consider providing concessional finance to other upcoming facilities. By leveraging its influence, Australia could catalyse the electricity market in the islands that lie outside of the UNELCO/ </w:t>
      </w:r>
      <w:proofErr w:type="spellStart"/>
      <w:r w:rsidRPr="00862056">
        <w:rPr>
          <w:rFonts w:ascii="Calibri" w:eastAsia="Times New Roman" w:hAnsi="Calibri" w:cs="Times New Roman"/>
          <w:color w:val="000000"/>
          <w:lang w:eastAsia="en-IN"/>
        </w:rPr>
        <w:t>GoV</w:t>
      </w:r>
      <w:proofErr w:type="spellEnd"/>
      <w:r w:rsidRPr="00862056">
        <w:rPr>
          <w:rFonts w:ascii="Calibri" w:eastAsia="Times New Roman" w:hAnsi="Calibri" w:cs="Times New Roman"/>
          <w:color w:val="000000"/>
          <w:lang w:eastAsia="en-IN"/>
        </w:rPr>
        <w:t xml:space="preserve"> electricity concession</w:t>
      </w:r>
      <w:r w:rsidRPr="00862056">
        <w:rPr>
          <w:rFonts w:ascii="Calibri" w:eastAsia="Times New Roman" w:hAnsi="Calibri" w:cs="Times New Roman"/>
          <w:lang w:eastAsia="en-IN"/>
        </w:rPr>
        <w:t>, thereby improving access to energy in the nation’s remotest locations</w:t>
      </w:r>
      <w:r w:rsidRPr="00862056">
        <w:rPr>
          <w:rFonts w:ascii="Calibri" w:eastAsia="Times New Roman" w:hAnsi="Calibri" w:cs="Times New Roman"/>
          <w:color w:val="000000"/>
          <w:lang w:eastAsia="en-IN"/>
        </w:rPr>
        <w:t>.</w:t>
      </w:r>
    </w:p>
    <w:p w14:paraId="1C56CC8E" w14:textId="77777777" w:rsidR="00456443" w:rsidRPr="00862056" w:rsidRDefault="00456443" w:rsidP="00456443">
      <w:pPr>
        <w:numPr>
          <w:ilvl w:val="0"/>
          <w:numId w:val="71"/>
        </w:numPr>
        <w:tabs>
          <w:tab w:val="left" w:pos="360"/>
          <w:tab w:val="left" w:pos="540"/>
        </w:tabs>
        <w:spacing w:before="120" w:after="120" w:line="240" w:lineRule="auto"/>
        <w:ind w:left="0" w:right="601" w:firstLine="0"/>
        <w:jc w:val="both"/>
        <w:rPr>
          <w:rFonts w:ascii="Calibri" w:eastAsia="Times New Roman" w:hAnsi="Calibri" w:cs="Times New Roman"/>
          <w:color w:val="000000"/>
          <w:lang w:eastAsia="en-IN"/>
        </w:rPr>
      </w:pPr>
      <w:r w:rsidRPr="00862056">
        <w:rPr>
          <w:rFonts w:ascii="Calibri" w:eastAsia="Times New Roman" w:hAnsi="Calibri" w:cs="Times New Roman"/>
          <w:b/>
          <w:color w:val="000000"/>
          <w:lang w:eastAsia="en-IN"/>
        </w:rPr>
        <w:t>Second, mark</w:t>
      </w:r>
      <w:r w:rsidRPr="00862056">
        <w:rPr>
          <w:rFonts w:ascii="Calibri" w:eastAsia="Times New Roman" w:hAnsi="Calibri" w:cs="Times New Roman"/>
          <w:b/>
          <w:lang w:eastAsia="en-IN"/>
        </w:rPr>
        <w:t xml:space="preserve">et-making </w:t>
      </w:r>
      <w:r>
        <w:rPr>
          <w:rFonts w:ascii="Calibri" w:eastAsia="Times New Roman" w:hAnsi="Calibri" w:cs="Times New Roman"/>
          <w:b/>
          <w:color w:val="000000"/>
          <w:lang w:eastAsia="en-IN"/>
        </w:rPr>
        <w:t>NGF</w:t>
      </w:r>
      <w:r w:rsidRPr="00862056">
        <w:rPr>
          <w:rFonts w:ascii="Calibri" w:eastAsia="Times New Roman" w:hAnsi="Calibri" w:cs="Times New Roman"/>
          <w:b/>
          <w:color w:val="000000"/>
          <w:lang w:eastAsia="en-IN"/>
        </w:rPr>
        <w:t xml:space="preserve"> that target smaller-</w:t>
      </w:r>
      <w:r w:rsidRPr="00862056">
        <w:rPr>
          <w:rFonts w:ascii="Calibri" w:eastAsia="Times New Roman" w:hAnsi="Calibri" w:cs="Times New Roman"/>
          <w:b/>
          <w:lang w:eastAsia="en-IN"/>
        </w:rPr>
        <w:t>sized</w:t>
      </w:r>
      <w:r w:rsidRPr="00862056">
        <w:rPr>
          <w:rFonts w:ascii="Calibri" w:eastAsia="Times New Roman" w:hAnsi="Calibri" w:cs="Times New Roman"/>
          <w:b/>
          <w:color w:val="000000"/>
          <w:lang w:eastAsia="en-IN"/>
        </w:rPr>
        <w:t xml:space="preserve"> investments to support MSMEs and social enterprises across a broad range of sectors are likely to be additional.</w:t>
      </w:r>
      <w:r w:rsidRPr="00862056">
        <w:rPr>
          <w:rFonts w:ascii="Calibri" w:eastAsia="Times New Roman" w:hAnsi="Calibri" w:cs="Times New Roman"/>
          <w:color w:val="000000"/>
          <w:lang w:eastAsia="en-IN"/>
        </w:rPr>
        <w:t xml:space="preserve"> Consultation</w:t>
      </w:r>
      <w:r w:rsidRPr="00862056">
        <w:rPr>
          <w:rFonts w:ascii="Calibri" w:eastAsia="Times New Roman" w:hAnsi="Calibri" w:cs="Times New Roman"/>
          <w:lang w:eastAsia="en-IN"/>
        </w:rPr>
        <w:t>s with stakeholders including banks and private players suggest that t</w:t>
      </w:r>
      <w:r w:rsidRPr="00862056">
        <w:rPr>
          <w:rFonts w:ascii="Calibri" w:eastAsia="Times New Roman" w:hAnsi="Calibri" w:cs="Times New Roman"/>
          <w:color w:val="000000"/>
          <w:lang w:eastAsia="en-IN"/>
        </w:rPr>
        <w:t>he MSMEs and social enterprises in Vanuatu are likely to benefit from an infusion of financing in smaller-size</w:t>
      </w:r>
      <w:r w:rsidRPr="00862056">
        <w:rPr>
          <w:rFonts w:ascii="Calibri" w:eastAsia="Times New Roman" w:hAnsi="Calibri" w:cs="Times New Roman"/>
          <w:lang w:eastAsia="en-IN"/>
        </w:rPr>
        <w:t>d investment items</w:t>
      </w:r>
      <w:r w:rsidRPr="00862056">
        <w:rPr>
          <w:rFonts w:ascii="Calibri" w:eastAsia="Times New Roman" w:hAnsi="Calibri" w:cs="Times New Roman"/>
          <w:color w:val="000000"/>
          <w:lang w:eastAsia="en-IN"/>
        </w:rPr>
        <w:t xml:space="preserve">, helping them access working capital with minimal collateral requirements, create business plans, understand the market landscape, put their existing finances in order and establish new financial reporting mechanisms. Such ecosystem creation will, in time, </w:t>
      </w:r>
      <w:r w:rsidRPr="00862056">
        <w:rPr>
          <w:rFonts w:ascii="Calibri" w:eastAsia="Times New Roman" w:hAnsi="Calibri" w:cs="Times New Roman"/>
          <w:lang w:eastAsia="en-IN"/>
        </w:rPr>
        <w:t xml:space="preserve">make </w:t>
      </w:r>
      <w:r w:rsidRPr="00862056">
        <w:rPr>
          <w:rFonts w:ascii="Calibri" w:eastAsia="Times New Roman" w:hAnsi="Calibri" w:cs="Times New Roman"/>
          <w:color w:val="000000"/>
          <w:lang w:eastAsia="en-IN"/>
        </w:rPr>
        <w:t xml:space="preserve">the firms market ready and allow for </w:t>
      </w:r>
      <w:r>
        <w:rPr>
          <w:rFonts w:ascii="Calibri" w:eastAsia="Times New Roman" w:hAnsi="Calibri" w:cs="Times New Roman"/>
          <w:color w:val="000000"/>
          <w:lang w:eastAsia="en-IN"/>
        </w:rPr>
        <w:t>NGF</w:t>
      </w:r>
      <w:r w:rsidRPr="00862056">
        <w:rPr>
          <w:rFonts w:ascii="Calibri" w:eastAsia="Times New Roman" w:hAnsi="Calibri" w:cs="Times New Roman"/>
          <w:color w:val="000000"/>
          <w:lang w:eastAsia="en-IN"/>
        </w:rPr>
        <w:t xml:space="preserve"> such as small-</w:t>
      </w:r>
      <w:r w:rsidRPr="00862056">
        <w:rPr>
          <w:rFonts w:ascii="Calibri" w:eastAsia="Times New Roman" w:hAnsi="Calibri" w:cs="Times New Roman"/>
          <w:lang w:eastAsia="en-IN"/>
        </w:rPr>
        <w:t>sized</w:t>
      </w:r>
      <w:r w:rsidRPr="00862056">
        <w:rPr>
          <w:rFonts w:ascii="Calibri" w:eastAsia="Times New Roman" w:hAnsi="Calibri" w:cs="Times New Roman"/>
          <w:color w:val="000000"/>
          <w:lang w:eastAsia="en-IN"/>
        </w:rPr>
        <w:t xml:space="preserve"> equity to be gradually deployed. </w:t>
      </w:r>
    </w:p>
    <w:p w14:paraId="48F2126A" w14:textId="70EAEA1F" w:rsidR="00456443" w:rsidRPr="00862056" w:rsidRDefault="00456443" w:rsidP="00456443">
      <w:pPr>
        <w:numPr>
          <w:ilvl w:val="0"/>
          <w:numId w:val="71"/>
        </w:numPr>
        <w:tabs>
          <w:tab w:val="left" w:pos="360"/>
          <w:tab w:val="left" w:pos="540"/>
        </w:tabs>
        <w:spacing w:before="120" w:after="120" w:line="240" w:lineRule="auto"/>
        <w:ind w:left="0" w:right="601" w:firstLine="0"/>
        <w:jc w:val="both"/>
        <w:rPr>
          <w:rFonts w:ascii="Calibri" w:eastAsia="Times New Roman" w:hAnsi="Calibri" w:cs="Times New Roman"/>
          <w:color w:val="000000"/>
          <w:lang w:eastAsia="en-IN"/>
        </w:rPr>
      </w:pPr>
      <w:r w:rsidRPr="00862056">
        <w:rPr>
          <w:rFonts w:ascii="Calibri" w:eastAsia="Times New Roman" w:hAnsi="Calibri" w:cs="Times New Roman"/>
          <w:b/>
          <w:color w:val="000000"/>
          <w:lang w:eastAsia="en-IN"/>
        </w:rPr>
        <w:t>There is much demand for smaller-</w:t>
      </w:r>
      <w:r w:rsidRPr="00862056">
        <w:rPr>
          <w:rFonts w:ascii="Calibri" w:eastAsia="Times New Roman" w:hAnsi="Calibri" w:cs="Times New Roman"/>
          <w:b/>
          <w:lang w:eastAsia="en-IN"/>
        </w:rPr>
        <w:t>sized</w:t>
      </w:r>
      <w:r w:rsidRPr="00862056">
        <w:rPr>
          <w:rFonts w:ascii="Calibri" w:eastAsia="Times New Roman" w:hAnsi="Calibri" w:cs="Times New Roman"/>
          <w:b/>
          <w:color w:val="000000"/>
          <w:lang w:eastAsia="en-IN"/>
        </w:rPr>
        <w:t xml:space="preserve"> investment items in Vanuatu—not many players are actively catering to this segment.</w:t>
      </w:r>
      <w:r w:rsidRPr="00862056">
        <w:rPr>
          <w:rFonts w:ascii="Calibri" w:eastAsia="Times New Roman" w:hAnsi="Calibri" w:cs="Times New Roman"/>
          <w:lang w:eastAsia="en-IN"/>
        </w:rPr>
        <w:t xml:space="preserve"> The IFC estimates that </w:t>
      </w:r>
      <w:r w:rsidR="006A0625">
        <w:t>ni-Vanuatu</w:t>
      </w:r>
      <w:r w:rsidRPr="00862056">
        <w:rPr>
          <w:rFonts w:ascii="Calibri" w:eastAsia="Times New Roman" w:hAnsi="Calibri" w:cs="Times New Roman"/>
          <w:lang w:eastAsia="en-IN"/>
        </w:rPr>
        <w:t xml:space="preserve"> MSMEs face a financing gap of </w:t>
      </w:r>
      <w:r w:rsidR="00800236">
        <w:rPr>
          <w:rFonts w:ascii="Calibri" w:eastAsia="Times New Roman" w:hAnsi="Calibri" w:cs="Times New Roman"/>
          <w:lang w:eastAsia="en-IN"/>
        </w:rPr>
        <w:t>US$</w:t>
      </w:r>
      <w:r w:rsidRPr="00862056">
        <w:rPr>
          <w:rFonts w:ascii="Calibri" w:eastAsia="Times New Roman" w:hAnsi="Calibri" w:cs="Times New Roman"/>
          <w:lang w:eastAsia="en-IN"/>
        </w:rPr>
        <w:t xml:space="preserve"> 135 million</w:t>
      </w:r>
      <w:r>
        <w:rPr>
          <w:rFonts w:ascii="Calibri" w:eastAsia="Times New Roman" w:hAnsi="Calibri" w:cs="Times New Roman"/>
          <w:lang w:eastAsia="en-IN"/>
        </w:rPr>
        <w:t>.</w:t>
      </w:r>
      <w:r w:rsidRPr="00862056">
        <w:rPr>
          <w:rFonts w:ascii="Calibri" w:eastAsia="Lato" w:hAnsi="Calibri" w:cs="Lato"/>
          <w:vertAlign w:val="superscript"/>
          <w:lang w:eastAsia="en-IN"/>
        </w:rPr>
        <w:footnoteReference w:id="162"/>
      </w:r>
      <w:r w:rsidRPr="00862056">
        <w:rPr>
          <w:rFonts w:ascii="Calibri" w:eastAsia="Times New Roman" w:hAnsi="Calibri" w:cs="Times New Roman"/>
          <w:lang w:eastAsia="en-IN"/>
        </w:rPr>
        <w:t xml:space="preserve"> Banks reveal that m</w:t>
      </w:r>
      <w:r w:rsidRPr="00862056">
        <w:rPr>
          <w:rFonts w:ascii="Calibri" w:eastAsia="Times New Roman" w:hAnsi="Calibri" w:cs="Times New Roman"/>
          <w:color w:val="000000"/>
          <w:lang w:eastAsia="en-IN"/>
        </w:rPr>
        <w:t xml:space="preserve">ost of the smaller enterprises, especially in the tourism and fishery industries, are constrained by access to finance, given the high levels of risks associated with lending to them. Many of the loan applications are rejected due to lack of experience among the founding team, lack of any collateral or deposit and the country’s poor law enforcement standards in case of defaults. </w:t>
      </w:r>
      <w:r w:rsidRPr="00862056">
        <w:rPr>
          <w:rFonts w:ascii="Calibri" w:eastAsia="Times New Roman" w:hAnsi="Calibri" w:cs="Times New Roman"/>
          <w:lang w:eastAsia="en-IN"/>
        </w:rPr>
        <w:t xml:space="preserve">At the same time, our consultations also suggested that there may exist supply-side issues with local banks being unable to provide loans to small business owners at competitive interest rates. </w:t>
      </w:r>
      <w:r w:rsidRPr="00862056">
        <w:rPr>
          <w:rFonts w:ascii="Calibri" w:eastAsia="Times New Roman" w:hAnsi="Calibri" w:cs="Times New Roman"/>
          <w:color w:val="000000"/>
          <w:lang w:eastAsia="en-IN"/>
        </w:rPr>
        <w:t>Players such as the IFC are not able to meaningfully cater to these enterprises, given that they define an SME investment as ~</w:t>
      </w:r>
      <w:r w:rsidR="00800236">
        <w:rPr>
          <w:rFonts w:ascii="Calibri" w:eastAsia="Times New Roman" w:hAnsi="Calibri" w:cs="Times New Roman"/>
          <w:color w:val="000000"/>
          <w:lang w:eastAsia="en-IN"/>
        </w:rPr>
        <w:t>US$</w:t>
      </w:r>
      <w:r w:rsidRPr="00862056">
        <w:rPr>
          <w:rFonts w:ascii="Calibri" w:eastAsia="Times New Roman" w:hAnsi="Calibri" w:cs="Times New Roman"/>
          <w:color w:val="000000"/>
          <w:lang w:eastAsia="en-IN"/>
        </w:rPr>
        <w:t xml:space="preserve"> 5 </w:t>
      </w:r>
      <w:r w:rsidRPr="00862056">
        <w:rPr>
          <w:rFonts w:ascii="Calibri" w:eastAsia="Times New Roman" w:hAnsi="Calibri" w:cs="Times New Roman"/>
          <w:color w:val="000000"/>
          <w:lang w:eastAsia="en-IN"/>
        </w:rPr>
        <w:lastRenderedPageBreak/>
        <w:t xml:space="preserve">million, which is extremely high for Vanuatu. </w:t>
      </w:r>
      <w:r w:rsidRPr="00862056">
        <w:rPr>
          <w:rFonts w:ascii="Calibri" w:eastAsia="Times New Roman" w:hAnsi="Calibri" w:cs="Times New Roman"/>
          <w:lang w:eastAsia="en-IN"/>
        </w:rPr>
        <w:t>D</w:t>
      </w:r>
      <w:r w:rsidRPr="00862056">
        <w:rPr>
          <w:rFonts w:ascii="Calibri" w:eastAsia="Times New Roman" w:hAnsi="Calibri" w:cs="Times New Roman"/>
          <w:color w:val="000000"/>
          <w:lang w:eastAsia="en-IN"/>
        </w:rPr>
        <w:t>emand exists among MSMEs and social enterprises for smaller-</w:t>
      </w:r>
      <w:r w:rsidRPr="00862056">
        <w:rPr>
          <w:rFonts w:ascii="Calibri" w:eastAsia="Times New Roman" w:hAnsi="Calibri" w:cs="Times New Roman"/>
          <w:lang w:eastAsia="en-IN"/>
        </w:rPr>
        <w:t>sized</w:t>
      </w:r>
      <w:r w:rsidRPr="00862056">
        <w:rPr>
          <w:rFonts w:ascii="Calibri" w:eastAsia="Times New Roman" w:hAnsi="Calibri" w:cs="Times New Roman"/>
          <w:color w:val="000000"/>
          <w:lang w:eastAsia="en-IN"/>
        </w:rPr>
        <w:t xml:space="preserve"> investments combined with guidance and mentorship. One potential way in which Australia can cater to this segment is by contributing to a fund focused on enabling smaller enterprises to improve their processes, build sustainable businesses and access more commercial capital.</w:t>
      </w:r>
    </w:p>
    <w:p w14:paraId="09B95A82" w14:textId="227F584E" w:rsidR="00456443" w:rsidRPr="00862056" w:rsidRDefault="00456443" w:rsidP="00456443">
      <w:pPr>
        <w:numPr>
          <w:ilvl w:val="0"/>
          <w:numId w:val="71"/>
        </w:numPr>
        <w:tabs>
          <w:tab w:val="left" w:pos="360"/>
          <w:tab w:val="left" w:pos="540"/>
        </w:tabs>
        <w:spacing w:before="120" w:after="120" w:line="240" w:lineRule="auto"/>
        <w:ind w:left="0" w:right="601" w:firstLine="0"/>
        <w:jc w:val="both"/>
        <w:rPr>
          <w:rFonts w:ascii="Calibri" w:eastAsia="Times New Roman" w:hAnsi="Calibri" w:cs="Times New Roman"/>
          <w:color w:val="000000"/>
          <w:lang w:eastAsia="en-IN"/>
        </w:rPr>
      </w:pPr>
      <w:r w:rsidRPr="00862056">
        <w:rPr>
          <w:rFonts w:ascii="Calibri" w:eastAsia="Times New Roman" w:hAnsi="Calibri" w:cs="Times New Roman"/>
          <w:b/>
          <w:color w:val="000000"/>
          <w:lang w:eastAsia="en-IN"/>
        </w:rPr>
        <w:t xml:space="preserve">Third, commitments for disaster relief, in the form of guarantees or highly concessional loans, will be extremely valuable for Vanuatu. </w:t>
      </w:r>
      <w:r w:rsidRPr="00862056">
        <w:rPr>
          <w:rFonts w:ascii="Calibri" w:eastAsia="Times New Roman" w:hAnsi="Calibri" w:cs="Times New Roman"/>
          <w:color w:val="000000"/>
          <w:lang w:eastAsia="en-IN"/>
        </w:rPr>
        <w:t xml:space="preserve">Australia has been one of the key supporters of recovery and rebuilding efforts in Vanuatu after Cyclone Pam, having invested upwards of </w:t>
      </w:r>
      <w:r w:rsidR="00800236">
        <w:rPr>
          <w:rFonts w:ascii="Calibri" w:eastAsia="Times New Roman" w:hAnsi="Calibri" w:cs="Times New Roman"/>
          <w:color w:val="000000"/>
          <w:lang w:eastAsia="en-IN"/>
        </w:rPr>
        <w:t>US$</w:t>
      </w:r>
      <w:r w:rsidRPr="00862056">
        <w:rPr>
          <w:rFonts w:ascii="Calibri" w:eastAsia="Times New Roman" w:hAnsi="Calibri" w:cs="Times New Roman"/>
          <w:color w:val="000000"/>
          <w:lang w:eastAsia="en-IN"/>
        </w:rPr>
        <w:t xml:space="preserve"> 3</w:t>
      </w:r>
      <w:r w:rsidRPr="00862056">
        <w:rPr>
          <w:rFonts w:ascii="Calibri" w:eastAsia="Times New Roman" w:hAnsi="Calibri" w:cs="Times New Roman"/>
          <w:lang w:eastAsia="en-IN"/>
        </w:rPr>
        <w:t>6</w:t>
      </w:r>
      <w:r w:rsidRPr="00862056">
        <w:rPr>
          <w:rFonts w:ascii="Calibri" w:eastAsia="Times New Roman" w:hAnsi="Calibri" w:cs="Times New Roman"/>
          <w:color w:val="000000"/>
          <w:lang w:eastAsia="en-IN"/>
        </w:rPr>
        <w:t xml:space="preserve"> million and rebuilt over 200 buildings since 2015. However, given the ongoing risk of disasters in Vanuatu and the underdeveloped insurance landscape, commitments for disaster relief in the form of loans can help Australia invest considerably larger sums of money. Similarly, given that insurance provision </w:t>
      </w:r>
      <w:proofErr w:type="gramStart"/>
      <w:r w:rsidRPr="00862056">
        <w:rPr>
          <w:rFonts w:ascii="Calibri" w:eastAsia="Times New Roman" w:hAnsi="Calibri" w:cs="Times New Roman"/>
          <w:color w:val="000000"/>
          <w:lang w:eastAsia="en-IN"/>
        </w:rPr>
        <w:t>is considered to be</w:t>
      </w:r>
      <w:proofErr w:type="gramEnd"/>
      <w:r w:rsidRPr="00862056">
        <w:rPr>
          <w:rFonts w:ascii="Calibri" w:eastAsia="Times New Roman" w:hAnsi="Calibri" w:cs="Times New Roman"/>
          <w:color w:val="000000"/>
          <w:lang w:eastAsia="en-IN"/>
        </w:rPr>
        <w:t xml:space="preserve"> an extremely risky bu</w:t>
      </w:r>
      <w:r w:rsidRPr="00862056">
        <w:rPr>
          <w:rFonts w:ascii="Calibri" w:eastAsia="Times New Roman" w:hAnsi="Calibri" w:cs="Times New Roman"/>
          <w:lang w:eastAsia="en-IN"/>
        </w:rPr>
        <w:t xml:space="preserve">siness in Vanuatu, </w:t>
      </w:r>
      <w:r w:rsidRPr="00862056">
        <w:rPr>
          <w:rFonts w:ascii="Calibri" w:eastAsia="Times New Roman" w:hAnsi="Calibri" w:cs="Times New Roman"/>
          <w:color w:val="000000"/>
          <w:lang w:eastAsia="en-IN"/>
        </w:rPr>
        <w:t>consultations suggest that guarantees to insurance players are likely to help crowd in private players and reduce insurance premiums, enhancing overall readiness to deal with the aftermath of future disasters.</w:t>
      </w:r>
    </w:p>
    <w:p w14:paraId="26D1D338" w14:textId="77777777" w:rsidR="00456443" w:rsidRPr="00862056" w:rsidRDefault="00456443" w:rsidP="00456443">
      <w:pPr>
        <w:numPr>
          <w:ilvl w:val="0"/>
          <w:numId w:val="71"/>
        </w:numPr>
        <w:tabs>
          <w:tab w:val="left" w:pos="360"/>
          <w:tab w:val="left" w:pos="540"/>
        </w:tabs>
        <w:spacing w:before="120" w:after="120" w:line="240" w:lineRule="auto"/>
        <w:ind w:left="0" w:right="601" w:firstLine="0"/>
        <w:jc w:val="both"/>
        <w:rPr>
          <w:rFonts w:ascii="Calibri" w:eastAsia="Times New Roman" w:hAnsi="Calibri" w:cs="Times New Roman"/>
          <w:color w:val="000000"/>
          <w:lang w:eastAsia="en-IN"/>
        </w:rPr>
      </w:pPr>
      <w:r w:rsidRPr="00862056">
        <w:rPr>
          <w:rFonts w:ascii="Calibri" w:eastAsia="Times New Roman" w:hAnsi="Calibri" w:cs="Times New Roman"/>
          <w:b/>
          <w:color w:val="000000"/>
          <w:lang w:eastAsia="en-IN"/>
        </w:rPr>
        <w:t xml:space="preserve">A disaster relief fund could help enhance Australia’s relationship with Vanuatu, given its reputation for being the first responder in times of crisis. </w:t>
      </w:r>
      <w:r w:rsidRPr="00862056">
        <w:rPr>
          <w:rFonts w:ascii="Calibri" w:eastAsia="Times New Roman" w:hAnsi="Calibri" w:cs="Times New Roman"/>
          <w:color w:val="000000"/>
          <w:lang w:eastAsia="en-IN"/>
        </w:rPr>
        <w:t xml:space="preserve">After Cyclone Pam, the single largest provider of insurance in Vanuatu—Tower Insurance, with a market share over 80%—reduced its exposure to disaster insurance. This points to a gap in the market and highlights the demand for de-risking instruments to </w:t>
      </w:r>
      <w:proofErr w:type="gramStart"/>
      <w:r w:rsidRPr="00862056">
        <w:rPr>
          <w:rFonts w:ascii="Calibri" w:eastAsia="Times New Roman" w:hAnsi="Calibri" w:cs="Times New Roman"/>
          <w:color w:val="000000"/>
          <w:lang w:eastAsia="en-IN"/>
        </w:rPr>
        <w:t>insure</w:t>
      </w:r>
      <w:proofErr w:type="gramEnd"/>
      <w:r w:rsidRPr="00862056">
        <w:rPr>
          <w:rFonts w:ascii="Calibri" w:eastAsia="Times New Roman" w:hAnsi="Calibri" w:cs="Times New Roman"/>
          <w:color w:val="000000"/>
          <w:lang w:eastAsia="en-IN"/>
        </w:rPr>
        <w:t xml:space="preserve"> the insurer and reduce premiums. One way in which Australia can satisfy the demand is by committing concessional or zero-interest debt in the case of future disasters—helping to rebuild of infrastructure at a much faster pace than is possible with fully grant-based aid.</w:t>
      </w:r>
    </w:p>
    <w:p w14:paraId="5AA0C257" w14:textId="77777777" w:rsidR="00456443" w:rsidRPr="00862056" w:rsidRDefault="00456443" w:rsidP="00456443">
      <w:pPr>
        <w:numPr>
          <w:ilvl w:val="0"/>
          <w:numId w:val="71"/>
        </w:numPr>
        <w:tabs>
          <w:tab w:val="left" w:pos="360"/>
          <w:tab w:val="left" w:pos="540"/>
        </w:tabs>
        <w:spacing w:before="120" w:after="120" w:line="240" w:lineRule="auto"/>
        <w:ind w:left="0" w:right="601" w:firstLine="0"/>
        <w:jc w:val="both"/>
        <w:rPr>
          <w:rFonts w:ascii="Calibri" w:eastAsia="Times New Roman" w:hAnsi="Calibri" w:cs="Times New Roman"/>
          <w:color w:val="000000"/>
          <w:lang w:eastAsia="en-IN"/>
        </w:rPr>
      </w:pPr>
      <w:r w:rsidRPr="00862056">
        <w:rPr>
          <w:rFonts w:ascii="Calibri" w:eastAsia="Times New Roman" w:hAnsi="Calibri" w:cs="Times New Roman"/>
          <w:b/>
          <w:color w:val="000000"/>
          <w:lang w:eastAsia="en-IN"/>
        </w:rPr>
        <w:t xml:space="preserve">Fourth, </w:t>
      </w:r>
      <w:proofErr w:type="gramStart"/>
      <w:r w:rsidRPr="00862056">
        <w:rPr>
          <w:rFonts w:ascii="Calibri" w:eastAsia="Times New Roman" w:hAnsi="Calibri" w:cs="Times New Roman"/>
          <w:b/>
          <w:color w:val="000000"/>
          <w:lang w:eastAsia="en-IN"/>
        </w:rPr>
        <w:t>in order to</w:t>
      </w:r>
      <w:proofErr w:type="gramEnd"/>
      <w:r w:rsidRPr="00862056">
        <w:rPr>
          <w:rFonts w:ascii="Calibri" w:eastAsia="Times New Roman" w:hAnsi="Calibri" w:cs="Times New Roman"/>
          <w:b/>
          <w:color w:val="000000"/>
          <w:lang w:eastAsia="en-IN"/>
        </w:rPr>
        <w:t xml:space="preserve"> ensure the quality of processes and mitigate any risks to its reputation, Australia could consider actively participating in the procurement and delivery processes for co-investments made with MDBs. </w:t>
      </w:r>
      <w:r w:rsidRPr="00862056">
        <w:rPr>
          <w:rFonts w:ascii="Calibri" w:eastAsia="Times New Roman" w:hAnsi="Calibri" w:cs="Times New Roman"/>
          <w:color w:val="000000"/>
          <w:lang w:eastAsia="en-IN"/>
        </w:rPr>
        <w:t xml:space="preserve">Some donors in the past have run into issues in the process of vendor selection when investing with an MDB. </w:t>
      </w:r>
      <w:r>
        <w:rPr>
          <w:rFonts w:ascii="Calibri" w:eastAsia="Times New Roman" w:hAnsi="Calibri" w:cs="Times New Roman"/>
          <w:color w:val="000000"/>
          <w:lang w:eastAsia="en-IN"/>
        </w:rPr>
        <w:t>Our consultation with JICA revealed that i</w:t>
      </w:r>
      <w:r w:rsidRPr="00862056">
        <w:rPr>
          <w:rFonts w:ascii="Calibri" w:eastAsia="Times New Roman" w:hAnsi="Calibri" w:cs="Times New Roman"/>
          <w:color w:val="000000"/>
          <w:lang w:eastAsia="en-IN"/>
        </w:rPr>
        <w:t xml:space="preserve">n one instance, the </w:t>
      </w:r>
      <w:proofErr w:type="spellStart"/>
      <w:r w:rsidRPr="00862056">
        <w:rPr>
          <w:rFonts w:ascii="Calibri" w:eastAsia="Times New Roman" w:hAnsi="Calibri" w:cs="Times New Roman"/>
          <w:color w:val="000000"/>
          <w:lang w:eastAsia="en-IN"/>
        </w:rPr>
        <w:t>Lapetasi</w:t>
      </w:r>
      <w:proofErr w:type="spellEnd"/>
      <w:r w:rsidRPr="00862056">
        <w:rPr>
          <w:rFonts w:ascii="Calibri" w:eastAsia="Times New Roman" w:hAnsi="Calibri" w:cs="Times New Roman"/>
          <w:color w:val="000000"/>
          <w:lang w:eastAsia="en-IN"/>
        </w:rPr>
        <w:t xml:space="preserve"> wharf </w:t>
      </w:r>
      <w:r w:rsidRPr="00862056">
        <w:rPr>
          <w:rFonts w:ascii="Calibri" w:eastAsia="Times New Roman" w:hAnsi="Calibri" w:cs="Times New Roman"/>
          <w:lang w:eastAsia="en-IN"/>
        </w:rPr>
        <w:t xml:space="preserve">project </w:t>
      </w:r>
      <w:r w:rsidRPr="00862056">
        <w:rPr>
          <w:rFonts w:ascii="Calibri" w:eastAsia="Times New Roman" w:hAnsi="Calibri" w:cs="Times New Roman"/>
          <w:color w:val="000000"/>
          <w:lang w:eastAsia="en-IN"/>
        </w:rPr>
        <w:t xml:space="preserve">ran into difficulties at the planning stage due to consultants’ inaccurate project designs, increasing the project implementation cost by almost 100%. </w:t>
      </w:r>
      <w:r w:rsidRPr="00862056">
        <w:rPr>
          <w:rFonts w:ascii="Calibri" w:eastAsia="Times New Roman" w:hAnsi="Calibri" w:cs="Times New Roman"/>
          <w:lang w:eastAsia="en-IN"/>
        </w:rPr>
        <w:t xml:space="preserve">In other instances, donors have had no ability to ensure appropriate skill levels of locally sourced </w:t>
      </w:r>
      <w:proofErr w:type="gramStart"/>
      <w:r w:rsidRPr="00862056">
        <w:rPr>
          <w:rFonts w:ascii="Calibri" w:eastAsia="Times New Roman" w:hAnsi="Calibri" w:cs="Times New Roman"/>
          <w:lang w:eastAsia="en-IN"/>
        </w:rPr>
        <w:t>labour, but</w:t>
      </w:r>
      <w:proofErr w:type="gramEnd"/>
      <w:r w:rsidRPr="00862056">
        <w:rPr>
          <w:rFonts w:ascii="Calibri" w:eastAsia="Times New Roman" w:hAnsi="Calibri" w:cs="Times New Roman"/>
          <w:lang w:eastAsia="en-IN"/>
        </w:rPr>
        <w:t xml:space="preserve"> have had to potentially bear the reputation risk for faulty project implementation practices.</w:t>
      </w:r>
      <w:r w:rsidRPr="00862056">
        <w:rPr>
          <w:rFonts w:ascii="Calibri" w:eastAsia="Times New Roman" w:hAnsi="Calibri" w:cs="Times New Roman"/>
          <w:color w:val="000000"/>
          <w:lang w:eastAsia="en-IN"/>
        </w:rPr>
        <w:t xml:space="preserve"> </w:t>
      </w:r>
    </w:p>
    <w:p w14:paraId="644C69E1" w14:textId="6C9273B1" w:rsidR="00456443" w:rsidRPr="00862056" w:rsidRDefault="00456443" w:rsidP="00456443">
      <w:pPr>
        <w:numPr>
          <w:ilvl w:val="0"/>
          <w:numId w:val="71"/>
        </w:numPr>
        <w:tabs>
          <w:tab w:val="left" w:pos="360"/>
          <w:tab w:val="left" w:pos="540"/>
        </w:tabs>
        <w:spacing w:before="120" w:after="120" w:line="240" w:lineRule="auto"/>
        <w:ind w:left="0" w:right="601" w:firstLine="0"/>
        <w:jc w:val="both"/>
        <w:rPr>
          <w:rFonts w:ascii="Calibri" w:eastAsia="Times New Roman" w:hAnsi="Calibri" w:cs="Times New Roman"/>
          <w:color w:val="000000"/>
          <w:lang w:eastAsia="en-IN"/>
        </w:rPr>
      </w:pPr>
      <w:r w:rsidRPr="00862056">
        <w:rPr>
          <w:rFonts w:ascii="Calibri" w:eastAsia="Times New Roman" w:hAnsi="Calibri" w:cs="Times New Roman"/>
          <w:color w:val="000000"/>
          <w:lang w:eastAsia="en-IN"/>
        </w:rPr>
        <w:t>Working more closely with the MDBs—and ensuring that Australia is party to financing arrangements that provide greater control over procurement and delivery processes—would also help improve the effectiveness of Australian aid.</w:t>
      </w:r>
      <w:r w:rsidRPr="00862056">
        <w:rPr>
          <w:rFonts w:ascii="Calibri" w:eastAsia="Times New Roman" w:hAnsi="Calibri" w:cs="Times New Roman"/>
          <w:b/>
          <w:color w:val="000000"/>
          <w:lang w:eastAsia="en-IN"/>
        </w:rPr>
        <w:t xml:space="preserve"> </w:t>
      </w:r>
      <w:bookmarkStart w:id="57" w:name="_Hlk536283198"/>
      <w:r w:rsidRPr="00862056">
        <w:rPr>
          <w:rFonts w:ascii="Calibri" w:eastAsia="Times New Roman" w:hAnsi="Calibri" w:cs="Times New Roman"/>
          <w:color w:val="000000"/>
          <w:lang w:eastAsia="en-IN"/>
        </w:rPr>
        <w:t>New Zealand’s Ministry of Foreign Affairs and Trade</w:t>
      </w:r>
      <w:bookmarkEnd w:id="57"/>
      <w:r w:rsidRPr="00862056">
        <w:rPr>
          <w:rFonts w:ascii="Calibri" w:eastAsia="Times New Roman" w:hAnsi="Calibri" w:cs="Times New Roman"/>
          <w:color w:val="000000"/>
          <w:lang w:eastAsia="en-IN"/>
        </w:rPr>
        <w:t>, for example, has had challenges with an ADB-led project implementation due to ADB’s lack of a strong local presence in Vanuatu. Similarly, an MDB’s vendor selection and procurement processes may not always align well with those of the donor, negatively impacting the project implementation. Securing a seat at the table through parallel co-financing arrangements can afford Australia greater ownership of project implementation and help ensure better development outcomes</w:t>
      </w:r>
      <w:r w:rsidRPr="00862056">
        <w:rPr>
          <w:rFonts w:ascii="Calibri" w:eastAsia="Times New Roman" w:hAnsi="Calibri" w:cs="Times New Roman"/>
          <w:lang w:eastAsia="en-IN"/>
        </w:rPr>
        <w:t xml:space="preserve">. This is by no means a benefit flowing exclusively from </w:t>
      </w:r>
      <w:proofErr w:type="gramStart"/>
      <w:r>
        <w:rPr>
          <w:rFonts w:ascii="Calibri" w:eastAsia="Times New Roman" w:hAnsi="Calibri" w:cs="Times New Roman"/>
          <w:lang w:eastAsia="en-IN"/>
        </w:rPr>
        <w:t>NGF</w:t>
      </w:r>
      <w:r w:rsidRPr="00862056">
        <w:rPr>
          <w:rFonts w:ascii="Calibri" w:eastAsia="Times New Roman" w:hAnsi="Calibri" w:cs="Times New Roman"/>
          <w:lang w:eastAsia="en-IN"/>
        </w:rPr>
        <w:t>, and</w:t>
      </w:r>
      <w:proofErr w:type="gramEnd"/>
      <w:r w:rsidRPr="00862056">
        <w:rPr>
          <w:rFonts w:ascii="Calibri" w:eastAsia="Times New Roman" w:hAnsi="Calibri" w:cs="Times New Roman"/>
          <w:lang w:eastAsia="en-IN"/>
        </w:rPr>
        <w:t xml:space="preserve"> will equally be available through grant financing—which, as emphasised earlier, should remain the core of Australia’s engagement with Vanuatu. Innovative grant structures that could allow Australia a seat at the table include results-based aid, such as the </w:t>
      </w:r>
      <w:r w:rsidR="00800236">
        <w:rPr>
          <w:rFonts w:ascii="Calibri" w:eastAsia="Times New Roman" w:hAnsi="Calibri" w:cs="Times New Roman"/>
          <w:lang w:eastAsia="en-IN"/>
        </w:rPr>
        <w:t>US$</w:t>
      </w:r>
      <w:r w:rsidRPr="00862056">
        <w:rPr>
          <w:rFonts w:ascii="Calibri" w:eastAsia="Times New Roman" w:hAnsi="Calibri" w:cs="Times New Roman"/>
          <w:lang w:eastAsia="en-IN"/>
        </w:rPr>
        <w:t xml:space="preserve"> 4.85 million agreement between the World Bank and </w:t>
      </w:r>
      <w:proofErr w:type="spellStart"/>
      <w:r w:rsidRPr="00862056">
        <w:rPr>
          <w:rFonts w:ascii="Calibri" w:eastAsia="Times New Roman" w:hAnsi="Calibri" w:cs="Times New Roman"/>
          <w:lang w:eastAsia="en-IN"/>
        </w:rPr>
        <w:t>GoV</w:t>
      </w:r>
      <w:proofErr w:type="spellEnd"/>
      <w:r w:rsidRPr="00862056">
        <w:rPr>
          <w:rFonts w:ascii="Calibri" w:eastAsia="Times New Roman" w:hAnsi="Calibri" w:cs="Times New Roman"/>
          <w:lang w:eastAsia="en-IN"/>
        </w:rPr>
        <w:t xml:space="preserve"> in 2014 to bring electricity to low-income households, which was facilitated by </w:t>
      </w:r>
      <w:r>
        <w:rPr>
          <w:rFonts w:ascii="Calibri" w:eastAsia="MS Mincho" w:hAnsi="Calibri" w:cs="Times New Roman"/>
          <w:lang w:val="en-US"/>
        </w:rPr>
        <w:t>Australia’s</w:t>
      </w:r>
      <w:r w:rsidRPr="00862056">
        <w:rPr>
          <w:rFonts w:ascii="Calibri" w:eastAsia="Times New Roman" w:hAnsi="Calibri" w:cs="Times New Roman"/>
          <w:lang w:eastAsia="en-IN"/>
        </w:rPr>
        <w:t xml:space="preserve"> contribution to Global Partnership on Output-Based Aid</w:t>
      </w:r>
      <w:r>
        <w:rPr>
          <w:rFonts w:ascii="Calibri" w:eastAsia="Times New Roman" w:hAnsi="Calibri" w:cs="Times New Roman"/>
          <w:lang w:eastAsia="en-IN"/>
        </w:rPr>
        <w:t>.</w:t>
      </w:r>
    </w:p>
    <w:p w14:paraId="6286DA9E" w14:textId="77777777" w:rsidR="00456443" w:rsidRPr="00862056" w:rsidRDefault="00456443" w:rsidP="00456443">
      <w:pPr>
        <w:numPr>
          <w:ilvl w:val="0"/>
          <w:numId w:val="71"/>
        </w:numPr>
        <w:tabs>
          <w:tab w:val="left" w:pos="360"/>
          <w:tab w:val="left" w:pos="540"/>
        </w:tabs>
        <w:spacing w:before="120" w:after="120" w:line="240" w:lineRule="auto"/>
        <w:ind w:left="0" w:right="601" w:firstLine="0"/>
        <w:jc w:val="both"/>
        <w:rPr>
          <w:rFonts w:ascii="Calibri" w:eastAsia="Times New Roman" w:hAnsi="Calibri" w:cs="Times New Roman"/>
          <w:color w:val="000000"/>
          <w:lang w:eastAsia="en-IN"/>
        </w:rPr>
      </w:pPr>
      <w:r w:rsidRPr="00862056">
        <w:rPr>
          <w:rFonts w:ascii="Calibri" w:eastAsia="Times New Roman" w:hAnsi="Calibri" w:cs="Times New Roman"/>
          <w:b/>
          <w:color w:val="000000"/>
          <w:lang w:eastAsia="en-IN"/>
        </w:rPr>
        <w:t xml:space="preserve">Finally, outside of these four use cases, Australia’s approach in the country should continue to focus on grant provision, with an added focus on technical advisory, knowledge </w:t>
      </w:r>
      <w:r w:rsidRPr="00862056">
        <w:rPr>
          <w:rFonts w:ascii="Calibri" w:eastAsia="Times New Roman" w:hAnsi="Calibri" w:cs="Times New Roman"/>
          <w:b/>
          <w:color w:val="000000"/>
          <w:lang w:eastAsia="en-IN"/>
        </w:rPr>
        <w:lastRenderedPageBreak/>
        <w:t xml:space="preserve">sharing and quality control and maintenance. </w:t>
      </w:r>
      <w:r w:rsidRPr="00862056">
        <w:rPr>
          <w:rFonts w:ascii="Calibri" w:eastAsia="Times New Roman" w:hAnsi="Calibri" w:cs="Times New Roman"/>
          <w:color w:val="000000"/>
          <w:lang w:eastAsia="en-IN"/>
        </w:rPr>
        <w:t xml:space="preserve">For instance, IFC and other actors investing in private players believe that there is an absence of credible players able to provide </w:t>
      </w:r>
      <w:r>
        <w:rPr>
          <w:rFonts w:ascii="Calibri" w:eastAsia="Arial" w:hAnsi="Calibri" w:cs="Calibri"/>
          <w:lang w:eastAsia="zh-CN"/>
        </w:rPr>
        <w:t>TA</w:t>
      </w:r>
      <w:r w:rsidRPr="00862056">
        <w:rPr>
          <w:rFonts w:ascii="Calibri" w:eastAsia="Times New Roman" w:hAnsi="Calibri" w:cs="Times New Roman"/>
          <w:color w:val="000000"/>
          <w:lang w:eastAsia="en-IN"/>
        </w:rPr>
        <w:t xml:space="preserve"> such as incubation support to improve the readiness of smaller enterprises to take on finance. </w:t>
      </w:r>
    </w:p>
    <w:p w14:paraId="6A7DBF3B" w14:textId="1B17884D" w:rsidR="00456443" w:rsidRPr="00862056" w:rsidRDefault="00456443" w:rsidP="00456443">
      <w:pPr>
        <w:numPr>
          <w:ilvl w:val="0"/>
          <w:numId w:val="71"/>
        </w:numPr>
        <w:tabs>
          <w:tab w:val="left" w:pos="360"/>
          <w:tab w:val="left" w:pos="540"/>
        </w:tabs>
        <w:spacing w:before="120" w:after="120" w:line="240" w:lineRule="auto"/>
        <w:ind w:left="0" w:right="601" w:firstLine="0"/>
        <w:jc w:val="both"/>
        <w:rPr>
          <w:rFonts w:ascii="Calibri" w:eastAsia="Times New Roman" w:hAnsi="Calibri" w:cs="Times New Roman"/>
          <w:color w:val="000000"/>
          <w:lang w:eastAsia="en-IN"/>
        </w:rPr>
      </w:pPr>
      <w:r w:rsidRPr="00862056">
        <w:rPr>
          <w:rFonts w:ascii="Calibri" w:eastAsia="Times New Roman" w:hAnsi="Calibri" w:cs="Times New Roman"/>
          <w:color w:val="000000"/>
          <w:lang w:eastAsia="en-IN"/>
        </w:rPr>
        <w:t>Australia can also look closely at</w:t>
      </w:r>
      <w:r w:rsidRPr="00862056">
        <w:rPr>
          <w:rFonts w:ascii="Calibri" w:eastAsia="Times New Roman" w:hAnsi="Calibri" w:cs="Times New Roman"/>
          <w:lang w:eastAsia="en-IN"/>
        </w:rPr>
        <w:t xml:space="preserve"> innovative forms of</w:t>
      </w:r>
      <w:r w:rsidRPr="00862056">
        <w:rPr>
          <w:rFonts w:ascii="Calibri" w:eastAsia="Times New Roman" w:hAnsi="Calibri" w:cs="Times New Roman"/>
          <w:color w:val="000000"/>
          <w:lang w:eastAsia="en-IN"/>
        </w:rPr>
        <w:t xml:space="preserve"> grant deployment, such as allowing the grantee to use a single grant fund to create a sustainable stream of revenue through investments in a social business venture—effectively ensuring that the grant is used as a revolving fund. Consultations with </w:t>
      </w:r>
      <w:r w:rsidR="00FD42EA" w:rsidRPr="00FD42EA">
        <w:rPr>
          <w:rFonts w:ascii="Calibri" w:eastAsia="Times New Roman" w:hAnsi="Calibri" w:cs="Times New Roman"/>
          <w:color w:val="000000"/>
          <w:lang w:eastAsia="en-IN"/>
        </w:rPr>
        <w:t xml:space="preserve">New Zealand’s Ministry of Foreign Affairs and Trade </w:t>
      </w:r>
      <w:r w:rsidRPr="00862056">
        <w:rPr>
          <w:rFonts w:ascii="Calibri" w:eastAsia="Times New Roman" w:hAnsi="Calibri" w:cs="Times New Roman"/>
          <w:lang w:eastAsia="en-IN"/>
        </w:rPr>
        <w:t xml:space="preserve">suggest that the agency used grants to fund a facility for loan provision in Vietnam. The facility saw almost 100% repayment and the initial grant by the agency became the principal fund. Such an approach can also be used in Vanuatu. </w:t>
      </w:r>
      <w:r w:rsidRPr="00862056">
        <w:rPr>
          <w:rFonts w:ascii="Calibri" w:eastAsia="Times New Roman" w:hAnsi="Calibri" w:cs="Times New Roman"/>
          <w:color w:val="000000"/>
          <w:lang w:eastAsia="en-IN"/>
        </w:rPr>
        <w:t xml:space="preserve">In addition, Australia can use its </w:t>
      </w:r>
      <w:r>
        <w:rPr>
          <w:rFonts w:ascii="Calibri" w:eastAsia="Times New Roman" w:hAnsi="Calibri" w:cs="Times New Roman"/>
          <w:lang w:eastAsia="en-IN"/>
        </w:rPr>
        <w:t>development assistance</w:t>
      </w:r>
      <w:r w:rsidRPr="00862056">
        <w:rPr>
          <w:rFonts w:ascii="Calibri" w:eastAsia="Times New Roman" w:hAnsi="Calibri" w:cs="Times New Roman"/>
          <w:color w:val="000000"/>
          <w:lang w:eastAsia="en-IN"/>
        </w:rPr>
        <w:t xml:space="preserve"> to improve transparency in Vanuatu through helping to create more rules-based standards that can influence the quality of the country’s regulation and legislation.  </w:t>
      </w:r>
    </w:p>
    <w:p w14:paraId="751E207C" w14:textId="6B7AD7B1" w:rsidR="00456443" w:rsidRPr="00862056" w:rsidRDefault="00456443" w:rsidP="00456443">
      <w:pPr>
        <w:numPr>
          <w:ilvl w:val="0"/>
          <w:numId w:val="61"/>
        </w:numPr>
        <w:pBdr>
          <w:top w:val="nil"/>
          <w:left w:val="nil"/>
          <w:bottom w:val="nil"/>
          <w:right w:val="nil"/>
          <w:between w:val="nil"/>
        </w:pBdr>
        <w:spacing w:before="120" w:after="120" w:line="240" w:lineRule="auto"/>
        <w:ind w:right="602"/>
        <w:jc w:val="both"/>
        <w:rPr>
          <w:rFonts w:ascii="Calibri" w:eastAsia="Lato" w:hAnsi="Calibri" w:cs="Lato"/>
          <w:b/>
          <w:color w:val="000000"/>
          <w:lang w:eastAsia="en-IN"/>
        </w:rPr>
      </w:pPr>
      <w:r w:rsidRPr="00862056">
        <w:rPr>
          <w:rFonts w:ascii="Calibri" w:eastAsia="Times New Roman" w:hAnsi="Calibri" w:cs="Times New Roman"/>
          <w:b/>
          <w:color w:val="000000"/>
          <w:lang w:eastAsia="en-IN"/>
        </w:rPr>
        <w:t xml:space="preserve">Roads. </w:t>
      </w:r>
      <w:r w:rsidRPr="00862056">
        <w:rPr>
          <w:rFonts w:ascii="Calibri" w:eastAsia="Times New Roman" w:hAnsi="Calibri" w:cs="Times New Roman"/>
          <w:color w:val="000000"/>
          <w:lang w:eastAsia="en-IN"/>
        </w:rPr>
        <w:t>Australia has long been a key financier of roads in Vanuatu and currently runs the Vanuatu Roads for Development</w:t>
      </w:r>
      <w:r>
        <w:rPr>
          <w:rFonts w:ascii="Calibri" w:eastAsia="Times New Roman" w:hAnsi="Calibri" w:cs="Times New Roman"/>
          <w:color w:val="000000"/>
          <w:lang w:eastAsia="en-IN"/>
        </w:rPr>
        <w:t xml:space="preserve"> </w:t>
      </w:r>
      <w:r w:rsidR="0073249A">
        <w:rPr>
          <w:rFonts w:ascii="Calibri" w:eastAsia="Times New Roman" w:hAnsi="Calibri" w:cs="Times New Roman"/>
          <w:color w:val="000000"/>
          <w:lang w:eastAsia="en-IN"/>
        </w:rPr>
        <w:t>program</w:t>
      </w:r>
      <w:r>
        <w:rPr>
          <w:rFonts w:ascii="Calibri" w:eastAsia="Times New Roman" w:hAnsi="Calibri" w:cs="Times New Roman"/>
          <w:color w:val="000000"/>
          <w:lang w:eastAsia="en-IN"/>
        </w:rPr>
        <w:t xml:space="preserve"> </w:t>
      </w:r>
      <w:r w:rsidRPr="00862056">
        <w:rPr>
          <w:rFonts w:ascii="Calibri" w:eastAsia="Times New Roman" w:hAnsi="Calibri" w:cs="Times New Roman"/>
          <w:color w:val="000000"/>
          <w:lang w:eastAsia="en-IN"/>
        </w:rPr>
        <w:t xml:space="preserve">with an allocation of </w:t>
      </w:r>
      <w:r w:rsidR="00800236">
        <w:rPr>
          <w:rFonts w:ascii="Calibri" w:eastAsia="Times New Roman" w:hAnsi="Calibri" w:cs="Times New Roman"/>
          <w:color w:val="000000"/>
          <w:lang w:eastAsia="en-IN"/>
        </w:rPr>
        <w:t>US$</w:t>
      </w:r>
      <w:r w:rsidRPr="00862056">
        <w:rPr>
          <w:rFonts w:ascii="Calibri" w:eastAsia="Times New Roman" w:hAnsi="Calibri" w:cs="Times New Roman"/>
          <w:color w:val="000000"/>
          <w:lang w:eastAsia="en-IN"/>
        </w:rPr>
        <w:t xml:space="preserve"> 18 million over 2017 –2021</w:t>
      </w:r>
      <w:r>
        <w:rPr>
          <w:rFonts w:ascii="Calibri" w:eastAsia="Times New Roman" w:hAnsi="Calibri" w:cs="Times New Roman"/>
          <w:color w:val="000000"/>
          <w:lang w:eastAsia="en-IN"/>
        </w:rPr>
        <w:t>.</w:t>
      </w:r>
      <w:r w:rsidRPr="00862056">
        <w:rPr>
          <w:rFonts w:ascii="Calibri" w:eastAsia="Times New Roman" w:hAnsi="Calibri" w:cs="Times New Roman"/>
          <w:color w:val="000000"/>
          <w:vertAlign w:val="superscript"/>
          <w:lang w:eastAsia="en-IN"/>
        </w:rPr>
        <w:footnoteReference w:id="163"/>
      </w:r>
      <w:r w:rsidRPr="00862056">
        <w:rPr>
          <w:rFonts w:ascii="Calibri" w:eastAsia="Times New Roman" w:hAnsi="Calibri" w:cs="Times New Roman"/>
          <w:color w:val="000000"/>
          <w:lang w:eastAsia="en-IN"/>
        </w:rPr>
        <w:t xml:space="preserve"> Many stakeholders believe that Australia has, over the years, gained a competitive advantage in the roads sector and is a key partner of choice for road construction and rehabilitation. Given </w:t>
      </w:r>
      <w:r w:rsidRPr="00862056">
        <w:rPr>
          <w:rFonts w:ascii="Calibri" w:eastAsia="Times New Roman" w:hAnsi="Calibri" w:cs="Times New Roman"/>
          <w:lang w:eastAsia="en-IN"/>
        </w:rPr>
        <w:t xml:space="preserve">concerns around debt sustainability, and the consideration </w:t>
      </w:r>
      <w:r w:rsidRPr="00862056">
        <w:rPr>
          <w:rFonts w:ascii="Calibri" w:eastAsia="Times New Roman" w:hAnsi="Calibri" w:cs="Times New Roman"/>
          <w:color w:val="000000"/>
          <w:lang w:eastAsia="en-IN"/>
        </w:rPr>
        <w:t xml:space="preserve">that road infrastructure often cannot be monetised, especially on small </w:t>
      </w:r>
      <w:r w:rsidRPr="00862056">
        <w:rPr>
          <w:rFonts w:ascii="Calibri" w:eastAsia="Times New Roman" w:hAnsi="Calibri" w:cs="Times New Roman"/>
          <w:lang w:eastAsia="en-IN"/>
        </w:rPr>
        <w:t>Pacific I</w:t>
      </w:r>
      <w:r w:rsidRPr="00862056">
        <w:rPr>
          <w:rFonts w:ascii="Calibri" w:eastAsia="Times New Roman" w:hAnsi="Calibri" w:cs="Times New Roman"/>
          <w:color w:val="000000"/>
          <w:lang w:eastAsia="en-IN"/>
        </w:rPr>
        <w:t xml:space="preserve">sland countries such as Vanuatu that may not have need for toll roads, it may be prudent to continue funding the construction and restoration of roads </w:t>
      </w:r>
      <w:proofErr w:type="gramStart"/>
      <w:r w:rsidRPr="00862056">
        <w:rPr>
          <w:rFonts w:ascii="Calibri" w:eastAsia="Times New Roman" w:hAnsi="Calibri" w:cs="Times New Roman"/>
          <w:color w:val="000000"/>
          <w:lang w:eastAsia="en-IN"/>
        </w:rPr>
        <w:t>through the use of</w:t>
      </w:r>
      <w:proofErr w:type="gramEnd"/>
      <w:r w:rsidRPr="00862056">
        <w:rPr>
          <w:rFonts w:ascii="Calibri" w:eastAsia="Times New Roman" w:hAnsi="Calibri" w:cs="Times New Roman"/>
          <w:color w:val="000000"/>
          <w:lang w:eastAsia="en-IN"/>
        </w:rPr>
        <w:t xml:space="preserve"> grants. </w:t>
      </w:r>
    </w:p>
    <w:p w14:paraId="1FD11E06" w14:textId="77777777" w:rsidR="00456443" w:rsidRPr="00862056" w:rsidRDefault="00456443" w:rsidP="00456443">
      <w:pPr>
        <w:numPr>
          <w:ilvl w:val="0"/>
          <w:numId w:val="61"/>
        </w:numPr>
        <w:pBdr>
          <w:top w:val="nil"/>
          <w:left w:val="nil"/>
          <w:bottom w:val="nil"/>
          <w:right w:val="nil"/>
          <w:between w:val="nil"/>
        </w:pBdr>
        <w:spacing w:before="120" w:after="120" w:line="240" w:lineRule="auto"/>
        <w:ind w:right="602"/>
        <w:jc w:val="both"/>
        <w:rPr>
          <w:rFonts w:ascii="Calibri" w:eastAsia="Lato" w:hAnsi="Calibri" w:cs="Lato"/>
          <w:b/>
          <w:color w:val="000000"/>
          <w:lang w:eastAsia="en-IN"/>
        </w:rPr>
      </w:pPr>
      <w:r w:rsidRPr="00862056">
        <w:rPr>
          <w:rFonts w:ascii="Calibri" w:eastAsia="Times New Roman" w:hAnsi="Calibri" w:cs="Times New Roman"/>
          <w:b/>
          <w:color w:val="000000"/>
          <w:lang w:eastAsia="en-IN"/>
        </w:rPr>
        <w:t>Telecommunication.</w:t>
      </w:r>
      <w:r w:rsidRPr="00862056">
        <w:rPr>
          <w:rFonts w:ascii="Calibri" w:eastAsia="Times New Roman" w:hAnsi="Calibri" w:cs="Times New Roman"/>
          <w:color w:val="000000"/>
          <w:lang w:eastAsia="en-IN"/>
        </w:rPr>
        <w:t xml:space="preserve"> </w:t>
      </w:r>
      <w:r w:rsidRPr="00862056">
        <w:rPr>
          <w:rFonts w:ascii="Calibri" w:eastAsia="Times New Roman" w:hAnsi="Calibri" w:cs="Times New Roman"/>
          <w:lang w:eastAsia="en-IN"/>
        </w:rPr>
        <w:t>Due to h</w:t>
      </w:r>
      <w:r w:rsidRPr="00862056">
        <w:rPr>
          <w:rFonts w:ascii="Calibri" w:eastAsia="Times New Roman" w:hAnsi="Calibri" w:cs="Times New Roman"/>
          <w:color w:val="000000"/>
          <w:lang w:eastAsia="en-IN"/>
        </w:rPr>
        <w:t xml:space="preserve">igh telecommunication coverage in Vanuatu—upwards of 97%—along with constrained market size </w:t>
      </w:r>
      <w:r w:rsidRPr="00862056">
        <w:rPr>
          <w:rFonts w:ascii="Calibri" w:eastAsia="Times New Roman" w:hAnsi="Calibri" w:cs="Times New Roman"/>
          <w:lang w:eastAsia="en-IN"/>
        </w:rPr>
        <w:t>and the presence of dominant players such as UNELCO and VUI,</w:t>
      </w:r>
      <w:r w:rsidRPr="00862056">
        <w:rPr>
          <w:rFonts w:ascii="Calibri" w:eastAsia="Times New Roman" w:hAnsi="Calibri" w:cs="Times New Roman"/>
          <w:color w:val="000000"/>
          <w:lang w:eastAsia="en-IN"/>
        </w:rPr>
        <w:t xml:space="preserve"> </w:t>
      </w:r>
      <w:r w:rsidRPr="00862056">
        <w:rPr>
          <w:rFonts w:ascii="Calibri" w:eastAsia="Times New Roman" w:hAnsi="Calibri" w:cs="Times New Roman"/>
          <w:lang w:eastAsia="en-IN"/>
        </w:rPr>
        <w:t>there is</w:t>
      </w:r>
      <w:r w:rsidRPr="00862056">
        <w:rPr>
          <w:rFonts w:ascii="Calibri" w:eastAsia="Times New Roman" w:hAnsi="Calibri" w:cs="Times New Roman"/>
          <w:color w:val="000000"/>
          <w:lang w:eastAsia="en-IN"/>
        </w:rPr>
        <w:t xml:space="preserve"> little entry </w:t>
      </w:r>
      <w:r w:rsidRPr="00862056">
        <w:rPr>
          <w:rFonts w:ascii="Calibri" w:eastAsia="Times New Roman" w:hAnsi="Calibri" w:cs="Times New Roman"/>
          <w:lang w:eastAsia="en-IN"/>
        </w:rPr>
        <w:t xml:space="preserve">motivation </w:t>
      </w:r>
      <w:r w:rsidRPr="00862056">
        <w:rPr>
          <w:rFonts w:ascii="Calibri" w:eastAsia="Times New Roman" w:hAnsi="Calibri" w:cs="Times New Roman"/>
          <w:color w:val="000000"/>
          <w:lang w:eastAsia="en-IN"/>
        </w:rPr>
        <w:t xml:space="preserve">for additional players. </w:t>
      </w:r>
      <w:r w:rsidRPr="00862056">
        <w:rPr>
          <w:rFonts w:ascii="Calibri" w:eastAsia="Times New Roman" w:hAnsi="Calibri" w:cs="Times New Roman"/>
          <w:lang w:eastAsia="en-IN"/>
        </w:rPr>
        <w:t xml:space="preserve">The market for faster broadband is also likely to be limited, both due to market size and household purchasing power considerations—once again making unlikely the prospects of wide-ranging commercial activity for Australia to support. </w:t>
      </w:r>
      <w:r w:rsidRPr="00862056">
        <w:rPr>
          <w:rFonts w:ascii="Calibri" w:eastAsia="Times New Roman" w:hAnsi="Calibri" w:cs="Times New Roman"/>
          <w:color w:val="000000"/>
          <w:lang w:eastAsia="en-IN"/>
        </w:rPr>
        <w:t>The sector does, however, have a dearth of qualified personnel. Australia is well suited to use grants to build the sector’s human capacity.</w:t>
      </w:r>
    </w:p>
    <w:p w14:paraId="34799217" w14:textId="1D7F0CE7" w:rsidR="00456443" w:rsidRPr="00862056" w:rsidRDefault="00456443" w:rsidP="00456443">
      <w:pPr>
        <w:numPr>
          <w:ilvl w:val="0"/>
          <w:numId w:val="61"/>
        </w:numPr>
        <w:pBdr>
          <w:top w:val="nil"/>
          <w:left w:val="nil"/>
          <w:bottom w:val="nil"/>
          <w:right w:val="nil"/>
          <w:between w:val="nil"/>
        </w:pBdr>
        <w:spacing w:before="120" w:after="120" w:line="240" w:lineRule="auto"/>
        <w:ind w:right="602"/>
        <w:jc w:val="both"/>
        <w:rPr>
          <w:rFonts w:ascii="Calibri" w:eastAsia="Lato" w:hAnsi="Calibri" w:cs="Lato"/>
          <w:color w:val="000000"/>
          <w:lang w:eastAsia="en-IN"/>
        </w:rPr>
      </w:pPr>
      <w:r w:rsidRPr="00862056">
        <w:rPr>
          <w:rFonts w:ascii="Calibri" w:eastAsia="Times New Roman" w:hAnsi="Calibri" w:cs="Times New Roman"/>
          <w:b/>
          <w:color w:val="000000"/>
          <w:lang w:eastAsia="en-IN"/>
        </w:rPr>
        <w:t xml:space="preserve">WASH. </w:t>
      </w:r>
      <w:r w:rsidRPr="00862056">
        <w:rPr>
          <w:rFonts w:ascii="Calibri" w:eastAsia="Times New Roman" w:hAnsi="Calibri" w:cs="Times New Roman"/>
          <w:color w:val="000000"/>
          <w:lang w:eastAsia="en-IN"/>
        </w:rPr>
        <w:t xml:space="preserve">Australia has supported the establishment of community sanitation facilities and a new sewage treatment facility through its </w:t>
      </w:r>
      <w:r w:rsidR="00800236">
        <w:rPr>
          <w:rFonts w:ascii="Calibri" w:eastAsia="Times New Roman" w:hAnsi="Calibri" w:cs="Times New Roman"/>
          <w:color w:val="000000"/>
          <w:lang w:eastAsia="en-IN"/>
        </w:rPr>
        <w:t>US$</w:t>
      </w:r>
      <w:r w:rsidRPr="00862056">
        <w:rPr>
          <w:rFonts w:ascii="Calibri" w:eastAsia="Times New Roman" w:hAnsi="Calibri" w:cs="Times New Roman"/>
          <w:color w:val="000000"/>
          <w:lang w:eastAsia="en-IN"/>
        </w:rPr>
        <w:t xml:space="preserve"> 21 million Port Vila Urban Development Project, and </w:t>
      </w:r>
      <w:r w:rsidRPr="00862056">
        <w:rPr>
          <w:rFonts w:ascii="Calibri" w:eastAsia="Times New Roman" w:hAnsi="Calibri" w:cs="Times New Roman"/>
          <w:lang w:eastAsia="en-IN"/>
        </w:rPr>
        <w:t xml:space="preserve">is currently supporting water supply systems through its </w:t>
      </w:r>
      <w:r w:rsidR="00800236">
        <w:rPr>
          <w:rFonts w:ascii="Calibri" w:eastAsia="Times New Roman" w:hAnsi="Calibri" w:cs="Times New Roman"/>
          <w:lang w:eastAsia="en-IN"/>
        </w:rPr>
        <w:t>US$</w:t>
      </w:r>
      <w:r w:rsidRPr="00862056">
        <w:rPr>
          <w:rFonts w:ascii="Calibri" w:eastAsia="Times New Roman" w:hAnsi="Calibri" w:cs="Times New Roman"/>
          <w:lang w:eastAsia="en-IN"/>
        </w:rPr>
        <w:t xml:space="preserve"> 3.2 million basic water infrastructure project—part of its Tropical Cyclone Pam long-term recovery strategy</w:t>
      </w:r>
      <w:r>
        <w:rPr>
          <w:rFonts w:ascii="Calibri" w:eastAsia="Times New Roman" w:hAnsi="Calibri" w:cs="Times New Roman"/>
          <w:lang w:eastAsia="en-IN"/>
        </w:rPr>
        <w:t>.</w:t>
      </w:r>
      <w:r w:rsidRPr="00862056">
        <w:rPr>
          <w:rFonts w:ascii="Calibri" w:eastAsia="Times New Roman" w:hAnsi="Calibri" w:cs="Times New Roman"/>
          <w:color w:val="000000"/>
          <w:vertAlign w:val="superscript"/>
          <w:lang w:eastAsia="en-IN"/>
        </w:rPr>
        <w:footnoteReference w:id="164"/>
      </w:r>
      <w:r w:rsidRPr="00862056">
        <w:rPr>
          <w:rFonts w:ascii="Calibri" w:eastAsia="Times New Roman" w:hAnsi="Calibri" w:cs="Times New Roman"/>
          <w:color w:val="000000"/>
          <w:lang w:eastAsia="en-IN"/>
        </w:rPr>
        <w:t xml:space="preserve"> While there is demand for water purification systems in rural areas, these facilities would be best funded through grants, given that they are usually perceived </w:t>
      </w:r>
      <w:r w:rsidRPr="00862056">
        <w:rPr>
          <w:rFonts w:ascii="Calibri" w:eastAsia="Times New Roman" w:hAnsi="Calibri" w:cs="Times New Roman"/>
          <w:lang w:eastAsia="en-IN"/>
        </w:rPr>
        <w:t>as</w:t>
      </w:r>
      <w:r w:rsidRPr="00862056">
        <w:rPr>
          <w:rFonts w:ascii="Calibri" w:eastAsia="Times New Roman" w:hAnsi="Calibri" w:cs="Times New Roman"/>
          <w:color w:val="000000"/>
          <w:lang w:eastAsia="en-IN"/>
        </w:rPr>
        <w:t xml:space="preserve"> public goods w</w:t>
      </w:r>
      <w:r w:rsidRPr="00862056">
        <w:rPr>
          <w:rFonts w:ascii="Calibri" w:eastAsia="Times New Roman" w:hAnsi="Calibri" w:cs="Times New Roman"/>
          <w:lang w:eastAsia="en-IN"/>
        </w:rPr>
        <w:t>ith significant positive externalities around disease prevention—an area of pressing concern, giving the high incidence of communicable diseases and other adverse health trends in Vanuatu</w:t>
      </w:r>
      <w:r w:rsidRPr="00862056">
        <w:rPr>
          <w:rFonts w:ascii="Calibri" w:eastAsia="Times New Roman" w:hAnsi="Calibri" w:cs="Times New Roman"/>
          <w:color w:val="000000"/>
          <w:lang w:eastAsia="en-IN"/>
        </w:rPr>
        <w:t>.</w:t>
      </w:r>
    </w:p>
    <w:p w14:paraId="36E641E4" w14:textId="77777777" w:rsidR="00456443" w:rsidRPr="00862056" w:rsidRDefault="00456443" w:rsidP="00456443">
      <w:pPr>
        <w:keepNext/>
        <w:keepLines/>
        <w:tabs>
          <w:tab w:val="left" w:pos="360"/>
          <w:tab w:val="left" w:pos="540"/>
        </w:tabs>
        <w:spacing w:before="120" w:after="120" w:line="240" w:lineRule="auto"/>
        <w:ind w:right="602"/>
        <w:jc w:val="both"/>
        <w:outlineLvl w:val="1"/>
        <w:rPr>
          <w:rFonts w:ascii="Calibri" w:eastAsia="Times New Roman" w:hAnsi="Calibri" w:cs="Times New Roman"/>
          <w:color w:val="C0504D"/>
          <w:sz w:val="28"/>
          <w:szCs w:val="28"/>
          <w:lang w:eastAsia="en-IN"/>
        </w:rPr>
      </w:pPr>
      <w:r w:rsidRPr="00862056">
        <w:rPr>
          <w:rFonts w:ascii="Calibri" w:eastAsia="Times New Roman" w:hAnsi="Calibri" w:cs="Times New Roman"/>
          <w:color w:val="C0504D"/>
          <w:sz w:val="28"/>
          <w:szCs w:val="28"/>
          <w:lang w:eastAsia="en-IN"/>
        </w:rPr>
        <w:t>Key Challenges and Constraints</w:t>
      </w:r>
    </w:p>
    <w:p w14:paraId="3A7A90E2" w14:textId="77777777" w:rsidR="00456443" w:rsidRPr="00862056" w:rsidRDefault="00456443" w:rsidP="00456443">
      <w:pPr>
        <w:numPr>
          <w:ilvl w:val="0"/>
          <w:numId w:val="72"/>
        </w:numPr>
        <w:tabs>
          <w:tab w:val="left" w:pos="360"/>
          <w:tab w:val="left" w:pos="540"/>
        </w:tabs>
        <w:spacing w:before="120" w:after="120" w:line="240" w:lineRule="auto"/>
        <w:ind w:left="0" w:right="601" w:firstLine="0"/>
        <w:jc w:val="both"/>
        <w:rPr>
          <w:rFonts w:ascii="Calibri" w:eastAsia="Times New Roman" w:hAnsi="Calibri" w:cs="Times New Roman"/>
          <w:color w:val="000000"/>
          <w:lang w:eastAsia="en-IN"/>
        </w:rPr>
      </w:pPr>
      <w:r w:rsidRPr="00862056">
        <w:rPr>
          <w:rFonts w:ascii="Calibri" w:eastAsia="Times New Roman" w:hAnsi="Calibri" w:cs="Times New Roman"/>
          <w:b/>
          <w:color w:val="000000"/>
          <w:lang w:eastAsia="en-IN"/>
        </w:rPr>
        <w:t xml:space="preserve">It is important to note that these </w:t>
      </w:r>
      <w:r w:rsidRPr="00552F2C">
        <w:rPr>
          <w:rFonts w:ascii="Calibri" w:eastAsia="Arial" w:hAnsi="Calibri" w:cs="Calibri"/>
          <w:b/>
          <w:lang w:eastAsia="zh-CN"/>
        </w:rPr>
        <w:t>NGF</w:t>
      </w:r>
      <w:r w:rsidRPr="00862056">
        <w:rPr>
          <w:rFonts w:ascii="Calibri" w:eastAsia="Times New Roman" w:hAnsi="Calibri" w:cs="Times New Roman"/>
          <w:b/>
          <w:color w:val="000000"/>
          <w:lang w:eastAsia="en-IN"/>
        </w:rPr>
        <w:t xml:space="preserve"> opportunities exist within broader contextual concerns around limited domestic market size, a minimal number of bankable projects, an opaque understanding of debt sustainability, corruption within some levels of government, </w:t>
      </w:r>
      <w:r w:rsidRPr="00862056">
        <w:rPr>
          <w:rFonts w:ascii="Calibri" w:eastAsia="Times New Roman" w:hAnsi="Calibri" w:cs="Times New Roman"/>
          <w:b/>
          <w:lang w:eastAsia="en-IN"/>
        </w:rPr>
        <w:t xml:space="preserve">a pronounced desire amongst government decision makers for expediency in project design and delivery and the </w:t>
      </w:r>
      <w:r w:rsidRPr="00862056">
        <w:rPr>
          <w:rFonts w:ascii="Calibri" w:eastAsia="Times New Roman" w:hAnsi="Calibri" w:cs="Times New Roman"/>
          <w:b/>
          <w:color w:val="000000"/>
          <w:lang w:eastAsia="en-IN"/>
        </w:rPr>
        <w:t xml:space="preserve">preference among some politicians for grants instead of </w:t>
      </w:r>
      <w:r>
        <w:rPr>
          <w:rFonts w:ascii="Calibri" w:eastAsia="Times New Roman" w:hAnsi="Calibri" w:cs="Times New Roman"/>
          <w:b/>
          <w:color w:val="000000"/>
          <w:lang w:eastAsia="en-IN"/>
        </w:rPr>
        <w:t>NGF</w:t>
      </w:r>
      <w:r w:rsidRPr="00862056">
        <w:rPr>
          <w:rFonts w:ascii="Calibri" w:eastAsia="Times New Roman" w:hAnsi="Calibri" w:cs="Times New Roman"/>
          <w:b/>
          <w:color w:val="000000"/>
          <w:lang w:eastAsia="en-IN"/>
        </w:rPr>
        <w:t xml:space="preserve">. Given </w:t>
      </w:r>
      <w:r w:rsidRPr="00862056">
        <w:rPr>
          <w:rFonts w:ascii="Calibri" w:eastAsia="Times New Roman" w:hAnsi="Calibri" w:cs="Times New Roman"/>
          <w:b/>
          <w:color w:val="000000"/>
          <w:lang w:eastAsia="en-IN"/>
        </w:rPr>
        <w:lastRenderedPageBreak/>
        <w:t xml:space="preserve">these present circumstances, we believe that, </w:t>
      </w:r>
      <w:proofErr w:type="gramStart"/>
      <w:r w:rsidRPr="00862056">
        <w:rPr>
          <w:rFonts w:ascii="Calibri" w:eastAsia="Times New Roman" w:hAnsi="Calibri" w:cs="Times New Roman"/>
          <w:b/>
          <w:color w:val="000000"/>
          <w:lang w:eastAsia="en-IN"/>
        </w:rPr>
        <w:t>with the exception of</w:t>
      </w:r>
      <w:proofErr w:type="gramEnd"/>
      <w:r w:rsidRPr="00862056">
        <w:rPr>
          <w:rFonts w:ascii="Calibri" w:eastAsia="Times New Roman" w:hAnsi="Calibri" w:cs="Times New Roman"/>
          <w:b/>
          <w:color w:val="000000"/>
          <w:lang w:eastAsia="en-IN"/>
        </w:rPr>
        <w:t xml:space="preserve"> select instances outlined above, </w:t>
      </w:r>
      <w:r>
        <w:rPr>
          <w:rFonts w:ascii="Calibri" w:eastAsia="Times New Roman" w:hAnsi="Calibri" w:cs="Times New Roman"/>
          <w:b/>
          <w:color w:val="000000"/>
          <w:lang w:eastAsia="en-IN"/>
        </w:rPr>
        <w:t>NGF</w:t>
      </w:r>
      <w:r w:rsidRPr="00862056">
        <w:rPr>
          <w:rFonts w:ascii="Calibri" w:eastAsia="Times New Roman" w:hAnsi="Calibri" w:cs="Times New Roman"/>
          <w:b/>
          <w:color w:val="000000"/>
          <w:lang w:eastAsia="en-IN"/>
        </w:rPr>
        <w:t xml:space="preserve"> currently have limited applicability in the context of Vanuatu.</w:t>
      </w:r>
    </w:p>
    <w:p w14:paraId="0B150BC4" w14:textId="77777777" w:rsidR="00456443" w:rsidRPr="00862056" w:rsidRDefault="00456443" w:rsidP="00456443">
      <w:pPr>
        <w:numPr>
          <w:ilvl w:val="0"/>
          <w:numId w:val="72"/>
        </w:numPr>
        <w:tabs>
          <w:tab w:val="left" w:pos="360"/>
          <w:tab w:val="left" w:pos="540"/>
        </w:tabs>
        <w:spacing w:before="120" w:after="120" w:line="240" w:lineRule="auto"/>
        <w:ind w:left="0" w:right="601" w:firstLine="0"/>
        <w:jc w:val="both"/>
        <w:rPr>
          <w:rFonts w:ascii="Calibri" w:eastAsia="Times New Roman" w:hAnsi="Calibri" w:cs="Times New Roman"/>
          <w:color w:val="000000"/>
          <w:lang w:eastAsia="en-IN"/>
        </w:rPr>
      </w:pPr>
      <w:r w:rsidRPr="00862056">
        <w:rPr>
          <w:rFonts w:ascii="Calibri" w:eastAsia="Times New Roman" w:hAnsi="Calibri" w:cs="Times New Roman"/>
          <w:color w:val="000000"/>
          <w:lang w:eastAsia="en-IN"/>
        </w:rPr>
        <w:t xml:space="preserve">There are concerns around rising levels of debt in the country. Officially, the Vanuatu government has current debt levels of over 30% of GDP, but these are highly contestable. For this reason, and due to the relatively easy availability of grant money from other donors, many politicians also prefer grants to other financial instruments. The general perception of the political landscape is that it is saddled with corruption and constrained by the short-term vision of some politicians—factors that negatively affect the investment appeal of longer-term projects. Moreover, our consultations revealed that recent legislation empowers individual Members of Parliament to take on sovereign debt for projects; many of these loans are likely not reflected on the official balance sheet. </w:t>
      </w:r>
    </w:p>
    <w:p w14:paraId="417113A1" w14:textId="77777777" w:rsidR="00456443" w:rsidRDefault="00456443" w:rsidP="00456443">
      <w:pPr>
        <w:numPr>
          <w:ilvl w:val="0"/>
          <w:numId w:val="72"/>
        </w:numPr>
        <w:tabs>
          <w:tab w:val="left" w:pos="360"/>
          <w:tab w:val="left" w:pos="540"/>
        </w:tabs>
        <w:spacing w:before="120" w:after="120" w:line="240" w:lineRule="auto"/>
        <w:ind w:left="0" w:right="601" w:firstLine="0"/>
        <w:jc w:val="both"/>
        <w:rPr>
          <w:rFonts w:ascii="Calibri" w:eastAsia="Times New Roman" w:hAnsi="Calibri" w:cs="Times New Roman"/>
          <w:color w:val="000000"/>
          <w:lang w:eastAsia="en-IN"/>
        </w:rPr>
      </w:pPr>
      <w:r w:rsidRPr="00862056">
        <w:rPr>
          <w:rFonts w:ascii="Calibri" w:eastAsia="Times New Roman" w:hAnsi="Calibri" w:cs="Times New Roman"/>
          <w:color w:val="000000"/>
          <w:lang w:eastAsia="en-IN"/>
        </w:rPr>
        <w:t>In addition, the domestic market and export capabilities of local players are limited, severely constraining the potential for revenue and thus the bankability of many development projects. Almost all institutions are affected by perceived corruption—Transparency International ranks Vanuatu as 71</w:t>
      </w:r>
      <w:r w:rsidRPr="00862056">
        <w:rPr>
          <w:rFonts w:ascii="Calibri" w:eastAsia="Times New Roman" w:hAnsi="Calibri" w:cs="Times New Roman"/>
          <w:color w:val="000000"/>
          <w:vertAlign w:val="superscript"/>
          <w:lang w:eastAsia="en-IN"/>
        </w:rPr>
        <w:t>st</w:t>
      </w:r>
      <w:r w:rsidRPr="00862056">
        <w:rPr>
          <w:rFonts w:ascii="Calibri" w:eastAsia="Times New Roman" w:hAnsi="Calibri" w:cs="Times New Roman"/>
          <w:color w:val="000000"/>
          <w:lang w:eastAsia="en-IN"/>
        </w:rPr>
        <w:t xml:space="preserve"> least corrupt out of 180 nations. </w:t>
      </w:r>
    </w:p>
    <w:p w14:paraId="2A0ACE86" w14:textId="77777777" w:rsidR="00456443" w:rsidRPr="00862056" w:rsidRDefault="00456443" w:rsidP="00456443">
      <w:pPr>
        <w:tabs>
          <w:tab w:val="left" w:pos="360"/>
          <w:tab w:val="left" w:pos="540"/>
        </w:tabs>
        <w:spacing w:before="120" w:after="120" w:line="240" w:lineRule="auto"/>
        <w:ind w:right="601"/>
        <w:jc w:val="both"/>
        <w:rPr>
          <w:rFonts w:ascii="Calibri" w:eastAsia="Times New Roman" w:hAnsi="Calibri" w:cs="Times New Roman"/>
          <w:color w:val="000000"/>
          <w:lang w:eastAsia="en-IN"/>
        </w:rPr>
      </w:pPr>
    </w:p>
    <w:p w14:paraId="7BA1A5A5" w14:textId="77777777" w:rsidR="00456443" w:rsidRDefault="00456443" w:rsidP="00456443">
      <w:pPr>
        <w:widowControl w:val="0"/>
        <w:numPr>
          <w:ilvl w:val="0"/>
          <w:numId w:val="54"/>
        </w:numPr>
        <w:tabs>
          <w:tab w:val="left" w:pos="360"/>
          <w:tab w:val="left" w:pos="540"/>
        </w:tabs>
        <w:spacing w:before="120" w:after="120" w:line="240" w:lineRule="auto"/>
        <w:ind w:right="602"/>
        <w:jc w:val="both"/>
        <w:outlineLvl w:val="0"/>
        <w:rPr>
          <w:rFonts w:ascii="Calibri" w:eastAsia="Times New Roman" w:hAnsi="Calibri" w:cs="Times New Roman"/>
          <w:b/>
          <w:smallCaps/>
          <w:color w:val="4F81BD"/>
          <w:sz w:val="32"/>
          <w:szCs w:val="32"/>
          <w:lang w:eastAsia="en-IN"/>
        </w:rPr>
      </w:pPr>
      <w:r w:rsidRPr="00862056">
        <w:rPr>
          <w:rFonts w:ascii="Calibri" w:eastAsia="Times New Roman" w:hAnsi="Calibri" w:cs="Times New Roman"/>
          <w:b/>
          <w:smallCaps/>
          <w:color w:val="4F81BD"/>
          <w:sz w:val="32"/>
          <w:szCs w:val="32"/>
          <w:lang w:eastAsia="en-IN"/>
        </w:rPr>
        <w:t xml:space="preserve">Development Impact </w:t>
      </w:r>
    </w:p>
    <w:p w14:paraId="035CA946" w14:textId="77777777" w:rsidR="00456443" w:rsidRPr="00862056" w:rsidRDefault="00456443" w:rsidP="00456443">
      <w:pPr>
        <w:widowControl w:val="0"/>
        <w:tabs>
          <w:tab w:val="left" w:pos="360"/>
          <w:tab w:val="left" w:pos="540"/>
        </w:tabs>
        <w:spacing w:before="120" w:after="120" w:line="240" w:lineRule="auto"/>
        <w:ind w:right="602"/>
        <w:jc w:val="both"/>
        <w:outlineLvl w:val="0"/>
        <w:rPr>
          <w:rFonts w:ascii="Calibri" w:eastAsia="Times New Roman" w:hAnsi="Calibri" w:cs="Times New Roman"/>
          <w:b/>
          <w:smallCaps/>
          <w:color w:val="4F81BD"/>
          <w:sz w:val="32"/>
          <w:szCs w:val="32"/>
          <w:lang w:eastAsia="en-IN"/>
        </w:rPr>
      </w:pPr>
    </w:p>
    <w:p w14:paraId="14D69F80" w14:textId="77777777" w:rsidR="00456443" w:rsidRPr="00862056" w:rsidRDefault="00456443" w:rsidP="00456443">
      <w:pPr>
        <w:numPr>
          <w:ilvl w:val="0"/>
          <w:numId w:val="73"/>
        </w:numPr>
        <w:tabs>
          <w:tab w:val="left" w:pos="360"/>
          <w:tab w:val="left" w:pos="540"/>
        </w:tabs>
        <w:spacing w:before="120" w:after="120" w:line="240" w:lineRule="auto"/>
        <w:ind w:left="0" w:right="601" w:firstLine="0"/>
        <w:jc w:val="both"/>
        <w:rPr>
          <w:rFonts w:ascii="Calibri" w:eastAsia="Times New Roman" w:hAnsi="Calibri" w:cs="Times New Roman"/>
          <w:color w:val="000000"/>
          <w:lang w:eastAsia="en-IN"/>
        </w:rPr>
      </w:pPr>
      <w:r w:rsidRPr="00862056">
        <w:rPr>
          <w:rFonts w:ascii="Calibri" w:eastAsia="Times New Roman" w:hAnsi="Calibri" w:cs="Times New Roman"/>
          <w:b/>
          <w:color w:val="000000"/>
          <w:lang w:eastAsia="en-IN"/>
        </w:rPr>
        <w:t>Vanuatu may benefit greatly from improved infrastructure and a thriving private sector that focuses on smaller enterprises.</w:t>
      </w:r>
    </w:p>
    <w:p w14:paraId="08B1A667" w14:textId="77777777" w:rsidR="00456443" w:rsidRPr="00862056" w:rsidRDefault="00456443" w:rsidP="00456443">
      <w:pPr>
        <w:numPr>
          <w:ilvl w:val="0"/>
          <w:numId w:val="62"/>
        </w:numPr>
        <w:pBdr>
          <w:top w:val="nil"/>
          <w:left w:val="nil"/>
          <w:bottom w:val="nil"/>
          <w:right w:val="nil"/>
          <w:between w:val="nil"/>
        </w:pBdr>
        <w:tabs>
          <w:tab w:val="left" w:pos="360"/>
        </w:tabs>
        <w:spacing w:before="120" w:after="120" w:line="240" w:lineRule="auto"/>
        <w:ind w:right="602"/>
        <w:jc w:val="both"/>
        <w:rPr>
          <w:rFonts w:ascii="Calibri" w:eastAsia="Lato" w:hAnsi="Calibri" w:cs="Lato"/>
          <w:b/>
          <w:color w:val="000000"/>
          <w:lang w:eastAsia="en-IN"/>
        </w:rPr>
      </w:pPr>
      <w:r w:rsidRPr="00862056">
        <w:rPr>
          <w:rFonts w:ascii="Calibri" w:eastAsia="Times New Roman" w:hAnsi="Calibri" w:cs="Times New Roman"/>
          <w:color w:val="000000"/>
          <w:lang w:eastAsia="en-IN"/>
        </w:rPr>
        <w:t xml:space="preserve">Financing critical upgrades of infrastructure frequently results in stimulation of economic development and growth. For instance, </w:t>
      </w:r>
    </w:p>
    <w:p w14:paraId="22497A09" w14:textId="77777777" w:rsidR="00456443" w:rsidRPr="00862056" w:rsidRDefault="00456443" w:rsidP="00456443">
      <w:pPr>
        <w:numPr>
          <w:ilvl w:val="0"/>
          <w:numId w:val="64"/>
        </w:numPr>
        <w:pBdr>
          <w:top w:val="nil"/>
          <w:left w:val="nil"/>
          <w:bottom w:val="nil"/>
          <w:right w:val="nil"/>
          <w:between w:val="nil"/>
        </w:pBdr>
        <w:tabs>
          <w:tab w:val="left" w:pos="360"/>
          <w:tab w:val="left" w:pos="540"/>
        </w:tabs>
        <w:spacing w:before="120" w:after="120" w:line="240" w:lineRule="auto"/>
        <w:ind w:right="602"/>
        <w:jc w:val="both"/>
        <w:rPr>
          <w:rFonts w:ascii="Calibri" w:eastAsia="Lato" w:hAnsi="Calibri" w:cs="Lato"/>
          <w:color w:val="000000"/>
          <w:lang w:eastAsia="en-IN"/>
        </w:rPr>
      </w:pPr>
      <w:r w:rsidRPr="00862056">
        <w:rPr>
          <w:rFonts w:ascii="Calibri" w:eastAsia="Times New Roman" w:hAnsi="Calibri" w:cs="Times New Roman"/>
          <w:color w:val="000000"/>
          <w:lang w:eastAsia="en-IN"/>
        </w:rPr>
        <w:t>improved electricity enables education and healthcare upgrades, as well as consistent telecommunications services</w:t>
      </w:r>
    </w:p>
    <w:p w14:paraId="77DB8315" w14:textId="77777777" w:rsidR="00456443" w:rsidRPr="00862056" w:rsidRDefault="00456443" w:rsidP="00456443">
      <w:pPr>
        <w:numPr>
          <w:ilvl w:val="0"/>
          <w:numId w:val="64"/>
        </w:numPr>
        <w:pBdr>
          <w:top w:val="nil"/>
          <w:left w:val="nil"/>
          <w:bottom w:val="nil"/>
          <w:right w:val="nil"/>
          <w:between w:val="nil"/>
        </w:pBdr>
        <w:tabs>
          <w:tab w:val="left" w:pos="360"/>
          <w:tab w:val="left" w:pos="540"/>
        </w:tabs>
        <w:spacing w:before="120" w:after="120" w:line="240" w:lineRule="auto"/>
        <w:ind w:right="602"/>
        <w:jc w:val="both"/>
        <w:rPr>
          <w:rFonts w:ascii="Calibri" w:eastAsia="Lato" w:hAnsi="Calibri" w:cs="Lato"/>
          <w:color w:val="000000"/>
          <w:lang w:eastAsia="en-IN"/>
        </w:rPr>
      </w:pPr>
      <w:r w:rsidRPr="00862056">
        <w:rPr>
          <w:rFonts w:ascii="Calibri" w:eastAsia="Times New Roman" w:hAnsi="Calibri" w:cs="Times New Roman"/>
          <w:color w:val="000000"/>
          <w:lang w:eastAsia="en-IN"/>
        </w:rPr>
        <w:t>improved transport enables lower-cost and more reliable market access</w:t>
      </w:r>
    </w:p>
    <w:p w14:paraId="3B40B856" w14:textId="77777777" w:rsidR="00456443" w:rsidRPr="00862056" w:rsidRDefault="00456443" w:rsidP="00456443">
      <w:pPr>
        <w:numPr>
          <w:ilvl w:val="0"/>
          <w:numId w:val="64"/>
        </w:numPr>
        <w:pBdr>
          <w:top w:val="nil"/>
          <w:left w:val="nil"/>
          <w:bottom w:val="nil"/>
          <w:right w:val="nil"/>
          <w:between w:val="nil"/>
        </w:pBdr>
        <w:tabs>
          <w:tab w:val="left" w:pos="360"/>
          <w:tab w:val="left" w:pos="540"/>
        </w:tabs>
        <w:spacing w:before="120" w:after="120" w:line="240" w:lineRule="auto"/>
        <w:ind w:right="602"/>
        <w:jc w:val="both"/>
        <w:rPr>
          <w:rFonts w:ascii="Calibri" w:eastAsia="Lato" w:hAnsi="Calibri" w:cs="Lato"/>
          <w:color w:val="000000"/>
          <w:lang w:eastAsia="en-IN"/>
        </w:rPr>
      </w:pPr>
      <w:r w:rsidRPr="00862056">
        <w:rPr>
          <w:rFonts w:ascii="Calibri" w:eastAsia="Times New Roman" w:hAnsi="Calibri" w:cs="Times New Roman"/>
          <w:color w:val="000000"/>
          <w:lang w:eastAsia="en-IN"/>
        </w:rPr>
        <w:t>greater access to low-cost telecommunications and internet has positive impacts on education, healthcare, business development and access to financial services</w:t>
      </w:r>
    </w:p>
    <w:p w14:paraId="3CEC90E3" w14:textId="7BC23835" w:rsidR="00456443" w:rsidRPr="00862056" w:rsidRDefault="00456443" w:rsidP="00456443">
      <w:pPr>
        <w:numPr>
          <w:ilvl w:val="0"/>
          <w:numId w:val="63"/>
        </w:numPr>
        <w:pBdr>
          <w:top w:val="nil"/>
          <w:left w:val="nil"/>
          <w:bottom w:val="nil"/>
          <w:right w:val="nil"/>
          <w:between w:val="nil"/>
        </w:pBdr>
        <w:spacing w:before="120" w:after="120" w:line="240" w:lineRule="auto"/>
        <w:ind w:right="602"/>
        <w:jc w:val="both"/>
        <w:rPr>
          <w:rFonts w:ascii="Calibri" w:eastAsia="Lato" w:hAnsi="Calibri" w:cs="Lato"/>
          <w:color w:val="000000"/>
          <w:lang w:eastAsia="en-IN"/>
        </w:rPr>
      </w:pPr>
      <w:r w:rsidRPr="00862056">
        <w:rPr>
          <w:rFonts w:ascii="Calibri" w:eastAsia="Times New Roman" w:hAnsi="Calibri" w:cs="Times New Roman"/>
          <w:color w:val="000000"/>
          <w:lang w:eastAsia="en-IN"/>
        </w:rPr>
        <w:t>Australia’s investment in infrastructure should be seen as consistent with the objectives of its</w:t>
      </w:r>
      <w:r w:rsidRPr="00651DCD">
        <w:rPr>
          <w:rFonts w:ascii="Calibri" w:eastAsia="Times New Roman" w:hAnsi="Calibri" w:cs="Times New Roman"/>
          <w:lang w:eastAsia="en-IN"/>
        </w:rPr>
        <w:t xml:space="preserve"> </w:t>
      </w:r>
      <w:r>
        <w:rPr>
          <w:rFonts w:ascii="Calibri" w:eastAsia="Times New Roman" w:hAnsi="Calibri" w:cs="Times New Roman"/>
          <w:lang w:eastAsia="en-IN"/>
        </w:rPr>
        <w:t>development assistance</w:t>
      </w:r>
      <w:r w:rsidRPr="00862056">
        <w:rPr>
          <w:rFonts w:ascii="Calibri" w:eastAsia="Times New Roman" w:hAnsi="Calibri" w:cs="Times New Roman"/>
          <w:color w:val="000000"/>
          <w:lang w:eastAsia="en-IN"/>
        </w:rPr>
        <w:t xml:space="preserve"> </w:t>
      </w:r>
      <w:r w:rsidR="0073249A">
        <w:rPr>
          <w:rFonts w:ascii="Calibri" w:eastAsia="Times New Roman" w:hAnsi="Calibri" w:cs="Times New Roman"/>
          <w:color w:val="000000"/>
          <w:lang w:eastAsia="en-IN"/>
        </w:rPr>
        <w:t>program</w:t>
      </w:r>
      <w:r w:rsidRPr="00862056">
        <w:rPr>
          <w:rFonts w:ascii="Calibri" w:eastAsia="Times New Roman" w:hAnsi="Calibri" w:cs="Times New Roman"/>
          <w:color w:val="000000"/>
          <w:lang w:eastAsia="en-IN"/>
        </w:rPr>
        <w:t>, as well as with its strategic interests.</w:t>
      </w:r>
    </w:p>
    <w:p w14:paraId="5A7F1F8B" w14:textId="77777777" w:rsidR="00456443" w:rsidRPr="00862056" w:rsidRDefault="00456443" w:rsidP="00456443">
      <w:pPr>
        <w:numPr>
          <w:ilvl w:val="0"/>
          <w:numId w:val="63"/>
        </w:numPr>
        <w:pBdr>
          <w:top w:val="nil"/>
          <w:left w:val="nil"/>
          <w:bottom w:val="nil"/>
          <w:right w:val="nil"/>
          <w:between w:val="nil"/>
        </w:pBdr>
        <w:spacing w:before="120" w:after="120" w:line="240" w:lineRule="auto"/>
        <w:ind w:right="602"/>
        <w:jc w:val="both"/>
        <w:rPr>
          <w:rFonts w:ascii="Calibri" w:eastAsia="Lato" w:hAnsi="Calibri" w:cs="Lato"/>
          <w:color w:val="000000"/>
          <w:lang w:eastAsia="en-IN"/>
        </w:rPr>
      </w:pPr>
      <w:r w:rsidRPr="00862056">
        <w:rPr>
          <w:rFonts w:ascii="Calibri" w:eastAsia="Times New Roman" w:hAnsi="Calibri" w:cs="Times New Roman"/>
          <w:color w:val="000000"/>
          <w:lang w:eastAsia="en-IN"/>
        </w:rPr>
        <w:t>Smaller enterprises have the potential to move the needle in Vanuatu by generating employment and creating demand for additional investments, likely having a positive impact on the overall economy.</w:t>
      </w:r>
    </w:p>
    <w:p w14:paraId="59E9F17C" w14:textId="77777777" w:rsidR="00456443" w:rsidRPr="00862056" w:rsidRDefault="00456443" w:rsidP="00456443">
      <w:pPr>
        <w:numPr>
          <w:ilvl w:val="0"/>
          <w:numId w:val="74"/>
        </w:numPr>
        <w:tabs>
          <w:tab w:val="left" w:pos="360"/>
          <w:tab w:val="left" w:pos="540"/>
        </w:tabs>
        <w:spacing w:before="120" w:after="120" w:line="240" w:lineRule="auto"/>
        <w:ind w:left="0" w:right="601" w:firstLine="0"/>
        <w:jc w:val="both"/>
        <w:rPr>
          <w:rFonts w:ascii="Calibri" w:eastAsia="Times New Roman" w:hAnsi="Calibri" w:cs="Times New Roman"/>
          <w:color w:val="000000"/>
          <w:lang w:eastAsia="en-IN"/>
        </w:rPr>
      </w:pPr>
      <w:r w:rsidRPr="00862056">
        <w:rPr>
          <w:rFonts w:ascii="Calibri" w:eastAsia="Times New Roman" w:hAnsi="Calibri" w:cs="Times New Roman"/>
          <w:b/>
          <w:color w:val="000000"/>
          <w:lang w:eastAsia="en-IN"/>
        </w:rPr>
        <w:t xml:space="preserve">Key sectors such as power, transport, and smaller enterprises can benefit greatly from larger </w:t>
      </w:r>
      <w:r w:rsidRPr="00552F2C">
        <w:rPr>
          <w:rFonts w:ascii="Calibri" w:eastAsia="Arial" w:hAnsi="Calibri" w:cs="Calibri"/>
          <w:b/>
          <w:lang w:eastAsia="zh-CN"/>
        </w:rPr>
        <w:t>NGF</w:t>
      </w:r>
      <w:r w:rsidRPr="00862056">
        <w:rPr>
          <w:rFonts w:ascii="Calibri" w:eastAsia="Times New Roman" w:hAnsi="Calibri" w:cs="Times New Roman"/>
          <w:b/>
          <w:color w:val="000000"/>
          <w:lang w:eastAsia="en-IN"/>
        </w:rPr>
        <w:t xml:space="preserve"> investments</w:t>
      </w:r>
      <w:r w:rsidRPr="00862056">
        <w:rPr>
          <w:rFonts w:ascii="Calibri" w:eastAsia="Times New Roman" w:hAnsi="Calibri" w:cs="Times New Roman"/>
          <w:color w:val="000000"/>
          <w:lang w:eastAsia="en-IN"/>
        </w:rPr>
        <w:t xml:space="preserve">. By funding larger infrastructure projects such as ports and airports, as well as smaller enterprises, Australia can act as a credible partner to the </w:t>
      </w:r>
      <w:proofErr w:type="spellStart"/>
      <w:r w:rsidRPr="00862056">
        <w:rPr>
          <w:rFonts w:ascii="Calibri" w:eastAsia="Times New Roman" w:hAnsi="Calibri" w:cs="Times New Roman"/>
          <w:color w:val="000000"/>
          <w:lang w:eastAsia="en-IN"/>
        </w:rPr>
        <w:t>GoV</w:t>
      </w:r>
      <w:proofErr w:type="spellEnd"/>
      <w:r w:rsidRPr="00862056">
        <w:rPr>
          <w:rFonts w:ascii="Calibri" w:eastAsia="Times New Roman" w:hAnsi="Calibri" w:cs="Times New Roman"/>
          <w:color w:val="000000"/>
          <w:lang w:eastAsia="en-IN"/>
        </w:rPr>
        <w:t xml:space="preserve"> in areas of high strategic and development priority. While grant-based funding efforts are important and should be continued (e.g., funding sector analysis, feasibility studies, technical advisory </w:t>
      </w:r>
      <w:proofErr w:type="gramStart"/>
      <w:r w:rsidRPr="00862056">
        <w:rPr>
          <w:rFonts w:ascii="Calibri" w:eastAsia="Times New Roman" w:hAnsi="Calibri" w:cs="Times New Roman"/>
          <w:color w:val="000000"/>
          <w:lang w:eastAsia="en-IN"/>
        </w:rPr>
        <w:t>work</w:t>
      </w:r>
      <w:proofErr w:type="gramEnd"/>
      <w:r w:rsidRPr="00862056">
        <w:rPr>
          <w:rFonts w:ascii="Calibri" w:eastAsia="Times New Roman" w:hAnsi="Calibri" w:cs="Times New Roman"/>
          <w:color w:val="000000"/>
          <w:lang w:eastAsia="en-IN"/>
        </w:rPr>
        <w:t xml:space="preserve"> and institutional strengthening), greater impact can be created through the use of </w:t>
      </w:r>
      <w:r>
        <w:rPr>
          <w:rFonts w:ascii="Calibri" w:eastAsia="Times New Roman" w:hAnsi="Calibri" w:cs="Times New Roman"/>
          <w:color w:val="000000"/>
          <w:lang w:eastAsia="en-IN"/>
        </w:rPr>
        <w:t>NGF</w:t>
      </w:r>
      <w:r w:rsidRPr="00862056">
        <w:rPr>
          <w:rFonts w:ascii="Calibri" w:eastAsia="Times New Roman" w:hAnsi="Calibri" w:cs="Times New Roman"/>
          <w:color w:val="000000"/>
          <w:lang w:eastAsia="en-IN"/>
        </w:rPr>
        <w:t xml:space="preserve">. </w:t>
      </w:r>
    </w:p>
    <w:p w14:paraId="7EE201A7" w14:textId="77777777" w:rsidR="00456443" w:rsidRPr="00862056" w:rsidRDefault="00456443" w:rsidP="00456443">
      <w:pPr>
        <w:numPr>
          <w:ilvl w:val="0"/>
          <w:numId w:val="65"/>
        </w:numPr>
        <w:pBdr>
          <w:top w:val="nil"/>
          <w:left w:val="nil"/>
          <w:bottom w:val="nil"/>
          <w:right w:val="nil"/>
          <w:between w:val="nil"/>
        </w:pBdr>
        <w:tabs>
          <w:tab w:val="left" w:pos="360"/>
        </w:tabs>
        <w:spacing w:before="120" w:after="120" w:line="240" w:lineRule="auto"/>
        <w:ind w:right="602"/>
        <w:jc w:val="both"/>
        <w:rPr>
          <w:rFonts w:ascii="Calibri" w:eastAsia="Lato" w:hAnsi="Calibri" w:cs="Lato"/>
          <w:color w:val="000000"/>
          <w:lang w:eastAsia="en-IN"/>
        </w:rPr>
      </w:pPr>
      <w:r w:rsidRPr="00862056">
        <w:rPr>
          <w:rFonts w:ascii="Calibri" w:eastAsia="Times New Roman" w:hAnsi="Calibri" w:cs="Times New Roman"/>
          <w:color w:val="000000"/>
          <w:lang w:eastAsia="en-IN"/>
        </w:rPr>
        <w:t xml:space="preserve">For instance, development of the </w:t>
      </w:r>
      <w:proofErr w:type="spellStart"/>
      <w:r w:rsidRPr="00862056">
        <w:rPr>
          <w:rFonts w:ascii="Calibri" w:eastAsia="Times New Roman" w:hAnsi="Calibri" w:cs="Times New Roman"/>
          <w:color w:val="000000"/>
          <w:lang w:eastAsia="en-IN"/>
        </w:rPr>
        <w:t>Lapetasi</w:t>
      </w:r>
      <w:proofErr w:type="spellEnd"/>
      <w:r w:rsidRPr="00862056">
        <w:rPr>
          <w:rFonts w:ascii="Calibri" w:eastAsia="Times New Roman" w:hAnsi="Calibri" w:cs="Times New Roman"/>
          <w:color w:val="000000"/>
          <w:lang w:eastAsia="en-IN"/>
        </w:rPr>
        <w:t xml:space="preserve"> wharf has </w:t>
      </w:r>
      <w:proofErr w:type="gramStart"/>
      <w:r w:rsidRPr="00862056">
        <w:rPr>
          <w:rFonts w:ascii="Calibri" w:eastAsia="Times New Roman" w:hAnsi="Calibri" w:cs="Times New Roman"/>
          <w:color w:val="000000"/>
          <w:lang w:eastAsia="en-IN"/>
        </w:rPr>
        <w:t>opened up</w:t>
      </w:r>
      <w:proofErr w:type="gramEnd"/>
      <w:r w:rsidRPr="00862056">
        <w:rPr>
          <w:rFonts w:ascii="Calibri" w:eastAsia="Times New Roman" w:hAnsi="Calibri" w:cs="Times New Roman"/>
          <w:color w:val="000000"/>
          <w:lang w:eastAsia="en-IN"/>
        </w:rPr>
        <w:t xml:space="preserve"> new avenues for trade and tourism. Bigger cruise ships, with the capacity of up to 6,000 people, can now disembark at the wharf, creating local tourism opportunities. Similarly, the port can handle up to 30,000 container boxes over a seven-day cycle, enabling greater trade in the region. </w:t>
      </w:r>
    </w:p>
    <w:p w14:paraId="3F665B2E" w14:textId="77777777" w:rsidR="00456443" w:rsidRDefault="00456443" w:rsidP="00456443">
      <w:pPr>
        <w:numPr>
          <w:ilvl w:val="0"/>
          <w:numId w:val="75"/>
        </w:numPr>
        <w:tabs>
          <w:tab w:val="left" w:pos="360"/>
          <w:tab w:val="left" w:pos="540"/>
        </w:tabs>
        <w:spacing w:before="120" w:after="120" w:line="240" w:lineRule="auto"/>
        <w:ind w:left="0" w:right="601" w:firstLine="0"/>
        <w:jc w:val="both"/>
        <w:rPr>
          <w:rFonts w:ascii="Calibri" w:eastAsia="Times New Roman" w:hAnsi="Calibri" w:cs="Times New Roman"/>
          <w:color w:val="000000"/>
          <w:lang w:eastAsia="en-IN"/>
        </w:rPr>
      </w:pPr>
      <w:r w:rsidRPr="00862056">
        <w:rPr>
          <w:rFonts w:ascii="Calibri" w:eastAsia="Times New Roman" w:hAnsi="Calibri" w:cs="Times New Roman"/>
          <w:b/>
          <w:color w:val="000000"/>
          <w:lang w:eastAsia="en-IN"/>
        </w:rPr>
        <w:lastRenderedPageBreak/>
        <w:t xml:space="preserve">Ensuring that these investments translate into development outcomes will require solid project management as well as working closely with the </w:t>
      </w:r>
      <w:proofErr w:type="spellStart"/>
      <w:r w:rsidRPr="00862056">
        <w:rPr>
          <w:rFonts w:ascii="Calibri" w:eastAsia="Times New Roman" w:hAnsi="Calibri" w:cs="Times New Roman"/>
          <w:b/>
          <w:color w:val="000000"/>
          <w:lang w:eastAsia="en-IN"/>
        </w:rPr>
        <w:t>GoV</w:t>
      </w:r>
      <w:proofErr w:type="spellEnd"/>
      <w:r w:rsidRPr="00862056">
        <w:rPr>
          <w:rFonts w:ascii="Calibri" w:eastAsia="Times New Roman" w:hAnsi="Calibri" w:cs="Times New Roman"/>
          <w:b/>
          <w:color w:val="000000"/>
          <w:lang w:eastAsia="en-IN"/>
        </w:rPr>
        <w:t xml:space="preserve"> and other stakeholders to participate in on-the-ground implementation.</w:t>
      </w:r>
      <w:r w:rsidRPr="00862056">
        <w:rPr>
          <w:rFonts w:ascii="Calibri" w:eastAsia="Times New Roman" w:hAnsi="Calibri" w:cs="Times New Roman"/>
          <w:color w:val="000000"/>
          <w:lang w:eastAsia="en-IN"/>
        </w:rPr>
        <w:t xml:space="preserve"> </w:t>
      </w:r>
    </w:p>
    <w:p w14:paraId="54C4C2C2" w14:textId="77777777" w:rsidR="00456443" w:rsidRPr="00862056" w:rsidRDefault="00456443" w:rsidP="00456443">
      <w:pPr>
        <w:tabs>
          <w:tab w:val="left" w:pos="360"/>
          <w:tab w:val="left" w:pos="540"/>
        </w:tabs>
        <w:spacing w:before="120" w:after="120" w:line="240" w:lineRule="auto"/>
        <w:ind w:right="601"/>
        <w:jc w:val="both"/>
        <w:rPr>
          <w:rFonts w:ascii="Calibri" w:eastAsia="Times New Roman" w:hAnsi="Calibri" w:cs="Times New Roman"/>
          <w:color w:val="000000"/>
          <w:lang w:eastAsia="en-IN"/>
        </w:rPr>
      </w:pPr>
    </w:p>
    <w:p w14:paraId="1B707E85" w14:textId="77777777" w:rsidR="00456443" w:rsidRDefault="00456443" w:rsidP="00456443">
      <w:pPr>
        <w:widowControl w:val="0"/>
        <w:numPr>
          <w:ilvl w:val="0"/>
          <w:numId w:val="54"/>
        </w:numPr>
        <w:tabs>
          <w:tab w:val="left" w:pos="360"/>
          <w:tab w:val="left" w:pos="540"/>
        </w:tabs>
        <w:spacing w:before="120" w:after="120" w:line="240" w:lineRule="auto"/>
        <w:ind w:right="602"/>
        <w:jc w:val="both"/>
        <w:outlineLvl w:val="0"/>
        <w:rPr>
          <w:rFonts w:ascii="Calibri" w:eastAsia="Times New Roman" w:hAnsi="Calibri" w:cs="Times New Roman"/>
          <w:b/>
          <w:smallCaps/>
          <w:color w:val="4F81BD"/>
          <w:sz w:val="32"/>
          <w:szCs w:val="32"/>
          <w:lang w:eastAsia="en-IN"/>
        </w:rPr>
      </w:pPr>
      <w:r w:rsidRPr="00862056">
        <w:rPr>
          <w:rFonts w:ascii="Calibri" w:eastAsia="Times New Roman" w:hAnsi="Calibri" w:cs="Times New Roman"/>
          <w:b/>
          <w:smallCaps/>
          <w:color w:val="4F81BD"/>
          <w:sz w:val="32"/>
          <w:szCs w:val="32"/>
          <w:lang w:eastAsia="en-IN"/>
        </w:rPr>
        <w:t xml:space="preserve">Institutional, capacity and financing requirements </w:t>
      </w:r>
    </w:p>
    <w:p w14:paraId="45B27953" w14:textId="77777777" w:rsidR="00456443" w:rsidRPr="00862056" w:rsidRDefault="00456443" w:rsidP="00456443">
      <w:pPr>
        <w:widowControl w:val="0"/>
        <w:tabs>
          <w:tab w:val="left" w:pos="360"/>
          <w:tab w:val="left" w:pos="540"/>
        </w:tabs>
        <w:spacing w:before="120" w:after="120" w:line="240" w:lineRule="auto"/>
        <w:ind w:right="602"/>
        <w:jc w:val="both"/>
        <w:outlineLvl w:val="0"/>
        <w:rPr>
          <w:rFonts w:ascii="Calibri" w:eastAsia="Times New Roman" w:hAnsi="Calibri" w:cs="Times New Roman"/>
          <w:b/>
          <w:smallCaps/>
          <w:color w:val="4F81BD"/>
          <w:sz w:val="32"/>
          <w:szCs w:val="32"/>
          <w:lang w:eastAsia="en-IN"/>
        </w:rPr>
      </w:pPr>
    </w:p>
    <w:p w14:paraId="6AE54A27" w14:textId="77777777" w:rsidR="00456443" w:rsidRPr="00862056" w:rsidRDefault="00456443" w:rsidP="00456443">
      <w:pPr>
        <w:numPr>
          <w:ilvl w:val="0"/>
          <w:numId w:val="76"/>
        </w:numPr>
        <w:tabs>
          <w:tab w:val="left" w:pos="360"/>
          <w:tab w:val="left" w:pos="540"/>
        </w:tabs>
        <w:spacing w:before="120" w:after="120" w:line="240" w:lineRule="auto"/>
        <w:ind w:left="0" w:right="601" w:firstLine="0"/>
        <w:jc w:val="both"/>
        <w:rPr>
          <w:rFonts w:ascii="Calibri" w:eastAsia="Times New Roman" w:hAnsi="Calibri" w:cs="Times New Roman"/>
          <w:b/>
          <w:lang w:eastAsia="en-IN"/>
        </w:rPr>
      </w:pPr>
      <w:r w:rsidRPr="00862056">
        <w:rPr>
          <w:rFonts w:ascii="Calibri" w:eastAsia="Times New Roman" w:hAnsi="Calibri" w:cs="Times New Roman"/>
          <w:b/>
          <w:color w:val="000000"/>
          <w:lang w:eastAsia="en-IN"/>
        </w:rPr>
        <w:t xml:space="preserve">To successfully deploy </w:t>
      </w:r>
      <w:r>
        <w:rPr>
          <w:rFonts w:ascii="Calibri" w:eastAsia="Times New Roman" w:hAnsi="Calibri" w:cs="Times New Roman"/>
          <w:b/>
          <w:color w:val="000000"/>
          <w:lang w:eastAsia="en-IN"/>
        </w:rPr>
        <w:t>NGF</w:t>
      </w:r>
      <w:r w:rsidRPr="00862056">
        <w:rPr>
          <w:rFonts w:ascii="Calibri" w:eastAsia="Times New Roman" w:hAnsi="Calibri" w:cs="Times New Roman"/>
          <w:b/>
          <w:color w:val="000000"/>
          <w:lang w:eastAsia="en-IN"/>
        </w:rPr>
        <w:t xml:space="preserve"> in Vanuatu, any institutional arrangements would need to allow for the following capabilities</w:t>
      </w:r>
      <w:r w:rsidRPr="00862056">
        <w:rPr>
          <w:rFonts w:ascii="Calibri" w:eastAsia="Times New Roman" w:hAnsi="Calibri" w:cs="Times New Roman"/>
          <w:b/>
          <w:lang w:eastAsia="en-IN"/>
        </w:rPr>
        <w:t>:</w:t>
      </w:r>
    </w:p>
    <w:p w14:paraId="795AB4AC" w14:textId="77777777" w:rsidR="00456443" w:rsidRPr="00862056" w:rsidRDefault="00456443" w:rsidP="00456443">
      <w:pPr>
        <w:numPr>
          <w:ilvl w:val="0"/>
          <w:numId w:val="66"/>
        </w:numPr>
        <w:pBdr>
          <w:top w:val="nil"/>
          <w:left w:val="nil"/>
          <w:bottom w:val="nil"/>
          <w:right w:val="nil"/>
          <w:between w:val="nil"/>
        </w:pBdr>
        <w:tabs>
          <w:tab w:val="left" w:pos="360"/>
        </w:tabs>
        <w:spacing w:before="120" w:after="120" w:line="240" w:lineRule="auto"/>
        <w:ind w:right="602"/>
        <w:jc w:val="both"/>
        <w:rPr>
          <w:rFonts w:ascii="Calibri" w:eastAsia="Lato" w:hAnsi="Calibri" w:cs="Lato"/>
          <w:color w:val="000000"/>
          <w:lang w:eastAsia="en-IN"/>
        </w:rPr>
      </w:pPr>
      <w:r w:rsidRPr="00862056">
        <w:rPr>
          <w:rFonts w:ascii="Calibri" w:eastAsia="Times New Roman" w:hAnsi="Calibri" w:cs="Times New Roman"/>
          <w:color w:val="000000"/>
          <w:lang w:eastAsia="en-IN"/>
        </w:rPr>
        <w:t xml:space="preserve">Resources and expertise to actively participate across all stages of project implementation </w:t>
      </w:r>
    </w:p>
    <w:p w14:paraId="27D22A17" w14:textId="77777777" w:rsidR="00456443" w:rsidRPr="00862056" w:rsidRDefault="00456443" w:rsidP="00456443">
      <w:pPr>
        <w:numPr>
          <w:ilvl w:val="0"/>
          <w:numId w:val="66"/>
        </w:numPr>
        <w:pBdr>
          <w:top w:val="nil"/>
          <w:left w:val="nil"/>
          <w:bottom w:val="nil"/>
          <w:right w:val="nil"/>
          <w:between w:val="nil"/>
        </w:pBdr>
        <w:tabs>
          <w:tab w:val="left" w:pos="360"/>
        </w:tabs>
        <w:spacing w:before="120" w:after="120" w:line="240" w:lineRule="auto"/>
        <w:ind w:right="602"/>
        <w:jc w:val="both"/>
        <w:rPr>
          <w:rFonts w:ascii="Calibri" w:eastAsia="Lato" w:hAnsi="Calibri" w:cs="Lato"/>
          <w:color w:val="000000"/>
          <w:lang w:eastAsia="en-IN"/>
        </w:rPr>
      </w:pPr>
      <w:r w:rsidRPr="00862056">
        <w:rPr>
          <w:rFonts w:ascii="Calibri" w:eastAsia="Times New Roman" w:hAnsi="Calibri" w:cs="Times New Roman"/>
          <w:color w:val="000000"/>
          <w:lang w:eastAsia="en-IN"/>
        </w:rPr>
        <w:t>Comfort with smaller</w:t>
      </w:r>
      <w:r w:rsidRPr="00862056">
        <w:rPr>
          <w:rFonts w:ascii="Calibri" w:eastAsia="Times New Roman" w:hAnsi="Calibri" w:cs="Times New Roman"/>
          <w:lang w:eastAsia="en-IN"/>
        </w:rPr>
        <w:t>-sized</w:t>
      </w:r>
      <w:r w:rsidRPr="00862056">
        <w:rPr>
          <w:rFonts w:ascii="Calibri" w:eastAsia="Times New Roman" w:hAnsi="Calibri" w:cs="Times New Roman"/>
          <w:color w:val="000000"/>
          <w:lang w:eastAsia="en-IN"/>
        </w:rPr>
        <w:t xml:space="preserve"> investment</w:t>
      </w:r>
      <w:r w:rsidRPr="00862056">
        <w:rPr>
          <w:rFonts w:ascii="Calibri" w:eastAsia="Times New Roman" w:hAnsi="Calibri" w:cs="Times New Roman"/>
          <w:lang w:eastAsia="en-IN"/>
        </w:rPr>
        <w:t xml:space="preserve"> deals</w:t>
      </w:r>
      <w:r w:rsidRPr="00862056">
        <w:rPr>
          <w:rFonts w:ascii="Calibri" w:eastAsia="Times New Roman" w:hAnsi="Calibri" w:cs="Times New Roman"/>
          <w:color w:val="000000"/>
          <w:lang w:eastAsia="en-IN"/>
        </w:rPr>
        <w:t xml:space="preserve"> and the ability to provide handholding support to smaller enterprises</w:t>
      </w:r>
    </w:p>
    <w:p w14:paraId="44A574B8" w14:textId="77777777" w:rsidR="00456443" w:rsidRPr="00862056" w:rsidRDefault="00456443" w:rsidP="00456443">
      <w:pPr>
        <w:numPr>
          <w:ilvl w:val="0"/>
          <w:numId w:val="66"/>
        </w:numPr>
        <w:pBdr>
          <w:top w:val="nil"/>
          <w:left w:val="nil"/>
          <w:bottom w:val="nil"/>
          <w:right w:val="nil"/>
          <w:between w:val="nil"/>
        </w:pBdr>
        <w:tabs>
          <w:tab w:val="left" w:pos="360"/>
        </w:tabs>
        <w:spacing w:before="120" w:after="120" w:line="240" w:lineRule="auto"/>
        <w:ind w:right="602"/>
        <w:jc w:val="both"/>
        <w:rPr>
          <w:rFonts w:ascii="Calibri" w:eastAsia="Lato" w:hAnsi="Calibri" w:cs="Lato"/>
          <w:color w:val="000000"/>
          <w:lang w:eastAsia="en-IN"/>
        </w:rPr>
      </w:pPr>
      <w:r w:rsidRPr="00862056">
        <w:rPr>
          <w:rFonts w:ascii="Calibri" w:eastAsia="Times New Roman" w:hAnsi="Calibri" w:cs="Times New Roman"/>
          <w:color w:val="000000"/>
          <w:lang w:eastAsia="en-IN"/>
        </w:rPr>
        <w:t>Flexible financing that can be deployed with significant discretion as to the timing and nature of specific activities financed</w:t>
      </w:r>
    </w:p>
    <w:p w14:paraId="1A7B91CF" w14:textId="77777777" w:rsidR="00456443" w:rsidRPr="00862056" w:rsidRDefault="00456443" w:rsidP="00456443">
      <w:pPr>
        <w:numPr>
          <w:ilvl w:val="0"/>
          <w:numId w:val="66"/>
        </w:numPr>
        <w:pBdr>
          <w:top w:val="nil"/>
          <w:left w:val="nil"/>
          <w:bottom w:val="nil"/>
          <w:right w:val="nil"/>
          <w:between w:val="nil"/>
        </w:pBdr>
        <w:tabs>
          <w:tab w:val="left" w:pos="360"/>
        </w:tabs>
        <w:spacing w:before="120" w:after="120" w:line="240" w:lineRule="auto"/>
        <w:ind w:right="602"/>
        <w:jc w:val="both"/>
        <w:rPr>
          <w:rFonts w:ascii="Calibri" w:eastAsia="Lato" w:hAnsi="Calibri" w:cs="Lato"/>
          <w:color w:val="000000"/>
          <w:lang w:eastAsia="en-IN"/>
        </w:rPr>
      </w:pPr>
      <w:r w:rsidRPr="00862056">
        <w:rPr>
          <w:rFonts w:ascii="Calibri" w:eastAsia="Times New Roman" w:hAnsi="Calibri" w:cs="Times New Roman"/>
          <w:color w:val="000000"/>
          <w:lang w:eastAsia="en-IN"/>
        </w:rPr>
        <w:t xml:space="preserve">The ability to move quickly with financing decisions and contracting processes </w:t>
      </w:r>
    </w:p>
    <w:p w14:paraId="48052FF5" w14:textId="77777777" w:rsidR="00456443" w:rsidRDefault="00456443">
      <w:pPr>
        <w:rPr>
          <w:sz w:val="32"/>
          <w:szCs w:val="32"/>
          <w:lang w:eastAsia="en-IN"/>
        </w:rPr>
      </w:pPr>
      <w:r>
        <w:rPr>
          <w:sz w:val="32"/>
          <w:szCs w:val="32"/>
          <w:lang w:eastAsia="en-IN"/>
        </w:rPr>
        <w:br w:type="page"/>
      </w:r>
    </w:p>
    <w:p w14:paraId="5E266FFC" w14:textId="64F340FD" w:rsidR="006A2454" w:rsidRPr="0003026F" w:rsidRDefault="006A2454" w:rsidP="00594341">
      <w:pPr>
        <w:spacing w:after="0" w:line="240" w:lineRule="auto"/>
        <w:rPr>
          <w:sz w:val="32"/>
          <w:szCs w:val="32"/>
          <w:lang w:eastAsia="en-IN"/>
        </w:rPr>
      </w:pPr>
      <w:r w:rsidRPr="0003026F">
        <w:rPr>
          <w:sz w:val="32"/>
          <w:szCs w:val="32"/>
          <w:lang w:eastAsia="en-IN"/>
        </w:rPr>
        <w:lastRenderedPageBreak/>
        <w:t>A</w:t>
      </w:r>
      <w:r w:rsidR="00105CF3">
        <w:rPr>
          <w:sz w:val="32"/>
          <w:szCs w:val="32"/>
          <w:lang w:eastAsia="en-IN"/>
        </w:rPr>
        <w:t>NNEX</w:t>
      </w:r>
      <w:r w:rsidRPr="0003026F">
        <w:rPr>
          <w:sz w:val="32"/>
          <w:szCs w:val="32"/>
          <w:lang w:eastAsia="en-IN"/>
        </w:rPr>
        <w:t xml:space="preserve"> </w:t>
      </w:r>
      <w:r w:rsidR="008C4017">
        <w:rPr>
          <w:sz w:val="32"/>
          <w:szCs w:val="32"/>
          <w:lang w:eastAsia="en-IN"/>
        </w:rPr>
        <w:t>6</w:t>
      </w:r>
      <w:r w:rsidR="0071103E">
        <w:rPr>
          <w:sz w:val="32"/>
          <w:szCs w:val="32"/>
          <w:lang w:eastAsia="en-IN"/>
        </w:rPr>
        <w:t>—</w:t>
      </w:r>
      <w:r w:rsidRPr="0003026F">
        <w:rPr>
          <w:sz w:val="32"/>
          <w:szCs w:val="32"/>
          <w:lang w:eastAsia="en-IN"/>
        </w:rPr>
        <w:t>stakeholder consultation lists</w:t>
      </w:r>
    </w:p>
    <w:p w14:paraId="03A2F855" w14:textId="77777777" w:rsidR="006A2454" w:rsidRPr="006A2454" w:rsidRDefault="006A2454" w:rsidP="00594341">
      <w:pPr>
        <w:spacing w:after="0" w:line="240" w:lineRule="auto"/>
        <w:rPr>
          <w:rFonts w:ascii="Lato" w:eastAsia="Lato" w:hAnsi="Lato" w:cs="Lato"/>
          <w:lang w:eastAsia="en-IN"/>
        </w:rPr>
      </w:pPr>
    </w:p>
    <w:tbl>
      <w:tblPr>
        <w:tblW w:w="8954" w:type="dxa"/>
        <w:tblLook w:val="04A0" w:firstRow="1" w:lastRow="0" w:firstColumn="1" w:lastColumn="0" w:noHBand="0" w:noVBand="1"/>
      </w:tblPr>
      <w:tblGrid>
        <w:gridCol w:w="8954"/>
      </w:tblGrid>
      <w:tr w:rsidR="006A2454" w:rsidRPr="006A2454" w14:paraId="6E413A03" w14:textId="77777777" w:rsidTr="00BB5F6D">
        <w:trPr>
          <w:trHeight w:val="308"/>
        </w:trPr>
        <w:tc>
          <w:tcPr>
            <w:tcW w:w="8954" w:type="dxa"/>
            <w:tcBorders>
              <w:top w:val="single" w:sz="8" w:space="0" w:color="881946"/>
              <w:left w:val="single" w:sz="8" w:space="0" w:color="881946"/>
              <w:bottom w:val="single" w:sz="8" w:space="0" w:color="881946"/>
              <w:right w:val="single" w:sz="8" w:space="0" w:color="881946"/>
            </w:tcBorders>
            <w:shd w:val="clear" w:color="000000" w:fill="881946"/>
            <w:noWrap/>
            <w:hideMark/>
          </w:tcPr>
          <w:p w14:paraId="1E1D89EE" w14:textId="77777777" w:rsidR="006A2454" w:rsidRPr="006A2454" w:rsidRDefault="006A2454" w:rsidP="000811AE">
            <w:pPr>
              <w:spacing w:after="0" w:line="240" w:lineRule="auto"/>
              <w:jc w:val="center"/>
              <w:rPr>
                <w:rFonts w:ascii="Calibri" w:eastAsia="Times New Roman" w:hAnsi="Calibri" w:cs="Calibri"/>
                <w:color w:val="FFFFFF"/>
                <w:lang w:eastAsia="en-IN"/>
              </w:rPr>
            </w:pPr>
            <w:r w:rsidRPr="006A2454">
              <w:rPr>
                <w:rFonts w:ascii="Calibri" w:eastAsia="Times New Roman" w:hAnsi="Calibri" w:cs="Calibri"/>
                <w:color w:val="FFFFFF"/>
                <w:lang w:eastAsia="en-IN"/>
              </w:rPr>
              <w:t>DFAT Functional Unit/Post Consulted</w:t>
            </w:r>
          </w:p>
        </w:tc>
      </w:tr>
      <w:tr w:rsidR="006A2454" w:rsidRPr="006A2454" w14:paraId="6B8B91C8" w14:textId="77777777" w:rsidTr="006A2454">
        <w:trPr>
          <w:trHeight w:val="308"/>
        </w:trPr>
        <w:tc>
          <w:tcPr>
            <w:tcW w:w="8954" w:type="dxa"/>
            <w:tcBorders>
              <w:top w:val="single" w:sz="8" w:space="0" w:color="881946"/>
              <w:left w:val="single" w:sz="8" w:space="0" w:color="881946"/>
              <w:bottom w:val="single" w:sz="8" w:space="0" w:color="881946"/>
              <w:right w:val="single" w:sz="8" w:space="0" w:color="881946"/>
            </w:tcBorders>
            <w:shd w:val="clear" w:color="auto" w:fill="FFFFFF"/>
            <w:noWrap/>
            <w:vAlign w:val="bottom"/>
          </w:tcPr>
          <w:p w14:paraId="575B7B07" w14:textId="77777777" w:rsidR="006A2454" w:rsidRPr="006A2454" w:rsidRDefault="006A2454" w:rsidP="000811AE">
            <w:pPr>
              <w:spacing w:after="0" w:line="240" w:lineRule="auto"/>
              <w:rPr>
                <w:rFonts w:ascii="Calibri" w:eastAsia="Times New Roman" w:hAnsi="Calibri" w:cs="Calibri"/>
                <w:color w:val="FFFFFF"/>
                <w:lang w:eastAsia="en-IN"/>
              </w:rPr>
            </w:pPr>
            <w:r w:rsidRPr="006A2454">
              <w:rPr>
                <w:rFonts w:ascii="Calibri" w:eastAsia="Times New Roman" w:hAnsi="Calibri" w:cs="Calibri"/>
                <w:lang w:eastAsia="en-IN"/>
              </w:rPr>
              <w:t>DFAT Development Economics Unit, PXB/MDD</w:t>
            </w:r>
          </w:p>
        </w:tc>
      </w:tr>
      <w:tr w:rsidR="006A2454" w:rsidRPr="006A2454" w14:paraId="04A05639" w14:textId="77777777" w:rsidTr="006A2454">
        <w:trPr>
          <w:trHeight w:val="308"/>
        </w:trPr>
        <w:tc>
          <w:tcPr>
            <w:tcW w:w="8954" w:type="dxa"/>
            <w:tcBorders>
              <w:top w:val="single" w:sz="8" w:space="0" w:color="881946"/>
              <w:left w:val="single" w:sz="8" w:space="0" w:color="881946"/>
              <w:bottom w:val="single" w:sz="8" w:space="0" w:color="881946"/>
              <w:right w:val="single" w:sz="8" w:space="0" w:color="881946"/>
            </w:tcBorders>
            <w:shd w:val="clear" w:color="auto" w:fill="FFFFFF"/>
            <w:noWrap/>
          </w:tcPr>
          <w:p w14:paraId="6464A87B"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DFAT International Economy Section, OEA/IVD</w:t>
            </w:r>
          </w:p>
        </w:tc>
      </w:tr>
      <w:tr w:rsidR="006A2454" w:rsidRPr="006A2454" w14:paraId="420823C6" w14:textId="77777777" w:rsidTr="006A2454">
        <w:trPr>
          <w:trHeight w:val="308"/>
        </w:trPr>
        <w:tc>
          <w:tcPr>
            <w:tcW w:w="8954" w:type="dxa"/>
            <w:tcBorders>
              <w:top w:val="single" w:sz="8" w:space="0" w:color="881946"/>
              <w:left w:val="single" w:sz="8" w:space="0" w:color="881946"/>
              <w:bottom w:val="single" w:sz="8" w:space="0" w:color="881946"/>
              <w:right w:val="single" w:sz="8" w:space="0" w:color="881946"/>
            </w:tcBorders>
            <w:shd w:val="clear" w:color="auto" w:fill="FFFFFF"/>
            <w:noWrap/>
          </w:tcPr>
          <w:p w14:paraId="16186C87"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DFAT Budget Branch, FSB/CMG</w:t>
            </w:r>
          </w:p>
        </w:tc>
      </w:tr>
      <w:tr w:rsidR="006A2454" w:rsidRPr="006A2454" w14:paraId="431BE624" w14:textId="77777777" w:rsidTr="006A2454">
        <w:trPr>
          <w:trHeight w:val="308"/>
        </w:trPr>
        <w:tc>
          <w:tcPr>
            <w:tcW w:w="8954" w:type="dxa"/>
            <w:tcBorders>
              <w:top w:val="single" w:sz="8" w:space="0" w:color="881946"/>
              <w:left w:val="single" w:sz="8" w:space="0" w:color="881946"/>
              <w:bottom w:val="single" w:sz="8" w:space="0" w:color="881946"/>
              <w:right w:val="single" w:sz="8" w:space="0" w:color="881946"/>
            </w:tcBorders>
            <w:shd w:val="clear" w:color="auto" w:fill="FFFFFF"/>
            <w:noWrap/>
            <w:vAlign w:val="bottom"/>
          </w:tcPr>
          <w:p w14:paraId="4D514DA1"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DFAT ODA Reporting and Statistics Section, FSB/CMG</w:t>
            </w:r>
          </w:p>
        </w:tc>
      </w:tr>
      <w:tr w:rsidR="006A2454" w:rsidRPr="006A2454" w14:paraId="08AED113" w14:textId="77777777" w:rsidTr="006A2454">
        <w:trPr>
          <w:trHeight w:val="308"/>
        </w:trPr>
        <w:tc>
          <w:tcPr>
            <w:tcW w:w="8954" w:type="dxa"/>
            <w:tcBorders>
              <w:top w:val="single" w:sz="8" w:space="0" w:color="881946"/>
              <w:left w:val="single" w:sz="8" w:space="0" w:color="881946"/>
              <w:bottom w:val="single" w:sz="8" w:space="0" w:color="881946"/>
              <w:right w:val="single" w:sz="8" w:space="0" w:color="881946"/>
            </w:tcBorders>
            <w:shd w:val="clear" w:color="auto" w:fill="FFFFFF"/>
            <w:noWrap/>
            <w:vAlign w:val="bottom"/>
          </w:tcPr>
          <w:p w14:paraId="2058C5F3"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DFAT Financial Systems Section, FSB/CMG</w:t>
            </w:r>
          </w:p>
        </w:tc>
      </w:tr>
      <w:tr w:rsidR="006A2454" w:rsidRPr="006A2454" w14:paraId="0EF8B156" w14:textId="77777777" w:rsidTr="006A2454">
        <w:trPr>
          <w:trHeight w:val="308"/>
        </w:trPr>
        <w:tc>
          <w:tcPr>
            <w:tcW w:w="8954" w:type="dxa"/>
            <w:tcBorders>
              <w:top w:val="single" w:sz="8" w:space="0" w:color="881946"/>
              <w:left w:val="single" w:sz="8" w:space="0" w:color="881946"/>
              <w:bottom w:val="single" w:sz="8" w:space="0" w:color="881946"/>
              <w:right w:val="single" w:sz="8" w:space="0" w:color="881946"/>
            </w:tcBorders>
            <w:shd w:val="clear" w:color="auto" w:fill="FFFFFF"/>
            <w:noWrap/>
            <w:vAlign w:val="bottom"/>
          </w:tcPr>
          <w:p w14:paraId="3597788E"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DFAT Infrastructure Policy Section, BFB/MDD</w:t>
            </w:r>
          </w:p>
        </w:tc>
      </w:tr>
      <w:tr w:rsidR="006A2454" w:rsidRPr="006A2454" w14:paraId="2BA1F044" w14:textId="77777777" w:rsidTr="006A2454">
        <w:trPr>
          <w:trHeight w:val="308"/>
        </w:trPr>
        <w:tc>
          <w:tcPr>
            <w:tcW w:w="8954" w:type="dxa"/>
            <w:tcBorders>
              <w:top w:val="single" w:sz="8" w:space="0" w:color="881946"/>
              <w:left w:val="single" w:sz="8" w:space="0" w:color="881946"/>
              <w:bottom w:val="single" w:sz="8" w:space="0" w:color="881946"/>
              <w:right w:val="single" w:sz="8" w:space="0" w:color="881946"/>
            </w:tcBorders>
            <w:shd w:val="clear" w:color="auto" w:fill="FFFFFF"/>
            <w:noWrap/>
            <w:vAlign w:val="bottom"/>
          </w:tcPr>
          <w:p w14:paraId="75B7EA3C"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DFAT AMD</w:t>
            </w:r>
          </w:p>
        </w:tc>
      </w:tr>
      <w:tr w:rsidR="006A2454" w:rsidRPr="006A2454" w14:paraId="3C468FB5" w14:textId="77777777" w:rsidTr="006A2454">
        <w:trPr>
          <w:trHeight w:val="308"/>
        </w:trPr>
        <w:tc>
          <w:tcPr>
            <w:tcW w:w="8954" w:type="dxa"/>
            <w:tcBorders>
              <w:top w:val="single" w:sz="8" w:space="0" w:color="881946"/>
              <w:left w:val="single" w:sz="8" w:space="0" w:color="881946"/>
              <w:bottom w:val="single" w:sz="8" w:space="0" w:color="881946"/>
              <w:right w:val="single" w:sz="8" w:space="0" w:color="881946"/>
            </w:tcBorders>
            <w:shd w:val="clear" w:color="auto" w:fill="FFFFFF"/>
            <w:noWrap/>
            <w:vAlign w:val="bottom"/>
          </w:tcPr>
          <w:p w14:paraId="7E8B2CE7"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DFAT Indo-Pacific Strategy and Geo-Economics Section, IMB/AMD</w:t>
            </w:r>
          </w:p>
        </w:tc>
      </w:tr>
      <w:tr w:rsidR="006A2454" w:rsidRPr="006A2454" w14:paraId="00F1F36A" w14:textId="77777777" w:rsidTr="006A2454">
        <w:trPr>
          <w:trHeight w:val="308"/>
        </w:trPr>
        <w:tc>
          <w:tcPr>
            <w:tcW w:w="8954" w:type="dxa"/>
            <w:tcBorders>
              <w:top w:val="single" w:sz="8" w:space="0" w:color="881946"/>
              <w:left w:val="single" w:sz="8" w:space="0" w:color="881946"/>
              <w:bottom w:val="single" w:sz="8" w:space="0" w:color="881946"/>
              <w:right w:val="single" w:sz="8" w:space="0" w:color="881946"/>
            </w:tcBorders>
            <w:shd w:val="clear" w:color="auto" w:fill="FFFFFF"/>
            <w:noWrap/>
            <w:vAlign w:val="bottom"/>
          </w:tcPr>
          <w:p w14:paraId="7A03DAE8"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 xml:space="preserve">DFAT RGB/PAD </w:t>
            </w:r>
          </w:p>
        </w:tc>
      </w:tr>
      <w:tr w:rsidR="006A2454" w:rsidRPr="006A2454" w14:paraId="600B6A75" w14:textId="77777777" w:rsidTr="006A2454">
        <w:trPr>
          <w:trHeight w:val="308"/>
        </w:trPr>
        <w:tc>
          <w:tcPr>
            <w:tcW w:w="8954" w:type="dxa"/>
            <w:tcBorders>
              <w:top w:val="single" w:sz="8" w:space="0" w:color="881946"/>
              <w:left w:val="single" w:sz="8" w:space="0" w:color="881946"/>
              <w:bottom w:val="single" w:sz="8" w:space="0" w:color="881946"/>
              <w:right w:val="single" w:sz="8" w:space="0" w:color="881946"/>
            </w:tcBorders>
            <w:shd w:val="clear" w:color="auto" w:fill="FFFFFF"/>
            <w:noWrap/>
            <w:vAlign w:val="bottom"/>
          </w:tcPr>
          <w:p w14:paraId="5D13EA2B"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 xml:space="preserve">DFAT PNB/PAD </w:t>
            </w:r>
          </w:p>
        </w:tc>
      </w:tr>
      <w:tr w:rsidR="006A2454" w:rsidRPr="006A2454" w14:paraId="66185C6C" w14:textId="77777777" w:rsidTr="006A2454">
        <w:trPr>
          <w:trHeight w:val="308"/>
        </w:trPr>
        <w:tc>
          <w:tcPr>
            <w:tcW w:w="8954" w:type="dxa"/>
            <w:tcBorders>
              <w:top w:val="single" w:sz="8" w:space="0" w:color="881946"/>
              <w:left w:val="single" w:sz="8" w:space="0" w:color="881946"/>
              <w:bottom w:val="single" w:sz="8" w:space="0" w:color="881946"/>
              <w:right w:val="single" w:sz="8" w:space="0" w:color="881946"/>
            </w:tcBorders>
            <w:shd w:val="clear" w:color="auto" w:fill="FFFFFF"/>
            <w:noWrap/>
            <w:vAlign w:val="bottom"/>
          </w:tcPr>
          <w:p w14:paraId="30FFF2F5"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DFAT UCTF/PAD</w:t>
            </w:r>
          </w:p>
        </w:tc>
      </w:tr>
      <w:tr w:rsidR="006A2454" w:rsidRPr="006A2454" w14:paraId="0D3A88DD" w14:textId="77777777" w:rsidTr="006A2454">
        <w:trPr>
          <w:trHeight w:val="308"/>
        </w:trPr>
        <w:tc>
          <w:tcPr>
            <w:tcW w:w="8954" w:type="dxa"/>
            <w:tcBorders>
              <w:top w:val="single" w:sz="8" w:space="0" w:color="881946"/>
              <w:left w:val="single" w:sz="8" w:space="0" w:color="881946"/>
              <w:bottom w:val="single" w:sz="8" w:space="0" w:color="881946"/>
              <w:right w:val="single" w:sz="8" w:space="0" w:color="881946"/>
            </w:tcBorders>
            <w:shd w:val="clear" w:color="auto" w:fill="FFFFFF"/>
            <w:noWrap/>
            <w:vAlign w:val="bottom"/>
          </w:tcPr>
          <w:p w14:paraId="4F9E76A5"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DFAT Pacific Economic Growth Section, RGB/PAD</w:t>
            </w:r>
          </w:p>
        </w:tc>
      </w:tr>
      <w:tr w:rsidR="006A2454" w:rsidRPr="006A2454" w14:paraId="57A7F13A" w14:textId="77777777" w:rsidTr="006A2454">
        <w:trPr>
          <w:trHeight w:val="308"/>
        </w:trPr>
        <w:tc>
          <w:tcPr>
            <w:tcW w:w="8954" w:type="dxa"/>
            <w:tcBorders>
              <w:top w:val="single" w:sz="8" w:space="0" w:color="881946"/>
              <w:left w:val="single" w:sz="8" w:space="0" w:color="881946"/>
              <w:bottom w:val="single" w:sz="8" w:space="0" w:color="881946"/>
              <w:right w:val="single" w:sz="8" w:space="0" w:color="881946"/>
            </w:tcBorders>
            <w:shd w:val="clear" w:color="auto" w:fill="FFFFFF"/>
            <w:noWrap/>
            <w:vAlign w:val="bottom"/>
          </w:tcPr>
          <w:p w14:paraId="19A12F80"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DFAT PNG Economic and Private Sector Section, PNB/PAD</w:t>
            </w:r>
          </w:p>
        </w:tc>
      </w:tr>
      <w:tr w:rsidR="006A2454" w:rsidRPr="006A2454" w14:paraId="4755C8A1" w14:textId="77777777" w:rsidTr="006A2454">
        <w:trPr>
          <w:trHeight w:val="308"/>
        </w:trPr>
        <w:tc>
          <w:tcPr>
            <w:tcW w:w="8954" w:type="dxa"/>
            <w:tcBorders>
              <w:top w:val="single" w:sz="8" w:space="0" w:color="881946"/>
              <w:left w:val="single" w:sz="8" w:space="0" w:color="881946"/>
              <w:bottom w:val="single" w:sz="8" w:space="0" w:color="881946"/>
              <w:right w:val="single" w:sz="8" w:space="0" w:color="881946"/>
            </w:tcBorders>
            <w:shd w:val="clear" w:color="auto" w:fill="FFFFFF"/>
            <w:noWrap/>
            <w:vAlign w:val="bottom"/>
          </w:tcPr>
          <w:p w14:paraId="60DE32F5"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DFAT Trade Finance Section, IVB/IVD</w:t>
            </w:r>
          </w:p>
        </w:tc>
      </w:tr>
      <w:tr w:rsidR="006A2454" w:rsidRPr="006A2454" w14:paraId="04D9D45B" w14:textId="77777777" w:rsidTr="006A2454">
        <w:trPr>
          <w:trHeight w:val="308"/>
        </w:trPr>
        <w:tc>
          <w:tcPr>
            <w:tcW w:w="8954" w:type="dxa"/>
            <w:tcBorders>
              <w:top w:val="single" w:sz="8" w:space="0" w:color="881946"/>
              <w:left w:val="single" w:sz="8" w:space="0" w:color="881946"/>
              <w:bottom w:val="single" w:sz="8" w:space="0" w:color="881946"/>
              <w:right w:val="single" w:sz="8" w:space="0" w:color="881946"/>
            </w:tcBorders>
            <w:shd w:val="clear" w:color="auto" w:fill="FFFFFF"/>
            <w:noWrap/>
            <w:vAlign w:val="bottom"/>
          </w:tcPr>
          <w:p w14:paraId="40FEAA58"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DFAT BFB/MDD</w:t>
            </w:r>
          </w:p>
        </w:tc>
      </w:tr>
      <w:tr w:rsidR="006A2454" w:rsidRPr="006A2454" w14:paraId="26198CF0" w14:textId="77777777" w:rsidTr="006A2454">
        <w:trPr>
          <w:trHeight w:val="308"/>
        </w:trPr>
        <w:tc>
          <w:tcPr>
            <w:tcW w:w="8954" w:type="dxa"/>
            <w:tcBorders>
              <w:top w:val="single" w:sz="8" w:space="0" w:color="881946"/>
              <w:left w:val="single" w:sz="8" w:space="0" w:color="881946"/>
              <w:bottom w:val="single" w:sz="8" w:space="0" w:color="881946"/>
              <w:right w:val="single" w:sz="8" w:space="0" w:color="881946"/>
            </w:tcBorders>
            <w:shd w:val="clear" w:color="auto" w:fill="FFFFFF"/>
            <w:noWrap/>
            <w:vAlign w:val="bottom"/>
          </w:tcPr>
          <w:p w14:paraId="33B44721"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DFAT Indonesia Trade and Economic Section, INB/SED</w:t>
            </w:r>
          </w:p>
        </w:tc>
      </w:tr>
      <w:tr w:rsidR="006A2454" w:rsidRPr="006A2454" w14:paraId="7423E3C2" w14:textId="77777777" w:rsidTr="006A2454">
        <w:trPr>
          <w:trHeight w:val="308"/>
        </w:trPr>
        <w:tc>
          <w:tcPr>
            <w:tcW w:w="8954" w:type="dxa"/>
            <w:tcBorders>
              <w:top w:val="single" w:sz="8" w:space="0" w:color="881946"/>
              <w:left w:val="single" w:sz="8" w:space="0" w:color="881946"/>
              <w:bottom w:val="single" w:sz="8" w:space="0" w:color="881946"/>
              <w:right w:val="single" w:sz="8" w:space="0" w:color="881946"/>
            </w:tcBorders>
            <w:shd w:val="clear" w:color="auto" w:fill="FFFFFF"/>
            <w:noWrap/>
            <w:vAlign w:val="bottom"/>
          </w:tcPr>
          <w:p w14:paraId="3D40A5C2" w14:textId="14D1C187" w:rsidR="006A2454" w:rsidRPr="006A2454" w:rsidRDefault="006A2454" w:rsidP="000811AE">
            <w:pPr>
              <w:spacing w:after="0" w:line="240" w:lineRule="auto"/>
              <w:rPr>
                <w:rFonts w:ascii="Calibri" w:eastAsia="Times New Roman" w:hAnsi="Calibri" w:cs="Calibri"/>
                <w:color w:val="FFFFFF"/>
                <w:lang w:eastAsia="en-IN"/>
              </w:rPr>
            </w:pPr>
            <w:r w:rsidRPr="006A2454">
              <w:rPr>
                <w:rFonts w:ascii="Calibri" w:eastAsia="Times New Roman" w:hAnsi="Calibri" w:cs="Calibri"/>
                <w:lang w:eastAsia="en-IN"/>
              </w:rPr>
              <w:t>DFAT</w:t>
            </w:r>
            <w:r w:rsidR="0071103E">
              <w:rPr>
                <w:rFonts w:ascii="Calibri" w:eastAsia="Times New Roman" w:hAnsi="Calibri" w:cs="Calibri"/>
                <w:lang w:eastAsia="en-IN"/>
              </w:rPr>
              <w:t>—</w:t>
            </w:r>
            <w:r w:rsidRPr="006A2454">
              <w:rPr>
                <w:rFonts w:ascii="Calibri" w:eastAsia="Times New Roman" w:hAnsi="Calibri" w:cs="Calibri"/>
                <w:lang w:eastAsia="en-IN"/>
              </w:rPr>
              <w:t>Beijing Post</w:t>
            </w:r>
          </w:p>
        </w:tc>
      </w:tr>
      <w:tr w:rsidR="006A2454" w:rsidRPr="006A2454" w14:paraId="4078B112" w14:textId="77777777" w:rsidTr="006A2454">
        <w:trPr>
          <w:trHeight w:val="308"/>
        </w:trPr>
        <w:tc>
          <w:tcPr>
            <w:tcW w:w="8954" w:type="dxa"/>
            <w:tcBorders>
              <w:top w:val="single" w:sz="8" w:space="0" w:color="881946"/>
              <w:left w:val="single" w:sz="8" w:space="0" w:color="881946"/>
              <w:bottom w:val="single" w:sz="8" w:space="0" w:color="881946"/>
              <w:right w:val="single" w:sz="8" w:space="0" w:color="881946"/>
            </w:tcBorders>
            <w:shd w:val="clear" w:color="auto" w:fill="FFFFFF"/>
            <w:noWrap/>
            <w:vAlign w:val="bottom"/>
          </w:tcPr>
          <w:p w14:paraId="1FE572FA" w14:textId="4DFA0899" w:rsidR="006A2454" w:rsidRPr="006A2454" w:rsidRDefault="006A2454" w:rsidP="000811AE">
            <w:pPr>
              <w:spacing w:after="0" w:line="240" w:lineRule="auto"/>
              <w:rPr>
                <w:rFonts w:ascii="Calibri" w:eastAsia="Times New Roman" w:hAnsi="Calibri" w:cs="Calibri"/>
                <w:color w:val="FFFFFF"/>
                <w:lang w:eastAsia="en-IN"/>
              </w:rPr>
            </w:pPr>
            <w:r w:rsidRPr="006A2454">
              <w:rPr>
                <w:rFonts w:ascii="Calibri" w:eastAsia="Times New Roman" w:hAnsi="Calibri" w:cs="Calibri"/>
                <w:lang w:eastAsia="en-IN"/>
              </w:rPr>
              <w:t>DFAT</w:t>
            </w:r>
            <w:r w:rsidR="0071103E">
              <w:rPr>
                <w:rFonts w:ascii="Calibri" w:eastAsia="Times New Roman" w:hAnsi="Calibri" w:cs="Calibri"/>
                <w:lang w:eastAsia="en-IN"/>
              </w:rPr>
              <w:t>—</w:t>
            </w:r>
            <w:proofErr w:type="spellStart"/>
            <w:r w:rsidRPr="006A2454">
              <w:rPr>
                <w:rFonts w:ascii="Calibri" w:eastAsia="Times New Roman" w:hAnsi="Calibri" w:cs="Calibri"/>
                <w:lang w:eastAsia="en-IN"/>
              </w:rPr>
              <w:t>Lae</w:t>
            </w:r>
            <w:proofErr w:type="spellEnd"/>
            <w:r w:rsidRPr="006A2454">
              <w:rPr>
                <w:rFonts w:ascii="Calibri" w:eastAsia="Times New Roman" w:hAnsi="Calibri" w:cs="Calibri"/>
                <w:lang w:eastAsia="en-IN"/>
              </w:rPr>
              <w:t xml:space="preserve"> Post</w:t>
            </w:r>
          </w:p>
        </w:tc>
      </w:tr>
      <w:tr w:rsidR="006A2454" w:rsidRPr="006A2454" w14:paraId="044FEE90" w14:textId="77777777" w:rsidTr="006A2454">
        <w:trPr>
          <w:trHeight w:val="308"/>
        </w:trPr>
        <w:tc>
          <w:tcPr>
            <w:tcW w:w="8954" w:type="dxa"/>
            <w:tcBorders>
              <w:top w:val="single" w:sz="8" w:space="0" w:color="881946"/>
              <w:left w:val="single" w:sz="8" w:space="0" w:color="881946"/>
              <w:bottom w:val="single" w:sz="8" w:space="0" w:color="881946"/>
              <w:right w:val="single" w:sz="8" w:space="0" w:color="881946"/>
            </w:tcBorders>
            <w:shd w:val="clear" w:color="auto" w:fill="FFFFFF"/>
            <w:noWrap/>
            <w:vAlign w:val="bottom"/>
          </w:tcPr>
          <w:p w14:paraId="712DC79E" w14:textId="0C28AF89" w:rsidR="006A2454" w:rsidRPr="006A2454" w:rsidRDefault="006A2454" w:rsidP="000811AE">
            <w:pPr>
              <w:spacing w:after="0" w:line="240" w:lineRule="auto"/>
              <w:rPr>
                <w:rFonts w:ascii="Calibri" w:eastAsia="Times New Roman" w:hAnsi="Calibri" w:cs="Calibri"/>
                <w:color w:val="FFFFFF"/>
                <w:lang w:eastAsia="en-IN"/>
              </w:rPr>
            </w:pPr>
            <w:r w:rsidRPr="006A2454">
              <w:rPr>
                <w:rFonts w:ascii="Calibri" w:eastAsia="Times New Roman" w:hAnsi="Calibri" w:cs="Calibri"/>
                <w:lang w:eastAsia="en-IN"/>
              </w:rPr>
              <w:t>DFAT</w:t>
            </w:r>
            <w:r w:rsidR="0071103E">
              <w:rPr>
                <w:rFonts w:ascii="Calibri" w:eastAsia="Times New Roman" w:hAnsi="Calibri" w:cs="Calibri"/>
                <w:lang w:eastAsia="en-IN"/>
              </w:rPr>
              <w:t>—</w:t>
            </w:r>
            <w:r w:rsidRPr="006A2454">
              <w:rPr>
                <w:rFonts w:ascii="Calibri" w:eastAsia="Times New Roman" w:hAnsi="Calibri" w:cs="Calibri"/>
                <w:lang w:eastAsia="en-IN"/>
              </w:rPr>
              <w:t>Honiara</w:t>
            </w:r>
          </w:p>
        </w:tc>
      </w:tr>
      <w:tr w:rsidR="006A2454" w:rsidRPr="006A2454" w14:paraId="0735E250" w14:textId="77777777" w:rsidTr="006A2454">
        <w:trPr>
          <w:trHeight w:val="308"/>
        </w:trPr>
        <w:tc>
          <w:tcPr>
            <w:tcW w:w="8954" w:type="dxa"/>
            <w:tcBorders>
              <w:top w:val="single" w:sz="8" w:space="0" w:color="881946"/>
              <w:left w:val="single" w:sz="8" w:space="0" w:color="881946"/>
              <w:bottom w:val="single" w:sz="8" w:space="0" w:color="881946"/>
              <w:right w:val="single" w:sz="8" w:space="0" w:color="881946"/>
            </w:tcBorders>
            <w:shd w:val="clear" w:color="auto" w:fill="FFFFFF"/>
            <w:noWrap/>
            <w:vAlign w:val="bottom"/>
          </w:tcPr>
          <w:p w14:paraId="097FCF07" w14:textId="0FE2E3C1" w:rsidR="006A2454" w:rsidRPr="006A2454" w:rsidRDefault="006A2454" w:rsidP="000811AE">
            <w:pPr>
              <w:spacing w:after="0" w:line="240" w:lineRule="auto"/>
              <w:rPr>
                <w:rFonts w:ascii="Calibri" w:eastAsia="Times New Roman" w:hAnsi="Calibri" w:cs="Calibri"/>
                <w:color w:val="FFFFFF"/>
                <w:lang w:eastAsia="en-IN"/>
              </w:rPr>
            </w:pPr>
            <w:r w:rsidRPr="006A2454">
              <w:rPr>
                <w:rFonts w:ascii="Calibri" w:eastAsia="Times New Roman" w:hAnsi="Calibri" w:cs="Calibri"/>
                <w:lang w:eastAsia="en-IN"/>
              </w:rPr>
              <w:t>DFAT</w:t>
            </w:r>
            <w:r w:rsidR="0071103E">
              <w:rPr>
                <w:rFonts w:ascii="Calibri" w:eastAsia="Times New Roman" w:hAnsi="Calibri" w:cs="Calibri"/>
                <w:lang w:eastAsia="en-IN"/>
              </w:rPr>
              <w:t>—</w:t>
            </w:r>
            <w:r w:rsidRPr="006A2454">
              <w:rPr>
                <w:rFonts w:ascii="Calibri" w:eastAsia="Times New Roman" w:hAnsi="Calibri" w:cs="Calibri"/>
                <w:lang w:eastAsia="en-IN"/>
              </w:rPr>
              <w:t>Hanoi Post</w:t>
            </w:r>
          </w:p>
        </w:tc>
      </w:tr>
      <w:tr w:rsidR="006A2454" w:rsidRPr="006A2454" w14:paraId="2DFFCF2F" w14:textId="77777777" w:rsidTr="006A2454">
        <w:trPr>
          <w:trHeight w:val="308"/>
        </w:trPr>
        <w:tc>
          <w:tcPr>
            <w:tcW w:w="8954" w:type="dxa"/>
            <w:tcBorders>
              <w:top w:val="single" w:sz="8" w:space="0" w:color="881946"/>
              <w:left w:val="single" w:sz="8" w:space="0" w:color="881946"/>
              <w:bottom w:val="single" w:sz="8" w:space="0" w:color="881946"/>
              <w:right w:val="single" w:sz="8" w:space="0" w:color="881946"/>
            </w:tcBorders>
            <w:shd w:val="clear" w:color="auto" w:fill="FFFFFF"/>
            <w:noWrap/>
            <w:vAlign w:val="bottom"/>
          </w:tcPr>
          <w:p w14:paraId="3937D554" w14:textId="0E481372" w:rsidR="006A2454" w:rsidRPr="006A2454" w:rsidRDefault="006A2454" w:rsidP="000811AE">
            <w:pPr>
              <w:spacing w:after="0" w:line="240" w:lineRule="auto"/>
              <w:rPr>
                <w:rFonts w:ascii="Calibri" w:eastAsia="Times New Roman" w:hAnsi="Calibri" w:cs="Calibri"/>
                <w:color w:val="FFFFFF"/>
                <w:lang w:eastAsia="en-IN"/>
              </w:rPr>
            </w:pPr>
            <w:r w:rsidRPr="006A2454">
              <w:rPr>
                <w:rFonts w:ascii="Calibri" w:eastAsia="Times New Roman" w:hAnsi="Calibri" w:cs="Calibri"/>
                <w:lang w:eastAsia="en-IN"/>
              </w:rPr>
              <w:t>DFAT</w:t>
            </w:r>
            <w:r w:rsidR="0071103E">
              <w:rPr>
                <w:rFonts w:ascii="Calibri" w:eastAsia="Times New Roman" w:hAnsi="Calibri" w:cs="Calibri"/>
                <w:lang w:eastAsia="en-IN"/>
              </w:rPr>
              <w:t>—</w:t>
            </w:r>
            <w:r w:rsidRPr="006A2454">
              <w:rPr>
                <w:rFonts w:ascii="Calibri" w:eastAsia="Times New Roman" w:hAnsi="Calibri" w:cs="Calibri"/>
                <w:lang w:eastAsia="en-IN"/>
              </w:rPr>
              <w:t>Manila Post</w:t>
            </w:r>
          </w:p>
        </w:tc>
      </w:tr>
      <w:tr w:rsidR="006A2454" w:rsidRPr="006A2454" w14:paraId="4D2B1D7E" w14:textId="77777777" w:rsidTr="006A2454">
        <w:trPr>
          <w:trHeight w:val="308"/>
        </w:trPr>
        <w:tc>
          <w:tcPr>
            <w:tcW w:w="8954" w:type="dxa"/>
            <w:tcBorders>
              <w:top w:val="single" w:sz="8" w:space="0" w:color="881946"/>
              <w:left w:val="single" w:sz="8" w:space="0" w:color="881946"/>
              <w:bottom w:val="single" w:sz="8" w:space="0" w:color="881946"/>
              <w:right w:val="single" w:sz="8" w:space="0" w:color="881946"/>
            </w:tcBorders>
            <w:shd w:val="clear" w:color="auto" w:fill="FFFFFF"/>
            <w:noWrap/>
            <w:vAlign w:val="bottom"/>
          </w:tcPr>
          <w:p w14:paraId="49BC057B" w14:textId="7E1EB5F5" w:rsidR="006A2454" w:rsidRPr="006A2454" w:rsidRDefault="006A2454" w:rsidP="000811AE">
            <w:pPr>
              <w:spacing w:after="0" w:line="240" w:lineRule="auto"/>
              <w:rPr>
                <w:rFonts w:ascii="Calibri" w:eastAsia="Times New Roman" w:hAnsi="Calibri" w:cs="Calibri"/>
                <w:color w:val="FFFFFF"/>
                <w:lang w:eastAsia="en-IN"/>
              </w:rPr>
            </w:pPr>
            <w:r w:rsidRPr="006A2454">
              <w:rPr>
                <w:rFonts w:ascii="Calibri" w:eastAsia="Times New Roman" w:hAnsi="Calibri" w:cs="Calibri"/>
                <w:lang w:eastAsia="en-IN"/>
              </w:rPr>
              <w:t>DFAT</w:t>
            </w:r>
            <w:r w:rsidR="0071103E">
              <w:rPr>
                <w:rFonts w:ascii="Calibri" w:eastAsia="Times New Roman" w:hAnsi="Calibri" w:cs="Calibri"/>
                <w:lang w:eastAsia="en-IN"/>
              </w:rPr>
              <w:t>—</w:t>
            </w:r>
            <w:r w:rsidRPr="006A2454">
              <w:rPr>
                <w:rFonts w:ascii="Calibri" w:eastAsia="Times New Roman" w:hAnsi="Calibri" w:cs="Calibri"/>
                <w:lang w:eastAsia="en-IN"/>
              </w:rPr>
              <w:t>New Delhi</w:t>
            </w:r>
          </w:p>
        </w:tc>
      </w:tr>
      <w:tr w:rsidR="006A2454" w:rsidRPr="006A2454" w14:paraId="3C11714A" w14:textId="77777777" w:rsidTr="006A2454">
        <w:trPr>
          <w:trHeight w:val="308"/>
        </w:trPr>
        <w:tc>
          <w:tcPr>
            <w:tcW w:w="8954" w:type="dxa"/>
            <w:tcBorders>
              <w:top w:val="single" w:sz="8" w:space="0" w:color="881946"/>
              <w:left w:val="single" w:sz="8" w:space="0" w:color="881946"/>
              <w:bottom w:val="single" w:sz="8" w:space="0" w:color="881946"/>
              <w:right w:val="single" w:sz="8" w:space="0" w:color="881946"/>
            </w:tcBorders>
            <w:shd w:val="clear" w:color="auto" w:fill="FFFFFF"/>
            <w:noWrap/>
            <w:vAlign w:val="bottom"/>
          </w:tcPr>
          <w:p w14:paraId="0A175480" w14:textId="7B376505" w:rsidR="006A2454" w:rsidRPr="006A2454" w:rsidRDefault="006A2454" w:rsidP="000811AE">
            <w:pPr>
              <w:spacing w:after="0" w:line="240" w:lineRule="auto"/>
              <w:rPr>
                <w:rFonts w:ascii="Calibri" w:eastAsia="Times New Roman" w:hAnsi="Calibri" w:cs="Calibri"/>
                <w:color w:val="FFFFFF"/>
                <w:lang w:eastAsia="en-IN"/>
              </w:rPr>
            </w:pPr>
            <w:r w:rsidRPr="006A2454">
              <w:rPr>
                <w:rFonts w:ascii="Calibri" w:eastAsia="Times New Roman" w:hAnsi="Calibri" w:cs="Calibri"/>
                <w:lang w:eastAsia="en-IN"/>
              </w:rPr>
              <w:t>DFAT</w:t>
            </w:r>
            <w:r w:rsidR="0071103E">
              <w:rPr>
                <w:rFonts w:ascii="Calibri" w:eastAsia="Times New Roman" w:hAnsi="Calibri" w:cs="Calibri"/>
                <w:lang w:eastAsia="en-IN"/>
              </w:rPr>
              <w:t>—</w:t>
            </w:r>
            <w:r w:rsidRPr="006A2454">
              <w:rPr>
                <w:rFonts w:ascii="Calibri" w:eastAsia="Times New Roman" w:hAnsi="Calibri" w:cs="Calibri"/>
                <w:lang w:eastAsia="en-IN"/>
              </w:rPr>
              <w:t>Yangon Post</w:t>
            </w:r>
          </w:p>
        </w:tc>
      </w:tr>
      <w:tr w:rsidR="006A2454" w:rsidRPr="006A2454" w14:paraId="5AD5A5A7" w14:textId="77777777" w:rsidTr="006A2454">
        <w:trPr>
          <w:trHeight w:val="308"/>
        </w:trPr>
        <w:tc>
          <w:tcPr>
            <w:tcW w:w="8954" w:type="dxa"/>
            <w:tcBorders>
              <w:top w:val="single" w:sz="8" w:space="0" w:color="881946"/>
              <w:left w:val="single" w:sz="8" w:space="0" w:color="881946"/>
              <w:bottom w:val="single" w:sz="8" w:space="0" w:color="881946"/>
              <w:right w:val="single" w:sz="8" w:space="0" w:color="881946"/>
            </w:tcBorders>
            <w:shd w:val="clear" w:color="auto" w:fill="FFFFFF"/>
            <w:noWrap/>
            <w:vAlign w:val="bottom"/>
          </w:tcPr>
          <w:p w14:paraId="043405F8" w14:textId="172B7C1C" w:rsidR="006A2454" w:rsidRPr="006A2454" w:rsidRDefault="006A2454" w:rsidP="000811AE">
            <w:pPr>
              <w:spacing w:after="0" w:line="240" w:lineRule="auto"/>
              <w:rPr>
                <w:rFonts w:ascii="Calibri" w:eastAsia="Times New Roman" w:hAnsi="Calibri" w:cs="Calibri"/>
                <w:color w:val="FFFFFF"/>
                <w:lang w:eastAsia="en-IN"/>
              </w:rPr>
            </w:pPr>
            <w:r w:rsidRPr="006A2454">
              <w:rPr>
                <w:rFonts w:ascii="Calibri" w:eastAsia="Times New Roman" w:hAnsi="Calibri" w:cs="Calibri"/>
                <w:lang w:eastAsia="en-IN"/>
              </w:rPr>
              <w:t>DFAT</w:t>
            </w:r>
            <w:r w:rsidR="0071103E">
              <w:rPr>
                <w:rFonts w:ascii="Calibri" w:eastAsia="Times New Roman" w:hAnsi="Calibri" w:cs="Calibri"/>
                <w:lang w:eastAsia="en-IN"/>
              </w:rPr>
              <w:t>—</w:t>
            </w:r>
            <w:r w:rsidRPr="006A2454">
              <w:rPr>
                <w:rFonts w:ascii="Calibri" w:eastAsia="Times New Roman" w:hAnsi="Calibri" w:cs="Calibri"/>
                <w:lang w:eastAsia="en-IN"/>
              </w:rPr>
              <w:t>Vientiane Post</w:t>
            </w:r>
          </w:p>
        </w:tc>
      </w:tr>
      <w:tr w:rsidR="006A2454" w:rsidRPr="006A2454" w14:paraId="3FAF2E85" w14:textId="77777777" w:rsidTr="006A2454">
        <w:trPr>
          <w:trHeight w:val="308"/>
        </w:trPr>
        <w:tc>
          <w:tcPr>
            <w:tcW w:w="8954" w:type="dxa"/>
            <w:tcBorders>
              <w:top w:val="single" w:sz="8" w:space="0" w:color="881946"/>
              <w:left w:val="single" w:sz="8" w:space="0" w:color="881946"/>
              <w:bottom w:val="single" w:sz="8" w:space="0" w:color="881946"/>
              <w:right w:val="single" w:sz="8" w:space="0" w:color="881946"/>
            </w:tcBorders>
            <w:shd w:val="clear" w:color="auto" w:fill="FFFFFF"/>
            <w:noWrap/>
            <w:vAlign w:val="bottom"/>
          </w:tcPr>
          <w:p w14:paraId="5140D81A" w14:textId="7A450B6B" w:rsidR="006A2454" w:rsidRPr="006A2454" w:rsidRDefault="006A2454" w:rsidP="000811AE">
            <w:pPr>
              <w:spacing w:after="0" w:line="240" w:lineRule="auto"/>
              <w:rPr>
                <w:rFonts w:ascii="Calibri" w:eastAsia="Times New Roman" w:hAnsi="Calibri" w:cs="Calibri"/>
                <w:color w:val="FFFFFF"/>
                <w:lang w:eastAsia="en-IN"/>
              </w:rPr>
            </w:pPr>
            <w:r w:rsidRPr="006A2454">
              <w:rPr>
                <w:rFonts w:ascii="Calibri" w:eastAsia="Times New Roman" w:hAnsi="Calibri" w:cs="Calibri"/>
                <w:lang w:eastAsia="en-IN"/>
              </w:rPr>
              <w:t>DFAT</w:t>
            </w:r>
            <w:r w:rsidR="0071103E">
              <w:rPr>
                <w:rFonts w:ascii="Calibri" w:eastAsia="Times New Roman" w:hAnsi="Calibri" w:cs="Calibri"/>
                <w:lang w:eastAsia="en-IN"/>
              </w:rPr>
              <w:t>—</w:t>
            </w:r>
            <w:r w:rsidRPr="006A2454">
              <w:rPr>
                <w:rFonts w:ascii="Calibri" w:eastAsia="Times New Roman" w:hAnsi="Calibri" w:cs="Calibri"/>
                <w:lang w:eastAsia="en-IN"/>
              </w:rPr>
              <w:t>Dhaka Post</w:t>
            </w:r>
          </w:p>
        </w:tc>
      </w:tr>
      <w:tr w:rsidR="006A2454" w:rsidRPr="006A2454" w14:paraId="788074FB" w14:textId="77777777" w:rsidTr="006A2454">
        <w:trPr>
          <w:trHeight w:val="308"/>
        </w:trPr>
        <w:tc>
          <w:tcPr>
            <w:tcW w:w="8954" w:type="dxa"/>
            <w:tcBorders>
              <w:top w:val="single" w:sz="8" w:space="0" w:color="881946"/>
              <w:left w:val="single" w:sz="8" w:space="0" w:color="881946"/>
              <w:bottom w:val="single" w:sz="8" w:space="0" w:color="881946"/>
              <w:right w:val="single" w:sz="8" w:space="0" w:color="881946"/>
            </w:tcBorders>
            <w:shd w:val="clear" w:color="auto" w:fill="FFFFFF"/>
            <w:noWrap/>
            <w:vAlign w:val="bottom"/>
          </w:tcPr>
          <w:p w14:paraId="3E986C53" w14:textId="45D4127D" w:rsidR="006A2454" w:rsidRPr="006A2454" w:rsidRDefault="006A2454" w:rsidP="000811AE">
            <w:pPr>
              <w:spacing w:after="0" w:line="240" w:lineRule="auto"/>
              <w:rPr>
                <w:rFonts w:ascii="Calibri" w:eastAsia="Times New Roman" w:hAnsi="Calibri" w:cs="Calibri"/>
                <w:color w:val="FFFFFF"/>
                <w:lang w:eastAsia="en-IN"/>
              </w:rPr>
            </w:pPr>
            <w:r w:rsidRPr="006A2454">
              <w:rPr>
                <w:rFonts w:ascii="Calibri" w:eastAsia="Times New Roman" w:hAnsi="Calibri" w:cs="Calibri"/>
                <w:lang w:eastAsia="en-IN"/>
              </w:rPr>
              <w:t>DFAT</w:t>
            </w:r>
            <w:r w:rsidR="0071103E">
              <w:rPr>
                <w:rFonts w:ascii="Calibri" w:eastAsia="Times New Roman" w:hAnsi="Calibri" w:cs="Calibri"/>
                <w:lang w:eastAsia="en-IN"/>
              </w:rPr>
              <w:t>—</w:t>
            </w:r>
            <w:r w:rsidRPr="006A2454">
              <w:rPr>
                <w:rFonts w:ascii="Calibri" w:eastAsia="Times New Roman" w:hAnsi="Calibri" w:cs="Calibri"/>
                <w:lang w:eastAsia="en-IN"/>
              </w:rPr>
              <w:t>Suva Post</w:t>
            </w:r>
          </w:p>
        </w:tc>
      </w:tr>
      <w:tr w:rsidR="006A2454" w:rsidRPr="006A2454" w14:paraId="7BBC6232" w14:textId="77777777" w:rsidTr="006A2454">
        <w:trPr>
          <w:trHeight w:val="308"/>
        </w:trPr>
        <w:tc>
          <w:tcPr>
            <w:tcW w:w="8954" w:type="dxa"/>
            <w:tcBorders>
              <w:top w:val="single" w:sz="8" w:space="0" w:color="881946"/>
              <w:left w:val="single" w:sz="8" w:space="0" w:color="881946"/>
              <w:bottom w:val="single" w:sz="8" w:space="0" w:color="881946"/>
              <w:right w:val="single" w:sz="8" w:space="0" w:color="881946"/>
            </w:tcBorders>
            <w:shd w:val="clear" w:color="auto" w:fill="FFFFFF"/>
            <w:noWrap/>
            <w:vAlign w:val="bottom"/>
          </w:tcPr>
          <w:p w14:paraId="7314B04D" w14:textId="73D620BF" w:rsidR="006A2454" w:rsidRPr="006A2454" w:rsidRDefault="006A2454" w:rsidP="000811AE">
            <w:pPr>
              <w:spacing w:after="0" w:line="240" w:lineRule="auto"/>
              <w:rPr>
                <w:rFonts w:ascii="Calibri" w:eastAsia="Times New Roman" w:hAnsi="Calibri" w:cs="Calibri"/>
                <w:color w:val="FFFFFF"/>
                <w:lang w:eastAsia="en-IN"/>
              </w:rPr>
            </w:pPr>
            <w:r w:rsidRPr="006A2454">
              <w:rPr>
                <w:rFonts w:ascii="Calibri" w:eastAsia="Times New Roman" w:hAnsi="Calibri" w:cs="Calibri"/>
                <w:lang w:eastAsia="en-IN"/>
              </w:rPr>
              <w:t>DFAT</w:t>
            </w:r>
            <w:r w:rsidR="0071103E">
              <w:rPr>
                <w:rFonts w:ascii="Calibri" w:eastAsia="Times New Roman" w:hAnsi="Calibri" w:cs="Calibri"/>
                <w:lang w:eastAsia="en-IN"/>
              </w:rPr>
              <w:t>—</w:t>
            </w:r>
            <w:r w:rsidRPr="006A2454">
              <w:rPr>
                <w:rFonts w:ascii="Calibri" w:eastAsia="Times New Roman" w:hAnsi="Calibri" w:cs="Calibri"/>
                <w:lang w:eastAsia="en-IN"/>
              </w:rPr>
              <w:t>Apia Post</w:t>
            </w:r>
          </w:p>
        </w:tc>
      </w:tr>
      <w:tr w:rsidR="006A2454" w:rsidRPr="006A2454" w14:paraId="53953623" w14:textId="77777777" w:rsidTr="006A2454">
        <w:trPr>
          <w:trHeight w:val="308"/>
        </w:trPr>
        <w:tc>
          <w:tcPr>
            <w:tcW w:w="8954" w:type="dxa"/>
            <w:tcBorders>
              <w:top w:val="single" w:sz="8" w:space="0" w:color="881946"/>
              <w:left w:val="single" w:sz="8" w:space="0" w:color="881946"/>
              <w:bottom w:val="single" w:sz="8" w:space="0" w:color="881946"/>
              <w:right w:val="single" w:sz="8" w:space="0" w:color="881946"/>
            </w:tcBorders>
            <w:shd w:val="clear" w:color="auto" w:fill="FFFFFF"/>
            <w:noWrap/>
            <w:vAlign w:val="bottom"/>
          </w:tcPr>
          <w:p w14:paraId="05100B7C" w14:textId="78B32955" w:rsidR="006A2454" w:rsidRPr="006A2454" w:rsidRDefault="006A2454" w:rsidP="000811AE">
            <w:pPr>
              <w:spacing w:after="0" w:line="240" w:lineRule="auto"/>
              <w:rPr>
                <w:rFonts w:ascii="Calibri" w:eastAsia="Times New Roman" w:hAnsi="Calibri" w:cs="Calibri"/>
                <w:color w:val="FFFFFF"/>
                <w:lang w:eastAsia="en-IN"/>
              </w:rPr>
            </w:pPr>
            <w:r w:rsidRPr="006A2454">
              <w:rPr>
                <w:rFonts w:ascii="Calibri" w:eastAsia="Times New Roman" w:hAnsi="Calibri" w:cs="Calibri"/>
                <w:lang w:eastAsia="en-IN"/>
              </w:rPr>
              <w:t>DFAT</w:t>
            </w:r>
            <w:r w:rsidR="0071103E">
              <w:rPr>
                <w:rFonts w:ascii="Calibri" w:eastAsia="Times New Roman" w:hAnsi="Calibri" w:cs="Calibri"/>
                <w:lang w:eastAsia="en-IN"/>
              </w:rPr>
              <w:t>—</w:t>
            </w:r>
            <w:r w:rsidRPr="006A2454">
              <w:rPr>
                <w:rFonts w:ascii="Calibri" w:eastAsia="Times New Roman" w:hAnsi="Calibri" w:cs="Calibri"/>
                <w:lang w:eastAsia="en-IN"/>
              </w:rPr>
              <w:t>Nauru Post</w:t>
            </w:r>
          </w:p>
        </w:tc>
      </w:tr>
      <w:tr w:rsidR="006A2454" w:rsidRPr="006A2454" w14:paraId="3701AC74" w14:textId="77777777" w:rsidTr="006A2454">
        <w:trPr>
          <w:trHeight w:val="308"/>
        </w:trPr>
        <w:tc>
          <w:tcPr>
            <w:tcW w:w="8954" w:type="dxa"/>
            <w:tcBorders>
              <w:top w:val="single" w:sz="8" w:space="0" w:color="881946"/>
              <w:left w:val="single" w:sz="8" w:space="0" w:color="881946"/>
              <w:bottom w:val="single" w:sz="8" w:space="0" w:color="881946"/>
              <w:right w:val="single" w:sz="8" w:space="0" w:color="881946"/>
            </w:tcBorders>
            <w:shd w:val="clear" w:color="auto" w:fill="FFFFFF"/>
            <w:noWrap/>
            <w:vAlign w:val="bottom"/>
          </w:tcPr>
          <w:p w14:paraId="1E4ACF5C" w14:textId="0C459C17" w:rsidR="006A2454" w:rsidRPr="006A2454" w:rsidRDefault="006A2454" w:rsidP="000811AE">
            <w:pPr>
              <w:spacing w:after="0" w:line="240" w:lineRule="auto"/>
              <w:rPr>
                <w:rFonts w:ascii="Calibri" w:eastAsia="Times New Roman" w:hAnsi="Calibri" w:cs="Calibri"/>
                <w:color w:val="FFFFFF"/>
                <w:lang w:eastAsia="en-IN"/>
              </w:rPr>
            </w:pPr>
            <w:r w:rsidRPr="006A2454">
              <w:rPr>
                <w:rFonts w:ascii="Calibri" w:eastAsia="Times New Roman" w:hAnsi="Calibri" w:cs="Calibri"/>
                <w:lang w:eastAsia="en-IN"/>
              </w:rPr>
              <w:t>DFAT</w:t>
            </w:r>
            <w:r w:rsidR="0071103E">
              <w:rPr>
                <w:rFonts w:ascii="Calibri" w:eastAsia="Times New Roman" w:hAnsi="Calibri" w:cs="Calibri"/>
                <w:lang w:eastAsia="en-IN"/>
              </w:rPr>
              <w:t>—</w:t>
            </w:r>
            <w:r w:rsidRPr="006A2454">
              <w:rPr>
                <w:rFonts w:ascii="Calibri" w:eastAsia="Times New Roman" w:hAnsi="Calibri" w:cs="Calibri"/>
                <w:lang w:eastAsia="en-IN"/>
              </w:rPr>
              <w:t>Colombo Post</w:t>
            </w:r>
          </w:p>
        </w:tc>
      </w:tr>
      <w:tr w:rsidR="006A2454" w:rsidRPr="006A2454" w14:paraId="2EF76F7E" w14:textId="77777777" w:rsidTr="006A2454">
        <w:trPr>
          <w:trHeight w:val="308"/>
        </w:trPr>
        <w:tc>
          <w:tcPr>
            <w:tcW w:w="8954" w:type="dxa"/>
            <w:tcBorders>
              <w:top w:val="single" w:sz="8" w:space="0" w:color="881946"/>
              <w:left w:val="single" w:sz="8" w:space="0" w:color="881946"/>
              <w:bottom w:val="single" w:sz="8" w:space="0" w:color="881946"/>
              <w:right w:val="single" w:sz="8" w:space="0" w:color="881946"/>
            </w:tcBorders>
            <w:shd w:val="clear" w:color="auto" w:fill="FFFFFF"/>
            <w:noWrap/>
            <w:vAlign w:val="bottom"/>
          </w:tcPr>
          <w:p w14:paraId="5641A22D" w14:textId="6581DBB8" w:rsidR="006A2454" w:rsidRPr="006A2454" w:rsidRDefault="006A2454" w:rsidP="000811AE">
            <w:pPr>
              <w:spacing w:after="0" w:line="240" w:lineRule="auto"/>
              <w:rPr>
                <w:rFonts w:ascii="Calibri" w:eastAsia="Times New Roman" w:hAnsi="Calibri" w:cs="Calibri"/>
                <w:color w:val="FFFFFF"/>
                <w:lang w:eastAsia="en-IN"/>
              </w:rPr>
            </w:pPr>
            <w:r w:rsidRPr="006A2454">
              <w:rPr>
                <w:rFonts w:ascii="Calibri" w:eastAsia="Times New Roman" w:hAnsi="Calibri" w:cs="Calibri"/>
                <w:lang w:eastAsia="en-IN"/>
              </w:rPr>
              <w:t>DFAT</w:t>
            </w:r>
            <w:r w:rsidR="0071103E">
              <w:rPr>
                <w:rFonts w:ascii="Calibri" w:eastAsia="Times New Roman" w:hAnsi="Calibri" w:cs="Calibri"/>
                <w:lang w:eastAsia="en-IN"/>
              </w:rPr>
              <w:t>—</w:t>
            </w:r>
            <w:r w:rsidRPr="006A2454">
              <w:rPr>
                <w:rFonts w:ascii="Calibri" w:eastAsia="Times New Roman" w:hAnsi="Calibri" w:cs="Calibri"/>
                <w:lang w:eastAsia="en-IN"/>
              </w:rPr>
              <w:t>Hanoi Post</w:t>
            </w:r>
          </w:p>
        </w:tc>
      </w:tr>
      <w:tr w:rsidR="006A2454" w:rsidRPr="006A2454" w14:paraId="0553C080" w14:textId="77777777" w:rsidTr="006A2454">
        <w:trPr>
          <w:trHeight w:val="308"/>
        </w:trPr>
        <w:tc>
          <w:tcPr>
            <w:tcW w:w="8954" w:type="dxa"/>
            <w:tcBorders>
              <w:top w:val="single" w:sz="8" w:space="0" w:color="881946"/>
              <w:left w:val="single" w:sz="8" w:space="0" w:color="881946"/>
              <w:bottom w:val="single" w:sz="8" w:space="0" w:color="881946"/>
              <w:right w:val="single" w:sz="8" w:space="0" w:color="881946"/>
            </w:tcBorders>
            <w:shd w:val="clear" w:color="auto" w:fill="FFFFFF"/>
            <w:noWrap/>
            <w:vAlign w:val="bottom"/>
          </w:tcPr>
          <w:p w14:paraId="657CF1C3" w14:textId="41D718FB" w:rsidR="006A2454" w:rsidRPr="006A2454" w:rsidRDefault="006A2454" w:rsidP="000811AE">
            <w:pPr>
              <w:spacing w:after="0" w:line="240" w:lineRule="auto"/>
              <w:rPr>
                <w:rFonts w:ascii="Calibri" w:eastAsia="Times New Roman" w:hAnsi="Calibri" w:cs="Calibri"/>
                <w:color w:val="FFFFFF"/>
                <w:lang w:eastAsia="en-IN"/>
              </w:rPr>
            </w:pPr>
            <w:r w:rsidRPr="006A2454">
              <w:rPr>
                <w:rFonts w:ascii="Calibri" w:eastAsia="Times New Roman" w:hAnsi="Calibri" w:cs="Calibri"/>
                <w:lang w:eastAsia="en-IN"/>
              </w:rPr>
              <w:t>DFAT</w:t>
            </w:r>
            <w:r w:rsidR="0071103E">
              <w:rPr>
                <w:rFonts w:ascii="Calibri" w:eastAsia="Times New Roman" w:hAnsi="Calibri" w:cs="Calibri"/>
                <w:lang w:eastAsia="en-IN"/>
              </w:rPr>
              <w:t>—</w:t>
            </w:r>
            <w:r w:rsidRPr="006A2454">
              <w:rPr>
                <w:rFonts w:ascii="Calibri" w:eastAsia="Times New Roman" w:hAnsi="Calibri" w:cs="Calibri"/>
                <w:lang w:eastAsia="en-IN"/>
              </w:rPr>
              <w:t>Port Vila Post</w:t>
            </w:r>
          </w:p>
        </w:tc>
      </w:tr>
      <w:tr w:rsidR="006A2454" w:rsidRPr="006A2454" w14:paraId="76AB8E99" w14:textId="77777777" w:rsidTr="006A2454">
        <w:trPr>
          <w:trHeight w:val="308"/>
        </w:trPr>
        <w:tc>
          <w:tcPr>
            <w:tcW w:w="8954" w:type="dxa"/>
            <w:tcBorders>
              <w:top w:val="single" w:sz="8" w:space="0" w:color="881946"/>
              <w:left w:val="single" w:sz="8" w:space="0" w:color="881946"/>
              <w:bottom w:val="single" w:sz="8" w:space="0" w:color="881946"/>
              <w:right w:val="single" w:sz="8" w:space="0" w:color="881946"/>
            </w:tcBorders>
            <w:shd w:val="clear" w:color="auto" w:fill="FFFFFF"/>
            <w:noWrap/>
            <w:vAlign w:val="bottom"/>
          </w:tcPr>
          <w:p w14:paraId="790CAF3C" w14:textId="73E627AD" w:rsidR="006A2454" w:rsidRPr="006A2454" w:rsidRDefault="006A2454" w:rsidP="000811AE">
            <w:pPr>
              <w:spacing w:after="0" w:line="240" w:lineRule="auto"/>
              <w:rPr>
                <w:rFonts w:ascii="Calibri" w:eastAsia="Times New Roman" w:hAnsi="Calibri" w:cs="Calibri"/>
                <w:color w:val="FFFFFF"/>
                <w:lang w:eastAsia="en-IN"/>
              </w:rPr>
            </w:pPr>
            <w:r w:rsidRPr="006A2454">
              <w:rPr>
                <w:rFonts w:ascii="Calibri" w:eastAsia="Times New Roman" w:hAnsi="Calibri" w:cs="Calibri"/>
                <w:lang w:eastAsia="en-IN"/>
              </w:rPr>
              <w:t>DFAT</w:t>
            </w:r>
            <w:r w:rsidR="0071103E">
              <w:rPr>
                <w:rFonts w:ascii="Calibri" w:eastAsia="Times New Roman" w:hAnsi="Calibri" w:cs="Calibri"/>
                <w:lang w:eastAsia="en-IN"/>
              </w:rPr>
              <w:t>—</w:t>
            </w:r>
            <w:r w:rsidRPr="006A2454">
              <w:rPr>
                <w:rFonts w:ascii="Calibri" w:eastAsia="Times New Roman" w:hAnsi="Calibri" w:cs="Calibri"/>
                <w:lang w:eastAsia="en-IN"/>
              </w:rPr>
              <w:t>Port Moresby Post</w:t>
            </w:r>
          </w:p>
        </w:tc>
      </w:tr>
      <w:tr w:rsidR="006A2454" w:rsidRPr="006A2454" w14:paraId="12CC0952" w14:textId="77777777" w:rsidTr="006A2454">
        <w:trPr>
          <w:trHeight w:val="308"/>
        </w:trPr>
        <w:tc>
          <w:tcPr>
            <w:tcW w:w="8954" w:type="dxa"/>
            <w:tcBorders>
              <w:top w:val="single" w:sz="8" w:space="0" w:color="881946"/>
              <w:left w:val="single" w:sz="8" w:space="0" w:color="881946"/>
              <w:bottom w:val="single" w:sz="8" w:space="0" w:color="881946"/>
              <w:right w:val="single" w:sz="8" w:space="0" w:color="881946"/>
            </w:tcBorders>
            <w:shd w:val="clear" w:color="auto" w:fill="FFFFFF"/>
            <w:noWrap/>
          </w:tcPr>
          <w:p w14:paraId="2E8A82E3" w14:textId="5F8D1786" w:rsidR="006A2454" w:rsidRPr="006A2454" w:rsidRDefault="006A2454" w:rsidP="000811AE">
            <w:pPr>
              <w:spacing w:after="0" w:line="240" w:lineRule="auto"/>
              <w:rPr>
                <w:rFonts w:ascii="Calibri" w:eastAsia="Times New Roman" w:hAnsi="Calibri" w:cs="Calibri"/>
                <w:color w:val="FFFFFF"/>
                <w:lang w:eastAsia="en-IN"/>
              </w:rPr>
            </w:pPr>
            <w:r w:rsidRPr="006A2454">
              <w:rPr>
                <w:rFonts w:ascii="Calibri" w:eastAsia="Times New Roman" w:hAnsi="Calibri" w:cs="Calibri"/>
                <w:lang w:eastAsia="en-IN"/>
              </w:rPr>
              <w:t>DFAT</w:t>
            </w:r>
            <w:r w:rsidR="0071103E">
              <w:rPr>
                <w:rFonts w:ascii="Calibri" w:eastAsia="Times New Roman" w:hAnsi="Calibri" w:cs="Calibri"/>
                <w:lang w:eastAsia="en-IN"/>
              </w:rPr>
              <w:t>—</w:t>
            </w:r>
            <w:r w:rsidRPr="006A2454">
              <w:rPr>
                <w:rFonts w:ascii="Calibri" w:eastAsia="Times New Roman" w:hAnsi="Calibri" w:cs="Calibri"/>
                <w:lang w:eastAsia="en-IN"/>
              </w:rPr>
              <w:t>Jakarta Post</w:t>
            </w:r>
          </w:p>
        </w:tc>
      </w:tr>
    </w:tbl>
    <w:p w14:paraId="248F3FBA" w14:textId="77777777" w:rsidR="00B46545" w:rsidRDefault="00B46545">
      <w:pPr>
        <w:rPr>
          <w:rFonts w:ascii="Calibri" w:eastAsia="Lato" w:hAnsi="Calibri" w:cs="Calibri"/>
          <w:lang w:eastAsia="en-IN"/>
        </w:rPr>
      </w:pPr>
      <w:r>
        <w:rPr>
          <w:rFonts w:ascii="Calibri" w:eastAsia="Lato" w:hAnsi="Calibri" w:cs="Calibri"/>
          <w:lang w:eastAsia="en-IN"/>
        </w:rPr>
        <w:br w:type="page"/>
      </w:r>
    </w:p>
    <w:p w14:paraId="3B43EE88" w14:textId="77777777" w:rsidR="000811AE" w:rsidRDefault="000811AE" w:rsidP="00594341">
      <w:pPr>
        <w:spacing w:after="0" w:line="240" w:lineRule="auto"/>
        <w:rPr>
          <w:rFonts w:ascii="Calibri" w:eastAsia="Lato" w:hAnsi="Calibri" w:cs="Calibri"/>
          <w:lang w:eastAsia="en-IN"/>
        </w:rPr>
      </w:pPr>
    </w:p>
    <w:tbl>
      <w:tblPr>
        <w:tblW w:w="9006" w:type="dxa"/>
        <w:tblLook w:val="04A0" w:firstRow="1" w:lastRow="0" w:firstColumn="1" w:lastColumn="0" w:noHBand="0" w:noVBand="1"/>
      </w:tblPr>
      <w:tblGrid>
        <w:gridCol w:w="5608"/>
        <w:gridCol w:w="3398"/>
      </w:tblGrid>
      <w:tr w:rsidR="006A2454" w:rsidRPr="006A2454" w14:paraId="75D0A8F8" w14:textId="77777777" w:rsidTr="00B46545">
        <w:trPr>
          <w:trHeight w:val="315"/>
          <w:tblHeader/>
        </w:trPr>
        <w:tc>
          <w:tcPr>
            <w:tcW w:w="5608" w:type="dxa"/>
            <w:tcBorders>
              <w:top w:val="single" w:sz="8" w:space="0" w:color="881946"/>
              <w:left w:val="single" w:sz="8" w:space="0" w:color="881946"/>
              <w:bottom w:val="single" w:sz="8" w:space="0" w:color="881946"/>
              <w:right w:val="single" w:sz="8" w:space="0" w:color="881946"/>
            </w:tcBorders>
            <w:shd w:val="clear" w:color="000000" w:fill="881946"/>
            <w:noWrap/>
            <w:hideMark/>
          </w:tcPr>
          <w:p w14:paraId="69D34693" w14:textId="77777777" w:rsidR="006A2454" w:rsidRPr="006A2454" w:rsidRDefault="006A2454" w:rsidP="000811AE">
            <w:pPr>
              <w:spacing w:after="0" w:line="240" w:lineRule="auto"/>
              <w:jc w:val="center"/>
              <w:rPr>
                <w:rFonts w:ascii="Calibri" w:eastAsia="Times New Roman" w:hAnsi="Calibri" w:cs="Calibri"/>
                <w:color w:val="FFFFFF"/>
                <w:lang w:eastAsia="en-IN"/>
              </w:rPr>
            </w:pPr>
            <w:r w:rsidRPr="006A2454">
              <w:rPr>
                <w:rFonts w:ascii="Calibri" w:eastAsia="Times New Roman" w:hAnsi="Calibri" w:cs="Calibri"/>
                <w:color w:val="FFFFFF"/>
                <w:lang w:eastAsia="en-IN"/>
              </w:rPr>
              <w:t>Organisation Consulted</w:t>
            </w:r>
          </w:p>
        </w:tc>
        <w:tc>
          <w:tcPr>
            <w:tcW w:w="3398" w:type="dxa"/>
            <w:tcBorders>
              <w:top w:val="single" w:sz="8" w:space="0" w:color="881946"/>
              <w:left w:val="nil"/>
              <w:bottom w:val="single" w:sz="8" w:space="0" w:color="881946"/>
              <w:right w:val="single" w:sz="8" w:space="0" w:color="881946"/>
            </w:tcBorders>
            <w:shd w:val="clear" w:color="000000" w:fill="881946"/>
            <w:noWrap/>
            <w:hideMark/>
          </w:tcPr>
          <w:p w14:paraId="694777ED" w14:textId="77777777" w:rsidR="006A2454" w:rsidRPr="006A2454" w:rsidRDefault="006A2454">
            <w:pPr>
              <w:spacing w:after="0" w:line="240" w:lineRule="auto"/>
              <w:jc w:val="center"/>
              <w:rPr>
                <w:rFonts w:ascii="Calibri" w:eastAsia="Times New Roman" w:hAnsi="Calibri" w:cs="Calibri"/>
                <w:color w:val="FFFFFF"/>
                <w:lang w:eastAsia="en-IN"/>
              </w:rPr>
            </w:pPr>
            <w:r w:rsidRPr="006A2454">
              <w:rPr>
                <w:rFonts w:ascii="Calibri" w:eastAsia="Times New Roman" w:hAnsi="Calibri" w:cs="Calibri"/>
                <w:color w:val="FFFFFF"/>
                <w:lang w:eastAsia="en-IN"/>
              </w:rPr>
              <w:t xml:space="preserve">Name of Individual </w:t>
            </w:r>
          </w:p>
        </w:tc>
      </w:tr>
      <w:tr w:rsidR="006A2454" w:rsidRPr="006A2454" w14:paraId="2A56C3AE"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000000" w:fill="FFFFFF"/>
            <w:noWrap/>
            <w:hideMark/>
          </w:tcPr>
          <w:p w14:paraId="60EF252F"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AECOM</w:t>
            </w:r>
          </w:p>
        </w:tc>
        <w:tc>
          <w:tcPr>
            <w:tcW w:w="3398" w:type="dxa"/>
            <w:tcBorders>
              <w:top w:val="nil"/>
              <w:left w:val="nil"/>
              <w:bottom w:val="single" w:sz="8" w:space="0" w:color="881946"/>
              <w:right w:val="single" w:sz="8" w:space="0" w:color="881946"/>
            </w:tcBorders>
            <w:shd w:val="clear" w:color="000000" w:fill="FFFFFF"/>
            <w:noWrap/>
            <w:vAlign w:val="bottom"/>
            <w:hideMark/>
          </w:tcPr>
          <w:p w14:paraId="517255EA"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Simon Quail</w:t>
            </w:r>
          </w:p>
        </w:tc>
      </w:tr>
      <w:tr w:rsidR="006A2454" w:rsidRPr="006A2454" w14:paraId="417D98BD"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000000" w:fill="FFFFFF"/>
            <w:noWrap/>
          </w:tcPr>
          <w:p w14:paraId="5D9DC399" w14:textId="42CC5D4D" w:rsidR="006A2454" w:rsidRPr="006A2454" w:rsidRDefault="006A2454" w:rsidP="000811AE">
            <w:pPr>
              <w:spacing w:after="0" w:line="240" w:lineRule="auto"/>
              <w:rPr>
                <w:rFonts w:ascii="Calibri" w:eastAsia="Times New Roman" w:hAnsi="Calibri" w:cs="Calibri"/>
                <w:lang w:eastAsia="en-IN"/>
              </w:rPr>
            </w:pPr>
            <w:proofErr w:type="spellStart"/>
            <w:r w:rsidRPr="006A2454">
              <w:rPr>
                <w:rFonts w:ascii="Calibri" w:eastAsia="Times New Roman" w:hAnsi="Calibri" w:cs="Calibri"/>
                <w:lang w:eastAsia="en-IN"/>
              </w:rPr>
              <w:t>Agence</w:t>
            </w:r>
            <w:proofErr w:type="spellEnd"/>
            <w:r w:rsidRPr="006A2454">
              <w:rPr>
                <w:rFonts w:ascii="Calibri" w:eastAsia="Times New Roman" w:hAnsi="Calibri" w:cs="Calibri"/>
                <w:lang w:eastAsia="en-IN"/>
              </w:rPr>
              <w:t xml:space="preserve"> </w:t>
            </w:r>
            <w:proofErr w:type="spellStart"/>
            <w:r w:rsidRPr="006A2454">
              <w:rPr>
                <w:rFonts w:ascii="Calibri" w:eastAsia="Times New Roman" w:hAnsi="Calibri" w:cs="Calibri"/>
                <w:lang w:eastAsia="en-IN"/>
              </w:rPr>
              <w:t>Francaise</w:t>
            </w:r>
            <w:proofErr w:type="spellEnd"/>
            <w:r w:rsidRPr="006A2454">
              <w:rPr>
                <w:rFonts w:ascii="Calibri" w:eastAsia="Times New Roman" w:hAnsi="Calibri" w:cs="Calibri"/>
                <w:lang w:eastAsia="en-IN"/>
              </w:rPr>
              <w:t xml:space="preserve"> de Development</w:t>
            </w:r>
            <w:r w:rsidR="0071103E">
              <w:rPr>
                <w:rFonts w:ascii="Calibri" w:eastAsia="Times New Roman" w:hAnsi="Calibri" w:cs="Calibri"/>
                <w:lang w:eastAsia="en-IN"/>
              </w:rPr>
              <w:t>—</w:t>
            </w:r>
            <w:r w:rsidRPr="006A2454">
              <w:rPr>
                <w:rFonts w:ascii="Calibri" w:eastAsia="Times New Roman" w:hAnsi="Calibri" w:cs="Calibri"/>
                <w:lang w:eastAsia="en-IN"/>
              </w:rPr>
              <w:t>Jakarta</w:t>
            </w:r>
          </w:p>
        </w:tc>
        <w:tc>
          <w:tcPr>
            <w:tcW w:w="3398" w:type="dxa"/>
            <w:tcBorders>
              <w:top w:val="nil"/>
              <w:left w:val="nil"/>
              <w:bottom w:val="single" w:sz="8" w:space="0" w:color="881946"/>
              <w:right w:val="single" w:sz="8" w:space="0" w:color="881946"/>
            </w:tcBorders>
            <w:shd w:val="clear" w:color="000000" w:fill="FFFFFF"/>
            <w:noWrap/>
            <w:vAlign w:val="bottom"/>
          </w:tcPr>
          <w:p w14:paraId="0865B92D"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 xml:space="preserve">Emmanuel </w:t>
            </w:r>
            <w:proofErr w:type="spellStart"/>
            <w:r w:rsidRPr="006A2454">
              <w:rPr>
                <w:rFonts w:ascii="Calibri" w:eastAsia="Times New Roman" w:hAnsi="Calibri" w:cs="Calibri"/>
                <w:lang w:eastAsia="en-IN"/>
              </w:rPr>
              <w:t>Baudran</w:t>
            </w:r>
            <w:proofErr w:type="spellEnd"/>
          </w:p>
        </w:tc>
      </w:tr>
      <w:tr w:rsidR="006A2454" w:rsidRPr="006A2454" w14:paraId="3FD46F9A" w14:textId="77777777" w:rsidTr="00BB5F6D">
        <w:trPr>
          <w:trHeight w:val="615"/>
        </w:trPr>
        <w:tc>
          <w:tcPr>
            <w:tcW w:w="5608" w:type="dxa"/>
            <w:tcBorders>
              <w:top w:val="nil"/>
              <w:left w:val="single" w:sz="8" w:space="0" w:color="881946"/>
              <w:bottom w:val="single" w:sz="8" w:space="0" w:color="881946"/>
              <w:right w:val="single" w:sz="8" w:space="0" w:color="881946"/>
            </w:tcBorders>
            <w:shd w:val="clear" w:color="000000" w:fill="FFFFFF"/>
            <w:hideMark/>
          </w:tcPr>
          <w:p w14:paraId="0A5956A4" w14:textId="77777777" w:rsidR="006A2454" w:rsidRPr="006A2454" w:rsidRDefault="006A2454" w:rsidP="000811AE">
            <w:pPr>
              <w:spacing w:after="0" w:line="240" w:lineRule="auto"/>
              <w:rPr>
                <w:rFonts w:ascii="Calibri" w:eastAsia="Times New Roman" w:hAnsi="Calibri" w:cs="Calibri"/>
                <w:lang w:eastAsia="en-IN"/>
              </w:rPr>
            </w:pPr>
            <w:proofErr w:type="spellStart"/>
            <w:r w:rsidRPr="006A2454">
              <w:rPr>
                <w:rFonts w:ascii="Calibri" w:eastAsia="Times New Roman" w:hAnsi="Calibri" w:cs="Calibri"/>
                <w:lang w:eastAsia="en-IN"/>
              </w:rPr>
              <w:t>Agence</w:t>
            </w:r>
            <w:proofErr w:type="spellEnd"/>
            <w:r w:rsidRPr="006A2454">
              <w:rPr>
                <w:rFonts w:ascii="Calibri" w:eastAsia="Times New Roman" w:hAnsi="Calibri" w:cs="Calibri"/>
                <w:lang w:eastAsia="en-IN"/>
              </w:rPr>
              <w:t xml:space="preserve"> </w:t>
            </w:r>
            <w:proofErr w:type="spellStart"/>
            <w:r w:rsidRPr="006A2454">
              <w:rPr>
                <w:rFonts w:ascii="Calibri" w:eastAsia="Times New Roman" w:hAnsi="Calibri" w:cs="Calibri"/>
                <w:lang w:eastAsia="en-IN"/>
              </w:rPr>
              <w:t>Francaise</w:t>
            </w:r>
            <w:proofErr w:type="spellEnd"/>
            <w:r w:rsidRPr="006A2454">
              <w:rPr>
                <w:rFonts w:ascii="Calibri" w:eastAsia="Times New Roman" w:hAnsi="Calibri" w:cs="Calibri"/>
                <w:lang w:eastAsia="en-IN"/>
              </w:rPr>
              <w:t xml:space="preserve"> de Development</w:t>
            </w:r>
          </w:p>
        </w:tc>
        <w:tc>
          <w:tcPr>
            <w:tcW w:w="3398" w:type="dxa"/>
            <w:tcBorders>
              <w:top w:val="nil"/>
              <w:left w:val="nil"/>
              <w:bottom w:val="single" w:sz="8" w:space="0" w:color="881946"/>
              <w:right w:val="single" w:sz="8" w:space="0" w:color="881946"/>
            </w:tcBorders>
            <w:shd w:val="clear" w:color="000000" w:fill="FFFFFF"/>
            <w:noWrap/>
            <w:hideMark/>
          </w:tcPr>
          <w:p w14:paraId="205D8C19"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 xml:space="preserve">Bruno </w:t>
            </w:r>
            <w:proofErr w:type="spellStart"/>
            <w:r w:rsidRPr="006A2454">
              <w:rPr>
                <w:rFonts w:ascii="Calibri" w:eastAsia="Times New Roman" w:hAnsi="Calibri" w:cs="Calibri"/>
                <w:lang w:eastAsia="en-IN"/>
              </w:rPr>
              <w:t>Bosley</w:t>
            </w:r>
            <w:proofErr w:type="spellEnd"/>
          </w:p>
        </w:tc>
      </w:tr>
      <w:tr w:rsidR="006A2454" w:rsidRPr="006A2454" w14:paraId="1505A5D1"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000000" w:fill="FFFFFF"/>
            <w:hideMark/>
          </w:tcPr>
          <w:p w14:paraId="53CA3C96"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Angel investment Network</w:t>
            </w:r>
          </w:p>
        </w:tc>
        <w:tc>
          <w:tcPr>
            <w:tcW w:w="3398" w:type="dxa"/>
            <w:tcBorders>
              <w:top w:val="nil"/>
              <w:left w:val="nil"/>
              <w:bottom w:val="single" w:sz="8" w:space="0" w:color="881946"/>
              <w:right w:val="single" w:sz="8" w:space="0" w:color="881946"/>
            </w:tcBorders>
            <w:shd w:val="clear" w:color="000000" w:fill="FFFFFF"/>
            <w:noWrap/>
            <w:vAlign w:val="bottom"/>
            <w:hideMark/>
          </w:tcPr>
          <w:p w14:paraId="108337F0"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 xml:space="preserve">David </w:t>
            </w:r>
            <w:proofErr w:type="spellStart"/>
            <w:r w:rsidRPr="006A2454">
              <w:rPr>
                <w:rFonts w:ascii="Calibri" w:eastAsia="Times New Roman" w:hAnsi="Calibri" w:cs="Calibri"/>
                <w:lang w:eastAsia="en-IN"/>
              </w:rPr>
              <w:t>Soukhasing</w:t>
            </w:r>
            <w:proofErr w:type="spellEnd"/>
          </w:p>
        </w:tc>
      </w:tr>
      <w:tr w:rsidR="006A2454" w:rsidRPr="006A2454" w14:paraId="326CE854"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auto" w:fill="auto"/>
            <w:noWrap/>
            <w:vAlign w:val="bottom"/>
            <w:hideMark/>
          </w:tcPr>
          <w:p w14:paraId="14B6FC2D"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 xml:space="preserve">Asia Pacific Project Preparation Facility </w:t>
            </w:r>
          </w:p>
        </w:tc>
        <w:tc>
          <w:tcPr>
            <w:tcW w:w="3398" w:type="dxa"/>
            <w:tcBorders>
              <w:top w:val="nil"/>
              <w:left w:val="nil"/>
              <w:bottom w:val="single" w:sz="8" w:space="0" w:color="881946"/>
              <w:right w:val="single" w:sz="8" w:space="0" w:color="881946"/>
            </w:tcBorders>
            <w:shd w:val="clear" w:color="auto" w:fill="auto"/>
            <w:noWrap/>
            <w:vAlign w:val="bottom"/>
            <w:hideMark/>
          </w:tcPr>
          <w:p w14:paraId="4AF4F522"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 xml:space="preserve">Takeo Koike </w:t>
            </w:r>
          </w:p>
        </w:tc>
      </w:tr>
      <w:tr w:rsidR="006A2454" w:rsidRPr="006A2454" w14:paraId="4F75D628"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auto" w:fill="auto"/>
            <w:noWrap/>
            <w:vAlign w:val="bottom"/>
            <w:hideMark/>
          </w:tcPr>
          <w:p w14:paraId="1719A33A"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Asian Development Bank</w:t>
            </w:r>
          </w:p>
        </w:tc>
        <w:tc>
          <w:tcPr>
            <w:tcW w:w="3398" w:type="dxa"/>
            <w:tcBorders>
              <w:top w:val="nil"/>
              <w:left w:val="nil"/>
              <w:bottom w:val="single" w:sz="8" w:space="0" w:color="881946"/>
              <w:right w:val="single" w:sz="8" w:space="0" w:color="881946"/>
            </w:tcBorders>
            <w:shd w:val="clear" w:color="auto" w:fill="auto"/>
            <w:noWrap/>
            <w:vAlign w:val="bottom"/>
            <w:hideMark/>
          </w:tcPr>
          <w:p w14:paraId="4D97B133"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David Hill</w:t>
            </w:r>
          </w:p>
        </w:tc>
      </w:tr>
      <w:tr w:rsidR="006A2454" w:rsidRPr="006A2454" w14:paraId="4BC2C1B5"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000000" w:fill="FFFFFF"/>
            <w:noWrap/>
            <w:hideMark/>
          </w:tcPr>
          <w:p w14:paraId="76A59432"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 xml:space="preserve">Asian Development Bank </w:t>
            </w:r>
          </w:p>
        </w:tc>
        <w:tc>
          <w:tcPr>
            <w:tcW w:w="3398" w:type="dxa"/>
            <w:tcBorders>
              <w:top w:val="nil"/>
              <w:left w:val="nil"/>
              <w:bottom w:val="single" w:sz="8" w:space="0" w:color="881946"/>
              <w:right w:val="single" w:sz="8" w:space="0" w:color="881946"/>
            </w:tcBorders>
            <w:shd w:val="clear" w:color="000000" w:fill="FFFFFF"/>
            <w:noWrap/>
            <w:vAlign w:val="bottom"/>
            <w:hideMark/>
          </w:tcPr>
          <w:p w14:paraId="49332FEF"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 xml:space="preserve">Winfried F. </w:t>
            </w:r>
            <w:proofErr w:type="spellStart"/>
            <w:r w:rsidRPr="006A2454">
              <w:rPr>
                <w:rFonts w:ascii="Calibri" w:eastAsia="Times New Roman" w:hAnsi="Calibri" w:cs="Calibri"/>
                <w:lang w:eastAsia="en-IN"/>
              </w:rPr>
              <w:t>Wicklein</w:t>
            </w:r>
            <w:proofErr w:type="spellEnd"/>
          </w:p>
        </w:tc>
      </w:tr>
      <w:tr w:rsidR="006A2454" w:rsidRPr="006A2454" w14:paraId="725EAADE"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000000" w:fill="FFFFFF"/>
            <w:noWrap/>
            <w:hideMark/>
          </w:tcPr>
          <w:p w14:paraId="098E2D73"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 xml:space="preserve">Asian Development Bank </w:t>
            </w:r>
          </w:p>
        </w:tc>
        <w:tc>
          <w:tcPr>
            <w:tcW w:w="3398" w:type="dxa"/>
            <w:tcBorders>
              <w:top w:val="nil"/>
              <w:left w:val="nil"/>
              <w:bottom w:val="single" w:sz="8" w:space="0" w:color="881946"/>
              <w:right w:val="single" w:sz="8" w:space="0" w:color="881946"/>
            </w:tcBorders>
            <w:shd w:val="clear" w:color="000000" w:fill="FFFFFF"/>
            <w:noWrap/>
            <w:vAlign w:val="bottom"/>
            <w:hideMark/>
          </w:tcPr>
          <w:p w14:paraId="2E724F73"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Anthony Gill</w:t>
            </w:r>
          </w:p>
        </w:tc>
      </w:tr>
      <w:tr w:rsidR="006A2454" w:rsidRPr="006A2454" w14:paraId="43A7160F"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000000" w:fill="FFFFFF"/>
            <w:noWrap/>
            <w:hideMark/>
          </w:tcPr>
          <w:p w14:paraId="34CDFA6A"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 xml:space="preserve">Asian Development Bank </w:t>
            </w:r>
          </w:p>
        </w:tc>
        <w:tc>
          <w:tcPr>
            <w:tcW w:w="3398" w:type="dxa"/>
            <w:tcBorders>
              <w:top w:val="nil"/>
              <w:left w:val="nil"/>
              <w:bottom w:val="single" w:sz="8" w:space="0" w:color="881946"/>
              <w:right w:val="single" w:sz="8" w:space="0" w:color="881946"/>
            </w:tcBorders>
            <w:shd w:val="clear" w:color="000000" w:fill="FFFFFF"/>
            <w:noWrap/>
            <w:vAlign w:val="bottom"/>
            <w:hideMark/>
          </w:tcPr>
          <w:p w14:paraId="5D0C8069"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 xml:space="preserve"> Amr Jalil Qari          </w:t>
            </w:r>
          </w:p>
        </w:tc>
      </w:tr>
      <w:tr w:rsidR="006A2454" w:rsidRPr="006A2454" w14:paraId="239DD9E0"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auto" w:fill="auto"/>
            <w:noWrap/>
            <w:vAlign w:val="bottom"/>
            <w:hideMark/>
          </w:tcPr>
          <w:p w14:paraId="7C061616"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 xml:space="preserve">Asian Development Bank, Pacific Liaison and Coordination Office </w:t>
            </w:r>
          </w:p>
        </w:tc>
        <w:tc>
          <w:tcPr>
            <w:tcW w:w="3398" w:type="dxa"/>
            <w:tcBorders>
              <w:top w:val="nil"/>
              <w:left w:val="nil"/>
              <w:bottom w:val="single" w:sz="8" w:space="0" w:color="881946"/>
              <w:right w:val="single" w:sz="8" w:space="0" w:color="881946"/>
            </w:tcBorders>
            <w:shd w:val="clear" w:color="auto" w:fill="auto"/>
            <w:noWrap/>
            <w:vAlign w:val="bottom"/>
            <w:hideMark/>
          </w:tcPr>
          <w:p w14:paraId="108A45A1"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 xml:space="preserve">David Lloyd </w:t>
            </w:r>
          </w:p>
        </w:tc>
      </w:tr>
      <w:tr w:rsidR="006A2454" w:rsidRPr="006A2454" w14:paraId="469A4E7D"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auto" w:fill="auto"/>
            <w:noWrap/>
            <w:vAlign w:val="bottom"/>
            <w:hideMark/>
          </w:tcPr>
          <w:p w14:paraId="79BC3C8A"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 xml:space="preserve">Asian Development Bank, Pacific Liaison and Coordination Office </w:t>
            </w:r>
          </w:p>
        </w:tc>
        <w:tc>
          <w:tcPr>
            <w:tcW w:w="3398" w:type="dxa"/>
            <w:tcBorders>
              <w:top w:val="nil"/>
              <w:left w:val="nil"/>
              <w:bottom w:val="single" w:sz="8" w:space="0" w:color="881946"/>
              <w:right w:val="single" w:sz="8" w:space="0" w:color="881946"/>
            </w:tcBorders>
            <w:shd w:val="clear" w:color="auto" w:fill="auto"/>
            <w:noWrap/>
            <w:vAlign w:val="bottom"/>
            <w:hideMark/>
          </w:tcPr>
          <w:p w14:paraId="456B75FD"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 xml:space="preserve">Matthew Hodge </w:t>
            </w:r>
          </w:p>
        </w:tc>
      </w:tr>
      <w:tr w:rsidR="006A2454" w:rsidRPr="006A2454" w14:paraId="13E74DB6"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000000" w:fill="FFFFFF"/>
            <w:noWrap/>
            <w:hideMark/>
          </w:tcPr>
          <w:p w14:paraId="28C1FA9C" w14:textId="352422D9"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Asian Development Bank</w:t>
            </w:r>
            <w:r w:rsidR="0071103E">
              <w:rPr>
                <w:rFonts w:ascii="Calibri" w:eastAsia="Times New Roman" w:hAnsi="Calibri" w:cs="Calibri"/>
                <w:lang w:eastAsia="en-IN"/>
              </w:rPr>
              <w:t>—</w:t>
            </w:r>
            <w:r w:rsidRPr="006A2454">
              <w:rPr>
                <w:rFonts w:ascii="Calibri" w:eastAsia="Times New Roman" w:hAnsi="Calibri" w:cs="Calibri"/>
                <w:lang w:eastAsia="en-IN"/>
              </w:rPr>
              <w:t>Vanuatu</w:t>
            </w:r>
          </w:p>
        </w:tc>
        <w:tc>
          <w:tcPr>
            <w:tcW w:w="3398" w:type="dxa"/>
            <w:tcBorders>
              <w:top w:val="nil"/>
              <w:left w:val="nil"/>
              <w:bottom w:val="single" w:sz="8" w:space="0" w:color="881946"/>
              <w:right w:val="single" w:sz="8" w:space="0" w:color="881946"/>
            </w:tcBorders>
            <w:shd w:val="clear" w:color="auto" w:fill="auto"/>
            <w:noWrap/>
            <w:vAlign w:val="bottom"/>
            <w:hideMark/>
          </w:tcPr>
          <w:p w14:paraId="34B80D69"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Nancy Wells</w:t>
            </w:r>
          </w:p>
        </w:tc>
      </w:tr>
      <w:tr w:rsidR="00D32DAA" w:rsidRPr="006A2454" w14:paraId="111CB91A"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000000" w:fill="FFFFFF"/>
            <w:noWrap/>
          </w:tcPr>
          <w:p w14:paraId="4B5502C1" w14:textId="22BB4638" w:rsidR="00D32DAA" w:rsidRPr="006A2454" w:rsidRDefault="00D32DAA" w:rsidP="000811AE">
            <w:pPr>
              <w:spacing w:after="0" w:line="240" w:lineRule="auto"/>
              <w:rPr>
                <w:rFonts w:ascii="Calibri" w:eastAsia="Times New Roman" w:hAnsi="Calibri" w:cs="Calibri"/>
                <w:lang w:eastAsia="en-IN"/>
              </w:rPr>
            </w:pPr>
            <w:r>
              <w:rPr>
                <w:rFonts w:ascii="Calibri" w:eastAsia="Times New Roman" w:hAnsi="Calibri" w:cs="Calibri"/>
                <w:lang w:eastAsia="en-IN"/>
              </w:rPr>
              <w:t>Asian Infrastructure Investment Bank</w:t>
            </w:r>
          </w:p>
        </w:tc>
        <w:tc>
          <w:tcPr>
            <w:tcW w:w="3398" w:type="dxa"/>
            <w:tcBorders>
              <w:top w:val="nil"/>
              <w:left w:val="nil"/>
              <w:bottom w:val="single" w:sz="8" w:space="0" w:color="881946"/>
              <w:right w:val="single" w:sz="8" w:space="0" w:color="881946"/>
            </w:tcBorders>
            <w:shd w:val="clear" w:color="auto" w:fill="auto"/>
            <w:noWrap/>
            <w:vAlign w:val="bottom"/>
          </w:tcPr>
          <w:p w14:paraId="1757747E" w14:textId="65E110FB" w:rsidR="00D32DAA" w:rsidRPr="006A2454" w:rsidRDefault="00D32DAA">
            <w:pPr>
              <w:spacing w:after="0" w:line="240" w:lineRule="auto"/>
              <w:rPr>
                <w:rFonts w:ascii="Calibri" w:eastAsia="Times New Roman" w:hAnsi="Calibri" w:cs="Calibri"/>
                <w:lang w:eastAsia="en-IN"/>
              </w:rPr>
            </w:pPr>
            <w:r>
              <w:rPr>
                <w:rFonts w:ascii="Calibri" w:eastAsia="Times New Roman" w:hAnsi="Calibri" w:cs="Calibri"/>
                <w:lang w:eastAsia="en-IN"/>
              </w:rPr>
              <w:t>Darren Stipe</w:t>
            </w:r>
          </w:p>
        </w:tc>
      </w:tr>
      <w:tr w:rsidR="006A2454" w:rsidRPr="006A2454" w14:paraId="21095314"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000000" w:fill="FFFFFF"/>
            <w:noWrap/>
          </w:tcPr>
          <w:p w14:paraId="2B9D0D6B" w14:textId="4659AA6F"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Austrade</w:t>
            </w:r>
            <w:r w:rsidR="0071103E">
              <w:rPr>
                <w:rFonts w:ascii="Calibri" w:eastAsia="Times New Roman" w:hAnsi="Calibri" w:cs="Calibri"/>
                <w:lang w:eastAsia="en-IN"/>
              </w:rPr>
              <w:t>—</w:t>
            </w:r>
            <w:r w:rsidRPr="006A2454">
              <w:rPr>
                <w:rFonts w:ascii="Calibri" w:eastAsia="Times New Roman" w:hAnsi="Calibri" w:cs="Calibri"/>
                <w:lang w:eastAsia="en-IN"/>
              </w:rPr>
              <w:t>Jakarta</w:t>
            </w:r>
          </w:p>
        </w:tc>
        <w:tc>
          <w:tcPr>
            <w:tcW w:w="3398" w:type="dxa"/>
            <w:tcBorders>
              <w:top w:val="nil"/>
              <w:left w:val="nil"/>
              <w:bottom w:val="single" w:sz="8" w:space="0" w:color="881946"/>
              <w:right w:val="single" w:sz="8" w:space="0" w:color="881946"/>
            </w:tcBorders>
            <w:shd w:val="clear" w:color="auto" w:fill="auto"/>
            <w:noWrap/>
            <w:vAlign w:val="bottom"/>
          </w:tcPr>
          <w:p w14:paraId="43189498"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 xml:space="preserve">Andrew Barnes       </w:t>
            </w:r>
          </w:p>
        </w:tc>
      </w:tr>
      <w:tr w:rsidR="006A2454" w:rsidRPr="006A2454" w14:paraId="3A21BC4E"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000000" w:fill="FFFFFF"/>
            <w:noWrap/>
            <w:vAlign w:val="bottom"/>
          </w:tcPr>
          <w:p w14:paraId="7DC4E128" w14:textId="78EC48BA"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Austrade</w:t>
            </w:r>
            <w:r w:rsidR="0071103E">
              <w:rPr>
                <w:rFonts w:ascii="Calibri" w:eastAsia="Times New Roman" w:hAnsi="Calibri" w:cs="Calibri"/>
                <w:lang w:eastAsia="en-IN"/>
              </w:rPr>
              <w:t>—</w:t>
            </w:r>
            <w:r w:rsidRPr="006A2454">
              <w:rPr>
                <w:rFonts w:ascii="Calibri" w:eastAsia="Times New Roman" w:hAnsi="Calibri" w:cs="Calibri"/>
                <w:lang w:eastAsia="en-IN"/>
              </w:rPr>
              <w:t xml:space="preserve">Pacific &amp; Timor-Leste </w:t>
            </w:r>
          </w:p>
        </w:tc>
        <w:tc>
          <w:tcPr>
            <w:tcW w:w="3398" w:type="dxa"/>
            <w:tcBorders>
              <w:top w:val="nil"/>
              <w:left w:val="nil"/>
              <w:bottom w:val="single" w:sz="8" w:space="0" w:color="881946"/>
              <w:right w:val="single" w:sz="8" w:space="0" w:color="881946"/>
            </w:tcBorders>
            <w:shd w:val="clear" w:color="auto" w:fill="auto"/>
            <w:noWrap/>
            <w:vAlign w:val="bottom"/>
          </w:tcPr>
          <w:p w14:paraId="04FEB2E5"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Adrian Weeks</w:t>
            </w:r>
          </w:p>
        </w:tc>
      </w:tr>
      <w:tr w:rsidR="006A2454" w:rsidRPr="006A2454" w14:paraId="1C7D41D9"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000000" w:fill="FFFFFF"/>
            <w:noWrap/>
            <w:vAlign w:val="bottom"/>
          </w:tcPr>
          <w:p w14:paraId="3B41D042"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Australia and New Zealand Banking Group Limited</w:t>
            </w:r>
          </w:p>
        </w:tc>
        <w:tc>
          <w:tcPr>
            <w:tcW w:w="3398" w:type="dxa"/>
            <w:tcBorders>
              <w:top w:val="nil"/>
              <w:left w:val="nil"/>
              <w:bottom w:val="single" w:sz="8" w:space="0" w:color="881946"/>
              <w:right w:val="single" w:sz="8" w:space="0" w:color="881946"/>
            </w:tcBorders>
            <w:shd w:val="clear" w:color="auto" w:fill="auto"/>
            <w:noWrap/>
            <w:vAlign w:val="bottom"/>
          </w:tcPr>
          <w:p w14:paraId="66DF383C"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Paul Richards</w:t>
            </w:r>
          </w:p>
        </w:tc>
      </w:tr>
      <w:tr w:rsidR="006A2454" w:rsidRPr="006A2454" w14:paraId="3A9FA30E"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000000" w:fill="FFFFFF"/>
            <w:noWrap/>
            <w:vAlign w:val="bottom"/>
          </w:tcPr>
          <w:p w14:paraId="0C53D277"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Australia and New Zealand Banking Group Limited</w:t>
            </w:r>
          </w:p>
        </w:tc>
        <w:tc>
          <w:tcPr>
            <w:tcW w:w="3398" w:type="dxa"/>
            <w:tcBorders>
              <w:top w:val="nil"/>
              <w:left w:val="nil"/>
              <w:bottom w:val="single" w:sz="8" w:space="0" w:color="881946"/>
              <w:right w:val="single" w:sz="8" w:space="0" w:color="881946"/>
            </w:tcBorders>
            <w:shd w:val="clear" w:color="auto" w:fill="auto"/>
            <w:noWrap/>
            <w:vAlign w:val="bottom"/>
          </w:tcPr>
          <w:p w14:paraId="06BDCE4A"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Ian Matthew</w:t>
            </w:r>
          </w:p>
        </w:tc>
      </w:tr>
      <w:tr w:rsidR="006A2454" w:rsidRPr="006A2454" w14:paraId="232284B3"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000000" w:fill="FFFFFF"/>
            <w:noWrap/>
            <w:vAlign w:val="bottom"/>
          </w:tcPr>
          <w:p w14:paraId="193F3671"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Australia and New Zealand Banking Group Limited</w:t>
            </w:r>
          </w:p>
        </w:tc>
        <w:tc>
          <w:tcPr>
            <w:tcW w:w="3398" w:type="dxa"/>
            <w:tcBorders>
              <w:top w:val="nil"/>
              <w:left w:val="nil"/>
              <w:bottom w:val="single" w:sz="8" w:space="0" w:color="881946"/>
              <w:right w:val="single" w:sz="8" w:space="0" w:color="881946"/>
            </w:tcBorders>
            <w:shd w:val="clear" w:color="auto" w:fill="auto"/>
            <w:noWrap/>
            <w:vAlign w:val="bottom"/>
          </w:tcPr>
          <w:p w14:paraId="2918452C"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 xml:space="preserve">Vishnu </w:t>
            </w:r>
            <w:proofErr w:type="spellStart"/>
            <w:r w:rsidRPr="006A2454">
              <w:rPr>
                <w:rFonts w:ascii="Calibri" w:eastAsia="Times New Roman" w:hAnsi="Calibri" w:cs="Calibri"/>
                <w:lang w:eastAsia="en-IN"/>
              </w:rPr>
              <w:t>Shahaney</w:t>
            </w:r>
            <w:proofErr w:type="spellEnd"/>
          </w:p>
        </w:tc>
      </w:tr>
      <w:tr w:rsidR="006A2454" w:rsidRPr="006A2454" w14:paraId="066B76F2"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000000" w:fill="FFFFFF"/>
            <w:noWrap/>
            <w:vAlign w:val="bottom"/>
          </w:tcPr>
          <w:p w14:paraId="7E498716"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Australia and New Zealand Banking Group Limited</w:t>
            </w:r>
          </w:p>
        </w:tc>
        <w:tc>
          <w:tcPr>
            <w:tcW w:w="3398" w:type="dxa"/>
            <w:tcBorders>
              <w:top w:val="nil"/>
              <w:left w:val="nil"/>
              <w:bottom w:val="single" w:sz="8" w:space="0" w:color="881946"/>
              <w:right w:val="single" w:sz="8" w:space="0" w:color="881946"/>
            </w:tcBorders>
            <w:shd w:val="clear" w:color="auto" w:fill="auto"/>
            <w:noWrap/>
            <w:vAlign w:val="bottom"/>
          </w:tcPr>
          <w:p w14:paraId="65D062CE"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 xml:space="preserve">Mark Fitzgerald </w:t>
            </w:r>
          </w:p>
        </w:tc>
      </w:tr>
      <w:tr w:rsidR="006A2454" w:rsidRPr="006A2454" w14:paraId="4BBBA31E"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000000" w:fill="FFFFFF"/>
            <w:noWrap/>
            <w:vAlign w:val="bottom"/>
          </w:tcPr>
          <w:p w14:paraId="63BEC9ED"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Australia and New Zealand Banking Group Limited</w:t>
            </w:r>
          </w:p>
        </w:tc>
        <w:tc>
          <w:tcPr>
            <w:tcW w:w="3398" w:type="dxa"/>
            <w:tcBorders>
              <w:top w:val="nil"/>
              <w:left w:val="nil"/>
              <w:bottom w:val="single" w:sz="8" w:space="0" w:color="881946"/>
              <w:right w:val="single" w:sz="8" w:space="0" w:color="881946"/>
            </w:tcBorders>
            <w:shd w:val="clear" w:color="auto" w:fill="auto"/>
            <w:noWrap/>
            <w:vAlign w:val="bottom"/>
          </w:tcPr>
          <w:p w14:paraId="295562CA"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 xml:space="preserve">Ronny </w:t>
            </w:r>
            <w:r w:rsidRPr="006A2454">
              <w:rPr>
                <w:rFonts w:ascii="Calibri" w:eastAsia="Times New Roman" w:hAnsi="Calibri" w:cs="Calibri"/>
                <w:shd w:val="clear" w:color="auto" w:fill="FFFFFF"/>
                <w:lang w:eastAsia="en-IN"/>
              </w:rPr>
              <w:t>FRM</w:t>
            </w:r>
          </w:p>
        </w:tc>
      </w:tr>
      <w:tr w:rsidR="006A2454" w:rsidRPr="006A2454" w14:paraId="0296F60D"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000000" w:fill="FFFFFF"/>
            <w:noWrap/>
            <w:vAlign w:val="bottom"/>
          </w:tcPr>
          <w:p w14:paraId="786D9787" w14:textId="1BAEF0B2"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Australia and New Zealand Banking Group Limited</w:t>
            </w:r>
            <w:r w:rsidR="0071103E">
              <w:rPr>
                <w:rFonts w:ascii="Calibri" w:eastAsia="Times New Roman" w:hAnsi="Calibri" w:cs="Calibri"/>
                <w:lang w:eastAsia="en-IN"/>
              </w:rPr>
              <w:t>—</w:t>
            </w:r>
            <w:r w:rsidRPr="006A2454">
              <w:rPr>
                <w:rFonts w:ascii="Calibri" w:eastAsia="Times New Roman" w:hAnsi="Calibri" w:cs="Calibri"/>
                <w:lang w:eastAsia="en-IN"/>
              </w:rPr>
              <w:t>Port Vila</w:t>
            </w:r>
          </w:p>
        </w:tc>
        <w:tc>
          <w:tcPr>
            <w:tcW w:w="3398" w:type="dxa"/>
            <w:tcBorders>
              <w:top w:val="nil"/>
              <w:left w:val="nil"/>
              <w:bottom w:val="single" w:sz="8" w:space="0" w:color="881946"/>
              <w:right w:val="single" w:sz="8" w:space="0" w:color="881946"/>
            </w:tcBorders>
            <w:shd w:val="clear" w:color="auto" w:fill="auto"/>
            <w:noWrap/>
            <w:vAlign w:val="bottom"/>
          </w:tcPr>
          <w:p w14:paraId="1F5B09E2"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Sheng Lee</w:t>
            </w:r>
          </w:p>
        </w:tc>
      </w:tr>
      <w:tr w:rsidR="006A2454" w:rsidRPr="006A2454" w14:paraId="6FF2B8A7"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000000" w:fill="FFFFFF"/>
            <w:noWrap/>
            <w:vAlign w:val="bottom"/>
          </w:tcPr>
          <w:p w14:paraId="746A071E"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Australian Council for International Development</w:t>
            </w:r>
          </w:p>
        </w:tc>
        <w:tc>
          <w:tcPr>
            <w:tcW w:w="3398" w:type="dxa"/>
            <w:tcBorders>
              <w:top w:val="nil"/>
              <w:left w:val="nil"/>
              <w:bottom w:val="single" w:sz="8" w:space="0" w:color="881946"/>
              <w:right w:val="single" w:sz="8" w:space="0" w:color="881946"/>
            </w:tcBorders>
            <w:shd w:val="clear" w:color="auto" w:fill="auto"/>
            <w:noWrap/>
            <w:vAlign w:val="center"/>
          </w:tcPr>
          <w:p w14:paraId="22A00529"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Bridi Rice</w:t>
            </w:r>
          </w:p>
        </w:tc>
      </w:tr>
      <w:tr w:rsidR="006A2454" w:rsidRPr="006A2454" w14:paraId="485F6B90"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000000" w:fill="FFFFFF"/>
            <w:noWrap/>
            <w:vAlign w:val="bottom"/>
          </w:tcPr>
          <w:p w14:paraId="4DA2D8CD"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Australian Council for International Development</w:t>
            </w:r>
          </w:p>
        </w:tc>
        <w:tc>
          <w:tcPr>
            <w:tcW w:w="3398" w:type="dxa"/>
            <w:tcBorders>
              <w:top w:val="nil"/>
              <w:left w:val="nil"/>
              <w:bottom w:val="single" w:sz="8" w:space="0" w:color="881946"/>
              <w:right w:val="single" w:sz="8" w:space="0" w:color="881946"/>
            </w:tcBorders>
            <w:shd w:val="clear" w:color="auto" w:fill="auto"/>
            <w:noWrap/>
            <w:vAlign w:val="center"/>
          </w:tcPr>
          <w:p w14:paraId="7B640D4E"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Amrita Rice</w:t>
            </w:r>
          </w:p>
        </w:tc>
      </w:tr>
      <w:tr w:rsidR="006A2454" w:rsidRPr="006A2454" w14:paraId="74D5648C"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000000" w:fill="FFFFFF"/>
            <w:noWrap/>
            <w:vAlign w:val="bottom"/>
          </w:tcPr>
          <w:p w14:paraId="0FAE4177"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Australian Council for International Development</w:t>
            </w:r>
          </w:p>
        </w:tc>
        <w:tc>
          <w:tcPr>
            <w:tcW w:w="3398" w:type="dxa"/>
            <w:tcBorders>
              <w:top w:val="nil"/>
              <w:left w:val="nil"/>
              <w:bottom w:val="single" w:sz="8" w:space="0" w:color="881946"/>
              <w:right w:val="single" w:sz="8" w:space="0" w:color="881946"/>
            </w:tcBorders>
            <w:shd w:val="clear" w:color="auto" w:fill="auto"/>
            <w:noWrap/>
            <w:vAlign w:val="center"/>
          </w:tcPr>
          <w:p w14:paraId="2B123704"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Marc Purcell</w:t>
            </w:r>
          </w:p>
        </w:tc>
      </w:tr>
      <w:tr w:rsidR="006A2454" w:rsidRPr="006A2454" w14:paraId="1B9340B5"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000000" w:fill="FFFFFF"/>
            <w:noWrap/>
            <w:vAlign w:val="bottom"/>
          </w:tcPr>
          <w:p w14:paraId="397F55BB"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 xml:space="preserve">Australian Department of Finance </w:t>
            </w:r>
          </w:p>
        </w:tc>
        <w:tc>
          <w:tcPr>
            <w:tcW w:w="3398" w:type="dxa"/>
            <w:tcBorders>
              <w:top w:val="nil"/>
              <w:left w:val="nil"/>
              <w:bottom w:val="single" w:sz="8" w:space="0" w:color="881946"/>
              <w:right w:val="single" w:sz="8" w:space="0" w:color="881946"/>
            </w:tcBorders>
            <w:shd w:val="clear" w:color="auto" w:fill="auto"/>
            <w:noWrap/>
            <w:vAlign w:val="bottom"/>
          </w:tcPr>
          <w:p w14:paraId="6508BEF9"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 xml:space="preserve">Joseph </w:t>
            </w:r>
            <w:proofErr w:type="spellStart"/>
            <w:r w:rsidRPr="006A2454">
              <w:rPr>
                <w:rFonts w:ascii="Calibri" w:eastAsia="Times New Roman" w:hAnsi="Calibri" w:cs="Calibri"/>
                <w:lang w:eastAsia="en-IN"/>
              </w:rPr>
              <w:t>Borgese</w:t>
            </w:r>
            <w:proofErr w:type="spellEnd"/>
            <w:r w:rsidRPr="006A2454">
              <w:rPr>
                <w:rFonts w:ascii="Calibri" w:eastAsia="Times New Roman" w:hAnsi="Calibri" w:cs="Calibri"/>
                <w:lang w:eastAsia="en-IN"/>
              </w:rPr>
              <w:t xml:space="preserve"> </w:t>
            </w:r>
          </w:p>
        </w:tc>
      </w:tr>
      <w:tr w:rsidR="006A2454" w:rsidRPr="006A2454" w14:paraId="0EB5297E"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000000" w:fill="FFFFFF"/>
            <w:noWrap/>
            <w:vAlign w:val="bottom"/>
          </w:tcPr>
          <w:p w14:paraId="7B2628F5"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Australian Department of Finance</w:t>
            </w:r>
          </w:p>
        </w:tc>
        <w:tc>
          <w:tcPr>
            <w:tcW w:w="3398" w:type="dxa"/>
            <w:tcBorders>
              <w:top w:val="nil"/>
              <w:left w:val="nil"/>
              <w:bottom w:val="single" w:sz="8" w:space="0" w:color="881946"/>
              <w:right w:val="single" w:sz="8" w:space="0" w:color="881946"/>
            </w:tcBorders>
            <w:shd w:val="clear" w:color="auto" w:fill="auto"/>
            <w:noWrap/>
            <w:vAlign w:val="bottom"/>
          </w:tcPr>
          <w:p w14:paraId="01FE2A9B"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Robert Lam</w:t>
            </w:r>
          </w:p>
        </w:tc>
      </w:tr>
      <w:tr w:rsidR="006A2454" w:rsidRPr="006A2454" w14:paraId="6A1F59CA"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000000" w:fill="FFFFFF"/>
            <w:noWrap/>
            <w:vAlign w:val="bottom"/>
          </w:tcPr>
          <w:p w14:paraId="57058E8E"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Australian Department of Finance</w:t>
            </w:r>
          </w:p>
        </w:tc>
        <w:tc>
          <w:tcPr>
            <w:tcW w:w="3398" w:type="dxa"/>
            <w:tcBorders>
              <w:top w:val="nil"/>
              <w:left w:val="nil"/>
              <w:bottom w:val="single" w:sz="8" w:space="0" w:color="881946"/>
              <w:right w:val="single" w:sz="8" w:space="0" w:color="881946"/>
            </w:tcBorders>
            <w:shd w:val="clear" w:color="auto" w:fill="auto"/>
            <w:noWrap/>
            <w:vAlign w:val="bottom"/>
          </w:tcPr>
          <w:p w14:paraId="0B3ACEE2" w14:textId="77777777" w:rsidR="006A2454" w:rsidRPr="006A2454" w:rsidRDefault="006A2454">
            <w:pPr>
              <w:spacing w:after="0" w:line="240" w:lineRule="auto"/>
              <w:rPr>
                <w:rFonts w:ascii="Calibri" w:eastAsia="Times New Roman" w:hAnsi="Calibri" w:cs="Calibri"/>
                <w:lang w:eastAsia="en-IN"/>
              </w:rPr>
            </w:pPr>
            <w:proofErr w:type="spellStart"/>
            <w:r w:rsidRPr="006A2454">
              <w:rPr>
                <w:rFonts w:ascii="Calibri" w:eastAsia="Times New Roman" w:hAnsi="Calibri" w:cs="Calibri"/>
                <w:lang w:eastAsia="en-IN"/>
              </w:rPr>
              <w:t>Ceinwen</w:t>
            </w:r>
            <w:proofErr w:type="spellEnd"/>
            <w:r w:rsidRPr="006A2454">
              <w:rPr>
                <w:rFonts w:ascii="Calibri" w:eastAsia="Times New Roman" w:hAnsi="Calibri" w:cs="Calibri"/>
                <w:lang w:eastAsia="en-IN"/>
              </w:rPr>
              <w:t xml:space="preserve"> Hiscock </w:t>
            </w:r>
          </w:p>
        </w:tc>
      </w:tr>
      <w:tr w:rsidR="006A2454" w:rsidRPr="006A2454" w14:paraId="61D83C2E"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000000" w:fill="FFFFFF"/>
            <w:noWrap/>
            <w:vAlign w:val="bottom"/>
          </w:tcPr>
          <w:p w14:paraId="4FC4823C"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Australian Department of Finance</w:t>
            </w:r>
          </w:p>
        </w:tc>
        <w:tc>
          <w:tcPr>
            <w:tcW w:w="3398" w:type="dxa"/>
            <w:tcBorders>
              <w:top w:val="nil"/>
              <w:left w:val="nil"/>
              <w:bottom w:val="single" w:sz="8" w:space="0" w:color="881946"/>
              <w:right w:val="single" w:sz="8" w:space="0" w:color="881946"/>
            </w:tcBorders>
            <w:shd w:val="clear" w:color="auto" w:fill="auto"/>
            <w:noWrap/>
            <w:vAlign w:val="bottom"/>
          </w:tcPr>
          <w:p w14:paraId="40C50832"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Melissa Pan</w:t>
            </w:r>
          </w:p>
        </w:tc>
      </w:tr>
      <w:tr w:rsidR="006A2454" w:rsidRPr="006A2454" w14:paraId="56064947"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000000" w:fill="FFFFFF"/>
            <w:noWrap/>
            <w:vAlign w:val="bottom"/>
          </w:tcPr>
          <w:p w14:paraId="3F899EA2"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Australian Department of Finance</w:t>
            </w:r>
          </w:p>
        </w:tc>
        <w:tc>
          <w:tcPr>
            <w:tcW w:w="3398" w:type="dxa"/>
            <w:tcBorders>
              <w:top w:val="nil"/>
              <w:left w:val="nil"/>
              <w:bottom w:val="single" w:sz="8" w:space="0" w:color="881946"/>
              <w:right w:val="single" w:sz="8" w:space="0" w:color="881946"/>
            </w:tcBorders>
            <w:shd w:val="clear" w:color="auto" w:fill="auto"/>
            <w:noWrap/>
            <w:vAlign w:val="bottom"/>
          </w:tcPr>
          <w:p w14:paraId="1D97723D"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Marina Kim</w:t>
            </w:r>
          </w:p>
        </w:tc>
      </w:tr>
      <w:tr w:rsidR="006A2454" w:rsidRPr="006A2454" w14:paraId="7554D077"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000000" w:fill="FFFFFF"/>
            <w:noWrap/>
            <w:vAlign w:val="bottom"/>
          </w:tcPr>
          <w:p w14:paraId="4A360EB2"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Australian Department of Finance</w:t>
            </w:r>
          </w:p>
        </w:tc>
        <w:tc>
          <w:tcPr>
            <w:tcW w:w="3398" w:type="dxa"/>
            <w:tcBorders>
              <w:top w:val="nil"/>
              <w:left w:val="nil"/>
              <w:bottom w:val="single" w:sz="8" w:space="0" w:color="881946"/>
              <w:right w:val="single" w:sz="8" w:space="0" w:color="881946"/>
            </w:tcBorders>
            <w:shd w:val="clear" w:color="auto" w:fill="auto"/>
            <w:noWrap/>
            <w:vAlign w:val="bottom"/>
          </w:tcPr>
          <w:p w14:paraId="16DE9DB4"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Daniel Featherston</w:t>
            </w:r>
          </w:p>
        </w:tc>
      </w:tr>
      <w:tr w:rsidR="006A2454" w:rsidRPr="006A2454" w14:paraId="2FBA50CA"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000000" w:fill="FFFFFF"/>
            <w:noWrap/>
            <w:vAlign w:val="bottom"/>
          </w:tcPr>
          <w:p w14:paraId="51CE4969"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Australian Department of Finance</w:t>
            </w:r>
          </w:p>
        </w:tc>
        <w:tc>
          <w:tcPr>
            <w:tcW w:w="3398" w:type="dxa"/>
            <w:tcBorders>
              <w:top w:val="nil"/>
              <w:left w:val="nil"/>
              <w:bottom w:val="single" w:sz="8" w:space="0" w:color="881946"/>
              <w:right w:val="single" w:sz="8" w:space="0" w:color="881946"/>
            </w:tcBorders>
            <w:shd w:val="clear" w:color="auto" w:fill="auto"/>
            <w:noWrap/>
            <w:vAlign w:val="bottom"/>
          </w:tcPr>
          <w:p w14:paraId="71E31570"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Alex Chu</w:t>
            </w:r>
          </w:p>
        </w:tc>
      </w:tr>
      <w:tr w:rsidR="006A2454" w:rsidRPr="006A2454" w14:paraId="0D9A7921"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000000" w:fill="FFFFFF"/>
            <w:noWrap/>
            <w:vAlign w:val="bottom"/>
          </w:tcPr>
          <w:p w14:paraId="19BA2CD4"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Australian Department of Finance</w:t>
            </w:r>
          </w:p>
        </w:tc>
        <w:tc>
          <w:tcPr>
            <w:tcW w:w="3398" w:type="dxa"/>
            <w:tcBorders>
              <w:top w:val="nil"/>
              <w:left w:val="nil"/>
              <w:bottom w:val="single" w:sz="8" w:space="0" w:color="881946"/>
              <w:right w:val="single" w:sz="8" w:space="0" w:color="881946"/>
            </w:tcBorders>
            <w:shd w:val="clear" w:color="auto" w:fill="auto"/>
            <w:noWrap/>
            <w:vAlign w:val="bottom"/>
          </w:tcPr>
          <w:p w14:paraId="16567385"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 xml:space="preserve">Shaun Bagley </w:t>
            </w:r>
          </w:p>
        </w:tc>
      </w:tr>
      <w:tr w:rsidR="006A2454" w:rsidRPr="006A2454" w14:paraId="6E5D2BD7"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000000" w:fill="FFFFFF"/>
            <w:noWrap/>
            <w:vAlign w:val="bottom"/>
          </w:tcPr>
          <w:p w14:paraId="7A25A939"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Australian Department of the Prime Minister and Cabinet</w:t>
            </w:r>
          </w:p>
        </w:tc>
        <w:tc>
          <w:tcPr>
            <w:tcW w:w="3398" w:type="dxa"/>
            <w:tcBorders>
              <w:top w:val="nil"/>
              <w:left w:val="nil"/>
              <w:bottom w:val="single" w:sz="8" w:space="0" w:color="881946"/>
              <w:right w:val="single" w:sz="8" w:space="0" w:color="881946"/>
            </w:tcBorders>
            <w:shd w:val="clear" w:color="auto" w:fill="auto"/>
            <w:noWrap/>
            <w:vAlign w:val="bottom"/>
          </w:tcPr>
          <w:p w14:paraId="11D9DF6E"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Michael Carnahan</w:t>
            </w:r>
          </w:p>
        </w:tc>
      </w:tr>
      <w:tr w:rsidR="006A2454" w:rsidRPr="006A2454" w14:paraId="7D80E5AF"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000000" w:fill="FFFFFF"/>
            <w:noWrap/>
            <w:vAlign w:val="bottom"/>
          </w:tcPr>
          <w:p w14:paraId="0767CFBE"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Australian Department of the Treasury</w:t>
            </w:r>
          </w:p>
        </w:tc>
        <w:tc>
          <w:tcPr>
            <w:tcW w:w="3398" w:type="dxa"/>
            <w:tcBorders>
              <w:top w:val="nil"/>
              <w:left w:val="nil"/>
              <w:bottom w:val="single" w:sz="8" w:space="0" w:color="881946"/>
              <w:right w:val="single" w:sz="8" w:space="0" w:color="881946"/>
            </w:tcBorders>
            <w:shd w:val="clear" w:color="auto" w:fill="auto"/>
            <w:noWrap/>
            <w:vAlign w:val="center"/>
          </w:tcPr>
          <w:p w14:paraId="34997095"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Megan Hardy</w:t>
            </w:r>
          </w:p>
        </w:tc>
      </w:tr>
      <w:tr w:rsidR="006A2454" w:rsidRPr="006A2454" w14:paraId="5E3A7633"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000000" w:fill="FFFFFF"/>
            <w:noWrap/>
            <w:vAlign w:val="bottom"/>
          </w:tcPr>
          <w:p w14:paraId="54F85772"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Australian Department of the Treasury</w:t>
            </w:r>
          </w:p>
        </w:tc>
        <w:tc>
          <w:tcPr>
            <w:tcW w:w="3398" w:type="dxa"/>
            <w:tcBorders>
              <w:top w:val="nil"/>
              <w:left w:val="nil"/>
              <w:bottom w:val="single" w:sz="8" w:space="0" w:color="881946"/>
              <w:right w:val="single" w:sz="8" w:space="0" w:color="881946"/>
            </w:tcBorders>
            <w:shd w:val="clear" w:color="auto" w:fill="auto"/>
            <w:noWrap/>
            <w:vAlign w:val="center"/>
          </w:tcPr>
          <w:p w14:paraId="563F8768"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 xml:space="preserve">Peter </w:t>
            </w:r>
            <w:proofErr w:type="spellStart"/>
            <w:r w:rsidRPr="006A2454">
              <w:rPr>
                <w:rFonts w:ascii="Calibri" w:eastAsia="Times New Roman" w:hAnsi="Calibri" w:cs="Calibri"/>
                <w:lang w:eastAsia="en-IN"/>
              </w:rPr>
              <w:t>Depta</w:t>
            </w:r>
            <w:proofErr w:type="spellEnd"/>
          </w:p>
        </w:tc>
      </w:tr>
      <w:tr w:rsidR="006A2454" w:rsidRPr="006A2454" w14:paraId="1F945CBF"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000000" w:fill="FFFFFF"/>
            <w:noWrap/>
            <w:vAlign w:val="bottom"/>
          </w:tcPr>
          <w:p w14:paraId="03D55F11"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Australian Department of the Treasury</w:t>
            </w:r>
          </w:p>
        </w:tc>
        <w:tc>
          <w:tcPr>
            <w:tcW w:w="3398" w:type="dxa"/>
            <w:tcBorders>
              <w:top w:val="nil"/>
              <w:left w:val="nil"/>
              <w:bottom w:val="single" w:sz="8" w:space="0" w:color="881946"/>
              <w:right w:val="single" w:sz="8" w:space="0" w:color="881946"/>
            </w:tcBorders>
            <w:shd w:val="clear" w:color="auto" w:fill="auto"/>
            <w:noWrap/>
            <w:vAlign w:val="bottom"/>
          </w:tcPr>
          <w:p w14:paraId="2BACCF2B"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Jane Gordon</w:t>
            </w:r>
          </w:p>
        </w:tc>
      </w:tr>
    </w:tbl>
    <w:p w14:paraId="385031E9" w14:textId="77777777" w:rsidR="00CA4549" w:rsidRDefault="00CA4549">
      <w:r>
        <w:br w:type="page"/>
      </w:r>
    </w:p>
    <w:tbl>
      <w:tblPr>
        <w:tblW w:w="9006" w:type="dxa"/>
        <w:tblLook w:val="04A0" w:firstRow="1" w:lastRow="0" w:firstColumn="1" w:lastColumn="0" w:noHBand="0" w:noVBand="1"/>
      </w:tblPr>
      <w:tblGrid>
        <w:gridCol w:w="5608"/>
        <w:gridCol w:w="3398"/>
      </w:tblGrid>
      <w:tr w:rsidR="006A2454" w:rsidRPr="006A2454" w14:paraId="508B8DBA" w14:textId="77777777" w:rsidTr="00B46545">
        <w:trPr>
          <w:trHeight w:val="315"/>
          <w:tblHeader/>
        </w:trPr>
        <w:tc>
          <w:tcPr>
            <w:tcW w:w="5608" w:type="dxa"/>
            <w:tcBorders>
              <w:top w:val="nil"/>
              <w:left w:val="single" w:sz="8" w:space="0" w:color="881946"/>
              <w:bottom w:val="single" w:sz="8" w:space="0" w:color="881946"/>
              <w:right w:val="single" w:sz="8" w:space="0" w:color="881946"/>
            </w:tcBorders>
            <w:shd w:val="clear" w:color="auto" w:fill="88194B"/>
            <w:noWrap/>
          </w:tcPr>
          <w:p w14:paraId="61DD6994" w14:textId="1094D230" w:rsidR="006A2454" w:rsidRPr="006A2454" w:rsidRDefault="006A2454" w:rsidP="000811AE">
            <w:pPr>
              <w:spacing w:after="0" w:line="240" w:lineRule="auto"/>
              <w:jc w:val="center"/>
              <w:rPr>
                <w:rFonts w:ascii="Calibri" w:eastAsia="Times New Roman" w:hAnsi="Calibri" w:cs="Calibri"/>
                <w:lang w:eastAsia="en-IN"/>
              </w:rPr>
            </w:pPr>
            <w:r w:rsidRPr="006A2454">
              <w:rPr>
                <w:rFonts w:ascii="Calibri" w:eastAsia="Times New Roman" w:hAnsi="Calibri" w:cs="Calibri"/>
                <w:color w:val="FFFFFF"/>
                <w:lang w:eastAsia="en-IN"/>
              </w:rPr>
              <w:lastRenderedPageBreak/>
              <w:t>Organisation Consulted</w:t>
            </w:r>
          </w:p>
        </w:tc>
        <w:tc>
          <w:tcPr>
            <w:tcW w:w="3398" w:type="dxa"/>
            <w:tcBorders>
              <w:top w:val="nil"/>
              <w:left w:val="nil"/>
              <w:bottom w:val="single" w:sz="8" w:space="0" w:color="881946"/>
              <w:right w:val="single" w:sz="8" w:space="0" w:color="881946"/>
            </w:tcBorders>
            <w:shd w:val="clear" w:color="auto" w:fill="88194B"/>
            <w:noWrap/>
          </w:tcPr>
          <w:p w14:paraId="06283BD2" w14:textId="77777777" w:rsidR="006A2454" w:rsidRPr="006A2454" w:rsidRDefault="006A2454">
            <w:pPr>
              <w:spacing w:after="0" w:line="240" w:lineRule="auto"/>
              <w:jc w:val="center"/>
              <w:rPr>
                <w:rFonts w:ascii="Calibri" w:eastAsia="Times New Roman" w:hAnsi="Calibri" w:cs="Calibri"/>
                <w:lang w:eastAsia="en-IN"/>
              </w:rPr>
            </w:pPr>
            <w:r w:rsidRPr="006A2454">
              <w:rPr>
                <w:rFonts w:ascii="Calibri" w:eastAsia="Times New Roman" w:hAnsi="Calibri" w:cs="Calibri"/>
                <w:color w:val="FFFFFF"/>
                <w:lang w:eastAsia="en-IN"/>
              </w:rPr>
              <w:t>Name of Individual</w:t>
            </w:r>
          </w:p>
        </w:tc>
      </w:tr>
      <w:tr w:rsidR="006A2454" w:rsidRPr="006A2454" w14:paraId="7B7DDE25"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000000" w:fill="FFFFFF"/>
            <w:noWrap/>
            <w:vAlign w:val="bottom"/>
          </w:tcPr>
          <w:p w14:paraId="14C8F961" w14:textId="4552FDE8"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Australian Embassy</w:t>
            </w:r>
            <w:r w:rsidR="0071103E">
              <w:rPr>
                <w:rFonts w:ascii="Calibri" w:eastAsia="Times New Roman" w:hAnsi="Calibri" w:cs="Calibri"/>
                <w:lang w:eastAsia="en-IN"/>
              </w:rPr>
              <w:t>—</w:t>
            </w:r>
            <w:r w:rsidRPr="006A2454">
              <w:rPr>
                <w:rFonts w:ascii="Calibri" w:eastAsia="Times New Roman" w:hAnsi="Calibri" w:cs="Calibri"/>
                <w:lang w:eastAsia="en-IN"/>
              </w:rPr>
              <w:t>Washington D.C.</w:t>
            </w:r>
          </w:p>
        </w:tc>
        <w:tc>
          <w:tcPr>
            <w:tcW w:w="3398" w:type="dxa"/>
            <w:tcBorders>
              <w:top w:val="nil"/>
              <w:left w:val="nil"/>
              <w:bottom w:val="single" w:sz="8" w:space="0" w:color="881946"/>
              <w:right w:val="single" w:sz="8" w:space="0" w:color="881946"/>
            </w:tcBorders>
            <w:shd w:val="clear" w:color="auto" w:fill="auto"/>
            <w:noWrap/>
            <w:vAlign w:val="bottom"/>
          </w:tcPr>
          <w:p w14:paraId="7D13CBC9"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 xml:space="preserve">Tyler Jensen </w:t>
            </w:r>
          </w:p>
        </w:tc>
      </w:tr>
      <w:tr w:rsidR="006A2454" w:rsidRPr="006A2454" w14:paraId="437D7E2A"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000000" w:fill="FFFFFF"/>
            <w:noWrap/>
            <w:vAlign w:val="bottom"/>
          </w:tcPr>
          <w:p w14:paraId="26C022A9"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 xml:space="preserve">Australian Super </w:t>
            </w:r>
          </w:p>
        </w:tc>
        <w:tc>
          <w:tcPr>
            <w:tcW w:w="3398" w:type="dxa"/>
            <w:tcBorders>
              <w:top w:val="nil"/>
              <w:left w:val="nil"/>
              <w:bottom w:val="single" w:sz="8" w:space="0" w:color="881946"/>
              <w:right w:val="single" w:sz="8" w:space="0" w:color="881946"/>
            </w:tcBorders>
            <w:shd w:val="clear" w:color="auto" w:fill="auto"/>
            <w:noWrap/>
            <w:vAlign w:val="bottom"/>
          </w:tcPr>
          <w:p w14:paraId="33FE728E"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 xml:space="preserve">Nik Kemp </w:t>
            </w:r>
          </w:p>
        </w:tc>
      </w:tr>
      <w:tr w:rsidR="006A2454" w:rsidRPr="006A2454" w14:paraId="7BA1A8D6"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auto" w:fill="auto"/>
            <w:noWrap/>
            <w:vAlign w:val="bottom"/>
          </w:tcPr>
          <w:p w14:paraId="405DDD29"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Australia-PNG Business Council</w:t>
            </w:r>
          </w:p>
        </w:tc>
        <w:tc>
          <w:tcPr>
            <w:tcW w:w="3398" w:type="dxa"/>
            <w:tcBorders>
              <w:top w:val="nil"/>
              <w:left w:val="nil"/>
              <w:bottom w:val="single" w:sz="8" w:space="0" w:color="881946"/>
              <w:right w:val="single" w:sz="8" w:space="0" w:color="881946"/>
            </w:tcBorders>
            <w:shd w:val="clear" w:color="auto" w:fill="auto"/>
            <w:noWrap/>
            <w:vAlign w:val="bottom"/>
          </w:tcPr>
          <w:p w14:paraId="6BFA47CE" w14:textId="77777777" w:rsidR="006A2454" w:rsidRPr="006A2454" w:rsidRDefault="006A2454">
            <w:pPr>
              <w:spacing w:after="0" w:line="240" w:lineRule="auto"/>
              <w:rPr>
                <w:rFonts w:ascii="Calibri" w:eastAsia="Times New Roman" w:hAnsi="Calibri" w:cs="Calibri"/>
                <w:lang w:eastAsia="en-IN"/>
              </w:rPr>
            </w:pPr>
            <w:proofErr w:type="spellStart"/>
            <w:r w:rsidRPr="006A2454">
              <w:rPr>
                <w:rFonts w:ascii="Calibri" w:eastAsia="Times New Roman" w:hAnsi="Calibri" w:cs="Calibri"/>
                <w:lang w:eastAsia="en-IN"/>
              </w:rPr>
              <w:t>Materua</w:t>
            </w:r>
            <w:proofErr w:type="spellEnd"/>
            <w:r w:rsidRPr="006A2454">
              <w:rPr>
                <w:rFonts w:ascii="Calibri" w:eastAsia="Times New Roman" w:hAnsi="Calibri" w:cs="Calibri"/>
                <w:lang w:eastAsia="en-IN"/>
              </w:rPr>
              <w:t xml:space="preserve"> </w:t>
            </w:r>
            <w:proofErr w:type="spellStart"/>
            <w:r w:rsidRPr="006A2454">
              <w:rPr>
                <w:rFonts w:ascii="Calibri" w:eastAsia="Times New Roman" w:hAnsi="Calibri" w:cs="Calibri"/>
                <w:lang w:eastAsia="en-IN"/>
              </w:rPr>
              <w:t>Tamerua</w:t>
            </w:r>
            <w:proofErr w:type="spellEnd"/>
          </w:p>
        </w:tc>
      </w:tr>
      <w:tr w:rsidR="006A2454" w:rsidRPr="006A2454" w14:paraId="64EFA450"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000000" w:fill="FFFFFF"/>
            <w:noWrap/>
          </w:tcPr>
          <w:p w14:paraId="03D71574"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Bank Central Asia</w:t>
            </w:r>
          </w:p>
        </w:tc>
        <w:tc>
          <w:tcPr>
            <w:tcW w:w="3398" w:type="dxa"/>
            <w:tcBorders>
              <w:top w:val="nil"/>
              <w:left w:val="nil"/>
              <w:bottom w:val="single" w:sz="8" w:space="0" w:color="881946"/>
              <w:right w:val="single" w:sz="8" w:space="0" w:color="881946"/>
            </w:tcBorders>
            <w:shd w:val="clear" w:color="000000" w:fill="FFFFFF"/>
            <w:noWrap/>
            <w:vAlign w:val="bottom"/>
          </w:tcPr>
          <w:p w14:paraId="6D5EB26B"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Jahja Setia</w:t>
            </w:r>
          </w:p>
        </w:tc>
      </w:tr>
      <w:tr w:rsidR="006A2454" w:rsidRPr="006A2454" w14:paraId="623EAECE"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000000" w:fill="FFFFFF"/>
            <w:noWrap/>
          </w:tcPr>
          <w:p w14:paraId="587F6B33"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Bank Central Asia</w:t>
            </w:r>
          </w:p>
        </w:tc>
        <w:tc>
          <w:tcPr>
            <w:tcW w:w="3398" w:type="dxa"/>
            <w:tcBorders>
              <w:top w:val="nil"/>
              <w:left w:val="nil"/>
              <w:bottom w:val="single" w:sz="8" w:space="0" w:color="881946"/>
              <w:right w:val="single" w:sz="8" w:space="0" w:color="881946"/>
            </w:tcBorders>
            <w:shd w:val="clear" w:color="000000" w:fill="FFFFFF"/>
            <w:noWrap/>
            <w:vAlign w:val="bottom"/>
          </w:tcPr>
          <w:p w14:paraId="2B407113"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Armand Hartono</w:t>
            </w:r>
          </w:p>
        </w:tc>
      </w:tr>
      <w:tr w:rsidR="006A2454" w:rsidRPr="006A2454" w14:paraId="4F6E9C7C"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auto" w:fill="auto"/>
            <w:noWrap/>
            <w:vAlign w:val="bottom"/>
          </w:tcPr>
          <w:p w14:paraId="19C50AED"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Bank of PNG</w:t>
            </w:r>
          </w:p>
        </w:tc>
        <w:tc>
          <w:tcPr>
            <w:tcW w:w="3398" w:type="dxa"/>
            <w:tcBorders>
              <w:top w:val="nil"/>
              <w:left w:val="nil"/>
              <w:bottom w:val="single" w:sz="8" w:space="0" w:color="881946"/>
              <w:right w:val="single" w:sz="8" w:space="0" w:color="881946"/>
            </w:tcBorders>
            <w:shd w:val="clear" w:color="auto" w:fill="auto"/>
            <w:noWrap/>
            <w:vAlign w:val="bottom"/>
          </w:tcPr>
          <w:p w14:paraId="3740E3C4" w14:textId="77777777" w:rsidR="006A2454" w:rsidRPr="006A2454" w:rsidRDefault="006A2454">
            <w:pPr>
              <w:spacing w:after="0" w:line="240" w:lineRule="auto"/>
              <w:rPr>
                <w:rFonts w:ascii="Calibri" w:eastAsia="Times New Roman" w:hAnsi="Calibri" w:cs="Calibri"/>
                <w:lang w:eastAsia="en-IN"/>
              </w:rPr>
            </w:pPr>
            <w:proofErr w:type="spellStart"/>
            <w:r w:rsidRPr="006A2454">
              <w:rPr>
                <w:rFonts w:ascii="Calibri" w:eastAsia="Times New Roman" w:hAnsi="Calibri" w:cs="Calibri"/>
                <w:lang w:eastAsia="en-IN"/>
              </w:rPr>
              <w:t>Loi</w:t>
            </w:r>
            <w:proofErr w:type="spellEnd"/>
            <w:r w:rsidRPr="006A2454">
              <w:rPr>
                <w:rFonts w:ascii="Calibri" w:eastAsia="Times New Roman" w:hAnsi="Calibri" w:cs="Calibri"/>
                <w:lang w:eastAsia="en-IN"/>
              </w:rPr>
              <w:t xml:space="preserve"> </w:t>
            </w:r>
            <w:proofErr w:type="spellStart"/>
            <w:r w:rsidRPr="006A2454">
              <w:rPr>
                <w:rFonts w:ascii="Calibri" w:eastAsia="Times New Roman" w:hAnsi="Calibri" w:cs="Calibri"/>
                <w:lang w:eastAsia="en-IN"/>
              </w:rPr>
              <w:t>Bakani</w:t>
            </w:r>
            <w:proofErr w:type="spellEnd"/>
          </w:p>
        </w:tc>
      </w:tr>
      <w:tr w:rsidR="006A2454" w:rsidRPr="006A2454" w14:paraId="1D227EE5"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auto" w:fill="auto"/>
            <w:noWrap/>
            <w:vAlign w:val="bottom"/>
          </w:tcPr>
          <w:p w14:paraId="6176296C"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Bank of South Pacific</w:t>
            </w:r>
          </w:p>
        </w:tc>
        <w:tc>
          <w:tcPr>
            <w:tcW w:w="3398" w:type="dxa"/>
            <w:tcBorders>
              <w:top w:val="nil"/>
              <w:left w:val="nil"/>
              <w:bottom w:val="single" w:sz="8" w:space="0" w:color="881946"/>
              <w:right w:val="single" w:sz="8" w:space="0" w:color="881946"/>
            </w:tcBorders>
            <w:shd w:val="clear" w:color="auto" w:fill="auto"/>
            <w:noWrap/>
            <w:vAlign w:val="bottom"/>
          </w:tcPr>
          <w:p w14:paraId="0D1FEF0D"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Jonathan Prince</w:t>
            </w:r>
          </w:p>
        </w:tc>
      </w:tr>
      <w:tr w:rsidR="006A2454" w:rsidRPr="006A2454" w14:paraId="1A3A4102"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000000" w:fill="FFFFFF"/>
            <w:noWrap/>
          </w:tcPr>
          <w:p w14:paraId="4F6AE15F"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 xml:space="preserve">Bank Rakyat Indonesia </w:t>
            </w:r>
          </w:p>
        </w:tc>
        <w:tc>
          <w:tcPr>
            <w:tcW w:w="3398" w:type="dxa"/>
            <w:tcBorders>
              <w:top w:val="nil"/>
              <w:left w:val="nil"/>
              <w:bottom w:val="single" w:sz="8" w:space="0" w:color="881946"/>
              <w:right w:val="single" w:sz="8" w:space="0" w:color="881946"/>
            </w:tcBorders>
            <w:shd w:val="clear" w:color="000000" w:fill="FFFFFF"/>
            <w:noWrap/>
            <w:vAlign w:val="bottom"/>
          </w:tcPr>
          <w:p w14:paraId="5254CC9B"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 xml:space="preserve">Yuli </w:t>
            </w:r>
            <w:proofErr w:type="spellStart"/>
            <w:r w:rsidRPr="006A2454">
              <w:rPr>
                <w:rFonts w:ascii="Calibri" w:eastAsia="Times New Roman" w:hAnsi="Calibri" w:cs="Calibri"/>
                <w:lang w:eastAsia="en-IN"/>
              </w:rPr>
              <w:t>Norita</w:t>
            </w:r>
            <w:proofErr w:type="spellEnd"/>
            <w:r w:rsidRPr="006A2454">
              <w:rPr>
                <w:rFonts w:ascii="Calibri" w:eastAsia="Times New Roman" w:hAnsi="Calibri" w:cs="Calibri"/>
                <w:lang w:eastAsia="en-IN"/>
              </w:rPr>
              <w:t xml:space="preserve"> Sari Putri</w:t>
            </w:r>
          </w:p>
        </w:tc>
      </w:tr>
      <w:tr w:rsidR="006A2454" w:rsidRPr="006A2454" w14:paraId="2C5259F7"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000000" w:fill="FFFFFF"/>
            <w:noWrap/>
          </w:tcPr>
          <w:p w14:paraId="47DCB661"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Bank Rakyat Indonesia</w:t>
            </w:r>
          </w:p>
        </w:tc>
        <w:tc>
          <w:tcPr>
            <w:tcW w:w="3398" w:type="dxa"/>
            <w:tcBorders>
              <w:top w:val="nil"/>
              <w:left w:val="nil"/>
              <w:bottom w:val="single" w:sz="8" w:space="0" w:color="881946"/>
              <w:right w:val="single" w:sz="8" w:space="0" w:color="881946"/>
            </w:tcBorders>
            <w:shd w:val="clear" w:color="000000" w:fill="FFFFFF"/>
            <w:noWrap/>
            <w:vAlign w:val="bottom"/>
          </w:tcPr>
          <w:p w14:paraId="794D7A1B" w14:textId="77777777" w:rsidR="006A2454" w:rsidRPr="006A2454" w:rsidRDefault="006A2454">
            <w:pPr>
              <w:spacing w:after="0" w:line="240" w:lineRule="auto"/>
              <w:rPr>
                <w:rFonts w:ascii="Calibri" w:eastAsia="Times New Roman" w:hAnsi="Calibri" w:cs="Calibri"/>
                <w:lang w:eastAsia="en-IN"/>
              </w:rPr>
            </w:pPr>
            <w:proofErr w:type="spellStart"/>
            <w:r w:rsidRPr="006A2454">
              <w:rPr>
                <w:rFonts w:ascii="Calibri" w:eastAsia="Times New Roman" w:hAnsi="Calibri" w:cs="Calibri"/>
                <w:lang w:eastAsia="en-IN"/>
              </w:rPr>
              <w:t>Mikke</w:t>
            </w:r>
            <w:proofErr w:type="spellEnd"/>
            <w:r w:rsidRPr="006A2454">
              <w:rPr>
                <w:rFonts w:ascii="Calibri" w:eastAsia="Times New Roman" w:hAnsi="Calibri" w:cs="Calibri"/>
                <w:lang w:eastAsia="en-IN"/>
              </w:rPr>
              <w:t xml:space="preserve"> </w:t>
            </w:r>
            <w:proofErr w:type="spellStart"/>
            <w:r w:rsidRPr="006A2454">
              <w:rPr>
                <w:rFonts w:ascii="Calibri" w:eastAsia="Times New Roman" w:hAnsi="Calibri" w:cs="Calibri"/>
                <w:lang w:eastAsia="en-IN"/>
              </w:rPr>
              <w:t>Mahamita</w:t>
            </w:r>
            <w:proofErr w:type="spellEnd"/>
            <w:r w:rsidRPr="006A2454">
              <w:rPr>
                <w:rFonts w:ascii="Calibri" w:eastAsia="Times New Roman" w:hAnsi="Calibri" w:cs="Calibri"/>
                <w:lang w:eastAsia="en-IN"/>
              </w:rPr>
              <w:t xml:space="preserve"> R</w:t>
            </w:r>
          </w:p>
        </w:tc>
      </w:tr>
      <w:tr w:rsidR="006A2454" w:rsidRPr="006A2454" w14:paraId="69E1E899"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000000" w:fill="FFFFFF"/>
            <w:noWrap/>
          </w:tcPr>
          <w:p w14:paraId="6E5231D1"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 xml:space="preserve">Bank Rakyat Indonesia </w:t>
            </w:r>
          </w:p>
        </w:tc>
        <w:tc>
          <w:tcPr>
            <w:tcW w:w="3398" w:type="dxa"/>
            <w:tcBorders>
              <w:top w:val="nil"/>
              <w:left w:val="nil"/>
              <w:bottom w:val="single" w:sz="8" w:space="0" w:color="881946"/>
              <w:right w:val="single" w:sz="8" w:space="0" w:color="881946"/>
            </w:tcBorders>
            <w:shd w:val="clear" w:color="000000" w:fill="FFFFFF"/>
            <w:vAlign w:val="bottom"/>
          </w:tcPr>
          <w:p w14:paraId="624E1E01" w14:textId="77777777" w:rsidR="006A2454" w:rsidRPr="006A2454" w:rsidRDefault="006A2454">
            <w:pPr>
              <w:spacing w:after="0" w:line="240" w:lineRule="auto"/>
              <w:rPr>
                <w:rFonts w:ascii="Calibri" w:eastAsia="Times New Roman" w:hAnsi="Calibri" w:cs="Calibri"/>
                <w:lang w:eastAsia="en-IN"/>
              </w:rPr>
            </w:pPr>
            <w:proofErr w:type="spellStart"/>
            <w:r w:rsidRPr="006A2454">
              <w:rPr>
                <w:rFonts w:ascii="Calibri" w:eastAsia="Times New Roman" w:hAnsi="Calibri" w:cs="Calibri"/>
                <w:lang w:eastAsia="en-IN"/>
              </w:rPr>
              <w:t>Achmad</w:t>
            </w:r>
            <w:proofErr w:type="spellEnd"/>
            <w:r w:rsidRPr="006A2454">
              <w:rPr>
                <w:rFonts w:ascii="Calibri" w:eastAsia="Times New Roman" w:hAnsi="Calibri" w:cs="Calibri"/>
                <w:lang w:eastAsia="en-IN"/>
              </w:rPr>
              <w:t xml:space="preserve"> </w:t>
            </w:r>
            <w:proofErr w:type="spellStart"/>
            <w:r w:rsidRPr="006A2454">
              <w:rPr>
                <w:rFonts w:ascii="Calibri" w:eastAsia="Times New Roman" w:hAnsi="Calibri" w:cs="Calibri"/>
                <w:lang w:eastAsia="en-IN"/>
              </w:rPr>
              <w:t>Royadi</w:t>
            </w:r>
            <w:proofErr w:type="spellEnd"/>
          </w:p>
        </w:tc>
      </w:tr>
      <w:tr w:rsidR="006A2454" w:rsidRPr="006A2454" w14:paraId="79D5611A"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000000" w:fill="FFFFFF"/>
            <w:noWrap/>
          </w:tcPr>
          <w:p w14:paraId="1AA5266D" w14:textId="77777777" w:rsidR="006A2454" w:rsidRPr="006A2454" w:rsidRDefault="006A2454" w:rsidP="000811AE">
            <w:pPr>
              <w:spacing w:after="0" w:line="240" w:lineRule="auto"/>
              <w:rPr>
                <w:rFonts w:ascii="Calibri" w:eastAsia="Times New Roman" w:hAnsi="Calibri" w:cs="Calibri"/>
                <w:lang w:eastAsia="en-IN"/>
              </w:rPr>
            </w:pPr>
            <w:proofErr w:type="spellStart"/>
            <w:r w:rsidRPr="006A2454">
              <w:rPr>
                <w:rFonts w:ascii="Calibri" w:eastAsia="Times New Roman" w:hAnsi="Calibri" w:cs="Calibri"/>
                <w:lang w:eastAsia="en-IN"/>
              </w:rPr>
              <w:t>Bappenas</w:t>
            </w:r>
            <w:proofErr w:type="spellEnd"/>
          </w:p>
        </w:tc>
        <w:tc>
          <w:tcPr>
            <w:tcW w:w="3398" w:type="dxa"/>
            <w:tcBorders>
              <w:top w:val="nil"/>
              <w:left w:val="nil"/>
              <w:bottom w:val="single" w:sz="8" w:space="0" w:color="881946"/>
              <w:right w:val="single" w:sz="8" w:space="0" w:color="881946"/>
            </w:tcBorders>
            <w:shd w:val="clear" w:color="000000" w:fill="FFFFFF"/>
            <w:vAlign w:val="bottom"/>
          </w:tcPr>
          <w:p w14:paraId="4CBFEC34"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 xml:space="preserve">Amalia </w:t>
            </w:r>
            <w:proofErr w:type="spellStart"/>
            <w:r w:rsidRPr="006A2454">
              <w:rPr>
                <w:rFonts w:ascii="Calibri" w:eastAsia="Times New Roman" w:hAnsi="Calibri" w:cs="Calibri"/>
                <w:lang w:eastAsia="en-IN"/>
              </w:rPr>
              <w:t>Widyasanti</w:t>
            </w:r>
            <w:proofErr w:type="spellEnd"/>
          </w:p>
        </w:tc>
      </w:tr>
      <w:tr w:rsidR="006A2454" w:rsidRPr="006A2454" w14:paraId="798BA822"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000000" w:fill="FFFFFF"/>
            <w:noWrap/>
          </w:tcPr>
          <w:p w14:paraId="09FB16F6" w14:textId="77777777" w:rsidR="006A2454" w:rsidRPr="006A2454" w:rsidRDefault="006A2454" w:rsidP="000811AE">
            <w:pPr>
              <w:spacing w:after="0" w:line="240" w:lineRule="auto"/>
              <w:rPr>
                <w:rFonts w:ascii="Calibri" w:eastAsia="Times New Roman" w:hAnsi="Calibri" w:cs="Calibri"/>
                <w:lang w:eastAsia="en-IN"/>
              </w:rPr>
            </w:pPr>
            <w:proofErr w:type="spellStart"/>
            <w:r w:rsidRPr="006A2454">
              <w:rPr>
                <w:rFonts w:ascii="Calibri" w:eastAsia="Times New Roman" w:hAnsi="Calibri" w:cs="Calibri"/>
                <w:lang w:eastAsia="en-IN"/>
              </w:rPr>
              <w:t>Bappenas</w:t>
            </w:r>
            <w:proofErr w:type="spellEnd"/>
          </w:p>
        </w:tc>
        <w:tc>
          <w:tcPr>
            <w:tcW w:w="3398" w:type="dxa"/>
            <w:tcBorders>
              <w:top w:val="nil"/>
              <w:left w:val="nil"/>
              <w:bottom w:val="single" w:sz="8" w:space="0" w:color="881946"/>
              <w:right w:val="single" w:sz="8" w:space="0" w:color="881946"/>
            </w:tcBorders>
            <w:shd w:val="clear" w:color="000000" w:fill="FFFFFF"/>
            <w:vAlign w:val="bottom"/>
          </w:tcPr>
          <w:p w14:paraId="00ACA03B" w14:textId="77777777" w:rsidR="006A2454" w:rsidRPr="006A2454" w:rsidRDefault="006A2454">
            <w:pPr>
              <w:spacing w:after="0" w:line="240" w:lineRule="auto"/>
              <w:rPr>
                <w:rFonts w:ascii="Calibri" w:eastAsia="Times New Roman" w:hAnsi="Calibri" w:cs="Calibri"/>
                <w:lang w:eastAsia="en-IN"/>
              </w:rPr>
            </w:pPr>
            <w:proofErr w:type="spellStart"/>
            <w:r w:rsidRPr="006A2454">
              <w:rPr>
                <w:rFonts w:ascii="Calibri" w:eastAsia="Times New Roman" w:hAnsi="Calibri" w:cs="Calibri"/>
                <w:lang w:eastAsia="en-IN"/>
              </w:rPr>
              <w:t>Teni</w:t>
            </w:r>
            <w:proofErr w:type="spellEnd"/>
            <w:r w:rsidRPr="006A2454">
              <w:rPr>
                <w:rFonts w:ascii="Calibri" w:eastAsia="Times New Roman" w:hAnsi="Calibri" w:cs="Calibri"/>
                <w:lang w:eastAsia="en-IN"/>
              </w:rPr>
              <w:t xml:space="preserve"> </w:t>
            </w:r>
            <w:proofErr w:type="spellStart"/>
            <w:r w:rsidRPr="006A2454">
              <w:rPr>
                <w:rFonts w:ascii="Calibri" w:eastAsia="Times New Roman" w:hAnsi="Calibri" w:cs="Calibri"/>
                <w:lang w:eastAsia="en-IN"/>
              </w:rPr>
              <w:t>Widuriyanti</w:t>
            </w:r>
            <w:proofErr w:type="spellEnd"/>
          </w:p>
        </w:tc>
      </w:tr>
      <w:tr w:rsidR="006A2454" w:rsidRPr="006A2454" w14:paraId="252E8EAE"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000000" w:fill="FFFFFF"/>
            <w:noWrap/>
          </w:tcPr>
          <w:p w14:paraId="7DBE2319" w14:textId="77777777" w:rsidR="006A2454" w:rsidRPr="006A2454" w:rsidRDefault="006A2454" w:rsidP="000811AE">
            <w:pPr>
              <w:spacing w:after="0" w:line="240" w:lineRule="auto"/>
              <w:rPr>
                <w:rFonts w:ascii="Calibri" w:eastAsia="Times New Roman" w:hAnsi="Calibri" w:cs="Calibri"/>
                <w:lang w:eastAsia="en-IN"/>
              </w:rPr>
            </w:pPr>
            <w:proofErr w:type="spellStart"/>
            <w:r w:rsidRPr="006A2454">
              <w:rPr>
                <w:rFonts w:ascii="Calibri" w:eastAsia="Times New Roman" w:hAnsi="Calibri" w:cs="Calibri"/>
                <w:lang w:eastAsia="en-IN"/>
              </w:rPr>
              <w:t>Bappenas</w:t>
            </w:r>
            <w:proofErr w:type="spellEnd"/>
          </w:p>
        </w:tc>
        <w:tc>
          <w:tcPr>
            <w:tcW w:w="3398" w:type="dxa"/>
            <w:tcBorders>
              <w:top w:val="nil"/>
              <w:left w:val="nil"/>
              <w:bottom w:val="single" w:sz="8" w:space="0" w:color="881946"/>
              <w:right w:val="single" w:sz="8" w:space="0" w:color="881946"/>
            </w:tcBorders>
            <w:shd w:val="clear" w:color="000000" w:fill="FFFFFF"/>
            <w:noWrap/>
            <w:vAlign w:val="bottom"/>
          </w:tcPr>
          <w:p w14:paraId="0255807B"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 xml:space="preserve">Kurniawan </w:t>
            </w:r>
            <w:proofErr w:type="spellStart"/>
            <w:r w:rsidRPr="006A2454">
              <w:rPr>
                <w:rFonts w:ascii="Calibri" w:eastAsia="Times New Roman" w:hAnsi="Calibri" w:cs="Calibri"/>
                <w:lang w:eastAsia="en-IN"/>
              </w:rPr>
              <w:t>Ariadi</w:t>
            </w:r>
            <w:proofErr w:type="spellEnd"/>
          </w:p>
        </w:tc>
      </w:tr>
      <w:tr w:rsidR="006A2454" w:rsidRPr="006A2454" w14:paraId="3C8271FB"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000000" w:fill="FFFFFF"/>
            <w:noWrap/>
          </w:tcPr>
          <w:p w14:paraId="06247233" w14:textId="77777777" w:rsidR="006A2454" w:rsidRPr="006A2454" w:rsidRDefault="006A2454" w:rsidP="000811AE">
            <w:pPr>
              <w:spacing w:after="0" w:line="240" w:lineRule="auto"/>
              <w:rPr>
                <w:rFonts w:ascii="Calibri" w:eastAsia="Times New Roman" w:hAnsi="Calibri" w:cs="Calibri"/>
                <w:lang w:eastAsia="en-IN"/>
              </w:rPr>
            </w:pPr>
            <w:proofErr w:type="spellStart"/>
            <w:r w:rsidRPr="006A2454">
              <w:rPr>
                <w:rFonts w:ascii="Calibri" w:eastAsia="Times New Roman" w:hAnsi="Calibri" w:cs="Calibri"/>
                <w:lang w:eastAsia="en-IN"/>
              </w:rPr>
              <w:t>Bappenas</w:t>
            </w:r>
            <w:proofErr w:type="spellEnd"/>
          </w:p>
        </w:tc>
        <w:tc>
          <w:tcPr>
            <w:tcW w:w="3398" w:type="dxa"/>
            <w:tcBorders>
              <w:top w:val="nil"/>
              <w:left w:val="nil"/>
              <w:bottom w:val="single" w:sz="8" w:space="0" w:color="881946"/>
              <w:right w:val="single" w:sz="8" w:space="0" w:color="881946"/>
            </w:tcBorders>
            <w:shd w:val="clear" w:color="000000" w:fill="FFFFFF"/>
            <w:noWrap/>
            <w:vAlign w:val="bottom"/>
          </w:tcPr>
          <w:p w14:paraId="3F3DAF7F"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Belinda Costin</w:t>
            </w:r>
          </w:p>
        </w:tc>
      </w:tr>
      <w:tr w:rsidR="006A2454" w:rsidRPr="006A2454" w14:paraId="0E3E4C73"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000000" w:fill="FFFFFF"/>
            <w:noWrap/>
          </w:tcPr>
          <w:p w14:paraId="735B71AA" w14:textId="77777777" w:rsidR="006A2454" w:rsidRPr="006A2454" w:rsidRDefault="006A2454" w:rsidP="000811AE">
            <w:pPr>
              <w:spacing w:after="0" w:line="240" w:lineRule="auto"/>
              <w:rPr>
                <w:rFonts w:ascii="Calibri" w:eastAsia="Times New Roman" w:hAnsi="Calibri" w:cs="Calibri"/>
                <w:lang w:eastAsia="en-IN"/>
              </w:rPr>
            </w:pPr>
            <w:proofErr w:type="spellStart"/>
            <w:r w:rsidRPr="006A2454">
              <w:rPr>
                <w:rFonts w:ascii="Calibri" w:eastAsia="Times New Roman" w:hAnsi="Calibri" w:cs="Calibri"/>
                <w:lang w:eastAsia="en-IN"/>
              </w:rPr>
              <w:t>Bluescope</w:t>
            </w:r>
            <w:proofErr w:type="spellEnd"/>
          </w:p>
        </w:tc>
        <w:tc>
          <w:tcPr>
            <w:tcW w:w="3398" w:type="dxa"/>
            <w:tcBorders>
              <w:top w:val="nil"/>
              <w:left w:val="nil"/>
              <w:bottom w:val="single" w:sz="8" w:space="0" w:color="881946"/>
              <w:right w:val="single" w:sz="8" w:space="0" w:color="881946"/>
            </w:tcBorders>
            <w:shd w:val="clear" w:color="000000" w:fill="FFFFFF"/>
            <w:noWrap/>
            <w:vAlign w:val="bottom"/>
          </w:tcPr>
          <w:p w14:paraId="16246B8A"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Natalie Dawson</w:t>
            </w:r>
          </w:p>
        </w:tc>
      </w:tr>
      <w:tr w:rsidR="006A2454" w:rsidRPr="006A2454" w14:paraId="7C40AFE1"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auto" w:fill="auto"/>
            <w:noWrap/>
            <w:vAlign w:val="bottom"/>
          </w:tcPr>
          <w:p w14:paraId="65EABE5B"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Bred Bank Vanuatu Ltd</w:t>
            </w:r>
          </w:p>
        </w:tc>
        <w:tc>
          <w:tcPr>
            <w:tcW w:w="3398" w:type="dxa"/>
            <w:tcBorders>
              <w:top w:val="nil"/>
              <w:left w:val="nil"/>
              <w:bottom w:val="single" w:sz="8" w:space="0" w:color="881946"/>
              <w:right w:val="single" w:sz="8" w:space="0" w:color="881946"/>
            </w:tcBorders>
            <w:shd w:val="clear" w:color="auto" w:fill="auto"/>
            <w:noWrap/>
            <w:vAlign w:val="bottom"/>
          </w:tcPr>
          <w:p w14:paraId="7995A0A4"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James Hudson</w:t>
            </w:r>
          </w:p>
        </w:tc>
      </w:tr>
      <w:tr w:rsidR="006A2454" w:rsidRPr="006A2454" w14:paraId="2085FDBA"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auto" w:fill="auto"/>
            <w:noWrap/>
            <w:vAlign w:val="bottom"/>
          </w:tcPr>
          <w:p w14:paraId="58A85820" w14:textId="77777777" w:rsidR="006A2454" w:rsidRPr="006A2454" w:rsidRDefault="006A2454" w:rsidP="000811AE">
            <w:pPr>
              <w:spacing w:after="0" w:line="240" w:lineRule="auto"/>
              <w:rPr>
                <w:rFonts w:ascii="Calibri" w:eastAsia="Times New Roman" w:hAnsi="Calibri" w:cs="Calibri"/>
                <w:lang w:eastAsia="en-IN"/>
              </w:rPr>
            </w:pPr>
            <w:proofErr w:type="spellStart"/>
            <w:r w:rsidRPr="006A2454">
              <w:rPr>
                <w:rFonts w:ascii="Calibri" w:eastAsia="Times New Roman" w:hAnsi="Calibri" w:cs="Calibri"/>
                <w:lang w:eastAsia="en-IN"/>
              </w:rPr>
              <w:t>Brightlight</w:t>
            </w:r>
            <w:proofErr w:type="spellEnd"/>
            <w:r w:rsidRPr="006A2454">
              <w:rPr>
                <w:rFonts w:ascii="Calibri" w:eastAsia="Times New Roman" w:hAnsi="Calibri" w:cs="Calibri"/>
                <w:lang w:eastAsia="en-IN"/>
              </w:rPr>
              <w:t xml:space="preserve"> </w:t>
            </w:r>
          </w:p>
        </w:tc>
        <w:tc>
          <w:tcPr>
            <w:tcW w:w="3398" w:type="dxa"/>
            <w:tcBorders>
              <w:top w:val="nil"/>
              <w:left w:val="nil"/>
              <w:bottom w:val="single" w:sz="8" w:space="0" w:color="881946"/>
              <w:right w:val="single" w:sz="8" w:space="0" w:color="881946"/>
            </w:tcBorders>
            <w:shd w:val="clear" w:color="auto" w:fill="auto"/>
            <w:noWrap/>
            <w:vAlign w:val="bottom"/>
          </w:tcPr>
          <w:p w14:paraId="4D49BA89"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 xml:space="preserve">Tim </w:t>
            </w:r>
            <w:proofErr w:type="spellStart"/>
            <w:r w:rsidRPr="006A2454">
              <w:rPr>
                <w:rFonts w:ascii="Calibri" w:eastAsia="Times New Roman" w:hAnsi="Calibri" w:cs="Calibri"/>
                <w:lang w:eastAsia="en-IN"/>
              </w:rPr>
              <w:t>MacReady</w:t>
            </w:r>
            <w:proofErr w:type="spellEnd"/>
            <w:r w:rsidRPr="006A2454">
              <w:rPr>
                <w:rFonts w:ascii="Calibri" w:eastAsia="Times New Roman" w:hAnsi="Calibri" w:cs="Calibri"/>
                <w:lang w:eastAsia="en-IN"/>
              </w:rPr>
              <w:t xml:space="preserve"> </w:t>
            </w:r>
          </w:p>
        </w:tc>
      </w:tr>
      <w:tr w:rsidR="006A2454" w:rsidRPr="006A2454" w14:paraId="75EF2904"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auto" w:fill="auto"/>
            <w:noWrap/>
            <w:vAlign w:val="bottom"/>
          </w:tcPr>
          <w:p w14:paraId="4F6387E2" w14:textId="77777777" w:rsidR="006A2454" w:rsidRPr="006A2454" w:rsidRDefault="006A2454" w:rsidP="000811AE">
            <w:pPr>
              <w:spacing w:after="0" w:line="240" w:lineRule="auto"/>
              <w:rPr>
                <w:rFonts w:ascii="Calibri" w:eastAsia="Times New Roman" w:hAnsi="Calibri" w:cs="Calibri"/>
                <w:lang w:eastAsia="en-IN"/>
              </w:rPr>
            </w:pPr>
            <w:proofErr w:type="spellStart"/>
            <w:r w:rsidRPr="006A2454">
              <w:rPr>
                <w:rFonts w:ascii="Calibri" w:eastAsia="Times New Roman" w:hAnsi="Calibri" w:cs="Calibri"/>
                <w:lang w:eastAsia="en-IN"/>
              </w:rPr>
              <w:t>Brightlight</w:t>
            </w:r>
            <w:proofErr w:type="spellEnd"/>
            <w:r w:rsidRPr="006A2454">
              <w:rPr>
                <w:rFonts w:ascii="Calibri" w:eastAsia="Times New Roman" w:hAnsi="Calibri" w:cs="Calibri"/>
                <w:lang w:eastAsia="en-IN"/>
              </w:rPr>
              <w:t xml:space="preserve"> </w:t>
            </w:r>
          </w:p>
        </w:tc>
        <w:tc>
          <w:tcPr>
            <w:tcW w:w="3398" w:type="dxa"/>
            <w:tcBorders>
              <w:top w:val="nil"/>
              <w:left w:val="nil"/>
              <w:bottom w:val="single" w:sz="8" w:space="0" w:color="881946"/>
              <w:right w:val="single" w:sz="8" w:space="0" w:color="881946"/>
            </w:tcBorders>
            <w:shd w:val="clear" w:color="auto" w:fill="auto"/>
            <w:noWrap/>
            <w:vAlign w:val="bottom"/>
          </w:tcPr>
          <w:p w14:paraId="3860D599"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 xml:space="preserve">Matthew Zschech </w:t>
            </w:r>
          </w:p>
        </w:tc>
      </w:tr>
      <w:tr w:rsidR="006A2454" w:rsidRPr="006A2454" w14:paraId="76D9A725"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auto" w:fill="auto"/>
            <w:noWrap/>
            <w:vAlign w:val="bottom"/>
          </w:tcPr>
          <w:p w14:paraId="730587DE" w14:textId="77777777" w:rsidR="006A2454" w:rsidRPr="006A2454" w:rsidRDefault="006A2454" w:rsidP="000811AE">
            <w:pPr>
              <w:spacing w:after="0" w:line="240" w:lineRule="auto"/>
              <w:rPr>
                <w:rFonts w:ascii="Calibri" w:eastAsia="Times New Roman" w:hAnsi="Calibri" w:cs="Calibri"/>
                <w:lang w:eastAsia="en-IN"/>
              </w:rPr>
            </w:pPr>
            <w:proofErr w:type="spellStart"/>
            <w:r w:rsidRPr="006A2454">
              <w:rPr>
                <w:rFonts w:ascii="Calibri" w:eastAsia="Times New Roman" w:hAnsi="Calibri" w:cs="Calibri"/>
                <w:lang w:eastAsia="en-IN"/>
              </w:rPr>
              <w:t>Brightlight</w:t>
            </w:r>
            <w:proofErr w:type="spellEnd"/>
            <w:r w:rsidRPr="006A2454">
              <w:rPr>
                <w:rFonts w:ascii="Calibri" w:eastAsia="Times New Roman" w:hAnsi="Calibri" w:cs="Calibri"/>
                <w:lang w:eastAsia="en-IN"/>
              </w:rPr>
              <w:t xml:space="preserve"> </w:t>
            </w:r>
          </w:p>
        </w:tc>
        <w:tc>
          <w:tcPr>
            <w:tcW w:w="3398" w:type="dxa"/>
            <w:tcBorders>
              <w:top w:val="nil"/>
              <w:left w:val="nil"/>
              <w:bottom w:val="single" w:sz="8" w:space="0" w:color="881946"/>
              <w:right w:val="single" w:sz="8" w:space="0" w:color="881946"/>
            </w:tcBorders>
            <w:shd w:val="clear" w:color="auto" w:fill="auto"/>
            <w:noWrap/>
            <w:vAlign w:val="bottom"/>
          </w:tcPr>
          <w:p w14:paraId="363A54F2"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 xml:space="preserve">Samuel Richards  </w:t>
            </w:r>
          </w:p>
        </w:tc>
      </w:tr>
      <w:tr w:rsidR="006A2454" w:rsidRPr="006A2454" w14:paraId="7A5B7AB5"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auto" w:fill="auto"/>
            <w:noWrap/>
            <w:vAlign w:val="bottom"/>
          </w:tcPr>
          <w:p w14:paraId="16EE317A"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Brookings Institute</w:t>
            </w:r>
          </w:p>
        </w:tc>
        <w:tc>
          <w:tcPr>
            <w:tcW w:w="3398" w:type="dxa"/>
            <w:tcBorders>
              <w:top w:val="nil"/>
              <w:left w:val="nil"/>
              <w:bottom w:val="single" w:sz="8" w:space="0" w:color="881946"/>
              <w:right w:val="single" w:sz="8" w:space="0" w:color="881946"/>
            </w:tcBorders>
            <w:shd w:val="clear" w:color="auto" w:fill="auto"/>
            <w:noWrap/>
            <w:vAlign w:val="bottom"/>
          </w:tcPr>
          <w:p w14:paraId="4AECD2B0"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 xml:space="preserve">George Ingram </w:t>
            </w:r>
          </w:p>
        </w:tc>
      </w:tr>
      <w:tr w:rsidR="006A2454" w:rsidRPr="006A2454" w14:paraId="1AE03DD3"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auto" w:fill="auto"/>
            <w:noWrap/>
            <w:vAlign w:val="bottom"/>
          </w:tcPr>
          <w:p w14:paraId="227F6A9E"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Business Council PNG</w:t>
            </w:r>
          </w:p>
        </w:tc>
        <w:tc>
          <w:tcPr>
            <w:tcW w:w="3398" w:type="dxa"/>
            <w:tcBorders>
              <w:top w:val="nil"/>
              <w:left w:val="nil"/>
              <w:bottom w:val="single" w:sz="8" w:space="0" w:color="881946"/>
              <w:right w:val="single" w:sz="8" w:space="0" w:color="881946"/>
            </w:tcBorders>
            <w:shd w:val="clear" w:color="auto" w:fill="auto"/>
            <w:noWrap/>
            <w:vAlign w:val="bottom"/>
          </w:tcPr>
          <w:p w14:paraId="0D29E26E" w14:textId="77777777" w:rsidR="006A2454" w:rsidRPr="006A2454" w:rsidRDefault="006A2454">
            <w:pPr>
              <w:spacing w:after="0" w:line="240" w:lineRule="auto"/>
              <w:rPr>
                <w:rFonts w:ascii="Calibri" w:eastAsia="Times New Roman" w:hAnsi="Calibri" w:cs="Calibri"/>
                <w:lang w:eastAsia="en-IN"/>
              </w:rPr>
            </w:pPr>
            <w:proofErr w:type="spellStart"/>
            <w:r w:rsidRPr="006A2454">
              <w:rPr>
                <w:rFonts w:ascii="Calibri" w:eastAsia="Times New Roman" w:hAnsi="Calibri" w:cs="Calibri"/>
                <w:lang w:eastAsia="en-IN"/>
              </w:rPr>
              <w:t>Douveri</w:t>
            </w:r>
            <w:proofErr w:type="spellEnd"/>
            <w:r w:rsidRPr="006A2454">
              <w:rPr>
                <w:rFonts w:ascii="Calibri" w:eastAsia="Times New Roman" w:hAnsi="Calibri" w:cs="Calibri"/>
                <w:lang w:eastAsia="en-IN"/>
              </w:rPr>
              <w:t xml:space="preserve"> </w:t>
            </w:r>
            <w:proofErr w:type="spellStart"/>
            <w:r w:rsidRPr="006A2454">
              <w:rPr>
                <w:rFonts w:ascii="Calibri" w:eastAsia="Times New Roman" w:hAnsi="Calibri" w:cs="Calibri"/>
                <w:lang w:eastAsia="en-IN"/>
              </w:rPr>
              <w:t>Henao</w:t>
            </w:r>
            <w:proofErr w:type="spellEnd"/>
          </w:p>
        </w:tc>
      </w:tr>
      <w:tr w:rsidR="006A2454" w:rsidRPr="006A2454" w14:paraId="5E099B5B"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auto" w:fill="auto"/>
            <w:noWrap/>
            <w:vAlign w:val="bottom"/>
          </w:tcPr>
          <w:p w14:paraId="27B09368" w14:textId="77777777" w:rsidR="006A2454" w:rsidRPr="006A2454" w:rsidRDefault="006A2454" w:rsidP="000811AE">
            <w:pPr>
              <w:spacing w:after="0" w:line="240" w:lineRule="auto"/>
              <w:rPr>
                <w:rFonts w:ascii="Calibri" w:eastAsia="Times New Roman" w:hAnsi="Calibri" w:cs="Calibri"/>
                <w:lang w:eastAsia="en-IN"/>
              </w:rPr>
            </w:pPr>
            <w:proofErr w:type="spellStart"/>
            <w:r w:rsidRPr="006A2454">
              <w:rPr>
                <w:rFonts w:ascii="Calibri" w:eastAsia="Times New Roman" w:hAnsi="Calibri" w:cs="Calibri"/>
                <w:lang w:eastAsia="en-IN"/>
              </w:rPr>
              <w:t>Center</w:t>
            </w:r>
            <w:proofErr w:type="spellEnd"/>
            <w:r w:rsidRPr="006A2454">
              <w:rPr>
                <w:rFonts w:ascii="Calibri" w:eastAsia="Times New Roman" w:hAnsi="Calibri" w:cs="Calibri"/>
                <w:lang w:eastAsia="en-IN"/>
              </w:rPr>
              <w:t xml:space="preserve"> for Global Development</w:t>
            </w:r>
          </w:p>
        </w:tc>
        <w:tc>
          <w:tcPr>
            <w:tcW w:w="3398" w:type="dxa"/>
            <w:tcBorders>
              <w:top w:val="nil"/>
              <w:left w:val="nil"/>
              <w:bottom w:val="single" w:sz="8" w:space="0" w:color="881946"/>
              <w:right w:val="single" w:sz="8" w:space="0" w:color="881946"/>
            </w:tcBorders>
            <w:shd w:val="clear" w:color="auto" w:fill="auto"/>
            <w:noWrap/>
            <w:vAlign w:val="bottom"/>
          </w:tcPr>
          <w:p w14:paraId="3C13C8C2"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 xml:space="preserve">Todd Moss </w:t>
            </w:r>
          </w:p>
        </w:tc>
      </w:tr>
      <w:tr w:rsidR="006A2454" w:rsidRPr="006A2454" w14:paraId="6904DC3D"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auto" w:fill="auto"/>
            <w:noWrap/>
            <w:vAlign w:val="bottom"/>
          </w:tcPr>
          <w:p w14:paraId="3199ECF1"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Cook Islands National Superannuation Fund</w:t>
            </w:r>
          </w:p>
        </w:tc>
        <w:tc>
          <w:tcPr>
            <w:tcW w:w="3398" w:type="dxa"/>
            <w:tcBorders>
              <w:top w:val="nil"/>
              <w:left w:val="nil"/>
              <w:bottom w:val="single" w:sz="8" w:space="0" w:color="881946"/>
              <w:right w:val="single" w:sz="8" w:space="0" w:color="881946"/>
            </w:tcBorders>
            <w:shd w:val="clear" w:color="auto" w:fill="auto"/>
            <w:noWrap/>
            <w:vAlign w:val="bottom"/>
          </w:tcPr>
          <w:p w14:paraId="7923AF31"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Damien Beddoes</w:t>
            </w:r>
          </w:p>
        </w:tc>
      </w:tr>
      <w:tr w:rsidR="006A2454" w:rsidRPr="006A2454" w14:paraId="4B84B69B"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auto" w:fill="auto"/>
            <w:noWrap/>
            <w:vAlign w:val="bottom"/>
          </w:tcPr>
          <w:p w14:paraId="7A8210A9"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 xml:space="preserve">The Australian National University, Crawford School </w:t>
            </w:r>
          </w:p>
        </w:tc>
        <w:tc>
          <w:tcPr>
            <w:tcW w:w="3398" w:type="dxa"/>
            <w:tcBorders>
              <w:top w:val="nil"/>
              <w:left w:val="nil"/>
              <w:bottom w:val="single" w:sz="8" w:space="0" w:color="881946"/>
              <w:right w:val="single" w:sz="8" w:space="0" w:color="881946"/>
            </w:tcBorders>
            <w:shd w:val="clear" w:color="auto" w:fill="auto"/>
            <w:noWrap/>
            <w:vAlign w:val="center"/>
          </w:tcPr>
          <w:p w14:paraId="6AC610F0"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Stephen Howes</w:t>
            </w:r>
          </w:p>
        </w:tc>
      </w:tr>
      <w:tr w:rsidR="006A2454" w:rsidRPr="006A2454" w14:paraId="1E777D07"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auto" w:fill="auto"/>
            <w:noWrap/>
            <w:vAlign w:val="bottom"/>
          </w:tcPr>
          <w:p w14:paraId="3D5E360B"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The Australian National University, Crawford School</w:t>
            </w:r>
          </w:p>
        </w:tc>
        <w:tc>
          <w:tcPr>
            <w:tcW w:w="3398" w:type="dxa"/>
            <w:tcBorders>
              <w:top w:val="nil"/>
              <w:left w:val="nil"/>
              <w:bottom w:val="single" w:sz="8" w:space="0" w:color="881946"/>
              <w:right w:val="single" w:sz="8" w:space="0" w:color="881946"/>
            </w:tcBorders>
            <w:shd w:val="clear" w:color="auto" w:fill="auto"/>
            <w:noWrap/>
            <w:vAlign w:val="center"/>
          </w:tcPr>
          <w:p w14:paraId="624C26C0"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Matt Dornan</w:t>
            </w:r>
          </w:p>
        </w:tc>
      </w:tr>
      <w:tr w:rsidR="006A2454" w:rsidRPr="006A2454" w14:paraId="4AFDE152"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000000" w:fill="FFFFFF"/>
            <w:noWrap/>
          </w:tcPr>
          <w:p w14:paraId="690430E2" w14:textId="1BE383E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Deloitte</w:t>
            </w:r>
            <w:r w:rsidR="0071103E">
              <w:rPr>
                <w:rFonts w:ascii="Calibri" w:eastAsia="Times New Roman" w:hAnsi="Calibri" w:cs="Calibri"/>
                <w:lang w:eastAsia="en-IN"/>
              </w:rPr>
              <w:t>—</w:t>
            </w:r>
            <w:r w:rsidRPr="006A2454">
              <w:rPr>
                <w:rFonts w:ascii="Calibri" w:eastAsia="Times New Roman" w:hAnsi="Calibri" w:cs="Calibri"/>
                <w:lang w:eastAsia="en-IN"/>
              </w:rPr>
              <w:t>Jakarta</w:t>
            </w:r>
          </w:p>
        </w:tc>
        <w:tc>
          <w:tcPr>
            <w:tcW w:w="3398" w:type="dxa"/>
            <w:tcBorders>
              <w:top w:val="nil"/>
              <w:left w:val="nil"/>
              <w:bottom w:val="single" w:sz="8" w:space="0" w:color="881946"/>
              <w:right w:val="single" w:sz="8" w:space="0" w:color="881946"/>
            </w:tcBorders>
            <w:shd w:val="clear" w:color="000000" w:fill="FFFFFF"/>
            <w:noWrap/>
            <w:vAlign w:val="bottom"/>
          </w:tcPr>
          <w:p w14:paraId="60D448E8"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 xml:space="preserve">Patrick Lee </w:t>
            </w:r>
            <w:proofErr w:type="spellStart"/>
            <w:r w:rsidRPr="006A2454">
              <w:rPr>
                <w:rFonts w:ascii="Calibri" w:eastAsia="Times New Roman" w:hAnsi="Calibri" w:cs="Calibri"/>
                <w:lang w:eastAsia="en-IN"/>
              </w:rPr>
              <w:t>Weide</w:t>
            </w:r>
            <w:proofErr w:type="spellEnd"/>
          </w:p>
        </w:tc>
      </w:tr>
      <w:tr w:rsidR="006A2454" w:rsidRPr="006A2454" w14:paraId="7CAD0BCE"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000000" w:fill="FFFFFF"/>
            <w:noWrap/>
          </w:tcPr>
          <w:p w14:paraId="08B9D5FE" w14:textId="0247E780"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Deloitte</w:t>
            </w:r>
            <w:r w:rsidR="0071103E">
              <w:rPr>
                <w:rFonts w:ascii="Calibri" w:eastAsia="Times New Roman" w:hAnsi="Calibri" w:cs="Calibri"/>
                <w:lang w:eastAsia="en-IN"/>
              </w:rPr>
              <w:t>—</w:t>
            </w:r>
            <w:r w:rsidRPr="006A2454">
              <w:rPr>
                <w:rFonts w:ascii="Calibri" w:eastAsia="Times New Roman" w:hAnsi="Calibri" w:cs="Calibri"/>
                <w:lang w:eastAsia="en-IN"/>
              </w:rPr>
              <w:t>Jakarta</w:t>
            </w:r>
          </w:p>
        </w:tc>
        <w:tc>
          <w:tcPr>
            <w:tcW w:w="3398" w:type="dxa"/>
            <w:tcBorders>
              <w:top w:val="nil"/>
              <w:left w:val="nil"/>
              <w:bottom w:val="single" w:sz="8" w:space="0" w:color="881946"/>
              <w:right w:val="single" w:sz="8" w:space="0" w:color="881946"/>
            </w:tcBorders>
            <w:shd w:val="clear" w:color="000000" w:fill="FFFFFF"/>
            <w:noWrap/>
            <w:vAlign w:val="bottom"/>
          </w:tcPr>
          <w:p w14:paraId="5C532486"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 xml:space="preserve">Patrick </w:t>
            </w:r>
            <w:proofErr w:type="spellStart"/>
            <w:r w:rsidRPr="006A2454">
              <w:rPr>
                <w:rFonts w:ascii="Calibri" w:eastAsia="Times New Roman" w:hAnsi="Calibri" w:cs="Calibri"/>
                <w:lang w:eastAsia="en-IN"/>
              </w:rPr>
              <w:t>Bryski</w:t>
            </w:r>
            <w:proofErr w:type="spellEnd"/>
            <w:r w:rsidRPr="006A2454">
              <w:rPr>
                <w:rFonts w:ascii="Calibri" w:eastAsia="Times New Roman" w:hAnsi="Calibri" w:cs="Calibri"/>
                <w:lang w:eastAsia="en-IN"/>
              </w:rPr>
              <w:t xml:space="preserve">        </w:t>
            </w:r>
          </w:p>
        </w:tc>
      </w:tr>
      <w:tr w:rsidR="006A2454" w:rsidRPr="006A2454" w14:paraId="5821C915"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auto" w:fill="auto"/>
            <w:noWrap/>
            <w:vAlign w:val="bottom"/>
          </w:tcPr>
          <w:p w14:paraId="15AAE9F4"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Economic Governance and Inclusive Growth Partnership (</w:t>
            </w:r>
            <w:proofErr w:type="spellStart"/>
            <w:r w:rsidRPr="006A2454">
              <w:rPr>
                <w:rFonts w:ascii="Calibri" w:eastAsia="Times New Roman" w:hAnsi="Calibri" w:cs="Calibri"/>
                <w:lang w:eastAsia="en-IN"/>
              </w:rPr>
              <w:t>Abt</w:t>
            </w:r>
            <w:proofErr w:type="spellEnd"/>
            <w:r w:rsidRPr="006A2454">
              <w:rPr>
                <w:rFonts w:ascii="Calibri" w:eastAsia="Times New Roman" w:hAnsi="Calibri" w:cs="Calibri"/>
                <w:lang w:eastAsia="en-IN"/>
              </w:rPr>
              <w:t xml:space="preserve"> Associates)</w:t>
            </w:r>
          </w:p>
        </w:tc>
        <w:tc>
          <w:tcPr>
            <w:tcW w:w="3398" w:type="dxa"/>
            <w:tcBorders>
              <w:top w:val="nil"/>
              <w:left w:val="nil"/>
              <w:bottom w:val="single" w:sz="8" w:space="0" w:color="881946"/>
              <w:right w:val="single" w:sz="8" w:space="0" w:color="881946"/>
            </w:tcBorders>
            <w:shd w:val="clear" w:color="auto" w:fill="auto"/>
            <w:noWrap/>
            <w:vAlign w:val="bottom"/>
          </w:tcPr>
          <w:p w14:paraId="58DE02E4"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 xml:space="preserve">Nik </w:t>
            </w:r>
            <w:proofErr w:type="spellStart"/>
            <w:r w:rsidRPr="006A2454">
              <w:rPr>
                <w:rFonts w:ascii="Calibri" w:eastAsia="Times New Roman" w:hAnsi="Calibri" w:cs="Calibri"/>
                <w:lang w:eastAsia="en-IN"/>
              </w:rPr>
              <w:t>Soni</w:t>
            </w:r>
            <w:proofErr w:type="spellEnd"/>
          </w:p>
        </w:tc>
      </w:tr>
      <w:tr w:rsidR="006A2454" w:rsidRPr="006A2454" w14:paraId="612C191F"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auto" w:fill="auto"/>
            <w:noWrap/>
            <w:vAlign w:val="bottom"/>
          </w:tcPr>
          <w:p w14:paraId="232C05D2"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Economic Governance and Inclusive Growth Partnership (</w:t>
            </w:r>
            <w:proofErr w:type="spellStart"/>
            <w:r w:rsidRPr="006A2454">
              <w:rPr>
                <w:rFonts w:ascii="Calibri" w:eastAsia="Times New Roman" w:hAnsi="Calibri" w:cs="Calibri"/>
                <w:lang w:eastAsia="en-IN"/>
              </w:rPr>
              <w:t>Abt</w:t>
            </w:r>
            <w:proofErr w:type="spellEnd"/>
            <w:r w:rsidRPr="006A2454">
              <w:rPr>
                <w:rFonts w:ascii="Calibri" w:eastAsia="Times New Roman" w:hAnsi="Calibri" w:cs="Calibri"/>
                <w:lang w:eastAsia="en-IN"/>
              </w:rPr>
              <w:t xml:space="preserve"> Associates)</w:t>
            </w:r>
          </w:p>
        </w:tc>
        <w:tc>
          <w:tcPr>
            <w:tcW w:w="3398" w:type="dxa"/>
            <w:tcBorders>
              <w:top w:val="nil"/>
              <w:left w:val="nil"/>
              <w:bottom w:val="single" w:sz="8" w:space="0" w:color="881946"/>
              <w:right w:val="single" w:sz="8" w:space="0" w:color="881946"/>
            </w:tcBorders>
            <w:shd w:val="clear" w:color="auto" w:fill="auto"/>
            <w:noWrap/>
            <w:vAlign w:val="bottom"/>
          </w:tcPr>
          <w:p w14:paraId="6AE7FEEF"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Bill Rowell</w:t>
            </w:r>
          </w:p>
        </w:tc>
      </w:tr>
      <w:tr w:rsidR="006A2454" w:rsidRPr="006A2454" w14:paraId="476B5674"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auto" w:fill="auto"/>
            <w:noWrap/>
            <w:vAlign w:val="bottom"/>
          </w:tcPr>
          <w:p w14:paraId="73CCB5AA"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Economic Governance and Inclusive Growth Partnership (</w:t>
            </w:r>
            <w:proofErr w:type="spellStart"/>
            <w:r w:rsidRPr="006A2454">
              <w:rPr>
                <w:rFonts w:ascii="Calibri" w:eastAsia="Times New Roman" w:hAnsi="Calibri" w:cs="Calibri"/>
                <w:lang w:eastAsia="en-IN"/>
              </w:rPr>
              <w:t>Abt</w:t>
            </w:r>
            <w:proofErr w:type="spellEnd"/>
            <w:r w:rsidRPr="006A2454">
              <w:rPr>
                <w:rFonts w:ascii="Calibri" w:eastAsia="Times New Roman" w:hAnsi="Calibri" w:cs="Calibri"/>
                <w:lang w:eastAsia="en-IN"/>
              </w:rPr>
              <w:t xml:space="preserve"> Associates)</w:t>
            </w:r>
          </w:p>
        </w:tc>
        <w:tc>
          <w:tcPr>
            <w:tcW w:w="3398" w:type="dxa"/>
            <w:tcBorders>
              <w:top w:val="nil"/>
              <w:left w:val="nil"/>
              <w:bottom w:val="single" w:sz="8" w:space="0" w:color="881946"/>
              <w:right w:val="single" w:sz="8" w:space="0" w:color="881946"/>
            </w:tcBorders>
            <w:shd w:val="clear" w:color="auto" w:fill="auto"/>
            <w:noWrap/>
            <w:vAlign w:val="bottom"/>
          </w:tcPr>
          <w:p w14:paraId="0F62412F"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 xml:space="preserve">Lady </w:t>
            </w:r>
            <w:proofErr w:type="spellStart"/>
            <w:r w:rsidRPr="006A2454">
              <w:rPr>
                <w:rFonts w:ascii="Calibri" w:eastAsia="Times New Roman" w:hAnsi="Calibri" w:cs="Calibri"/>
                <w:lang w:eastAsia="en-IN"/>
              </w:rPr>
              <w:t>Aivu</w:t>
            </w:r>
            <w:proofErr w:type="spellEnd"/>
            <w:r w:rsidRPr="006A2454">
              <w:rPr>
                <w:rFonts w:ascii="Calibri" w:eastAsia="Times New Roman" w:hAnsi="Calibri" w:cs="Calibri"/>
                <w:lang w:eastAsia="en-IN"/>
              </w:rPr>
              <w:t xml:space="preserve"> </w:t>
            </w:r>
            <w:proofErr w:type="spellStart"/>
            <w:r w:rsidRPr="006A2454">
              <w:rPr>
                <w:rFonts w:ascii="Calibri" w:eastAsia="Times New Roman" w:hAnsi="Calibri" w:cs="Calibri"/>
                <w:lang w:eastAsia="en-IN"/>
              </w:rPr>
              <w:t>Tauvasa</w:t>
            </w:r>
            <w:proofErr w:type="spellEnd"/>
          </w:p>
        </w:tc>
      </w:tr>
      <w:tr w:rsidR="006A2454" w:rsidRPr="006A2454" w14:paraId="4BBDDFA4"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auto" w:fill="auto"/>
            <w:noWrap/>
            <w:vAlign w:val="bottom"/>
          </w:tcPr>
          <w:p w14:paraId="7BE08AAF"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Economic Governance and Inclusive Growth Partnership (</w:t>
            </w:r>
            <w:proofErr w:type="spellStart"/>
            <w:r w:rsidRPr="006A2454">
              <w:rPr>
                <w:rFonts w:ascii="Calibri" w:eastAsia="Times New Roman" w:hAnsi="Calibri" w:cs="Calibri"/>
                <w:lang w:eastAsia="en-IN"/>
              </w:rPr>
              <w:t>Abt</w:t>
            </w:r>
            <w:proofErr w:type="spellEnd"/>
            <w:r w:rsidRPr="006A2454">
              <w:rPr>
                <w:rFonts w:ascii="Calibri" w:eastAsia="Times New Roman" w:hAnsi="Calibri" w:cs="Calibri"/>
                <w:lang w:eastAsia="en-IN"/>
              </w:rPr>
              <w:t xml:space="preserve"> Associates)</w:t>
            </w:r>
          </w:p>
        </w:tc>
        <w:tc>
          <w:tcPr>
            <w:tcW w:w="3398" w:type="dxa"/>
            <w:tcBorders>
              <w:top w:val="nil"/>
              <w:left w:val="nil"/>
              <w:bottom w:val="single" w:sz="8" w:space="0" w:color="881946"/>
              <w:right w:val="single" w:sz="8" w:space="0" w:color="881946"/>
            </w:tcBorders>
            <w:shd w:val="clear" w:color="auto" w:fill="auto"/>
            <w:noWrap/>
            <w:vAlign w:val="bottom"/>
          </w:tcPr>
          <w:p w14:paraId="70356703"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 xml:space="preserve">David </w:t>
            </w:r>
            <w:proofErr w:type="spellStart"/>
            <w:r w:rsidRPr="006A2454">
              <w:rPr>
                <w:rFonts w:ascii="Calibri" w:eastAsia="Times New Roman" w:hAnsi="Calibri" w:cs="Calibri"/>
                <w:lang w:eastAsia="en-IN"/>
              </w:rPr>
              <w:t>Kavanamur</w:t>
            </w:r>
            <w:proofErr w:type="spellEnd"/>
          </w:p>
        </w:tc>
      </w:tr>
      <w:tr w:rsidR="006A2454" w:rsidRPr="006A2454" w14:paraId="0C02389C"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auto" w:fill="auto"/>
            <w:noWrap/>
            <w:vAlign w:val="bottom"/>
          </w:tcPr>
          <w:p w14:paraId="4E3972AA"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 xml:space="preserve">European Investment Bank, Pacific Regional Office </w:t>
            </w:r>
          </w:p>
        </w:tc>
        <w:tc>
          <w:tcPr>
            <w:tcW w:w="3398" w:type="dxa"/>
            <w:tcBorders>
              <w:top w:val="nil"/>
              <w:left w:val="nil"/>
              <w:bottom w:val="single" w:sz="8" w:space="0" w:color="881946"/>
              <w:right w:val="single" w:sz="8" w:space="0" w:color="881946"/>
            </w:tcBorders>
            <w:shd w:val="clear" w:color="auto" w:fill="auto"/>
            <w:noWrap/>
            <w:vAlign w:val="bottom"/>
          </w:tcPr>
          <w:p w14:paraId="0CF0C6AB"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 xml:space="preserve">Adam </w:t>
            </w:r>
            <w:proofErr w:type="spellStart"/>
            <w:r w:rsidRPr="006A2454">
              <w:rPr>
                <w:rFonts w:ascii="Calibri" w:eastAsia="Times New Roman" w:hAnsi="Calibri" w:cs="Calibri"/>
                <w:lang w:eastAsia="en-IN"/>
              </w:rPr>
              <w:t>Bruun</w:t>
            </w:r>
            <w:proofErr w:type="spellEnd"/>
            <w:r w:rsidRPr="006A2454">
              <w:rPr>
                <w:rFonts w:ascii="Calibri" w:eastAsia="Times New Roman" w:hAnsi="Calibri" w:cs="Calibri"/>
                <w:lang w:eastAsia="en-IN"/>
              </w:rPr>
              <w:t xml:space="preserve"> </w:t>
            </w:r>
          </w:p>
        </w:tc>
      </w:tr>
      <w:tr w:rsidR="006A2454" w:rsidRPr="006A2454" w14:paraId="06CD7343"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auto" w:fill="auto"/>
            <w:noWrap/>
            <w:vAlign w:val="bottom"/>
          </w:tcPr>
          <w:p w14:paraId="4C426BC6"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European Investment Bank, Pacific Regional Office</w:t>
            </w:r>
          </w:p>
        </w:tc>
        <w:tc>
          <w:tcPr>
            <w:tcW w:w="3398" w:type="dxa"/>
            <w:tcBorders>
              <w:top w:val="nil"/>
              <w:left w:val="nil"/>
              <w:bottom w:val="single" w:sz="8" w:space="0" w:color="881946"/>
              <w:right w:val="single" w:sz="8" w:space="0" w:color="881946"/>
            </w:tcBorders>
            <w:shd w:val="clear" w:color="auto" w:fill="auto"/>
            <w:noWrap/>
            <w:vAlign w:val="bottom"/>
          </w:tcPr>
          <w:p w14:paraId="2B2D6020"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Ella Drake</w:t>
            </w:r>
          </w:p>
        </w:tc>
      </w:tr>
      <w:tr w:rsidR="006A2454" w:rsidRPr="006A2454" w14:paraId="7C1AADA6"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auto" w:fill="auto"/>
            <w:noWrap/>
            <w:vAlign w:val="center"/>
          </w:tcPr>
          <w:p w14:paraId="12CB7755"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 xml:space="preserve">Export Development Canada </w:t>
            </w:r>
          </w:p>
        </w:tc>
        <w:tc>
          <w:tcPr>
            <w:tcW w:w="3398" w:type="dxa"/>
            <w:tcBorders>
              <w:top w:val="nil"/>
              <w:left w:val="nil"/>
              <w:bottom w:val="single" w:sz="8" w:space="0" w:color="881946"/>
              <w:right w:val="single" w:sz="8" w:space="0" w:color="881946"/>
            </w:tcBorders>
            <w:shd w:val="clear" w:color="auto" w:fill="auto"/>
            <w:noWrap/>
            <w:vAlign w:val="bottom"/>
          </w:tcPr>
          <w:p w14:paraId="22ADAEE1"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 xml:space="preserve">Etienne </w:t>
            </w:r>
            <w:proofErr w:type="spellStart"/>
            <w:r w:rsidRPr="006A2454">
              <w:rPr>
                <w:rFonts w:ascii="Calibri" w:eastAsia="Times New Roman" w:hAnsi="Calibri" w:cs="Calibri"/>
                <w:lang w:eastAsia="en-IN"/>
              </w:rPr>
              <w:t>Grall</w:t>
            </w:r>
            <w:proofErr w:type="spellEnd"/>
            <w:r w:rsidRPr="006A2454">
              <w:rPr>
                <w:rFonts w:ascii="Calibri" w:eastAsia="Times New Roman" w:hAnsi="Calibri" w:cs="Calibri"/>
                <w:lang w:eastAsia="en-IN"/>
              </w:rPr>
              <w:t xml:space="preserve"> </w:t>
            </w:r>
          </w:p>
        </w:tc>
      </w:tr>
      <w:tr w:rsidR="006A2454" w:rsidRPr="006A2454" w14:paraId="28765B56"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auto" w:fill="auto"/>
            <w:noWrap/>
            <w:vAlign w:val="bottom"/>
          </w:tcPr>
          <w:p w14:paraId="2684B730"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Export Finance and Insurance Corporation</w:t>
            </w:r>
          </w:p>
        </w:tc>
        <w:tc>
          <w:tcPr>
            <w:tcW w:w="3398" w:type="dxa"/>
            <w:tcBorders>
              <w:top w:val="nil"/>
              <w:left w:val="nil"/>
              <w:bottom w:val="single" w:sz="8" w:space="0" w:color="881946"/>
              <w:right w:val="single" w:sz="8" w:space="0" w:color="881946"/>
            </w:tcBorders>
            <w:shd w:val="clear" w:color="auto" w:fill="auto"/>
            <w:noWrap/>
            <w:vAlign w:val="bottom"/>
          </w:tcPr>
          <w:p w14:paraId="4C7465E8"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 xml:space="preserve">Stuart Neilson </w:t>
            </w:r>
          </w:p>
        </w:tc>
      </w:tr>
      <w:tr w:rsidR="006A2454" w:rsidRPr="006A2454" w14:paraId="52711041"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auto" w:fill="auto"/>
            <w:noWrap/>
            <w:vAlign w:val="bottom"/>
          </w:tcPr>
          <w:p w14:paraId="5F9AB4DA"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Export Finance and Insurance Corporation</w:t>
            </w:r>
          </w:p>
        </w:tc>
        <w:tc>
          <w:tcPr>
            <w:tcW w:w="3398" w:type="dxa"/>
            <w:tcBorders>
              <w:top w:val="nil"/>
              <w:left w:val="nil"/>
              <w:bottom w:val="single" w:sz="8" w:space="0" w:color="881946"/>
              <w:right w:val="single" w:sz="8" w:space="0" w:color="881946"/>
            </w:tcBorders>
            <w:shd w:val="clear" w:color="auto" w:fill="auto"/>
            <w:noWrap/>
            <w:vAlign w:val="bottom"/>
          </w:tcPr>
          <w:p w14:paraId="4D18FB64"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 xml:space="preserve">John Hopkins </w:t>
            </w:r>
          </w:p>
        </w:tc>
      </w:tr>
      <w:tr w:rsidR="006A2454" w:rsidRPr="006A2454" w14:paraId="6CFB4B72"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auto" w:fill="auto"/>
            <w:noWrap/>
            <w:vAlign w:val="bottom"/>
          </w:tcPr>
          <w:p w14:paraId="56898127"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Export Finance and Insurance Corporation</w:t>
            </w:r>
          </w:p>
        </w:tc>
        <w:tc>
          <w:tcPr>
            <w:tcW w:w="3398" w:type="dxa"/>
            <w:tcBorders>
              <w:top w:val="nil"/>
              <w:left w:val="nil"/>
              <w:bottom w:val="single" w:sz="8" w:space="0" w:color="881946"/>
              <w:right w:val="single" w:sz="8" w:space="0" w:color="881946"/>
            </w:tcBorders>
            <w:shd w:val="clear" w:color="auto" w:fill="auto"/>
            <w:noWrap/>
            <w:vAlign w:val="bottom"/>
          </w:tcPr>
          <w:p w14:paraId="742C9273"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 xml:space="preserve">Swati Dave </w:t>
            </w:r>
          </w:p>
        </w:tc>
      </w:tr>
    </w:tbl>
    <w:p w14:paraId="28600E3E" w14:textId="77777777" w:rsidR="008C4017" w:rsidRDefault="008C4017">
      <w:r>
        <w:br w:type="page"/>
      </w:r>
    </w:p>
    <w:tbl>
      <w:tblPr>
        <w:tblW w:w="9006" w:type="dxa"/>
        <w:tblLook w:val="04A0" w:firstRow="1" w:lastRow="0" w:firstColumn="1" w:lastColumn="0" w:noHBand="0" w:noVBand="1"/>
      </w:tblPr>
      <w:tblGrid>
        <w:gridCol w:w="5608"/>
        <w:gridCol w:w="3398"/>
      </w:tblGrid>
      <w:tr w:rsidR="006A2454" w:rsidRPr="006A2454" w14:paraId="28687040" w14:textId="77777777" w:rsidTr="00B46545">
        <w:trPr>
          <w:trHeight w:val="315"/>
          <w:tblHeader/>
        </w:trPr>
        <w:tc>
          <w:tcPr>
            <w:tcW w:w="5608" w:type="dxa"/>
            <w:tcBorders>
              <w:top w:val="nil"/>
              <w:left w:val="single" w:sz="8" w:space="0" w:color="881946"/>
              <w:bottom w:val="single" w:sz="8" w:space="0" w:color="881946"/>
              <w:right w:val="single" w:sz="8" w:space="0" w:color="881946"/>
            </w:tcBorders>
            <w:shd w:val="clear" w:color="auto" w:fill="88194B"/>
            <w:noWrap/>
          </w:tcPr>
          <w:p w14:paraId="7F8A5669" w14:textId="08651194" w:rsidR="006A2454" w:rsidRPr="006A2454" w:rsidRDefault="006A2454" w:rsidP="000811AE">
            <w:pPr>
              <w:spacing w:after="0" w:line="240" w:lineRule="auto"/>
              <w:jc w:val="center"/>
              <w:rPr>
                <w:rFonts w:ascii="Calibri" w:eastAsia="Times New Roman" w:hAnsi="Calibri" w:cs="Calibri"/>
                <w:lang w:eastAsia="en-IN"/>
              </w:rPr>
            </w:pPr>
            <w:r w:rsidRPr="006A2454">
              <w:rPr>
                <w:rFonts w:ascii="Calibri" w:eastAsia="Times New Roman" w:hAnsi="Calibri" w:cs="Calibri"/>
                <w:color w:val="FFFFFF"/>
                <w:lang w:eastAsia="en-IN"/>
              </w:rPr>
              <w:lastRenderedPageBreak/>
              <w:t>Organisation Consulted</w:t>
            </w:r>
          </w:p>
        </w:tc>
        <w:tc>
          <w:tcPr>
            <w:tcW w:w="3398" w:type="dxa"/>
            <w:tcBorders>
              <w:top w:val="nil"/>
              <w:left w:val="nil"/>
              <w:bottom w:val="single" w:sz="8" w:space="0" w:color="881946"/>
              <w:right w:val="single" w:sz="8" w:space="0" w:color="881946"/>
            </w:tcBorders>
            <w:shd w:val="clear" w:color="auto" w:fill="88194B"/>
            <w:noWrap/>
          </w:tcPr>
          <w:p w14:paraId="7922000A" w14:textId="77777777" w:rsidR="006A2454" w:rsidRPr="006A2454" w:rsidRDefault="006A2454">
            <w:pPr>
              <w:spacing w:after="0" w:line="240" w:lineRule="auto"/>
              <w:jc w:val="center"/>
              <w:rPr>
                <w:rFonts w:ascii="Calibri" w:eastAsia="Times New Roman" w:hAnsi="Calibri" w:cs="Calibri"/>
                <w:lang w:eastAsia="en-IN"/>
              </w:rPr>
            </w:pPr>
            <w:r w:rsidRPr="006A2454">
              <w:rPr>
                <w:rFonts w:ascii="Calibri" w:eastAsia="Times New Roman" w:hAnsi="Calibri" w:cs="Calibri"/>
                <w:color w:val="FFFFFF"/>
                <w:lang w:eastAsia="en-IN"/>
              </w:rPr>
              <w:t>Name of Individual</w:t>
            </w:r>
          </w:p>
        </w:tc>
      </w:tr>
      <w:tr w:rsidR="006A2454" w:rsidRPr="006A2454" w14:paraId="69BE2A7E"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auto" w:fill="auto"/>
            <w:noWrap/>
            <w:vAlign w:val="bottom"/>
          </w:tcPr>
          <w:p w14:paraId="49A72163"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Export Finance and Insurance Corporation</w:t>
            </w:r>
          </w:p>
        </w:tc>
        <w:tc>
          <w:tcPr>
            <w:tcW w:w="3398" w:type="dxa"/>
            <w:tcBorders>
              <w:top w:val="nil"/>
              <w:left w:val="nil"/>
              <w:bottom w:val="single" w:sz="8" w:space="0" w:color="881946"/>
              <w:right w:val="single" w:sz="8" w:space="0" w:color="881946"/>
            </w:tcBorders>
            <w:shd w:val="clear" w:color="auto" w:fill="auto"/>
            <w:noWrap/>
            <w:vAlign w:val="bottom"/>
          </w:tcPr>
          <w:p w14:paraId="2BB8C083"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 xml:space="preserve">Stuart Neilson </w:t>
            </w:r>
          </w:p>
        </w:tc>
      </w:tr>
      <w:tr w:rsidR="006A2454" w:rsidRPr="006A2454" w14:paraId="3F9D86EC"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auto" w:fill="auto"/>
            <w:noWrap/>
            <w:vAlign w:val="bottom"/>
          </w:tcPr>
          <w:p w14:paraId="3F7119DC"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Export Finance and Insurance Corporation</w:t>
            </w:r>
          </w:p>
        </w:tc>
        <w:tc>
          <w:tcPr>
            <w:tcW w:w="3398" w:type="dxa"/>
            <w:tcBorders>
              <w:top w:val="nil"/>
              <w:left w:val="nil"/>
              <w:bottom w:val="single" w:sz="8" w:space="0" w:color="881946"/>
              <w:right w:val="single" w:sz="8" w:space="0" w:color="881946"/>
            </w:tcBorders>
            <w:shd w:val="clear" w:color="auto" w:fill="auto"/>
            <w:noWrap/>
            <w:vAlign w:val="bottom"/>
          </w:tcPr>
          <w:p w14:paraId="70F9F0F3"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 xml:space="preserve">John Hopkins </w:t>
            </w:r>
          </w:p>
        </w:tc>
      </w:tr>
      <w:tr w:rsidR="006A2454" w:rsidRPr="006A2454" w14:paraId="4C1166DD"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auto" w:fill="auto"/>
            <w:noWrap/>
            <w:vAlign w:val="bottom"/>
          </w:tcPr>
          <w:p w14:paraId="194DF443"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Export Finance and Insurance Corporation</w:t>
            </w:r>
          </w:p>
        </w:tc>
        <w:tc>
          <w:tcPr>
            <w:tcW w:w="3398" w:type="dxa"/>
            <w:tcBorders>
              <w:top w:val="nil"/>
              <w:left w:val="nil"/>
              <w:bottom w:val="single" w:sz="8" w:space="0" w:color="881946"/>
              <w:right w:val="single" w:sz="8" w:space="0" w:color="881946"/>
            </w:tcBorders>
            <w:shd w:val="clear" w:color="auto" w:fill="auto"/>
            <w:noWrap/>
            <w:vAlign w:val="bottom"/>
          </w:tcPr>
          <w:p w14:paraId="5EA070BA"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 xml:space="preserve">Stephen Farmer </w:t>
            </w:r>
          </w:p>
        </w:tc>
      </w:tr>
      <w:tr w:rsidR="006A2454" w:rsidRPr="006A2454" w14:paraId="4A46ABC2"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auto" w:fill="auto"/>
            <w:noWrap/>
            <w:vAlign w:val="bottom"/>
          </w:tcPr>
          <w:p w14:paraId="52A3F736"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Export Finance and Insurance Corporation</w:t>
            </w:r>
          </w:p>
        </w:tc>
        <w:tc>
          <w:tcPr>
            <w:tcW w:w="3398" w:type="dxa"/>
            <w:tcBorders>
              <w:top w:val="nil"/>
              <w:left w:val="nil"/>
              <w:bottom w:val="single" w:sz="8" w:space="0" w:color="881946"/>
              <w:right w:val="single" w:sz="8" w:space="0" w:color="881946"/>
            </w:tcBorders>
            <w:shd w:val="clear" w:color="auto" w:fill="auto"/>
            <w:noWrap/>
            <w:vAlign w:val="bottom"/>
          </w:tcPr>
          <w:p w14:paraId="774FC508"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Dougal Crawford</w:t>
            </w:r>
          </w:p>
        </w:tc>
      </w:tr>
      <w:tr w:rsidR="006A2454" w:rsidRPr="006A2454" w14:paraId="3283F208"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auto" w:fill="auto"/>
            <w:noWrap/>
            <w:vAlign w:val="bottom"/>
          </w:tcPr>
          <w:p w14:paraId="14380207"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ExxonMobil</w:t>
            </w:r>
          </w:p>
        </w:tc>
        <w:tc>
          <w:tcPr>
            <w:tcW w:w="3398" w:type="dxa"/>
            <w:tcBorders>
              <w:top w:val="nil"/>
              <w:left w:val="nil"/>
              <w:bottom w:val="single" w:sz="8" w:space="0" w:color="881946"/>
              <w:right w:val="single" w:sz="8" w:space="0" w:color="881946"/>
            </w:tcBorders>
            <w:shd w:val="clear" w:color="auto" w:fill="auto"/>
            <w:noWrap/>
            <w:vAlign w:val="bottom"/>
          </w:tcPr>
          <w:p w14:paraId="43B28422"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 xml:space="preserve">Lee </w:t>
            </w:r>
            <w:proofErr w:type="spellStart"/>
            <w:r w:rsidRPr="006A2454">
              <w:rPr>
                <w:rFonts w:ascii="Calibri" w:eastAsia="Times New Roman" w:hAnsi="Calibri" w:cs="Calibri"/>
                <w:lang w:eastAsia="en-IN"/>
              </w:rPr>
              <w:t>Dula</w:t>
            </w:r>
            <w:proofErr w:type="spellEnd"/>
          </w:p>
        </w:tc>
      </w:tr>
      <w:tr w:rsidR="006A2454" w:rsidRPr="006A2454" w14:paraId="6E138297"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000000" w:fill="FFFFFF"/>
            <w:noWrap/>
            <w:vAlign w:val="bottom"/>
          </w:tcPr>
          <w:p w14:paraId="0AE8E30B"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 xml:space="preserve">Fiji Development Bank </w:t>
            </w:r>
          </w:p>
        </w:tc>
        <w:tc>
          <w:tcPr>
            <w:tcW w:w="3398" w:type="dxa"/>
            <w:tcBorders>
              <w:top w:val="nil"/>
              <w:left w:val="nil"/>
              <w:bottom w:val="single" w:sz="8" w:space="0" w:color="881946"/>
              <w:right w:val="single" w:sz="8" w:space="0" w:color="881946"/>
            </w:tcBorders>
            <w:shd w:val="clear" w:color="auto" w:fill="auto"/>
            <w:noWrap/>
            <w:vAlign w:val="center"/>
          </w:tcPr>
          <w:p w14:paraId="235AD113"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Mark Clough</w:t>
            </w:r>
          </w:p>
        </w:tc>
      </w:tr>
      <w:tr w:rsidR="006A2454" w:rsidRPr="006A2454" w14:paraId="6002CB61"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000000" w:fill="FFFFFF"/>
            <w:noWrap/>
            <w:vAlign w:val="bottom"/>
          </w:tcPr>
          <w:p w14:paraId="7D85E000"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 xml:space="preserve">Fiji Development Bank </w:t>
            </w:r>
          </w:p>
        </w:tc>
        <w:tc>
          <w:tcPr>
            <w:tcW w:w="3398" w:type="dxa"/>
            <w:tcBorders>
              <w:top w:val="nil"/>
              <w:left w:val="nil"/>
              <w:bottom w:val="single" w:sz="8" w:space="0" w:color="881946"/>
              <w:right w:val="single" w:sz="8" w:space="0" w:color="881946"/>
            </w:tcBorders>
            <w:shd w:val="clear" w:color="auto" w:fill="auto"/>
            <w:noWrap/>
            <w:vAlign w:val="bottom"/>
          </w:tcPr>
          <w:p w14:paraId="13EF57AA"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Robert Lyon</w:t>
            </w:r>
          </w:p>
        </w:tc>
      </w:tr>
      <w:tr w:rsidR="006A2454" w:rsidRPr="006A2454" w14:paraId="46A32D4A"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auto" w:fill="auto"/>
            <w:noWrap/>
            <w:vAlign w:val="bottom"/>
          </w:tcPr>
          <w:p w14:paraId="66413209"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Global Impact Investing Network</w:t>
            </w:r>
          </w:p>
        </w:tc>
        <w:tc>
          <w:tcPr>
            <w:tcW w:w="3398" w:type="dxa"/>
            <w:tcBorders>
              <w:top w:val="nil"/>
              <w:left w:val="nil"/>
              <w:bottom w:val="single" w:sz="8" w:space="0" w:color="881946"/>
              <w:right w:val="single" w:sz="8" w:space="0" w:color="881946"/>
            </w:tcBorders>
            <w:shd w:val="clear" w:color="auto" w:fill="auto"/>
            <w:noWrap/>
            <w:vAlign w:val="bottom"/>
          </w:tcPr>
          <w:p w14:paraId="6E296F63"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 xml:space="preserve">Abhilash </w:t>
            </w:r>
            <w:proofErr w:type="spellStart"/>
            <w:r w:rsidRPr="006A2454">
              <w:rPr>
                <w:rFonts w:ascii="Calibri" w:eastAsia="Times New Roman" w:hAnsi="Calibri" w:cs="Calibri"/>
                <w:lang w:eastAsia="en-IN"/>
              </w:rPr>
              <w:t>Mudaliar</w:t>
            </w:r>
            <w:proofErr w:type="spellEnd"/>
          </w:p>
        </w:tc>
      </w:tr>
      <w:tr w:rsidR="006A2454" w:rsidRPr="006A2454" w14:paraId="33E9B086"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auto" w:fill="auto"/>
            <w:noWrap/>
            <w:vAlign w:val="center"/>
          </w:tcPr>
          <w:p w14:paraId="7D0D4154"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 xml:space="preserve">Global Infrastructure Facility </w:t>
            </w:r>
          </w:p>
        </w:tc>
        <w:tc>
          <w:tcPr>
            <w:tcW w:w="3398" w:type="dxa"/>
            <w:tcBorders>
              <w:top w:val="nil"/>
              <w:left w:val="nil"/>
              <w:bottom w:val="single" w:sz="8" w:space="0" w:color="881946"/>
              <w:right w:val="single" w:sz="8" w:space="0" w:color="881946"/>
            </w:tcBorders>
            <w:shd w:val="clear" w:color="auto" w:fill="auto"/>
            <w:noWrap/>
            <w:vAlign w:val="bottom"/>
          </w:tcPr>
          <w:p w14:paraId="00901E5E" w14:textId="77777777" w:rsidR="006A2454" w:rsidRPr="006A2454" w:rsidRDefault="006A2454">
            <w:pPr>
              <w:spacing w:after="0" w:line="240" w:lineRule="auto"/>
              <w:rPr>
                <w:rFonts w:ascii="Calibri" w:eastAsia="Times New Roman" w:hAnsi="Calibri" w:cs="Calibri"/>
                <w:lang w:eastAsia="en-IN"/>
              </w:rPr>
            </w:pPr>
            <w:proofErr w:type="spellStart"/>
            <w:r w:rsidRPr="006A2454">
              <w:rPr>
                <w:rFonts w:ascii="Calibri" w:eastAsia="Times New Roman" w:hAnsi="Calibri" w:cs="Calibri"/>
                <w:lang w:eastAsia="en-IN"/>
              </w:rPr>
              <w:t>Towfiqua</w:t>
            </w:r>
            <w:proofErr w:type="spellEnd"/>
            <w:r w:rsidRPr="006A2454">
              <w:rPr>
                <w:rFonts w:ascii="Calibri" w:eastAsia="Times New Roman" w:hAnsi="Calibri" w:cs="Calibri"/>
                <w:lang w:eastAsia="en-IN"/>
              </w:rPr>
              <w:t xml:space="preserve"> Hoque </w:t>
            </w:r>
          </w:p>
        </w:tc>
      </w:tr>
      <w:tr w:rsidR="006A2454" w:rsidRPr="006A2454" w14:paraId="551FA84E"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auto" w:fill="auto"/>
            <w:noWrap/>
            <w:vAlign w:val="center"/>
          </w:tcPr>
          <w:p w14:paraId="2725DD3F"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 xml:space="preserve">Global Infrastructure Facility </w:t>
            </w:r>
          </w:p>
        </w:tc>
        <w:tc>
          <w:tcPr>
            <w:tcW w:w="3398" w:type="dxa"/>
            <w:tcBorders>
              <w:top w:val="nil"/>
              <w:left w:val="nil"/>
              <w:bottom w:val="single" w:sz="8" w:space="0" w:color="881946"/>
              <w:right w:val="single" w:sz="8" w:space="0" w:color="881946"/>
            </w:tcBorders>
            <w:shd w:val="clear" w:color="auto" w:fill="auto"/>
            <w:noWrap/>
            <w:vAlign w:val="bottom"/>
          </w:tcPr>
          <w:p w14:paraId="72A593AF"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 xml:space="preserve">Jason </w:t>
            </w:r>
            <w:proofErr w:type="spellStart"/>
            <w:r w:rsidRPr="006A2454">
              <w:rPr>
                <w:rFonts w:ascii="Calibri" w:eastAsia="Times New Roman" w:hAnsi="Calibri" w:cs="Calibri"/>
                <w:lang w:eastAsia="en-IN"/>
              </w:rPr>
              <w:t>Zhengrong</w:t>
            </w:r>
            <w:proofErr w:type="spellEnd"/>
            <w:r w:rsidRPr="006A2454">
              <w:rPr>
                <w:rFonts w:ascii="Calibri" w:eastAsia="Times New Roman" w:hAnsi="Calibri" w:cs="Calibri"/>
                <w:lang w:eastAsia="en-IN"/>
              </w:rPr>
              <w:t xml:space="preserve"> </w:t>
            </w:r>
          </w:p>
        </w:tc>
      </w:tr>
      <w:tr w:rsidR="006A2454" w:rsidRPr="006A2454" w14:paraId="500488CF"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auto" w:fill="auto"/>
            <w:noWrap/>
            <w:vAlign w:val="center"/>
          </w:tcPr>
          <w:p w14:paraId="3A88A701"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 xml:space="preserve">Global Infrastructure Facility </w:t>
            </w:r>
          </w:p>
        </w:tc>
        <w:tc>
          <w:tcPr>
            <w:tcW w:w="3398" w:type="dxa"/>
            <w:tcBorders>
              <w:top w:val="nil"/>
              <w:left w:val="nil"/>
              <w:bottom w:val="single" w:sz="8" w:space="0" w:color="881946"/>
              <w:right w:val="single" w:sz="8" w:space="0" w:color="881946"/>
            </w:tcBorders>
            <w:shd w:val="clear" w:color="auto" w:fill="auto"/>
            <w:noWrap/>
            <w:vAlign w:val="bottom"/>
          </w:tcPr>
          <w:p w14:paraId="277BB612"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 xml:space="preserve">Kirti Devi </w:t>
            </w:r>
          </w:p>
        </w:tc>
      </w:tr>
      <w:tr w:rsidR="006A2454" w:rsidRPr="006A2454" w14:paraId="3FC6FCA8"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auto" w:fill="auto"/>
            <w:noWrap/>
            <w:vAlign w:val="bottom"/>
          </w:tcPr>
          <w:p w14:paraId="590156D9" w14:textId="77777777" w:rsidR="006A2454" w:rsidRPr="006A2454" w:rsidRDefault="006A2454" w:rsidP="000811AE">
            <w:pPr>
              <w:spacing w:after="0" w:line="240" w:lineRule="auto"/>
              <w:rPr>
                <w:rFonts w:ascii="Calibri" w:eastAsia="Times New Roman" w:hAnsi="Calibri" w:cs="Calibri"/>
                <w:lang w:eastAsia="en-IN"/>
              </w:rPr>
            </w:pPr>
            <w:proofErr w:type="spellStart"/>
            <w:r w:rsidRPr="006A2454">
              <w:rPr>
                <w:rFonts w:ascii="Calibri" w:eastAsia="Times New Roman" w:hAnsi="Calibri" w:cs="Calibri"/>
                <w:lang w:eastAsia="en-IN"/>
              </w:rPr>
              <w:t>Ifira</w:t>
            </w:r>
            <w:proofErr w:type="spellEnd"/>
            <w:r w:rsidRPr="006A2454">
              <w:rPr>
                <w:rFonts w:ascii="Calibri" w:eastAsia="Times New Roman" w:hAnsi="Calibri" w:cs="Calibri"/>
                <w:lang w:eastAsia="en-IN"/>
              </w:rPr>
              <w:t xml:space="preserve"> Ports Development Services Company Limited</w:t>
            </w:r>
          </w:p>
        </w:tc>
        <w:tc>
          <w:tcPr>
            <w:tcW w:w="3398" w:type="dxa"/>
            <w:tcBorders>
              <w:top w:val="nil"/>
              <w:left w:val="nil"/>
              <w:bottom w:val="single" w:sz="8" w:space="0" w:color="881946"/>
              <w:right w:val="single" w:sz="8" w:space="0" w:color="881946"/>
            </w:tcBorders>
            <w:shd w:val="clear" w:color="auto" w:fill="auto"/>
            <w:noWrap/>
            <w:vAlign w:val="bottom"/>
          </w:tcPr>
          <w:p w14:paraId="236DA105"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Russell Mitchell</w:t>
            </w:r>
          </w:p>
        </w:tc>
      </w:tr>
      <w:tr w:rsidR="006A2454" w:rsidRPr="006A2454" w14:paraId="32CB3686"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000000" w:fill="FFFFFF"/>
            <w:noWrap/>
          </w:tcPr>
          <w:p w14:paraId="4FD78994"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Indonesia Australia Infrastructure Partnership (KIAT)</w:t>
            </w:r>
          </w:p>
        </w:tc>
        <w:tc>
          <w:tcPr>
            <w:tcW w:w="3398" w:type="dxa"/>
            <w:tcBorders>
              <w:top w:val="nil"/>
              <w:left w:val="nil"/>
              <w:bottom w:val="single" w:sz="8" w:space="0" w:color="881946"/>
              <w:right w:val="single" w:sz="8" w:space="0" w:color="881946"/>
            </w:tcBorders>
            <w:shd w:val="clear" w:color="000000" w:fill="FFFFFF"/>
            <w:noWrap/>
            <w:vAlign w:val="bottom"/>
          </w:tcPr>
          <w:p w14:paraId="1AC5D6B9"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David Hawes</w:t>
            </w:r>
          </w:p>
        </w:tc>
      </w:tr>
      <w:tr w:rsidR="006A2454" w:rsidRPr="006A2454" w14:paraId="78D4490D"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000000" w:fill="FFFFFF"/>
            <w:noWrap/>
          </w:tcPr>
          <w:p w14:paraId="38F778D0"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Indonesia Australia Infrastructure Partnership (KIAT)</w:t>
            </w:r>
          </w:p>
        </w:tc>
        <w:tc>
          <w:tcPr>
            <w:tcW w:w="3398" w:type="dxa"/>
            <w:tcBorders>
              <w:top w:val="nil"/>
              <w:left w:val="nil"/>
              <w:bottom w:val="single" w:sz="8" w:space="0" w:color="881946"/>
              <w:right w:val="single" w:sz="8" w:space="0" w:color="881946"/>
            </w:tcBorders>
            <w:shd w:val="clear" w:color="000000" w:fill="FFFFFF"/>
            <w:noWrap/>
            <w:vAlign w:val="bottom"/>
          </w:tcPr>
          <w:p w14:paraId="08E29E01" w14:textId="77777777" w:rsidR="006A2454" w:rsidRPr="006A2454" w:rsidRDefault="006A2454">
            <w:pPr>
              <w:spacing w:after="0" w:line="240" w:lineRule="auto"/>
              <w:rPr>
                <w:rFonts w:ascii="Calibri" w:eastAsia="Times New Roman" w:hAnsi="Calibri" w:cs="Calibri"/>
                <w:lang w:eastAsia="en-IN"/>
              </w:rPr>
            </w:pPr>
            <w:proofErr w:type="spellStart"/>
            <w:r w:rsidRPr="006A2454">
              <w:rPr>
                <w:rFonts w:ascii="Calibri" w:eastAsia="Times New Roman" w:hAnsi="Calibri" w:cs="Calibri"/>
                <w:lang w:eastAsia="en-IN"/>
              </w:rPr>
              <w:t>Gizelle</w:t>
            </w:r>
            <w:proofErr w:type="spellEnd"/>
            <w:r w:rsidRPr="006A2454">
              <w:rPr>
                <w:rFonts w:ascii="Calibri" w:eastAsia="Times New Roman" w:hAnsi="Calibri" w:cs="Calibri"/>
                <w:lang w:eastAsia="en-IN"/>
              </w:rPr>
              <w:t xml:space="preserve"> Herrera </w:t>
            </w:r>
          </w:p>
        </w:tc>
      </w:tr>
      <w:tr w:rsidR="006A2454" w:rsidRPr="006A2454" w14:paraId="4C14DB9D"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000000" w:fill="FFFFFF"/>
            <w:noWrap/>
          </w:tcPr>
          <w:p w14:paraId="03037CE0"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Indonesia Australian Business Council</w:t>
            </w:r>
          </w:p>
        </w:tc>
        <w:tc>
          <w:tcPr>
            <w:tcW w:w="3398" w:type="dxa"/>
            <w:tcBorders>
              <w:top w:val="nil"/>
              <w:left w:val="nil"/>
              <w:bottom w:val="single" w:sz="8" w:space="0" w:color="881946"/>
              <w:right w:val="single" w:sz="8" w:space="0" w:color="881946"/>
            </w:tcBorders>
            <w:shd w:val="clear" w:color="000000" w:fill="FFFFFF"/>
            <w:noWrap/>
            <w:vAlign w:val="bottom"/>
          </w:tcPr>
          <w:p w14:paraId="37DA484F"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Peter Fanning</w:t>
            </w:r>
          </w:p>
        </w:tc>
      </w:tr>
      <w:tr w:rsidR="006A2454" w:rsidRPr="006A2454" w14:paraId="53291B0B"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000000" w:fill="FFFFFF"/>
            <w:noWrap/>
          </w:tcPr>
          <w:p w14:paraId="5739E981"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Indonesia Exim Bank</w:t>
            </w:r>
          </w:p>
        </w:tc>
        <w:tc>
          <w:tcPr>
            <w:tcW w:w="3398" w:type="dxa"/>
            <w:tcBorders>
              <w:top w:val="nil"/>
              <w:left w:val="nil"/>
              <w:bottom w:val="single" w:sz="8" w:space="0" w:color="881946"/>
              <w:right w:val="single" w:sz="8" w:space="0" w:color="881946"/>
            </w:tcBorders>
            <w:shd w:val="clear" w:color="000000" w:fill="FFFFFF"/>
            <w:noWrap/>
            <w:vAlign w:val="bottom"/>
          </w:tcPr>
          <w:p w14:paraId="63BFE10A" w14:textId="77777777" w:rsidR="006A2454" w:rsidRPr="006A2454" w:rsidRDefault="006A2454">
            <w:pPr>
              <w:spacing w:after="0" w:line="240" w:lineRule="auto"/>
              <w:rPr>
                <w:rFonts w:ascii="Calibri" w:eastAsia="Times New Roman" w:hAnsi="Calibri" w:cs="Calibri"/>
                <w:lang w:eastAsia="en-IN"/>
              </w:rPr>
            </w:pPr>
            <w:proofErr w:type="spellStart"/>
            <w:r w:rsidRPr="006A2454">
              <w:rPr>
                <w:rFonts w:ascii="Calibri" w:eastAsia="Times New Roman" w:hAnsi="Calibri" w:cs="Calibri"/>
                <w:lang w:eastAsia="en-IN"/>
              </w:rPr>
              <w:t>Sinthya</w:t>
            </w:r>
            <w:proofErr w:type="spellEnd"/>
            <w:r w:rsidRPr="006A2454">
              <w:rPr>
                <w:rFonts w:ascii="Calibri" w:eastAsia="Times New Roman" w:hAnsi="Calibri" w:cs="Calibri"/>
                <w:lang w:eastAsia="en-IN"/>
              </w:rPr>
              <w:t xml:space="preserve"> </w:t>
            </w:r>
            <w:proofErr w:type="spellStart"/>
            <w:r w:rsidRPr="006A2454">
              <w:rPr>
                <w:rFonts w:ascii="Calibri" w:eastAsia="Times New Roman" w:hAnsi="Calibri" w:cs="Calibri"/>
                <w:lang w:eastAsia="en-IN"/>
              </w:rPr>
              <w:t>Roesly</w:t>
            </w:r>
            <w:proofErr w:type="spellEnd"/>
          </w:p>
        </w:tc>
      </w:tr>
      <w:tr w:rsidR="006A2454" w:rsidRPr="006A2454" w14:paraId="0A73507C"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000000" w:fill="FFFFFF"/>
            <w:noWrap/>
          </w:tcPr>
          <w:p w14:paraId="6AFF49BD"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Indonesia Exim Bank</w:t>
            </w:r>
          </w:p>
        </w:tc>
        <w:tc>
          <w:tcPr>
            <w:tcW w:w="3398" w:type="dxa"/>
            <w:tcBorders>
              <w:top w:val="nil"/>
              <w:left w:val="nil"/>
              <w:bottom w:val="single" w:sz="8" w:space="0" w:color="881946"/>
              <w:right w:val="single" w:sz="8" w:space="0" w:color="881946"/>
            </w:tcBorders>
            <w:shd w:val="clear" w:color="000000" w:fill="FFFFFF"/>
            <w:noWrap/>
            <w:vAlign w:val="bottom"/>
          </w:tcPr>
          <w:p w14:paraId="5EBCC235"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 xml:space="preserve">Tito </w:t>
            </w:r>
            <w:proofErr w:type="spellStart"/>
            <w:r w:rsidRPr="006A2454">
              <w:rPr>
                <w:rFonts w:ascii="Calibri" w:eastAsia="Times New Roman" w:hAnsi="Calibri" w:cs="Calibri"/>
                <w:lang w:eastAsia="en-IN"/>
              </w:rPr>
              <w:t>Elvano</w:t>
            </w:r>
            <w:proofErr w:type="spellEnd"/>
            <w:r w:rsidRPr="006A2454">
              <w:rPr>
                <w:rFonts w:ascii="Calibri" w:eastAsia="Times New Roman" w:hAnsi="Calibri" w:cs="Calibri"/>
                <w:lang w:eastAsia="en-IN"/>
              </w:rPr>
              <w:t xml:space="preserve"> </w:t>
            </w:r>
          </w:p>
        </w:tc>
      </w:tr>
      <w:tr w:rsidR="006A2454" w:rsidRPr="006A2454" w14:paraId="207FF3E4"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000000" w:fill="FFFFFF"/>
            <w:noWrap/>
          </w:tcPr>
          <w:p w14:paraId="04E367BD"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 xml:space="preserve">Indonesia Infrastructure Finance </w:t>
            </w:r>
          </w:p>
        </w:tc>
        <w:tc>
          <w:tcPr>
            <w:tcW w:w="3398" w:type="dxa"/>
            <w:tcBorders>
              <w:top w:val="nil"/>
              <w:left w:val="nil"/>
              <w:bottom w:val="single" w:sz="8" w:space="0" w:color="881946"/>
              <w:right w:val="single" w:sz="8" w:space="0" w:color="881946"/>
            </w:tcBorders>
            <w:shd w:val="clear" w:color="000000" w:fill="FFFFFF"/>
            <w:noWrap/>
            <w:vAlign w:val="bottom"/>
          </w:tcPr>
          <w:p w14:paraId="230F641A" w14:textId="77777777" w:rsidR="006A2454" w:rsidRPr="006A2454" w:rsidRDefault="006A2454">
            <w:pPr>
              <w:spacing w:after="0" w:line="240" w:lineRule="auto"/>
              <w:rPr>
                <w:rFonts w:ascii="Calibri" w:eastAsia="Times New Roman" w:hAnsi="Calibri" w:cs="Calibri"/>
                <w:lang w:eastAsia="en-IN"/>
              </w:rPr>
            </w:pPr>
            <w:proofErr w:type="spellStart"/>
            <w:r w:rsidRPr="006A2454">
              <w:rPr>
                <w:rFonts w:ascii="Calibri" w:eastAsia="Times New Roman" w:hAnsi="Calibri" w:cs="Calibri"/>
                <w:lang w:eastAsia="en-IN"/>
              </w:rPr>
              <w:t>Wito</w:t>
            </w:r>
            <w:proofErr w:type="spellEnd"/>
            <w:r w:rsidRPr="006A2454">
              <w:rPr>
                <w:rFonts w:ascii="Calibri" w:eastAsia="Times New Roman" w:hAnsi="Calibri" w:cs="Calibri"/>
                <w:lang w:eastAsia="en-IN"/>
              </w:rPr>
              <w:t xml:space="preserve"> Tantra</w:t>
            </w:r>
          </w:p>
        </w:tc>
      </w:tr>
      <w:tr w:rsidR="006A2454" w:rsidRPr="006A2454" w14:paraId="73025F10"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000000" w:fill="FFFFFF"/>
            <w:noWrap/>
          </w:tcPr>
          <w:p w14:paraId="67BC3F60"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Indonesia Infrastructure Finance</w:t>
            </w:r>
          </w:p>
        </w:tc>
        <w:tc>
          <w:tcPr>
            <w:tcW w:w="3398" w:type="dxa"/>
            <w:tcBorders>
              <w:top w:val="nil"/>
              <w:left w:val="nil"/>
              <w:bottom w:val="single" w:sz="8" w:space="0" w:color="881946"/>
              <w:right w:val="single" w:sz="8" w:space="0" w:color="881946"/>
            </w:tcBorders>
            <w:shd w:val="clear" w:color="000000" w:fill="FFFFFF"/>
            <w:noWrap/>
            <w:vAlign w:val="bottom"/>
          </w:tcPr>
          <w:p w14:paraId="3BD84601" w14:textId="77777777" w:rsidR="006A2454" w:rsidRPr="006A2454" w:rsidRDefault="006A2454">
            <w:pPr>
              <w:spacing w:after="0" w:line="240" w:lineRule="auto"/>
              <w:rPr>
                <w:rFonts w:ascii="Calibri" w:eastAsia="Times New Roman" w:hAnsi="Calibri" w:cs="Calibri"/>
                <w:lang w:eastAsia="en-IN"/>
              </w:rPr>
            </w:pPr>
            <w:proofErr w:type="spellStart"/>
            <w:r w:rsidRPr="006A2454">
              <w:rPr>
                <w:rFonts w:ascii="Calibri" w:eastAsia="Times New Roman" w:hAnsi="Calibri" w:cs="Calibri"/>
                <w:lang w:eastAsia="en-IN"/>
              </w:rPr>
              <w:t>Irman</w:t>
            </w:r>
            <w:proofErr w:type="spellEnd"/>
            <w:r w:rsidRPr="006A2454">
              <w:rPr>
                <w:rFonts w:ascii="Calibri" w:eastAsia="Times New Roman" w:hAnsi="Calibri" w:cs="Calibri"/>
                <w:lang w:eastAsia="en-IN"/>
              </w:rPr>
              <w:t xml:space="preserve"> Boyle</w:t>
            </w:r>
          </w:p>
        </w:tc>
      </w:tr>
      <w:tr w:rsidR="006A2454" w:rsidRPr="006A2454" w14:paraId="25F6B9A9"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000000" w:fill="FFFFFF"/>
            <w:noWrap/>
          </w:tcPr>
          <w:p w14:paraId="3D05ECB0"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Indonesia Infrastructure Finance</w:t>
            </w:r>
          </w:p>
        </w:tc>
        <w:tc>
          <w:tcPr>
            <w:tcW w:w="3398" w:type="dxa"/>
            <w:tcBorders>
              <w:top w:val="nil"/>
              <w:left w:val="nil"/>
              <w:bottom w:val="single" w:sz="8" w:space="0" w:color="881946"/>
              <w:right w:val="single" w:sz="8" w:space="0" w:color="881946"/>
            </w:tcBorders>
            <w:shd w:val="clear" w:color="000000" w:fill="FFFFFF"/>
            <w:noWrap/>
            <w:vAlign w:val="bottom"/>
          </w:tcPr>
          <w:p w14:paraId="2755E9CA"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 xml:space="preserve">Harold </w:t>
            </w:r>
            <w:proofErr w:type="spellStart"/>
            <w:r w:rsidRPr="006A2454">
              <w:rPr>
                <w:rFonts w:ascii="Calibri" w:eastAsia="Times New Roman" w:hAnsi="Calibri" w:cs="Calibri"/>
                <w:lang w:eastAsia="en-IN"/>
              </w:rPr>
              <w:t>Tjiptadjaja</w:t>
            </w:r>
            <w:proofErr w:type="spellEnd"/>
          </w:p>
        </w:tc>
      </w:tr>
      <w:tr w:rsidR="006A2454" w:rsidRPr="006A2454" w14:paraId="733E6C1F"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000000" w:fill="FFFFFF"/>
            <w:noWrap/>
            <w:vAlign w:val="bottom"/>
          </w:tcPr>
          <w:p w14:paraId="053D429E"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 xml:space="preserve">Indonesia Infrastructure Guarantee Fund </w:t>
            </w:r>
          </w:p>
        </w:tc>
        <w:tc>
          <w:tcPr>
            <w:tcW w:w="3398" w:type="dxa"/>
            <w:tcBorders>
              <w:top w:val="nil"/>
              <w:left w:val="nil"/>
              <w:bottom w:val="single" w:sz="8" w:space="0" w:color="881946"/>
              <w:right w:val="single" w:sz="8" w:space="0" w:color="881946"/>
            </w:tcBorders>
            <w:shd w:val="clear" w:color="000000" w:fill="FFFFFF"/>
            <w:noWrap/>
            <w:vAlign w:val="bottom"/>
          </w:tcPr>
          <w:p w14:paraId="1A31600C"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Ahmad Zaki Arifin</w:t>
            </w:r>
          </w:p>
        </w:tc>
      </w:tr>
      <w:tr w:rsidR="006A2454" w:rsidRPr="006A2454" w14:paraId="738F6BC6"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000000" w:fill="FFFFFF"/>
            <w:noWrap/>
            <w:vAlign w:val="bottom"/>
          </w:tcPr>
          <w:p w14:paraId="3CC6D135"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Indonesia Infrastructure Guarantee Fund</w:t>
            </w:r>
          </w:p>
        </w:tc>
        <w:tc>
          <w:tcPr>
            <w:tcW w:w="3398" w:type="dxa"/>
            <w:tcBorders>
              <w:top w:val="nil"/>
              <w:left w:val="nil"/>
              <w:bottom w:val="single" w:sz="8" w:space="0" w:color="881946"/>
              <w:right w:val="single" w:sz="8" w:space="0" w:color="881946"/>
            </w:tcBorders>
            <w:shd w:val="clear" w:color="000000" w:fill="FFFFFF"/>
            <w:noWrap/>
            <w:vAlign w:val="bottom"/>
          </w:tcPr>
          <w:p w14:paraId="3254A01E" w14:textId="77777777" w:rsidR="006A2454" w:rsidRPr="006A2454" w:rsidRDefault="006A2454">
            <w:pPr>
              <w:spacing w:after="0" w:line="240" w:lineRule="auto"/>
              <w:rPr>
                <w:rFonts w:ascii="Calibri" w:eastAsia="Times New Roman" w:hAnsi="Calibri" w:cs="Calibri"/>
                <w:lang w:eastAsia="en-IN"/>
              </w:rPr>
            </w:pPr>
            <w:proofErr w:type="spellStart"/>
            <w:r w:rsidRPr="006A2454">
              <w:rPr>
                <w:rFonts w:ascii="Calibri" w:eastAsia="Times New Roman" w:hAnsi="Calibri" w:cs="Calibri"/>
                <w:lang w:eastAsia="en-IN"/>
              </w:rPr>
              <w:t>Rizka</w:t>
            </w:r>
            <w:proofErr w:type="spellEnd"/>
            <w:r w:rsidRPr="006A2454">
              <w:rPr>
                <w:rFonts w:ascii="Calibri" w:eastAsia="Times New Roman" w:hAnsi="Calibri" w:cs="Calibri"/>
                <w:lang w:eastAsia="en-IN"/>
              </w:rPr>
              <w:t xml:space="preserve"> </w:t>
            </w:r>
            <w:proofErr w:type="spellStart"/>
            <w:r w:rsidRPr="006A2454">
              <w:rPr>
                <w:rFonts w:ascii="Calibri" w:eastAsia="Times New Roman" w:hAnsi="Calibri" w:cs="Calibri"/>
                <w:lang w:eastAsia="en-IN"/>
              </w:rPr>
              <w:t>Anandita</w:t>
            </w:r>
            <w:proofErr w:type="spellEnd"/>
            <w:r w:rsidRPr="006A2454">
              <w:rPr>
                <w:rFonts w:ascii="Calibri" w:eastAsia="Times New Roman" w:hAnsi="Calibri" w:cs="Calibri"/>
                <w:lang w:eastAsia="en-IN"/>
              </w:rPr>
              <w:t xml:space="preserve"> Ramses</w:t>
            </w:r>
          </w:p>
        </w:tc>
      </w:tr>
      <w:tr w:rsidR="006A2454" w:rsidRPr="006A2454" w14:paraId="5385EC15"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000000" w:fill="FFFFFF"/>
            <w:noWrap/>
          </w:tcPr>
          <w:p w14:paraId="602672B4"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 xml:space="preserve">Indonesian Ministry of Finance </w:t>
            </w:r>
          </w:p>
        </w:tc>
        <w:tc>
          <w:tcPr>
            <w:tcW w:w="3398" w:type="dxa"/>
            <w:tcBorders>
              <w:top w:val="nil"/>
              <w:left w:val="nil"/>
              <w:bottom w:val="single" w:sz="8" w:space="0" w:color="881946"/>
              <w:right w:val="single" w:sz="8" w:space="0" w:color="881946"/>
            </w:tcBorders>
            <w:shd w:val="clear" w:color="000000" w:fill="FFFFFF"/>
            <w:noWrap/>
            <w:vAlign w:val="bottom"/>
          </w:tcPr>
          <w:p w14:paraId="3E0B5342" w14:textId="77777777" w:rsidR="006A2454" w:rsidRPr="006A2454" w:rsidRDefault="006A2454">
            <w:pPr>
              <w:spacing w:after="0" w:line="240" w:lineRule="auto"/>
              <w:rPr>
                <w:rFonts w:ascii="Calibri" w:eastAsia="Times New Roman" w:hAnsi="Calibri" w:cs="Calibri"/>
                <w:lang w:eastAsia="en-IN"/>
              </w:rPr>
            </w:pPr>
            <w:proofErr w:type="spellStart"/>
            <w:r w:rsidRPr="006A2454">
              <w:rPr>
                <w:rFonts w:ascii="Calibri" w:eastAsia="Times New Roman" w:hAnsi="Calibri" w:cs="Calibri"/>
                <w:lang w:eastAsia="en-IN"/>
              </w:rPr>
              <w:t>Arif</w:t>
            </w:r>
            <w:proofErr w:type="spellEnd"/>
            <w:r w:rsidRPr="006A2454">
              <w:rPr>
                <w:rFonts w:ascii="Calibri" w:eastAsia="Times New Roman" w:hAnsi="Calibri" w:cs="Calibri"/>
                <w:lang w:eastAsia="en-IN"/>
              </w:rPr>
              <w:t xml:space="preserve"> </w:t>
            </w:r>
            <w:proofErr w:type="spellStart"/>
            <w:r w:rsidRPr="006A2454">
              <w:rPr>
                <w:rFonts w:ascii="Calibri" w:eastAsia="Times New Roman" w:hAnsi="Calibri" w:cs="Calibri"/>
                <w:lang w:eastAsia="en-IN"/>
              </w:rPr>
              <w:t>Kelana</w:t>
            </w:r>
            <w:proofErr w:type="spellEnd"/>
            <w:r w:rsidRPr="006A2454">
              <w:rPr>
                <w:rFonts w:ascii="Calibri" w:eastAsia="Times New Roman" w:hAnsi="Calibri" w:cs="Calibri"/>
                <w:lang w:eastAsia="en-IN"/>
              </w:rPr>
              <w:t xml:space="preserve"> Putra</w:t>
            </w:r>
          </w:p>
        </w:tc>
      </w:tr>
      <w:tr w:rsidR="006A2454" w:rsidRPr="006A2454" w14:paraId="36BB5F5A"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000000" w:fill="FFFFFF"/>
            <w:noWrap/>
          </w:tcPr>
          <w:p w14:paraId="53BECB0D"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 xml:space="preserve">Indonesia Public Works </w:t>
            </w:r>
          </w:p>
        </w:tc>
        <w:tc>
          <w:tcPr>
            <w:tcW w:w="3398" w:type="dxa"/>
            <w:tcBorders>
              <w:top w:val="nil"/>
              <w:left w:val="nil"/>
              <w:bottom w:val="single" w:sz="8" w:space="0" w:color="881946"/>
              <w:right w:val="single" w:sz="8" w:space="0" w:color="881946"/>
            </w:tcBorders>
            <w:shd w:val="clear" w:color="000000" w:fill="FFFFFF"/>
            <w:noWrap/>
            <w:vAlign w:val="bottom"/>
          </w:tcPr>
          <w:p w14:paraId="5980A15D"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 xml:space="preserve">Agita </w:t>
            </w:r>
            <w:proofErr w:type="spellStart"/>
            <w:r w:rsidRPr="006A2454">
              <w:rPr>
                <w:rFonts w:ascii="Calibri" w:eastAsia="Times New Roman" w:hAnsi="Calibri" w:cs="Calibri"/>
                <w:lang w:eastAsia="en-IN"/>
              </w:rPr>
              <w:t>Widjayanto</w:t>
            </w:r>
            <w:proofErr w:type="spellEnd"/>
          </w:p>
        </w:tc>
      </w:tr>
      <w:tr w:rsidR="006A2454" w:rsidRPr="006A2454" w14:paraId="2D41FFA4"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auto" w:fill="auto"/>
            <w:noWrap/>
            <w:vAlign w:val="bottom"/>
          </w:tcPr>
          <w:p w14:paraId="4D45CF1E" w14:textId="77777777" w:rsidR="006A2454" w:rsidRPr="006A2454" w:rsidRDefault="006A2454" w:rsidP="000811AE">
            <w:pPr>
              <w:spacing w:after="0" w:line="240" w:lineRule="auto"/>
              <w:rPr>
                <w:rFonts w:ascii="Calibri" w:eastAsia="Times New Roman" w:hAnsi="Calibri" w:cs="Calibri"/>
                <w:lang w:eastAsia="en-IN"/>
              </w:rPr>
            </w:pPr>
            <w:proofErr w:type="spellStart"/>
            <w:r w:rsidRPr="006A2454">
              <w:rPr>
                <w:rFonts w:ascii="Calibri" w:eastAsia="Times New Roman" w:hAnsi="Calibri" w:cs="Calibri"/>
                <w:lang w:eastAsia="en-IN"/>
              </w:rPr>
              <w:t>InfraCo</w:t>
            </w:r>
            <w:proofErr w:type="spellEnd"/>
            <w:r w:rsidRPr="006A2454">
              <w:rPr>
                <w:rFonts w:ascii="Calibri" w:eastAsia="Times New Roman" w:hAnsi="Calibri" w:cs="Calibri"/>
                <w:lang w:eastAsia="en-IN"/>
              </w:rPr>
              <w:t xml:space="preserve"> Asia</w:t>
            </w:r>
          </w:p>
        </w:tc>
        <w:tc>
          <w:tcPr>
            <w:tcW w:w="3398" w:type="dxa"/>
            <w:tcBorders>
              <w:top w:val="nil"/>
              <w:left w:val="nil"/>
              <w:bottom w:val="single" w:sz="8" w:space="0" w:color="881946"/>
              <w:right w:val="single" w:sz="8" w:space="0" w:color="881946"/>
            </w:tcBorders>
            <w:shd w:val="clear" w:color="auto" w:fill="auto"/>
            <w:noWrap/>
            <w:vAlign w:val="bottom"/>
          </w:tcPr>
          <w:p w14:paraId="0A27A06C"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 xml:space="preserve">Allard </w:t>
            </w:r>
            <w:proofErr w:type="spellStart"/>
            <w:r w:rsidRPr="006A2454">
              <w:rPr>
                <w:rFonts w:ascii="Calibri" w:eastAsia="Times New Roman" w:hAnsi="Calibri" w:cs="Calibri"/>
                <w:lang w:eastAsia="en-IN"/>
              </w:rPr>
              <w:t>Nooy</w:t>
            </w:r>
            <w:proofErr w:type="spellEnd"/>
            <w:r w:rsidRPr="006A2454">
              <w:rPr>
                <w:rFonts w:ascii="Calibri" w:eastAsia="Times New Roman" w:hAnsi="Calibri" w:cs="Calibri"/>
                <w:lang w:eastAsia="en-IN"/>
              </w:rPr>
              <w:t xml:space="preserve"> </w:t>
            </w:r>
          </w:p>
        </w:tc>
      </w:tr>
      <w:tr w:rsidR="006A2454" w:rsidRPr="006A2454" w14:paraId="075EA0D8"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auto" w:fill="auto"/>
            <w:noWrap/>
            <w:vAlign w:val="bottom"/>
          </w:tcPr>
          <w:p w14:paraId="57F8F717" w14:textId="77777777" w:rsidR="006A2454" w:rsidRPr="006A2454" w:rsidRDefault="006A2454" w:rsidP="000811AE">
            <w:pPr>
              <w:spacing w:after="0" w:line="240" w:lineRule="auto"/>
              <w:rPr>
                <w:rFonts w:ascii="Calibri" w:eastAsia="Times New Roman" w:hAnsi="Calibri" w:cs="Calibri"/>
                <w:lang w:eastAsia="en-IN"/>
              </w:rPr>
            </w:pPr>
            <w:proofErr w:type="spellStart"/>
            <w:r w:rsidRPr="006A2454">
              <w:rPr>
                <w:rFonts w:ascii="Calibri" w:eastAsia="Times New Roman" w:hAnsi="Calibri" w:cs="Calibri"/>
                <w:lang w:eastAsia="en-IN"/>
              </w:rPr>
              <w:t>InfraCo</w:t>
            </w:r>
            <w:proofErr w:type="spellEnd"/>
            <w:r w:rsidRPr="006A2454">
              <w:rPr>
                <w:rFonts w:ascii="Calibri" w:eastAsia="Times New Roman" w:hAnsi="Calibri" w:cs="Calibri"/>
                <w:lang w:eastAsia="en-IN"/>
              </w:rPr>
              <w:t xml:space="preserve"> Asia</w:t>
            </w:r>
          </w:p>
        </w:tc>
        <w:tc>
          <w:tcPr>
            <w:tcW w:w="3398" w:type="dxa"/>
            <w:tcBorders>
              <w:top w:val="nil"/>
              <w:left w:val="nil"/>
              <w:bottom w:val="single" w:sz="8" w:space="0" w:color="881946"/>
              <w:right w:val="single" w:sz="8" w:space="0" w:color="881946"/>
            </w:tcBorders>
            <w:shd w:val="clear" w:color="auto" w:fill="auto"/>
            <w:noWrap/>
            <w:vAlign w:val="center"/>
          </w:tcPr>
          <w:p w14:paraId="052C1642"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Claudine Lim</w:t>
            </w:r>
          </w:p>
        </w:tc>
      </w:tr>
      <w:tr w:rsidR="006A2454" w:rsidRPr="006A2454" w14:paraId="73B465AF"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auto" w:fill="auto"/>
            <w:noWrap/>
            <w:vAlign w:val="bottom"/>
            <w:hideMark/>
          </w:tcPr>
          <w:p w14:paraId="544D4127" w14:textId="77777777" w:rsidR="006A2454" w:rsidRPr="006A2454" w:rsidRDefault="006A2454" w:rsidP="000811AE">
            <w:pPr>
              <w:spacing w:after="0" w:line="240" w:lineRule="auto"/>
              <w:rPr>
                <w:rFonts w:ascii="Calibri" w:eastAsia="Times New Roman" w:hAnsi="Calibri" w:cs="Calibri"/>
                <w:lang w:eastAsia="en-IN"/>
              </w:rPr>
            </w:pPr>
            <w:proofErr w:type="spellStart"/>
            <w:r w:rsidRPr="006A2454">
              <w:rPr>
                <w:rFonts w:ascii="Calibri" w:eastAsia="Times New Roman" w:hAnsi="Calibri" w:cs="Calibri"/>
                <w:lang w:eastAsia="en-IN"/>
              </w:rPr>
              <w:t>InfraCo</w:t>
            </w:r>
            <w:proofErr w:type="spellEnd"/>
            <w:r w:rsidRPr="006A2454">
              <w:rPr>
                <w:rFonts w:ascii="Calibri" w:eastAsia="Times New Roman" w:hAnsi="Calibri" w:cs="Calibri"/>
                <w:lang w:eastAsia="en-IN"/>
              </w:rPr>
              <w:t xml:space="preserve"> Asia</w:t>
            </w:r>
          </w:p>
        </w:tc>
        <w:tc>
          <w:tcPr>
            <w:tcW w:w="3398" w:type="dxa"/>
            <w:tcBorders>
              <w:top w:val="nil"/>
              <w:left w:val="nil"/>
              <w:bottom w:val="single" w:sz="8" w:space="0" w:color="881946"/>
              <w:right w:val="single" w:sz="8" w:space="0" w:color="881946"/>
            </w:tcBorders>
            <w:shd w:val="clear" w:color="auto" w:fill="auto"/>
            <w:noWrap/>
            <w:vAlign w:val="bottom"/>
            <w:hideMark/>
          </w:tcPr>
          <w:p w14:paraId="32C96855"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Karen Tsang-Hounsell</w:t>
            </w:r>
          </w:p>
        </w:tc>
      </w:tr>
      <w:tr w:rsidR="006A2454" w:rsidRPr="006A2454" w14:paraId="6716D7EB"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auto" w:fill="auto"/>
            <w:noWrap/>
            <w:vAlign w:val="bottom"/>
            <w:hideMark/>
          </w:tcPr>
          <w:p w14:paraId="6AADDE7C" w14:textId="77777777" w:rsidR="006A2454" w:rsidRPr="006A2454" w:rsidRDefault="006A2454" w:rsidP="000811AE">
            <w:pPr>
              <w:spacing w:after="0" w:line="240" w:lineRule="auto"/>
              <w:rPr>
                <w:rFonts w:ascii="Calibri" w:eastAsia="Times New Roman" w:hAnsi="Calibri" w:cs="Calibri"/>
                <w:lang w:eastAsia="en-IN"/>
              </w:rPr>
            </w:pPr>
            <w:proofErr w:type="spellStart"/>
            <w:r w:rsidRPr="006A2454">
              <w:rPr>
                <w:rFonts w:ascii="Calibri" w:eastAsia="Times New Roman" w:hAnsi="Calibri" w:cs="Calibri"/>
                <w:lang w:eastAsia="en-IN"/>
              </w:rPr>
              <w:t>InfraCo</w:t>
            </w:r>
            <w:proofErr w:type="spellEnd"/>
            <w:r w:rsidRPr="006A2454">
              <w:rPr>
                <w:rFonts w:ascii="Calibri" w:eastAsia="Times New Roman" w:hAnsi="Calibri" w:cs="Calibri"/>
                <w:lang w:eastAsia="en-IN"/>
              </w:rPr>
              <w:t xml:space="preserve"> Asia</w:t>
            </w:r>
          </w:p>
        </w:tc>
        <w:tc>
          <w:tcPr>
            <w:tcW w:w="3398" w:type="dxa"/>
            <w:tcBorders>
              <w:top w:val="nil"/>
              <w:left w:val="nil"/>
              <w:bottom w:val="single" w:sz="8" w:space="0" w:color="881946"/>
              <w:right w:val="single" w:sz="8" w:space="0" w:color="881946"/>
            </w:tcBorders>
            <w:shd w:val="clear" w:color="auto" w:fill="auto"/>
            <w:noWrap/>
            <w:vAlign w:val="bottom"/>
            <w:hideMark/>
          </w:tcPr>
          <w:p w14:paraId="2B3D3B40"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 xml:space="preserve">Karen </w:t>
            </w:r>
            <w:proofErr w:type="spellStart"/>
            <w:r w:rsidRPr="006A2454">
              <w:rPr>
                <w:rFonts w:ascii="Calibri" w:eastAsia="Times New Roman" w:hAnsi="Calibri" w:cs="Calibri"/>
                <w:lang w:eastAsia="en-IN"/>
              </w:rPr>
              <w:t>Mantell</w:t>
            </w:r>
            <w:proofErr w:type="spellEnd"/>
          </w:p>
        </w:tc>
      </w:tr>
      <w:tr w:rsidR="006A2454" w:rsidRPr="006A2454" w14:paraId="18286DF3"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auto" w:fill="auto"/>
            <w:noWrap/>
            <w:vAlign w:val="bottom"/>
            <w:hideMark/>
          </w:tcPr>
          <w:p w14:paraId="7266521F"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Infrastructure and Project Financing Agency</w:t>
            </w:r>
          </w:p>
        </w:tc>
        <w:tc>
          <w:tcPr>
            <w:tcW w:w="3398" w:type="dxa"/>
            <w:tcBorders>
              <w:top w:val="nil"/>
              <w:left w:val="nil"/>
              <w:bottom w:val="single" w:sz="8" w:space="0" w:color="881946"/>
              <w:right w:val="single" w:sz="8" w:space="0" w:color="881946"/>
            </w:tcBorders>
            <w:shd w:val="clear" w:color="auto" w:fill="auto"/>
            <w:noWrap/>
            <w:vAlign w:val="bottom"/>
            <w:hideMark/>
          </w:tcPr>
          <w:p w14:paraId="5A6963D9"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Leilani Frew</w:t>
            </w:r>
          </w:p>
        </w:tc>
      </w:tr>
      <w:tr w:rsidR="006A2454" w:rsidRPr="006A2454" w14:paraId="2B3EC9A8"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auto" w:fill="auto"/>
            <w:noWrap/>
            <w:vAlign w:val="bottom"/>
            <w:hideMark/>
          </w:tcPr>
          <w:p w14:paraId="620ECF41"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 xml:space="preserve">Infrastructure and Project Financing Agency </w:t>
            </w:r>
          </w:p>
        </w:tc>
        <w:tc>
          <w:tcPr>
            <w:tcW w:w="3398" w:type="dxa"/>
            <w:tcBorders>
              <w:top w:val="nil"/>
              <w:left w:val="nil"/>
              <w:bottom w:val="single" w:sz="8" w:space="0" w:color="881946"/>
              <w:right w:val="single" w:sz="8" w:space="0" w:color="881946"/>
            </w:tcBorders>
            <w:shd w:val="clear" w:color="auto" w:fill="auto"/>
            <w:noWrap/>
            <w:vAlign w:val="bottom"/>
            <w:hideMark/>
          </w:tcPr>
          <w:p w14:paraId="6D31D17E"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 xml:space="preserve">Bill </w:t>
            </w:r>
            <w:proofErr w:type="spellStart"/>
            <w:r w:rsidRPr="006A2454">
              <w:rPr>
                <w:rFonts w:ascii="Calibri" w:eastAsia="Times New Roman" w:hAnsi="Calibri" w:cs="Calibri"/>
                <w:lang w:eastAsia="en-IN"/>
              </w:rPr>
              <w:t>Brummitt</w:t>
            </w:r>
            <w:proofErr w:type="spellEnd"/>
            <w:r w:rsidRPr="006A2454">
              <w:rPr>
                <w:rFonts w:ascii="Calibri" w:eastAsia="Times New Roman" w:hAnsi="Calibri" w:cs="Calibri"/>
                <w:lang w:eastAsia="en-IN"/>
              </w:rPr>
              <w:t xml:space="preserve"> </w:t>
            </w:r>
          </w:p>
        </w:tc>
      </w:tr>
      <w:tr w:rsidR="006A2454" w:rsidRPr="006A2454" w14:paraId="25FE5817"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auto" w:fill="auto"/>
            <w:noWrap/>
            <w:vAlign w:val="bottom"/>
            <w:hideMark/>
          </w:tcPr>
          <w:p w14:paraId="22CB07AD"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 xml:space="preserve">Infrastructure and Project Financing Agency </w:t>
            </w:r>
          </w:p>
        </w:tc>
        <w:tc>
          <w:tcPr>
            <w:tcW w:w="3398" w:type="dxa"/>
            <w:tcBorders>
              <w:top w:val="nil"/>
              <w:left w:val="nil"/>
              <w:bottom w:val="single" w:sz="8" w:space="0" w:color="881946"/>
              <w:right w:val="single" w:sz="8" w:space="0" w:color="881946"/>
            </w:tcBorders>
            <w:shd w:val="clear" w:color="auto" w:fill="auto"/>
            <w:noWrap/>
            <w:vAlign w:val="bottom"/>
            <w:hideMark/>
          </w:tcPr>
          <w:p w14:paraId="61F242ED"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 xml:space="preserve">Margaret </w:t>
            </w:r>
            <w:proofErr w:type="spellStart"/>
            <w:r w:rsidRPr="006A2454">
              <w:rPr>
                <w:rFonts w:ascii="Calibri" w:eastAsia="Times New Roman" w:hAnsi="Calibri" w:cs="Calibri"/>
                <w:lang w:eastAsia="en-IN"/>
              </w:rPr>
              <w:t>Makeham</w:t>
            </w:r>
            <w:proofErr w:type="spellEnd"/>
            <w:r w:rsidRPr="006A2454">
              <w:rPr>
                <w:rFonts w:ascii="Calibri" w:eastAsia="Times New Roman" w:hAnsi="Calibri" w:cs="Calibri"/>
                <w:lang w:eastAsia="en-IN"/>
              </w:rPr>
              <w:t xml:space="preserve">-Kirchner </w:t>
            </w:r>
          </w:p>
        </w:tc>
      </w:tr>
      <w:tr w:rsidR="006A2454" w:rsidRPr="006A2454" w14:paraId="0A4113B2"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auto" w:fill="auto"/>
            <w:noWrap/>
            <w:vAlign w:val="bottom"/>
            <w:hideMark/>
          </w:tcPr>
          <w:p w14:paraId="2986239A"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Infrastructure and Project Financing Agency</w:t>
            </w:r>
          </w:p>
        </w:tc>
        <w:tc>
          <w:tcPr>
            <w:tcW w:w="3398" w:type="dxa"/>
            <w:tcBorders>
              <w:top w:val="nil"/>
              <w:left w:val="nil"/>
              <w:bottom w:val="single" w:sz="8" w:space="0" w:color="881946"/>
              <w:right w:val="single" w:sz="8" w:space="0" w:color="881946"/>
            </w:tcBorders>
            <w:shd w:val="clear" w:color="auto" w:fill="auto"/>
            <w:noWrap/>
            <w:vAlign w:val="bottom"/>
            <w:hideMark/>
          </w:tcPr>
          <w:p w14:paraId="1A109C18"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 xml:space="preserve">Nikolas </w:t>
            </w:r>
            <w:proofErr w:type="spellStart"/>
            <w:r w:rsidRPr="006A2454">
              <w:rPr>
                <w:rFonts w:ascii="Calibri" w:eastAsia="Times New Roman" w:hAnsi="Calibri" w:cs="Calibri"/>
                <w:lang w:eastAsia="en-IN"/>
              </w:rPr>
              <w:t>Yiannakopoulos</w:t>
            </w:r>
            <w:proofErr w:type="spellEnd"/>
          </w:p>
        </w:tc>
      </w:tr>
      <w:tr w:rsidR="006A2454" w:rsidRPr="006A2454" w14:paraId="6EF61EFD"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auto" w:fill="auto"/>
            <w:noWrap/>
            <w:vAlign w:val="bottom"/>
          </w:tcPr>
          <w:p w14:paraId="7D9D585F"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Innovative Agro</w:t>
            </w:r>
          </w:p>
        </w:tc>
        <w:tc>
          <w:tcPr>
            <w:tcW w:w="3398" w:type="dxa"/>
            <w:tcBorders>
              <w:top w:val="nil"/>
              <w:left w:val="nil"/>
              <w:bottom w:val="single" w:sz="8" w:space="0" w:color="881946"/>
              <w:right w:val="single" w:sz="8" w:space="0" w:color="881946"/>
            </w:tcBorders>
            <w:shd w:val="clear" w:color="auto" w:fill="auto"/>
            <w:noWrap/>
            <w:vAlign w:val="bottom"/>
          </w:tcPr>
          <w:p w14:paraId="18542402" w14:textId="77777777" w:rsidR="006A2454" w:rsidRPr="006A2454" w:rsidDel="008177A8" w:rsidRDefault="006A2454">
            <w:pPr>
              <w:spacing w:after="0" w:line="240" w:lineRule="auto"/>
              <w:rPr>
                <w:rFonts w:ascii="Calibri" w:eastAsia="Times New Roman" w:hAnsi="Calibri" w:cs="Calibri"/>
                <w:lang w:eastAsia="en-IN"/>
              </w:rPr>
            </w:pPr>
            <w:proofErr w:type="spellStart"/>
            <w:r w:rsidRPr="006A2454">
              <w:rPr>
                <w:rFonts w:ascii="Calibri" w:eastAsia="Times New Roman" w:hAnsi="Calibri" w:cs="Calibri"/>
                <w:lang w:eastAsia="en-IN"/>
              </w:rPr>
              <w:t>Ilan</w:t>
            </w:r>
            <w:proofErr w:type="spellEnd"/>
            <w:r w:rsidRPr="006A2454">
              <w:rPr>
                <w:rFonts w:ascii="Calibri" w:eastAsia="Times New Roman" w:hAnsi="Calibri" w:cs="Calibri"/>
                <w:lang w:eastAsia="en-IN"/>
              </w:rPr>
              <w:t xml:space="preserve"> Weiss</w:t>
            </w:r>
          </w:p>
        </w:tc>
      </w:tr>
      <w:tr w:rsidR="006A2454" w:rsidRPr="006A2454" w14:paraId="32931DA2"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auto" w:fill="auto"/>
            <w:noWrap/>
            <w:vAlign w:val="bottom"/>
            <w:hideMark/>
          </w:tcPr>
          <w:p w14:paraId="730FCDF0"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Institute of National Affairs</w:t>
            </w:r>
          </w:p>
        </w:tc>
        <w:tc>
          <w:tcPr>
            <w:tcW w:w="3398" w:type="dxa"/>
            <w:tcBorders>
              <w:top w:val="nil"/>
              <w:left w:val="nil"/>
              <w:bottom w:val="single" w:sz="8" w:space="0" w:color="881946"/>
              <w:right w:val="single" w:sz="8" w:space="0" w:color="881946"/>
            </w:tcBorders>
            <w:shd w:val="clear" w:color="auto" w:fill="auto"/>
            <w:noWrap/>
            <w:vAlign w:val="bottom"/>
            <w:hideMark/>
          </w:tcPr>
          <w:p w14:paraId="405C5E1C"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Paul Barker</w:t>
            </w:r>
          </w:p>
        </w:tc>
      </w:tr>
      <w:tr w:rsidR="006A2454" w:rsidRPr="006A2454" w14:paraId="2D835682"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auto" w:fill="auto"/>
            <w:noWrap/>
            <w:vAlign w:val="bottom"/>
            <w:hideMark/>
          </w:tcPr>
          <w:p w14:paraId="50E491F0"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International Finance Corporation</w:t>
            </w:r>
          </w:p>
        </w:tc>
        <w:tc>
          <w:tcPr>
            <w:tcW w:w="3398" w:type="dxa"/>
            <w:tcBorders>
              <w:top w:val="nil"/>
              <w:left w:val="nil"/>
              <w:bottom w:val="single" w:sz="8" w:space="0" w:color="881946"/>
              <w:right w:val="single" w:sz="8" w:space="0" w:color="881946"/>
            </w:tcBorders>
            <w:shd w:val="clear" w:color="auto" w:fill="auto"/>
            <w:noWrap/>
            <w:vAlign w:val="bottom"/>
            <w:hideMark/>
          </w:tcPr>
          <w:p w14:paraId="6BBF85F7"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John Vivian</w:t>
            </w:r>
          </w:p>
        </w:tc>
      </w:tr>
      <w:tr w:rsidR="006A2454" w:rsidRPr="006A2454" w14:paraId="4E583087"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auto" w:fill="auto"/>
            <w:noWrap/>
            <w:vAlign w:val="bottom"/>
            <w:hideMark/>
          </w:tcPr>
          <w:p w14:paraId="229A83C8"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International Finance Corporation</w:t>
            </w:r>
          </w:p>
        </w:tc>
        <w:tc>
          <w:tcPr>
            <w:tcW w:w="3398" w:type="dxa"/>
            <w:tcBorders>
              <w:top w:val="nil"/>
              <w:left w:val="nil"/>
              <w:bottom w:val="single" w:sz="8" w:space="0" w:color="881946"/>
              <w:right w:val="single" w:sz="8" w:space="0" w:color="881946"/>
            </w:tcBorders>
            <w:shd w:val="clear" w:color="auto" w:fill="auto"/>
            <w:noWrap/>
            <w:vAlign w:val="bottom"/>
            <w:hideMark/>
          </w:tcPr>
          <w:p w14:paraId="1CBE5F3C"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Johanna Klein</w:t>
            </w:r>
          </w:p>
        </w:tc>
      </w:tr>
      <w:tr w:rsidR="006A2454" w:rsidRPr="006A2454" w14:paraId="7F8746D3"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auto" w:fill="auto"/>
            <w:noWrap/>
            <w:vAlign w:val="bottom"/>
            <w:hideMark/>
          </w:tcPr>
          <w:p w14:paraId="284A7992"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International Finance Corporation</w:t>
            </w:r>
          </w:p>
        </w:tc>
        <w:tc>
          <w:tcPr>
            <w:tcW w:w="3398" w:type="dxa"/>
            <w:tcBorders>
              <w:top w:val="nil"/>
              <w:left w:val="nil"/>
              <w:bottom w:val="single" w:sz="8" w:space="0" w:color="881946"/>
              <w:right w:val="single" w:sz="8" w:space="0" w:color="881946"/>
            </w:tcBorders>
            <w:shd w:val="clear" w:color="auto" w:fill="auto"/>
            <w:noWrap/>
            <w:vAlign w:val="bottom"/>
            <w:hideMark/>
          </w:tcPr>
          <w:p w14:paraId="4C26974D"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Laird Reed</w:t>
            </w:r>
          </w:p>
        </w:tc>
      </w:tr>
      <w:tr w:rsidR="006A2454" w:rsidRPr="006A2454" w14:paraId="633C5B3A"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auto" w:fill="auto"/>
            <w:noWrap/>
            <w:vAlign w:val="bottom"/>
            <w:hideMark/>
          </w:tcPr>
          <w:p w14:paraId="03B51567"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International Finance Corporation</w:t>
            </w:r>
          </w:p>
        </w:tc>
        <w:tc>
          <w:tcPr>
            <w:tcW w:w="3398" w:type="dxa"/>
            <w:tcBorders>
              <w:top w:val="nil"/>
              <w:left w:val="nil"/>
              <w:bottom w:val="single" w:sz="8" w:space="0" w:color="881946"/>
              <w:right w:val="single" w:sz="8" w:space="0" w:color="881946"/>
            </w:tcBorders>
            <w:shd w:val="clear" w:color="auto" w:fill="auto"/>
            <w:noWrap/>
            <w:vAlign w:val="center"/>
            <w:hideMark/>
          </w:tcPr>
          <w:p w14:paraId="5502B090"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Michael Chae</w:t>
            </w:r>
          </w:p>
        </w:tc>
      </w:tr>
      <w:tr w:rsidR="006A2454" w:rsidRPr="006A2454" w14:paraId="5D6E5274"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auto" w:fill="auto"/>
            <w:noWrap/>
            <w:vAlign w:val="bottom"/>
            <w:hideMark/>
          </w:tcPr>
          <w:p w14:paraId="1D84B4E3"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International Finance Corporation</w:t>
            </w:r>
          </w:p>
        </w:tc>
        <w:tc>
          <w:tcPr>
            <w:tcW w:w="3398" w:type="dxa"/>
            <w:tcBorders>
              <w:top w:val="nil"/>
              <w:left w:val="nil"/>
              <w:bottom w:val="single" w:sz="8" w:space="0" w:color="881946"/>
              <w:right w:val="single" w:sz="8" w:space="0" w:color="881946"/>
            </w:tcBorders>
            <w:shd w:val="clear" w:color="auto" w:fill="auto"/>
            <w:noWrap/>
            <w:vAlign w:val="bottom"/>
            <w:hideMark/>
          </w:tcPr>
          <w:p w14:paraId="071C22C3" w14:textId="77777777" w:rsidR="006A2454" w:rsidRPr="006A2454" w:rsidRDefault="006A2454">
            <w:pPr>
              <w:spacing w:after="0" w:line="240" w:lineRule="auto"/>
              <w:rPr>
                <w:rFonts w:ascii="Calibri" w:eastAsia="Times New Roman" w:hAnsi="Calibri" w:cs="Calibri"/>
                <w:lang w:eastAsia="en-IN"/>
              </w:rPr>
            </w:pPr>
            <w:proofErr w:type="spellStart"/>
            <w:r w:rsidRPr="006A2454">
              <w:rPr>
                <w:rFonts w:ascii="Calibri" w:eastAsia="Times New Roman" w:hAnsi="Calibri" w:cs="Calibri"/>
                <w:lang w:eastAsia="en-IN"/>
              </w:rPr>
              <w:t>Milissa</w:t>
            </w:r>
            <w:proofErr w:type="spellEnd"/>
            <w:r w:rsidRPr="006A2454">
              <w:rPr>
                <w:rFonts w:ascii="Calibri" w:eastAsia="Times New Roman" w:hAnsi="Calibri" w:cs="Calibri"/>
                <w:lang w:eastAsia="en-IN"/>
              </w:rPr>
              <w:t xml:space="preserve"> Day</w:t>
            </w:r>
          </w:p>
        </w:tc>
      </w:tr>
      <w:tr w:rsidR="006A2454" w:rsidRPr="006A2454" w14:paraId="2751A41B"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auto" w:fill="auto"/>
            <w:noWrap/>
            <w:vAlign w:val="bottom"/>
            <w:hideMark/>
          </w:tcPr>
          <w:p w14:paraId="6C5E0E25"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International Finance Corporation</w:t>
            </w:r>
          </w:p>
        </w:tc>
        <w:tc>
          <w:tcPr>
            <w:tcW w:w="3398" w:type="dxa"/>
            <w:tcBorders>
              <w:top w:val="nil"/>
              <w:left w:val="nil"/>
              <w:bottom w:val="single" w:sz="8" w:space="0" w:color="881946"/>
              <w:right w:val="single" w:sz="8" w:space="0" w:color="881946"/>
            </w:tcBorders>
            <w:shd w:val="clear" w:color="auto" w:fill="auto"/>
            <w:noWrap/>
            <w:vAlign w:val="bottom"/>
            <w:hideMark/>
          </w:tcPr>
          <w:p w14:paraId="6F5191C2"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Thomas Jacobs</w:t>
            </w:r>
          </w:p>
        </w:tc>
      </w:tr>
      <w:tr w:rsidR="006A2454" w:rsidRPr="006A2454" w14:paraId="44F526BD"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auto" w:fill="auto"/>
            <w:noWrap/>
            <w:vAlign w:val="bottom"/>
            <w:hideMark/>
          </w:tcPr>
          <w:p w14:paraId="37079D2B"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lastRenderedPageBreak/>
              <w:t>International Finance Corporation</w:t>
            </w:r>
          </w:p>
        </w:tc>
        <w:tc>
          <w:tcPr>
            <w:tcW w:w="3398" w:type="dxa"/>
            <w:tcBorders>
              <w:top w:val="nil"/>
              <w:left w:val="nil"/>
              <w:bottom w:val="single" w:sz="8" w:space="0" w:color="881946"/>
              <w:right w:val="single" w:sz="8" w:space="0" w:color="881946"/>
            </w:tcBorders>
            <w:shd w:val="clear" w:color="auto" w:fill="auto"/>
            <w:noWrap/>
            <w:vAlign w:val="bottom"/>
            <w:hideMark/>
          </w:tcPr>
          <w:p w14:paraId="3A255330"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Daniel Street</w:t>
            </w:r>
          </w:p>
        </w:tc>
      </w:tr>
      <w:tr w:rsidR="006A2454" w:rsidRPr="006A2454" w14:paraId="06DB6FC4"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000000" w:fill="FFFFFF"/>
            <w:noWrap/>
            <w:hideMark/>
          </w:tcPr>
          <w:p w14:paraId="0BDBF362" w14:textId="1B88BDEB"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Japan International Cooperation Agency</w:t>
            </w:r>
            <w:r w:rsidR="0071103E">
              <w:rPr>
                <w:rFonts w:ascii="Calibri" w:eastAsia="Times New Roman" w:hAnsi="Calibri" w:cs="Calibri"/>
                <w:lang w:eastAsia="en-IN"/>
              </w:rPr>
              <w:t>—</w:t>
            </w:r>
            <w:r w:rsidRPr="006A2454">
              <w:rPr>
                <w:rFonts w:ascii="Calibri" w:eastAsia="Times New Roman" w:hAnsi="Calibri" w:cs="Calibri"/>
                <w:lang w:eastAsia="en-IN"/>
              </w:rPr>
              <w:t>Jakarta</w:t>
            </w:r>
          </w:p>
        </w:tc>
        <w:tc>
          <w:tcPr>
            <w:tcW w:w="3398" w:type="dxa"/>
            <w:tcBorders>
              <w:top w:val="nil"/>
              <w:left w:val="nil"/>
              <w:bottom w:val="single" w:sz="8" w:space="0" w:color="881946"/>
              <w:right w:val="single" w:sz="8" w:space="0" w:color="881946"/>
            </w:tcBorders>
            <w:shd w:val="clear" w:color="000000" w:fill="FFFFFF"/>
            <w:noWrap/>
            <w:vAlign w:val="bottom"/>
            <w:hideMark/>
          </w:tcPr>
          <w:p w14:paraId="1014BE76"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Tomoyuki Kawabata</w:t>
            </w:r>
          </w:p>
        </w:tc>
      </w:tr>
      <w:tr w:rsidR="006A2454" w:rsidRPr="006A2454" w14:paraId="49060964"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000000" w:fill="FFFFFF"/>
            <w:noWrap/>
            <w:hideMark/>
          </w:tcPr>
          <w:p w14:paraId="2B5B5CD7" w14:textId="67EA9E7D"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Japan International Cooperation Agency</w:t>
            </w:r>
            <w:r w:rsidR="0071103E">
              <w:rPr>
                <w:rFonts w:ascii="Calibri" w:eastAsia="Times New Roman" w:hAnsi="Calibri" w:cs="Calibri"/>
                <w:lang w:eastAsia="en-IN"/>
              </w:rPr>
              <w:t>—</w:t>
            </w:r>
            <w:r w:rsidRPr="006A2454">
              <w:rPr>
                <w:rFonts w:ascii="Calibri" w:eastAsia="Times New Roman" w:hAnsi="Calibri" w:cs="Calibri"/>
                <w:lang w:eastAsia="en-IN"/>
              </w:rPr>
              <w:t>Jakarta</w:t>
            </w:r>
          </w:p>
        </w:tc>
        <w:tc>
          <w:tcPr>
            <w:tcW w:w="3398" w:type="dxa"/>
            <w:tcBorders>
              <w:top w:val="nil"/>
              <w:left w:val="nil"/>
              <w:bottom w:val="single" w:sz="8" w:space="0" w:color="881946"/>
              <w:right w:val="single" w:sz="8" w:space="0" w:color="881946"/>
            </w:tcBorders>
            <w:shd w:val="clear" w:color="000000" w:fill="FFFFFF"/>
            <w:noWrap/>
            <w:vAlign w:val="bottom"/>
            <w:hideMark/>
          </w:tcPr>
          <w:p w14:paraId="6B056524"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Mariko Toyoda</w:t>
            </w:r>
          </w:p>
        </w:tc>
      </w:tr>
      <w:tr w:rsidR="006A2454" w:rsidRPr="006A2454" w14:paraId="790C7205"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auto" w:fill="auto"/>
            <w:noWrap/>
            <w:vAlign w:val="bottom"/>
            <w:hideMark/>
          </w:tcPr>
          <w:p w14:paraId="07A33027" w14:textId="2ECF0225"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Japan International Cooperation Agency</w:t>
            </w:r>
            <w:r w:rsidR="0071103E">
              <w:rPr>
                <w:rFonts w:ascii="Calibri" w:eastAsia="Times New Roman" w:hAnsi="Calibri" w:cs="Calibri"/>
                <w:lang w:eastAsia="en-IN"/>
              </w:rPr>
              <w:t>—</w:t>
            </w:r>
            <w:r w:rsidRPr="006A2454">
              <w:rPr>
                <w:rFonts w:ascii="Calibri" w:eastAsia="Times New Roman" w:hAnsi="Calibri" w:cs="Calibri"/>
                <w:lang w:eastAsia="en-IN"/>
              </w:rPr>
              <w:t>Vanuatu</w:t>
            </w:r>
          </w:p>
        </w:tc>
        <w:tc>
          <w:tcPr>
            <w:tcW w:w="3398" w:type="dxa"/>
            <w:tcBorders>
              <w:top w:val="nil"/>
              <w:left w:val="nil"/>
              <w:bottom w:val="single" w:sz="8" w:space="0" w:color="881946"/>
              <w:right w:val="single" w:sz="8" w:space="0" w:color="881946"/>
            </w:tcBorders>
            <w:shd w:val="clear" w:color="auto" w:fill="auto"/>
            <w:noWrap/>
            <w:vAlign w:val="bottom"/>
            <w:hideMark/>
          </w:tcPr>
          <w:p w14:paraId="1A7AEE16"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Ohara Katsuhiko</w:t>
            </w:r>
          </w:p>
        </w:tc>
      </w:tr>
      <w:tr w:rsidR="006A2454" w:rsidRPr="006A2454" w14:paraId="4962DDB1"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000000" w:fill="FFFFFF"/>
            <w:noWrap/>
            <w:hideMark/>
          </w:tcPr>
          <w:p w14:paraId="6D7F1436" w14:textId="56920C06" w:rsidR="006A2454" w:rsidRPr="006A2454" w:rsidRDefault="006A2454" w:rsidP="000811AE">
            <w:pPr>
              <w:spacing w:after="0" w:line="240" w:lineRule="auto"/>
              <w:rPr>
                <w:rFonts w:ascii="Calibri" w:eastAsia="Times New Roman" w:hAnsi="Calibri" w:cs="Calibri"/>
                <w:lang w:eastAsia="en-IN"/>
              </w:rPr>
            </w:pPr>
            <w:proofErr w:type="spellStart"/>
            <w:r w:rsidRPr="006A2454">
              <w:rPr>
                <w:rFonts w:ascii="Calibri" w:eastAsia="Times New Roman" w:hAnsi="Calibri" w:cs="Calibri"/>
                <w:lang w:eastAsia="en-IN"/>
              </w:rPr>
              <w:t>KfW</w:t>
            </w:r>
            <w:proofErr w:type="spellEnd"/>
            <w:r w:rsidRPr="006A2454">
              <w:rPr>
                <w:rFonts w:ascii="Calibri" w:eastAsia="Times New Roman" w:hAnsi="Calibri" w:cs="Calibri"/>
                <w:lang w:eastAsia="en-IN"/>
              </w:rPr>
              <w:t xml:space="preserve"> Group</w:t>
            </w:r>
            <w:r w:rsidR="0071103E">
              <w:rPr>
                <w:rFonts w:ascii="Calibri" w:eastAsia="Times New Roman" w:hAnsi="Calibri" w:cs="Calibri"/>
                <w:lang w:eastAsia="en-IN"/>
              </w:rPr>
              <w:t>—</w:t>
            </w:r>
            <w:r w:rsidRPr="006A2454">
              <w:rPr>
                <w:rFonts w:ascii="Calibri" w:eastAsia="Times New Roman" w:hAnsi="Calibri" w:cs="Calibri"/>
                <w:lang w:eastAsia="en-IN"/>
              </w:rPr>
              <w:t>Jakarta</w:t>
            </w:r>
          </w:p>
        </w:tc>
        <w:tc>
          <w:tcPr>
            <w:tcW w:w="3398" w:type="dxa"/>
            <w:tcBorders>
              <w:top w:val="nil"/>
              <w:left w:val="nil"/>
              <w:bottom w:val="single" w:sz="8" w:space="0" w:color="881946"/>
              <w:right w:val="single" w:sz="8" w:space="0" w:color="881946"/>
            </w:tcBorders>
            <w:shd w:val="clear" w:color="000000" w:fill="FFFFFF"/>
            <w:noWrap/>
            <w:vAlign w:val="bottom"/>
            <w:hideMark/>
          </w:tcPr>
          <w:p w14:paraId="3F37591F"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 xml:space="preserve">Jens Wirth </w:t>
            </w:r>
          </w:p>
        </w:tc>
      </w:tr>
      <w:tr w:rsidR="006A2454" w:rsidRPr="006A2454" w14:paraId="2A65CA23"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auto" w:fill="auto"/>
            <w:noWrap/>
            <w:vAlign w:val="bottom"/>
            <w:hideMark/>
          </w:tcPr>
          <w:p w14:paraId="70DFAA90"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Kina Bank</w:t>
            </w:r>
          </w:p>
        </w:tc>
        <w:tc>
          <w:tcPr>
            <w:tcW w:w="3398" w:type="dxa"/>
            <w:tcBorders>
              <w:top w:val="nil"/>
              <w:left w:val="nil"/>
              <w:bottom w:val="single" w:sz="8" w:space="0" w:color="881946"/>
              <w:right w:val="single" w:sz="8" w:space="0" w:color="881946"/>
            </w:tcBorders>
            <w:shd w:val="clear" w:color="auto" w:fill="auto"/>
            <w:noWrap/>
            <w:vAlign w:val="bottom"/>
            <w:hideMark/>
          </w:tcPr>
          <w:p w14:paraId="4F9F394B"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Greg Pawson</w:t>
            </w:r>
          </w:p>
        </w:tc>
      </w:tr>
      <w:tr w:rsidR="006A2454" w:rsidRPr="006A2454" w14:paraId="19FD42C3"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000000" w:fill="FFFFFF"/>
            <w:noWrap/>
            <w:hideMark/>
          </w:tcPr>
          <w:p w14:paraId="1E087D07" w14:textId="77777777" w:rsidR="006A2454" w:rsidRPr="00C80B3F" w:rsidRDefault="006A2454" w:rsidP="000811AE">
            <w:pPr>
              <w:spacing w:after="0" w:line="240" w:lineRule="auto"/>
              <w:rPr>
                <w:rFonts w:ascii="Calibri" w:eastAsia="Times New Roman" w:hAnsi="Calibri" w:cs="Calibri"/>
                <w:lang w:val="es-US" w:eastAsia="en-IN"/>
              </w:rPr>
            </w:pPr>
            <w:proofErr w:type="spellStart"/>
            <w:r w:rsidRPr="00C80B3F">
              <w:rPr>
                <w:rFonts w:ascii="Calibri" w:eastAsia="Times New Roman" w:hAnsi="Calibri" w:cs="Calibri"/>
                <w:lang w:val="es-US" w:eastAsia="en-IN"/>
              </w:rPr>
              <w:t>Komite</w:t>
            </w:r>
            <w:proofErr w:type="spellEnd"/>
            <w:r w:rsidRPr="00C80B3F">
              <w:rPr>
                <w:rFonts w:ascii="Calibri" w:eastAsia="Times New Roman" w:hAnsi="Calibri" w:cs="Calibri"/>
                <w:lang w:val="es-US" w:eastAsia="en-IN"/>
              </w:rPr>
              <w:t xml:space="preserve"> </w:t>
            </w:r>
            <w:proofErr w:type="spellStart"/>
            <w:r w:rsidRPr="00C80B3F">
              <w:rPr>
                <w:rFonts w:ascii="Calibri" w:eastAsia="Times New Roman" w:hAnsi="Calibri" w:cs="Calibri"/>
                <w:lang w:val="es-US" w:eastAsia="en-IN"/>
              </w:rPr>
              <w:t>Percepatan</w:t>
            </w:r>
            <w:proofErr w:type="spellEnd"/>
            <w:r w:rsidRPr="00C80B3F">
              <w:rPr>
                <w:rFonts w:ascii="Calibri" w:eastAsia="Times New Roman" w:hAnsi="Calibri" w:cs="Calibri"/>
                <w:lang w:val="es-US" w:eastAsia="en-IN"/>
              </w:rPr>
              <w:t xml:space="preserve"> </w:t>
            </w:r>
            <w:proofErr w:type="spellStart"/>
            <w:r w:rsidRPr="00C80B3F">
              <w:rPr>
                <w:rFonts w:ascii="Calibri" w:eastAsia="Times New Roman" w:hAnsi="Calibri" w:cs="Calibri"/>
                <w:lang w:val="es-US" w:eastAsia="en-IN"/>
              </w:rPr>
              <w:t>Penyediaan</w:t>
            </w:r>
            <w:proofErr w:type="spellEnd"/>
            <w:r w:rsidRPr="00C80B3F">
              <w:rPr>
                <w:rFonts w:ascii="Calibri" w:eastAsia="Times New Roman" w:hAnsi="Calibri" w:cs="Calibri"/>
                <w:lang w:val="es-US" w:eastAsia="en-IN"/>
              </w:rPr>
              <w:t xml:space="preserve"> </w:t>
            </w:r>
            <w:proofErr w:type="spellStart"/>
            <w:r w:rsidRPr="00C80B3F">
              <w:rPr>
                <w:rFonts w:ascii="Calibri" w:eastAsia="Times New Roman" w:hAnsi="Calibri" w:cs="Calibri"/>
                <w:lang w:val="es-US" w:eastAsia="en-IN"/>
              </w:rPr>
              <w:t>Infrastruktur</w:t>
            </w:r>
            <w:proofErr w:type="spellEnd"/>
            <w:r w:rsidRPr="00C80B3F">
              <w:rPr>
                <w:rFonts w:ascii="Calibri" w:eastAsia="Times New Roman" w:hAnsi="Calibri" w:cs="Calibri"/>
                <w:lang w:val="es-US" w:eastAsia="en-IN"/>
              </w:rPr>
              <w:t xml:space="preserve"> </w:t>
            </w:r>
            <w:proofErr w:type="spellStart"/>
            <w:r w:rsidRPr="00C80B3F">
              <w:rPr>
                <w:rFonts w:ascii="Calibri" w:eastAsia="Times New Roman" w:hAnsi="Calibri" w:cs="Calibri"/>
                <w:lang w:val="es-US" w:eastAsia="en-IN"/>
              </w:rPr>
              <w:t>Prioritas</w:t>
            </w:r>
            <w:proofErr w:type="spellEnd"/>
            <w:r w:rsidRPr="00C80B3F">
              <w:rPr>
                <w:rFonts w:ascii="Calibri" w:eastAsia="Times New Roman" w:hAnsi="Calibri" w:cs="Calibri"/>
                <w:lang w:val="es-US" w:eastAsia="en-IN"/>
              </w:rPr>
              <w:t xml:space="preserve"> (KPPIP)</w:t>
            </w:r>
          </w:p>
        </w:tc>
        <w:tc>
          <w:tcPr>
            <w:tcW w:w="3398" w:type="dxa"/>
            <w:tcBorders>
              <w:top w:val="nil"/>
              <w:left w:val="nil"/>
              <w:bottom w:val="single" w:sz="8" w:space="0" w:color="881946"/>
              <w:right w:val="single" w:sz="8" w:space="0" w:color="881946"/>
            </w:tcBorders>
            <w:shd w:val="clear" w:color="000000" w:fill="FFFFFF"/>
            <w:noWrap/>
            <w:vAlign w:val="bottom"/>
            <w:hideMark/>
          </w:tcPr>
          <w:p w14:paraId="46B146FD"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 xml:space="preserve">Nanda </w:t>
            </w:r>
            <w:proofErr w:type="spellStart"/>
            <w:r w:rsidRPr="006A2454">
              <w:rPr>
                <w:rFonts w:ascii="Calibri" w:eastAsia="Times New Roman" w:hAnsi="Calibri" w:cs="Calibri"/>
                <w:lang w:eastAsia="en-IN"/>
              </w:rPr>
              <w:t>Erian</w:t>
            </w:r>
            <w:proofErr w:type="spellEnd"/>
          </w:p>
        </w:tc>
      </w:tr>
      <w:tr w:rsidR="006A2454" w:rsidRPr="006A2454" w14:paraId="14E85262"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000000" w:fill="FFFFFF"/>
            <w:noWrap/>
          </w:tcPr>
          <w:p w14:paraId="23F6E711" w14:textId="77777777" w:rsidR="006A2454" w:rsidRPr="00C80B3F" w:rsidRDefault="006A2454" w:rsidP="000811AE">
            <w:pPr>
              <w:spacing w:after="0" w:line="240" w:lineRule="auto"/>
              <w:rPr>
                <w:rFonts w:ascii="Calibri" w:eastAsia="Times New Roman" w:hAnsi="Calibri" w:cs="Calibri"/>
                <w:lang w:val="es-US" w:eastAsia="en-IN"/>
              </w:rPr>
            </w:pPr>
            <w:proofErr w:type="spellStart"/>
            <w:r w:rsidRPr="00C80B3F">
              <w:rPr>
                <w:rFonts w:ascii="Calibri" w:eastAsia="Times New Roman" w:hAnsi="Calibri" w:cs="Calibri"/>
                <w:lang w:val="es-US" w:eastAsia="en-IN"/>
              </w:rPr>
              <w:t>Komite</w:t>
            </w:r>
            <w:proofErr w:type="spellEnd"/>
            <w:r w:rsidRPr="00C80B3F">
              <w:rPr>
                <w:rFonts w:ascii="Calibri" w:eastAsia="Times New Roman" w:hAnsi="Calibri" w:cs="Calibri"/>
                <w:lang w:val="es-US" w:eastAsia="en-IN"/>
              </w:rPr>
              <w:t xml:space="preserve"> </w:t>
            </w:r>
            <w:proofErr w:type="spellStart"/>
            <w:r w:rsidRPr="00C80B3F">
              <w:rPr>
                <w:rFonts w:ascii="Calibri" w:eastAsia="Times New Roman" w:hAnsi="Calibri" w:cs="Calibri"/>
                <w:lang w:val="es-US" w:eastAsia="en-IN"/>
              </w:rPr>
              <w:t>Percepatan</w:t>
            </w:r>
            <w:proofErr w:type="spellEnd"/>
            <w:r w:rsidRPr="00C80B3F">
              <w:rPr>
                <w:rFonts w:ascii="Calibri" w:eastAsia="Times New Roman" w:hAnsi="Calibri" w:cs="Calibri"/>
                <w:lang w:val="es-US" w:eastAsia="en-IN"/>
              </w:rPr>
              <w:t xml:space="preserve"> </w:t>
            </w:r>
            <w:proofErr w:type="spellStart"/>
            <w:r w:rsidRPr="00C80B3F">
              <w:rPr>
                <w:rFonts w:ascii="Calibri" w:eastAsia="Times New Roman" w:hAnsi="Calibri" w:cs="Calibri"/>
                <w:lang w:val="es-US" w:eastAsia="en-IN"/>
              </w:rPr>
              <w:t>Penyediaan</w:t>
            </w:r>
            <w:proofErr w:type="spellEnd"/>
            <w:r w:rsidRPr="00C80B3F">
              <w:rPr>
                <w:rFonts w:ascii="Calibri" w:eastAsia="Times New Roman" w:hAnsi="Calibri" w:cs="Calibri"/>
                <w:lang w:val="es-US" w:eastAsia="en-IN"/>
              </w:rPr>
              <w:t xml:space="preserve"> </w:t>
            </w:r>
            <w:proofErr w:type="spellStart"/>
            <w:r w:rsidRPr="00C80B3F">
              <w:rPr>
                <w:rFonts w:ascii="Calibri" w:eastAsia="Times New Roman" w:hAnsi="Calibri" w:cs="Calibri"/>
                <w:lang w:val="es-US" w:eastAsia="en-IN"/>
              </w:rPr>
              <w:t>Infrastruktur</w:t>
            </w:r>
            <w:proofErr w:type="spellEnd"/>
            <w:r w:rsidRPr="00C80B3F">
              <w:rPr>
                <w:rFonts w:ascii="Calibri" w:eastAsia="Times New Roman" w:hAnsi="Calibri" w:cs="Calibri"/>
                <w:lang w:val="es-US" w:eastAsia="en-IN"/>
              </w:rPr>
              <w:t xml:space="preserve"> </w:t>
            </w:r>
            <w:proofErr w:type="spellStart"/>
            <w:r w:rsidRPr="00C80B3F">
              <w:rPr>
                <w:rFonts w:ascii="Calibri" w:eastAsia="Times New Roman" w:hAnsi="Calibri" w:cs="Calibri"/>
                <w:lang w:val="es-US" w:eastAsia="en-IN"/>
              </w:rPr>
              <w:t>Prioritas</w:t>
            </w:r>
            <w:proofErr w:type="spellEnd"/>
            <w:r w:rsidRPr="00C80B3F">
              <w:rPr>
                <w:rFonts w:ascii="Calibri" w:eastAsia="Times New Roman" w:hAnsi="Calibri" w:cs="Calibri"/>
                <w:lang w:val="es-US" w:eastAsia="en-IN"/>
              </w:rPr>
              <w:t xml:space="preserve"> (KPPIP)</w:t>
            </w:r>
          </w:p>
        </w:tc>
        <w:tc>
          <w:tcPr>
            <w:tcW w:w="3398" w:type="dxa"/>
            <w:tcBorders>
              <w:top w:val="nil"/>
              <w:left w:val="nil"/>
              <w:bottom w:val="single" w:sz="8" w:space="0" w:color="881946"/>
              <w:right w:val="single" w:sz="8" w:space="0" w:color="881946"/>
            </w:tcBorders>
            <w:shd w:val="clear" w:color="000000" w:fill="FFFFFF"/>
            <w:noWrap/>
            <w:vAlign w:val="bottom"/>
          </w:tcPr>
          <w:p w14:paraId="520B41CE" w14:textId="77777777" w:rsidR="006A2454" w:rsidRPr="006A2454" w:rsidRDefault="006A2454">
            <w:pPr>
              <w:spacing w:after="0" w:line="240" w:lineRule="auto"/>
              <w:rPr>
                <w:rFonts w:ascii="Calibri" w:eastAsia="Times New Roman" w:hAnsi="Calibri" w:cs="Calibri"/>
                <w:lang w:eastAsia="en-IN"/>
              </w:rPr>
            </w:pPr>
            <w:proofErr w:type="spellStart"/>
            <w:r w:rsidRPr="006A2454">
              <w:rPr>
                <w:rFonts w:ascii="Calibri" w:eastAsia="Times New Roman" w:hAnsi="Calibri" w:cs="Calibri"/>
                <w:lang w:eastAsia="en-IN"/>
              </w:rPr>
              <w:t>Putera</w:t>
            </w:r>
            <w:proofErr w:type="spellEnd"/>
            <w:r w:rsidRPr="006A2454">
              <w:rPr>
                <w:rFonts w:ascii="Calibri" w:eastAsia="Times New Roman" w:hAnsi="Calibri" w:cs="Calibri"/>
                <w:lang w:eastAsia="en-IN"/>
              </w:rPr>
              <w:t xml:space="preserve"> Utama</w:t>
            </w:r>
          </w:p>
        </w:tc>
      </w:tr>
      <w:tr w:rsidR="006A2454" w:rsidRPr="006A2454" w14:paraId="6A1F470E"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000000" w:fill="FFFFFF"/>
            <w:noWrap/>
            <w:hideMark/>
          </w:tcPr>
          <w:p w14:paraId="2FAD2536" w14:textId="77777777" w:rsidR="006A2454" w:rsidRPr="00C80B3F" w:rsidRDefault="006A2454" w:rsidP="000811AE">
            <w:pPr>
              <w:spacing w:after="0" w:line="240" w:lineRule="auto"/>
              <w:rPr>
                <w:rFonts w:ascii="Calibri" w:eastAsia="Times New Roman" w:hAnsi="Calibri" w:cs="Calibri"/>
                <w:lang w:val="es-US" w:eastAsia="en-IN"/>
              </w:rPr>
            </w:pPr>
            <w:proofErr w:type="spellStart"/>
            <w:r w:rsidRPr="00C80B3F">
              <w:rPr>
                <w:rFonts w:ascii="Calibri" w:eastAsia="Times New Roman" w:hAnsi="Calibri" w:cs="Calibri"/>
                <w:lang w:val="es-US" w:eastAsia="en-IN"/>
              </w:rPr>
              <w:t>Komite</w:t>
            </w:r>
            <w:proofErr w:type="spellEnd"/>
            <w:r w:rsidRPr="00C80B3F">
              <w:rPr>
                <w:rFonts w:ascii="Calibri" w:eastAsia="Times New Roman" w:hAnsi="Calibri" w:cs="Calibri"/>
                <w:lang w:val="es-US" w:eastAsia="en-IN"/>
              </w:rPr>
              <w:t xml:space="preserve"> </w:t>
            </w:r>
            <w:proofErr w:type="spellStart"/>
            <w:r w:rsidRPr="00C80B3F">
              <w:rPr>
                <w:rFonts w:ascii="Calibri" w:eastAsia="Times New Roman" w:hAnsi="Calibri" w:cs="Calibri"/>
                <w:lang w:val="es-US" w:eastAsia="en-IN"/>
              </w:rPr>
              <w:t>Percepatan</w:t>
            </w:r>
            <w:proofErr w:type="spellEnd"/>
            <w:r w:rsidRPr="00C80B3F">
              <w:rPr>
                <w:rFonts w:ascii="Calibri" w:eastAsia="Times New Roman" w:hAnsi="Calibri" w:cs="Calibri"/>
                <w:lang w:val="es-US" w:eastAsia="en-IN"/>
              </w:rPr>
              <w:t xml:space="preserve"> </w:t>
            </w:r>
            <w:proofErr w:type="spellStart"/>
            <w:r w:rsidRPr="00C80B3F">
              <w:rPr>
                <w:rFonts w:ascii="Calibri" w:eastAsia="Times New Roman" w:hAnsi="Calibri" w:cs="Calibri"/>
                <w:lang w:val="es-US" w:eastAsia="en-IN"/>
              </w:rPr>
              <w:t>Penyediaan</w:t>
            </w:r>
            <w:proofErr w:type="spellEnd"/>
            <w:r w:rsidRPr="00C80B3F">
              <w:rPr>
                <w:rFonts w:ascii="Calibri" w:eastAsia="Times New Roman" w:hAnsi="Calibri" w:cs="Calibri"/>
                <w:lang w:val="es-US" w:eastAsia="en-IN"/>
              </w:rPr>
              <w:t xml:space="preserve"> </w:t>
            </w:r>
            <w:proofErr w:type="spellStart"/>
            <w:r w:rsidRPr="00C80B3F">
              <w:rPr>
                <w:rFonts w:ascii="Calibri" w:eastAsia="Times New Roman" w:hAnsi="Calibri" w:cs="Calibri"/>
                <w:lang w:val="es-US" w:eastAsia="en-IN"/>
              </w:rPr>
              <w:t>Infrastruktur</w:t>
            </w:r>
            <w:proofErr w:type="spellEnd"/>
            <w:r w:rsidRPr="00C80B3F">
              <w:rPr>
                <w:rFonts w:ascii="Calibri" w:eastAsia="Times New Roman" w:hAnsi="Calibri" w:cs="Calibri"/>
                <w:lang w:val="es-US" w:eastAsia="en-IN"/>
              </w:rPr>
              <w:t xml:space="preserve"> </w:t>
            </w:r>
            <w:proofErr w:type="spellStart"/>
            <w:r w:rsidRPr="00C80B3F">
              <w:rPr>
                <w:rFonts w:ascii="Calibri" w:eastAsia="Times New Roman" w:hAnsi="Calibri" w:cs="Calibri"/>
                <w:lang w:val="es-US" w:eastAsia="en-IN"/>
              </w:rPr>
              <w:t>Prioritas</w:t>
            </w:r>
            <w:proofErr w:type="spellEnd"/>
            <w:r w:rsidRPr="00C80B3F">
              <w:rPr>
                <w:rFonts w:ascii="Calibri" w:eastAsia="Times New Roman" w:hAnsi="Calibri" w:cs="Calibri"/>
                <w:lang w:val="es-US" w:eastAsia="en-IN"/>
              </w:rPr>
              <w:t xml:space="preserve"> (KPPIP)</w:t>
            </w:r>
          </w:p>
        </w:tc>
        <w:tc>
          <w:tcPr>
            <w:tcW w:w="3398" w:type="dxa"/>
            <w:tcBorders>
              <w:top w:val="nil"/>
              <w:left w:val="nil"/>
              <w:bottom w:val="single" w:sz="8" w:space="0" w:color="881946"/>
              <w:right w:val="single" w:sz="8" w:space="0" w:color="881946"/>
            </w:tcBorders>
            <w:shd w:val="clear" w:color="000000" w:fill="FFFFFF"/>
            <w:vAlign w:val="bottom"/>
            <w:hideMark/>
          </w:tcPr>
          <w:p w14:paraId="20795785"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 xml:space="preserve">Joseph </w:t>
            </w:r>
            <w:proofErr w:type="spellStart"/>
            <w:r w:rsidRPr="006A2454">
              <w:rPr>
                <w:rFonts w:ascii="Calibri" w:eastAsia="Times New Roman" w:hAnsi="Calibri" w:cs="Calibri"/>
                <w:lang w:eastAsia="en-IN"/>
              </w:rPr>
              <w:t>Tobing</w:t>
            </w:r>
            <w:proofErr w:type="spellEnd"/>
          </w:p>
        </w:tc>
      </w:tr>
      <w:tr w:rsidR="006A2454" w:rsidRPr="006A2454" w14:paraId="336FEF58"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000000" w:fill="FFFFFF"/>
            <w:noWrap/>
            <w:hideMark/>
          </w:tcPr>
          <w:p w14:paraId="4CF5D7B3"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 xml:space="preserve">Korea International Cooperation Agency </w:t>
            </w:r>
          </w:p>
        </w:tc>
        <w:tc>
          <w:tcPr>
            <w:tcW w:w="3398" w:type="dxa"/>
            <w:tcBorders>
              <w:top w:val="nil"/>
              <w:left w:val="nil"/>
              <w:bottom w:val="single" w:sz="8" w:space="0" w:color="881946"/>
              <w:right w:val="single" w:sz="8" w:space="0" w:color="881946"/>
            </w:tcBorders>
            <w:shd w:val="clear" w:color="000000" w:fill="FFFFFF"/>
            <w:vAlign w:val="bottom"/>
            <w:hideMark/>
          </w:tcPr>
          <w:p w14:paraId="0E60D249" w14:textId="77777777" w:rsidR="006A2454" w:rsidRPr="006A2454" w:rsidRDefault="006A2454">
            <w:pPr>
              <w:spacing w:after="0" w:line="240" w:lineRule="auto"/>
              <w:rPr>
                <w:rFonts w:ascii="Calibri" w:eastAsia="Times New Roman" w:hAnsi="Calibri" w:cs="Calibri"/>
                <w:lang w:eastAsia="en-IN"/>
              </w:rPr>
            </w:pPr>
            <w:proofErr w:type="spellStart"/>
            <w:r w:rsidRPr="006A2454">
              <w:rPr>
                <w:rFonts w:ascii="Calibri" w:eastAsia="Times New Roman" w:hAnsi="Calibri" w:cs="Calibri"/>
                <w:lang w:eastAsia="en-IN"/>
              </w:rPr>
              <w:t>Jeong</w:t>
            </w:r>
            <w:proofErr w:type="spellEnd"/>
            <w:r w:rsidRPr="006A2454">
              <w:rPr>
                <w:rFonts w:ascii="Calibri" w:eastAsia="Times New Roman" w:hAnsi="Calibri" w:cs="Calibri"/>
                <w:lang w:eastAsia="en-IN"/>
              </w:rPr>
              <w:t xml:space="preserve"> </w:t>
            </w:r>
            <w:proofErr w:type="spellStart"/>
            <w:r w:rsidRPr="006A2454">
              <w:rPr>
                <w:rFonts w:ascii="Calibri" w:eastAsia="Times New Roman" w:hAnsi="Calibri" w:cs="Calibri"/>
                <w:lang w:eastAsia="en-IN"/>
              </w:rPr>
              <w:t>Hoejin</w:t>
            </w:r>
            <w:proofErr w:type="spellEnd"/>
          </w:p>
        </w:tc>
      </w:tr>
      <w:tr w:rsidR="006A2454" w:rsidRPr="006A2454" w14:paraId="21D6BD3C"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auto" w:fill="auto"/>
            <w:vAlign w:val="bottom"/>
            <w:hideMark/>
          </w:tcPr>
          <w:p w14:paraId="683DDEFB" w14:textId="77777777" w:rsidR="006A2454" w:rsidRPr="006A2454" w:rsidRDefault="006A2454" w:rsidP="000811AE">
            <w:pPr>
              <w:spacing w:after="0" w:line="240" w:lineRule="auto"/>
              <w:rPr>
                <w:rFonts w:ascii="Calibri" w:eastAsia="Times New Roman" w:hAnsi="Calibri" w:cs="Calibri"/>
                <w:lang w:eastAsia="en-IN"/>
              </w:rPr>
            </w:pPr>
            <w:proofErr w:type="spellStart"/>
            <w:r w:rsidRPr="006A2454">
              <w:rPr>
                <w:rFonts w:ascii="Calibri" w:eastAsia="Times New Roman" w:hAnsi="Calibri" w:cs="Calibri"/>
                <w:lang w:eastAsia="en-IN"/>
              </w:rPr>
              <w:t>Kumul</w:t>
            </w:r>
            <w:proofErr w:type="spellEnd"/>
            <w:r w:rsidRPr="006A2454">
              <w:rPr>
                <w:rFonts w:ascii="Calibri" w:eastAsia="Times New Roman" w:hAnsi="Calibri" w:cs="Calibri"/>
                <w:lang w:eastAsia="en-IN"/>
              </w:rPr>
              <w:t xml:space="preserve"> Consolidated Holdings</w:t>
            </w:r>
          </w:p>
        </w:tc>
        <w:tc>
          <w:tcPr>
            <w:tcW w:w="3398" w:type="dxa"/>
            <w:tcBorders>
              <w:top w:val="nil"/>
              <w:left w:val="nil"/>
              <w:bottom w:val="single" w:sz="8" w:space="0" w:color="881946"/>
              <w:right w:val="single" w:sz="8" w:space="0" w:color="881946"/>
            </w:tcBorders>
            <w:shd w:val="clear" w:color="auto" w:fill="auto"/>
            <w:noWrap/>
            <w:vAlign w:val="bottom"/>
            <w:hideMark/>
          </w:tcPr>
          <w:p w14:paraId="28A01F1F"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Darren Young</w:t>
            </w:r>
          </w:p>
        </w:tc>
      </w:tr>
      <w:tr w:rsidR="006A2454" w:rsidRPr="006A2454" w14:paraId="2410F8EE"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auto" w:fill="auto"/>
            <w:vAlign w:val="bottom"/>
            <w:hideMark/>
          </w:tcPr>
          <w:p w14:paraId="46265986"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Lowy Institute</w:t>
            </w:r>
          </w:p>
        </w:tc>
        <w:tc>
          <w:tcPr>
            <w:tcW w:w="3398" w:type="dxa"/>
            <w:tcBorders>
              <w:top w:val="nil"/>
              <w:left w:val="nil"/>
              <w:bottom w:val="single" w:sz="8" w:space="0" w:color="881946"/>
              <w:right w:val="single" w:sz="8" w:space="0" w:color="881946"/>
            </w:tcBorders>
            <w:shd w:val="clear" w:color="auto" w:fill="auto"/>
            <w:noWrap/>
            <w:vAlign w:val="center"/>
            <w:hideMark/>
          </w:tcPr>
          <w:p w14:paraId="48454265"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 xml:space="preserve">Jonathon </w:t>
            </w:r>
            <w:proofErr w:type="spellStart"/>
            <w:r w:rsidRPr="006A2454">
              <w:rPr>
                <w:rFonts w:ascii="Calibri" w:eastAsia="Times New Roman" w:hAnsi="Calibri" w:cs="Calibri"/>
                <w:lang w:eastAsia="en-IN"/>
              </w:rPr>
              <w:t>Pryke</w:t>
            </w:r>
            <w:proofErr w:type="spellEnd"/>
          </w:p>
        </w:tc>
      </w:tr>
      <w:tr w:rsidR="006A2454" w:rsidRPr="006A2454" w14:paraId="46BE52BF"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auto" w:fill="auto"/>
            <w:noWrap/>
            <w:vAlign w:val="bottom"/>
          </w:tcPr>
          <w:p w14:paraId="3A2A8CF1"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Lowy Institute</w:t>
            </w:r>
          </w:p>
        </w:tc>
        <w:tc>
          <w:tcPr>
            <w:tcW w:w="3398" w:type="dxa"/>
            <w:tcBorders>
              <w:top w:val="nil"/>
              <w:left w:val="nil"/>
              <w:bottom w:val="single" w:sz="8" w:space="0" w:color="881946"/>
              <w:right w:val="single" w:sz="8" w:space="0" w:color="881946"/>
            </w:tcBorders>
            <w:shd w:val="clear" w:color="auto" w:fill="auto"/>
            <w:vAlign w:val="bottom"/>
          </w:tcPr>
          <w:p w14:paraId="0D6DC229"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Roland Rajah</w:t>
            </w:r>
          </w:p>
        </w:tc>
      </w:tr>
      <w:tr w:rsidR="006A2454" w:rsidRPr="006A2454" w14:paraId="5109A078"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auto" w:fill="auto"/>
            <w:noWrap/>
            <w:vAlign w:val="bottom"/>
          </w:tcPr>
          <w:p w14:paraId="0E79378A" w14:textId="77777777" w:rsidR="006A2454" w:rsidRPr="006A2454" w:rsidDel="000C4C95"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Manufacturers Council</w:t>
            </w:r>
          </w:p>
        </w:tc>
        <w:tc>
          <w:tcPr>
            <w:tcW w:w="3398" w:type="dxa"/>
            <w:tcBorders>
              <w:top w:val="nil"/>
              <w:left w:val="nil"/>
              <w:bottom w:val="single" w:sz="8" w:space="0" w:color="881946"/>
              <w:right w:val="single" w:sz="8" w:space="0" w:color="881946"/>
            </w:tcBorders>
            <w:shd w:val="clear" w:color="auto" w:fill="auto"/>
            <w:vAlign w:val="bottom"/>
          </w:tcPr>
          <w:p w14:paraId="5B546DEA"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 xml:space="preserve">Chey </w:t>
            </w:r>
            <w:proofErr w:type="spellStart"/>
            <w:r w:rsidRPr="006A2454">
              <w:rPr>
                <w:rFonts w:ascii="Calibri" w:eastAsia="Times New Roman" w:hAnsi="Calibri" w:cs="Calibri"/>
                <w:lang w:eastAsia="en-IN"/>
              </w:rPr>
              <w:t>Scovell</w:t>
            </w:r>
            <w:proofErr w:type="spellEnd"/>
          </w:p>
        </w:tc>
      </w:tr>
      <w:tr w:rsidR="006A2454" w:rsidRPr="006A2454" w14:paraId="1E19045F"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auto" w:fill="auto"/>
            <w:noWrap/>
            <w:vAlign w:val="bottom"/>
          </w:tcPr>
          <w:p w14:paraId="795DFC19" w14:textId="77777777" w:rsidR="006A2454" w:rsidRPr="006A2454" w:rsidRDefault="006A2454" w:rsidP="000811AE">
            <w:pPr>
              <w:spacing w:after="0" w:line="240" w:lineRule="auto"/>
              <w:rPr>
                <w:rFonts w:ascii="Calibri" w:eastAsia="Times New Roman" w:hAnsi="Calibri" w:cs="Calibri"/>
                <w:lang w:eastAsia="en-IN"/>
              </w:rPr>
            </w:pPr>
            <w:proofErr w:type="spellStart"/>
            <w:r w:rsidRPr="006A2454">
              <w:rPr>
                <w:rFonts w:ascii="Calibri" w:eastAsia="Times New Roman" w:hAnsi="Calibri" w:cs="Calibri"/>
                <w:lang w:eastAsia="en-IN"/>
              </w:rPr>
              <w:t>Nambawan</w:t>
            </w:r>
            <w:proofErr w:type="spellEnd"/>
            <w:r w:rsidRPr="006A2454">
              <w:rPr>
                <w:rFonts w:ascii="Calibri" w:eastAsia="Times New Roman" w:hAnsi="Calibri" w:cs="Calibri"/>
                <w:lang w:eastAsia="en-IN"/>
              </w:rPr>
              <w:t xml:space="preserve"> Super</w:t>
            </w:r>
          </w:p>
        </w:tc>
        <w:tc>
          <w:tcPr>
            <w:tcW w:w="3398" w:type="dxa"/>
            <w:tcBorders>
              <w:top w:val="nil"/>
              <w:left w:val="nil"/>
              <w:bottom w:val="single" w:sz="8" w:space="0" w:color="881946"/>
              <w:right w:val="single" w:sz="8" w:space="0" w:color="881946"/>
            </w:tcBorders>
            <w:shd w:val="clear" w:color="auto" w:fill="auto"/>
            <w:vAlign w:val="bottom"/>
          </w:tcPr>
          <w:p w14:paraId="259D497D"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 xml:space="preserve">Anthony </w:t>
            </w:r>
            <w:proofErr w:type="spellStart"/>
            <w:r w:rsidRPr="006A2454">
              <w:rPr>
                <w:rFonts w:ascii="Calibri" w:eastAsia="Times New Roman" w:hAnsi="Calibri" w:cs="Calibri"/>
                <w:lang w:eastAsia="en-IN"/>
              </w:rPr>
              <w:t>Smare</w:t>
            </w:r>
            <w:proofErr w:type="spellEnd"/>
          </w:p>
        </w:tc>
      </w:tr>
      <w:tr w:rsidR="006A2454" w:rsidRPr="006A2454" w14:paraId="68E143A4"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auto" w:fill="auto"/>
            <w:noWrap/>
            <w:vAlign w:val="bottom"/>
          </w:tcPr>
          <w:p w14:paraId="40C980AF"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National Australia Bank</w:t>
            </w:r>
          </w:p>
        </w:tc>
        <w:tc>
          <w:tcPr>
            <w:tcW w:w="3398" w:type="dxa"/>
            <w:tcBorders>
              <w:top w:val="nil"/>
              <w:left w:val="nil"/>
              <w:bottom w:val="single" w:sz="8" w:space="0" w:color="881946"/>
              <w:right w:val="single" w:sz="8" w:space="0" w:color="881946"/>
            </w:tcBorders>
            <w:shd w:val="clear" w:color="auto" w:fill="auto"/>
            <w:vAlign w:val="bottom"/>
          </w:tcPr>
          <w:p w14:paraId="0D5AA10E"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 xml:space="preserve">Simone Constant </w:t>
            </w:r>
          </w:p>
        </w:tc>
      </w:tr>
      <w:tr w:rsidR="006A2454" w:rsidRPr="006A2454" w14:paraId="412F6B65"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auto" w:fill="auto"/>
            <w:noWrap/>
            <w:vAlign w:val="bottom"/>
          </w:tcPr>
          <w:p w14:paraId="24ECD534"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National Australia Bank</w:t>
            </w:r>
          </w:p>
        </w:tc>
        <w:tc>
          <w:tcPr>
            <w:tcW w:w="3398" w:type="dxa"/>
            <w:tcBorders>
              <w:top w:val="nil"/>
              <w:left w:val="nil"/>
              <w:bottom w:val="single" w:sz="8" w:space="0" w:color="881946"/>
              <w:right w:val="single" w:sz="8" w:space="0" w:color="881946"/>
            </w:tcBorders>
            <w:shd w:val="clear" w:color="auto" w:fill="auto"/>
            <w:vAlign w:val="bottom"/>
          </w:tcPr>
          <w:p w14:paraId="2CBBF193"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James Waddell</w:t>
            </w:r>
          </w:p>
        </w:tc>
      </w:tr>
      <w:tr w:rsidR="006A2454" w:rsidRPr="006A2454" w14:paraId="7200EB1A"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auto" w:fill="auto"/>
            <w:noWrap/>
            <w:vAlign w:val="bottom"/>
          </w:tcPr>
          <w:p w14:paraId="5337D71C"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National Australia Bank</w:t>
            </w:r>
          </w:p>
        </w:tc>
        <w:tc>
          <w:tcPr>
            <w:tcW w:w="3398" w:type="dxa"/>
            <w:tcBorders>
              <w:top w:val="nil"/>
              <w:left w:val="nil"/>
              <w:bottom w:val="single" w:sz="8" w:space="0" w:color="881946"/>
              <w:right w:val="single" w:sz="8" w:space="0" w:color="881946"/>
            </w:tcBorders>
            <w:shd w:val="clear" w:color="auto" w:fill="auto"/>
            <w:noWrap/>
            <w:vAlign w:val="bottom"/>
          </w:tcPr>
          <w:p w14:paraId="204429B6"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 xml:space="preserve">Connie </w:t>
            </w:r>
            <w:proofErr w:type="spellStart"/>
            <w:r w:rsidRPr="006A2454">
              <w:rPr>
                <w:rFonts w:ascii="Calibri" w:eastAsia="Times New Roman" w:hAnsi="Calibri" w:cs="Calibri"/>
                <w:lang w:eastAsia="en-IN"/>
              </w:rPr>
              <w:t>Sokaris</w:t>
            </w:r>
            <w:proofErr w:type="spellEnd"/>
            <w:r w:rsidRPr="006A2454">
              <w:rPr>
                <w:rFonts w:ascii="Calibri" w:eastAsia="Times New Roman" w:hAnsi="Calibri" w:cs="Calibri"/>
                <w:lang w:eastAsia="en-IN"/>
              </w:rPr>
              <w:t xml:space="preserve"> </w:t>
            </w:r>
          </w:p>
        </w:tc>
      </w:tr>
      <w:tr w:rsidR="006A2454" w:rsidRPr="006A2454" w14:paraId="7C2B864C"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auto" w:fill="auto"/>
            <w:noWrap/>
            <w:vAlign w:val="bottom"/>
          </w:tcPr>
          <w:p w14:paraId="2848494C"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National Australia Bank</w:t>
            </w:r>
          </w:p>
        </w:tc>
        <w:tc>
          <w:tcPr>
            <w:tcW w:w="3398" w:type="dxa"/>
            <w:tcBorders>
              <w:top w:val="nil"/>
              <w:left w:val="nil"/>
              <w:bottom w:val="single" w:sz="8" w:space="0" w:color="881946"/>
              <w:right w:val="single" w:sz="8" w:space="0" w:color="881946"/>
            </w:tcBorders>
            <w:shd w:val="clear" w:color="auto" w:fill="auto"/>
            <w:noWrap/>
            <w:vAlign w:val="bottom"/>
          </w:tcPr>
          <w:p w14:paraId="78309E08"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 xml:space="preserve">Anna Rintoul </w:t>
            </w:r>
          </w:p>
        </w:tc>
      </w:tr>
      <w:tr w:rsidR="006A2454" w:rsidRPr="006A2454" w14:paraId="18E95620"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auto" w:fill="auto"/>
            <w:noWrap/>
            <w:vAlign w:val="bottom"/>
          </w:tcPr>
          <w:p w14:paraId="2CCC194E"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National Superannuation Fund (NASFUND)</w:t>
            </w:r>
          </w:p>
        </w:tc>
        <w:tc>
          <w:tcPr>
            <w:tcW w:w="3398" w:type="dxa"/>
            <w:tcBorders>
              <w:top w:val="nil"/>
              <w:left w:val="nil"/>
              <w:bottom w:val="single" w:sz="8" w:space="0" w:color="881946"/>
              <w:right w:val="single" w:sz="8" w:space="0" w:color="881946"/>
            </w:tcBorders>
            <w:shd w:val="clear" w:color="auto" w:fill="auto"/>
            <w:noWrap/>
            <w:vAlign w:val="bottom"/>
          </w:tcPr>
          <w:p w14:paraId="2CF39D61"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David Brown</w:t>
            </w:r>
          </w:p>
        </w:tc>
      </w:tr>
      <w:tr w:rsidR="006A2454" w:rsidRPr="006A2454" w14:paraId="6D502C94"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auto" w:fill="auto"/>
            <w:noWrap/>
            <w:vAlign w:val="bottom"/>
          </w:tcPr>
          <w:p w14:paraId="4A99D2D4" w14:textId="3BE42011"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New Zealand High Commission</w:t>
            </w:r>
            <w:r w:rsidR="0071103E">
              <w:rPr>
                <w:rFonts w:ascii="Calibri" w:eastAsia="Times New Roman" w:hAnsi="Calibri" w:cs="Calibri"/>
                <w:lang w:eastAsia="en-IN"/>
              </w:rPr>
              <w:t>—</w:t>
            </w:r>
            <w:r w:rsidRPr="006A2454">
              <w:rPr>
                <w:rFonts w:ascii="Calibri" w:eastAsia="Times New Roman" w:hAnsi="Calibri" w:cs="Calibri"/>
                <w:lang w:eastAsia="en-IN"/>
              </w:rPr>
              <w:t>Vanuatu</w:t>
            </w:r>
          </w:p>
        </w:tc>
        <w:tc>
          <w:tcPr>
            <w:tcW w:w="3398" w:type="dxa"/>
            <w:tcBorders>
              <w:top w:val="nil"/>
              <w:left w:val="nil"/>
              <w:bottom w:val="single" w:sz="8" w:space="0" w:color="881946"/>
              <w:right w:val="single" w:sz="8" w:space="0" w:color="881946"/>
            </w:tcBorders>
            <w:shd w:val="clear" w:color="auto" w:fill="auto"/>
            <w:noWrap/>
            <w:vAlign w:val="bottom"/>
          </w:tcPr>
          <w:p w14:paraId="0A39FA9E"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Kathryn Beckett</w:t>
            </w:r>
          </w:p>
        </w:tc>
      </w:tr>
      <w:tr w:rsidR="006A2454" w:rsidRPr="006A2454" w14:paraId="7A18A8AE"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auto" w:fill="auto"/>
            <w:noWrap/>
            <w:vAlign w:val="bottom"/>
          </w:tcPr>
          <w:p w14:paraId="37CB17E9" w14:textId="39AEF681"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New Zealand High Commission</w:t>
            </w:r>
            <w:r w:rsidR="0071103E">
              <w:rPr>
                <w:rFonts w:ascii="Calibri" w:eastAsia="Times New Roman" w:hAnsi="Calibri" w:cs="Calibri"/>
                <w:lang w:eastAsia="en-IN"/>
              </w:rPr>
              <w:t>—</w:t>
            </w:r>
            <w:r w:rsidRPr="006A2454">
              <w:rPr>
                <w:rFonts w:ascii="Calibri" w:eastAsia="Times New Roman" w:hAnsi="Calibri" w:cs="Calibri"/>
                <w:lang w:eastAsia="en-IN"/>
              </w:rPr>
              <w:t>Papua New Guinea</w:t>
            </w:r>
          </w:p>
        </w:tc>
        <w:tc>
          <w:tcPr>
            <w:tcW w:w="3398" w:type="dxa"/>
            <w:tcBorders>
              <w:top w:val="nil"/>
              <w:left w:val="nil"/>
              <w:bottom w:val="single" w:sz="8" w:space="0" w:color="881946"/>
              <w:right w:val="single" w:sz="8" w:space="0" w:color="881946"/>
            </w:tcBorders>
            <w:shd w:val="clear" w:color="auto" w:fill="auto"/>
            <w:noWrap/>
            <w:vAlign w:val="bottom"/>
          </w:tcPr>
          <w:p w14:paraId="05612016"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Kathleen Pearce</w:t>
            </w:r>
          </w:p>
        </w:tc>
      </w:tr>
      <w:tr w:rsidR="006A2454" w:rsidRPr="006A2454" w14:paraId="1AD381C2"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auto" w:fill="auto"/>
            <w:noWrap/>
            <w:vAlign w:val="bottom"/>
          </w:tcPr>
          <w:p w14:paraId="1F0C205C"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Newcrest</w:t>
            </w:r>
          </w:p>
        </w:tc>
        <w:tc>
          <w:tcPr>
            <w:tcW w:w="3398" w:type="dxa"/>
            <w:tcBorders>
              <w:top w:val="nil"/>
              <w:left w:val="nil"/>
              <w:bottom w:val="single" w:sz="8" w:space="0" w:color="881946"/>
              <w:right w:val="single" w:sz="8" w:space="0" w:color="881946"/>
            </w:tcBorders>
            <w:shd w:val="clear" w:color="auto" w:fill="auto"/>
            <w:noWrap/>
            <w:vAlign w:val="bottom"/>
          </w:tcPr>
          <w:p w14:paraId="2F423AB8"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 xml:space="preserve">Ian </w:t>
            </w:r>
            <w:proofErr w:type="spellStart"/>
            <w:r w:rsidRPr="006A2454">
              <w:rPr>
                <w:rFonts w:ascii="Calibri" w:eastAsia="Times New Roman" w:hAnsi="Calibri" w:cs="Calibri"/>
                <w:lang w:eastAsia="en-IN"/>
              </w:rPr>
              <w:t>Kemish</w:t>
            </w:r>
            <w:proofErr w:type="spellEnd"/>
          </w:p>
        </w:tc>
      </w:tr>
      <w:tr w:rsidR="006A2454" w:rsidRPr="006A2454" w14:paraId="3CBD4555"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000000" w:fill="FFFFFF"/>
            <w:noWrap/>
          </w:tcPr>
          <w:p w14:paraId="3F25ABF2"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Norton Rose Fulbright</w:t>
            </w:r>
          </w:p>
        </w:tc>
        <w:tc>
          <w:tcPr>
            <w:tcW w:w="3398" w:type="dxa"/>
            <w:tcBorders>
              <w:top w:val="nil"/>
              <w:left w:val="nil"/>
              <w:bottom w:val="single" w:sz="8" w:space="0" w:color="881946"/>
              <w:right w:val="single" w:sz="8" w:space="0" w:color="881946"/>
            </w:tcBorders>
            <w:shd w:val="clear" w:color="000000" w:fill="FFFFFF"/>
            <w:noWrap/>
            <w:vAlign w:val="bottom"/>
          </w:tcPr>
          <w:p w14:paraId="23422CCC"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 xml:space="preserve">Diane </w:t>
            </w:r>
            <w:proofErr w:type="spellStart"/>
            <w:r w:rsidRPr="006A2454">
              <w:rPr>
                <w:rFonts w:ascii="Calibri" w:eastAsia="Times New Roman" w:hAnsi="Calibri" w:cs="Calibri"/>
                <w:lang w:eastAsia="en-IN"/>
              </w:rPr>
              <w:t>Jungman</w:t>
            </w:r>
            <w:proofErr w:type="spellEnd"/>
          </w:p>
        </w:tc>
      </w:tr>
      <w:tr w:rsidR="006A2454" w:rsidRPr="006A2454" w14:paraId="1CA65DAC"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auto" w:fill="auto"/>
            <w:noWrap/>
            <w:vAlign w:val="bottom"/>
          </w:tcPr>
          <w:p w14:paraId="4419A2B3" w14:textId="77777777" w:rsidR="006A2454" w:rsidRPr="006A2454" w:rsidRDefault="006A2454" w:rsidP="000811AE">
            <w:pPr>
              <w:spacing w:after="0" w:line="240" w:lineRule="auto"/>
              <w:rPr>
                <w:rFonts w:ascii="Calibri" w:eastAsia="Times New Roman" w:hAnsi="Calibri" w:cs="Calibri"/>
                <w:lang w:eastAsia="en-IN"/>
              </w:rPr>
            </w:pPr>
            <w:proofErr w:type="spellStart"/>
            <w:r w:rsidRPr="006A2454">
              <w:rPr>
                <w:rFonts w:ascii="Calibri" w:eastAsia="Times New Roman" w:hAnsi="Calibri" w:cs="Calibri"/>
                <w:lang w:eastAsia="en-IN"/>
              </w:rPr>
              <w:t>OilSearch</w:t>
            </w:r>
            <w:proofErr w:type="spellEnd"/>
          </w:p>
        </w:tc>
        <w:tc>
          <w:tcPr>
            <w:tcW w:w="3398" w:type="dxa"/>
            <w:tcBorders>
              <w:top w:val="nil"/>
              <w:left w:val="nil"/>
              <w:bottom w:val="single" w:sz="8" w:space="0" w:color="881946"/>
              <w:right w:val="single" w:sz="8" w:space="0" w:color="881946"/>
            </w:tcBorders>
            <w:shd w:val="clear" w:color="auto" w:fill="auto"/>
            <w:noWrap/>
            <w:vAlign w:val="bottom"/>
          </w:tcPr>
          <w:p w14:paraId="2683782F"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 xml:space="preserve">Wayne </w:t>
            </w:r>
            <w:proofErr w:type="spellStart"/>
            <w:r w:rsidRPr="006A2454">
              <w:rPr>
                <w:rFonts w:ascii="Calibri" w:eastAsia="Times New Roman" w:hAnsi="Calibri" w:cs="Calibri"/>
                <w:lang w:eastAsia="en-IN"/>
              </w:rPr>
              <w:t>Kasou</w:t>
            </w:r>
            <w:proofErr w:type="spellEnd"/>
            <w:r w:rsidRPr="006A2454">
              <w:rPr>
                <w:rFonts w:ascii="Calibri" w:eastAsia="Times New Roman" w:hAnsi="Calibri" w:cs="Calibri"/>
                <w:lang w:eastAsia="en-IN"/>
              </w:rPr>
              <w:t xml:space="preserve"> </w:t>
            </w:r>
          </w:p>
        </w:tc>
      </w:tr>
      <w:tr w:rsidR="006A2454" w:rsidRPr="006A2454" w14:paraId="0493D79F"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auto" w:fill="auto"/>
            <w:noWrap/>
            <w:vAlign w:val="bottom"/>
          </w:tcPr>
          <w:p w14:paraId="3564449C" w14:textId="77777777" w:rsidR="006A2454" w:rsidRPr="006A2454" w:rsidRDefault="006A2454" w:rsidP="000811AE">
            <w:pPr>
              <w:spacing w:after="0" w:line="240" w:lineRule="auto"/>
              <w:rPr>
                <w:rFonts w:ascii="Calibri" w:eastAsia="Times New Roman" w:hAnsi="Calibri" w:cs="Calibri"/>
                <w:lang w:eastAsia="en-IN"/>
              </w:rPr>
            </w:pPr>
            <w:proofErr w:type="spellStart"/>
            <w:r w:rsidRPr="006A2454">
              <w:rPr>
                <w:rFonts w:ascii="Calibri" w:eastAsia="Times New Roman" w:hAnsi="Calibri" w:cs="Calibri"/>
                <w:lang w:eastAsia="en-IN"/>
              </w:rPr>
              <w:t>OilSearch</w:t>
            </w:r>
            <w:proofErr w:type="spellEnd"/>
          </w:p>
        </w:tc>
        <w:tc>
          <w:tcPr>
            <w:tcW w:w="3398" w:type="dxa"/>
            <w:tcBorders>
              <w:top w:val="nil"/>
              <w:left w:val="nil"/>
              <w:bottom w:val="single" w:sz="8" w:space="0" w:color="881946"/>
              <w:right w:val="single" w:sz="8" w:space="0" w:color="881946"/>
            </w:tcBorders>
            <w:shd w:val="clear" w:color="auto" w:fill="auto"/>
            <w:noWrap/>
            <w:vAlign w:val="bottom"/>
          </w:tcPr>
          <w:p w14:paraId="62A8E631"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Julian Fowles</w:t>
            </w:r>
          </w:p>
        </w:tc>
      </w:tr>
      <w:tr w:rsidR="006A2454" w:rsidRPr="006A2454" w14:paraId="1E585AB1"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000000" w:fill="FFFFFF"/>
            <w:noWrap/>
          </w:tcPr>
          <w:p w14:paraId="36C39EDE" w14:textId="77777777" w:rsidR="006A2454" w:rsidRPr="006A2454" w:rsidRDefault="006A2454" w:rsidP="000811AE">
            <w:pPr>
              <w:spacing w:after="0" w:line="240" w:lineRule="auto"/>
              <w:rPr>
                <w:rFonts w:ascii="Calibri" w:eastAsia="Times New Roman" w:hAnsi="Calibri" w:cs="Calibri"/>
                <w:lang w:eastAsia="en-IN"/>
              </w:rPr>
            </w:pPr>
            <w:proofErr w:type="spellStart"/>
            <w:r w:rsidRPr="006A2454">
              <w:rPr>
                <w:rFonts w:ascii="Calibri" w:eastAsia="Times New Roman" w:hAnsi="Calibri" w:cs="Calibri"/>
                <w:lang w:eastAsia="en-IN"/>
              </w:rPr>
              <w:t>Otoritas</w:t>
            </w:r>
            <w:proofErr w:type="spellEnd"/>
            <w:r w:rsidRPr="006A2454">
              <w:rPr>
                <w:rFonts w:ascii="Calibri" w:eastAsia="Times New Roman" w:hAnsi="Calibri" w:cs="Calibri"/>
                <w:lang w:eastAsia="en-IN"/>
              </w:rPr>
              <w:t xml:space="preserve"> Jasa </w:t>
            </w:r>
            <w:proofErr w:type="spellStart"/>
            <w:r w:rsidRPr="006A2454">
              <w:rPr>
                <w:rFonts w:ascii="Calibri" w:eastAsia="Times New Roman" w:hAnsi="Calibri" w:cs="Calibri"/>
                <w:lang w:eastAsia="en-IN"/>
              </w:rPr>
              <w:t>Keuangan</w:t>
            </w:r>
            <w:proofErr w:type="spellEnd"/>
            <w:r w:rsidRPr="006A2454">
              <w:rPr>
                <w:rFonts w:ascii="Calibri" w:eastAsia="Times New Roman" w:hAnsi="Calibri" w:cs="Calibri"/>
                <w:lang w:eastAsia="en-IN"/>
              </w:rPr>
              <w:t xml:space="preserve"> </w:t>
            </w:r>
          </w:p>
        </w:tc>
        <w:tc>
          <w:tcPr>
            <w:tcW w:w="3398" w:type="dxa"/>
            <w:tcBorders>
              <w:top w:val="nil"/>
              <w:left w:val="nil"/>
              <w:bottom w:val="single" w:sz="8" w:space="0" w:color="881946"/>
              <w:right w:val="single" w:sz="8" w:space="0" w:color="881946"/>
            </w:tcBorders>
            <w:shd w:val="clear" w:color="000000" w:fill="FFFFFF"/>
            <w:noWrap/>
            <w:vAlign w:val="bottom"/>
          </w:tcPr>
          <w:p w14:paraId="09B275A8"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 xml:space="preserve">Alvin </w:t>
            </w:r>
            <w:proofErr w:type="spellStart"/>
            <w:r w:rsidRPr="006A2454">
              <w:rPr>
                <w:rFonts w:ascii="Calibri" w:eastAsia="Times New Roman" w:hAnsi="Calibri" w:cs="Calibri"/>
                <w:lang w:eastAsia="en-IN"/>
              </w:rPr>
              <w:t>Taulu</w:t>
            </w:r>
            <w:proofErr w:type="spellEnd"/>
          </w:p>
        </w:tc>
      </w:tr>
      <w:tr w:rsidR="006A2454" w:rsidRPr="006A2454" w14:paraId="441A30B0"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auto" w:fill="auto"/>
            <w:noWrap/>
            <w:vAlign w:val="bottom"/>
          </w:tcPr>
          <w:p w14:paraId="3E9BF5AB"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 xml:space="preserve">Overseas Private Investment Corporation </w:t>
            </w:r>
          </w:p>
        </w:tc>
        <w:tc>
          <w:tcPr>
            <w:tcW w:w="3398" w:type="dxa"/>
            <w:tcBorders>
              <w:top w:val="nil"/>
              <w:left w:val="nil"/>
              <w:bottom w:val="single" w:sz="8" w:space="0" w:color="881946"/>
              <w:right w:val="single" w:sz="8" w:space="0" w:color="881946"/>
            </w:tcBorders>
            <w:shd w:val="clear" w:color="auto" w:fill="auto"/>
            <w:noWrap/>
            <w:vAlign w:val="bottom"/>
          </w:tcPr>
          <w:p w14:paraId="002C71E6"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 xml:space="preserve">Edward Burrier </w:t>
            </w:r>
          </w:p>
        </w:tc>
      </w:tr>
      <w:tr w:rsidR="006A2454" w:rsidRPr="006A2454" w14:paraId="73FFC70D"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auto" w:fill="auto"/>
            <w:noWrap/>
            <w:vAlign w:val="bottom"/>
          </w:tcPr>
          <w:p w14:paraId="3BCAA941"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Pacific Island Forum Secretariat</w:t>
            </w:r>
          </w:p>
        </w:tc>
        <w:tc>
          <w:tcPr>
            <w:tcW w:w="3398" w:type="dxa"/>
            <w:tcBorders>
              <w:top w:val="nil"/>
              <w:left w:val="nil"/>
              <w:bottom w:val="single" w:sz="8" w:space="0" w:color="881946"/>
              <w:right w:val="single" w:sz="8" w:space="0" w:color="881946"/>
            </w:tcBorders>
            <w:shd w:val="clear" w:color="auto" w:fill="auto"/>
            <w:noWrap/>
            <w:vAlign w:val="bottom"/>
          </w:tcPr>
          <w:p w14:paraId="68CBF841"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Paki Ormsby</w:t>
            </w:r>
          </w:p>
        </w:tc>
      </w:tr>
      <w:tr w:rsidR="006A2454" w:rsidRPr="006A2454" w14:paraId="76C3D89B"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auto" w:fill="auto"/>
            <w:noWrap/>
            <w:vAlign w:val="bottom"/>
          </w:tcPr>
          <w:p w14:paraId="36843E13"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Pacific Island Forum Secretariat</w:t>
            </w:r>
          </w:p>
        </w:tc>
        <w:tc>
          <w:tcPr>
            <w:tcW w:w="3398" w:type="dxa"/>
            <w:tcBorders>
              <w:top w:val="nil"/>
              <w:left w:val="nil"/>
              <w:bottom w:val="single" w:sz="8" w:space="0" w:color="881946"/>
              <w:right w:val="single" w:sz="8" w:space="0" w:color="881946"/>
            </w:tcBorders>
            <w:shd w:val="clear" w:color="auto" w:fill="auto"/>
            <w:noWrap/>
            <w:vAlign w:val="bottom"/>
          </w:tcPr>
          <w:p w14:paraId="0A4E3E97"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Raymond Prasad</w:t>
            </w:r>
          </w:p>
        </w:tc>
      </w:tr>
      <w:tr w:rsidR="006A2454" w:rsidRPr="006A2454" w14:paraId="4EC99277"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auto" w:fill="auto"/>
            <w:noWrap/>
            <w:vAlign w:val="bottom"/>
          </w:tcPr>
          <w:p w14:paraId="5259A386"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 xml:space="preserve">Pacific Region Infrastructure Facility </w:t>
            </w:r>
          </w:p>
        </w:tc>
        <w:tc>
          <w:tcPr>
            <w:tcW w:w="3398" w:type="dxa"/>
            <w:tcBorders>
              <w:top w:val="nil"/>
              <w:left w:val="nil"/>
              <w:bottom w:val="single" w:sz="8" w:space="0" w:color="881946"/>
              <w:right w:val="single" w:sz="8" w:space="0" w:color="881946"/>
            </w:tcBorders>
            <w:shd w:val="clear" w:color="auto" w:fill="auto"/>
            <w:noWrap/>
            <w:vAlign w:val="bottom"/>
          </w:tcPr>
          <w:p w14:paraId="53E33733"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Jack Whelan</w:t>
            </w:r>
          </w:p>
        </w:tc>
      </w:tr>
      <w:tr w:rsidR="006A2454" w:rsidRPr="006A2454" w14:paraId="0844FE5E"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000000" w:fill="FFFFFF"/>
            <w:noWrap/>
          </w:tcPr>
          <w:p w14:paraId="2604D17F"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 xml:space="preserve">Partnership for Indonesia's Sustainable Agriculture </w:t>
            </w:r>
          </w:p>
        </w:tc>
        <w:tc>
          <w:tcPr>
            <w:tcW w:w="3398" w:type="dxa"/>
            <w:tcBorders>
              <w:top w:val="nil"/>
              <w:left w:val="nil"/>
              <w:bottom w:val="single" w:sz="8" w:space="0" w:color="881946"/>
              <w:right w:val="single" w:sz="8" w:space="0" w:color="881946"/>
            </w:tcBorders>
            <w:shd w:val="clear" w:color="000000" w:fill="FFFFFF"/>
            <w:noWrap/>
            <w:vAlign w:val="bottom"/>
          </w:tcPr>
          <w:p w14:paraId="21E5CF0E" w14:textId="77777777" w:rsidR="006A2454" w:rsidRPr="006A2454" w:rsidRDefault="006A2454">
            <w:pPr>
              <w:spacing w:after="0" w:line="240" w:lineRule="auto"/>
              <w:rPr>
                <w:rFonts w:ascii="Calibri" w:eastAsia="Times New Roman" w:hAnsi="Calibri" w:cs="Calibri"/>
                <w:lang w:eastAsia="en-IN"/>
              </w:rPr>
            </w:pPr>
            <w:proofErr w:type="spellStart"/>
            <w:r w:rsidRPr="006A2454">
              <w:rPr>
                <w:rFonts w:ascii="Calibri" w:eastAsia="Times New Roman" w:hAnsi="Calibri" w:cs="Calibri"/>
                <w:lang w:eastAsia="en-IN"/>
              </w:rPr>
              <w:t>Zul</w:t>
            </w:r>
            <w:proofErr w:type="spellEnd"/>
            <w:r w:rsidRPr="006A2454">
              <w:rPr>
                <w:rFonts w:ascii="Calibri" w:eastAsia="Times New Roman" w:hAnsi="Calibri" w:cs="Calibri"/>
                <w:lang w:eastAsia="en-IN"/>
              </w:rPr>
              <w:t xml:space="preserve"> Martini </w:t>
            </w:r>
            <w:proofErr w:type="spellStart"/>
            <w:r w:rsidRPr="006A2454">
              <w:rPr>
                <w:rFonts w:ascii="Calibri" w:eastAsia="Times New Roman" w:hAnsi="Calibri" w:cs="Calibri"/>
                <w:lang w:eastAsia="en-IN"/>
              </w:rPr>
              <w:t>Indrawati</w:t>
            </w:r>
            <w:proofErr w:type="spellEnd"/>
          </w:p>
        </w:tc>
      </w:tr>
      <w:tr w:rsidR="006A2454" w:rsidRPr="006A2454" w14:paraId="1619B62C"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000000" w:fill="FFFFFF"/>
            <w:noWrap/>
            <w:hideMark/>
          </w:tcPr>
          <w:p w14:paraId="59DF0B0D"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Partnership for Indonesia's Sustainable Agriculture</w:t>
            </w:r>
          </w:p>
        </w:tc>
        <w:tc>
          <w:tcPr>
            <w:tcW w:w="3398" w:type="dxa"/>
            <w:tcBorders>
              <w:top w:val="nil"/>
              <w:left w:val="nil"/>
              <w:bottom w:val="single" w:sz="8" w:space="0" w:color="881946"/>
              <w:right w:val="single" w:sz="8" w:space="0" w:color="881946"/>
            </w:tcBorders>
            <w:shd w:val="clear" w:color="000000" w:fill="FFFFFF"/>
            <w:noWrap/>
            <w:vAlign w:val="bottom"/>
            <w:hideMark/>
          </w:tcPr>
          <w:p w14:paraId="5CB7E6AF"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 xml:space="preserve">Anastasia </w:t>
            </w:r>
            <w:proofErr w:type="spellStart"/>
            <w:r w:rsidRPr="006A2454">
              <w:rPr>
                <w:rFonts w:ascii="Calibri" w:eastAsia="Times New Roman" w:hAnsi="Calibri" w:cs="Calibri"/>
                <w:lang w:eastAsia="en-IN"/>
              </w:rPr>
              <w:t>Ika</w:t>
            </w:r>
            <w:proofErr w:type="spellEnd"/>
            <w:r w:rsidRPr="006A2454">
              <w:rPr>
                <w:rFonts w:ascii="Calibri" w:eastAsia="Times New Roman" w:hAnsi="Calibri" w:cs="Calibri"/>
                <w:lang w:eastAsia="en-IN"/>
              </w:rPr>
              <w:t xml:space="preserve"> </w:t>
            </w:r>
            <w:proofErr w:type="spellStart"/>
            <w:r w:rsidRPr="006A2454">
              <w:rPr>
                <w:rFonts w:ascii="Calibri" w:eastAsia="Times New Roman" w:hAnsi="Calibri" w:cs="Calibri"/>
                <w:lang w:eastAsia="en-IN"/>
              </w:rPr>
              <w:t>Wulandari</w:t>
            </w:r>
            <w:proofErr w:type="spellEnd"/>
          </w:p>
        </w:tc>
      </w:tr>
      <w:tr w:rsidR="006A2454" w:rsidRPr="006A2454" w14:paraId="5EB8FAFC"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auto" w:fill="auto"/>
            <w:noWrap/>
            <w:vAlign w:val="center"/>
            <w:hideMark/>
          </w:tcPr>
          <w:p w14:paraId="736E6D5B"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 xml:space="preserve">PIFS Working Group </w:t>
            </w:r>
          </w:p>
        </w:tc>
        <w:tc>
          <w:tcPr>
            <w:tcW w:w="3398" w:type="dxa"/>
            <w:tcBorders>
              <w:top w:val="nil"/>
              <w:left w:val="nil"/>
              <w:bottom w:val="single" w:sz="8" w:space="0" w:color="881946"/>
              <w:right w:val="single" w:sz="8" w:space="0" w:color="881946"/>
            </w:tcBorders>
            <w:shd w:val="clear" w:color="auto" w:fill="auto"/>
            <w:noWrap/>
            <w:vAlign w:val="bottom"/>
            <w:hideMark/>
          </w:tcPr>
          <w:p w14:paraId="6E661ED0"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Andrew Anton</w:t>
            </w:r>
          </w:p>
        </w:tc>
      </w:tr>
      <w:tr w:rsidR="006A2454" w:rsidRPr="006A2454" w14:paraId="1DDEE0D5"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000000" w:fill="FFFFFF"/>
            <w:noWrap/>
            <w:vAlign w:val="bottom"/>
            <w:hideMark/>
          </w:tcPr>
          <w:p w14:paraId="79818543"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PNG Chamber of Mines</w:t>
            </w:r>
          </w:p>
        </w:tc>
        <w:tc>
          <w:tcPr>
            <w:tcW w:w="3398" w:type="dxa"/>
            <w:tcBorders>
              <w:top w:val="nil"/>
              <w:left w:val="nil"/>
              <w:bottom w:val="single" w:sz="8" w:space="0" w:color="881946"/>
              <w:right w:val="single" w:sz="8" w:space="0" w:color="881946"/>
            </w:tcBorders>
            <w:shd w:val="clear" w:color="auto" w:fill="auto"/>
            <w:noWrap/>
            <w:vAlign w:val="bottom"/>
            <w:hideMark/>
          </w:tcPr>
          <w:p w14:paraId="78E254DF"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Julian Storm</w:t>
            </w:r>
          </w:p>
        </w:tc>
      </w:tr>
      <w:tr w:rsidR="006A2454" w:rsidRPr="006A2454" w14:paraId="49CA22A2"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auto" w:fill="auto"/>
            <w:noWrap/>
            <w:vAlign w:val="bottom"/>
            <w:hideMark/>
          </w:tcPr>
          <w:p w14:paraId="0A63FB90"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PNG Department of Finance</w:t>
            </w:r>
          </w:p>
        </w:tc>
        <w:tc>
          <w:tcPr>
            <w:tcW w:w="3398" w:type="dxa"/>
            <w:tcBorders>
              <w:top w:val="nil"/>
              <w:left w:val="nil"/>
              <w:bottom w:val="single" w:sz="8" w:space="0" w:color="881946"/>
              <w:right w:val="single" w:sz="8" w:space="0" w:color="881946"/>
            </w:tcBorders>
            <w:shd w:val="clear" w:color="auto" w:fill="auto"/>
            <w:noWrap/>
            <w:vAlign w:val="bottom"/>
            <w:hideMark/>
          </w:tcPr>
          <w:p w14:paraId="38B66EEC"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 xml:space="preserve">Ken </w:t>
            </w:r>
            <w:proofErr w:type="spellStart"/>
            <w:r w:rsidRPr="006A2454">
              <w:rPr>
                <w:rFonts w:ascii="Calibri" w:eastAsia="Times New Roman" w:hAnsi="Calibri" w:cs="Calibri"/>
                <w:lang w:eastAsia="en-IN"/>
              </w:rPr>
              <w:t>Ngangan</w:t>
            </w:r>
            <w:proofErr w:type="spellEnd"/>
          </w:p>
        </w:tc>
      </w:tr>
      <w:tr w:rsidR="006A2454" w:rsidRPr="006A2454" w14:paraId="4D5E39DE"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auto" w:fill="auto"/>
            <w:noWrap/>
            <w:vAlign w:val="bottom"/>
            <w:hideMark/>
          </w:tcPr>
          <w:p w14:paraId="6A9F84F4"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PNG Department of Prime Minister and National Executive Council</w:t>
            </w:r>
          </w:p>
        </w:tc>
        <w:tc>
          <w:tcPr>
            <w:tcW w:w="3398" w:type="dxa"/>
            <w:tcBorders>
              <w:top w:val="nil"/>
              <w:left w:val="nil"/>
              <w:bottom w:val="single" w:sz="8" w:space="0" w:color="881946"/>
              <w:right w:val="single" w:sz="8" w:space="0" w:color="881946"/>
            </w:tcBorders>
            <w:shd w:val="clear" w:color="auto" w:fill="auto"/>
            <w:noWrap/>
            <w:vAlign w:val="bottom"/>
            <w:hideMark/>
          </w:tcPr>
          <w:p w14:paraId="04BC7842"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 xml:space="preserve">Ephraim </w:t>
            </w:r>
            <w:proofErr w:type="spellStart"/>
            <w:r w:rsidRPr="006A2454">
              <w:rPr>
                <w:rFonts w:ascii="Calibri" w:eastAsia="Times New Roman" w:hAnsi="Calibri" w:cs="Calibri"/>
                <w:lang w:eastAsia="en-IN"/>
              </w:rPr>
              <w:t>Sukbat</w:t>
            </w:r>
            <w:proofErr w:type="spellEnd"/>
          </w:p>
        </w:tc>
      </w:tr>
      <w:tr w:rsidR="006A2454" w:rsidRPr="006A2454" w14:paraId="4522550D"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auto" w:fill="auto"/>
            <w:noWrap/>
            <w:vAlign w:val="bottom"/>
          </w:tcPr>
          <w:p w14:paraId="32DED4D6"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PNG Department of Treasury</w:t>
            </w:r>
          </w:p>
        </w:tc>
        <w:tc>
          <w:tcPr>
            <w:tcW w:w="3398" w:type="dxa"/>
            <w:tcBorders>
              <w:top w:val="nil"/>
              <w:left w:val="nil"/>
              <w:bottom w:val="single" w:sz="8" w:space="0" w:color="881946"/>
              <w:right w:val="single" w:sz="8" w:space="0" w:color="881946"/>
            </w:tcBorders>
            <w:shd w:val="clear" w:color="auto" w:fill="auto"/>
            <w:noWrap/>
            <w:vAlign w:val="bottom"/>
          </w:tcPr>
          <w:p w14:paraId="2997F1C1" w14:textId="77777777" w:rsidR="006A2454" w:rsidRPr="006A2454" w:rsidRDefault="006A2454">
            <w:pPr>
              <w:spacing w:after="0" w:line="240" w:lineRule="auto"/>
              <w:rPr>
                <w:rFonts w:ascii="Calibri" w:eastAsia="Times New Roman" w:hAnsi="Calibri" w:cs="Calibri"/>
                <w:lang w:eastAsia="en-IN"/>
              </w:rPr>
            </w:pPr>
            <w:proofErr w:type="spellStart"/>
            <w:r w:rsidRPr="006A2454">
              <w:rPr>
                <w:rFonts w:ascii="Calibri" w:eastAsia="Times New Roman" w:hAnsi="Calibri" w:cs="Calibri"/>
                <w:lang w:eastAsia="en-IN"/>
              </w:rPr>
              <w:t>Dairi</w:t>
            </w:r>
            <w:proofErr w:type="spellEnd"/>
            <w:r w:rsidRPr="006A2454">
              <w:rPr>
                <w:rFonts w:ascii="Calibri" w:eastAsia="Times New Roman" w:hAnsi="Calibri" w:cs="Calibri"/>
                <w:lang w:eastAsia="en-IN"/>
              </w:rPr>
              <w:t xml:space="preserve"> </w:t>
            </w:r>
            <w:proofErr w:type="spellStart"/>
            <w:r w:rsidRPr="006A2454">
              <w:rPr>
                <w:rFonts w:ascii="Calibri" w:eastAsia="Times New Roman" w:hAnsi="Calibri" w:cs="Calibri"/>
                <w:lang w:eastAsia="en-IN"/>
              </w:rPr>
              <w:t>Vele</w:t>
            </w:r>
            <w:proofErr w:type="spellEnd"/>
          </w:p>
        </w:tc>
      </w:tr>
      <w:tr w:rsidR="006A2454" w:rsidRPr="006A2454" w14:paraId="4E9C6666"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auto" w:fill="auto"/>
            <w:vAlign w:val="bottom"/>
            <w:hideMark/>
          </w:tcPr>
          <w:p w14:paraId="52D1C23B"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lastRenderedPageBreak/>
              <w:t>PNG Department of Treasury</w:t>
            </w:r>
          </w:p>
        </w:tc>
        <w:tc>
          <w:tcPr>
            <w:tcW w:w="3398" w:type="dxa"/>
            <w:tcBorders>
              <w:top w:val="nil"/>
              <w:left w:val="nil"/>
              <w:bottom w:val="single" w:sz="8" w:space="0" w:color="881946"/>
              <w:right w:val="single" w:sz="8" w:space="0" w:color="881946"/>
            </w:tcBorders>
            <w:shd w:val="clear" w:color="auto" w:fill="auto"/>
            <w:noWrap/>
            <w:vAlign w:val="bottom"/>
            <w:hideMark/>
          </w:tcPr>
          <w:p w14:paraId="54154246"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 xml:space="preserve">Nama </w:t>
            </w:r>
            <w:proofErr w:type="spellStart"/>
            <w:r w:rsidRPr="006A2454">
              <w:rPr>
                <w:rFonts w:ascii="Calibri" w:eastAsia="Times New Roman" w:hAnsi="Calibri" w:cs="Calibri"/>
                <w:lang w:eastAsia="en-IN"/>
              </w:rPr>
              <w:t>Polum</w:t>
            </w:r>
            <w:proofErr w:type="spellEnd"/>
          </w:p>
        </w:tc>
      </w:tr>
      <w:tr w:rsidR="006A2454" w:rsidRPr="006A2454" w14:paraId="58A81320"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auto" w:fill="auto"/>
            <w:noWrap/>
            <w:vAlign w:val="bottom"/>
            <w:hideMark/>
          </w:tcPr>
          <w:p w14:paraId="61113144"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PNG Department of Treasury</w:t>
            </w:r>
          </w:p>
        </w:tc>
        <w:tc>
          <w:tcPr>
            <w:tcW w:w="3398" w:type="dxa"/>
            <w:tcBorders>
              <w:top w:val="nil"/>
              <w:left w:val="nil"/>
              <w:bottom w:val="single" w:sz="8" w:space="0" w:color="881946"/>
              <w:right w:val="single" w:sz="8" w:space="0" w:color="881946"/>
            </w:tcBorders>
            <w:shd w:val="clear" w:color="auto" w:fill="auto"/>
            <w:noWrap/>
            <w:vAlign w:val="bottom"/>
            <w:hideMark/>
          </w:tcPr>
          <w:p w14:paraId="6B9BF237"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Manu Momo</w:t>
            </w:r>
          </w:p>
        </w:tc>
      </w:tr>
      <w:tr w:rsidR="006A2454" w:rsidRPr="006A2454" w14:paraId="01608754"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auto" w:fill="auto"/>
            <w:noWrap/>
            <w:vAlign w:val="bottom"/>
            <w:hideMark/>
          </w:tcPr>
          <w:p w14:paraId="42F2A93D"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PNG Department of Works</w:t>
            </w:r>
          </w:p>
        </w:tc>
        <w:tc>
          <w:tcPr>
            <w:tcW w:w="3398" w:type="dxa"/>
            <w:tcBorders>
              <w:top w:val="nil"/>
              <w:left w:val="nil"/>
              <w:bottom w:val="single" w:sz="8" w:space="0" w:color="881946"/>
              <w:right w:val="single" w:sz="8" w:space="0" w:color="881946"/>
            </w:tcBorders>
            <w:shd w:val="clear" w:color="auto" w:fill="auto"/>
            <w:noWrap/>
            <w:vAlign w:val="bottom"/>
            <w:hideMark/>
          </w:tcPr>
          <w:p w14:paraId="7253513D"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 xml:space="preserve">David </w:t>
            </w:r>
            <w:proofErr w:type="spellStart"/>
            <w:r w:rsidRPr="006A2454">
              <w:rPr>
                <w:rFonts w:ascii="Calibri" w:eastAsia="Times New Roman" w:hAnsi="Calibri" w:cs="Calibri"/>
                <w:lang w:eastAsia="en-IN"/>
              </w:rPr>
              <w:t>Werah</w:t>
            </w:r>
            <w:proofErr w:type="spellEnd"/>
          </w:p>
        </w:tc>
      </w:tr>
      <w:tr w:rsidR="006A2454" w:rsidRPr="006A2454" w14:paraId="2E9C34AD"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auto" w:fill="auto"/>
            <w:noWrap/>
            <w:vAlign w:val="center"/>
          </w:tcPr>
          <w:p w14:paraId="6F343FDC"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PNG Power Limited</w:t>
            </w:r>
          </w:p>
        </w:tc>
        <w:tc>
          <w:tcPr>
            <w:tcW w:w="3398" w:type="dxa"/>
            <w:tcBorders>
              <w:top w:val="nil"/>
              <w:left w:val="nil"/>
              <w:bottom w:val="single" w:sz="8" w:space="0" w:color="881946"/>
              <w:right w:val="single" w:sz="8" w:space="0" w:color="881946"/>
            </w:tcBorders>
            <w:shd w:val="clear" w:color="auto" w:fill="auto"/>
            <w:noWrap/>
            <w:vAlign w:val="bottom"/>
          </w:tcPr>
          <w:p w14:paraId="4282CA6B" w14:textId="04DBC24A"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Carolyn Blacklock</w:t>
            </w:r>
          </w:p>
        </w:tc>
      </w:tr>
      <w:tr w:rsidR="006A2454" w:rsidRPr="006A2454" w14:paraId="3D1FB7C3"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auto" w:fill="auto"/>
            <w:noWrap/>
            <w:vAlign w:val="bottom"/>
            <w:hideMark/>
          </w:tcPr>
          <w:p w14:paraId="399DA777"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Port Moresby Chamber of Commerce</w:t>
            </w:r>
          </w:p>
        </w:tc>
        <w:tc>
          <w:tcPr>
            <w:tcW w:w="3398" w:type="dxa"/>
            <w:tcBorders>
              <w:top w:val="nil"/>
              <w:left w:val="nil"/>
              <w:bottom w:val="single" w:sz="8" w:space="0" w:color="881946"/>
              <w:right w:val="single" w:sz="8" w:space="0" w:color="881946"/>
            </w:tcBorders>
            <w:shd w:val="clear" w:color="auto" w:fill="auto"/>
            <w:noWrap/>
            <w:vAlign w:val="bottom"/>
            <w:hideMark/>
          </w:tcPr>
          <w:p w14:paraId="702E592B"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 xml:space="preserve">Rio </w:t>
            </w:r>
            <w:proofErr w:type="spellStart"/>
            <w:r w:rsidRPr="006A2454">
              <w:rPr>
                <w:rFonts w:ascii="Calibri" w:eastAsia="Times New Roman" w:hAnsi="Calibri" w:cs="Calibri"/>
                <w:lang w:eastAsia="en-IN"/>
              </w:rPr>
              <w:t>Fiocco</w:t>
            </w:r>
            <w:proofErr w:type="spellEnd"/>
          </w:p>
        </w:tc>
      </w:tr>
      <w:tr w:rsidR="006A2454" w:rsidRPr="006A2454" w14:paraId="64ABD0BF"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auto" w:fill="auto"/>
            <w:noWrap/>
            <w:vAlign w:val="bottom"/>
            <w:hideMark/>
          </w:tcPr>
          <w:p w14:paraId="04D99879"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 xml:space="preserve">Private Financing Advisory Network </w:t>
            </w:r>
          </w:p>
        </w:tc>
        <w:tc>
          <w:tcPr>
            <w:tcW w:w="3398" w:type="dxa"/>
            <w:tcBorders>
              <w:top w:val="nil"/>
              <w:left w:val="nil"/>
              <w:bottom w:val="single" w:sz="8" w:space="0" w:color="881946"/>
              <w:right w:val="single" w:sz="8" w:space="0" w:color="881946"/>
            </w:tcBorders>
            <w:shd w:val="clear" w:color="auto" w:fill="auto"/>
            <w:noWrap/>
            <w:vAlign w:val="bottom"/>
            <w:hideMark/>
          </w:tcPr>
          <w:p w14:paraId="2ABB0B43"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 xml:space="preserve">Peter Storey </w:t>
            </w:r>
          </w:p>
        </w:tc>
      </w:tr>
      <w:tr w:rsidR="006A2454" w:rsidRPr="006A2454" w14:paraId="5299899E"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auto" w:fill="auto"/>
            <w:noWrap/>
            <w:vAlign w:val="bottom"/>
            <w:hideMark/>
          </w:tcPr>
          <w:p w14:paraId="2E740D33"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 xml:space="preserve">Private Financing Advisory Network </w:t>
            </w:r>
          </w:p>
        </w:tc>
        <w:tc>
          <w:tcPr>
            <w:tcW w:w="3398" w:type="dxa"/>
            <w:tcBorders>
              <w:top w:val="nil"/>
              <w:left w:val="nil"/>
              <w:bottom w:val="single" w:sz="8" w:space="0" w:color="881946"/>
              <w:right w:val="single" w:sz="8" w:space="0" w:color="881946"/>
            </w:tcBorders>
            <w:shd w:val="clear" w:color="auto" w:fill="auto"/>
            <w:noWrap/>
            <w:vAlign w:val="bottom"/>
            <w:hideMark/>
          </w:tcPr>
          <w:p w14:paraId="352B20E4"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 xml:space="preserve">Patrick Nussbaumer </w:t>
            </w:r>
          </w:p>
        </w:tc>
      </w:tr>
      <w:tr w:rsidR="006A2454" w:rsidRPr="006A2454" w14:paraId="1226F1BF"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000000" w:fill="FFFFFF"/>
            <w:noWrap/>
            <w:hideMark/>
          </w:tcPr>
          <w:p w14:paraId="6741547A" w14:textId="77777777" w:rsidR="006A2454" w:rsidRPr="006A2454" w:rsidRDefault="006A2454" w:rsidP="000811AE">
            <w:pPr>
              <w:spacing w:after="0" w:line="240" w:lineRule="auto"/>
              <w:rPr>
                <w:rFonts w:ascii="Calibri" w:eastAsia="Times New Roman" w:hAnsi="Calibri" w:cs="Calibri"/>
                <w:lang w:eastAsia="en-IN"/>
              </w:rPr>
            </w:pPr>
            <w:proofErr w:type="spellStart"/>
            <w:r w:rsidRPr="006A2454">
              <w:rPr>
                <w:rFonts w:ascii="Calibri" w:eastAsia="Times New Roman" w:hAnsi="Calibri" w:cs="Calibri"/>
                <w:lang w:eastAsia="en-IN"/>
              </w:rPr>
              <w:t>Prospera</w:t>
            </w:r>
            <w:proofErr w:type="spellEnd"/>
          </w:p>
        </w:tc>
        <w:tc>
          <w:tcPr>
            <w:tcW w:w="3398" w:type="dxa"/>
            <w:tcBorders>
              <w:top w:val="nil"/>
              <w:left w:val="nil"/>
              <w:bottom w:val="single" w:sz="8" w:space="0" w:color="881946"/>
              <w:right w:val="single" w:sz="8" w:space="0" w:color="881946"/>
            </w:tcBorders>
            <w:shd w:val="clear" w:color="000000" w:fill="FFFFFF"/>
            <w:noWrap/>
            <w:vAlign w:val="bottom"/>
            <w:hideMark/>
          </w:tcPr>
          <w:p w14:paraId="5052C39B"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 xml:space="preserve">David </w:t>
            </w:r>
            <w:proofErr w:type="spellStart"/>
            <w:r w:rsidRPr="006A2454">
              <w:rPr>
                <w:rFonts w:ascii="Calibri" w:eastAsia="Times New Roman" w:hAnsi="Calibri" w:cs="Calibri"/>
                <w:lang w:eastAsia="en-IN"/>
              </w:rPr>
              <w:t>Nellor</w:t>
            </w:r>
            <w:proofErr w:type="spellEnd"/>
          </w:p>
        </w:tc>
      </w:tr>
      <w:tr w:rsidR="006A2454" w:rsidRPr="006A2454" w14:paraId="53331543"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000000" w:fill="FFFFFF"/>
            <w:noWrap/>
            <w:vAlign w:val="bottom"/>
            <w:hideMark/>
          </w:tcPr>
          <w:p w14:paraId="7B14D718"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 xml:space="preserve">Public-Private Infrastructure Advisory Facility </w:t>
            </w:r>
          </w:p>
        </w:tc>
        <w:tc>
          <w:tcPr>
            <w:tcW w:w="3398" w:type="dxa"/>
            <w:tcBorders>
              <w:top w:val="nil"/>
              <w:left w:val="nil"/>
              <w:bottom w:val="single" w:sz="8" w:space="0" w:color="881946"/>
              <w:right w:val="single" w:sz="8" w:space="0" w:color="881946"/>
            </w:tcBorders>
            <w:shd w:val="clear" w:color="auto" w:fill="auto"/>
            <w:noWrap/>
            <w:vAlign w:val="bottom"/>
            <w:hideMark/>
          </w:tcPr>
          <w:p w14:paraId="698CA216"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 xml:space="preserve">Jemima Sy </w:t>
            </w:r>
          </w:p>
        </w:tc>
      </w:tr>
      <w:tr w:rsidR="006A2454" w:rsidRPr="006A2454" w14:paraId="55DB3CC0"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000000" w:fill="FFFFFF"/>
            <w:noWrap/>
            <w:vAlign w:val="bottom"/>
            <w:hideMark/>
          </w:tcPr>
          <w:p w14:paraId="69C37B10"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 xml:space="preserve">Public-Private Infrastructure Advisory Facility </w:t>
            </w:r>
          </w:p>
        </w:tc>
        <w:tc>
          <w:tcPr>
            <w:tcW w:w="3398" w:type="dxa"/>
            <w:tcBorders>
              <w:top w:val="nil"/>
              <w:left w:val="nil"/>
              <w:bottom w:val="single" w:sz="8" w:space="0" w:color="881946"/>
              <w:right w:val="single" w:sz="8" w:space="0" w:color="881946"/>
            </w:tcBorders>
            <w:shd w:val="clear" w:color="auto" w:fill="auto"/>
            <w:noWrap/>
            <w:vAlign w:val="bottom"/>
            <w:hideMark/>
          </w:tcPr>
          <w:p w14:paraId="0B54F8D8" w14:textId="77777777" w:rsidR="006A2454" w:rsidRPr="006A2454" w:rsidRDefault="006A2454">
            <w:pPr>
              <w:spacing w:after="0" w:line="240" w:lineRule="auto"/>
              <w:rPr>
                <w:rFonts w:ascii="Calibri" w:eastAsia="Times New Roman" w:hAnsi="Calibri" w:cs="Calibri"/>
                <w:lang w:eastAsia="en-IN"/>
              </w:rPr>
            </w:pPr>
            <w:proofErr w:type="spellStart"/>
            <w:r w:rsidRPr="006A2454">
              <w:rPr>
                <w:rFonts w:ascii="Calibri" w:eastAsia="Times New Roman" w:hAnsi="Calibri" w:cs="Calibri"/>
                <w:lang w:eastAsia="en-IN"/>
              </w:rPr>
              <w:t>Ludovic</w:t>
            </w:r>
            <w:proofErr w:type="spellEnd"/>
            <w:r w:rsidRPr="006A2454">
              <w:rPr>
                <w:rFonts w:ascii="Calibri" w:eastAsia="Times New Roman" w:hAnsi="Calibri" w:cs="Calibri"/>
                <w:lang w:eastAsia="en-IN"/>
              </w:rPr>
              <w:t xml:space="preserve"> </w:t>
            </w:r>
            <w:proofErr w:type="spellStart"/>
            <w:r w:rsidRPr="006A2454">
              <w:rPr>
                <w:rFonts w:ascii="Calibri" w:eastAsia="Times New Roman" w:hAnsi="Calibri" w:cs="Calibri"/>
                <w:lang w:eastAsia="en-IN"/>
              </w:rPr>
              <w:t>Deplanque</w:t>
            </w:r>
            <w:proofErr w:type="spellEnd"/>
            <w:r w:rsidRPr="006A2454">
              <w:rPr>
                <w:rFonts w:ascii="Calibri" w:eastAsia="Times New Roman" w:hAnsi="Calibri" w:cs="Calibri"/>
                <w:lang w:eastAsia="en-IN"/>
              </w:rPr>
              <w:t xml:space="preserve"> </w:t>
            </w:r>
          </w:p>
        </w:tc>
      </w:tr>
      <w:tr w:rsidR="006A2454" w:rsidRPr="006A2454" w14:paraId="6282C038"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auto" w:fill="auto"/>
            <w:noWrap/>
            <w:vAlign w:val="bottom"/>
            <w:hideMark/>
          </w:tcPr>
          <w:p w14:paraId="56B67A20"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 xml:space="preserve">RBC Capital Markets </w:t>
            </w:r>
          </w:p>
        </w:tc>
        <w:tc>
          <w:tcPr>
            <w:tcW w:w="3398" w:type="dxa"/>
            <w:tcBorders>
              <w:top w:val="nil"/>
              <w:left w:val="nil"/>
              <w:bottom w:val="single" w:sz="8" w:space="0" w:color="881946"/>
              <w:right w:val="single" w:sz="8" w:space="0" w:color="881946"/>
            </w:tcBorders>
            <w:shd w:val="clear" w:color="auto" w:fill="auto"/>
            <w:noWrap/>
            <w:vAlign w:val="bottom"/>
            <w:hideMark/>
          </w:tcPr>
          <w:p w14:paraId="3177F870"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 xml:space="preserve">Tim Foy </w:t>
            </w:r>
          </w:p>
        </w:tc>
      </w:tr>
      <w:tr w:rsidR="006A2454" w:rsidRPr="006A2454" w14:paraId="706127A5"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auto" w:fill="auto"/>
            <w:vAlign w:val="bottom"/>
            <w:hideMark/>
          </w:tcPr>
          <w:p w14:paraId="4D1514E3"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 xml:space="preserve">RBC Capital Markets </w:t>
            </w:r>
          </w:p>
        </w:tc>
        <w:tc>
          <w:tcPr>
            <w:tcW w:w="3398" w:type="dxa"/>
            <w:tcBorders>
              <w:top w:val="nil"/>
              <w:left w:val="nil"/>
              <w:bottom w:val="single" w:sz="8" w:space="0" w:color="881946"/>
              <w:right w:val="single" w:sz="8" w:space="0" w:color="881946"/>
            </w:tcBorders>
            <w:shd w:val="clear" w:color="auto" w:fill="auto"/>
            <w:noWrap/>
            <w:vAlign w:val="bottom"/>
            <w:hideMark/>
          </w:tcPr>
          <w:p w14:paraId="3CCF1B90"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 xml:space="preserve">Kay Stuart </w:t>
            </w:r>
          </w:p>
        </w:tc>
      </w:tr>
      <w:tr w:rsidR="006A2454" w:rsidRPr="006A2454" w14:paraId="0873DB0B"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auto" w:fill="auto"/>
            <w:vAlign w:val="bottom"/>
            <w:hideMark/>
          </w:tcPr>
          <w:p w14:paraId="5A3AD7F4"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Samoa National Provident Fund</w:t>
            </w:r>
          </w:p>
        </w:tc>
        <w:tc>
          <w:tcPr>
            <w:tcW w:w="3398" w:type="dxa"/>
            <w:tcBorders>
              <w:top w:val="nil"/>
              <w:left w:val="nil"/>
              <w:bottom w:val="single" w:sz="8" w:space="0" w:color="881946"/>
              <w:right w:val="single" w:sz="8" w:space="0" w:color="881946"/>
            </w:tcBorders>
            <w:shd w:val="clear" w:color="auto" w:fill="auto"/>
            <w:noWrap/>
            <w:vAlign w:val="bottom"/>
            <w:hideMark/>
          </w:tcPr>
          <w:p w14:paraId="1E7BA4F4"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 xml:space="preserve">Prince </w:t>
            </w:r>
            <w:proofErr w:type="spellStart"/>
            <w:r w:rsidRPr="006A2454">
              <w:rPr>
                <w:rFonts w:ascii="Calibri" w:eastAsia="Times New Roman" w:hAnsi="Calibri" w:cs="Calibri"/>
                <w:lang w:eastAsia="en-IN"/>
              </w:rPr>
              <w:t>Suhren</w:t>
            </w:r>
            <w:proofErr w:type="spellEnd"/>
          </w:p>
        </w:tc>
      </w:tr>
      <w:tr w:rsidR="006A2454" w:rsidRPr="006A2454" w14:paraId="0AA21C19"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000000" w:fill="FFFFFF"/>
            <w:vAlign w:val="bottom"/>
            <w:hideMark/>
          </w:tcPr>
          <w:p w14:paraId="5FA6E386" w14:textId="77777777" w:rsidR="006A2454" w:rsidRPr="006A2454" w:rsidRDefault="006A2454" w:rsidP="000811AE">
            <w:pPr>
              <w:spacing w:after="0" w:line="240" w:lineRule="auto"/>
              <w:rPr>
                <w:rFonts w:ascii="Calibri" w:eastAsia="Times New Roman" w:hAnsi="Calibri" w:cs="Calibri"/>
                <w:lang w:eastAsia="en-IN"/>
              </w:rPr>
            </w:pPr>
            <w:proofErr w:type="spellStart"/>
            <w:r w:rsidRPr="006A2454">
              <w:rPr>
                <w:rFonts w:ascii="Calibri" w:eastAsia="Times New Roman" w:hAnsi="Calibri" w:cs="Calibri"/>
                <w:lang w:eastAsia="en-IN"/>
              </w:rPr>
              <w:t>Sampoerna</w:t>
            </w:r>
            <w:proofErr w:type="spellEnd"/>
            <w:r w:rsidRPr="006A2454">
              <w:rPr>
                <w:rFonts w:ascii="Calibri" w:eastAsia="Times New Roman" w:hAnsi="Calibri" w:cs="Calibri"/>
                <w:lang w:eastAsia="en-IN"/>
              </w:rPr>
              <w:t xml:space="preserve"> Foundation</w:t>
            </w:r>
          </w:p>
        </w:tc>
        <w:tc>
          <w:tcPr>
            <w:tcW w:w="3398" w:type="dxa"/>
            <w:tcBorders>
              <w:top w:val="nil"/>
              <w:left w:val="nil"/>
              <w:bottom w:val="single" w:sz="8" w:space="0" w:color="881946"/>
              <w:right w:val="single" w:sz="8" w:space="0" w:color="881946"/>
            </w:tcBorders>
            <w:shd w:val="clear" w:color="000000" w:fill="FFFFFF"/>
            <w:noWrap/>
            <w:vAlign w:val="bottom"/>
            <w:hideMark/>
          </w:tcPr>
          <w:p w14:paraId="2073842B"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Thierry Sanders</w:t>
            </w:r>
          </w:p>
        </w:tc>
      </w:tr>
      <w:tr w:rsidR="006A2454" w:rsidRPr="006A2454" w14:paraId="0E7AC934"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000000" w:fill="FFFFFF"/>
            <w:noWrap/>
            <w:vAlign w:val="bottom"/>
            <w:hideMark/>
          </w:tcPr>
          <w:p w14:paraId="081CA096" w14:textId="77777777" w:rsidR="006A2454" w:rsidRPr="006A2454" w:rsidRDefault="006A2454" w:rsidP="000811AE">
            <w:pPr>
              <w:spacing w:after="0" w:line="240" w:lineRule="auto"/>
              <w:rPr>
                <w:rFonts w:ascii="Calibri" w:eastAsia="Times New Roman" w:hAnsi="Calibri" w:cs="Calibri"/>
                <w:lang w:eastAsia="en-IN"/>
              </w:rPr>
            </w:pPr>
            <w:proofErr w:type="spellStart"/>
            <w:r w:rsidRPr="006A2454">
              <w:rPr>
                <w:rFonts w:ascii="Calibri" w:eastAsia="Times New Roman" w:hAnsi="Calibri" w:cs="Calibri"/>
                <w:lang w:eastAsia="en-IN"/>
              </w:rPr>
              <w:t>Sampoerna</w:t>
            </w:r>
            <w:proofErr w:type="spellEnd"/>
            <w:r w:rsidRPr="006A2454">
              <w:rPr>
                <w:rFonts w:ascii="Calibri" w:eastAsia="Times New Roman" w:hAnsi="Calibri" w:cs="Calibri"/>
                <w:lang w:eastAsia="en-IN"/>
              </w:rPr>
              <w:t xml:space="preserve"> Foundation</w:t>
            </w:r>
          </w:p>
        </w:tc>
        <w:tc>
          <w:tcPr>
            <w:tcW w:w="3398" w:type="dxa"/>
            <w:tcBorders>
              <w:top w:val="nil"/>
              <w:left w:val="nil"/>
              <w:bottom w:val="single" w:sz="8" w:space="0" w:color="881946"/>
              <w:right w:val="single" w:sz="8" w:space="0" w:color="881946"/>
            </w:tcBorders>
            <w:shd w:val="clear" w:color="000000" w:fill="FFFFFF"/>
            <w:noWrap/>
            <w:vAlign w:val="bottom"/>
            <w:hideMark/>
          </w:tcPr>
          <w:p w14:paraId="4D494221"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Pandu Aditya Kristy</w:t>
            </w:r>
          </w:p>
        </w:tc>
      </w:tr>
      <w:tr w:rsidR="006A2454" w:rsidRPr="006A2454" w14:paraId="1B46D1DE"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000000" w:fill="FFFFFF"/>
            <w:noWrap/>
            <w:hideMark/>
          </w:tcPr>
          <w:p w14:paraId="178581DF"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 xml:space="preserve">Sarana Multi Infrastructure </w:t>
            </w:r>
          </w:p>
        </w:tc>
        <w:tc>
          <w:tcPr>
            <w:tcW w:w="3398" w:type="dxa"/>
            <w:tcBorders>
              <w:top w:val="nil"/>
              <w:left w:val="nil"/>
              <w:bottom w:val="single" w:sz="8" w:space="0" w:color="881946"/>
              <w:right w:val="single" w:sz="8" w:space="0" w:color="881946"/>
            </w:tcBorders>
            <w:shd w:val="clear" w:color="000000" w:fill="FFFFFF"/>
            <w:noWrap/>
            <w:vAlign w:val="bottom"/>
            <w:hideMark/>
          </w:tcPr>
          <w:p w14:paraId="77D40167"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 xml:space="preserve">Edwin </w:t>
            </w:r>
            <w:proofErr w:type="spellStart"/>
            <w:r w:rsidRPr="006A2454">
              <w:rPr>
                <w:rFonts w:ascii="Calibri" w:eastAsia="Times New Roman" w:hAnsi="Calibri" w:cs="Calibri"/>
                <w:lang w:eastAsia="en-IN"/>
              </w:rPr>
              <w:t>Syahruzad</w:t>
            </w:r>
            <w:proofErr w:type="spellEnd"/>
          </w:p>
        </w:tc>
      </w:tr>
      <w:tr w:rsidR="006A2454" w:rsidRPr="006A2454" w14:paraId="1E9CCACB"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000000" w:fill="FFFFFF"/>
            <w:noWrap/>
            <w:hideMark/>
          </w:tcPr>
          <w:p w14:paraId="06EDF876"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Save the Children</w:t>
            </w:r>
          </w:p>
        </w:tc>
        <w:tc>
          <w:tcPr>
            <w:tcW w:w="3398" w:type="dxa"/>
            <w:tcBorders>
              <w:top w:val="nil"/>
              <w:left w:val="nil"/>
              <w:bottom w:val="single" w:sz="8" w:space="0" w:color="881946"/>
              <w:right w:val="single" w:sz="8" w:space="0" w:color="881946"/>
            </w:tcBorders>
            <w:shd w:val="clear" w:color="000000" w:fill="FFFFFF"/>
            <w:noWrap/>
            <w:vAlign w:val="bottom"/>
            <w:hideMark/>
          </w:tcPr>
          <w:p w14:paraId="72616CEE"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Marion Stanton</w:t>
            </w:r>
          </w:p>
        </w:tc>
      </w:tr>
      <w:tr w:rsidR="006A2454" w:rsidRPr="006A2454" w14:paraId="3CF26B62"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000000" w:fill="FFFFFF"/>
            <w:noWrap/>
          </w:tcPr>
          <w:p w14:paraId="001C899E"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Second Muse</w:t>
            </w:r>
          </w:p>
        </w:tc>
        <w:tc>
          <w:tcPr>
            <w:tcW w:w="3398" w:type="dxa"/>
            <w:tcBorders>
              <w:top w:val="nil"/>
              <w:left w:val="nil"/>
              <w:bottom w:val="single" w:sz="8" w:space="0" w:color="881946"/>
              <w:right w:val="single" w:sz="8" w:space="0" w:color="881946"/>
            </w:tcBorders>
            <w:shd w:val="clear" w:color="000000" w:fill="FFFFFF"/>
            <w:noWrap/>
            <w:vAlign w:val="bottom"/>
          </w:tcPr>
          <w:p w14:paraId="61D82AE5"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David Ball</w:t>
            </w:r>
          </w:p>
        </w:tc>
      </w:tr>
      <w:tr w:rsidR="006A2454" w:rsidRPr="006A2454" w14:paraId="15F0234E"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000000" w:fill="FFFFFF"/>
            <w:noWrap/>
            <w:vAlign w:val="bottom"/>
          </w:tcPr>
          <w:p w14:paraId="3B0E6ECF" w14:textId="083393E6"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Tetra Tech</w:t>
            </w:r>
            <w:r w:rsidR="0071103E">
              <w:rPr>
                <w:rFonts w:ascii="Calibri" w:eastAsia="Times New Roman" w:hAnsi="Calibri" w:cs="Calibri"/>
                <w:lang w:eastAsia="en-IN"/>
              </w:rPr>
              <w:t>—</w:t>
            </w:r>
            <w:r w:rsidRPr="006A2454">
              <w:rPr>
                <w:rFonts w:ascii="Calibri" w:eastAsia="Times New Roman" w:hAnsi="Calibri" w:cs="Calibri"/>
                <w:lang w:eastAsia="en-IN"/>
              </w:rPr>
              <w:t>Jakarta</w:t>
            </w:r>
          </w:p>
        </w:tc>
        <w:tc>
          <w:tcPr>
            <w:tcW w:w="3398" w:type="dxa"/>
            <w:tcBorders>
              <w:top w:val="nil"/>
              <w:left w:val="nil"/>
              <w:bottom w:val="single" w:sz="8" w:space="0" w:color="881946"/>
              <w:right w:val="single" w:sz="8" w:space="0" w:color="881946"/>
            </w:tcBorders>
            <w:shd w:val="clear" w:color="000000" w:fill="FFFFFF"/>
            <w:noWrap/>
            <w:vAlign w:val="bottom"/>
          </w:tcPr>
          <w:p w14:paraId="33BDDDBB"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Bill Meade</w:t>
            </w:r>
          </w:p>
        </w:tc>
      </w:tr>
      <w:tr w:rsidR="006A2454" w:rsidRPr="006A2454" w14:paraId="5627D8AA"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000000" w:fill="FFFFFF"/>
            <w:noWrap/>
            <w:vAlign w:val="bottom"/>
          </w:tcPr>
          <w:p w14:paraId="38872F0B"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 xml:space="preserve">Trade and Investment Victoria </w:t>
            </w:r>
          </w:p>
        </w:tc>
        <w:tc>
          <w:tcPr>
            <w:tcW w:w="3398" w:type="dxa"/>
            <w:tcBorders>
              <w:top w:val="nil"/>
              <w:left w:val="nil"/>
              <w:bottom w:val="single" w:sz="8" w:space="0" w:color="881946"/>
              <w:right w:val="single" w:sz="8" w:space="0" w:color="881946"/>
            </w:tcBorders>
            <w:shd w:val="clear" w:color="000000" w:fill="FFFFFF"/>
            <w:noWrap/>
            <w:vAlign w:val="bottom"/>
          </w:tcPr>
          <w:p w14:paraId="35248C51"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 xml:space="preserve">Anthony Baker </w:t>
            </w:r>
          </w:p>
        </w:tc>
      </w:tr>
      <w:tr w:rsidR="006A2454" w:rsidRPr="006A2454" w14:paraId="4F5B184E" w14:textId="77777777" w:rsidTr="00BB5F6D">
        <w:trPr>
          <w:trHeight w:val="615"/>
        </w:trPr>
        <w:tc>
          <w:tcPr>
            <w:tcW w:w="5608" w:type="dxa"/>
            <w:tcBorders>
              <w:top w:val="nil"/>
              <w:left w:val="single" w:sz="8" w:space="0" w:color="881946"/>
              <w:bottom w:val="single" w:sz="8" w:space="0" w:color="881946"/>
              <w:right w:val="single" w:sz="8" w:space="0" w:color="881946"/>
            </w:tcBorders>
            <w:shd w:val="clear" w:color="auto" w:fill="auto"/>
            <w:vAlign w:val="bottom"/>
            <w:hideMark/>
          </w:tcPr>
          <w:p w14:paraId="51AFD869" w14:textId="3DBD9AA6"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United States Agency for International Development</w:t>
            </w:r>
            <w:r w:rsidR="0071103E">
              <w:rPr>
                <w:rFonts w:ascii="Calibri" w:eastAsia="Times New Roman" w:hAnsi="Calibri" w:cs="Calibri"/>
                <w:lang w:eastAsia="en-IN"/>
              </w:rPr>
              <w:t>—</w:t>
            </w:r>
            <w:r w:rsidRPr="006A2454">
              <w:rPr>
                <w:rFonts w:ascii="Calibri" w:eastAsia="Times New Roman" w:hAnsi="Calibri" w:cs="Calibri"/>
                <w:lang w:eastAsia="en-IN"/>
              </w:rPr>
              <w:t>Jakarta</w:t>
            </w:r>
          </w:p>
        </w:tc>
        <w:tc>
          <w:tcPr>
            <w:tcW w:w="3398" w:type="dxa"/>
            <w:tcBorders>
              <w:top w:val="nil"/>
              <w:left w:val="nil"/>
              <w:bottom w:val="single" w:sz="8" w:space="0" w:color="881946"/>
              <w:right w:val="single" w:sz="8" w:space="0" w:color="881946"/>
            </w:tcBorders>
            <w:shd w:val="clear" w:color="auto" w:fill="auto"/>
            <w:noWrap/>
            <w:vAlign w:val="bottom"/>
            <w:hideMark/>
          </w:tcPr>
          <w:p w14:paraId="620E0823" w14:textId="77777777" w:rsidR="006A2454" w:rsidRPr="006A2454" w:rsidRDefault="006A2454">
            <w:pPr>
              <w:spacing w:after="0" w:line="240" w:lineRule="auto"/>
              <w:rPr>
                <w:rFonts w:ascii="Calibri" w:eastAsia="Times New Roman" w:hAnsi="Calibri" w:cs="Calibri"/>
                <w:lang w:eastAsia="en-IN"/>
              </w:rPr>
            </w:pPr>
            <w:proofErr w:type="spellStart"/>
            <w:r w:rsidRPr="006A2454">
              <w:rPr>
                <w:rFonts w:ascii="Calibri" w:eastAsia="Times New Roman" w:hAnsi="Calibri" w:cs="Calibri"/>
                <w:lang w:eastAsia="en-IN"/>
              </w:rPr>
              <w:t>Retno</w:t>
            </w:r>
            <w:proofErr w:type="spellEnd"/>
            <w:r w:rsidRPr="006A2454">
              <w:rPr>
                <w:rFonts w:ascii="Calibri" w:eastAsia="Times New Roman" w:hAnsi="Calibri" w:cs="Calibri"/>
                <w:lang w:eastAsia="en-IN"/>
              </w:rPr>
              <w:t xml:space="preserve"> </w:t>
            </w:r>
            <w:proofErr w:type="spellStart"/>
            <w:r w:rsidRPr="006A2454">
              <w:rPr>
                <w:rFonts w:ascii="Calibri" w:eastAsia="Times New Roman" w:hAnsi="Calibri" w:cs="Calibri"/>
                <w:lang w:eastAsia="en-IN"/>
              </w:rPr>
              <w:t>Setianingsih</w:t>
            </w:r>
            <w:proofErr w:type="spellEnd"/>
          </w:p>
        </w:tc>
      </w:tr>
      <w:tr w:rsidR="006A2454" w:rsidRPr="006A2454" w14:paraId="2DEC7ECD" w14:textId="77777777" w:rsidTr="00BB5F6D">
        <w:trPr>
          <w:trHeight w:val="615"/>
        </w:trPr>
        <w:tc>
          <w:tcPr>
            <w:tcW w:w="5608" w:type="dxa"/>
            <w:tcBorders>
              <w:top w:val="nil"/>
              <w:left w:val="single" w:sz="8" w:space="0" w:color="881946"/>
              <w:bottom w:val="single" w:sz="8" w:space="0" w:color="881946"/>
              <w:right w:val="single" w:sz="8" w:space="0" w:color="881946"/>
            </w:tcBorders>
            <w:shd w:val="clear" w:color="auto" w:fill="auto"/>
            <w:vAlign w:val="bottom"/>
          </w:tcPr>
          <w:p w14:paraId="74C05042" w14:textId="2DE29FB5"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United States Agency for International Development</w:t>
            </w:r>
            <w:r w:rsidR="0071103E">
              <w:rPr>
                <w:rFonts w:ascii="Calibri" w:eastAsia="Times New Roman" w:hAnsi="Calibri" w:cs="Calibri"/>
                <w:lang w:eastAsia="en-IN"/>
              </w:rPr>
              <w:t>—</w:t>
            </w:r>
            <w:r w:rsidRPr="006A2454">
              <w:rPr>
                <w:rFonts w:ascii="Calibri" w:eastAsia="Times New Roman" w:hAnsi="Calibri" w:cs="Calibri"/>
                <w:lang w:eastAsia="en-IN"/>
              </w:rPr>
              <w:t>Jakarta</w:t>
            </w:r>
          </w:p>
        </w:tc>
        <w:tc>
          <w:tcPr>
            <w:tcW w:w="3398" w:type="dxa"/>
            <w:tcBorders>
              <w:top w:val="nil"/>
              <w:left w:val="nil"/>
              <w:bottom w:val="single" w:sz="8" w:space="0" w:color="881946"/>
              <w:right w:val="single" w:sz="8" w:space="0" w:color="881946"/>
            </w:tcBorders>
            <w:shd w:val="clear" w:color="auto" w:fill="auto"/>
            <w:noWrap/>
            <w:vAlign w:val="bottom"/>
          </w:tcPr>
          <w:p w14:paraId="10D3F1B6"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 xml:space="preserve">Rosana </w:t>
            </w:r>
            <w:proofErr w:type="spellStart"/>
            <w:r w:rsidRPr="006A2454">
              <w:rPr>
                <w:rFonts w:ascii="Calibri" w:eastAsia="Times New Roman" w:hAnsi="Calibri" w:cs="Calibri"/>
                <w:lang w:eastAsia="en-IN"/>
              </w:rPr>
              <w:t>Pribadi</w:t>
            </w:r>
            <w:proofErr w:type="spellEnd"/>
          </w:p>
        </w:tc>
      </w:tr>
      <w:tr w:rsidR="006A2454" w:rsidRPr="006A2454" w14:paraId="3D3A077B"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auto" w:fill="auto"/>
            <w:noWrap/>
            <w:vAlign w:val="bottom"/>
          </w:tcPr>
          <w:p w14:paraId="64C95457"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United States Agency for International Development, Development Credit Authority</w:t>
            </w:r>
          </w:p>
        </w:tc>
        <w:tc>
          <w:tcPr>
            <w:tcW w:w="3398" w:type="dxa"/>
            <w:tcBorders>
              <w:top w:val="nil"/>
              <w:left w:val="nil"/>
              <w:bottom w:val="single" w:sz="8" w:space="0" w:color="881946"/>
              <w:right w:val="single" w:sz="8" w:space="0" w:color="881946"/>
            </w:tcBorders>
            <w:shd w:val="clear" w:color="auto" w:fill="auto"/>
            <w:noWrap/>
            <w:vAlign w:val="bottom"/>
          </w:tcPr>
          <w:p w14:paraId="1AB56D97"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 xml:space="preserve">Beth </w:t>
            </w:r>
            <w:proofErr w:type="spellStart"/>
            <w:r w:rsidRPr="006A2454">
              <w:rPr>
                <w:rFonts w:ascii="Calibri" w:eastAsia="Times New Roman" w:hAnsi="Calibri" w:cs="Calibri"/>
                <w:lang w:eastAsia="en-IN"/>
              </w:rPr>
              <w:t>Addler</w:t>
            </w:r>
            <w:proofErr w:type="spellEnd"/>
            <w:r w:rsidRPr="006A2454">
              <w:rPr>
                <w:rFonts w:ascii="Calibri" w:eastAsia="Times New Roman" w:hAnsi="Calibri" w:cs="Calibri"/>
                <w:lang w:eastAsia="en-IN"/>
              </w:rPr>
              <w:t xml:space="preserve"> </w:t>
            </w:r>
          </w:p>
        </w:tc>
      </w:tr>
      <w:tr w:rsidR="006A2454" w:rsidRPr="006A2454" w14:paraId="61D19D2D"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auto" w:fill="auto"/>
            <w:noWrap/>
            <w:vAlign w:val="bottom"/>
          </w:tcPr>
          <w:p w14:paraId="763DDA6A"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United States Agency for International Development, Development Credit Authority</w:t>
            </w:r>
          </w:p>
        </w:tc>
        <w:tc>
          <w:tcPr>
            <w:tcW w:w="3398" w:type="dxa"/>
            <w:tcBorders>
              <w:top w:val="nil"/>
              <w:left w:val="nil"/>
              <w:bottom w:val="single" w:sz="8" w:space="0" w:color="881946"/>
              <w:right w:val="single" w:sz="8" w:space="0" w:color="881946"/>
            </w:tcBorders>
            <w:shd w:val="clear" w:color="auto" w:fill="auto"/>
            <w:noWrap/>
            <w:vAlign w:val="bottom"/>
          </w:tcPr>
          <w:p w14:paraId="3DF10174"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Jason Fleming</w:t>
            </w:r>
          </w:p>
        </w:tc>
      </w:tr>
      <w:tr w:rsidR="006A2454" w:rsidRPr="006A2454" w14:paraId="125BDBDC"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000000" w:fill="FFFFFF"/>
            <w:noWrap/>
            <w:vAlign w:val="bottom"/>
          </w:tcPr>
          <w:p w14:paraId="41879F9D"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Vanuatu Department of Strategic Planning, Policy and Aid Coordination</w:t>
            </w:r>
          </w:p>
        </w:tc>
        <w:tc>
          <w:tcPr>
            <w:tcW w:w="3398" w:type="dxa"/>
            <w:tcBorders>
              <w:top w:val="nil"/>
              <w:left w:val="nil"/>
              <w:bottom w:val="single" w:sz="8" w:space="0" w:color="881946"/>
              <w:right w:val="single" w:sz="8" w:space="0" w:color="881946"/>
            </w:tcBorders>
            <w:shd w:val="clear" w:color="auto" w:fill="auto"/>
            <w:noWrap/>
            <w:vAlign w:val="bottom"/>
          </w:tcPr>
          <w:p w14:paraId="0B0322D4"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John Ezra</w:t>
            </w:r>
          </w:p>
        </w:tc>
      </w:tr>
      <w:tr w:rsidR="006A2454" w:rsidRPr="006A2454" w14:paraId="7087F167"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auto" w:fill="auto"/>
            <w:noWrap/>
            <w:vAlign w:val="bottom"/>
          </w:tcPr>
          <w:p w14:paraId="690E4D47"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Vanuatu National Provident Fund</w:t>
            </w:r>
          </w:p>
        </w:tc>
        <w:tc>
          <w:tcPr>
            <w:tcW w:w="3398" w:type="dxa"/>
            <w:tcBorders>
              <w:top w:val="nil"/>
              <w:left w:val="nil"/>
              <w:bottom w:val="single" w:sz="8" w:space="0" w:color="881946"/>
              <w:right w:val="single" w:sz="8" w:space="0" w:color="881946"/>
            </w:tcBorders>
            <w:shd w:val="clear" w:color="auto" w:fill="auto"/>
            <w:noWrap/>
            <w:vAlign w:val="bottom"/>
          </w:tcPr>
          <w:p w14:paraId="64B78C22"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Alain Lew</w:t>
            </w:r>
          </w:p>
        </w:tc>
      </w:tr>
      <w:tr w:rsidR="006A2454" w:rsidRPr="006A2454" w14:paraId="6E68C9DB"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auto" w:fill="auto"/>
            <w:noWrap/>
            <w:vAlign w:val="bottom"/>
            <w:hideMark/>
          </w:tcPr>
          <w:p w14:paraId="2A4502B1"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Vanuatu National Provident Fund</w:t>
            </w:r>
          </w:p>
        </w:tc>
        <w:tc>
          <w:tcPr>
            <w:tcW w:w="3398" w:type="dxa"/>
            <w:tcBorders>
              <w:top w:val="nil"/>
              <w:left w:val="nil"/>
              <w:bottom w:val="single" w:sz="8" w:space="0" w:color="881946"/>
              <w:right w:val="single" w:sz="8" w:space="0" w:color="881946"/>
            </w:tcBorders>
            <w:shd w:val="clear" w:color="auto" w:fill="auto"/>
            <w:noWrap/>
            <w:vAlign w:val="bottom"/>
            <w:hideMark/>
          </w:tcPr>
          <w:p w14:paraId="348506F6" w14:textId="77777777" w:rsidR="006A2454" w:rsidRPr="006A2454" w:rsidRDefault="006A2454">
            <w:pPr>
              <w:spacing w:after="0" w:line="240" w:lineRule="auto"/>
              <w:rPr>
                <w:rFonts w:ascii="Calibri" w:eastAsia="Times New Roman" w:hAnsi="Calibri" w:cs="Calibri"/>
                <w:lang w:eastAsia="en-IN"/>
              </w:rPr>
            </w:pPr>
            <w:proofErr w:type="spellStart"/>
            <w:r w:rsidRPr="006A2454">
              <w:rPr>
                <w:rFonts w:ascii="Calibri" w:eastAsia="Times New Roman" w:hAnsi="Calibri" w:cs="Calibri"/>
                <w:lang w:eastAsia="en-IN"/>
              </w:rPr>
              <w:t>Parmod</w:t>
            </w:r>
            <w:proofErr w:type="spellEnd"/>
            <w:r w:rsidRPr="006A2454">
              <w:rPr>
                <w:rFonts w:ascii="Calibri" w:eastAsia="Times New Roman" w:hAnsi="Calibri" w:cs="Calibri"/>
                <w:lang w:eastAsia="en-IN"/>
              </w:rPr>
              <w:t xml:space="preserve"> </w:t>
            </w:r>
            <w:proofErr w:type="spellStart"/>
            <w:r w:rsidRPr="006A2454">
              <w:rPr>
                <w:rFonts w:ascii="Calibri" w:eastAsia="Times New Roman" w:hAnsi="Calibri" w:cs="Calibri"/>
                <w:lang w:eastAsia="en-IN"/>
              </w:rPr>
              <w:t>Achary</w:t>
            </w:r>
            <w:proofErr w:type="spellEnd"/>
          </w:p>
        </w:tc>
      </w:tr>
      <w:tr w:rsidR="006A2454" w:rsidRPr="006A2454" w14:paraId="242EA380" w14:textId="77777777" w:rsidTr="00BB5F6D">
        <w:trPr>
          <w:trHeight w:val="615"/>
        </w:trPr>
        <w:tc>
          <w:tcPr>
            <w:tcW w:w="5608" w:type="dxa"/>
            <w:tcBorders>
              <w:top w:val="nil"/>
              <w:left w:val="single" w:sz="8" w:space="0" w:color="881946"/>
              <w:bottom w:val="single" w:sz="8" w:space="0" w:color="881946"/>
              <w:right w:val="single" w:sz="8" w:space="0" w:color="881946"/>
            </w:tcBorders>
            <w:shd w:val="clear" w:color="auto" w:fill="auto"/>
            <w:vAlign w:val="bottom"/>
          </w:tcPr>
          <w:p w14:paraId="4514C321"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Vanuatu Telecommunications and Radio Communications and Broadcasting Regulator</w:t>
            </w:r>
          </w:p>
        </w:tc>
        <w:tc>
          <w:tcPr>
            <w:tcW w:w="3398" w:type="dxa"/>
            <w:tcBorders>
              <w:top w:val="nil"/>
              <w:left w:val="nil"/>
              <w:bottom w:val="single" w:sz="8" w:space="0" w:color="881946"/>
              <w:right w:val="single" w:sz="8" w:space="0" w:color="881946"/>
            </w:tcBorders>
            <w:shd w:val="clear" w:color="auto" w:fill="auto"/>
            <w:noWrap/>
            <w:vAlign w:val="bottom"/>
          </w:tcPr>
          <w:p w14:paraId="488EAA78" w14:textId="77777777" w:rsidR="006A2454" w:rsidRPr="006A2454" w:rsidDel="00F744B7" w:rsidRDefault="006A2454">
            <w:pPr>
              <w:spacing w:after="0" w:line="240" w:lineRule="auto"/>
              <w:rPr>
                <w:rFonts w:ascii="Calibri" w:eastAsia="Times New Roman" w:hAnsi="Calibri" w:cs="Calibri"/>
                <w:lang w:eastAsia="en-IN"/>
              </w:rPr>
            </w:pPr>
            <w:proofErr w:type="spellStart"/>
            <w:r w:rsidRPr="006A2454">
              <w:rPr>
                <w:rFonts w:ascii="Calibri" w:eastAsia="Times New Roman" w:hAnsi="Calibri" w:cs="Calibri"/>
                <w:lang w:eastAsia="en-IN"/>
              </w:rPr>
              <w:t>Dalsie</w:t>
            </w:r>
            <w:proofErr w:type="spellEnd"/>
            <w:r w:rsidRPr="006A2454">
              <w:rPr>
                <w:rFonts w:ascii="Calibri" w:eastAsia="Times New Roman" w:hAnsi="Calibri" w:cs="Calibri"/>
                <w:lang w:eastAsia="en-IN"/>
              </w:rPr>
              <w:t xml:space="preserve"> </w:t>
            </w:r>
            <w:proofErr w:type="spellStart"/>
            <w:r w:rsidRPr="006A2454">
              <w:rPr>
                <w:rFonts w:ascii="Calibri" w:eastAsia="Times New Roman" w:hAnsi="Calibri" w:cs="Calibri"/>
                <w:lang w:eastAsia="en-IN"/>
              </w:rPr>
              <w:t>Baniala</w:t>
            </w:r>
            <w:proofErr w:type="spellEnd"/>
          </w:p>
        </w:tc>
      </w:tr>
      <w:tr w:rsidR="006A2454" w:rsidRPr="006A2454" w14:paraId="08E0596B"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auto" w:fill="auto"/>
            <w:noWrap/>
            <w:vAlign w:val="bottom"/>
            <w:hideMark/>
          </w:tcPr>
          <w:p w14:paraId="2C431A2D"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Vanuatu Telecommunications and Radio Communications and Broadcasting Regulator</w:t>
            </w:r>
          </w:p>
        </w:tc>
        <w:tc>
          <w:tcPr>
            <w:tcW w:w="3398" w:type="dxa"/>
            <w:tcBorders>
              <w:top w:val="nil"/>
              <w:left w:val="nil"/>
              <w:bottom w:val="single" w:sz="8" w:space="0" w:color="881946"/>
              <w:right w:val="single" w:sz="8" w:space="0" w:color="881946"/>
            </w:tcBorders>
            <w:shd w:val="clear" w:color="auto" w:fill="auto"/>
            <w:noWrap/>
            <w:vAlign w:val="bottom"/>
            <w:hideMark/>
          </w:tcPr>
          <w:p w14:paraId="254FFE6D"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Brad Partridge</w:t>
            </w:r>
          </w:p>
        </w:tc>
      </w:tr>
      <w:tr w:rsidR="006A2454" w:rsidRPr="006A2454" w14:paraId="1821DAF5"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auto" w:fill="auto"/>
            <w:noWrap/>
            <w:vAlign w:val="bottom"/>
          </w:tcPr>
          <w:p w14:paraId="21D30BBB"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Vanuatu Utilities Regulatory Authority</w:t>
            </w:r>
          </w:p>
        </w:tc>
        <w:tc>
          <w:tcPr>
            <w:tcW w:w="3398" w:type="dxa"/>
            <w:tcBorders>
              <w:top w:val="nil"/>
              <w:left w:val="nil"/>
              <w:bottom w:val="single" w:sz="8" w:space="0" w:color="881946"/>
              <w:right w:val="single" w:sz="8" w:space="0" w:color="881946"/>
            </w:tcBorders>
            <w:shd w:val="clear" w:color="auto" w:fill="auto"/>
            <w:noWrap/>
            <w:vAlign w:val="bottom"/>
          </w:tcPr>
          <w:p w14:paraId="3875BEB4" w14:textId="77777777" w:rsidR="006A2454" w:rsidRPr="006A2454" w:rsidDel="00AE635F"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 xml:space="preserve">John Obed </w:t>
            </w:r>
            <w:proofErr w:type="spellStart"/>
            <w:r w:rsidRPr="006A2454">
              <w:rPr>
                <w:rFonts w:ascii="Calibri" w:eastAsia="Times New Roman" w:hAnsi="Calibri" w:cs="Calibri"/>
                <w:lang w:eastAsia="en-IN"/>
              </w:rPr>
              <w:t>Alilee</w:t>
            </w:r>
            <w:proofErr w:type="spellEnd"/>
          </w:p>
        </w:tc>
      </w:tr>
      <w:tr w:rsidR="006A2454" w:rsidRPr="006A2454" w14:paraId="5C08C66A"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auto" w:fill="auto"/>
            <w:vAlign w:val="bottom"/>
            <w:hideMark/>
          </w:tcPr>
          <w:p w14:paraId="65D99B21"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 xml:space="preserve">Westpac </w:t>
            </w:r>
          </w:p>
        </w:tc>
        <w:tc>
          <w:tcPr>
            <w:tcW w:w="3398" w:type="dxa"/>
            <w:tcBorders>
              <w:top w:val="nil"/>
              <w:left w:val="nil"/>
              <w:bottom w:val="single" w:sz="8" w:space="0" w:color="881946"/>
              <w:right w:val="single" w:sz="8" w:space="0" w:color="881946"/>
            </w:tcBorders>
            <w:shd w:val="clear" w:color="auto" w:fill="auto"/>
            <w:noWrap/>
            <w:vAlign w:val="bottom"/>
            <w:hideMark/>
          </w:tcPr>
          <w:p w14:paraId="68212EAE"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Jason Duarte</w:t>
            </w:r>
          </w:p>
        </w:tc>
      </w:tr>
      <w:tr w:rsidR="006A2454" w:rsidRPr="006A2454" w14:paraId="7625728F"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auto" w:fill="auto"/>
            <w:noWrap/>
            <w:vAlign w:val="bottom"/>
            <w:hideMark/>
          </w:tcPr>
          <w:p w14:paraId="57B0BE5A"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Westpac</w:t>
            </w:r>
          </w:p>
        </w:tc>
        <w:tc>
          <w:tcPr>
            <w:tcW w:w="3398" w:type="dxa"/>
            <w:tcBorders>
              <w:top w:val="nil"/>
              <w:left w:val="nil"/>
              <w:bottom w:val="single" w:sz="8" w:space="0" w:color="881946"/>
              <w:right w:val="single" w:sz="8" w:space="0" w:color="881946"/>
            </w:tcBorders>
            <w:shd w:val="clear" w:color="auto" w:fill="auto"/>
            <w:noWrap/>
            <w:vAlign w:val="bottom"/>
            <w:hideMark/>
          </w:tcPr>
          <w:p w14:paraId="3283677A"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Adrian Pin</w:t>
            </w:r>
          </w:p>
        </w:tc>
      </w:tr>
      <w:tr w:rsidR="006A2454" w:rsidRPr="006A2454" w14:paraId="2D2BAD4A"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auto" w:fill="auto"/>
            <w:noWrap/>
            <w:vAlign w:val="bottom"/>
            <w:hideMark/>
          </w:tcPr>
          <w:p w14:paraId="15A8BD7B"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Westpac</w:t>
            </w:r>
          </w:p>
        </w:tc>
        <w:tc>
          <w:tcPr>
            <w:tcW w:w="3398" w:type="dxa"/>
            <w:tcBorders>
              <w:top w:val="nil"/>
              <w:left w:val="nil"/>
              <w:bottom w:val="single" w:sz="8" w:space="0" w:color="881946"/>
              <w:right w:val="single" w:sz="8" w:space="0" w:color="881946"/>
            </w:tcBorders>
            <w:shd w:val="clear" w:color="auto" w:fill="auto"/>
            <w:noWrap/>
            <w:vAlign w:val="bottom"/>
            <w:hideMark/>
          </w:tcPr>
          <w:p w14:paraId="0579CFF5"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Cathy Hayne-Smith</w:t>
            </w:r>
          </w:p>
        </w:tc>
      </w:tr>
      <w:tr w:rsidR="006A2454" w:rsidRPr="006A2454" w14:paraId="135681CA"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auto" w:fill="auto"/>
            <w:noWrap/>
            <w:vAlign w:val="bottom"/>
            <w:hideMark/>
          </w:tcPr>
          <w:p w14:paraId="7FA3CE10" w14:textId="6A15AE94"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World Bank</w:t>
            </w:r>
            <w:r w:rsidR="0071103E">
              <w:rPr>
                <w:rFonts w:ascii="Calibri" w:eastAsia="Times New Roman" w:hAnsi="Calibri" w:cs="Calibri"/>
                <w:lang w:eastAsia="en-IN"/>
              </w:rPr>
              <w:t>—</w:t>
            </w:r>
            <w:r w:rsidRPr="006A2454">
              <w:rPr>
                <w:rFonts w:ascii="Calibri" w:eastAsia="Times New Roman" w:hAnsi="Calibri" w:cs="Calibri"/>
                <w:lang w:eastAsia="en-IN"/>
              </w:rPr>
              <w:t>Jakarta</w:t>
            </w:r>
          </w:p>
        </w:tc>
        <w:tc>
          <w:tcPr>
            <w:tcW w:w="3398" w:type="dxa"/>
            <w:tcBorders>
              <w:top w:val="nil"/>
              <w:left w:val="nil"/>
              <w:bottom w:val="single" w:sz="8" w:space="0" w:color="881946"/>
              <w:right w:val="single" w:sz="8" w:space="0" w:color="881946"/>
            </w:tcBorders>
            <w:shd w:val="clear" w:color="auto" w:fill="auto"/>
            <w:noWrap/>
            <w:vAlign w:val="bottom"/>
            <w:hideMark/>
          </w:tcPr>
          <w:p w14:paraId="4A254861"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Alex Webber</w:t>
            </w:r>
          </w:p>
        </w:tc>
      </w:tr>
      <w:tr w:rsidR="006A2454" w:rsidRPr="006A2454" w14:paraId="4C0AB9EC"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auto" w:fill="auto"/>
            <w:noWrap/>
            <w:vAlign w:val="bottom"/>
          </w:tcPr>
          <w:p w14:paraId="78BDDFF9" w14:textId="5CD75D13"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World Bank</w:t>
            </w:r>
            <w:r w:rsidR="0071103E">
              <w:rPr>
                <w:rFonts w:ascii="Calibri" w:eastAsia="Times New Roman" w:hAnsi="Calibri" w:cs="Calibri"/>
                <w:lang w:eastAsia="en-IN"/>
              </w:rPr>
              <w:t>—</w:t>
            </w:r>
            <w:r w:rsidRPr="006A2454">
              <w:rPr>
                <w:rFonts w:ascii="Calibri" w:eastAsia="Times New Roman" w:hAnsi="Calibri" w:cs="Calibri"/>
                <w:lang w:eastAsia="en-IN"/>
              </w:rPr>
              <w:t>Jakarta</w:t>
            </w:r>
          </w:p>
        </w:tc>
        <w:tc>
          <w:tcPr>
            <w:tcW w:w="3398" w:type="dxa"/>
            <w:tcBorders>
              <w:top w:val="nil"/>
              <w:left w:val="nil"/>
              <w:bottom w:val="single" w:sz="8" w:space="0" w:color="881946"/>
              <w:right w:val="single" w:sz="8" w:space="0" w:color="881946"/>
            </w:tcBorders>
            <w:shd w:val="clear" w:color="auto" w:fill="auto"/>
            <w:noWrap/>
            <w:vAlign w:val="bottom"/>
          </w:tcPr>
          <w:p w14:paraId="27463923"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 xml:space="preserve">Andrew </w:t>
            </w:r>
            <w:proofErr w:type="spellStart"/>
            <w:r w:rsidRPr="006A2454">
              <w:rPr>
                <w:rFonts w:ascii="Calibri" w:eastAsia="Times New Roman" w:hAnsi="Calibri" w:cs="Calibri"/>
                <w:lang w:eastAsia="en-IN"/>
              </w:rPr>
              <w:t>Rowsano</w:t>
            </w:r>
            <w:proofErr w:type="spellEnd"/>
          </w:p>
        </w:tc>
      </w:tr>
      <w:tr w:rsidR="006A2454" w:rsidRPr="006A2454" w14:paraId="5B70B284"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auto" w:fill="auto"/>
            <w:noWrap/>
            <w:vAlign w:val="bottom"/>
          </w:tcPr>
          <w:p w14:paraId="0DFDD6F4" w14:textId="4D1A7EAA"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lastRenderedPageBreak/>
              <w:t>World Bank</w:t>
            </w:r>
            <w:r w:rsidR="0071103E">
              <w:rPr>
                <w:rFonts w:ascii="Calibri" w:eastAsia="Times New Roman" w:hAnsi="Calibri" w:cs="Calibri"/>
                <w:lang w:eastAsia="en-IN"/>
              </w:rPr>
              <w:t>—</w:t>
            </w:r>
            <w:r w:rsidRPr="006A2454">
              <w:rPr>
                <w:rFonts w:ascii="Calibri" w:eastAsia="Times New Roman" w:hAnsi="Calibri" w:cs="Calibri"/>
                <w:lang w:eastAsia="en-IN"/>
              </w:rPr>
              <w:t>Singapore</w:t>
            </w:r>
          </w:p>
        </w:tc>
        <w:tc>
          <w:tcPr>
            <w:tcW w:w="3398" w:type="dxa"/>
            <w:tcBorders>
              <w:top w:val="nil"/>
              <w:left w:val="nil"/>
              <w:bottom w:val="single" w:sz="8" w:space="0" w:color="881946"/>
              <w:right w:val="single" w:sz="8" w:space="0" w:color="881946"/>
            </w:tcBorders>
            <w:shd w:val="clear" w:color="auto" w:fill="auto"/>
            <w:noWrap/>
            <w:vAlign w:val="bottom"/>
          </w:tcPr>
          <w:p w14:paraId="5E2C100D"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Jenny Chao</w:t>
            </w:r>
          </w:p>
        </w:tc>
      </w:tr>
      <w:tr w:rsidR="006A2454" w:rsidRPr="006A2454" w14:paraId="2AB895D3"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auto" w:fill="auto"/>
            <w:noWrap/>
            <w:vAlign w:val="bottom"/>
            <w:hideMark/>
          </w:tcPr>
          <w:p w14:paraId="0D7D4C18" w14:textId="0C7A14A8"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World Bank</w:t>
            </w:r>
            <w:r w:rsidR="0071103E">
              <w:rPr>
                <w:rFonts w:ascii="Calibri" w:eastAsia="Times New Roman" w:hAnsi="Calibri" w:cs="Calibri"/>
                <w:lang w:eastAsia="en-IN"/>
              </w:rPr>
              <w:t>—</w:t>
            </w:r>
            <w:r w:rsidRPr="006A2454">
              <w:rPr>
                <w:rFonts w:ascii="Calibri" w:eastAsia="Times New Roman" w:hAnsi="Calibri" w:cs="Calibri"/>
                <w:lang w:eastAsia="en-IN"/>
              </w:rPr>
              <w:t>Singapore</w:t>
            </w:r>
          </w:p>
        </w:tc>
        <w:tc>
          <w:tcPr>
            <w:tcW w:w="3398" w:type="dxa"/>
            <w:tcBorders>
              <w:top w:val="nil"/>
              <w:left w:val="nil"/>
              <w:bottom w:val="single" w:sz="8" w:space="0" w:color="881946"/>
              <w:right w:val="single" w:sz="8" w:space="0" w:color="881946"/>
            </w:tcBorders>
            <w:shd w:val="clear" w:color="auto" w:fill="auto"/>
            <w:noWrap/>
            <w:vAlign w:val="bottom"/>
            <w:hideMark/>
          </w:tcPr>
          <w:p w14:paraId="1ADCFBE7"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 xml:space="preserve">Jeffrey </w:t>
            </w:r>
            <w:proofErr w:type="spellStart"/>
            <w:r w:rsidRPr="006A2454">
              <w:rPr>
                <w:rFonts w:ascii="Calibri" w:eastAsia="Times New Roman" w:hAnsi="Calibri" w:cs="Calibri"/>
                <w:lang w:eastAsia="en-IN"/>
              </w:rPr>
              <w:t>Delmon</w:t>
            </w:r>
            <w:proofErr w:type="spellEnd"/>
          </w:p>
        </w:tc>
      </w:tr>
      <w:tr w:rsidR="006A2454" w:rsidRPr="006A2454" w14:paraId="0E973F91"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auto" w:fill="auto"/>
            <w:noWrap/>
            <w:vAlign w:val="bottom"/>
            <w:hideMark/>
          </w:tcPr>
          <w:p w14:paraId="06588F61"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World Bank</w:t>
            </w:r>
          </w:p>
        </w:tc>
        <w:tc>
          <w:tcPr>
            <w:tcW w:w="3398" w:type="dxa"/>
            <w:tcBorders>
              <w:top w:val="nil"/>
              <w:left w:val="nil"/>
              <w:bottom w:val="single" w:sz="8" w:space="0" w:color="881946"/>
              <w:right w:val="single" w:sz="8" w:space="0" w:color="881946"/>
            </w:tcBorders>
            <w:shd w:val="clear" w:color="auto" w:fill="auto"/>
            <w:noWrap/>
            <w:vAlign w:val="bottom"/>
            <w:hideMark/>
          </w:tcPr>
          <w:p w14:paraId="0E8139E8"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 xml:space="preserve">Patricia </w:t>
            </w:r>
            <w:proofErr w:type="spellStart"/>
            <w:r w:rsidRPr="006A2454">
              <w:rPr>
                <w:rFonts w:ascii="Calibri" w:eastAsia="Times New Roman" w:hAnsi="Calibri" w:cs="Calibri"/>
                <w:lang w:eastAsia="en-IN"/>
              </w:rPr>
              <w:t>Veevers</w:t>
            </w:r>
            <w:proofErr w:type="spellEnd"/>
            <w:r w:rsidRPr="006A2454">
              <w:rPr>
                <w:rFonts w:ascii="Calibri" w:eastAsia="Times New Roman" w:hAnsi="Calibri" w:cs="Calibri"/>
                <w:lang w:eastAsia="en-IN"/>
              </w:rPr>
              <w:t xml:space="preserve"> Carter</w:t>
            </w:r>
          </w:p>
        </w:tc>
      </w:tr>
      <w:tr w:rsidR="006A2454" w:rsidRPr="006A2454" w14:paraId="71D14E48"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000000" w:fill="FFFFFF"/>
            <w:noWrap/>
          </w:tcPr>
          <w:p w14:paraId="5B6E5FB0" w14:textId="77777777"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 xml:space="preserve">World Bank </w:t>
            </w:r>
          </w:p>
        </w:tc>
        <w:tc>
          <w:tcPr>
            <w:tcW w:w="3398" w:type="dxa"/>
            <w:tcBorders>
              <w:top w:val="nil"/>
              <w:left w:val="nil"/>
              <w:bottom w:val="single" w:sz="8" w:space="0" w:color="881946"/>
              <w:right w:val="single" w:sz="8" w:space="0" w:color="881946"/>
            </w:tcBorders>
            <w:shd w:val="clear" w:color="000000" w:fill="FFFFFF"/>
            <w:noWrap/>
            <w:vAlign w:val="bottom"/>
          </w:tcPr>
          <w:p w14:paraId="3459BDC0"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Stephen Claude Frederic Garnier</w:t>
            </w:r>
          </w:p>
        </w:tc>
      </w:tr>
      <w:tr w:rsidR="006A2454" w:rsidRPr="006A2454" w14:paraId="731C2DB3"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000000" w:fill="FFFFFF"/>
            <w:noWrap/>
            <w:hideMark/>
          </w:tcPr>
          <w:p w14:paraId="05B510B4" w14:textId="42771CCA" w:rsidR="006A2454" w:rsidRPr="006A2454" w:rsidRDefault="006A2454" w:rsidP="000811AE">
            <w:pPr>
              <w:spacing w:after="0" w:line="240" w:lineRule="auto"/>
              <w:rPr>
                <w:rFonts w:ascii="Calibri" w:eastAsia="Times New Roman" w:hAnsi="Calibri" w:cs="Calibri"/>
                <w:lang w:eastAsia="en-IN"/>
              </w:rPr>
            </w:pPr>
            <w:r w:rsidRPr="006A2454">
              <w:rPr>
                <w:rFonts w:ascii="Calibri" w:eastAsia="Times New Roman" w:hAnsi="Calibri" w:cs="Calibri"/>
                <w:lang w:eastAsia="en-IN"/>
              </w:rPr>
              <w:t>World Bank</w:t>
            </w:r>
            <w:r w:rsidR="0071103E">
              <w:rPr>
                <w:rFonts w:ascii="Calibri" w:eastAsia="Times New Roman" w:hAnsi="Calibri" w:cs="Calibri"/>
                <w:lang w:eastAsia="en-IN"/>
              </w:rPr>
              <w:t>—</w:t>
            </w:r>
            <w:r w:rsidRPr="006A2454">
              <w:rPr>
                <w:rFonts w:ascii="Calibri" w:eastAsia="Times New Roman" w:hAnsi="Calibri" w:cs="Calibri"/>
                <w:lang w:eastAsia="en-IN"/>
              </w:rPr>
              <w:t>Jakarta</w:t>
            </w:r>
          </w:p>
        </w:tc>
        <w:tc>
          <w:tcPr>
            <w:tcW w:w="3398" w:type="dxa"/>
            <w:tcBorders>
              <w:top w:val="nil"/>
              <w:left w:val="nil"/>
              <w:bottom w:val="single" w:sz="8" w:space="0" w:color="881946"/>
              <w:right w:val="single" w:sz="8" w:space="0" w:color="881946"/>
            </w:tcBorders>
            <w:shd w:val="clear" w:color="000000" w:fill="FFFFFF"/>
            <w:noWrap/>
            <w:vAlign w:val="bottom"/>
            <w:hideMark/>
          </w:tcPr>
          <w:p w14:paraId="0E4E7647" w14:textId="77777777" w:rsidR="006A2454" w:rsidRPr="006A2454" w:rsidRDefault="006A2454">
            <w:pPr>
              <w:spacing w:after="0" w:line="240" w:lineRule="auto"/>
              <w:rPr>
                <w:rFonts w:ascii="Calibri" w:eastAsia="Times New Roman" w:hAnsi="Calibri" w:cs="Calibri"/>
                <w:lang w:eastAsia="en-IN"/>
              </w:rPr>
            </w:pPr>
            <w:r w:rsidRPr="006A2454">
              <w:rPr>
                <w:rFonts w:ascii="Calibri" w:eastAsia="Times New Roman" w:hAnsi="Calibri" w:cs="Calibri"/>
                <w:lang w:eastAsia="en-IN"/>
              </w:rPr>
              <w:t xml:space="preserve">Marcus Lee   </w:t>
            </w:r>
          </w:p>
        </w:tc>
      </w:tr>
      <w:tr w:rsidR="008C4017" w:rsidRPr="006A2454" w14:paraId="4A2C7EC9" w14:textId="77777777" w:rsidTr="00BB5F6D">
        <w:trPr>
          <w:trHeight w:val="315"/>
        </w:trPr>
        <w:tc>
          <w:tcPr>
            <w:tcW w:w="5608" w:type="dxa"/>
            <w:tcBorders>
              <w:top w:val="nil"/>
              <w:left w:val="single" w:sz="8" w:space="0" w:color="881946"/>
              <w:bottom w:val="single" w:sz="8" w:space="0" w:color="881946"/>
              <w:right w:val="single" w:sz="8" w:space="0" w:color="881946"/>
            </w:tcBorders>
            <w:shd w:val="clear" w:color="000000" w:fill="FFFFFF"/>
            <w:noWrap/>
          </w:tcPr>
          <w:p w14:paraId="3092DD59" w14:textId="51AD6C1D" w:rsidR="008C4017" w:rsidRPr="006A2454" w:rsidRDefault="008C4017" w:rsidP="008C4017">
            <w:pPr>
              <w:spacing w:after="0" w:line="240" w:lineRule="auto"/>
              <w:rPr>
                <w:rFonts w:ascii="Calibri" w:eastAsia="Times New Roman" w:hAnsi="Calibri" w:cs="Calibri"/>
                <w:lang w:eastAsia="en-IN"/>
              </w:rPr>
            </w:pPr>
            <w:r w:rsidRPr="006A2454">
              <w:rPr>
                <w:rFonts w:ascii="Calibri" w:eastAsia="Times New Roman" w:hAnsi="Calibri" w:cs="Calibri"/>
                <w:lang w:eastAsia="en-IN"/>
              </w:rPr>
              <w:t>World Bank</w:t>
            </w:r>
            <w:r>
              <w:rPr>
                <w:rFonts w:ascii="Calibri" w:eastAsia="Times New Roman" w:hAnsi="Calibri" w:cs="Calibri"/>
                <w:lang w:eastAsia="en-IN"/>
              </w:rPr>
              <w:t>—</w:t>
            </w:r>
            <w:r w:rsidRPr="006A2454">
              <w:rPr>
                <w:rFonts w:ascii="Calibri" w:eastAsia="Times New Roman" w:hAnsi="Calibri" w:cs="Calibri"/>
                <w:lang w:eastAsia="en-IN"/>
              </w:rPr>
              <w:t>Jakarta</w:t>
            </w:r>
          </w:p>
        </w:tc>
        <w:tc>
          <w:tcPr>
            <w:tcW w:w="3398" w:type="dxa"/>
            <w:tcBorders>
              <w:top w:val="nil"/>
              <w:left w:val="nil"/>
              <w:bottom w:val="single" w:sz="8" w:space="0" w:color="881946"/>
              <w:right w:val="single" w:sz="8" w:space="0" w:color="881946"/>
            </w:tcBorders>
            <w:shd w:val="clear" w:color="000000" w:fill="FFFFFF"/>
            <w:noWrap/>
            <w:vAlign w:val="bottom"/>
          </w:tcPr>
          <w:p w14:paraId="0D427919" w14:textId="0519640A" w:rsidR="008C4017" w:rsidRPr="006A2454" w:rsidRDefault="008C4017" w:rsidP="008C4017">
            <w:pPr>
              <w:spacing w:after="0" w:line="240" w:lineRule="auto"/>
              <w:rPr>
                <w:rFonts w:ascii="Calibri" w:eastAsia="Times New Roman" w:hAnsi="Calibri" w:cs="Calibri"/>
                <w:lang w:eastAsia="en-IN"/>
              </w:rPr>
            </w:pPr>
            <w:r w:rsidRPr="006A2454">
              <w:rPr>
                <w:rFonts w:ascii="Calibri" w:eastAsia="Times New Roman" w:hAnsi="Calibri" w:cs="Calibri"/>
                <w:lang w:eastAsia="en-IN"/>
              </w:rPr>
              <w:t xml:space="preserve">Francesca De </w:t>
            </w:r>
            <w:proofErr w:type="spellStart"/>
            <w:r w:rsidRPr="006A2454">
              <w:rPr>
                <w:rFonts w:ascii="Calibri" w:eastAsia="Times New Roman" w:hAnsi="Calibri" w:cs="Calibri"/>
                <w:lang w:eastAsia="en-IN"/>
              </w:rPr>
              <w:t>Paolis</w:t>
            </w:r>
            <w:proofErr w:type="spellEnd"/>
          </w:p>
        </w:tc>
      </w:tr>
      <w:tr w:rsidR="008C4017" w:rsidRPr="006A2454" w14:paraId="761E6956" w14:textId="77777777" w:rsidTr="00C04BA5">
        <w:trPr>
          <w:trHeight w:val="315"/>
        </w:trPr>
        <w:tc>
          <w:tcPr>
            <w:tcW w:w="5608" w:type="dxa"/>
            <w:tcBorders>
              <w:top w:val="nil"/>
              <w:left w:val="single" w:sz="8" w:space="0" w:color="881946"/>
              <w:bottom w:val="single" w:sz="8" w:space="0" w:color="881946"/>
              <w:right w:val="single" w:sz="8" w:space="0" w:color="881946"/>
            </w:tcBorders>
            <w:shd w:val="clear" w:color="000000" w:fill="FFFFFF"/>
            <w:noWrap/>
          </w:tcPr>
          <w:p w14:paraId="1B1216CE" w14:textId="4F9D7FC1" w:rsidR="008C4017" w:rsidRPr="006A2454" w:rsidRDefault="008C4017" w:rsidP="008C4017">
            <w:pPr>
              <w:spacing w:after="0" w:line="240" w:lineRule="auto"/>
              <w:rPr>
                <w:rFonts w:ascii="Calibri" w:eastAsia="Times New Roman" w:hAnsi="Calibri" w:cs="Calibri"/>
                <w:lang w:eastAsia="en-IN"/>
              </w:rPr>
            </w:pPr>
            <w:r w:rsidRPr="006A2454">
              <w:rPr>
                <w:rFonts w:ascii="Calibri" w:eastAsia="Times New Roman" w:hAnsi="Calibri" w:cs="Calibri"/>
                <w:lang w:eastAsia="en-IN"/>
              </w:rPr>
              <w:t>World Vision</w:t>
            </w:r>
          </w:p>
        </w:tc>
        <w:tc>
          <w:tcPr>
            <w:tcW w:w="3398" w:type="dxa"/>
            <w:tcBorders>
              <w:top w:val="nil"/>
              <w:left w:val="nil"/>
              <w:bottom w:val="single" w:sz="8" w:space="0" w:color="881946"/>
              <w:right w:val="single" w:sz="8" w:space="0" w:color="881946"/>
            </w:tcBorders>
            <w:shd w:val="clear" w:color="000000" w:fill="FFFFFF"/>
            <w:noWrap/>
            <w:vAlign w:val="bottom"/>
          </w:tcPr>
          <w:p w14:paraId="20018A2B" w14:textId="683AE9ED" w:rsidR="008C4017" w:rsidRPr="006A2454" w:rsidRDefault="008C4017" w:rsidP="008C4017">
            <w:pPr>
              <w:spacing w:after="0" w:line="240" w:lineRule="auto"/>
              <w:rPr>
                <w:rFonts w:ascii="Calibri" w:eastAsia="Times New Roman" w:hAnsi="Calibri" w:cs="Calibri"/>
                <w:lang w:eastAsia="en-IN"/>
              </w:rPr>
            </w:pPr>
            <w:r w:rsidRPr="006A2454">
              <w:rPr>
                <w:rFonts w:ascii="Calibri" w:eastAsia="Times New Roman" w:hAnsi="Calibri" w:cs="Calibri"/>
                <w:lang w:eastAsia="en-IN"/>
              </w:rPr>
              <w:t xml:space="preserve">Dane </w:t>
            </w:r>
            <w:proofErr w:type="spellStart"/>
            <w:r w:rsidRPr="006A2454">
              <w:rPr>
                <w:rFonts w:ascii="Calibri" w:eastAsia="Times New Roman" w:hAnsi="Calibri" w:cs="Calibri"/>
                <w:lang w:eastAsia="en-IN"/>
              </w:rPr>
              <w:t>Moores</w:t>
            </w:r>
            <w:proofErr w:type="spellEnd"/>
          </w:p>
        </w:tc>
      </w:tr>
    </w:tbl>
    <w:p w14:paraId="1BE0194D" w14:textId="77777777" w:rsidR="00D32DAA" w:rsidRDefault="00D32DAA">
      <w:pPr>
        <w:rPr>
          <w:sz w:val="32"/>
          <w:szCs w:val="32"/>
          <w:lang w:eastAsia="en-IN"/>
        </w:rPr>
      </w:pPr>
      <w:r>
        <w:rPr>
          <w:sz w:val="32"/>
          <w:szCs w:val="32"/>
          <w:lang w:eastAsia="en-IN"/>
        </w:rPr>
        <w:br w:type="page"/>
      </w:r>
    </w:p>
    <w:p w14:paraId="5B07370B" w14:textId="372D08A2" w:rsidR="00594341" w:rsidRDefault="00594341" w:rsidP="00594341">
      <w:pPr>
        <w:spacing w:before="120" w:after="120" w:line="240" w:lineRule="auto"/>
        <w:rPr>
          <w:sz w:val="32"/>
          <w:szCs w:val="32"/>
          <w:lang w:eastAsia="en-IN"/>
        </w:rPr>
      </w:pPr>
      <w:r w:rsidRPr="0003026F">
        <w:rPr>
          <w:sz w:val="32"/>
          <w:szCs w:val="32"/>
          <w:lang w:eastAsia="en-IN"/>
        </w:rPr>
        <w:lastRenderedPageBreak/>
        <w:t xml:space="preserve">ANNEX </w:t>
      </w:r>
      <w:r w:rsidR="00C25D85">
        <w:rPr>
          <w:sz w:val="32"/>
          <w:szCs w:val="32"/>
          <w:lang w:eastAsia="en-IN"/>
        </w:rPr>
        <w:t>7</w:t>
      </w:r>
      <w:r>
        <w:rPr>
          <w:sz w:val="32"/>
          <w:szCs w:val="32"/>
          <w:lang w:eastAsia="en-IN"/>
        </w:rPr>
        <w:t>—Bibliography</w:t>
      </w:r>
    </w:p>
    <w:p w14:paraId="28244A56" w14:textId="77777777" w:rsidR="00594341" w:rsidRPr="00571DD4" w:rsidRDefault="00594341" w:rsidP="00DA109D">
      <w:pPr>
        <w:spacing w:before="80" w:after="80" w:line="240" w:lineRule="auto"/>
        <w:ind w:left="357"/>
      </w:pPr>
      <w:r w:rsidRPr="00571DD4">
        <w:t xml:space="preserve">Ascher, William. </w:t>
      </w:r>
      <w:r w:rsidRPr="00DA109D">
        <w:rPr>
          <w:i/>
          <w:iCs/>
        </w:rPr>
        <w:t>Why Governments Waste Natural Resources: Policy Failures in Developing Countries</w:t>
      </w:r>
      <w:r w:rsidRPr="00571DD4">
        <w:t>. JHU Press, 1999.</w:t>
      </w:r>
    </w:p>
    <w:p w14:paraId="13448E9A" w14:textId="77777777" w:rsidR="00594341" w:rsidRPr="00571DD4" w:rsidRDefault="00594341" w:rsidP="00DA109D">
      <w:pPr>
        <w:spacing w:before="80" w:after="80" w:line="240" w:lineRule="auto"/>
        <w:ind w:left="357"/>
      </w:pPr>
      <w:r w:rsidRPr="00571DD4">
        <w:t xml:space="preserve">Asian Development Bank. </w:t>
      </w:r>
      <w:r w:rsidRPr="00DA109D">
        <w:rPr>
          <w:i/>
          <w:iCs/>
        </w:rPr>
        <w:t>2016 Development Effectiveness Review</w:t>
      </w:r>
      <w:r w:rsidRPr="00571DD4">
        <w:t xml:space="preserve">. Asian Development Bank, 2017. </w:t>
      </w:r>
      <w:hyperlink r:id="rId13" w:history="1">
        <w:r w:rsidRPr="00571DD4">
          <w:rPr>
            <w:rStyle w:val="Hyperlink"/>
          </w:rPr>
          <w:t>http://dx.doi.org/10.22617/TCS178770-2</w:t>
        </w:r>
      </w:hyperlink>
      <w:r w:rsidRPr="00571DD4">
        <w:t>.</w:t>
      </w:r>
    </w:p>
    <w:p w14:paraId="481F56C1" w14:textId="77777777" w:rsidR="00594341" w:rsidRPr="00571DD4" w:rsidRDefault="00594341" w:rsidP="00DA109D">
      <w:pPr>
        <w:spacing w:before="80" w:after="80" w:line="240" w:lineRule="auto"/>
        <w:ind w:left="357"/>
      </w:pPr>
      <w:r w:rsidRPr="00571DD4">
        <w:t xml:space="preserve">———. “ADB’s Submission to the Parliament of Australia’s Inquiry into The Strategic Effectiveness and Outcomes of Australia’s Aid Program in the Indo-Pacific and Its Role in Supporting Australia’s Regional Interests,” June 2018. </w:t>
      </w:r>
      <w:hyperlink r:id="rId14" w:history="1">
        <w:r w:rsidRPr="00571DD4">
          <w:rPr>
            <w:rStyle w:val="Hyperlink"/>
          </w:rPr>
          <w:t>https://www.aph.gov.au/DocumentStore.ashx?id=563f12ec-1176-4da0-b760-010f06c29941&amp;subId=657976</w:t>
        </w:r>
      </w:hyperlink>
      <w:r w:rsidRPr="00571DD4">
        <w:t>.</w:t>
      </w:r>
    </w:p>
    <w:p w14:paraId="754FF56A" w14:textId="77777777" w:rsidR="00594341" w:rsidRPr="00571DD4" w:rsidRDefault="00594341" w:rsidP="00DA109D">
      <w:pPr>
        <w:spacing w:before="80" w:after="80" w:line="240" w:lineRule="auto"/>
        <w:ind w:left="357"/>
      </w:pPr>
      <w:r w:rsidRPr="00571DD4">
        <w:t xml:space="preserve">———. </w:t>
      </w:r>
      <w:r w:rsidRPr="00DA109D">
        <w:rPr>
          <w:i/>
          <w:iCs/>
        </w:rPr>
        <w:t>Key Indicators for Asia and the Pacific 2018</w:t>
      </w:r>
      <w:r w:rsidRPr="00571DD4">
        <w:t xml:space="preserve">. Asian Development Bank, 2018. </w:t>
      </w:r>
      <w:hyperlink r:id="rId15" w:history="1">
        <w:r w:rsidRPr="00571DD4">
          <w:rPr>
            <w:rStyle w:val="Hyperlink"/>
          </w:rPr>
          <w:t>http://dx.doi.org/10.22617/FLS189512-3</w:t>
        </w:r>
      </w:hyperlink>
      <w:r w:rsidRPr="00571DD4">
        <w:t>.</w:t>
      </w:r>
    </w:p>
    <w:p w14:paraId="1786D268" w14:textId="77777777" w:rsidR="00594341" w:rsidRPr="00571DD4" w:rsidRDefault="00594341" w:rsidP="00DA109D">
      <w:pPr>
        <w:spacing w:before="80" w:after="80" w:line="240" w:lineRule="auto"/>
        <w:ind w:left="357"/>
      </w:pPr>
      <w:r w:rsidRPr="00571DD4">
        <w:t xml:space="preserve">———. </w:t>
      </w:r>
      <w:r w:rsidRPr="00DA109D">
        <w:rPr>
          <w:i/>
          <w:iCs/>
        </w:rPr>
        <w:t>Meeting Asia’s Infrastructure Needs</w:t>
      </w:r>
      <w:r w:rsidRPr="00571DD4">
        <w:t xml:space="preserve">. Asian Development Bank, 2017. </w:t>
      </w:r>
      <w:hyperlink r:id="rId16" w:history="1">
        <w:r w:rsidRPr="00571DD4">
          <w:rPr>
            <w:rStyle w:val="Hyperlink"/>
          </w:rPr>
          <w:t>http://dx.doi.org/10.22617/FLS168388-2</w:t>
        </w:r>
      </w:hyperlink>
      <w:r w:rsidRPr="00571DD4">
        <w:t>.</w:t>
      </w:r>
    </w:p>
    <w:p w14:paraId="2A428CAA" w14:textId="77777777" w:rsidR="00594341" w:rsidRPr="00571DD4" w:rsidRDefault="00594341" w:rsidP="00DA109D">
      <w:pPr>
        <w:spacing w:before="80" w:after="80" w:line="240" w:lineRule="auto"/>
        <w:ind w:left="357"/>
      </w:pPr>
      <w:r w:rsidRPr="00571DD4">
        <w:t xml:space="preserve">Asian Development Bank, and Clean Technology Fund. “ADB Mezzanine Finance for Climate Change.” Accessed November 28, 2018. </w:t>
      </w:r>
      <w:hyperlink r:id="rId17" w:history="1">
        <w:r w:rsidRPr="00571DD4">
          <w:rPr>
            <w:rStyle w:val="Hyperlink"/>
          </w:rPr>
          <w:t>http://pubdocs.worldbank.org/en/738131531492864948/1804-PCTFDP602A-Regional-Cover-Page-and-Project-Documents.pdf</w:t>
        </w:r>
      </w:hyperlink>
      <w:r w:rsidRPr="00571DD4">
        <w:t>.</w:t>
      </w:r>
    </w:p>
    <w:p w14:paraId="561B2807" w14:textId="77777777" w:rsidR="00594341" w:rsidRPr="00571DD4" w:rsidRDefault="00594341" w:rsidP="00DA109D">
      <w:pPr>
        <w:spacing w:before="80" w:after="80" w:line="240" w:lineRule="auto"/>
        <w:ind w:left="357"/>
      </w:pPr>
      <w:r w:rsidRPr="00571DD4">
        <w:t xml:space="preserve">Australian Parliamentary Research Service. “A Critical Analysis of the World Bank.” Canberra: Parliament of the Commonwealth of Australia, 1994. </w:t>
      </w:r>
      <w:hyperlink r:id="rId18" w:history="1">
        <w:r w:rsidRPr="00571DD4">
          <w:rPr>
            <w:rStyle w:val="Hyperlink"/>
          </w:rPr>
          <w:t>https://www.aph.gov.au/binaries/library/pubs/rp/1994-95/95rp15.pdf</w:t>
        </w:r>
      </w:hyperlink>
      <w:r w:rsidRPr="00571DD4">
        <w:t>.</w:t>
      </w:r>
    </w:p>
    <w:p w14:paraId="6ADB7F50" w14:textId="77777777" w:rsidR="00594341" w:rsidRPr="00571DD4" w:rsidRDefault="00594341" w:rsidP="00DA109D">
      <w:pPr>
        <w:spacing w:before="80" w:after="80" w:line="240" w:lineRule="auto"/>
        <w:ind w:left="357"/>
      </w:pPr>
      <w:proofErr w:type="spellStart"/>
      <w:r w:rsidRPr="00DA109D">
        <w:rPr>
          <w:lang w:val="es-US"/>
        </w:rPr>
        <w:t>Benn</w:t>
      </w:r>
      <w:proofErr w:type="spellEnd"/>
      <w:r w:rsidRPr="00DA109D">
        <w:rPr>
          <w:lang w:val="es-US"/>
        </w:rPr>
        <w:t xml:space="preserve">, Julia, Cécile </w:t>
      </w:r>
      <w:proofErr w:type="spellStart"/>
      <w:r w:rsidRPr="00DA109D">
        <w:rPr>
          <w:lang w:val="es-US"/>
        </w:rPr>
        <w:t>Sangaré</w:t>
      </w:r>
      <w:proofErr w:type="spellEnd"/>
      <w:r w:rsidRPr="00DA109D">
        <w:rPr>
          <w:lang w:val="es-US"/>
        </w:rPr>
        <w:t xml:space="preserve">, and </w:t>
      </w:r>
      <w:proofErr w:type="spellStart"/>
      <w:r w:rsidRPr="00DA109D">
        <w:rPr>
          <w:lang w:val="es-US"/>
        </w:rPr>
        <w:t>Tomáš</w:t>
      </w:r>
      <w:proofErr w:type="spellEnd"/>
      <w:r w:rsidRPr="00DA109D">
        <w:rPr>
          <w:lang w:val="es-US"/>
        </w:rPr>
        <w:t xml:space="preserve"> </w:t>
      </w:r>
      <w:proofErr w:type="spellStart"/>
      <w:r w:rsidRPr="00DA109D">
        <w:rPr>
          <w:lang w:val="es-US"/>
        </w:rPr>
        <w:t>Hos</w:t>
      </w:r>
      <w:proofErr w:type="spellEnd"/>
      <w:r w:rsidRPr="00DA109D">
        <w:rPr>
          <w:lang w:val="es-US"/>
        </w:rPr>
        <w:t xml:space="preserve">. </w:t>
      </w:r>
      <w:r w:rsidRPr="00571DD4">
        <w:t xml:space="preserve">“Amounts Mobilised from the Private Sector by Official Development Finance Interventions,” August 30, 2017. </w:t>
      </w:r>
      <w:hyperlink r:id="rId19" w:history="1">
        <w:r w:rsidRPr="00571DD4">
          <w:rPr>
            <w:rStyle w:val="Hyperlink"/>
          </w:rPr>
          <w:t>https://doi.org/10.1787/8135abde-en</w:t>
        </w:r>
      </w:hyperlink>
      <w:r w:rsidRPr="00571DD4">
        <w:t>.</w:t>
      </w:r>
    </w:p>
    <w:p w14:paraId="01B01A0D" w14:textId="77777777" w:rsidR="00594341" w:rsidRPr="00571DD4" w:rsidRDefault="00594341" w:rsidP="00DA109D">
      <w:pPr>
        <w:spacing w:before="80" w:after="80" w:line="240" w:lineRule="auto"/>
        <w:ind w:left="357"/>
      </w:pPr>
      <w:r w:rsidRPr="00571DD4">
        <w:t xml:space="preserve">Blue Like </w:t>
      </w:r>
      <w:proofErr w:type="gramStart"/>
      <w:r w:rsidRPr="00571DD4">
        <w:t>An</w:t>
      </w:r>
      <w:proofErr w:type="gramEnd"/>
      <w:r w:rsidRPr="00571DD4">
        <w:t xml:space="preserve"> Orange Sustainable Capital. “Blue Like </w:t>
      </w:r>
      <w:proofErr w:type="gramStart"/>
      <w:r w:rsidRPr="00571DD4">
        <w:t>An</w:t>
      </w:r>
      <w:proofErr w:type="gramEnd"/>
      <w:r w:rsidRPr="00571DD4">
        <w:t xml:space="preserve"> Orange.” Blue Like </w:t>
      </w:r>
      <w:proofErr w:type="gramStart"/>
      <w:r w:rsidRPr="00571DD4">
        <w:t>An</w:t>
      </w:r>
      <w:proofErr w:type="gramEnd"/>
      <w:r w:rsidRPr="00571DD4">
        <w:t xml:space="preserve"> Orange. Accessed November 28, 2018. </w:t>
      </w:r>
      <w:hyperlink r:id="rId20" w:history="1">
        <w:r w:rsidRPr="00571DD4">
          <w:rPr>
            <w:rStyle w:val="Hyperlink"/>
          </w:rPr>
          <w:t>https://bluelikeanorangecapital.com/</w:t>
        </w:r>
      </w:hyperlink>
      <w:r w:rsidRPr="00571DD4">
        <w:t>.</w:t>
      </w:r>
    </w:p>
    <w:p w14:paraId="5BE40D1C" w14:textId="77777777" w:rsidR="00594341" w:rsidRPr="00571DD4" w:rsidRDefault="00594341" w:rsidP="00DA109D">
      <w:pPr>
        <w:spacing w:before="80" w:after="80" w:line="240" w:lineRule="auto"/>
        <w:ind w:left="357"/>
      </w:pPr>
      <w:proofErr w:type="spellStart"/>
      <w:r w:rsidRPr="00571DD4">
        <w:t>Bräutigam</w:t>
      </w:r>
      <w:proofErr w:type="spellEnd"/>
      <w:r w:rsidRPr="00571DD4">
        <w:t xml:space="preserve">, Deborah. “Aid ‘With Chinese Characteristics’: Chinese Foreign Aid and Development Finance Meet the OECD-DAC Aid Regime.” </w:t>
      </w:r>
      <w:r w:rsidRPr="00DA109D">
        <w:rPr>
          <w:i/>
          <w:iCs/>
        </w:rPr>
        <w:t>Journal of International Development</w:t>
      </w:r>
      <w:r w:rsidRPr="00571DD4">
        <w:t xml:space="preserve"> 23, no. 5 (July 1, 2011): 752–64. </w:t>
      </w:r>
      <w:hyperlink r:id="rId21" w:history="1">
        <w:r w:rsidRPr="00571DD4">
          <w:rPr>
            <w:rStyle w:val="Hyperlink"/>
          </w:rPr>
          <w:t>https://doi.org/10.1002/jid.1798</w:t>
        </w:r>
      </w:hyperlink>
      <w:r w:rsidRPr="00571DD4">
        <w:t>.</w:t>
      </w:r>
    </w:p>
    <w:p w14:paraId="56D7C157" w14:textId="77777777" w:rsidR="00594341" w:rsidRPr="00571DD4" w:rsidRDefault="00594341" w:rsidP="00DA109D">
      <w:pPr>
        <w:spacing w:before="80" w:after="80" w:line="240" w:lineRule="auto"/>
        <w:ind w:left="357"/>
      </w:pPr>
      <w:r w:rsidRPr="00571DD4">
        <w:t xml:space="preserve">Bruhn, Miriam, Martin Hommes, Mahima Khanna, Sandeep Singh, </w:t>
      </w:r>
      <w:proofErr w:type="spellStart"/>
      <w:r w:rsidRPr="00571DD4">
        <w:t>Aksinya</w:t>
      </w:r>
      <w:proofErr w:type="spellEnd"/>
      <w:r w:rsidRPr="00571DD4">
        <w:t xml:space="preserve"> </w:t>
      </w:r>
      <w:proofErr w:type="spellStart"/>
      <w:r w:rsidRPr="00571DD4">
        <w:t>Sorokina</w:t>
      </w:r>
      <w:proofErr w:type="spellEnd"/>
      <w:r w:rsidRPr="00571DD4">
        <w:t xml:space="preserve">, and Joshua Seth Wimpey. “MSME Finance </w:t>
      </w:r>
      <w:proofErr w:type="gramStart"/>
      <w:r w:rsidRPr="00571DD4">
        <w:t>Gap :</w:t>
      </w:r>
      <w:proofErr w:type="gramEnd"/>
      <w:r w:rsidRPr="00571DD4">
        <w:t xml:space="preserve"> Assessment of the Shortfalls and Opportunities in Financing Micro, Small, and Medium Enterprises in Emerging Markets.” The World Bank, January 1, 2017. </w:t>
      </w:r>
      <w:hyperlink r:id="rId22" w:history="1">
        <w:r w:rsidRPr="00571DD4">
          <w:rPr>
            <w:rStyle w:val="Hyperlink"/>
          </w:rPr>
          <w:t>http://documents.worldbank.org/curated/en/653831510568517947/MSME-finance-gap-assessment-of-the-shortfalls-and-opportunities-in-financing-micro-small-and-medium-enterprises-in-emerging-markets</w:t>
        </w:r>
      </w:hyperlink>
      <w:r w:rsidRPr="00571DD4">
        <w:t>.</w:t>
      </w:r>
    </w:p>
    <w:p w14:paraId="2E21131A" w14:textId="77777777" w:rsidR="00594341" w:rsidRPr="00571DD4" w:rsidRDefault="00594341" w:rsidP="00DA109D">
      <w:pPr>
        <w:spacing w:before="80" w:after="80" w:line="240" w:lineRule="auto"/>
        <w:ind w:left="357"/>
      </w:pPr>
      <w:r w:rsidRPr="00571DD4">
        <w:t xml:space="preserve">Cahill, Petra. “$40bn in Coverage, 800+ Projects, and Only 8 Claims – What’s MIGA’s Secret?” </w:t>
      </w:r>
      <w:r w:rsidRPr="00DA109D">
        <w:rPr>
          <w:i/>
          <w:iCs/>
        </w:rPr>
        <w:t>On Frontiers</w:t>
      </w:r>
      <w:r w:rsidRPr="00571DD4">
        <w:t xml:space="preserve"> (blog). Accessed November 26, 2018. </w:t>
      </w:r>
      <w:hyperlink r:id="rId23" w:history="1">
        <w:r w:rsidRPr="00571DD4">
          <w:rPr>
            <w:rStyle w:val="Hyperlink"/>
          </w:rPr>
          <w:t>https://onfrontiers.com/blog/40bn-coverage-800-projects-only-8-claims-whats-migas-secret/</w:t>
        </w:r>
      </w:hyperlink>
      <w:r w:rsidRPr="00571DD4">
        <w:t>.</w:t>
      </w:r>
    </w:p>
    <w:p w14:paraId="45E6A6E2" w14:textId="77777777" w:rsidR="00594341" w:rsidRPr="00571DD4" w:rsidRDefault="00594341" w:rsidP="00DA109D">
      <w:pPr>
        <w:spacing w:before="80" w:after="80" w:line="240" w:lineRule="auto"/>
        <w:ind w:left="357"/>
      </w:pPr>
      <w:r w:rsidRPr="00571DD4">
        <w:t xml:space="preserve">Chris Humphrey. “The Role of Credit Rating Agencies in Shaping Multilateral Finance: Recent Developments and Policy Options.” Zurich: Intergovernmental Group of 24. Accessed November 12, 2018. </w:t>
      </w:r>
      <w:hyperlink r:id="rId24" w:history="1">
        <w:r w:rsidRPr="00571DD4">
          <w:rPr>
            <w:rStyle w:val="Hyperlink"/>
          </w:rPr>
          <w:t>https://www.g24.org/wp-content/uploads/2018/04/The-Role-of-Credit-Rating-Agencies-in-Shaping-Multilateral-Finance.pdf</w:t>
        </w:r>
      </w:hyperlink>
      <w:r w:rsidRPr="00571DD4">
        <w:t>.</w:t>
      </w:r>
    </w:p>
    <w:p w14:paraId="3C9D0F28" w14:textId="77777777" w:rsidR="00594341" w:rsidRPr="00571DD4" w:rsidRDefault="00594341" w:rsidP="00DA109D">
      <w:pPr>
        <w:spacing w:before="80" w:after="80" w:line="240" w:lineRule="auto"/>
        <w:ind w:left="357"/>
      </w:pPr>
      <w:r w:rsidRPr="00571DD4">
        <w:t xml:space="preserve">Convergence. “The State of Blended Finance 2018.” Accessed November 12, 2018. </w:t>
      </w:r>
      <w:hyperlink r:id="rId25" w:history="1">
        <w:r w:rsidRPr="00571DD4">
          <w:rPr>
            <w:rStyle w:val="Hyperlink"/>
          </w:rPr>
          <w:t>https://www.convergence.finance/knowledge/7LEqTu0YeceaQugSWaSKSk/view</w:t>
        </w:r>
      </w:hyperlink>
      <w:r w:rsidRPr="00571DD4">
        <w:t>.</w:t>
      </w:r>
    </w:p>
    <w:p w14:paraId="705B5050" w14:textId="77777777" w:rsidR="00594341" w:rsidRPr="00571DD4" w:rsidRDefault="00594341" w:rsidP="00DA109D">
      <w:pPr>
        <w:spacing w:before="80" w:after="80" w:line="240" w:lineRule="auto"/>
        <w:ind w:left="357"/>
      </w:pPr>
      <w:proofErr w:type="spellStart"/>
      <w:r w:rsidRPr="00571DD4">
        <w:t>Cordella</w:t>
      </w:r>
      <w:proofErr w:type="spellEnd"/>
      <w:r w:rsidRPr="00571DD4">
        <w:t xml:space="preserve">, Tito, and </w:t>
      </w:r>
      <w:proofErr w:type="spellStart"/>
      <w:r w:rsidRPr="00571DD4">
        <w:t>Hulya</w:t>
      </w:r>
      <w:proofErr w:type="spellEnd"/>
      <w:r w:rsidRPr="00571DD4">
        <w:t xml:space="preserve"> </w:t>
      </w:r>
      <w:proofErr w:type="spellStart"/>
      <w:r w:rsidRPr="00571DD4">
        <w:t>Ulku</w:t>
      </w:r>
      <w:proofErr w:type="spellEnd"/>
      <w:r w:rsidRPr="00571DD4">
        <w:t xml:space="preserve">. “Grants Versus Loans.” SSRN Scholarly Paper. Rochester, NY: Social Science Research Network, September 1, 2004. </w:t>
      </w:r>
      <w:hyperlink r:id="rId26" w:history="1">
        <w:r w:rsidRPr="00571DD4">
          <w:rPr>
            <w:rStyle w:val="Hyperlink"/>
          </w:rPr>
          <w:t>https://papers.ssrn.com/abstract=878986</w:t>
        </w:r>
      </w:hyperlink>
      <w:r w:rsidRPr="00571DD4">
        <w:t>.</w:t>
      </w:r>
    </w:p>
    <w:p w14:paraId="7A2504A5" w14:textId="77777777" w:rsidR="00594341" w:rsidRPr="00571DD4" w:rsidRDefault="00594341" w:rsidP="00DA109D">
      <w:pPr>
        <w:spacing w:before="80" w:after="80" w:line="240" w:lineRule="auto"/>
        <w:ind w:left="357"/>
      </w:pPr>
      <w:r w:rsidRPr="00571DD4">
        <w:lastRenderedPageBreak/>
        <w:t xml:space="preserve">Department of Foreign Affairs and Trade. “Asian Development Bank.” Department of Foreign Affairs and Trade. Accessed December 3, 2018. </w:t>
      </w:r>
      <w:hyperlink r:id="rId27" w:history="1">
        <w:r w:rsidRPr="00571DD4">
          <w:rPr>
            <w:rStyle w:val="Hyperlink"/>
          </w:rPr>
          <w:t>http://dfat.gov.au/international-relations/international-organisations/multilateral-development-banks/Pages/asian-development-bank.aspx</w:t>
        </w:r>
      </w:hyperlink>
      <w:r w:rsidRPr="00571DD4">
        <w:t>.</w:t>
      </w:r>
    </w:p>
    <w:p w14:paraId="79302A3F" w14:textId="77777777" w:rsidR="00594341" w:rsidRPr="00571DD4" w:rsidRDefault="00594341" w:rsidP="00DA109D">
      <w:pPr>
        <w:spacing w:before="80" w:after="80" w:line="240" w:lineRule="auto"/>
        <w:ind w:left="357"/>
      </w:pPr>
      <w:r w:rsidRPr="00571DD4">
        <w:t xml:space="preserve">———. “Foreign Policy White Paper.” Canberra: Department of Foreign Affairs and Trade, November 2017. </w:t>
      </w:r>
      <w:hyperlink r:id="rId28" w:history="1">
        <w:r w:rsidRPr="00571DD4">
          <w:rPr>
            <w:rStyle w:val="Hyperlink"/>
          </w:rPr>
          <w:t>https://www.fpwhitepaper.gov.au/home</w:t>
        </w:r>
      </w:hyperlink>
      <w:r w:rsidRPr="00571DD4">
        <w:t>.</w:t>
      </w:r>
    </w:p>
    <w:p w14:paraId="47D199EA" w14:textId="77777777" w:rsidR="00594341" w:rsidRPr="00571DD4" w:rsidRDefault="00594341" w:rsidP="00DA109D">
      <w:pPr>
        <w:spacing w:before="80" w:after="80" w:line="240" w:lineRule="auto"/>
        <w:ind w:left="357"/>
      </w:pPr>
      <w:r w:rsidRPr="00571DD4">
        <w:t>———. “Performance of Australian Aid 2016–17.” Canberra: DFAT, May 2018.</w:t>
      </w:r>
    </w:p>
    <w:p w14:paraId="4F0A768E" w14:textId="77777777" w:rsidR="00594341" w:rsidRPr="00571DD4" w:rsidRDefault="00594341" w:rsidP="00DA109D">
      <w:pPr>
        <w:spacing w:before="80" w:after="80" w:line="240" w:lineRule="auto"/>
        <w:ind w:left="357"/>
      </w:pPr>
      <w:r w:rsidRPr="00571DD4">
        <w:t>Department of Foreign Affairs and Trade (DFAT). “Performance of Australian Aid 2015–16.” Canberra: DFAT, May 2017.</w:t>
      </w:r>
    </w:p>
    <w:p w14:paraId="5F73098A" w14:textId="77777777" w:rsidR="00594341" w:rsidRPr="00571DD4" w:rsidRDefault="00594341" w:rsidP="00DA109D">
      <w:pPr>
        <w:spacing w:before="80" w:after="80" w:line="240" w:lineRule="auto"/>
        <w:ind w:left="357"/>
      </w:pPr>
      <w:proofErr w:type="spellStart"/>
      <w:r w:rsidRPr="00571DD4">
        <w:t>EMCompass</w:t>
      </w:r>
      <w:proofErr w:type="spellEnd"/>
      <w:r w:rsidRPr="00571DD4">
        <w:t xml:space="preserve">. “MITIGATING PRIVATE INFRASTRUCTURE PROJECT RISKS.” Accessed November 20, 2018. </w:t>
      </w:r>
      <w:hyperlink r:id="rId29" w:history="1">
        <w:r w:rsidRPr="00571DD4">
          <w:rPr>
            <w:rStyle w:val="Hyperlink"/>
          </w:rPr>
          <w:t>https://www.ifc.org/wps/wcm/connect/ddd28249-abd5-48c0-a24b-6306810e5326/EMCompass+Azura_Azito+9-30+Final.pdf?MOD=AJPERES</w:t>
        </w:r>
      </w:hyperlink>
      <w:r w:rsidRPr="00571DD4">
        <w:t>.</w:t>
      </w:r>
    </w:p>
    <w:p w14:paraId="5B41D8CF" w14:textId="77777777" w:rsidR="00594341" w:rsidRPr="00571DD4" w:rsidRDefault="00594341" w:rsidP="00DA109D">
      <w:pPr>
        <w:spacing w:before="80" w:after="80" w:line="240" w:lineRule="auto"/>
        <w:ind w:left="357"/>
      </w:pPr>
      <w:r w:rsidRPr="00571DD4">
        <w:t xml:space="preserve">Fox, Rohan, and Matthew Dornan. “China in the Pacific: Is China Engaged in ‘Debt-Trap Diplomacy’?” </w:t>
      </w:r>
      <w:proofErr w:type="spellStart"/>
      <w:r w:rsidRPr="00DA109D">
        <w:rPr>
          <w:i/>
          <w:iCs/>
        </w:rPr>
        <w:t>Devpolicy</w:t>
      </w:r>
      <w:proofErr w:type="spellEnd"/>
      <w:r w:rsidRPr="00DA109D">
        <w:rPr>
          <w:i/>
          <w:iCs/>
        </w:rPr>
        <w:t xml:space="preserve"> Blog from the Development Policy Centre</w:t>
      </w:r>
      <w:r w:rsidRPr="00571DD4">
        <w:t xml:space="preserve"> (blog), November 7, 2018. </w:t>
      </w:r>
      <w:hyperlink r:id="rId30" w:history="1">
        <w:r w:rsidRPr="00571DD4">
          <w:rPr>
            <w:rStyle w:val="Hyperlink"/>
          </w:rPr>
          <w:t>http://www.devpolicy.org/is-china-engaged-in-debt-trap-diplomacy-20181108/</w:t>
        </w:r>
      </w:hyperlink>
      <w:r w:rsidRPr="00571DD4">
        <w:t>.</w:t>
      </w:r>
    </w:p>
    <w:p w14:paraId="082769B3" w14:textId="77777777" w:rsidR="00594341" w:rsidRPr="00571DD4" w:rsidRDefault="00594341" w:rsidP="00DA109D">
      <w:pPr>
        <w:spacing w:before="80" w:after="80" w:line="240" w:lineRule="auto"/>
        <w:ind w:left="357"/>
      </w:pPr>
      <w:proofErr w:type="spellStart"/>
      <w:r w:rsidRPr="00571DD4">
        <w:t>Gaibulloev</w:t>
      </w:r>
      <w:proofErr w:type="spellEnd"/>
      <w:r w:rsidRPr="00571DD4">
        <w:t xml:space="preserve">, </w:t>
      </w:r>
      <w:proofErr w:type="spellStart"/>
      <w:r w:rsidRPr="00571DD4">
        <w:t>Khusrav</w:t>
      </w:r>
      <w:proofErr w:type="spellEnd"/>
      <w:r w:rsidRPr="00571DD4">
        <w:t xml:space="preserve">, and </w:t>
      </w:r>
      <w:proofErr w:type="spellStart"/>
      <w:r w:rsidRPr="00571DD4">
        <w:t>Javed</w:t>
      </w:r>
      <w:proofErr w:type="spellEnd"/>
      <w:r w:rsidRPr="00571DD4">
        <w:t xml:space="preserve"> Younas. “Untying the Motives of Giving Grants vs. Loans.” </w:t>
      </w:r>
      <w:r w:rsidRPr="00DA109D">
        <w:rPr>
          <w:i/>
          <w:iCs/>
        </w:rPr>
        <w:t>European Journal of Political Economy</w:t>
      </w:r>
      <w:r w:rsidRPr="00571DD4">
        <w:t xml:space="preserve"> 51 (January 2018): 1–14. </w:t>
      </w:r>
      <w:hyperlink r:id="rId31" w:history="1">
        <w:r w:rsidRPr="00571DD4">
          <w:rPr>
            <w:rStyle w:val="Hyperlink"/>
          </w:rPr>
          <w:t>https://doi.org/10.1016/j.ejpoleco.2017.04.004</w:t>
        </w:r>
      </w:hyperlink>
      <w:r w:rsidRPr="00571DD4">
        <w:t>.</w:t>
      </w:r>
    </w:p>
    <w:p w14:paraId="6B0EAC1A" w14:textId="77777777" w:rsidR="00594341" w:rsidRPr="00571DD4" w:rsidRDefault="00594341" w:rsidP="00DA109D">
      <w:pPr>
        <w:spacing w:before="80" w:after="80" w:line="240" w:lineRule="auto"/>
        <w:ind w:left="357"/>
      </w:pPr>
      <w:proofErr w:type="spellStart"/>
      <w:r w:rsidRPr="00571DD4">
        <w:t>Garmendia</w:t>
      </w:r>
      <w:proofErr w:type="spellEnd"/>
      <w:r w:rsidRPr="00571DD4">
        <w:t>, Cristina, and Annie Olszewski. “Impact Investing in Development Finance.” Impact Investing Policy Collaborative, 2014.</w:t>
      </w:r>
    </w:p>
    <w:p w14:paraId="2CED4481" w14:textId="77777777" w:rsidR="00594341" w:rsidRPr="00571DD4" w:rsidRDefault="00594341" w:rsidP="00DA109D">
      <w:pPr>
        <w:spacing w:before="80" w:after="80" w:line="240" w:lineRule="auto"/>
        <w:ind w:left="357"/>
      </w:pPr>
      <w:r w:rsidRPr="00571DD4">
        <w:t xml:space="preserve">Global Impact Investing Network (GIIN). “About IRIS.” Impact Reporting and </w:t>
      </w:r>
      <w:proofErr w:type="spellStart"/>
      <w:r w:rsidRPr="00571DD4">
        <w:t>Inestment</w:t>
      </w:r>
      <w:proofErr w:type="spellEnd"/>
      <w:r w:rsidRPr="00571DD4">
        <w:t xml:space="preserve"> Standards (IRIS). Accessed December 3, 2018. </w:t>
      </w:r>
      <w:hyperlink r:id="rId32" w:history="1">
        <w:r w:rsidRPr="00571DD4">
          <w:rPr>
            <w:rStyle w:val="Hyperlink"/>
          </w:rPr>
          <w:t>https://iris.thegiin.org/about-iris</w:t>
        </w:r>
      </w:hyperlink>
      <w:r w:rsidRPr="00571DD4">
        <w:t>.</w:t>
      </w:r>
    </w:p>
    <w:p w14:paraId="2569C170" w14:textId="77777777" w:rsidR="00594341" w:rsidRPr="00571DD4" w:rsidRDefault="00594341" w:rsidP="00DA109D">
      <w:pPr>
        <w:spacing w:before="80" w:after="80" w:line="240" w:lineRule="auto"/>
        <w:ind w:left="357"/>
      </w:pPr>
      <w:r w:rsidRPr="00571DD4">
        <w:t xml:space="preserve">Global Infrastructure Hub. “Global Infrastructure Outlook.” Global Infrastructure Hub. Accessed November 28, 2018. </w:t>
      </w:r>
      <w:hyperlink r:id="rId33" w:history="1">
        <w:r w:rsidRPr="00571DD4">
          <w:rPr>
            <w:rStyle w:val="Hyperlink"/>
          </w:rPr>
          <w:t>https://www.oxfordeconomics.com/recent-releases/Global-Infrastructure-Outlook</w:t>
        </w:r>
      </w:hyperlink>
      <w:r w:rsidRPr="00571DD4">
        <w:t>.</w:t>
      </w:r>
    </w:p>
    <w:p w14:paraId="652E9E7B" w14:textId="5AD08AE5" w:rsidR="00594341" w:rsidRPr="00571DD4" w:rsidRDefault="00594341" w:rsidP="00DA109D">
      <w:pPr>
        <w:spacing w:before="80" w:after="80" w:line="240" w:lineRule="auto"/>
        <w:ind w:left="357"/>
      </w:pPr>
      <w:r w:rsidRPr="00571DD4">
        <w:t>Harmonized Indicators for Private Sector Operations</w:t>
      </w:r>
      <w:r w:rsidR="001B0D3B">
        <w:t>,</w:t>
      </w:r>
      <w:r w:rsidRPr="00571DD4">
        <w:t xml:space="preserve"> </w:t>
      </w:r>
      <w:r w:rsidRPr="001B0D3B">
        <w:rPr>
          <w:i/>
        </w:rPr>
        <w:t>Indicators</w:t>
      </w:r>
      <w:r w:rsidRPr="00571DD4">
        <w:t xml:space="preserve">. Accessed December 3, 2018. </w:t>
      </w:r>
      <w:hyperlink r:id="rId34" w:history="1">
        <w:r w:rsidRPr="00571DD4">
          <w:rPr>
            <w:rStyle w:val="Hyperlink"/>
          </w:rPr>
          <w:t>https://indicators.ifipartnership.org/indicators/</w:t>
        </w:r>
      </w:hyperlink>
      <w:r w:rsidRPr="00571DD4">
        <w:t>.</w:t>
      </w:r>
    </w:p>
    <w:p w14:paraId="4882C8BF" w14:textId="77777777" w:rsidR="00594341" w:rsidRPr="00571DD4" w:rsidRDefault="00594341" w:rsidP="00DA109D">
      <w:pPr>
        <w:spacing w:before="80" w:after="80" w:line="240" w:lineRule="auto"/>
        <w:ind w:left="357"/>
      </w:pPr>
      <w:proofErr w:type="spellStart"/>
      <w:r w:rsidRPr="00571DD4">
        <w:t>Honohan</w:t>
      </w:r>
      <w:proofErr w:type="spellEnd"/>
      <w:r w:rsidRPr="00571DD4">
        <w:t xml:space="preserve">, Patrick. “Partial Credit Guarantees: Principles and Practice.” </w:t>
      </w:r>
      <w:r w:rsidRPr="00DA109D">
        <w:rPr>
          <w:i/>
          <w:iCs/>
        </w:rPr>
        <w:t>Journal of Financial Stability</w:t>
      </w:r>
      <w:r w:rsidRPr="00571DD4">
        <w:t xml:space="preserve">, Partial Credit Guarantees: Experiences &amp; Lessons Focused Issue, 6, no. 1 (April 1, 2010): 1–9. </w:t>
      </w:r>
      <w:hyperlink r:id="rId35" w:history="1">
        <w:r w:rsidRPr="00571DD4">
          <w:rPr>
            <w:rStyle w:val="Hyperlink"/>
          </w:rPr>
          <w:t>https://doi.org/10.1016/j.jfs.2009.05.008</w:t>
        </w:r>
      </w:hyperlink>
      <w:r w:rsidRPr="00571DD4">
        <w:t>.</w:t>
      </w:r>
    </w:p>
    <w:p w14:paraId="5C5C2F16" w14:textId="77777777" w:rsidR="00594341" w:rsidRPr="00571DD4" w:rsidRDefault="00594341" w:rsidP="00DA109D">
      <w:pPr>
        <w:spacing w:before="80" w:after="80" w:line="240" w:lineRule="auto"/>
        <w:ind w:left="357"/>
      </w:pPr>
      <w:r w:rsidRPr="00571DD4">
        <w:t xml:space="preserve">Humphrey, Chris, and Annalisa </w:t>
      </w:r>
      <w:proofErr w:type="spellStart"/>
      <w:r w:rsidRPr="00571DD4">
        <w:t>Prizzon</w:t>
      </w:r>
      <w:proofErr w:type="spellEnd"/>
      <w:r w:rsidRPr="00571DD4">
        <w:t xml:space="preserve">. “Guarantees for Development: A Review of Multilateral Development Bank Operations.” Shaping Policy for Development. London: ODI, December 2014. </w:t>
      </w:r>
      <w:hyperlink r:id="rId36" w:history="1">
        <w:r w:rsidRPr="00571DD4">
          <w:rPr>
            <w:rStyle w:val="Hyperlink"/>
          </w:rPr>
          <w:t>https://www.odi.org/sites/odi.org.uk/files/odi-assets/publications-opinion-files/9398.pdf</w:t>
        </w:r>
      </w:hyperlink>
      <w:r w:rsidRPr="00571DD4">
        <w:t>.</w:t>
      </w:r>
    </w:p>
    <w:p w14:paraId="578747D1" w14:textId="37E4E8FE" w:rsidR="00594341" w:rsidRPr="00571DD4" w:rsidRDefault="00594341" w:rsidP="00DA109D">
      <w:pPr>
        <w:spacing w:before="80" w:after="80" w:line="240" w:lineRule="auto"/>
        <w:ind w:left="357"/>
      </w:pPr>
      <w:r w:rsidRPr="00571DD4">
        <w:t xml:space="preserve">Inter-American Development Bank, and Clean Technology Fund. “Geothermal Financing </w:t>
      </w:r>
      <w:proofErr w:type="gramStart"/>
      <w:r w:rsidRPr="00571DD4">
        <w:t>And</w:t>
      </w:r>
      <w:proofErr w:type="gramEnd"/>
      <w:r w:rsidRPr="00571DD4">
        <w:t xml:space="preserve"> Risk Transfer Program.” </w:t>
      </w:r>
      <w:r w:rsidR="00B71F56" w:rsidRPr="00B71F56">
        <w:t>Inter-American Development Bank</w:t>
      </w:r>
      <w:r w:rsidRPr="00571DD4">
        <w:t xml:space="preserve">, July 2018. </w:t>
      </w:r>
      <w:hyperlink r:id="rId37" w:history="1">
        <w:r w:rsidRPr="00571DD4">
          <w:rPr>
            <w:rStyle w:val="Hyperlink"/>
          </w:rPr>
          <w:t>https://www.iadb.org/en/node/1867</w:t>
        </w:r>
      </w:hyperlink>
      <w:r w:rsidRPr="00571DD4">
        <w:t>.</w:t>
      </w:r>
    </w:p>
    <w:p w14:paraId="7BDAFB2F" w14:textId="77777777" w:rsidR="00594341" w:rsidRPr="00571DD4" w:rsidRDefault="00594341" w:rsidP="00DA109D">
      <w:pPr>
        <w:spacing w:before="80" w:after="80" w:line="240" w:lineRule="auto"/>
        <w:ind w:left="357"/>
      </w:pPr>
      <w:r w:rsidRPr="00571DD4">
        <w:t xml:space="preserve">Japan International Cooperation Agency. “Learning Japanese Experience in Urban Public Transport.” JICA, October 2017. </w:t>
      </w:r>
      <w:hyperlink r:id="rId38" w:history="1">
        <w:r w:rsidRPr="00571DD4">
          <w:rPr>
            <w:rStyle w:val="Hyperlink"/>
          </w:rPr>
          <w:t>https://www.jica.go.jp/uzbekistan/english/office/topics/171115.html</w:t>
        </w:r>
      </w:hyperlink>
      <w:r w:rsidRPr="00571DD4">
        <w:t>.</w:t>
      </w:r>
    </w:p>
    <w:p w14:paraId="1AE3273F" w14:textId="77777777" w:rsidR="00594341" w:rsidRPr="00571DD4" w:rsidRDefault="00594341" w:rsidP="00DA109D">
      <w:pPr>
        <w:spacing w:before="80" w:after="80" w:line="240" w:lineRule="auto"/>
        <w:ind w:left="357"/>
      </w:pPr>
      <w:proofErr w:type="spellStart"/>
      <w:r w:rsidRPr="00571DD4">
        <w:t>Karaivanov</w:t>
      </w:r>
      <w:proofErr w:type="spellEnd"/>
      <w:r w:rsidRPr="00571DD4">
        <w:t xml:space="preserve">, Alexander. “Non-Grant Microfinance, Incentives and Efficiency.” </w:t>
      </w:r>
      <w:r w:rsidRPr="00DA109D">
        <w:rPr>
          <w:i/>
          <w:iCs/>
        </w:rPr>
        <w:t>Applied Economics</w:t>
      </w:r>
      <w:r w:rsidRPr="00571DD4">
        <w:t xml:space="preserve"> 50, no. 23 (2018): 2509–2524.</w:t>
      </w:r>
    </w:p>
    <w:p w14:paraId="17656864" w14:textId="77777777" w:rsidR="00594341" w:rsidRPr="00571DD4" w:rsidRDefault="00594341" w:rsidP="00DA109D">
      <w:pPr>
        <w:spacing w:before="80" w:after="80" w:line="240" w:lineRule="auto"/>
        <w:ind w:left="357"/>
      </w:pPr>
      <w:r w:rsidRPr="00571DD4">
        <w:t xml:space="preserve">Kenny, Charles, Jared </w:t>
      </w:r>
      <w:proofErr w:type="spellStart"/>
      <w:r w:rsidRPr="00571DD4">
        <w:t>Kalow</w:t>
      </w:r>
      <w:proofErr w:type="spellEnd"/>
      <w:r w:rsidRPr="00571DD4">
        <w:t xml:space="preserve">, and Vijaya Ramachandran. “Inside the Portfolio of the International Finance Corporation: Does IFC Do Enough in Low-Income Countries?” Washington, D.C.: </w:t>
      </w:r>
      <w:proofErr w:type="spellStart"/>
      <w:r w:rsidRPr="00571DD4">
        <w:t>Center</w:t>
      </w:r>
      <w:proofErr w:type="spellEnd"/>
      <w:r w:rsidRPr="00571DD4">
        <w:t xml:space="preserve"> </w:t>
      </w:r>
      <w:proofErr w:type="gramStart"/>
      <w:r w:rsidRPr="00571DD4">
        <w:t>For</w:t>
      </w:r>
      <w:proofErr w:type="gramEnd"/>
      <w:r w:rsidRPr="00571DD4">
        <w:t xml:space="preserve"> Global Development, January 17, 2018. </w:t>
      </w:r>
      <w:hyperlink r:id="rId39" w:history="1">
        <w:r w:rsidRPr="00571DD4">
          <w:rPr>
            <w:rStyle w:val="Hyperlink"/>
          </w:rPr>
          <w:t>https://www.cgdev.org/publication/inside-portfolio-international-finance-corporation-does-ifc-do-enough-low-income</w:t>
        </w:r>
      </w:hyperlink>
      <w:r w:rsidRPr="00571DD4">
        <w:t>.</w:t>
      </w:r>
    </w:p>
    <w:p w14:paraId="28628944" w14:textId="77777777" w:rsidR="00594341" w:rsidRPr="00571DD4" w:rsidRDefault="00594341" w:rsidP="00DA109D">
      <w:pPr>
        <w:spacing w:before="80" w:after="80" w:line="240" w:lineRule="auto"/>
        <w:ind w:left="357"/>
      </w:pPr>
      <w:r w:rsidRPr="00571DD4">
        <w:lastRenderedPageBreak/>
        <w:t xml:space="preserve">Lee, Nancy. “Billions to Trillions? Issues on the Role of Development Banks in Mobilizing Private Finance.” Washington, D.C.: </w:t>
      </w:r>
      <w:proofErr w:type="spellStart"/>
      <w:r w:rsidRPr="00571DD4">
        <w:t>Center</w:t>
      </w:r>
      <w:proofErr w:type="spellEnd"/>
      <w:r w:rsidRPr="00571DD4">
        <w:t xml:space="preserve"> </w:t>
      </w:r>
      <w:proofErr w:type="gramStart"/>
      <w:r w:rsidRPr="00571DD4">
        <w:t>For</w:t>
      </w:r>
      <w:proofErr w:type="gramEnd"/>
      <w:r w:rsidRPr="00571DD4">
        <w:t xml:space="preserve"> Global Development, November 17, 2017. </w:t>
      </w:r>
      <w:hyperlink r:id="rId40" w:history="1">
        <w:r w:rsidRPr="00571DD4">
          <w:rPr>
            <w:rStyle w:val="Hyperlink"/>
          </w:rPr>
          <w:t>https://www.cgdev.org/publication/billions-trillions-issues-role-development-banks-mobilizing-private-finance</w:t>
        </w:r>
      </w:hyperlink>
      <w:r w:rsidRPr="00571DD4">
        <w:t>.</w:t>
      </w:r>
    </w:p>
    <w:p w14:paraId="6738AD5F" w14:textId="77777777" w:rsidR="00594341" w:rsidRPr="00571DD4" w:rsidRDefault="00594341" w:rsidP="00DA109D">
      <w:pPr>
        <w:spacing w:before="80" w:after="80" w:line="240" w:lineRule="auto"/>
        <w:ind w:left="357"/>
      </w:pPr>
      <w:r w:rsidRPr="00571DD4">
        <w:t xml:space="preserve">———. “More Mobilizing, Less Lending: A Pragmatic Proposal for MDBs.” </w:t>
      </w:r>
      <w:proofErr w:type="spellStart"/>
      <w:r w:rsidRPr="00571DD4">
        <w:t>Center</w:t>
      </w:r>
      <w:proofErr w:type="spellEnd"/>
      <w:r w:rsidRPr="00571DD4">
        <w:t xml:space="preserve"> For Global Development. Accessed November 12, 2018. </w:t>
      </w:r>
      <w:hyperlink r:id="rId41" w:history="1">
        <w:r w:rsidRPr="00571DD4">
          <w:rPr>
            <w:rStyle w:val="Hyperlink"/>
          </w:rPr>
          <w:t>https://www.cgdev.org/publication/more-mobilizing-less-lending-pragmatic-proposal-mdbs</w:t>
        </w:r>
      </w:hyperlink>
      <w:r w:rsidRPr="00571DD4">
        <w:t>.</w:t>
      </w:r>
    </w:p>
    <w:p w14:paraId="04601425" w14:textId="77777777" w:rsidR="00594341" w:rsidRPr="00571DD4" w:rsidRDefault="00594341" w:rsidP="00DA109D">
      <w:pPr>
        <w:spacing w:before="80" w:after="80" w:line="240" w:lineRule="auto"/>
        <w:ind w:left="357"/>
      </w:pPr>
      <w:proofErr w:type="spellStart"/>
      <w:r w:rsidRPr="00571DD4">
        <w:t>Norfund</w:t>
      </w:r>
      <w:proofErr w:type="spellEnd"/>
      <w:r w:rsidRPr="00571DD4">
        <w:t>. “</w:t>
      </w:r>
      <w:proofErr w:type="spellStart"/>
      <w:r w:rsidRPr="00571DD4">
        <w:t>Norfund</w:t>
      </w:r>
      <w:proofErr w:type="spellEnd"/>
      <w:r w:rsidRPr="00571DD4">
        <w:t xml:space="preserve"> - Home.” </w:t>
      </w:r>
      <w:proofErr w:type="spellStart"/>
      <w:r w:rsidRPr="00571DD4">
        <w:t>Norfund</w:t>
      </w:r>
      <w:proofErr w:type="spellEnd"/>
      <w:r w:rsidRPr="00571DD4">
        <w:t xml:space="preserve">. Accessed December 3, 2018. </w:t>
      </w:r>
      <w:hyperlink r:id="rId42" w:history="1">
        <w:r w:rsidRPr="00571DD4">
          <w:rPr>
            <w:rStyle w:val="Hyperlink"/>
          </w:rPr>
          <w:t>https://www.norfund.no/</w:t>
        </w:r>
      </w:hyperlink>
      <w:r w:rsidRPr="00571DD4">
        <w:t>.</w:t>
      </w:r>
    </w:p>
    <w:p w14:paraId="74F181DE" w14:textId="77777777" w:rsidR="00594341" w:rsidRPr="00571DD4" w:rsidRDefault="00594341" w:rsidP="00DA109D">
      <w:pPr>
        <w:spacing w:before="80" w:after="80" w:line="240" w:lineRule="auto"/>
        <w:ind w:left="357"/>
      </w:pPr>
      <w:r w:rsidRPr="00571DD4">
        <w:t>Office of Development Effectiveness (ODE). “Banking Our Aid: Australia’s Non-Core Funding to the Asian Development Bank and the World Bank.” Canberra: Department of Foreign Affairs and Trade, September 2015.</w:t>
      </w:r>
    </w:p>
    <w:p w14:paraId="701004DA" w14:textId="77777777" w:rsidR="00594341" w:rsidRPr="00571DD4" w:rsidRDefault="00594341" w:rsidP="00DA109D">
      <w:pPr>
        <w:spacing w:before="80" w:after="80" w:line="240" w:lineRule="auto"/>
        <w:ind w:left="357"/>
      </w:pPr>
      <w:r w:rsidRPr="00571DD4">
        <w:t xml:space="preserve">Office of the Director, Agricultural Development Economics Division. “Non-Distorting Support Measures to Farmers.” Food and Agriculture Organization of the United Nations, October 2009. </w:t>
      </w:r>
      <w:hyperlink r:id="rId43" w:history="1">
        <w:r w:rsidRPr="00571DD4">
          <w:rPr>
            <w:rStyle w:val="Hyperlink"/>
          </w:rPr>
          <w:t>http://www.fao.org/fileadmin/templates/wsfs/docs/Issues_papers/HLEF2050_Trade.pdf</w:t>
        </w:r>
      </w:hyperlink>
      <w:r w:rsidRPr="00571DD4">
        <w:t>.</w:t>
      </w:r>
    </w:p>
    <w:p w14:paraId="7F76C22A" w14:textId="55A3BBF2" w:rsidR="00EF44D8" w:rsidRDefault="00EF44D8" w:rsidP="00DA109D">
      <w:pPr>
        <w:spacing w:before="80" w:after="80" w:line="240" w:lineRule="auto"/>
        <w:ind w:left="357"/>
        <w:rPr>
          <w:lang w:val="es-US"/>
        </w:rPr>
      </w:pPr>
      <w:proofErr w:type="spellStart"/>
      <w:r w:rsidRPr="00EF44D8">
        <w:rPr>
          <w:lang w:val="es-US"/>
        </w:rPr>
        <w:t>O</w:t>
      </w:r>
      <w:r w:rsidR="00C331CD">
        <w:rPr>
          <w:lang w:val="es-US"/>
        </w:rPr>
        <w:t>rganisation</w:t>
      </w:r>
      <w:proofErr w:type="spellEnd"/>
      <w:r w:rsidR="00C331CD">
        <w:rPr>
          <w:lang w:val="es-US"/>
        </w:rPr>
        <w:t xml:space="preserve"> </w:t>
      </w:r>
      <w:proofErr w:type="spellStart"/>
      <w:r w:rsidR="00C331CD">
        <w:rPr>
          <w:lang w:val="es-US"/>
        </w:rPr>
        <w:t>for</w:t>
      </w:r>
      <w:proofErr w:type="spellEnd"/>
      <w:r w:rsidR="00C331CD">
        <w:rPr>
          <w:lang w:val="es-US"/>
        </w:rPr>
        <w:t xml:space="preserve"> </w:t>
      </w:r>
      <w:proofErr w:type="spellStart"/>
      <w:r w:rsidR="00C331CD">
        <w:rPr>
          <w:lang w:val="es-US"/>
        </w:rPr>
        <w:t>Economic</w:t>
      </w:r>
      <w:proofErr w:type="spellEnd"/>
      <w:r w:rsidR="00C331CD">
        <w:rPr>
          <w:lang w:val="es-US"/>
        </w:rPr>
        <w:t xml:space="preserve"> </w:t>
      </w:r>
      <w:proofErr w:type="spellStart"/>
      <w:r w:rsidR="00C331CD">
        <w:rPr>
          <w:lang w:val="es-US"/>
        </w:rPr>
        <w:t>Cooperation</w:t>
      </w:r>
      <w:proofErr w:type="spellEnd"/>
      <w:r w:rsidR="00C331CD">
        <w:rPr>
          <w:lang w:val="es-US"/>
        </w:rPr>
        <w:t xml:space="preserve"> and Development</w:t>
      </w:r>
      <w:r w:rsidRPr="00EF44D8">
        <w:rPr>
          <w:lang w:val="es-US"/>
        </w:rPr>
        <w:t>, DCD/</w:t>
      </w:r>
      <w:proofErr w:type="gramStart"/>
      <w:r w:rsidRPr="00EF44D8">
        <w:rPr>
          <w:lang w:val="es-US"/>
        </w:rPr>
        <w:t>DAC(</w:t>
      </w:r>
      <w:proofErr w:type="gramEnd"/>
      <w:r w:rsidRPr="00EF44D8">
        <w:rPr>
          <w:lang w:val="es-US"/>
        </w:rPr>
        <w:t>2018)47/FINAL, 2018.</w:t>
      </w:r>
    </w:p>
    <w:p w14:paraId="31970BEB" w14:textId="1533CE1C" w:rsidR="00594341" w:rsidRPr="00571DD4" w:rsidRDefault="00594341" w:rsidP="00DA109D">
      <w:pPr>
        <w:spacing w:before="80" w:after="80" w:line="240" w:lineRule="auto"/>
        <w:ind w:left="357"/>
      </w:pPr>
      <w:r w:rsidRPr="00DA109D">
        <w:rPr>
          <w:lang w:val="es-US"/>
        </w:rPr>
        <w:t xml:space="preserve">Pereira Dos Santos, Pablo, and Matthew C. Kearney. </w:t>
      </w:r>
      <w:r w:rsidRPr="00571DD4">
        <w:t xml:space="preserve">“Multilateral Development Banks’ Risk Mitigation Instruments for Infrastructure Investment.” Technical Notes. Inter-American Development Bank, February 27, 2018. </w:t>
      </w:r>
      <w:hyperlink r:id="rId44" w:history="1">
        <w:r w:rsidRPr="00571DD4">
          <w:rPr>
            <w:rStyle w:val="Hyperlink"/>
          </w:rPr>
          <w:t>https://doi.org/10.18235/0001008</w:t>
        </w:r>
      </w:hyperlink>
      <w:r w:rsidRPr="00571DD4">
        <w:t>.</w:t>
      </w:r>
    </w:p>
    <w:p w14:paraId="0AB0FF6E" w14:textId="77777777" w:rsidR="00594341" w:rsidRPr="00571DD4" w:rsidRDefault="00594341" w:rsidP="00DA109D">
      <w:pPr>
        <w:spacing w:before="80" w:after="80" w:line="240" w:lineRule="auto"/>
        <w:ind w:left="357"/>
      </w:pPr>
      <w:r w:rsidRPr="00571DD4">
        <w:t xml:space="preserve">Private Infrastructure Development Group (PIDG). “Annual Report 2016.” London: Private Infrastructure Development Group, 2017. </w:t>
      </w:r>
      <w:hyperlink r:id="rId45" w:history="1">
        <w:r w:rsidRPr="00571DD4">
          <w:rPr>
            <w:rStyle w:val="Hyperlink"/>
          </w:rPr>
          <w:t>https://www.pidg.org/resource-library/annual-reports/pidg-annual-report-2016.pdf/at_download/file</w:t>
        </w:r>
      </w:hyperlink>
      <w:r w:rsidRPr="00571DD4">
        <w:t>.</w:t>
      </w:r>
    </w:p>
    <w:p w14:paraId="4343D642" w14:textId="77777777" w:rsidR="00594341" w:rsidRPr="00571DD4" w:rsidRDefault="00594341" w:rsidP="00DA109D">
      <w:pPr>
        <w:spacing w:before="80" w:after="80" w:line="240" w:lineRule="auto"/>
        <w:ind w:left="357"/>
      </w:pPr>
      <w:r w:rsidRPr="00571DD4">
        <w:t xml:space="preserve">Smith, Graeme, George Carter, </w:t>
      </w:r>
      <w:proofErr w:type="spellStart"/>
      <w:r w:rsidRPr="00571DD4">
        <w:t>Xiaojing</w:t>
      </w:r>
      <w:proofErr w:type="spellEnd"/>
      <w:r w:rsidRPr="00571DD4">
        <w:t xml:space="preserve"> Mao, Almah </w:t>
      </w:r>
      <w:proofErr w:type="spellStart"/>
      <w:r w:rsidRPr="00571DD4">
        <w:t>Tararia</w:t>
      </w:r>
      <w:proofErr w:type="spellEnd"/>
      <w:r w:rsidRPr="00571DD4">
        <w:t xml:space="preserve">, </w:t>
      </w:r>
      <w:proofErr w:type="spellStart"/>
      <w:r w:rsidRPr="00571DD4">
        <w:t>Elisi</w:t>
      </w:r>
      <w:proofErr w:type="spellEnd"/>
      <w:r w:rsidRPr="00571DD4">
        <w:t xml:space="preserve"> Tupou, and Weitao Xu. “The Development Needs of Pacific Island Countries.” Canberra: UNDP, </w:t>
      </w:r>
      <w:proofErr w:type="spellStart"/>
      <w:r w:rsidRPr="00571DD4">
        <w:t>AusAid</w:t>
      </w:r>
      <w:proofErr w:type="spellEnd"/>
      <w:r w:rsidRPr="00571DD4">
        <w:t>, 2014.</w:t>
      </w:r>
    </w:p>
    <w:p w14:paraId="1C7F7DC4" w14:textId="77777777" w:rsidR="00594341" w:rsidRPr="00571DD4" w:rsidRDefault="00594341" w:rsidP="00DA109D">
      <w:pPr>
        <w:spacing w:before="80" w:after="80" w:line="240" w:lineRule="auto"/>
        <w:ind w:left="357"/>
      </w:pPr>
      <w:r w:rsidRPr="00571DD4">
        <w:t xml:space="preserve">UN Capital Development Fund, Convergence, Southern Voice, and UN Foundation. “Blended Finance in the Least Developed Countries.” New York: UNCDF, November 5, 2018. </w:t>
      </w:r>
      <w:hyperlink r:id="rId46" w:history="1">
        <w:r w:rsidRPr="00571DD4">
          <w:rPr>
            <w:rStyle w:val="Hyperlink"/>
          </w:rPr>
          <w:t>https://www.convergence.finance/knowledge/53itVFMaSAogCwykaGaq22/view</w:t>
        </w:r>
      </w:hyperlink>
      <w:r w:rsidRPr="00571DD4">
        <w:t>.</w:t>
      </w:r>
    </w:p>
    <w:p w14:paraId="62088F3C" w14:textId="77777777" w:rsidR="00594341" w:rsidRPr="00571DD4" w:rsidRDefault="00594341" w:rsidP="00DA109D">
      <w:pPr>
        <w:spacing w:before="80" w:after="80" w:line="240" w:lineRule="auto"/>
        <w:ind w:left="357"/>
      </w:pPr>
      <w:r w:rsidRPr="00571DD4">
        <w:t xml:space="preserve">UN Economic Analysis &amp; Policy Division. “Inclusion in the LDC Category.” Development Policy &amp; Analysis Division | Dept of Economic &amp; Social Affairs | United Nations, September 23, 2010. </w:t>
      </w:r>
      <w:hyperlink r:id="rId47" w:history="1">
        <w:r w:rsidRPr="00571DD4">
          <w:rPr>
            <w:rStyle w:val="Hyperlink"/>
          </w:rPr>
          <w:t>https://www.un.org/development/desa/dpad/least-developed-country-category/ldc-inclusion.html</w:t>
        </w:r>
      </w:hyperlink>
      <w:r w:rsidRPr="00571DD4">
        <w:t>.</w:t>
      </w:r>
    </w:p>
    <w:p w14:paraId="7D6BD220" w14:textId="77777777" w:rsidR="00594341" w:rsidRPr="00571DD4" w:rsidRDefault="00594341" w:rsidP="00DA109D">
      <w:pPr>
        <w:spacing w:before="80" w:after="80" w:line="240" w:lineRule="auto"/>
        <w:ind w:left="357"/>
      </w:pPr>
      <w:r w:rsidRPr="00571DD4">
        <w:t xml:space="preserve">U.S. Agency for International Development. “The </w:t>
      </w:r>
      <w:proofErr w:type="spellStart"/>
      <w:r w:rsidRPr="00571DD4">
        <w:t>Crossboundary</w:t>
      </w:r>
      <w:proofErr w:type="spellEnd"/>
      <w:r w:rsidRPr="00571DD4">
        <w:t xml:space="preserve"> Energy Partnership.” Washington, D.C.: USAID, September 22, 2016. </w:t>
      </w:r>
      <w:hyperlink r:id="rId48" w:history="1">
        <w:r w:rsidRPr="00571DD4">
          <w:rPr>
            <w:rStyle w:val="Hyperlink"/>
          </w:rPr>
          <w:t>https://www.usaid.gov/documents/1865/crossboundary-energy-partnership</w:t>
        </w:r>
      </w:hyperlink>
      <w:r w:rsidRPr="00571DD4">
        <w:t>.</w:t>
      </w:r>
    </w:p>
    <w:p w14:paraId="2C6913F5" w14:textId="77777777" w:rsidR="00594341" w:rsidRPr="00571DD4" w:rsidRDefault="00594341" w:rsidP="00DA109D">
      <w:pPr>
        <w:spacing w:before="80" w:after="80" w:line="240" w:lineRule="auto"/>
        <w:ind w:left="357"/>
      </w:pPr>
      <w:proofErr w:type="spellStart"/>
      <w:r w:rsidRPr="00571DD4">
        <w:t>Wezel</w:t>
      </w:r>
      <w:proofErr w:type="spellEnd"/>
      <w:r w:rsidRPr="00571DD4">
        <w:t xml:space="preserve">, </w:t>
      </w:r>
      <w:proofErr w:type="spellStart"/>
      <w:r w:rsidRPr="00571DD4">
        <w:t>Torsten</w:t>
      </w:r>
      <w:proofErr w:type="spellEnd"/>
      <w:r w:rsidRPr="00571DD4">
        <w:t xml:space="preserve">. “Does Co-Financing by Multilateral Development Banks Increase ‘Risky’ Direct Investment in Emerging Markets? – Evidence for German Banking FDI.” </w:t>
      </w:r>
      <w:r w:rsidRPr="00DA109D">
        <w:rPr>
          <w:i/>
          <w:iCs/>
        </w:rPr>
        <w:t>Studies of the Economic Research Centre, Deutsche Bundesbank</w:t>
      </w:r>
      <w:r w:rsidRPr="00571DD4">
        <w:t xml:space="preserve">, 2004. </w:t>
      </w:r>
      <w:hyperlink r:id="rId49" w:history="1">
        <w:r w:rsidRPr="00571DD4">
          <w:rPr>
            <w:rStyle w:val="Hyperlink"/>
          </w:rPr>
          <w:t>https://www.bis.org/publ/cgfs22bubaw2.pdf</w:t>
        </w:r>
      </w:hyperlink>
      <w:r w:rsidRPr="00571DD4">
        <w:t>.</w:t>
      </w:r>
    </w:p>
    <w:p w14:paraId="562F5B12" w14:textId="77777777" w:rsidR="00594341" w:rsidRPr="00571DD4" w:rsidRDefault="00594341" w:rsidP="00DA109D">
      <w:pPr>
        <w:spacing w:before="80" w:after="80" w:line="240" w:lineRule="auto"/>
        <w:ind w:left="357"/>
      </w:pPr>
      <w:r w:rsidRPr="00571DD4">
        <w:t xml:space="preserve">World Bank. “Global Financial Development Database.” Database. World Bank, July 2018. </w:t>
      </w:r>
      <w:hyperlink r:id="rId50" w:history="1">
        <w:r w:rsidRPr="00571DD4">
          <w:rPr>
            <w:rStyle w:val="Hyperlink"/>
          </w:rPr>
          <w:t>http://www.worldbank.org/en/publication/gfdr/data/global-financial-development-database</w:t>
        </w:r>
      </w:hyperlink>
      <w:r w:rsidRPr="00571DD4">
        <w:t>.</w:t>
      </w:r>
    </w:p>
    <w:p w14:paraId="71C59CCD" w14:textId="77777777" w:rsidR="00594341" w:rsidRPr="00571DD4" w:rsidRDefault="00594341" w:rsidP="00DA109D">
      <w:pPr>
        <w:spacing w:before="80" w:after="80" w:line="240" w:lineRule="auto"/>
        <w:ind w:left="357"/>
      </w:pPr>
      <w:r w:rsidRPr="00571DD4">
        <w:t xml:space="preserve">———. “Main Financing Mechanisms for Infrastructure Projects.” Public Private Partnership Legal Resource </w:t>
      </w:r>
      <w:proofErr w:type="spellStart"/>
      <w:r w:rsidRPr="00571DD4">
        <w:t>Center</w:t>
      </w:r>
      <w:proofErr w:type="spellEnd"/>
      <w:r w:rsidRPr="00571DD4">
        <w:t xml:space="preserve">, September 6, 2016. </w:t>
      </w:r>
      <w:hyperlink r:id="rId51" w:history="1">
        <w:r w:rsidRPr="00571DD4">
          <w:rPr>
            <w:rStyle w:val="Hyperlink"/>
          </w:rPr>
          <w:t>https://ppp.worldbank.org/public-private-partnership/financing/mechanisms</w:t>
        </w:r>
      </w:hyperlink>
      <w:r w:rsidRPr="00571DD4">
        <w:t>.</w:t>
      </w:r>
    </w:p>
    <w:p w14:paraId="451D4774" w14:textId="77777777" w:rsidR="00594341" w:rsidRPr="00571DD4" w:rsidRDefault="00594341" w:rsidP="00DA109D">
      <w:pPr>
        <w:spacing w:before="80" w:after="80" w:line="240" w:lineRule="auto"/>
        <w:ind w:left="357"/>
      </w:pPr>
      <w:r w:rsidRPr="00571DD4">
        <w:t xml:space="preserve">———. “World Bank Open Data.” Database. World Bank, November 2018. </w:t>
      </w:r>
      <w:hyperlink r:id="rId52" w:history="1">
        <w:r w:rsidRPr="00571DD4">
          <w:rPr>
            <w:rStyle w:val="Hyperlink"/>
          </w:rPr>
          <w:t>https://data.worldbank.org/</w:t>
        </w:r>
      </w:hyperlink>
      <w:r w:rsidRPr="00571DD4">
        <w:t>.</w:t>
      </w:r>
    </w:p>
    <w:p w14:paraId="6F39513A" w14:textId="5BFE87C3" w:rsidR="00594341" w:rsidRDefault="00594341" w:rsidP="00DB495C">
      <w:pPr>
        <w:spacing w:before="80" w:after="80" w:line="240" w:lineRule="auto"/>
        <w:ind w:left="357"/>
        <w:rPr>
          <w:sz w:val="32"/>
          <w:szCs w:val="32"/>
        </w:rPr>
      </w:pPr>
      <w:r w:rsidRPr="00571DD4">
        <w:t xml:space="preserve">Zia, Bilal H. “Export Incentives, Financial Constraints, and the (Mis)Allocation of Credit: Micro-Level Evidence from Subsidized Export Loans.” </w:t>
      </w:r>
      <w:r w:rsidRPr="00DA109D">
        <w:rPr>
          <w:i/>
          <w:iCs/>
        </w:rPr>
        <w:t>Journal of Financial Economics</w:t>
      </w:r>
      <w:r w:rsidRPr="00571DD4">
        <w:t xml:space="preserve"> 87, no. 2 (February 1, 2008): 498–527. </w:t>
      </w:r>
      <w:hyperlink r:id="rId53" w:history="1">
        <w:r w:rsidRPr="00571DD4">
          <w:rPr>
            <w:rStyle w:val="Hyperlink"/>
          </w:rPr>
          <w:t>https://doi.org/10.1016/j.jfineco.2006.12.006</w:t>
        </w:r>
      </w:hyperlink>
      <w:r w:rsidRPr="00571DD4">
        <w:t>.</w:t>
      </w:r>
      <w:r>
        <w:rPr>
          <w:sz w:val="32"/>
          <w:szCs w:val="32"/>
        </w:rPr>
        <w:br w:type="page"/>
      </w:r>
    </w:p>
    <w:p w14:paraId="6766410A" w14:textId="55B0F908" w:rsidR="00227E3F" w:rsidRPr="00C741CD" w:rsidRDefault="00227E3F" w:rsidP="00227E3F">
      <w:pPr>
        <w:spacing w:before="120" w:after="120" w:line="240" w:lineRule="auto"/>
        <w:rPr>
          <w:sz w:val="32"/>
          <w:szCs w:val="32"/>
        </w:rPr>
      </w:pPr>
      <w:r w:rsidRPr="00C741CD">
        <w:rPr>
          <w:sz w:val="32"/>
          <w:szCs w:val="32"/>
        </w:rPr>
        <w:lastRenderedPageBreak/>
        <w:t>A</w:t>
      </w:r>
      <w:r w:rsidR="00105CF3">
        <w:rPr>
          <w:sz w:val="32"/>
          <w:szCs w:val="32"/>
        </w:rPr>
        <w:t>NNEX</w:t>
      </w:r>
      <w:r w:rsidRPr="00C741CD">
        <w:rPr>
          <w:sz w:val="32"/>
          <w:szCs w:val="32"/>
        </w:rPr>
        <w:t xml:space="preserve"> </w:t>
      </w:r>
      <w:r w:rsidR="00C25D85">
        <w:rPr>
          <w:sz w:val="32"/>
          <w:szCs w:val="32"/>
        </w:rPr>
        <w:t>8</w:t>
      </w:r>
      <w:r>
        <w:rPr>
          <w:sz w:val="32"/>
          <w:szCs w:val="32"/>
        </w:rPr>
        <w:t>—Debt distress assessments</w:t>
      </w:r>
    </w:p>
    <w:p w14:paraId="204CA22B" w14:textId="0DFC86C1" w:rsidR="00C413B9" w:rsidRPr="00C413B9" w:rsidRDefault="00C413B9" w:rsidP="00C413B9">
      <w:pPr>
        <w:rPr>
          <w:sz w:val="28"/>
          <w:szCs w:val="28"/>
        </w:rPr>
      </w:pPr>
      <w:r w:rsidRPr="00C413B9">
        <w:rPr>
          <w:sz w:val="28"/>
          <w:szCs w:val="28"/>
        </w:rPr>
        <w:t xml:space="preserve">Table </w:t>
      </w:r>
      <w:r w:rsidR="00227E3F" w:rsidRPr="00CA3886">
        <w:rPr>
          <w:sz w:val="28"/>
          <w:szCs w:val="28"/>
        </w:rPr>
        <w:t>1</w:t>
      </w:r>
      <w:r w:rsidRPr="00C413B9">
        <w:rPr>
          <w:sz w:val="28"/>
          <w:szCs w:val="28"/>
        </w:rPr>
        <w:t>—Level of debt distress in the Pacific region, by country that receives Australian aid</w:t>
      </w:r>
    </w:p>
    <w:tbl>
      <w:tblPr>
        <w:tblW w:w="9360" w:type="dxa"/>
        <w:tblInd w:w="10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600" w:firstRow="0" w:lastRow="0" w:firstColumn="0" w:lastColumn="0" w:noHBand="1" w:noVBand="1"/>
      </w:tblPr>
      <w:tblGrid>
        <w:gridCol w:w="3540"/>
        <w:gridCol w:w="3420"/>
        <w:gridCol w:w="2400"/>
      </w:tblGrid>
      <w:tr w:rsidR="00C413B9" w:rsidRPr="00C413B9" w14:paraId="2C09D90B" w14:textId="77777777" w:rsidTr="00B46545">
        <w:trPr>
          <w:trHeight w:val="170"/>
          <w:tblHeader/>
        </w:trPr>
        <w:tc>
          <w:tcPr>
            <w:tcW w:w="3540" w:type="dxa"/>
            <w:shd w:val="clear" w:color="auto" w:fill="4F81BD"/>
            <w:tcMar>
              <w:top w:w="100" w:type="dxa"/>
              <w:left w:w="100" w:type="dxa"/>
              <w:bottom w:w="100" w:type="dxa"/>
              <w:right w:w="100" w:type="dxa"/>
            </w:tcMar>
          </w:tcPr>
          <w:p w14:paraId="36F608B0" w14:textId="77777777" w:rsidR="00C413B9" w:rsidRPr="00C413B9" w:rsidRDefault="00C413B9" w:rsidP="00C413B9">
            <w:pPr>
              <w:spacing w:after="0" w:line="240" w:lineRule="auto"/>
              <w:contextualSpacing/>
              <w:rPr>
                <w:rFonts w:ascii="Calibri" w:hAnsi="Calibri" w:cs="Calibri"/>
                <w:b/>
                <w:color w:val="FFFFFF"/>
              </w:rPr>
            </w:pPr>
            <w:r w:rsidRPr="00C413B9">
              <w:rPr>
                <w:rFonts w:ascii="Calibri" w:hAnsi="Calibri" w:cs="Calibri"/>
                <w:b/>
                <w:color w:val="FFFFFF"/>
              </w:rPr>
              <w:t>Country</w:t>
            </w:r>
          </w:p>
        </w:tc>
        <w:tc>
          <w:tcPr>
            <w:tcW w:w="3420" w:type="dxa"/>
            <w:shd w:val="clear" w:color="auto" w:fill="4F81BD"/>
            <w:tcMar>
              <w:top w:w="100" w:type="dxa"/>
              <w:left w:w="100" w:type="dxa"/>
              <w:bottom w:w="100" w:type="dxa"/>
              <w:right w:w="100" w:type="dxa"/>
            </w:tcMar>
          </w:tcPr>
          <w:p w14:paraId="17B82334" w14:textId="77777777" w:rsidR="00C413B9" w:rsidRPr="00C413B9" w:rsidRDefault="00C413B9" w:rsidP="00C413B9">
            <w:pPr>
              <w:spacing w:after="0" w:line="240" w:lineRule="auto"/>
              <w:contextualSpacing/>
              <w:rPr>
                <w:rFonts w:ascii="Calibri" w:hAnsi="Calibri" w:cs="Calibri"/>
                <w:b/>
                <w:color w:val="FFFFFF"/>
              </w:rPr>
            </w:pPr>
            <w:r w:rsidRPr="00C413B9">
              <w:rPr>
                <w:rFonts w:ascii="Calibri" w:hAnsi="Calibri" w:cs="Calibri"/>
                <w:b/>
                <w:color w:val="FFFFFF"/>
              </w:rPr>
              <w:t>Level of debt distress</w:t>
            </w:r>
          </w:p>
        </w:tc>
        <w:tc>
          <w:tcPr>
            <w:tcW w:w="2400" w:type="dxa"/>
            <w:shd w:val="clear" w:color="auto" w:fill="4F81BD"/>
            <w:tcMar>
              <w:top w:w="100" w:type="dxa"/>
              <w:left w:w="100" w:type="dxa"/>
              <w:bottom w:w="100" w:type="dxa"/>
              <w:right w:w="100" w:type="dxa"/>
            </w:tcMar>
          </w:tcPr>
          <w:p w14:paraId="0E2B3E83" w14:textId="77777777" w:rsidR="00C413B9" w:rsidRPr="00C413B9" w:rsidRDefault="00C413B9" w:rsidP="00C413B9">
            <w:pPr>
              <w:spacing w:after="0" w:line="240" w:lineRule="auto"/>
              <w:contextualSpacing/>
              <w:rPr>
                <w:rFonts w:ascii="Calibri" w:hAnsi="Calibri" w:cs="Calibri"/>
                <w:b/>
                <w:color w:val="FFFFFF"/>
              </w:rPr>
            </w:pPr>
            <w:r w:rsidRPr="00C413B9">
              <w:rPr>
                <w:rFonts w:ascii="Calibri" w:hAnsi="Calibri" w:cs="Calibri"/>
                <w:b/>
                <w:color w:val="FFFFFF"/>
              </w:rPr>
              <w:t>Year of assessment</w:t>
            </w:r>
          </w:p>
        </w:tc>
      </w:tr>
      <w:tr w:rsidR="00C413B9" w:rsidRPr="00C413B9" w14:paraId="5B2D479D" w14:textId="77777777" w:rsidTr="00DB15C8">
        <w:trPr>
          <w:trHeight w:val="170"/>
        </w:trPr>
        <w:tc>
          <w:tcPr>
            <w:tcW w:w="3540" w:type="dxa"/>
            <w:shd w:val="clear" w:color="auto" w:fill="auto"/>
            <w:tcMar>
              <w:top w:w="100" w:type="dxa"/>
              <w:left w:w="100" w:type="dxa"/>
              <w:bottom w:w="100" w:type="dxa"/>
              <w:right w:w="100" w:type="dxa"/>
            </w:tcMar>
          </w:tcPr>
          <w:p w14:paraId="10D85058" w14:textId="77777777" w:rsidR="00C413B9" w:rsidRPr="00C413B9" w:rsidRDefault="00C413B9" w:rsidP="00C413B9">
            <w:pPr>
              <w:spacing w:after="0" w:line="240" w:lineRule="auto"/>
              <w:contextualSpacing/>
              <w:rPr>
                <w:rFonts w:ascii="Calibri" w:hAnsi="Calibri" w:cs="Calibri"/>
                <w:b/>
                <w:color w:val="666666"/>
              </w:rPr>
            </w:pPr>
            <w:r w:rsidRPr="00C413B9">
              <w:rPr>
                <w:rFonts w:ascii="Calibri" w:hAnsi="Calibri" w:cs="Calibri"/>
                <w:b/>
                <w:color w:val="666666"/>
              </w:rPr>
              <w:t>Cook Islands</w:t>
            </w:r>
          </w:p>
        </w:tc>
        <w:tc>
          <w:tcPr>
            <w:tcW w:w="3420" w:type="dxa"/>
            <w:shd w:val="clear" w:color="auto" w:fill="auto"/>
            <w:tcMar>
              <w:top w:w="100" w:type="dxa"/>
              <w:left w:w="100" w:type="dxa"/>
              <w:bottom w:w="100" w:type="dxa"/>
              <w:right w:w="100" w:type="dxa"/>
            </w:tcMar>
          </w:tcPr>
          <w:p w14:paraId="558EEF2C" w14:textId="77777777" w:rsidR="00C413B9" w:rsidRPr="00C413B9" w:rsidRDefault="00C413B9" w:rsidP="00C413B9">
            <w:pPr>
              <w:spacing w:after="0" w:line="240" w:lineRule="auto"/>
              <w:contextualSpacing/>
              <w:rPr>
                <w:rFonts w:ascii="Calibri" w:hAnsi="Calibri" w:cs="Calibri"/>
                <w:color w:val="666666"/>
              </w:rPr>
            </w:pPr>
            <w:r w:rsidRPr="00C413B9">
              <w:rPr>
                <w:rFonts w:ascii="Calibri" w:hAnsi="Calibri" w:cs="Calibri"/>
                <w:color w:val="666666"/>
              </w:rPr>
              <w:t>Low*</w:t>
            </w:r>
          </w:p>
        </w:tc>
        <w:tc>
          <w:tcPr>
            <w:tcW w:w="2400" w:type="dxa"/>
            <w:shd w:val="clear" w:color="auto" w:fill="auto"/>
            <w:tcMar>
              <w:top w:w="100" w:type="dxa"/>
              <w:left w:w="100" w:type="dxa"/>
              <w:bottom w:w="100" w:type="dxa"/>
              <w:right w:w="100" w:type="dxa"/>
            </w:tcMar>
          </w:tcPr>
          <w:p w14:paraId="677A5575" w14:textId="77777777" w:rsidR="00C413B9" w:rsidRPr="00C413B9" w:rsidRDefault="00C413B9" w:rsidP="00C413B9">
            <w:pPr>
              <w:spacing w:after="0" w:line="240" w:lineRule="auto"/>
              <w:contextualSpacing/>
              <w:rPr>
                <w:rFonts w:ascii="Calibri" w:hAnsi="Calibri" w:cs="Calibri"/>
                <w:color w:val="666666"/>
              </w:rPr>
            </w:pPr>
            <w:r w:rsidRPr="00C413B9">
              <w:rPr>
                <w:rFonts w:ascii="Calibri" w:hAnsi="Calibri" w:cs="Calibri"/>
                <w:color w:val="666666"/>
              </w:rPr>
              <w:t>2017</w:t>
            </w:r>
          </w:p>
        </w:tc>
      </w:tr>
      <w:tr w:rsidR="00C413B9" w:rsidRPr="00C413B9" w14:paraId="17366552" w14:textId="77777777" w:rsidTr="00DB15C8">
        <w:trPr>
          <w:trHeight w:val="170"/>
        </w:trPr>
        <w:tc>
          <w:tcPr>
            <w:tcW w:w="3540" w:type="dxa"/>
            <w:shd w:val="clear" w:color="auto" w:fill="auto"/>
            <w:tcMar>
              <w:top w:w="100" w:type="dxa"/>
              <w:left w:w="100" w:type="dxa"/>
              <w:bottom w:w="100" w:type="dxa"/>
              <w:right w:w="100" w:type="dxa"/>
            </w:tcMar>
          </w:tcPr>
          <w:p w14:paraId="73213144" w14:textId="77777777" w:rsidR="00C413B9" w:rsidRPr="00C413B9" w:rsidRDefault="00C413B9" w:rsidP="00C413B9">
            <w:pPr>
              <w:spacing w:after="0" w:line="240" w:lineRule="auto"/>
              <w:contextualSpacing/>
              <w:rPr>
                <w:rFonts w:ascii="Calibri" w:hAnsi="Calibri" w:cs="Calibri"/>
                <w:b/>
                <w:color w:val="666666"/>
              </w:rPr>
            </w:pPr>
            <w:r w:rsidRPr="00C413B9">
              <w:rPr>
                <w:rFonts w:ascii="Calibri" w:hAnsi="Calibri" w:cs="Calibri"/>
                <w:b/>
                <w:color w:val="666666"/>
              </w:rPr>
              <w:t>Fiji</w:t>
            </w:r>
          </w:p>
        </w:tc>
        <w:tc>
          <w:tcPr>
            <w:tcW w:w="3420" w:type="dxa"/>
            <w:shd w:val="clear" w:color="auto" w:fill="auto"/>
            <w:tcMar>
              <w:top w:w="100" w:type="dxa"/>
              <w:left w:w="100" w:type="dxa"/>
              <w:bottom w:w="100" w:type="dxa"/>
              <w:right w:w="100" w:type="dxa"/>
            </w:tcMar>
          </w:tcPr>
          <w:p w14:paraId="5B6BF8BC" w14:textId="77777777" w:rsidR="00C413B9" w:rsidRPr="00C413B9" w:rsidRDefault="00C413B9" w:rsidP="00C413B9">
            <w:pPr>
              <w:spacing w:after="0" w:line="240" w:lineRule="auto"/>
              <w:contextualSpacing/>
              <w:rPr>
                <w:rFonts w:ascii="Calibri" w:hAnsi="Calibri" w:cs="Calibri"/>
                <w:b/>
                <w:color w:val="666666"/>
              </w:rPr>
            </w:pPr>
            <w:r w:rsidRPr="00C413B9">
              <w:rPr>
                <w:rFonts w:ascii="Calibri" w:hAnsi="Calibri" w:cs="Calibri"/>
                <w:color w:val="666666"/>
              </w:rPr>
              <w:t>Low*</w:t>
            </w:r>
          </w:p>
        </w:tc>
        <w:tc>
          <w:tcPr>
            <w:tcW w:w="2400" w:type="dxa"/>
            <w:shd w:val="clear" w:color="auto" w:fill="auto"/>
            <w:tcMar>
              <w:top w:w="100" w:type="dxa"/>
              <w:left w:w="100" w:type="dxa"/>
              <w:bottom w:w="100" w:type="dxa"/>
              <w:right w:w="100" w:type="dxa"/>
            </w:tcMar>
          </w:tcPr>
          <w:p w14:paraId="58322806" w14:textId="77777777" w:rsidR="00C413B9" w:rsidRPr="00C413B9" w:rsidRDefault="00C413B9" w:rsidP="00C413B9">
            <w:pPr>
              <w:spacing w:after="0" w:line="240" w:lineRule="auto"/>
              <w:contextualSpacing/>
              <w:rPr>
                <w:rFonts w:ascii="Calibri" w:hAnsi="Calibri" w:cs="Calibri"/>
                <w:color w:val="666666"/>
              </w:rPr>
            </w:pPr>
            <w:r w:rsidRPr="00C413B9">
              <w:rPr>
                <w:rFonts w:ascii="Calibri" w:hAnsi="Calibri" w:cs="Calibri"/>
                <w:color w:val="666666"/>
              </w:rPr>
              <w:t>2016</w:t>
            </w:r>
          </w:p>
        </w:tc>
      </w:tr>
      <w:tr w:rsidR="00C413B9" w:rsidRPr="00C413B9" w14:paraId="05680F10" w14:textId="77777777" w:rsidTr="00DB15C8">
        <w:trPr>
          <w:trHeight w:val="170"/>
        </w:trPr>
        <w:tc>
          <w:tcPr>
            <w:tcW w:w="3540" w:type="dxa"/>
            <w:shd w:val="clear" w:color="auto" w:fill="auto"/>
            <w:tcMar>
              <w:top w:w="100" w:type="dxa"/>
              <w:left w:w="100" w:type="dxa"/>
              <w:bottom w:w="100" w:type="dxa"/>
              <w:right w:w="100" w:type="dxa"/>
            </w:tcMar>
          </w:tcPr>
          <w:p w14:paraId="1CD9A6ED" w14:textId="77777777" w:rsidR="00C413B9" w:rsidRPr="00C413B9" w:rsidRDefault="00C413B9" w:rsidP="00C413B9">
            <w:pPr>
              <w:spacing w:after="0" w:line="240" w:lineRule="auto"/>
              <w:contextualSpacing/>
              <w:rPr>
                <w:rFonts w:ascii="Calibri" w:hAnsi="Calibri" w:cs="Calibri"/>
                <w:b/>
                <w:color w:val="666666"/>
              </w:rPr>
            </w:pPr>
            <w:r w:rsidRPr="00C413B9">
              <w:rPr>
                <w:rFonts w:ascii="Calibri" w:hAnsi="Calibri" w:cs="Calibri"/>
                <w:b/>
                <w:color w:val="666666"/>
              </w:rPr>
              <w:t xml:space="preserve">Nauru </w:t>
            </w:r>
          </w:p>
        </w:tc>
        <w:tc>
          <w:tcPr>
            <w:tcW w:w="3420" w:type="dxa"/>
            <w:shd w:val="clear" w:color="auto" w:fill="auto"/>
            <w:tcMar>
              <w:top w:w="100" w:type="dxa"/>
              <w:left w:w="100" w:type="dxa"/>
              <w:bottom w:w="100" w:type="dxa"/>
              <w:right w:w="100" w:type="dxa"/>
            </w:tcMar>
          </w:tcPr>
          <w:p w14:paraId="64E5850C" w14:textId="77777777" w:rsidR="00C413B9" w:rsidRPr="00C413B9" w:rsidRDefault="00C413B9" w:rsidP="00C413B9">
            <w:pPr>
              <w:spacing w:after="0" w:line="240" w:lineRule="auto"/>
              <w:contextualSpacing/>
              <w:rPr>
                <w:rFonts w:ascii="Calibri" w:hAnsi="Calibri" w:cs="Calibri"/>
                <w:b/>
                <w:color w:val="666666"/>
              </w:rPr>
            </w:pPr>
            <w:r w:rsidRPr="00C413B9">
              <w:rPr>
                <w:rFonts w:ascii="Calibri" w:hAnsi="Calibri" w:cs="Calibri"/>
                <w:color w:val="666666"/>
              </w:rPr>
              <w:t>Low*</w:t>
            </w:r>
          </w:p>
        </w:tc>
        <w:tc>
          <w:tcPr>
            <w:tcW w:w="2400" w:type="dxa"/>
            <w:shd w:val="clear" w:color="auto" w:fill="auto"/>
            <w:tcMar>
              <w:top w:w="100" w:type="dxa"/>
              <w:left w:w="100" w:type="dxa"/>
              <w:bottom w:w="100" w:type="dxa"/>
              <w:right w:w="100" w:type="dxa"/>
            </w:tcMar>
          </w:tcPr>
          <w:p w14:paraId="542E0AFB" w14:textId="77777777" w:rsidR="00C413B9" w:rsidRPr="00C413B9" w:rsidRDefault="00C413B9" w:rsidP="00C413B9">
            <w:pPr>
              <w:spacing w:after="0" w:line="240" w:lineRule="auto"/>
              <w:contextualSpacing/>
              <w:rPr>
                <w:rFonts w:ascii="Calibri" w:hAnsi="Calibri" w:cs="Calibri"/>
                <w:color w:val="666666"/>
              </w:rPr>
            </w:pPr>
            <w:r w:rsidRPr="00C413B9">
              <w:rPr>
                <w:rFonts w:ascii="Calibri" w:hAnsi="Calibri" w:cs="Calibri"/>
                <w:color w:val="666666"/>
              </w:rPr>
              <w:t>2017</w:t>
            </w:r>
          </w:p>
        </w:tc>
      </w:tr>
      <w:tr w:rsidR="00C413B9" w:rsidRPr="00C413B9" w14:paraId="2E924299" w14:textId="77777777" w:rsidTr="00DB15C8">
        <w:trPr>
          <w:trHeight w:val="170"/>
        </w:trPr>
        <w:tc>
          <w:tcPr>
            <w:tcW w:w="3540" w:type="dxa"/>
            <w:shd w:val="clear" w:color="auto" w:fill="auto"/>
            <w:tcMar>
              <w:top w:w="100" w:type="dxa"/>
              <w:left w:w="100" w:type="dxa"/>
              <w:bottom w:w="100" w:type="dxa"/>
              <w:right w:w="100" w:type="dxa"/>
            </w:tcMar>
          </w:tcPr>
          <w:p w14:paraId="04167E0E" w14:textId="77777777" w:rsidR="00C413B9" w:rsidRPr="00C413B9" w:rsidRDefault="00C413B9" w:rsidP="00C413B9">
            <w:pPr>
              <w:spacing w:after="0" w:line="240" w:lineRule="auto"/>
              <w:contextualSpacing/>
              <w:rPr>
                <w:rFonts w:ascii="Calibri" w:hAnsi="Calibri" w:cs="Calibri"/>
                <w:b/>
                <w:color w:val="666666"/>
              </w:rPr>
            </w:pPr>
            <w:r w:rsidRPr="00C413B9">
              <w:rPr>
                <w:rFonts w:ascii="Calibri" w:hAnsi="Calibri" w:cs="Calibri"/>
                <w:b/>
                <w:color w:val="666666"/>
              </w:rPr>
              <w:t>Palau</w:t>
            </w:r>
          </w:p>
        </w:tc>
        <w:tc>
          <w:tcPr>
            <w:tcW w:w="3420" w:type="dxa"/>
            <w:shd w:val="clear" w:color="auto" w:fill="auto"/>
            <w:tcMar>
              <w:top w:w="100" w:type="dxa"/>
              <w:left w:w="100" w:type="dxa"/>
              <w:bottom w:w="100" w:type="dxa"/>
              <w:right w:w="100" w:type="dxa"/>
            </w:tcMar>
          </w:tcPr>
          <w:p w14:paraId="6DEE9D20" w14:textId="77777777" w:rsidR="00C413B9" w:rsidRPr="00C413B9" w:rsidRDefault="00C413B9" w:rsidP="00C413B9">
            <w:pPr>
              <w:spacing w:after="0" w:line="240" w:lineRule="auto"/>
              <w:contextualSpacing/>
              <w:rPr>
                <w:rFonts w:ascii="Calibri" w:hAnsi="Calibri" w:cs="Calibri"/>
                <w:b/>
                <w:color w:val="666666"/>
              </w:rPr>
            </w:pPr>
            <w:r w:rsidRPr="00C413B9">
              <w:rPr>
                <w:rFonts w:ascii="Calibri" w:hAnsi="Calibri" w:cs="Calibri"/>
                <w:color w:val="666666"/>
              </w:rPr>
              <w:t>Low*</w:t>
            </w:r>
          </w:p>
        </w:tc>
        <w:tc>
          <w:tcPr>
            <w:tcW w:w="2400" w:type="dxa"/>
            <w:shd w:val="clear" w:color="auto" w:fill="auto"/>
            <w:tcMar>
              <w:top w:w="100" w:type="dxa"/>
              <w:left w:w="100" w:type="dxa"/>
              <w:bottom w:w="100" w:type="dxa"/>
              <w:right w:w="100" w:type="dxa"/>
            </w:tcMar>
          </w:tcPr>
          <w:p w14:paraId="760EBDBF" w14:textId="77777777" w:rsidR="00C413B9" w:rsidRPr="00C413B9" w:rsidRDefault="00C413B9" w:rsidP="00C413B9">
            <w:pPr>
              <w:spacing w:after="0" w:line="240" w:lineRule="auto"/>
              <w:contextualSpacing/>
              <w:rPr>
                <w:rFonts w:ascii="Calibri" w:hAnsi="Calibri" w:cs="Calibri"/>
                <w:color w:val="666666"/>
              </w:rPr>
            </w:pPr>
            <w:r w:rsidRPr="00C413B9">
              <w:rPr>
                <w:rFonts w:ascii="Calibri" w:hAnsi="Calibri" w:cs="Calibri"/>
                <w:color w:val="666666"/>
              </w:rPr>
              <w:t>2016</w:t>
            </w:r>
          </w:p>
        </w:tc>
      </w:tr>
      <w:tr w:rsidR="00C413B9" w:rsidRPr="00C413B9" w14:paraId="785F55A8" w14:textId="77777777" w:rsidTr="00DB15C8">
        <w:trPr>
          <w:trHeight w:val="170"/>
        </w:trPr>
        <w:tc>
          <w:tcPr>
            <w:tcW w:w="3540" w:type="dxa"/>
            <w:shd w:val="clear" w:color="auto" w:fill="auto"/>
            <w:tcMar>
              <w:top w:w="100" w:type="dxa"/>
              <w:left w:w="100" w:type="dxa"/>
              <w:bottom w:w="100" w:type="dxa"/>
              <w:right w:w="100" w:type="dxa"/>
            </w:tcMar>
          </w:tcPr>
          <w:p w14:paraId="3C11A4F3" w14:textId="77777777" w:rsidR="00C413B9" w:rsidRPr="00C413B9" w:rsidRDefault="00C413B9" w:rsidP="00C413B9">
            <w:pPr>
              <w:spacing w:after="0" w:line="240" w:lineRule="auto"/>
              <w:contextualSpacing/>
              <w:rPr>
                <w:rFonts w:ascii="Calibri" w:hAnsi="Calibri" w:cs="Calibri"/>
                <w:b/>
              </w:rPr>
            </w:pPr>
            <w:r w:rsidRPr="00C413B9">
              <w:rPr>
                <w:rFonts w:ascii="Calibri" w:hAnsi="Calibri" w:cs="Calibri"/>
                <w:b/>
              </w:rPr>
              <w:t>Papua New Guinea</w:t>
            </w:r>
          </w:p>
        </w:tc>
        <w:tc>
          <w:tcPr>
            <w:tcW w:w="3420" w:type="dxa"/>
            <w:shd w:val="clear" w:color="auto" w:fill="auto"/>
            <w:tcMar>
              <w:top w:w="100" w:type="dxa"/>
              <w:left w:w="100" w:type="dxa"/>
              <w:bottom w:w="100" w:type="dxa"/>
              <w:right w:w="100" w:type="dxa"/>
            </w:tcMar>
          </w:tcPr>
          <w:p w14:paraId="0BF1CF0E" w14:textId="77777777" w:rsidR="00C413B9" w:rsidRPr="00C413B9" w:rsidRDefault="00C413B9" w:rsidP="00C413B9">
            <w:pPr>
              <w:spacing w:after="0" w:line="240" w:lineRule="auto"/>
              <w:contextualSpacing/>
              <w:rPr>
                <w:rFonts w:ascii="Calibri" w:hAnsi="Calibri" w:cs="Calibri"/>
              </w:rPr>
            </w:pPr>
            <w:r w:rsidRPr="00C413B9">
              <w:rPr>
                <w:rFonts w:ascii="Calibri" w:hAnsi="Calibri" w:cs="Calibri"/>
              </w:rPr>
              <w:t>Moderate</w:t>
            </w:r>
          </w:p>
        </w:tc>
        <w:tc>
          <w:tcPr>
            <w:tcW w:w="2400" w:type="dxa"/>
            <w:shd w:val="clear" w:color="auto" w:fill="auto"/>
            <w:tcMar>
              <w:top w:w="100" w:type="dxa"/>
              <w:left w:w="100" w:type="dxa"/>
              <w:bottom w:w="100" w:type="dxa"/>
              <w:right w:w="100" w:type="dxa"/>
            </w:tcMar>
          </w:tcPr>
          <w:p w14:paraId="56A0F838" w14:textId="77777777" w:rsidR="00C413B9" w:rsidRPr="00C413B9" w:rsidRDefault="00C413B9" w:rsidP="00C413B9">
            <w:pPr>
              <w:spacing w:after="0" w:line="240" w:lineRule="auto"/>
              <w:contextualSpacing/>
              <w:rPr>
                <w:rFonts w:ascii="Calibri" w:hAnsi="Calibri" w:cs="Calibri"/>
              </w:rPr>
            </w:pPr>
            <w:r w:rsidRPr="00C413B9">
              <w:rPr>
                <w:rFonts w:ascii="Calibri" w:hAnsi="Calibri" w:cs="Calibri"/>
              </w:rPr>
              <w:t>2017</w:t>
            </w:r>
          </w:p>
        </w:tc>
      </w:tr>
      <w:tr w:rsidR="00C413B9" w:rsidRPr="00C413B9" w14:paraId="4719FA52" w14:textId="77777777" w:rsidTr="00DB15C8">
        <w:trPr>
          <w:trHeight w:val="170"/>
        </w:trPr>
        <w:tc>
          <w:tcPr>
            <w:tcW w:w="3540" w:type="dxa"/>
            <w:shd w:val="clear" w:color="auto" w:fill="auto"/>
            <w:tcMar>
              <w:top w:w="100" w:type="dxa"/>
              <w:left w:w="100" w:type="dxa"/>
              <w:bottom w:w="100" w:type="dxa"/>
              <w:right w:w="100" w:type="dxa"/>
            </w:tcMar>
          </w:tcPr>
          <w:p w14:paraId="7C65FBA6" w14:textId="77777777" w:rsidR="00C413B9" w:rsidRPr="00C413B9" w:rsidRDefault="00C413B9" w:rsidP="00C413B9">
            <w:pPr>
              <w:spacing w:after="0" w:line="240" w:lineRule="auto"/>
              <w:contextualSpacing/>
              <w:rPr>
                <w:rFonts w:ascii="Calibri" w:hAnsi="Calibri" w:cs="Calibri"/>
                <w:b/>
              </w:rPr>
            </w:pPr>
            <w:r w:rsidRPr="00C413B9">
              <w:rPr>
                <w:rFonts w:ascii="Calibri" w:hAnsi="Calibri" w:cs="Calibri"/>
                <w:b/>
              </w:rPr>
              <w:t>Solomon Islands</w:t>
            </w:r>
          </w:p>
        </w:tc>
        <w:tc>
          <w:tcPr>
            <w:tcW w:w="3420" w:type="dxa"/>
            <w:shd w:val="clear" w:color="auto" w:fill="auto"/>
            <w:tcMar>
              <w:top w:w="100" w:type="dxa"/>
              <w:left w:w="100" w:type="dxa"/>
              <w:bottom w:w="100" w:type="dxa"/>
              <w:right w:w="100" w:type="dxa"/>
            </w:tcMar>
          </w:tcPr>
          <w:p w14:paraId="6F74059D" w14:textId="77777777" w:rsidR="00C413B9" w:rsidRPr="00C413B9" w:rsidRDefault="00C413B9" w:rsidP="00C413B9">
            <w:pPr>
              <w:spacing w:after="0" w:line="240" w:lineRule="auto"/>
              <w:contextualSpacing/>
              <w:rPr>
                <w:rFonts w:ascii="Calibri" w:hAnsi="Calibri" w:cs="Calibri"/>
                <w:b/>
              </w:rPr>
            </w:pPr>
            <w:r w:rsidRPr="00C413B9">
              <w:rPr>
                <w:rFonts w:ascii="Calibri" w:hAnsi="Calibri" w:cs="Calibri"/>
              </w:rPr>
              <w:t>Moderate</w:t>
            </w:r>
          </w:p>
        </w:tc>
        <w:tc>
          <w:tcPr>
            <w:tcW w:w="2400" w:type="dxa"/>
            <w:shd w:val="clear" w:color="auto" w:fill="auto"/>
            <w:tcMar>
              <w:top w:w="100" w:type="dxa"/>
              <w:left w:w="100" w:type="dxa"/>
              <w:bottom w:w="100" w:type="dxa"/>
              <w:right w:w="100" w:type="dxa"/>
            </w:tcMar>
          </w:tcPr>
          <w:p w14:paraId="5108510B" w14:textId="77777777" w:rsidR="00C413B9" w:rsidRPr="00C413B9" w:rsidRDefault="00C413B9" w:rsidP="00C413B9">
            <w:pPr>
              <w:spacing w:after="0" w:line="240" w:lineRule="auto"/>
              <w:contextualSpacing/>
              <w:rPr>
                <w:rFonts w:ascii="Calibri" w:hAnsi="Calibri" w:cs="Calibri"/>
              </w:rPr>
            </w:pPr>
            <w:r w:rsidRPr="00C413B9">
              <w:rPr>
                <w:rFonts w:ascii="Calibri" w:hAnsi="Calibri" w:cs="Calibri"/>
              </w:rPr>
              <w:t>2018</w:t>
            </w:r>
          </w:p>
        </w:tc>
      </w:tr>
      <w:tr w:rsidR="00C413B9" w:rsidRPr="00C413B9" w14:paraId="59A031D4" w14:textId="77777777" w:rsidTr="00DB15C8">
        <w:trPr>
          <w:trHeight w:val="170"/>
        </w:trPr>
        <w:tc>
          <w:tcPr>
            <w:tcW w:w="3540" w:type="dxa"/>
            <w:shd w:val="clear" w:color="auto" w:fill="auto"/>
            <w:tcMar>
              <w:top w:w="100" w:type="dxa"/>
              <w:left w:w="100" w:type="dxa"/>
              <w:bottom w:w="100" w:type="dxa"/>
              <w:right w:w="100" w:type="dxa"/>
            </w:tcMar>
          </w:tcPr>
          <w:p w14:paraId="4AA50823" w14:textId="77777777" w:rsidR="00C413B9" w:rsidRPr="00C413B9" w:rsidRDefault="00C413B9" w:rsidP="00C413B9">
            <w:pPr>
              <w:spacing w:after="0" w:line="240" w:lineRule="auto"/>
              <w:contextualSpacing/>
              <w:rPr>
                <w:rFonts w:ascii="Calibri" w:hAnsi="Calibri" w:cs="Calibri"/>
                <w:b/>
              </w:rPr>
            </w:pPr>
            <w:r w:rsidRPr="00C413B9">
              <w:rPr>
                <w:rFonts w:ascii="Calibri" w:hAnsi="Calibri" w:cs="Calibri"/>
                <w:b/>
              </w:rPr>
              <w:t>Vanuatu</w:t>
            </w:r>
          </w:p>
        </w:tc>
        <w:tc>
          <w:tcPr>
            <w:tcW w:w="3420" w:type="dxa"/>
            <w:shd w:val="clear" w:color="auto" w:fill="auto"/>
            <w:tcMar>
              <w:top w:w="100" w:type="dxa"/>
              <w:left w:w="100" w:type="dxa"/>
              <w:bottom w:w="100" w:type="dxa"/>
              <w:right w:w="100" w:type="dxa"/>
            </w:tcMar>
          </w:tcPr>
          <w:p w14:paraId="3835F338" w14:textId="77777777" w:rsidR="00C413B9" w:rsidRPr="00C413B9" w:rsidRDefault="00C413B9" w:rsidP="00C413B9">
            <w:pPr>
              <w:spacing w:after="0" w:line="240" w:lineRule="auto"/>
              <w:contextualSpacing/>
              <w:rPr>
                <w:rFonts w:ascii="Calibri" w:hAnsi="Calibri" w:cs="Calibri"/>
                <w:b/>
              </w:rPr>
            </w:pPr>
            <w:r w:rsidRPr="00C413B9">
              <w:rPr>
                <w:rFonts w:ascii="Calibri" w:hAnsi="Calibri" w:cs="Calibri"/>
              </w:rPr>
              <w:t>Moderate</w:t>
            </w:r>
          </w:p>
        </w:tc>
        <w:tc>
          <w:tcPr>
            <w:tcW w:w="2400" w:type="dxa"/>
            <w:shd w:val="clear" w:color="auto" w:fill="auto"/>
            <w:tcMar>
              <w:top w:w="100" w:type="dxa"/>
              <w:left w:w="100" w:type="dxa"/>
              <w:bottom w:w="100" w:type="dxa"/>
              <w:right w:w="100" w:type="dxa"/>
            </w:tcMar>
          </w:tcPr>
          <w:p w14:paraId="08C07048" w14:textId="77777777" w:rsidR="00C413B9" w:rsidRPr="00C413B9" w:rsidRDefault="00C413B9" w:rsidP="00C413B9">
            <w:pPr>
              <w:spacing w:after="0" w:line="240" w:lineRule="auto"/>
              <w:contextualSpacing/>
              <w:rPr>
                <w:rFonts w:ascii="Calibri" w:hAnsi="Calibri" w:cs="Calibri"/>
              </w:rPr>
            </w:pPr>
            <w:r w:rsidRPr="00C413B9">
              <w:rPr>
                <w:rFonts w:ascii="Calibri" w:hAnsi="Calibri" w:cs="Calibri"/>
              </w:rPr>
              <w:t>2018</w:t>
            </w:r>
          </w:p>
        </w:tc>
      </w:tr>
      <w:tr w:rsidR="00C413B9" w:rsidRPr="00C413B9" w14:paraId="66E7BA7D" w14:textId="77777777" w:rsidTr="00DB15C8">
        <w:trPr>
          <w:trHeight w:val="170"/>
        </w:trPr>
        <w:tc>
          <w:tcPr>
            <w:tcW w:w="3540" w:type="dxa"/>
            <w:shd w:val="clear" w:color="auto" w:fill="auto"/>
            <w:tcMar>
              <w:top w:w="100" w:type="dxa"/>
              <w:left w:w="100" w:type="dxa"/>
              <w:bottom w:w="100" w:type="dxa"/>
              <w:right w:w="100" w:type="dxa"/>
            </w:tcMar>
          </w:tcPr>
          <w:p w14:paraId="71A46A47" w14:textId="77777777" w:rsidR="00C413B9" w:rsidRPr="00C413B9" w:rsidRDefault="00C413B9" w:rsidP="00C413B9">
            <w:pPr>
              <w:spacing w:after="0" w:line="240" w:lineRule="auto"/>
              <w:contextualSpacing/>
              <w:rPr>
                <w:rFonts w:ascii="Calibri" w:hAnsi="Calibri" w:cs="Calibri"/>
                <w:b/>
              </w:rPr>
            </w:pPr>
            <w:r w:rsidRPr="00C413B9">
              <w:rPr>
                <w:rFonts w:ascii="Calibri" w:hAnsi="Calibri" w:cs="Calibri"/>
                <w:b/>
              </w:rPr>
              <w:t xml:space="preserve">Kiribati </w:t>
            </w:r>
          </w:p>
        </w:tc>
        <w:tc>
          <w:tcPr>
            <w:tcW w:w="3420" w:type="dxa"/>
            <w:shd w:val="clear" w:color="auto" w:fill="auto"/>
            <w:tcMar>
              <w:top w:w="100" w:type="dxa"/>
              <w:left w:w="100" w:type="dxa"/>
              <w:bottom w:w="100" w:type="dxa"/>
              <w:right w:w="100" w:type="dxa"/>
            </w:tcMar>
          </w:tcPr>
          <w:p w14:paraId="4B8E24F2" w14:textId="77777777" w:rsidR="00C413B9" w:rsidRPr="00C413B9" w:rsidRDefault="00C413B9" w:rsidP="00C413B9">
            <w:pPr>
              <w:spacing w:after="0" w:line="240" w:lineRule="auto"/>
              <w:contextualSpacing/>
              <w:rPr>
                <w:rFonts w:ascii="Calibri" w:hAnsi="Calibri" w:cs="Calibri"/>
              </w:rPr>
            </w:pPr>
            <w:r w:rsidRPr="00C413B9">
              <w:rPr>
                <w:rFonts w:ascii="Calibri" w:hAnsi="Calibri" w:cs="Calibri"/>
              </w:rPr>
              <w:t>High</w:t>
            </w:r>
          </w:p>
        </w:tc>
        <w:tc>
          <w:tcPr>
            <w:tcW w:w="2400" w:type="dxa"/>
            <w:shd w:val="clear" w:color="auto" w:fill="auto"/>
            <w:tcMar>
              <w:top w:w="100" w:type="dxa"/>
              <w:left w:w="100" w:type="dxa"/>
              <w:bottom w:w="100" w:type="dxa"/>
              <w:right w:w="100" w:type="dxa"/>
            </w:tcMar>
          </w:tcPr>
          <w:p w14:paraId="272C3B32" w14:textId="77777777" w:rsidR="00C413B9" w:rsidRPr="00C413B9" w:rsidRDefault="00C413B9" w:rsidP="00C413B9">
            <w:pPr>
              <w:spacing w:after="0" w:line="240" w:lineRule="auto"/>
              <w:contextualSpacing/>
              <w:rPr>
                <w:rFonts w:ascii="Calibri" w:hAnsi="Calibri" w:cs="Calibri"/>
              </w:rPr>
            </w:pPr>
            <w:r w:rsidRPr="00C413B9">
              <w:rPr>
                <w:rFonts w:ascii="Calibri" w:hAnsi="Calibri" w:cs="Calibri"/>
              </w:rPr>
              <w:t>2017</w:t>
            </w:r>
          </w:p>
        </w:tc>
      </w:tr>
      <w:tr w:rsidR="00C413B9" w:rsidRPr="00C413B9" w14:paraId="0A52AEE5" w14:textId="77777777" w:rsidTr="00DB15C8">
        <w:trPr>
          <w:trHeight w:val="170"/>
        </w:trPr>
        <w:tc>
          <w:tcPr>
            <w:tcW w:w="3540" w:type="dxa"/>
            <w:shd w:val="clear" w:color="auto" w:fill="auto"/>
            <w:tcMar>
              <w:top w:w="100" w:type="dxa"/>
              <w:left w:w="100" w:type="dxa"/>
              <w:bottom w:w="100" w:type="dxa"/>
              <w:right w:w="100" w:type="dxa"/>
            </w:tcMar>
          </w:tcPr>
          <w:p w14:paraId="62EA38A1" w14:textId="77777777" w:rsidR="00C413B9" w:rsidRPr="00C413B9" w:rsidRDefault="00C413B9" w:rsidP="00C413B9">
            <w:pPr>
              <w:spacing w:after="0" w:line="240" w:lineRule="auto"/>
              <w:contextualSpacing/>
              <w:rPr>
                <w:rFonts w:ascii="Calibri" w:hAnsi="Calibri" w:cs="Calibri"/>
                <w:b/>
              </w:rPr>
            </w:pPr>
            <w:r w:rsidRPr="00C413B9">
              <w:rPr>
                <w:rFonts w:ascii="Calibri" w:hAnsi="Calibri" w:cs="Calibri"/>
                <w:b/>
              </w:rPr>
              <w:t>Marshall Islands</w:t>
            </w:r>
          </w:p>
        </w:tc>
        <w:tc>
          <w:tcPr>
            <w:tcW w:w="3420" w:type="dxa"/>
            <w:shd w:val="clear" w:color="auto" w:fill="auto"/>
            <w:tcMar>
              <w:top w:w="100" w:type="dxa"/>
              <w:left w:w="100" w:type="dxa"/>
              <w:bottom w:w="100" w:type="dxa"/>
              <w:right w:w="100" w:type="dxa"/>
            </w:tcMar>
          </w:tcPr>
          <w:p w14:paraId="4E8B75EB" w14:textId="77777777" w:rsidR="00C413B9" w:rsidRPr="00C413B9" w:rsidRDefault="00C413B9" w:rsidP="00C413B9">
            <w:pPr>
              <w:spacing w:after="0" w:line="240" w:lineRule="auto"/>
              <w:contextualSpacing/>
              <w:rPr>
                <w:rFonts w:ascii="Calibri" w:hAnsi="Calibri" w:cs="Calibri"/>
                <w:b/>
              </w:rPr>
            </w:pPr>
            <w:r w:rsidRPr="00C413B9">
              <w:rPr>
                <w:rFonts w:ascii="Calibri" w:hAnsi="Calibri" w:cs="Calibri"/>
              </w:rPr>
              <w:t>High</w:t>
            </w:r>
          </w:p>
        </w:tc>
        <w:tc>
          <w:tcPr>
            <w:tcW w:w="2400" w:type="dxa"/>
            <w:shd w:val="clear" w:color="auto" w:fill="auto"/>
            <w:tcMar>
              <w:top w:w="100" w:type="dxa"/>
              <w:left w:w="100" w:type="dxa"/>
              <w:bottom w:w="100" w:type="dxa"/>
              <w:right w:w="100" w:type="dxa"/>
            </w:tcMar>
          </w:tcPr>
          <w:p w14:paraId="573794C2" w14:textId="77777777" w:rsidR="00C413B9" w:rsidRPr="00C413B9" w:rsidRDefault="00C413B9" w:rsidP="00C413B9">
            <w:pPr>
              <w:spacing w:after="0" w:line="240" w:lineRule="auto"/>
              <w:contextualSpacing/>
              <w:rPr>
                <w:rFonts w:ascii="Calibri" w:hAnsi="Calibri" w:cs="Calibri"/>
              </w:rPr>
            </w:pPr>
            <w:r w:rsidRPr="00C413B9">
              <w:rPr>
                <w:rFonts w:ascii="Calibri" w:hAnsi="Calibri" w:cs="Calibri"/>
              </w:rPr>
              <w:t>2018</w:t>
            </w:r>
          </w:p>
        </w:tc>
      </w:tr>
      <w:tr w:rsidR="00C413B9" w:rsidRPr="00C413B9" w14:paraId="1F76DBE5" w14:textId="77777777" w:rsidTr="00DB15C8">
        <w:trPr>
          <w:trHeight w:val="170"/>
        </w:trPr>
        <w:tc>
          <w:tcPr>
            <w:tcW w:w="3540" w:type="dxa"/>
            <w:shd w:val="clear" w:color="auto" w:fill="auto"/>
            <w:tcMar>
              <w:top w:w="100" w:type="dxa"/>
              <w:left w:w="100" w:type="dxa"/>
              <w:bottom w:w="100" w:type="dxa"/>
              <w:right w:w="100" w:type="dxa"/>
            </w:tcMar>
          </w:tcPr>
          <w:p w14:paraId="210C478F" w14:textId="77777777" w:rsidR="00C413B9" w:rsidRPr="00C413B9" w:rsidRDefault="00C413B9" w:rsidP="00C413B9">
            <w:pPr>
              <w:spacing w:after="0" w:line="240" w:lineRule="auto"/>
              <w:contextualSpacing/>
              <w:rPr>
                <w:rFonts w:ascii="Calibri" w:hAnsi="Calibri" w:cs="Calibri"/>
                <w:b/>
              </w:rPr>
            </w:pPr>
            <w:r w:rsidRPr="00C413B9">
              <w:rPr>
                <w:rFonts w:ascii="Calibri" w:hAnsi="Calibri" w:cs="Calibri"/>
                <w:b/>
              </w:rPr>
              <w:t>Micronesia</w:t>
            </w:r>
          </w:p>
        </w:tc>
        <w:tc>
          <w:tcPr>
            <w:tcW w:w="3420" w:type="dxa"/>
            <w:shd w:val="clear" w:color="auto" w:fill="auto"/>
            <w:tcMar>
              <w:top w:w="100" w:type="dxa"/>
              <w:left w:w="100" w:type="dxa"/>
              <w:bottom w:w="100" w:type="dxa"/>
              <w:right w:w="100" w:type="dxa"/>
            </w:tcMar>
          </w:tcPr>
          <w:p w14:paraId="6F21ED8C" w14:textId="77777777" w:rsidR="00C413B9" w:rsidRPr="00C413B9" w:rsidRDefault="00C413B9" w:rsidP="00C413B9">
            <w:pPr>
              <w:spacing w:after="0" w:line="240" w:lineRule="auto"/>
              <w:contextualSpacing/>
              <w:rPr>
                <w:rFonts w:ascii="Calibri" w:hAnsi="Calibri" w:cs="Calibri"/>
                <w:b/>
              </w:rPr>
            </w:pPr>
            <w:r w:rsidRPr="00C413B9">
              <w:rPr>
                <w:rFonts w:ascii="Calibri" w:hAnsi="Calibri" w:cs="Calibri"/>
              </w:rPr>
              <w:t>High</w:t>
            </w:r>
          </w:p>
        </w:tc>
        <w:tc>
          <w:tcPr>
            <w:tcW w:w="2400" w:type="dxa"/>
            <w:shd w:val="clear" w:color="auto" w:fill="auto"/>
            <w:tcMar>
              <w:top w:w="100" w:type="dxa"/>
              <w:left w:w="100" w:type="dxa"/>
              <w:bottom w:w="100" w:type="dxa"/>
              <w:right w:w="100" w:type="dxa"/>
            </w:tcMar>
          </w:tcPr>
          <w:p w14:paraId="03A30155" w14:textId="77777777" w:rsidR="00C413B9" w:rsidRPr="00C413B9" w:rsidRDefault="00C413B9" w:rsidP="00C413B9">
            <w:pPr>
              <w:spacing w:after="0" w:line="240" w:lineRule="auto"/>
              <w:contextualSpacing/>
              <w:rPr>
                <w:rFonts w:ascii="Calibri" w:hAnsi="Calibri" w:cs="Calibri"/>
              </w:rPr>
            </w:pPr>
            <w:r w:rsidRPr="00C413B9">
              <w:rPr>
                <w:rFonts w:ascii="Calibri" w:hAnsi="Calibri" w:cs="Calibri"/>
              </w:rPr>
              <w:t>2017</w:t>
            </w:r>
          </w:p>
        </w:tc>
      </w:tr>
      <w:tr w:rsidR="00C413B9" w:rsidRPr="00C413B9" w14:paraId="03B4C894" w14:textId="77777777" w:rsidTr="00DB15C8">
        <w:trPr>
          <w:trHeight w:val="170"/>
        </w:trPr>
        <w:tc>
          <w:tcPr>
            <w:tcW w:w="3540" w:type="dxa"/>
            <w:shd w:val="clear" w:color="auto" w:fill="auto"/>
            <w:tcMar>
              <w:top w:w="100" w:type="dxa"/>
              <w:left w:w="100" w:type="dxa"/>
              <w:bottom w:w="100" w:type="dxa"/>
              <w:right w:w="100" w:type="dxa"/>
            </w:tcMar>
          </w:tcPr>
          <w:p w14:paraId="2DDE94A5" w14:textId="77777777" w:rsidR="00C413B9" w:rsidRPr="00C413B9" w:rsidRDefault="00C413B9" w:rsidP="00C413B9">
            <w:pPr>
              <w:spacing w:after="0" w:line="240" w:lineRule="auto"/>
              <w:contextualSpacing/>
              <w:rPr>
                <w:rFonts w:ascii="Calibri" w:hAnsi="Calibri" w:cs="Calibri"/>
                <w:b/>
              </w:rPr>
            </w:pPr>
            <w:r w:rsidRPr="00C413B9">
              <w:rPr>
                <w:rFonts w:ascii="Calibri" w:hAnsi="Calibri" w:cs="Calibri"/>
                <w:b/>
              </w:rPr>
              <w:t>Samoa</w:t>
            </w:r>
          </w:p>
        </w:tc>
        <w:tc>
          <w:tcPr>
            <w:tcW w:w="3420" w:type="dxa"/>
            <w:shd w:val="clear" w:color="auto" w:fill="auto"/>
            <w:tcMar>
              <w:top w:w="100" w:type="dxa"/>
              <w:left w:w="100" w:type="dxa"/>
              <w:bottom w:w="100" w:type="dxa"/>
              <w:right w:w="100" w:type="dxa"/>
            </w:tcMar>
          </w:tcPr>
          <w:p w14:paraId="4EF9371C" w14:textId="77777777" w:rsidR="00C413B9" w:rsidRPr="00C413B9" w:rsidRDefault="00C413B9" w:rsidP="00C413B9">
            <w:pPr>
              <w:spacing w:after="0" w:line="240" w:lineRule="auto"/>
              <w:contextualSpacing/>
              <w:rPr>
                <w:rFonts w:ascii="Calibri" w:hAnsi="Calibri" w:cs="Calibri"/>
                <w:b/>
              </w:rPr>
            </w:pPr>
            <w:r w:rsidRPr="00C413B9">
              <w:rPr>
                <w:rFonts w:ascii="Calibri" w:hAnsi="Calibri" w:cs="Calibri"/>
              </w:rPr>
              <w:t>High</w:t>
            </w:r>
          </w:p>
        </w:tc>
        <w:tc>
          <w:tcPr>
            <w:tcW w:w="2400" w:type="dxa"/>
            <w:shd w:val="clear" w:color="auto" w:fill="auto"/>
            <w:tcMar>
              <w:top w:w="100" w:type="dxa"/>
              <w:left w:w="100" w:type="dxa"/>
              <w:bottom w:w="100" w:type="dxa"/>
              <w:right w:w="100" w:type="dxa"/>
            </w:tcMar>
          </w:tcPr>
          <w:p w14:paraId="49C41DB7" w14:textId="77777777" w:rsidR="00C413B9" w:rsidRPr="00C413B9" w:rsidRDefault="00C413B9" w:rsidP="00C413B9">
            <w:pPr>
              <w:spacing w:after="0" w:line="240" w:lineRule="auto"/>
              <w:contextualSpacing/>
              <w:rPr>
                <w:rFonts w:ascii="Calibri" w:hAnsi="Calibri" w:cs="Calibri"/>
              </w:rPr>
            </w:pPr>
            <w:r w:rsidRPr="00C413B9">
              <w:rPr>
                <w:rFonts w:ascii="Calibri" w:hAnsi="Calibri" w:cs="Calibri"/>
              </w:rPr>
              <w:t>2018</w:t>
            </w:r>
          </w:p>
        </w:tc>
      </w:tr>
      <w:tr w:rsidR="00C413B9" w:rsidRPr="00C413B9" w14:paraId="550FD76F" w14:textId="77777777" w:rsidTr="00DB15C8">
        <w:trPr>
          <w:trHeight w:val="170"/>
        </w:trPr>
        <w:tc>
          <w:tcPr>
            <w:tcW w:w="3540" w:type="dxa"/>
            <w:shd w:val="clear" w:color="auto" w:fill="auto"/>
            <w:tcMar>
              <w:top w:w="100" w:type="dxa"/>
              <w:left w:w="100" w:type="dxa"/>
              <w:bottom w:w="100" w:type="dxa"/>
              <w:right w:w="100" w:type="dxa"/>
            </w:tcMar>
          </w:tcPr>
          <w:p w14:paraId="497F9A1A" w14:textId="77777777" w:rsidR="00C413B9" w:rsidRPr="00C413B9" w:rsidRDefault="00C413B9" w:rsidP="00C413B9">
            <w:pPr>
              <w:spacing w:after="0" w:line="240" w:lineRule="auto"/>
              <w:contextualSpacing/>
              <w:rPr>
                <w:rFonts w:ascii="Calibri" w:hAnsi="Calibri" w:cs="Calibri"/>
                <w:b/>
              </w:rPr>
            </w:pPr>
            <w:r w:rsidRPr="00C413B9">
              <w:rPr>
                <w:rFonts w:ascii="Calibri" w:hAnsi="Calibri" w:cs="Calibri"/>
                <w:b/>
              </w:rPr>
              <w:t>Tonga</w:t>
            </w:r>
          </w:p>
        </w:tc>
        <w:tc>
          <w:tcPr>
            <w:tcW w:w="3420" w:type="dxa"/>
            <w:shd w:val="clear" w:color="auto" w:fill="auto"/>
            <w:tcMar>
              <w:top w:w="100" w:type="dxa"/>
              <w:left w:w="100" w:type="dxa"/>
              <w:bottom w:w="100" w:type="dxa"/>
              <w:right w:w="100" w:type="dxa"/>
            </w:tcMar>
          </w:tcPr>
          <w:p w14:paraId="3F47A419" w14:textId="77777777" w:rsidR="00C413B9" w:rsidRPr="00C413B9" w:rsidRDefault="00C413B9" w:rsidP="00C413B9">
            <w:pPr>
              <w:spacing w:after="0" w:line="240" w:lineRule="auto"/>
              <w:contextualSpacing/>
              <w:rPr>
                <w:rFonts w:ascii="Calibri" w:hAnsi="Calibri" w:cs="Calibri"/>
                <w:b/>
              </w:rPr>
            </w:pPr>
            <w:r w:rsidRPr="00C413B9">
              <w:rPr>
                <w:rFonts w:ascii="Calibri" w:hAnsi="Calibri" w:cs="Calibri"/>
              </w:rPr>
              <w:t>High</w:t>
            </w:r>
          </w:p>
        </w:tc>
        <w:tc>
          <w:tcPr>
            <w:tcW w:w="2400" w:type="dxa"/>
            <w:shd w:val="clear" w:color="auto" w:fill="auto"/>
            <w:tcMar>
              <w:top w:w="100" w:type="dxa"/>
              <w:left w:w="100" w:type="dxa"/>
              <w:bottom w:w="100" w:type="dxa"/>
              <w:right w:w="100" w:type="dxa"/>
            </w:tcMar>
          </w:tcPr>
          <w:p w14:paraId="3A6F25F4" w14:textId="77777777" w:rsidR="00C413B9" w:rsidRPr="00C413B9" w:rsidRDefault="00C413B9" w:rsidP="00C413B9">
            <w:pPr>
              <w:spacing w:after="0" w:line="240" w:lineRule="auto"/>
              <w:contextualSpacing/>
              <w:rPr>
                <w:rFonts w:ascii="Calibri" w:hAnsi="Calibri" w:cs="Calibri"/>
              </w:rPr>
            </w:pPr>
            <w:r w:rsidRPr="00C413B9">
              <w:rPr>
                <w:rFonts w:ascii="Calibri" w:hAnsi="Calibri" w:cs="Calibri"/>
              </w:rPr>
              <w:t>2018</w:t>
            </w:r>
          </w:p>
        </w:tc>
      </w:tr>
      <w:tr w:rsidR="00C413B9" w:rsidRPr="00C413B9" w14:paraId="42878D31" w14:textId="77777777" w:rsidTr="00DB15C8">
        <w:trPr>
          <w:trHeight w:val="170"/>
        </w:trPr>
        <w:tc>
          <w:tcPr>
            <w:tcW w:w="3540" w:type="dxa"/>
            <w:shd w:val="clear" w:color="auto" w:fill="auto"/>
            <w:tcMar>
              <w:top w:w="100" w:type="dxa"/>
              <w:left w:w="100" w:type="dxa"/>
              <w:bottom w:w="100" w:type="dxa"/>
              <w:right w:w="100" w:type="dxa"/>
            </w:tcMar>
          </w:tcPr>
          <w:p w14:paraId="5BC89656" w14:textId="77777777" w:rsidR="00C413B9" w:rsidRPr="00C413B9" w:rsidRDefault="00C413B9" w:rsidP="00C413B9">
            <w:pPr>
              <w:spacing w:after="0" w:line="240" w:lineRule="auto"/>
              <w:contextualSpacing/>
              <w:rPr>
                <w:rFonts w:ascii="Calibri" w:hAnsi="Calibri" w:cs="Calibri"/>
                <w:b/>
              </w:rPr>
            </w:pPr>
            <w:r w:rsidRPr="00C413B9">
              <w:rPr>
                <w:rFonts w:ascii="Calibri" w:hAnsi="Calibri" w:cs="Calibri"/>
                <w:b/>
              </w:rPr>
              <w:t>Tuvalu</w:t>
            </w:r>
          </w:p>
        </w:tc>
        <w:tc>
          <w:tcPr>
            <w:tcW w:w="3420" w:type="dxa"/>
            <w:shd w:val="clear" w:color="auto" w:fill="auto"/>
            <w:tcMar>
              <w:top w:w="100" w:type="dxa"/>
              <w:left w:w="100" w:type="dxa"/>
              <w:bottom w:w="100" w:type="dxa"/>
              <w:right w:w="100" w:type="dxa"/>
            </w:tcMar>
          </w:tcPr>
          <w:p w14:paraId="393C595A" w14:textId="77777777" w:rsidR="00C413B9" w:rsidRPr="00C413B9" w:rsidRDefault="00C413B9" w:rsidP="00C413B9">
            <w:pPr>
              <w:spacing w:after="0" w:line="240" w:lineRule="auto"/>
              <w:contextualSpacing/>
              <w:rPr>
                <w:rFonts w:ascii="Calibri" w:hAnsi="Calibri" w:cs="Calibri"/>
                <w:b/>
              </w:rPr>
            </w:pPr>
            <w:r w:rsidRPr="00C413B9">
              <w:rPr>
                <w:rFonts w:ascii="Calibri" w:hAnsi="Calibri" w:cs="Calibri"/>
              </w:rPr>
              <w:t>High</w:t>
            </w:r>
          </w:p>
        </w:tc>
        <w:tc>
          <w:tcPr>
            <w:tcW w:w="2400" w:type="dxa"/>
            <w:shd w:val="clear" w:color="auto" w:fill="auto"/>
            <w:tcMar>
              <w:top w:w="100" w:type="dxa"/>
              <w:left w:w="100" w:type="dxa"/>
              <w:bottom w:w="100" w:type="dxa"/>
              <w:right w:w="100" w:type="dxa"/>
            </w:tcMar>
          </w:tcPr>
          <w:p w14:paraId="5B3CB20D" w14:textId="77777777" w:rsidR="00C413B9" w:rsidRPr="00C413B9" w:rsidRDefault="00C413B9" w:rsidP="00C413B9">
            <w:pPr>
              <w:spacing w:after="0" w:line="240" w:lineRule="auto"/>
              <w:contextualSpacing/>
              <w:rPr>
                <w:rFonts w:ascii="Calibri" w:hAnsi="Calibri" w:cs="Calibri"/>
              </w:rPr>
            </w:pPr>
            <w:r w:rsidRPr="00C413B9">
              <w:rPr>
                <w:rFonts w:ascii="Calibri" w:hAnsi="Calibri" w:cs="Calibri"/>
              </w:rPr>
              <w:t>2018</w:t>
            </w:r>
          </w:p>
        </w:tc>
      </w:tr>
      <w:tr w:rsidR="00C413B9" w:rsidRPr="00C413B9" w14:paraId="5D5E1BD8" w14:textId="77777777" w:rsidTr="00DB15C8">
        <w:trPr>
          <w:trHeight w:val="170"/>
        </w:trPr>
        <w:tc>
          <w:tcPr>
            <w:tcW w:w="3540" w:type="dxa"/>
            <w:shd w:val="clear" w:color="auto" w:fill="auto"/>
            <w:tcMar>
              <w:top w:w="100" w:type="dxa"/>
              <w:left w:w="100" w:type="dxa"/>
              <w:bottom w:w="100" w:type="dxa"/>
              <w:right w:w="100" w:type="dxa"/>
            </w:tcMar>
          </w:tcPr>
          <w:p w14:paraId="65405CED" w14:textId="77777777" w:rsidR="00C413B9" w:rsidRPr="00C413B9" w:rsidRDefault="00C413B9" w:rsidP="00C413B9">
            <w:pPr>
              <w:spacing w:after="0" w:line="240" w:lineRule="auto"/>
              <w:contextualSpacing/>
              <w:rPr>
                <w:rFonts w:ascii="Calibri" w:hAnsi="Calibri" w:cs="Calibri"/>
                <w:b/>
              </w:rPr>
            </w:pPr>
            <w:r w:rsidRPr="00C413B9">
              <w:rPr>
                <w:rFonts w:ascii="Calibri" w:hAnsi="Calibri" w:cs="Calibri"/>
                <w:b/>
              </w:rPr>
              <w:t>Niue</w:t>
            </w:r>
          </w:p>
        </w:tc>
        <w:tc>
          <w:tcPr>
            <w:tcW w:w="3420" w:type="dxa"/>
            <w:shd w:val="clear" w:color="auto" w:fill="auto"/>
            <w:tcMar>
              <w:top w:w="100" w:type="dxa"/>
              <w:left w:w="100" w:type="dxa"/>
              <w:bottom w:w="100" w:type="dxa"/>
              <w:right w:w="100" w:type="dxa"/>
            </w:tcMar>
          </w:tcPr>
          <w:p w14:paraId="7139DEEA" w14:textId="7A2FD2F7" w:rsidR="00C413B9" w:rsidRPr="00C413B9" w:rsidRDefault="00C413B9" w:rsidP="00C413B9">
            <w:pPr>
              <w:spacing w:after="0" w:line="240" w:lineRule="auto"/>
              <w:contextualSpacing/>
              <w:rPr>
                <w:rFonts w:ascii="Calibri" w:hAnsi="Calibri" w:cs="Calibri"/>
                <w:i/>
              </w:rPr>
            </w:pPr>
            <w:r w:rsidRPr="00C413B9">
              <w:rPr>
                <w:rFonts w:ascii="Calibri" w:hAnsi="Calibri" w:cs="Calibri"/>
                <w:i/>
              </w:rPr>
              <w:t>Data unavailable</w:t>
            </w:r>
          </w:p>
        </w:tc>
        <w:tc>
          <w:tcPr>
            <w:tcW w:w="2400" w:type="dxa"/>
            <w:shd w:val="clear" w:color="auto" w:fill="auto"/>
            <w:tcMar>
              <w:top w:w="100" w:type="dxa"/>
              <w:left w:w="100" w:type="dxa"/>
              <w:bottom w:w="100" w:type="dxa"/>
              <w:right w:w="100" w:type="dxa"/>
            </w:tcMar>
          </w:tcPr>
          <w:p w14:paraId="5429A9A6" w14:textId="77777777" w:rsidR="00C413B9" w:rsidRPr="00C413B9" w:rsidRDefault="00C413B9" w:rsidP="00C413B9">
            <w:pPr>
              <w:spacing w:after="0" w:line="240" w:lineRule="auto"/>
              <w:contextualSpacing/>
              <w:rPr>
                <w:rFonts w:ascii="Calibri" w:hAnsi="Calibri" w:cs="Calibri"/>
                <w:i/>
                <w:color w:val="980000"/>
              </w:rPr>
            </w:pPr>
          </w:p>
        </w:tc>
      </w:tr>
      <w:tr w:rsidR="00C413B9" w:rsidRPr="00C413B9" w14:paraId="04317A8B" w14:textId="77777777" w:rsidTr="00DB15C8">
        <w:trPr>
          <w:trHeight w:val="170"/>
        </w:trPr>
        <w:tc>
          <w:tcPr>
            <w:tcW w:w="3540" w:type="dxa"/>
            <w:shd w:val="clear" w:color="auto" w:fill="auto"/>
            <w:tcMar>
              <w:top w:w="100" w:type="dxa"/>
              <w:left w:w="100" w:type="dxa"/>
              <w:bottom w:w="100" w:type="dxa"/>
              <w:right w:w="100" w:type="dxa"/>
            </w:tcMar>
          </w:tcPr>
          <w:p w14:paraId="7E5F25CD" w14:textId="77777777" w:rsidR="00C413B9" w:rsidRPr="00C413B9" w:rsidRDefault="00C413B9" w:rsidP="00C413B9">
            <w:pPr>
              <w:spacing w:after="0" w:line="240" w:lineRule="auto"/>
              <w:contextualSpacing/>
              <w:rPr>
                <w:rFonts w:ascii="Calibri" w:hAnsi="Calibri" w:cs="Calibri"/>
                <w:b/>
              </w:rPr>
            </w:pPr>
            <w:r w:rsidRPr="00C413B9">
              <w:rPr>
                <w:rFonts w:ascii="Calibri" w:hAnsi="Calibri" w:cs="Calibri"/>
                <w:b/>
              </w:rPr>
              <w:t>Tokelau</w:t>
            </w:r>
          </w:p>
        </w:tc>
        <w:tc>
          <w:tcPr>
            <w:tcW w:w="3420" w:type="dxa"/>
            <w:shd w:val="clear" w:color="auto" w:fill="auto"/>
            <w:tcMar>
              <w:top w:w="100" w:type="dxa"/>
              <w:left w:w="100" w:type="dxa"/>
              <w:bottom w:w="100" w:type="dxa"/>
              <w:right w:w="100" w:type="dxa"/>
            </w:tcMar>
          </w:tcPr>
          <w:p w14:paraId="233A1EBD" w14:textId="17BD586D" w:rsidR="00C413B9" w:rsidRPr="00C413B9" w:rsidRDefault="00C413B9" w:rsidP="00C413B9">
            <w:pPr>
              <w:spacing w:after="0" w:line="240" w:lineRule="auto"/>
              <w:contextualSpacing/>
              <w:rPr>
                <w:rFonts w:ascii="Calibri" w:hAnsi="Calibri" w:cs="Calibri"/>
                <w:b/>
                <w:i/>
              </w:rPr>
            </w:pPr>
            <w:r w:rsidRPr="00C413B9">
              <w:rPr>
                <w:rFonts w:ascii="Calibri" w:hAnsi="Calibri" w:cs="Calibri"/>
                <w:i/>
              </w:rPr>
              <w:t>Data unavailable</w:t>
            </w:r>
          </w:p>
        </w:tc>
        <w:tc>
          <w:tcPr>
            <w:tcW w:w="2400" w:type="dxa"/>
            <w:shd w:val="clear" w:color="auto" w:fill="auto"/>
            <w:tcMar>
              <w:top w:w="100" w:type="dxa"/>
              <w:left w:w="100" w:type="dxa"/>
              <w:bottom w:w="100" w:type="dxa"/>
              <w:right w:w="100" w:type="dxa"/>
            </w:tcMar>
          </w:tcPr>
          <w:p w14:paraId="07B9F67B" w14:textId="77777777" w:rsidR="00C413B9" w:rsidRPr="00C413B9" w:rsidRDefault="00C413B9" w:rsidP="00C413B9">
            <w:pPr>
              <w:spacing w:after="0" w:line="240" w:lineRule="auto"/>
              <w:contextualSpacing/>
              <w:rPr>
                <w:rFonts w:ascii="Calibri" w:hAnsi="Calibri" w:cs="Calibri"/>
                <w:b/>
                <w:i/>
                <w:color w:val="980000"/>
              </w:rPr>
            </w:pPr>
          </w:p>
        </w:tc>
      </w:tr>
    </w:tbl>
    <w:p w14:paraId="33CBC177" w14:textId="77777777" w:rsidR="00474D54" w:rsidRDefault="00474D54" w:rsidP="00474D54">
      <w:pPr>
        <w:spacing w:after="0" w:line="240" w:lineRule="auto"/>
        <w:contextualSpacing/>
        <w:rPr>
          <w:rFonts w:ascii="Calibri" w:hAnsi="Calibri" w:cs="Calibri"/>
          <w:sz w:val="20"/>
          <w:szCs w:val="20"/>
        </w:rPr>
      </w:pPr>
    </w:p>
    <w:p w14:paraId="4972FFA4" w14:textId="2AC9C241" w:rsidR="00474D54" w:rsidRDefault="00474D54" w:rsidP="00474D54">
      <w:pPr>
        <w:spacing w:after="0" w:line="240" w:lineRule="auto"/>
        <w:contextualSpacing/>
        <w:rPr>
          <w:rFonts w:ascii="Calibri" w:hAnsi="Calibri" w:cs="Calibri"/>
          <w:sz w:val="20"/>
          <w:szCs w:val="20"/>
        </w:rPr>
      </w:pPr>
      <w:r w:rsidRPr="00474D54">
        <w:rPr>
          <w:rFonts w:ascii="Calibri" w:hAnsi="Calibri" w:cs="Calibri"/>
          <w:sz w:val="20"/>
          <w:szCs w:val="20"/>
        </w:rPr>
        <w:t xml:space="preserve">*The IMF Article IV reports for these countries did not state the level of overall debt distress. The source used here is </w:t>
      </w:r>
      <w:proofErr w:type="spellStart"/>
      <w:r w:rsidRPr="00474D54">
        <w:rPr>
          <w:rFonts w:ascii="Calibri" w:hAnsi="Calibri" w:cs="Calibri"/>
          <w:sz w:val="20"/>
          <w:szCs w:val="20"/>
        </w:rPr>
        <w:t>DevPolicy’s</w:t>
      </w:r>
      <w:proofErr w:type="spellEnd"/>
      <w:r w:rsidRPr="00474D54">
        <w:rPr>
          <w:rFonts w:ascii="Calibri" w:hAnsi="Calibri" w:cs="Calibri"/>
          <w:sz w:val="20"/>
          <w:szCs w:val="20"/>
        </w:rPr>
        <w:t xml:space="preserve"> analysis of the IMF data: </w:t>
      </w:r>
      <w:hyperlink r:id="rId54">
        <w:r w:rsidRPr="00474D54">
          <w:rPr>
            <w:rFonts w:ascii="Calibri" w:hAnsi="Calibri" w:cs="Calibri"/>
            <w:sz w:val="20"/>
            <w:szCs w:val="20"/>
            <w:u w:val="single"/>
          </w:rPr>
          <w:t>http://www.devpolicy.org/is-china-engaged-in-debt-trap-diplomacy-20181108/</w:t>
        </w:r>
      </w:hyperlink>
      <w:r w:rsidRPr="00474D54">
        <w:rPr>
          <w:rFonts w:ascii="Calibri" w:hAnsi="Calibri" w:cs="Calibri"/>
          <w:sz w:val="20"/>
          <w:szCs w:val="20"/>
        </w:rPr>
        <w:t xml:space="preserve"> . </w:t>
      </w:r>
    </w:p>
    <w:p w14:paraId="192E1128" w14:textId="77777777" w:rsidR="00474D54" w:rsidRPr="00474D54" w:rsidRDefault="00474D54" w:rsidP="00474D54">
      <w:pPr>
        <w:spacing w:after="0" w:line="240" w:lineRule="auto"/>
        <w:contextualSpacing/>
        <w:rPr>
          <w:rFonts w:ascii="Calibri" w:hAnsi="Calibri" w:cs="Calibri"/>
          <w:sz w:val="20"/>
          <w:szCs w:val="20"/>
        </w:rPr>
      </w:pPr>
    </w:p>
    <w:p w14:paraId="334D84B5" w14:textId="5BC61C1B" w:rsidR="00474D54" w:rsidRPr="00474D54" w:rsidRDefault="00474D54" w:rsidP="00474D54">
      <w:pPr>
        <w:spacing w:after="0" w:line="240" w:lineRule="auto"/>
        <w:contextualSpacing/>
        <w:rPr>
          <w:rFonts w:ascii="Calibri" w:hAnsi="Calibri" w:cs="Calibri"/>
          <w:sz w:val="20"/>
          <w:szCs w:val="20"/>
        </w:rPr>
      </w:pPr>
      <w:r w:rsidRPr="00474D54">
        <w:rPr>
          <w:rFonts w:ascii="Calibri" w:hAnsi="Calibri" w:cs="Calibri"/>
          <w:sz w:val="20"/>
          <w:szCs w:val="20"/>
        </w:rPr>
        <w:t>^Data unavailable for these countries as no IMF Article IV reports are available.</w:t>
      </w:r>
    </w:p>
    <w:p w14:paraId="7936E043" w14:textId="77777777" w:rsidR="00C413B9" w:rsidRPr="00C413B9" w:rsidRDefault="00C413B9" w:rsidP="00C413B9"/>
    <w:p w14:paraId="6AF7A16B" w14:textId="77777777" w:rsidR="00227E3F" w:rsidRDefault="00227E3F">
      <w:r>
        <w:br w:type="page"/>
      </w:r>
    </w:p>
    <w:p w14:paraId="49466C44" w14:textId="7266C099" w:rsidR="00C413B9" w:rsidRPr="00C413B9" w:rsidRDefault="00C413B9" w:rsidP="00C413B9">
      <w:pPr>
        <w:rPr>
          <w:sz w:val="28"/>
          <w:szCs w:val="28"/>
        </w:rPr>
      </w:pPr>
      <w:r w:rsidRPr="00C413B9">
        <w:rPr>
          <w:sz w:val="28"/>
          <w:szCs w:val="28"/>
        </w:rPr>
        <w:lastRenderedPageBreak/>
        <w:t xml:space="preserve">Table </w:t>
      </w:r>
      <w:r w:rsidR="00227E3F" w:rsidRPr="00CA3886">
        <w:rPr>
          <w:sz w:val="28"/>
          <w:szCs w:val="28"/>
        </w:rPr>
        <w:t>2</w:t>
      </w:r>
      <w:r w:rsidRPr="00C413B9">
        <w:rPr>
          <w:sz w:val="28"/>
          <w:szCs w:val="28"/>
        </w:rPr>
        <w:t>—Level of debt distress in the Southeast and East Asia region, by country that receives Australian aid</w:t>
      </w:r>
    </w:p>
    <w:tbl>
      <w:tblPr>
        <w:tblW w:w="9360" w:type="dxa"/>
        <w:tblInd w:w="10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600" w:firstRow="0" w:lastRow="0" w:firstColumn="0" w:lastColumn="0" w:noHBand="1" w:noVBand="1"/>
      </w:tblPr>
      <w:tblGrid>
        <w:gridCol w:w="3540"/>
        <w:gridCol w:w="3420"/>
        <w:gridCol w:w="2400"/>
      </w:tblGrid>
      <w:tr w:rsidR="00C413B9" w:rsidRPr="00C413B9" w14:paraId="059B3126" w14:textId="77777777" w:rsidTr="00B46545">
        <w:trPr>
          <w:tblHeader/>
        </w:trPr>
        <w:tc>
          <w:tcPr>
            <w:tcW w:w="3540" w:type="dxa"/>
            <w:shd w:val="clear" w:color="auto" w:fill="4F81BD"/>
            <w:tcMar>
              <w:top w:w="100" w:type="dxa"/>
              <w:left w:w="100" w:type="dxa"/>
              <w:bottom w:w="100" w:type="dxa"/>
              <w:right w:w="100" w:type="dxa"/>
            </w:tcMar>
          </w:tcPr>
          <w:p w14:paraId="2DB44558" w14:textId="77777777" w:rsidR="00C413B9" w:rsidRPr="00C413B9" w:rsidRDefault="00C413B9" w:rsidP="00C413B9">
            <w:pPr>
              <w:spacing w:after="0" w:line="240" w:lineRule="auto"/>
              <w:contextualSpacing/>
              <w:rPr>
                <w:rFonts w:ascii="Calibri" w:hAnsi="Calibri" w:cs="Calibri"/>
                <w:b/>
                <w:color w:val="FFFFFF"/>
              </w:rPr>
            </w:pPr>
            <w:r w:rsidRPr="00C413B9">
              <w:rPr>
                <w:rFonts w:ascii="Calibri" w:hAnsi="Calibri" w:cs="Calibri"/>
                <w:b/>
                <w:color w:val="FFFFFF"/>
              </w:rPr>
              <w:t>Country</w:t>
            </w:r>
          </w:p>
        </w:tc>
        <w:tc>
          <w:tcPr>
            <w:tcW w:w="3420" w:type="dxa"/>
            <w:shd w:val="clear" w:color="auto" w:fill="4F81BD"/>
            <w:tcMar>
              <w:top w:w="100" w:type="dxa"/>
              <w:left w:w="100" w:type="dxa"/>
              <w:bottom w:w="100" w:type="dxa"/>
              <w:right w:w="100" w:type="dxa"/>
            </w:tcMar>
          </w:tcPr>
          <w:p w14:paraId="77D5163C" w14:textId="77777777" w:rsidR="00C413B9" w:rsidRPr="00C413B9" w:rsidRDefault="00C413B9" w:rsidP="00C413B9">
            <w:pPr>
              <w:spacing w:after="0" w:line="240" w:lineRule="auto"/>
              <w:contextualSpacing/>
              <w:rPr>
                <w:rFonts w:ascii="Calibri" w:hAnsi="Calibri" w:cs="Calibri"/>
                <w:b/>
                <w:color w:val="FFFFFF"/>
              </w:rPr>
            </w:pPr>
            <w:r w:rsidRPr="00C413B9">
              <w:rPr>
                <w:rFonts w:ascii="Calibri" w:hAnsi="Calibri" w:cs="Calibri"/>
                <w:b/>
                <w:color w:val="FFFFFF"/>
              </w:rPr>
              <w:t>Level of debt distress</w:t>
            </w:r>
          </w:p>
        </w:tc>
        <w:tc>
          <w:tcPr>
            <w:tcW w:w="2400" w:type="dxa"/>
            <w:shd w:val="clear" w:color="auto" w:fill="4F81BD"/>
            <w:tcMar>
              <w:top w:w="100" w:type="dxa"/>
              <w:left w:w="100" w:type="dxa"/>
              <w:bottom w:w="100" w:type="dxa"/>
              <w:right w:w="100" w:type="dxa"/>
            </w:tcMar>
          </w:tcPr>
          <w:p w14:paraId="44C2F0C3" w14:textId="77777777" w:rsidR="00C413B9" w:rsidRPr="00C413B9" w:rsidRDefault="00C413B9" w:rsidP="00C413B9">
            <w:pPr>
              <w:spacing w:after="0" w:line="240" w:lineRule="auto"/>
              <w:contextualSpacing/>
              <w:rPr>
                <w:rFonts w:ascii="Calibri" w:hAnsi="Calibri" w:cs="Calibri"/>
                <w:b/>
                <w:color w:val="FFFFFF"/>
              </w:rPr>
            </w:pPr>
            <w:r w:rsidRPr="00C413B9">
              <w:rPr>
                <w:rFonts w:ascii="Calibri" w:hAnsi="Calibri" w:cs="Calibri"/>
                <w:b/>
                <w:color w:val="FFFFFF"/>
              </w:rPr>
              <w:t>Year of assessment</w:t>
            </w:r>
          </w:p>
        </w:tc>
      </w:tr>
      <w:tr w:rsidR="00C413B9" w:rsidRPr="00C413B9" w14:paraId="19A4E469" w14:textId="77777777" w:rsidTr="00DB15C8">
        <w:tc>
          <w:tcPr>
            <w:tcW w:w="3540" w:type="dxa"/>
            <w:shd w:val="clear" w:color="auto" w:fill="auto"/>
            <w:tcMar>
              <w:top w:w="100" w:type="dxa"/>
              <w:left w:w="100" w:type="dxa"/>
              <w:bottom w:w="100" w:type="dxa"/>
              <w:right w:w="100" w:type="dxa"/>
            </w:tcMar>
          </w:tcPr>
          <w:p w14:paraId="2DB93D25" w14:textId="77777777" w:rsidR="00C413B9" w:rsidRPr="00C413B9" w:rsidRDefault="00C413B9" w:rsidP="00C413B9">
            <w:pPr>
              <w:spacing w:after="0" w:line="240" w:lineRule="auto"/>
              <w:contextualSpacing/>
              <w:rPr>
                <w:rFonts w:ascii="Calibri" w:hAnsi="Calibri" w:cs="Calibri"/>
                <w:b/>
              </w:rPr>
            </w:pPr>
            <w:r w:rsidRPr="00C413B9">
              <w:rPr>
                <w:rFonts w:ascii="Calibri" w:hAnsi="Calibri" w:cs="Calibri"/>
                <w:b/>
              </w:rPr>
              <w:t>Cambodia</w:t>
            </w:r>
          </w:p>
        </w:tc>
        <w:tc>
          <w:tcPr>
            <w:tcW w:w="3420" w:type="dxa"/>
            <w:shd w:val="clear" w:color="auto" w:fill="auto"/>
            <w:tcMar>
              <w:top w:w="100" w:type="dxa"/>
              <w:left w:w="100" w:type="dxa"/>
              <w:bottom w:w="100" w:type="dxa"/>
              <w:right w:w="100" w:type="dxa"/>
            </w:tcMar>
          </w:tcPr>
          <w:p w14:paraId="366B9314" w14:textId="77777777" w:rsidR="00C413B9" w:rsidRPr="00C413B9" w:rsidRDefault="00C413B9" w:rsidP="00C413B9">
            <w:pPr>
              <w:spacing w:after="0" w:line="240" w:lineRule="auto"/>
              <w:contextualSpacing/>
              <w:rPr>
                <w:rFonts w:ascii="Calibri" w:hAnsi="Calibri" w:cs="Calibri"/>
                <w:b/>
              </w:rPr>
            </w:pPr>
            <w:r w:rsidRPr="00C413B9">
              <w:rPr>
                <w:rFonts w:ascii="Calibri" w:hAnsi="Calibri" w:cs="Calibri"/>
              </w:rPr>
              <w:t>Low</w:t>
            </w:r>
          </w:p>
        </w:tc>
        <w:tc>
          <w:tcPr>
            <w:tcW w:w="2400" w:type="dxa"/>
            <w:shd w:val="clear" w:color="auto" w:fill="auto"/>
            <w:tcMar>
              <w:top w:w="100" w:type="dxa"/>
              <w:left w:w="100" w:type="dxa"/>
              <w:bottom w:w="100" w:type="dxa"/>
              <w:right w:w="100" w:type="dxa"/>
            </w:tcMar>
          </w:tcPr>
          <w:p w14:paraId="57F6298D" w14:textId="77777777" w:rsidR="00C413B9" w:rsidRPr="00C413B9" w:rsidRDefault="00C413B9" w:rsidP="00C413B9">
            <w:pPr>
              <w:spacing w:after="0" w:line="240" w:lineRule="auto"/>
              <w:contextualSpacing/>
              <w:rPr>
                <w:rFonts w:ascii="Calibri" w:hAnsi="Calibri" w:cs="Calibri"/>
              </w:rPr>
            </w:pPr>
            <w:r w:rsidRPr="00C413B9">
              <w:rPr>
                <w:rFonts w:ascii="Calibri" w:hAnsi="Calibri" w:cs="Calibri"/>
              </w:rPr>
              <w:t>2017</w:t>
            </w:r>
          </w:p>
        </w:tc>
      </w:tr>
      <w:tr w:rsidR="00C413B9" w:rsidRPr="00C413B9" w14:paraId="70867729" w14:textId="77777777" w:rsidTr="00DB15C8">
        <w:tc>
          <w:tcPr>
            <w:tcW w:w="3540" w:type="dxa"/>
            <w:shd w:val="clear" w:color="auto" w:fill="auto"/>
            <w:tcMar>
              <w:top w:w="100" w:type="dxa"/>
              <w:left w:w="100" w:type="dxa"/>
              <w:bottom w:w="100" w:type="dxa"/>
              <w:right w:w="100" w:type="dxa"/>
            </w:tcMar>
          </w:tcPr>
          <w:p w14:paraId="65DB4FFB" w14:textId="77777777" w:rsidR="00C413B9" w:rsidRPr="00C413B9" w:rsidRDefault="00C413B9" w:rsidP="00C413B9">
            <w:pPr>
              <w:spacing w:after="0" w:line="240" w:lineRule="auto"/>
              <w:contextualSpacing/>
              <w:rPr>
                <w:rFonts w:ascii="Calibri" w:hAnsi="Calibri" w:cs="Calibri"/>
                <w:b/>
              </w:rPr>
            </w:pPr>
            <w:r w:rsidRPr="00C413B9">
              <w:rPr>
                <w:rFonts w:ascii="Calibri" w:hAnsi="Calibri" w:cs="Calibri"/>
                <w:b/>
              </w:rPr>
              <w:t>Myanmar</w:t>
            </w:r>
          </w:p>
        </w:tc>
        <w:tc>
          <w:tcPr>
            <w:tcW w:w="3420" w:type="dxa"/>
            <w:shd w:val="clear" w:color="auto" w:fill="auto"/>
            <w:tcMar>
              <w:top w:w="100" w:type="dxa"/>
              <w:left w:w="100" w:type="dxa"/>
              <w:bottom w:w="100" w:type="dxa"/>
              <w:right w:w="100" w:type="dxa"/>
            </w:tcMar>
          </w:tcPr>
          <w:p w14:paraId="29984719" w14:textId="77777777" w:rsidR="00C413B9" w:rsidRPr="00C413B9" w:rsidRDefault="00C413B9" w:rsidP="00C413B9">
            <w:pPr>
              <w:spacing w:after="0" w:line="240" w:lineRule="auto"/>
              <w:contextualSpacing/>
              <w:rPr>
                <w:rFonts w:ascii="Calibri" w:hAnsi="Calibri" w:cs="Calibri"/>
                <w:b/>
              </w:rPr>
            </w:pPr>
            <w:r w:rsidRPr="00C413B9">
              <w:rPr>
                <w:rFonts w:ascii="Calibri" w:hAnsi="Calibri" w:cs="Calibri"/>
              </w:rPr>
              <w:t>Low</w:t>
            </w:r>
          </w:p>
        </w:tc>
        <w:tc>
          <w:tcPr>
            <w:tcW w:w="2400" w:type="dxa"/>
            <w:shd w:val="clear" w:color="auto" w:fill="auto"/>
            <w:tcMar>
              <w:top w:w="100" w:type="dxa"/>
              <w:left w:w="100" w:type="dxa"/>
              <w:bottom w:w="100" w:type="dxa"/>
              <w:right w:w="100" w:type="dxa"/>
            </w:tcMar>
          </w:tcPr>
          <w:p w14:paraId="51EC47AC" w14:textId="77777777" w:rsidR="00C413B9" w:rsidRPr="00C413B9" w:rsidRDefault="00C413B9" w:rsidP="00C413B9">
            <w:pPr>
              <w:spacing w:after="0" w:line="240" w:lineRule="auto"/>
              <w:contextualSpacing/>
              <w:rPr>
                <w:rFonts w:ascii="Calibri" w:hAnsi="Calibri" w:cs="Calibri"/>
              </w:rPr>
            </w:pPr>
            <w:r w:rsidRPr="00C413B9">
              <w:rPr>
                <w:rFonts w:ascii="Calibri" w:hAnsi="Calibri" w:cs="Calibri"/>
              </w:rPr>
              <w:t>2017</w:t>
            </w:r>
          </w:p>
        </w:tc>
      </w:tr>
      <w:tr w:rsidR="00C413B9" w:rsidRPr="00C413B9" w14:paraId="06681EA3" w14:textId="77777777" w:rsidTr="00DB15C8">
        <w:tc>
          <w:tcPr>
            <w:tcW w:w="3540" w:type="dxa"/>
            <w:shd w:val="clear" w:color="auto" w:fill="auto"/>
            <w:tcMar>
              <w:top w:w="100" w:type="dxa"/>
              <w:left w:w="100" w:type="dxa"/>
              <w:bottom w:w="100" w:type="dxa"/>
              <w:right w:w="100" w:type="dxa"/>
            </w:tcMar>
          </w:tcPr>
          <w:p w14:paraId="71964C63" w14:textId="77777777" w:rsidR="00C413B9" w:rsidRPr="00C413B9" w:rsidRDefault="00C413B9" w:rsidP="00C413B9">
            <w:pPr>
              <w:spacing w:after="0" w:line="240" w:lineRule="auto"/>
              <w:contextualSpacing/>
              <w:rPr>
                <w:rFonts w:ascii="Calibri" w:hAnsi="Calibri" w:cs="Calibri"/>
                <w:b/>
              </w:rPr>
            </w:pPr>
            <w:r w:rsidRPr="00C413B9">
              <w:rPr>
                <w:rFonts w:ascii="Calibri" w:hAnsi="Calibri" w:cs="Calibri"/>
                <w:b/>
              </w:rPr>
              <w:t>Vietnam</w:t>
            </w:r>
          </w:p>
        </w:tc>
        <w:tc>
          <w:tcPr>
            <w:tcW w:w="3420" w:type="dxa"/>
            <w:shd w:val="clear" w:color="auto" w:fill="auto"/>
            <w:tcMar>
              <w:top w:w="100" w:type="dxa"/>
              <w:left w:w="100" w:type="dxa"/>
              <w:bottom w:w="100" w:type="dxa"/>
              <w:right w:w="100" w:type="dxa"/>
            </w:tcMar>
          </w:tcPr>
          <w:p w14:paraId="2DFD72C5" w14:textId="77777777" w:rsidR="00C413B9" w:rsidRPr="00C413B9" w:rsidRDefault="00C413B9" w:rsidP="00C413B9">
            <w:pPr>
              <w:spacing w:after="0" w:line="240" w:lineRule="auto"/>
              <w:contextualSpacing/>
              <w:rPr>
                <w:rFonts w:ascii="Calibri" w:hAnsi="Calibri" w:cs="Calibri"/>
                <w:b/>
              </w:rPr>
            </w:pPr>
            <w:r w:rsidRPr="00C413B9">
              <w:rPr>
                <w:rFonts w:ascii="Calibri" w:hAnsi="Calibri" w:cs="Calibri"/>
              </w:rPr>
              <w:t>Low to Moderate</w:t>
            </w:r>
          </w:p>
        </w:tc>
        <w:tc>
          <w:tcPr>
            <w:tcW w:w="2400" w:type="dxa"/>
            <w:shd w:val="clear" w:color="auto" w:fill="auto"/>
            <w:tcMar>
              <w:top w:w="100" w:type="dxa"/>
              <w:left w:w="100" w:type="dxa"/>
              <w:bottom w:w="100" w:type="dxa"/>
              <w:right w:w="100" w:type="dxa"/>
            </w:tcMar>
          </w:tcPr>
          <w:p w14:paraId="6F28AC55" w14:textId="77777777" w:rsidR="00C413B9" w:rsidRPr="00C413B9" w:rsidRDefault="00C413B9" w:rsidP="00C413B9">
            <w:pPr>
              <w:spacing w:after="0" w:line="240" w:lineRule="auto"/>
              <w:contextualSpacing/>
              <w:rPr>
                <w:rFonts w:ascii="Calibri" w:hAnsi="Calibri" w:cs="Calibri"/>
              </w:rPr>
            </w:pPr>
            <w:r w:rsidRPr="00C413B9">
              <w:rPr>
                <w:rFonts w:ascii="Calibri" w:hAnsi="Calibri" w:cs="Calibri"/>
              </w:rPr>
              <w:t>2018</w:t>
            </w:r>
          </w:p>
        </w:tc>
      </w:tr>
      <w:tr w:rsidR="00C413B9" w:rsidRPr="00C413B9" w14:paraId="525202FE" w14:textId="77777777" w:rsidTr="00DB15C8">
        <w:tc>
          <w:tcPr>
            <w:tcW w:w="3540" w:type="dxa"/>
            <w:shd w:val="clear" w:color="auto" w:fill="auto"/>
            <w:tcMar>
              <w:top w:w="100" w:type="dxa"/>
              <w:left w:w="100" w:type="dxa"/>
              <w:bottom w:w="100" w:type="dxa"/>
              <w:right w:w="100" w:type="dxa"/>
            </w:tcMar>
          </w:tcPr>
          <w:p w14:paraId="636BFA1A" w14:textId="77777777" w:rsidR="00C413B9" w:rsidRPr="00C413B9" w:rsidRDefault="00C413B9" w:rsidP="00C413B9">
            <w:pPr>
              <w:spacing w:after="0" w:line="240" w:lineRule="auto"/>
              <w:contextualSpacing/>
              <w:rPr>
                <w:rFonts w:ascii="Calibri" w:hAnsi="Calibri" w:cs="Calibri"/>
                <w:b/>
              </w:rPr>
            </w:pPr>
            <w:r w:rsidRPr="00C413B9">
              <w:rPr>
                <w:rFonts w:ascii="Calibri" w:hAnsi="Calibri" w:cs="Calibri"/>
                <w:b/>
              </w:rPr>
              <w:t xml:space="preserve">Timor </w:t>
            </w:r>
            <w:proofErr w:type="spellStart"/>
            <w:r w:rsidRPr="00C413B9">
              <w:rPr>
                <w:rFonts w:ascii="Calibri" w:hAnsi="Calibri" w:cs="Calibri"/>
                <w:b/>
              </w:rPr>
              <w:t>Leste</w:t>
            </w:r>
            <w:proofErr w:type="spellEnd"/>
          </w:p>
        </w:tc>
        <w:tc>
          <w:tcPr>
            <w:tcW w:w="3420" w:type="dxa"/>
            <w:shd w:val="clear" w:color="auto" w:fill="auto"/>
            <w:tcMar>
              <w:top w:w="100" w:type="dxa"/>
              <w:left w:w="100" w:type="dxa"/>
              <w:bottom w:w="100" w:type="dxa"/>
              <w:right w:w="100" w:type="dxa"/>
            </w:tcMar>
          </w:tcPr>
          <w:p w14:paraId="40669BB3" w14:textId="77777777" w:rsidR="00C413B9" w:rsidRPr="00C413B9" w:rsidRDefault="00C413B9" w:rsidP="00C413B9">
            <w:pPr>
              <w:spacing w:after="0" w:line="240" w:lineRule="auto"/>
              <w:contextualSpacing/>
              <w:rPr>
                <w:rFonts w:ascii="Calibri" w:hAnsi="Calibri" w:cs="Calibri"/>
              </w:rPr>
            </w:pPr>
            <w:r w:rsidRPr="00C413B9">
              <w:rPr>
                <w:rFonts w:ascii="Calibri" w:hAnsi="Calibri" w:cs="Calibri"/>
              </w:rPr>
              <w:t>Moderate</w:t>
            </w:r>
          </w:p>
        </w:tc>
        <w:tc>
          <w:tcPr>
            <w:tcW w:w="2400" w:type="dxa"/>
            <w:shd w:val="clear" w:color="auto" w:fill="auto"/>
            <w:tcMar>
              <w:top w:w="100" w:type="dxa"/>
              <w:left w:w="100" w:type="dxa"/>
              <w:bottom w:w="100" w:type="dxa"/>
              <w:right w:w="100" w:type="dxa"/>
            </w:tcMar>
          </w:tcPr>
          <w:p w14:paraId="3B6FFD37" w14:textId="77777777" w:rsidR="00C413B9" w:rsidRPr="00C413B9" w:rsidRDefault="00C413B9" w:rsidP="00C413B9">
            <w:pPr>
              <w:spacing w:after="0" w:line="240" w:lineRule="auto"/>
              <w:contextualSpacing/>
              <w:rPr>
                <w:rFonts w:ascii="Calibri" w:hAnsi="Calibri" w:cs="Calibri"/>
              </w:rPr>
            </w:pPr>
            <w:r w:rsidRPr="00C413B9">
              <w:rPr>
                <w:rFonts w:ascii="Calibri" w:hAnsi="Calibri" w:cs="Calibri"/>
              </w:rPr>
              <w:t>2017</w:t>
            </w:r>
          </w:p>
        </w:tc>
      </w:tr>
      <w:tr w:rsidR="00C413B9" w:rsidRPr="00C413B9" w14:paraId="4713DDD8" w14:textId="77777777" w:rsidTr="00DB15C8">
        <w:tc>
          <w:tcPr>
            <w:tcW w:w="3540" w:type="dxa"/>
            <w:shd w:val="clear" w:color="auto" w:fill="auto"/>
            <w:tcMar>
              <w:top w:w="100" w:type="dxa"/>
              <w:left w:w="100" w:type="dxa"/>
              <w:bottom w:w="100" w:type="dxa"/>
              <w:right w:w="100" w:type="dxa"/>
            </w:tcMar>
          </w:tcPr>
          <w:p w14:paraId="2F49A636" w14:textId="77777777" w:rsidR="00C413B9" w:rsidRPr="00C413B9" w:rsidRDefault="00C413B9" w:rsidP="00C413B9">
            <w:pPr>
              <w:spacing w:after="0" w:line="240" w:lineRule="auto"/>
              <w:contextualSpacing/>
              <w:rPr>
                <w:rFonts w:ascii="Calibri" w:hAnsi="Calibri" w:cs="Calibri"/>
                <w:b/>
              </w:rPr>
            </w:pPr>
            <w:r w:rsidRPr="00C413B9">
              <w:rPr>
                <w:rFonts w:ascii="Calibri" w:hAnsi="Calibri" w:cs="Calibri"/>
                <w:b/>
              </w:rPr>
              <w:t>Laos</w:t>
            </w:r>
          </w:p>
        </w:tc>
        <w:tc>
          <w:tcPr>
            <w:tcW w:w="3420" w:type="dxa"/>
            <w:shd w:val="clear" w:color="auto" w:fill="auto"/>
            <w:tcMar>
              <w:top w:w="100" w:type="dxa"/>
              <w:left w:w="100" w:type="dxa"/>
              <w:bottom w:w="100" w:type="dxa"/>
              <w:right w:w="100" w:type="dxa"/>
            </w:tcMar>
          </w:tcPr>
          <w:p w14:paraId="377A3A96" w14:textId="77777777" w:rsidR="00C413B9" w:rsidRPr="00C413B9" w:rsidRDefault="00C413B9" w:rsidP="00C413B9">
            <w:pPr>
              <w:spacing w:after="0" w:line="240" w:lineRule="auto"/>
              <w:contextualSpacing/>
              <w:rPr>
                <w:rFonts w:ascii="Calibri" w:hAnsi="Calibri" w:cs="Calibri"/>
                <w:b/>
              </w:rPr>
            </w:pPr>
            <w:r w:rsidRPr="00C413B9">
              <w:rPr>
                <w:rFonts w:ascii="Calibri" w:hAnsi="Calibri" w:cs="Calibri"/>
              </w:rPr>
              <w:t>High</w:t>
            </w:r>
          </w:p>
        </w:tc>
        <w:tc>
          <w:tcPr>
            <w:tcW w:w="2400" w:type="dxa"/>
            <w:shd w:val="clear" w:color="auto" w:fill="auto"/>
            <w:tcMar>
              <w:top w:w="100" w:type="dxa"/>
              <w:left w:w="100" w:type="dxa"/>
              <w:bottom w:w="100" w:type="dxa"/>
              <w:right w:w="100" w:type="dxa"/>
            </w:tcMar>
          </w:tcPr>
          <w:p w14:paraId="67266594" w14:textId="77777777" w:rsidR="00C413B9" w:rsidRPr="00C413B9" w:rsidRDefault="00C413B9" w:rsidP="00C413B9">
            <w:pPr>
              <w:spacing w:after="0" w:line="240" w:lineRule="auto"/>
              <w:contextualSpacing/>
              <w:rPr>
                <w:rFonts w:ascii="Calibri" w:hAnsi="Calibri" w:cs="Calibri"/>
              </w:rPr>
            </w:pPr>
            <w:r w:rsidRPr="00C413B9">
              <w:rPr>
                <w:rFonts w:ascii="Calibri" w:hAnsi="Calibri" w:cs="Calibri"/>
              </w:rPr>
              <w:t>2017</w:t>
            </w:r>
          </w:p>
        </w:tc>
      </w:tr>
      <w:tr w:rsidR="00C413B9" w:rsidRPr="00C413B9" w14:paraId="5DD680A1" w14:textId="77777777" w:rsidTr="00DB15C8">
        <w:tc>
          <w:tcPr>
            <w:tcW w:w="3540" w:type="dxa"/>
            <w:shd w:val="clear" w:color="auto" w:fill="auto"/>
            <w:tcMar>
              <w:top w:w="100" w:type="dxa"/>
              <w:left w:w="100" w:type="dxa"/>
              <w:bottom w:w="100" w:type="dxa"/>
              <w:right w:w="100" w:type="dxa"/>
            </w:tcMar>
          </w:tcPr>
          <w:p w14:paraId="603283B4" w14:textId="77777777" w:rsidR="00C413B9" w:rsidRPr="00C413B9" w:rsidRDefault="00C413B9" w:rsidP="00C413B9">
            <w:pPr>
              <w:spacing w:after="0" w:line="240" w:lineRule="auto"/>
              <w:contextualSpacing/>
              <w:rPr>
                <w:rFonts w:ascii="Calibri" w:hAnsi="Calibri" w:cs="Calibri"/>
                <w:b/>
              </w:rPr>
            </w:pPr>
            <w:r w:rsidRPr="00C413B9">
              <w:rPr>
                <w:rFonts w:ascii="Calibri" w:hAnsi="Calibri" w:cs="Calibri"/>
                <w:b/>
              </w:rPr>
              <w:t>Indonesia</w:t>
            </w:r>
          </w:p>
        </w:tc>
        <w:tc>
          <w:tcPr>
            <w:tcW w:w="3420" w:type="dxa"/>
            <w:shd w:val="clear" w:color="auto" w:fill="auto"/>
            <w:tcMar>
              <w:top w:w="100" w:type="dxa"/>
              <w:left w:w="100" w:type="dxa"/>
              <w:bottom w:w="100" w:type="dxa"/>
              <w:right w:w="100" w:type="dxa"/>
            </w:tcMar>
          </w:tcPr>
          <w:p w14:paraId="0CF3813C" w14:textId="77777777" w:rsidR="00C413B9" w:rsidRPr="00C413B9" w:rsidRDefault="00C413B9" w:rsidP="00C413B9">
            <w:pPr>
              <w:spacing w:after="0" w:line="240" w:lineRule="auto"/>
              <w:contextualSpacing/>
              <w:rPr>
                <w:rFonts w:ascii="Calibri" w:hAnsi="Calibri" w:cs="Calibri"/>
              </w:rPr>
            </w:pPr>
            <w:r w:rsidRPr="00C413B9">
              <w:rPr>
                <w:rFonts w:ascii="Calibri" w:hAnsi="Calibri" w:cs="Calibri"/>
              </w:rPr>
              <w:t>Unstated*</w:t>
            </w:r>
          </w:p>
        </w:tc>
        <w:tc>
          <w:tcPr>
            <w:tcW w:w="2400" w:type="dxa"/>
            <w:shd w:val="clear" w:color="auto" w:fill="auto"/>
            <w:tcMar>
              <w:top w:w="100" w:type="dxa"/>
              <w:left w:w="100" w:type="dxa"/>
              <w:bottom w:w="100" w:type="dxa"/>
              <w:right w:w="100" w:type="dxa"/>
            </w:tcMar>
          </w:tcPr>
          <w:p w14:paraId="74B1A366" w14:textId="77777777" w:rsidR="00C413B9" w:rsidRPr="00C413B9" w:rsidRDefault="00C413B9" w:rsidP="00C413B9">
            <w:pPr>
              <w:spacing w:after="0" w:line="240" w:lineRule="auto"/>
              <w:contextualSpacing/>
              <w:rPr>
                <w:rFonts w:ascii="Calibri" w:hAnsi="Calibri" w:cs="Calibri"/>
              </w:rPr>
            </w:pPr>
            <w:r w:rsidRPr="00C413B9">
              <w:rPr>
                <w:rFonts w:ascii="Calibri" w:hAnsi="Calibri" w:cs="Calibri"/>
              </w:rPr>
              <w:t>2017</w:t>
            </w:r>
          </w:p>
        </w:tc>
      </w:tr>
      <w:tr w:rsidR="00C413B9" w:rsidRPr="00C413B9" w14:paraId="0471C76F" w14:textId="77777777" w:rsidTr="00DB15C8">
        <w:tc>
          <w:tcPr>
            <w:tcW w:w="3540" w:type="dxa"/>
            <w:shd w:val="clear" w:color="auto" w:fill="auto"/>
            <w:tcMar>
              <w:top w:w="100" w:type="dxa"/>
              <w:left w:w="100" w:type="dxa"/>
              <w:bottom w:w="100" w:type="dxa"/>
              <w:right w:w="100" w:type="dxa"/>
            </w:tcMar>
          </w:tcPr>
          <w:p w14:paraId="09119501" w14:textId="77777777" w:rsidR="00C413B9" w:rsidRPr="00C413B9" w:rsidRDefault="00C413B9" w:rsidP="00C413B9">
            <w:pPr>
              <w:spacing w:after="0" w:line="240" w:lineRule="auto"/>
              <w:contextualSpacing/>
              <w:rPr>
                <w:rFonts w:ascii="Calibri" w:hAnsi="Calibri" w:cs="Calibri"/>
                <w:b/>
              </w:rPr>
            </w:pPr>
            <w:r w:rsidRPr="00C413B9">
              <w:rPr>
                <w:rFonts w:ascii="Calibri" w:hAnsi="Calibri" w:cs="Calibri"/>
                <w:b/>
              </w:rPr>
              <w:t>Mongolia</w:t>
            </w:r>
          </w:p>
        </w:tc>
        <w:tc>
          <w:tcPr>
            <w:tcW w:w="3420" w:type="dxa"/>
            <w:shd w:val="clear" w:color="auto" w:fill="auto"/>
            <w:tcMar>
              <w:top w:w="100" w:type="dxa"/>
              <w:left w:w="100" w:type="dxa"/>
              <w:bottom w:w="100" w:type="dxa"/>
              <w:right w:w="100" w:type="dxa"/>
            </w:tcMar>
          </w:tcPr>
          <w:p w14:paraId="028E0C27" w14:textId="77777777" w:rsidR="00C413B9" w:rsidRPr="00C413B9" w:rsidRDefault="00C413B9" w:rsidP="00C413B9">
            <w:pPr>
              <w:spacing w:after="0" w:line="240" w:lineRule="auto"/>
              <w:contextualSpacing/>
              <w:rPr>
                <w:rFonts w:ascii="Calibri" w:hAnsi="Calibri" w:cs="Calibri"/>
                <w:b/>
              </w:rPr>
            </w:pPr>
            <w:r w:rsidRPr="00C413B9">
              <w:rPr>
                <w:rFonts w:ascii="Calibri" w:hAnsi="Calibri" w:cs="Calibri"/>
              </w:rPr>
              <w:t>Unstated*</w:t>
            </w:r>
          </w:p>
        </w:tc>
        <w:tc>
          <w:tcPr>
            <w:tcW w:w="2400" w:type="dxa"/>
            <w:shd w:val="clear" w:color="auto" w:fill="auto"/>
            <w:tcMar>
              <w:top w:w="100" w:type="dxa"/>
              <w:left w:w="100" w:type="dxa"/>
              <w:bottom w:w="100" w:type="dxa"/>
              <w:right w:w="100" w:type="dxa"/>
            </w:tcMar>
          </w:tcPr>
          <w:p w14:paraId="1E74DDE8" w14:textId="77777777" w:rsidR="00C413B9" w:rsidRPr="00C413B9" w:rsidRDefault="00C413B9" w:rsidP="00C413B9">
            <w:pPr>
              <w:spacing w:after="0" w:line="240" w:lineRule="auto"/>
              <w:contextualSpacing/>
              <w:rPr>
                <w:rFonts w:ascii="Calibri" w:hAnsi="Calibri" w:cs="Calibri"/>
              </w:rPr>
            </w:pPr>
            <w:r w:rsidRPr="00C413B9">
              <w:rPr>
                <w:rFonts w:ascii="Calibri" w:hAnsi="Calibri" w:cs="Calibri"/>
              </w:rPr>
              <w:t>2018</w:t>
            </w:r>
          </w:p>
        </w:tc>
      </w:tr>
      <w:tr w:rsidR="00C413B9" w:rsidRPr="00C413B9" w14:paraId="716FC92B" w14:textId="77777777" w:rsidTr="00DB15C8">
        <w:tc>
          <w:tcPr>
            <w:tcW w:w="3540" w:type="dxa"/>
            <w:shd w:val="clear" w:color="auto" w:fill="auto"/>
            <w:tcMar>
              <w:top w:w="100" w:type="dxa"/>
              <w:left w:w="100" w:type="dxa"/>
              <w:bottom w:w="100" w:type="dxa"/>
              <w:right w:w="100" w:type="dxa"/>
            </w:tcMar>
          </w:tcPr>
          <w:p w14:paraId="1BFC8FA5" w14:textId="77777777" w:rsidR="00C413B9" w:rsidRPr="00C413B9" w:rsidRDefault="00C413B9" w:rsidP="00C413B9">
            <w:pPr>
              <w:spacing w:after="0" w:line="240" w:lineRule="auto"/>
              <w:contextualSpacing/>
              <w:rPr>
                <w:rFonts w:ascii="Calibri" w:hAnsi="Calibri" w:cs="Calibri"/>
                <w:b/>
              </w:rPr>
            </w:pPr>
            <w:r w:rsidRPr="00C413B9">
              <w:rPr>
                <w:rFonts w:ascii="Calibri" w:hAnsi="Calibri" w:cs="Calibri"/>
                <w:b/>
              </w:rPr>
              <w:t>Philippines</w:t>
            </w:r>
          </w:p>
        </w:tc>
        <w:tc>
          <w:tcPr>
            <w:tcW w:w="3420" w:type="dxa"/>
            <w:shd w:val="clear" w:color="auto" w:fill="auto"/>
            <w:tcMar>
              <w:top w:w="100" w:type="dxa"/>
              <w:left w:w="100" w:type="dxa"/>
              <w:bottom w:w="100" w:type="dxa"/>
              <w:right w:w="100" w:type="dxa"/>
            </w:tcMar>
          </w:tcPr>
          <w:p w14:paraId="431F67C3" w14:textId="77777777" w:rsidR="00C413B9" w:rsidRPr="00C413B9" w:rsidRDefault="00C413B9" w:rsidP="00C413B9">
            <w:pPr>
              <w:spacing w:after="0" w:line="240" w:lineRule="auto"/>
              <w:contextualSpacing/>
              <w:rPr>
                <w:rFonts w:ascii="Calibri" w:hAnsi="Calibri" w:cs="Calibri"/>
              </w:rPr>
            </w:pPr>
            <w:r w:rsidRPr="00C413B9">
              <w:rPr>
                <w:rFonts w:ascii="Calibri" w:hAnsi="Calibri" w:cs="Calibri"/>
              </w:rPr>
              <w:t>Unstated*</w:t>
            </w:r>
          </w:p>
        </w:tc>
        <w:tc>
          <w:tcPr>
            <w:tcW w:w="2400" w:type="dxa"/>
            <w:shd w:val="clear" w:color="auto" w:fill="auto"/>
            <w:tcMar>
              <w:top w:w="100" w:type="dxa"/>
              <w:left w:w="100" w:type="dxa"/>
              <w:bottom w:w="100" w:type="dxa"/>
              <w:right w:w="100" w:type="dxa"/>
            </w:tcMar>
          </w:tcPr>
          <w:p w14:paraId="26DC6DDF" w14:textId="77777777" w:rsidR="00C413B9" w:rsidRPr="00C413B9" w:rsidRDefault="00C413B9" w:rsidP="00C413B9">
            <w:pPr>
              <w:spacing w:after="0" w:line="240" w:lineRule="auto"/>
              <w:contextualSpacing/>
              <w:rPr>
                <w:rFonts w:ascii="Calibri" w:hAnsi="Calibri" w:cs="Calibri"/>
              </w:rPr>
            </w:pPr>
            <w:r w:rsidRPr="00C413B9">
              <w:rPr>
                <w:rFonts w:ascii="Calibri" w:hAnsi="Calibri" w:cs="Calibri"/>
              </w:rPr>
              <w:t>2018</w:t>
            </w:r>
          </w:p>
        </w:tc>
      </w:tr>
    </w:tbl>
    <w:p w14:paraId="2E553D64" w14:textId="77777777" w:rsidR="00474D54" w:rsidRDefault="00474D54" w:rsidP="00B30702">
      <w:pPr>
        <w:pStyle w:val="NoSpacing"/>
        <w:contextualSpacing/>
        <w:rPr>
          <w:rFonts w:ascii="Calibri" w:hAnsi="Calibri" w:cs="Calibri"/>
          <w:sz w:val="20"/>
          <w:szCs w:val="20"/>
        </w:rPr>
      </w:pPr>
    </w:p>
    <w:p w14:paraId="150D5CDC" w14:textId="1754E155" w:rsidR="00B30702" w:rsidRPr="00B30702" w:rsidRDefault="00B30702" w:rsidP="00B30702">
      <w:pPr>
        <w:pStyle w:val="NoSpacing"/>
        <w:contextualSpacing/>
        <w:rPr>
          <w:rFonts w:ascii="Calibri" w:hAnsi="Calibri" w:cs="Calibri"/>
          <w:sz w:val="20"/>
          <w:szCs w:val="20"/>
        </w:rPr>
      </w:pPr>
      <w:r w:rsidRPr="00B30702">
        <w:rPr>
          <w:rFonts w:ascii="Calibri" w:hAnsi="Calibri" w:cs="Calibri"/>
          <w:sz w:val="20"/>
          <w:szCs w:val="20"/>
        </w:rPr>
        <w:t>*The IMF Article IV reports for these countries did not state the level of overall debt distress. For Philippines, government reliance on external financing is a ‘moderate risk’.  For Mongolia, the most recent report (2015) that specifies debt distress characterizes the risk as moderate.</w:t>
      </w:r>
    </w:p>
    <w:p w14:paraId="3033E48C" w14:textId="77777777" w:rsidR="00227E3F" w:rsidRDefault="00227E3F" w:rsidP="00C413B9"/>
    <w:p w14:paraId="40494935" w14:textId="77777777" w:rsidR="00227E3F" w:rsidRDefault="00227E3F" w:rsidP="00C413B9"/>
    <w:p w14:paraId="6885698F" w14:textId="13B0D493" w:rsidR="00C413B9" w:rsidRPr="00C413B9" w:rsidRDefault="00C413B9" w:rsidP="00C413B9">
      <w:pPr>
        <w:rPr>
          <w:sz w:val="28"/>
          <w:szCs w:val="28"/>
        </w:rPr>
      </w:pPr>
      <w:r w:rsidRPr="00C413B9">
        <w:rPr>
          <w:sz w:val="28"/>
          <w:szCs w:val="28"/>
        </w:rPr>
        <w:t xml:space="preserve">Table </w:t>
      </w:r>
      <w:r w:rsidR="00227E3F" w:rsidRPr="00CA3886">
        <w:rPr>
          <w:sz w:val="28"/>
          <w:szCs w:val="28"/>
        </w:rPr>
        <w:t>3</w:t>
      </w:r>
      <w:r w:rsidRPr="00C413B9">
        <w:rPr>
          <w:sz w:val="28"/>
          <w:szCs w:val="28"/>
        </w:rPr>
        <w:t>—Level of debt distress in the South and West Asia region, by country that receives Australian aid</w:t>
      </w:r>
    </w:p>
    <w:tbl>
      <w:tblPr>
        <w:tblW w:w="9360" w:type="dxa"/>
        <w:tblInd w:w="10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600" w:firstRow="0" w:lastRow="0" w:firstColumn="0" w:lastColumn="0" w:noHBand="1" w:noVBand="1"/>
      </w:tblPr>
      <w:tblGrid>
        <w:gridCol w:w="3540"/>
        <w:gridCol w:w="3420"/>
        <w:gridCol w:w="2400"/>
      </w:tblGrid>
      <w:tr w:rsidR="00C413B9" w:rsidRPr="00C413B9" w14:paraId="255CEE21" w14:textId="77777777" w:rsidTr="00B46545">
        <w:trPr>
          <w:tblHeader/>
        </w:trPr>
        <w:tc>
          <w:tcPr>
            <w:tcW w:w="3540" w:type="dxa"/>
            <w:shd w:val="clear" w:color="auto" w:fill="4F81BD"/>
            <w:tcMar>
              <w:top w:w="100" w:type="dxa"/>
              <w:left w:w="100" w:type="dxa"/>
              <w:bottom w:w="100" w:type="dxa"/>
              <w:right w:w="100" w:type="dxa"/>
            </w:tcMar>
          </w:tcPr>
          <w:p w14:paraId="612F855D" w14:textId="77777777" w:rsidR="00C413B9" w:rsidRPr="00C413B9" w:rsidRDefault="00C413B9" w:rsidP="00C413B9">
            <w:pPr>
              <w:spacing w:after="0" w:line="240" w:lineRule="auto"/>
              <w:contextualSpacing/>
              <w:rPr>
                <w:rFonts w:ascii="Calibri" w:hAnsi="Calibri" w:cs="Calibri"/>
                <w:b/>
                <w:color w:val="FFFFFF"/>
              </w:rPr>
            </w:pPr>
            <w:r w:rsidRPr="00C413B9">
              <w:rPr>
                <w:rFonts w:ascii="Calibri" w:hAnsi="Calibri" w:cs="Calibri"/>
                <w:b/>
                <w:color w:val="FFFFFF"/>
              </w:rPr>
              <w:t>Country</w:t>
            </w:r>
          </w:p>
        </w:tc>
        <w:tc>
          <w:tcPr>
            <w:tcW w:w="3420" w:type="dxa"/>
            <w:shd w:val="clear" w:color="auto" w:fill="4F81BD"/>
            <w:tcMar>
              <w:top w:w="100" w:type="dxa"/>
              <w:left w:w="100" w:type="dxa"/>
              <w:bottom w:w="100" w:type="dxa"/>
              <w:right w:w="100" w:type="dxa"/>
            </w:tcMar>
          </w:tcPr>
          <w:p w14:paraId="771C28A2" w14:textId="77777777" w:rsidR="00C413B9" w:rsidRPr="00C413B9" w:rsidRDefault="00C413B9" w:rsidP="00C413B9">
            <w:pPr>
              <w:spacing w:after="0" w:line="240" w:lineRule="auto"/>
              <w:contextualSpacing/>
              <w:rPr>
                <w:rFonts w:ascii="Calibri" w:hAnsi="Calibri" w:cs="Calibri"/>
                <w:b/>
                <w:color w:val="FFFFFF"/>
              </w:rPr>
            </w:pPr>
            <w:r w:rsidRPr="00C413B9">
              <w:rPr>
                <w:rFonts w:ascii="Calibri" w:hAnsi="Calibri" w:cs="Calibri"/>
                <w:b/>
                <w:color w:val="FFFFFF"/>
              </w:rPr>
              <w:t>Level of debt distress</w:t>
            </w:r>
          </w:p>
        </w:tc>
        <w:tc>
          <w:tcPr>
            <w:tcW w:w="2400" w:type="dxa"/>
            <w:shd w:val="clear" w:color="auto" w:fill="4F81BD"/>
            <w:tcMar>
              <w:top w:w="100" w:type="dxa"/>
              <w:left w:w="100" w:type="dxa"/>
              <w:bottom w:w="100" w:type="dxa"/>
              <w:right w:w="100" w:type="dxa"/>
            </w:tcMar>
          </w:tcPr>
          <w:p w14:paraId="0E4FC59E" w14:textId="77777777" w:rsidR="00C413B9" w:rsidRPr="00C413B9" w:rsidRDefault="00C413B9" w:rsidP="00C413B9">
            <w:pPr>
              <w:spacing w:after="0" w:line="240" w:lineRule="auto"/>
              <w:contextualSpacing/>
              <w:rPr>
                <w:rFonts w:ascii="Calibri" w:hAnsi="Calibri" w:cs="Calibri"/>
                <w:b/>
                <w:color w:val="FFFFFF"/>
              </w:rPr>
            </w:pPr>
            <w:r w:rsidRPr="00C413B9">
              <w:rPr>
                <w:rFonts w:ascii="Calibri" w:hAnsi="Calibri" w:cs="Calibri"/>
                <w:b/>
                <w:color w:val="FFFFFF"/>
              </w:rPr>
              <w:t>Year of assessment</w:t>
            </w:r>
          </w:p>
        </w:tc>
      </w:tr>
      <w:tr w:rsidR="00C413B9" w:rsidRPr="00C413B9" w14:paraId="671FB5FE" w14:textId="77777777" w:rsidTr="00DB15C8">
        <w:tc>
          <w:tcPr>
            <w:tcW w:w="3540" w:type="dxa"/>
            <w:shd w:val="clear" w:color="auto" w:fill="auto"/>
            <w:tcMar>
              <w:top w:w="100" w:type="dxa"/>
              <w:left w:w="100" w:type="dxa"/>
              <w:bottom w:w="100" w:type="dxa"/>
              <w:right w:w="100" w:type="dxa"/>
            </w:tcMar>
          </w:tcPr>
          <w:p w14:paraId="79283683" w14:textId="77777777" w:rsidR="00C413B9" w:rsidRPr="00C413B9" w:rsidRDefault="00C413B9" w:rsidP="00C413B9">
            <w:pPr>
              <w:spacing w:after="0" w:line="240" w:lineRule="auto"/>
              <w:contextualSpacing/>
              <w:rPr>
                <w:rFonts w:ascii="Calibri" w:hAnsi="Calibri" w:cs="Calibri"/>
                <w:b/>
              </w:rPr>
            </w:pPr>
            <w:r w:rsidRPr="00C413B9">
              <w:rPr>
                <w:rFonts w:ascii="Calibri" w:hAnsi="Calibri" w:cs="Calibri"/>
                <w:b/>
              </w:rPr>
              <w:t>Nepal</w:t>
            </w:r>
          </w:p>
        </w:tc>
        <w:tc>
          <w:tcPr>
            <w:tcW w:w="3420" w:type="dxa"/>
            <w:shd w:val="clear" w:color="auto" w:fill="auto"/>
            <w:tcMar>
              <w:top w:w="100" w:type="dxa"/>
              <w:left w:w="100" w:type="dxa"/>
              <w:bottom w:w="100" w:type="dxa"/>
              <w:right w:w="100" w:type="dxa"/>
            </w:tcMar>
          </w:tcPr>
          <w:p w14:paraId="16C02738" w14:textId="77777777" w:rsidR="00C413B9" w:rsidRPr="00C413B9" w:rsidRDefault="00C413B9" w:rsidP="00C413B9">
            <w:pPr>
              <w:spacing w:after="0" w:line="240" w:lineRule="auto"/>
              <w:contextualSpacing/>
              <w:rPr>
                <w:rFonts w:ascii="Calibri" w:hAnsi="Calibri" w:cs="Calibri"/>
              </w:rPr>
            </w:pPr>
            <w:r w:rsidRPr="00C413B9">
              <w:rPr>
                <w:rFonts w:ascii="Calibri" w:hAnsi="Calibri" w:cs="Calibri"/>
              </w:rPr>
              <w:t>Low</w:t>
            </w:r>
          </w:p>
        </w:tc>
        <w:tc>
          <w:tcPr>
            <w:tcW w:w="2400" w:type="dxa"/>
            <w:shd w:val="clear" w:color="auto" w:fill="auto"/>
            <w:tcMar>
              <w:top w:w="100" w:type="dxa"/>
              <w:left w:w="100" w:type="dxa"/>
              <w:bottom w:w="100" w:type="dxa"/>
              <w:right w:w="100" w:type="dxa"/>
            </w:tcMar>
          </w:tcPr>
          <w:p w14:paraId="64AD4AE9" w14:textId="77777777" w:rsidR="00C413B9" w:rsidRPr="00C413B9" w:rsidRDefault="00C413B9" w:rsidP="00C413B9">
            <w:pPr>
              <w:spacing w:after="0" w:line="240" w:lineRule="auto"/>
              <w:contextualSpacing/>
              <w:rPr>
                <w:rFonts w:ascii="Calibri" w:hAnsi="Calibri" w:cs="Calibri"/>
              </w:rPr>
            </w:pPr>
            <w:r w:rsidRPr="00C413B9">
              <w:rPr>
                <w:rFonts w:ascii="Calibri" w:hAnsi="Calibri" w:cs="Calibri"/>
              </w:rPr>
              <w:t>2017</w:t>
            </w:r>
          </w:p>
        </w:tc>
      </w:tr>
      <w:tr w:rsidR="00C413B9" w:rsidRPr="00C413B9" w14:paraId="16B54364" w14:textId="77777777" w:rsidTr="00DB15C8">
        <w:tc>
          <w:tcPr>
            <w:tcW w:w="3540" w:type="dxa"/>
            <w:shd w:val="clear" w:color="auto" w:fill="auto"/>
            <w:tcMar>
              <w:top w:w="100" w:type="dxa"/>
              <w:left w:w="100" w:type="dxa"/>
              <w:bottom w:w="100" w:type="dxa"/>
              <w:right w:w="100" w:type="dxa"/>
            </w:tcMar>
          </w:tcPr>
          <w:p w14:paraId="4695B9F3" w14:textId="77777777" w:rsidR="00C413B9" w:rsidRPr="00C413B9" w:rsidRDefault="00C413B9" w:rsidP="00C413B9">
            <w:pPr>
              <w:spacing w:after="0" w:line="240" w:lineRule="auto"/>
              <w:contextualSpacing/>
              <w:rPr>
                <w:rFonts w:ascii="Calibri" w:hAnsi="Calibri" w:cs="Calibri"/>
                <w:b/>
              </w:rPr>
            </w:pPr>
            <w:r w:rsidRPr="00C413B9">
              <w:rPr>
                <w:rFonts w:ascii="Calibri" w:hAnsi="Calibri" w:cs="Calibri"/>
                <w:b/>
              </w:rPr>
              <w:t>Bangladesh</w:t>
            </w:r>
          </w:p>
        </w:tc>
        <w:tc>
          <w:tcPr>
            <w:tcW w:w="3420" w:type="dxa"/>
            <w:shd w:val="clear" w:color="auto" w:fill="auto"/>
            <w:tcMar>
              <w:top w:w="100" w:type="dxa"/>
              <w:left w:w="100" w:type="dxa"/>
              <w:bottom w:w="100" w:type="dxa"/>
              <w:right w:w="100" w:type="dxa"/>
            </w:tcMar>
          </w:tcPr>
          <w:p w14:paraId="790B6F99" w14:textId="77777777" w:rsidR="00C413B9" w:rsidRPr="00C413B9" w:rsidRDefault="00C413B9" w:rsidP="00C413B9">
            <w:pPr>
              <w:spacing w:after="0" w:line="240" w:lineRule="auto"/>
              <w:contextualSpacing/>
              <w:rPr>
                <w:rFonts w:ascii="Calibri" w:hAnsi="Calibri" w:cs="Calibri"/>
                <w:b/>
              </w:rPr>
            </w:pPr>
            <w:r w:rsidRPr="00C413B9">
              <w:rPr>
                <w:rFonts w:ascii="Calibri" w:hAnsi="Calibri" w:cs="Calibri"/>
              </w:rPr>
              <w:t>Low</w:t>
            </w:r>
          </w:p>
        </w:tc>
        <w:tc>
          <w:tcPr>
            <w:tcW w:w="2400" w:type="dxa"/>
            <w:shd w:val="clear" w:color="auto" w:fill="auto"/>
            <w:tcMar>
              <w:top w:w="100" w:type="dxa"/>
              <w:left w:w="100" w:type="dxa"/>
              <w:bottom w:w="100" w:type="dxa"/>
              <w:right w:w="100" w:type="dxa"/>
            </w:tcMar>
          </w:tcPr>
          <w:p w14:paraId="46C535FF" w14:textId="77777777" w:rsidR="00C413B9" w:rsidRPr="00C413B9" w:rsidRDefault="00C413B9" w:rsidP="00C413B9">
            <w:pPr>
              <w:spacing w:after="0" w:line="240" w:lineRule="auto"/>
              <w:contextualSpacing/>
              <w:rPr>
                <w:rFonts w:ascii="Calibri" w:hAnsi="Calibri" w:cs="Calibri"/>
              </w:rPr>
            </w:pPr>
            <w:r w:rsidRPr="00C413B9">
              <w:rPr>
                <w:rFonts w:ascii="Calibri" w:hAnsi="Calibri" w:cs="Calibri"/>
              </w:rPr>
              <w:t>2018</w:t>
            </w:r>
          </w:p>
        </w:tc>
      </w:tr>
      <w:tr w:rsidR="00C413B9" w:rsidRPr="00C413B9" w14:paraId="1C45BFEE" w14:textId="77777777" w:rsidTr="00DB15C8">
        <w:tc>
          <w:tcPr>
            <w:tcW w:w="3540" w:type="dxa"/>
            <w:shd w:val="clear" w:color="auto" w:fill="auto"/>
            <w:tcMar>
              <w:top w:w="100" w:type="dxa"/>
              <w:left w:w="100" w:type="dxa"/>
              <w:bottom w:w="100" w:type="dxa"/>
              <w:right w:w="100" w:type="dxa"/>
            </w:tcMar>
          </w:tcPr>
          <w:p w14:paraId="42E71F4E" w14:textId="77777777" w:rsidR="00C413B9" w:rsidRPr="00C413B9" w:rsidRDefault="00C413B9" w:rsidP="00C413B9">
            <w:pPr>
              <w:spacing w:after="0" w:line="240" w:lineRule="auto"/>
              <w:contextualSpacing/>
              <w:rPr>
                <w:rFonts w:ascii="Calibri" w:hAnsi="Calibri" w:cs="Calibri"/>
                <w:b/>
              </w:rPr>
            </w:pPr>
            <w:r w:rsidRPr="00C413B9">
              <w:rPr>
                <w:rFonts w:ascii="Calibri" w:hAnsi="Calibri" w:cs="Calibri"/>
                <w:b/>
              </w:rPr>
              <w:t>Bhutan</w:t>
            </w:r>
          </w:p>
        </w:tc>
        <w:tc>
          <w:tcPr>
            <w:tcW w:w="3420" w:type="dxa"/>
            <w:shd w:val="clear" w:color="auto" w:fill="auto"/>
            <w:tcMar>
              <w:top w:w="100" w:type="dxa"/>
              <w:left w:w="100" w:type="dxa"/>
              <w:bottom w:w="100" w:type="dxa"/>
              <w:right w:w="100" w:type="dxa"/>
            </w:tcMar>
          </w:tcPr>
          <w:p w14:paraId="37A8D438" w14:textId="77777777" w:rsidR="00C413B9" w:rsidRPr="00C413B9" w:rsidRDefault="00C413B9" w:rsidP="00C413B9">
            <w:pPr>
              <w:spacing w:after="0" w:line="240" w:lineRule="auto"/>
              <w:contextualSpacing/>
              <w:rPr>
                <w:rFonts w:ascii="Calibri" w:hAnsi="Calibri" w:cs="Calibri"/>
                <w:b/>
              </w:rPr>
            </w:pPr>
            <w:r w:rsidRPr="00C413B9">
              <w:rPr>
                <w:rFonts w:ascii="Calibri" w:hAnsi="Calibri" w:cs="Calibri"/>
              </w:rPr>
              <w:t>Moderate</w:t>
            </w:r>
          </w:p>
        </w:tc>
        <w:tc>
          <w:tcPr>
            <w:tcW w:w="2400" w:type="dxa"/>
            <w:shd w:val="clear" w:color="auto" w:fill="auto"/>
            <w:tcMar>
              <w:top w:w="100" w:type="dxa"/>
              <w:left w:w="100" w:type="dxa"/>
              <w:bottom w:w="100" w:type="dxa"/>
              <w:right w:w="100" w:type="dxa"/>
            </w:tcMar>
          </w:tcPr>
          <w:p w14:paraId="62E23CDC" w14:textId="77777777" w:rsidR="00C413B9" w:rsidRPr="00C413B9" w:rsidRDefault="00C413B9" w:rsidP="00C413B9">
            <w:pPr>
              <w:spacing w:after="0" w:line="240" w:lineRule="auto"/>
              <w:contextualSpacing/>
              <w:rPr>
                <w:rFonts w:ascii="Calibri" w:hAnsi="Calibri" w:cs="Calibri"/>
              </w:rPr>
            </w:pPr>
            <w:r w:rsidRPr="00C413B9">
              <w:rPr>
                <w:rFonts w:ascii="Calibri" w:hAnsi="Calibri" w:cs="Calibri"/>
              </w:rPr>
              <w:t>2018</w:t>
            </w:r>
          </w:p>
        </w:tc>
      </w:tr>
      <w:tr w:rsidR="00C413B9" w:rsidRPr="00C413B9" w14:paraId="68033028" w14:textId="77777777" w:rsidTr="00DB15C8">
        <w:tc>
          <w:tcPr>
            <w:tcW w:w="3540" w:type="dxa"/>
            <w:shd w:val="clear" w:color="auto" w:fill="auto"/>
            <w:tcMar>
              <w:top w:w="100" w:type="dxa"/>
              <w:left w:w="100" w:type="dxa"/>
              <w:bottom w:w="100" w:type="dxa"/>
              <w:right w:w="100" w:type="dxa"/>
            </w:tcMar>
          </w:tcPr>
          <w:p w14:paraId="3AE0D88A" w14:textId="77777777" w:rsidR="00C413B9" w:rsidRPr="00C413B9" w:rsidRDefault="00C413B9" w:rsidP="00C413B9">
            <w:pPr>
              <w:spacing w:after="0" w:line="240" w:lineRule="auto"/>
              <w:contextualSpacing/>
              <w:rPr>
                <w:rFonts w:ascii="Calibri" w:hAnsi="Calibri" w:cs="Calibri"/>
                <w:b/>
              </w:rPr>
            </w:pPr>
            <w:r w:rsidRPr="00C413B9">
              <w:rPr>
                <w:rFonts w:ascii="Calibri" w:hAnsi="Calibri" w:cs="Calibri"/>
                <w:b/>
              </w:rPr>
              <w:t>Maldives</w:t>
            </w:r>
          </w:p>
        </w:tc>
        <w:tc>
          <w:tcPr>
            <w:tcW w:w="3420" w:type="dxa"/>
            <w:shd w:val="clear" w:color="auto" w:fill="auto"/>
            <w:tcMar>
              <w:top w:w="100" w:type="dxa"/>
              <w:left w:w="100" w:type="dxa"/>
              <w:bottom w:w="100" w:type="dxa"/>
              <w:right w:w="100" w:type="dxa"/>
            </w:tcMar>
          </w:tcPr>
          <w:p w14:paraId="5EE0001F" w14:textId="77777777" w:rsidR="00C413B9" w:rsidRPr="00C413B9" w:rsidRDefault="00C413B9" w:rsidP="00C413B9">
            <w:pPr>
              <w:spacing w:after="0" w:line="240" w:lineRule="auto"/>
              <w:contextualSpacing/>
              <w:rPr>
                <w:rFonts w:ascii="Calibri" w:hAnsi="Calibri" w:cs="Calibri"/>
                <w:b/>
              </w:rPr>
            </w:pPr>
            <w:r w:rsidRPr="00C413B9">
              <w:rPr>
                <w:rFonts w:ascii="Calibri" w:hAnsi="Calibri" w:cs="Calibri"/>
              </w:rPr>
              <w:t>High</w:t>
            </w:r>
          </w:p>
        </w:tc>
        <w:tc>
          <w:tcPr>
            <w:tcW w:w="2400" w:type="dxa"/>
            <w:shd w:val="clear" w:color="auto" w:fill="auto"/>
            <w:tcMar>
              <w:top w:w="100" w:type="dxa"/>
              <w:left w:w="100" w:type="dxa"/>
              <w:bottom w:w="100" w:type="dxa"/>
              <w:right w:w="100" w:type="dxa"/>
            </w:tcMar>
          </w:tcPr>
          <w:p w14:paraId="527184DF" w14:textId="77777777" w:rsidR="00C413B9" w:rsidRPr="00C413B9" w:rsidRDefault="00C413B9" w:rsidP="00C413B9">
            <w:pPr>
              <w:spacing w:after="0" w:line="240" w:lineRule="auto"/>
              <w:contextualSpacing/>
              <w:rPr>
                <w:rFonts w:ascii="Calibri" w:hAnsi="Calibri" w:cs="Calibri"/>
              </w:rPr>
            </w:pPr>
            <w:r w:rsidRPr="00C413B9">
              <w:rPr>
                <w:rFonts w:ascii="Calibri" w:hAnsi="Calibri" w:cs="Calibri"/>
              </w:rPr>
              <w:t>2017</w:t>
            </w:r>
          </w:p>
        </w:tc>
      </w:tr>
      <w:tr w:rsidR="00C413B9" w:rsidRPr="00C413B9" w14:paraId="4E33D7DF" w14:textId="77777777" w:rsidTr="00DB15C8">
        <w:tc>
          <w:tcPr>
            <w:tcW w:w="3540" w:type="dxa"/>
            <w:shd w:val="clear" w:color="auto" w:fill="auto"/>
            <w:tcMar>
              <w:top w:w="100" w:type="dxa"/>
              <w:left w:w="100" w:type="dxa"/>
              <w:bottom w:w="100" w:type="dxa"/>
              <w:right w:w="100" w:type="dxa"/>
            </w:tcMar>
          </w:tcPr>
          <w:p w14:paraId="5D5B63DE" w14:textId="77777777" w:rsidR="00C413B9" w:rsidRPr="00C413B9" w:rsidRDefault="00C413B9" w:rsidP="00C413B9">
            <w:pPr>
              <w:spacing w:after="0" w:line="240" w:lineRule="auto"/>
              <w:contextualSpacing/>
              <w:rPr>
                <w:rFonts w:ascii="Calibri" w:hAnsi="Calibri" w:cs="Calibri"/>
                <w:b/>
              </w:rPr>
            </w:pPr>
            <w:r w:rsidRPr="00C413B9">
              <w:rPr>
                <w:rFonts w:ascii="Calibri" w:hAnsi="Calibri" w:cs="Calibri"/>
                <w:b/>
              </w:rPr>
              <w:t>Afghanistan</w:t>
            </w:r>
          </w:p>
        </w:tc>
        <w:tc>
          <w:tcPr>
            <w:tcW w:w="3420" w:type="dxa"/>
            <w:shd w:val="clear" w:color="auto" w:fill="auto"/>
            <w:tcMar>
              <w:top w:w="100" w:type="dxa"/>
              <w:left w:w="100" w:type="dxa"/>
              <w:bottom w:w="100" w:type="dxa"/>
              <w:right w:w="100" w:type="dxa"/>
            </w:tcMar>
          </w:tcPr>
          <w:p w14:paraId="161326B9" w14:textId="77777777" w:rsidR="00C413B9" w:rsidRPr="00C413B9" w:rsidRDefault="00C413B9" w:rsidP="00C413B9">
            <w:pPr>
              <w:spacing w:after="0" w:line="240" w:lineRule="auto"/>
              <w:contextualSpacing/>
              <w:rPr>
                <w:rFonts w:ascii="Calibri" w:hAnsi="Calibri" w:cs="Calibri"/>
              </w:rPr>
            </w:pPr>
            <w:r w:rsidRPr="00C413B9">
              <w:rPr>
                <w:rFonts w:ascii="Calibri" w:hAnsi="Calibri" w:cs="Calibri"/>
              </w:rPr>
              <w:t>High</w:t>
            </w:r>
          </w:p>
        </w:tc>
        <w:tc>
          <w:tcPr>
            <w:tcW w:w="2400" w:type="dxa"/>
            <w:shd w:val="clear" w:color="auto" w:fill="auto"/>
            <w:tcMar>
              <w:top w:w="100" w:type="dxa"/>
              <w:left w:w="100" w:type="dxa"/>
              <w:bottom w:w="100" w:type="dxa"/>
              <w:right w:w="100" w:type="dxa"/>
            </w:tcMar>
          </w:tcPr>
          <w:p w14:paraId="77C15055" w14:textId="77777777" w:rsidR="00C413B9" w:rsidRPr="00C413B9" w:rsidRDefault="00C413B9" w:rsidP="00C413B9">
            <w:pPr>
              <w:spacing w:after="0" w:line="240" w:lineRule="auto"/>
              <w:contextualSpacing/>
              <w:rPr>
                <w:rFonts w:ascii="Calibri" w:hAnsi="Calibri" w:cs="Calibri"/>
              </w:rPr>
            </w:pPr>
            <w:r w:rsidRPr="00C413B9">
              <w:rPr>
                <w:rFonts w:ascii="Calibri" w:hAnsi="Calibri" w:cs="Calibri"/>
              </w:rPr>
              <w:t>2017</w:t>
            </w:r>
          </w:p>
        </w:tc>
      </w:tr>
      <w:tr w:rsidR="00C413B9" w:rsidRPr="00C413B9" w14:paraId="3307A542" w14:textId="77777777" w:rsidTr="00DB15C8">
        <w:tc>
          <w:tcPr>
            <w:tcW w:w="3540" w:type="dxa"/>
            <w:shd w:val="clear" w:color="auto" w:fill="auto"/>
            <w:tcMar>
              <w:top w:w="100" w:type="dxa"/>
              <w:left w:w="100" w:type="dxa"/>
              <w:bottom w:w="100" w:type="dxa"/>
              <w:right w:w="100" w:type="dxa"/>
            </w:tcMar>
          </w:tcPr>
          <w:p w14:paraId="35ED5DC1" w14:textId="77777777" w:rsidR="00C413B9" w:rsidRPr="00C413B9" w:rsidRDefault="00C413B9" w:rsidP="00C413B9">
            <w:pPr>
              <w:spacing w:after="0" w:line="240" w:lineRule="auto"/>
              <w:contextualSpacing/>
              <w:rPr>
                <w:rFonts w:ascii="Calibri" w:hAnsi="Calibri" w:cs="Calibri"/>
                <w:b/>
              </w:rPr>
            </w:pPr>
            <w:r w:rsidRPr="00C413B9">
              <w:rPr>
                <w:rFonts w:ascii="Calibri" w:hAnsi="Calibri" w:cs="Calibri"/>
                <w:b/>
              </w:rPr>
              <w:t>Pakistan</w:t>
            </w:r>
          </w:p>
        </w:tc>
        <w:tc>
          <w:tcPr>
            <w:tcW w:w="3420" w:type="dxa"/>
            <w:shd w:val="clear" w:color="auto" w:fill="auto"/>
            <w:tcMar>
              <w:top w:w="100" w:type="dxa"/>
              <w:left w:w="100" w:type="dxa"/>
              <w:bottom w:w="100" w:type="dxa"/>
              <w:right w:w="100" w:type="dxa"/>
            </w:tcMar>
          </w:tcPr>
          <w:p w14:paraId="6E32837C" w14:textId="77777777" w:rsidR="00C413B9" w:rsidRPr="00C413B9" w:rsidRDefault="00C413B9" w:rsidP="00C413B9">
            <w:pPr>
              <w:spacing w:after="0" w:line="240" w:lineRule="auto"/>
              <w:contextualSpacing/>
              <w:rPr>
                <w:rFonts w:ascii="Calibri" w:hAnsi="Calibri" w:cs="Calibri"/>
              </w:rPr>
            </w:pPr>
            <w:r w:rsidRPr="00C413B9">
              <w:rPr>
                <w:rFonts w:ascii="Calibri" w:hAnsi="Calibri" w:cs="Calibri"/>
              </w:rPr>
              <w:t>Unstated*</w:t>
            </w:r>
          </w:p>
        </w:tc>
        <w:tc>
          <w:tcPr>
            <w:tcW w:w="2400" w:type="dxa"/>
            <w:shd w:val="clear" w:color="auto" w:fill="auto"/>
            <w:tcMar>
              <w:top w:w="100" w:type="dxa"/>
              <w:left w:w="100" w:type="dxa"/>
              <w:bottom w:w="100" w:type="dxa"/>
              <w:right w:w="100" w:type="dxa"/>
            </w:tcMar>
          </w:tcPr>
          <w:p w14:paraId="22EB2C1A" w14:textId="77777777" w:rsidR="00C413B9" w:rsidRPr="00C413B9" w:rsidRDefault="00C413B9" w:rsidP="00C413B9">
            <w:pPr>
              <w:spacing w:after="0" w:line="240" w:lineRule="auto"/>
              <w:contextualSpacing/>
              <w:rPr>
                <w:rFonts w:ascii="Calibri" w:hAnsi="Calibri" w:cs="Calibri"/>
              </w:rPr>
            </w:pPr>
            <w:r w:rsidRPr="00C413B9">
              <w:rPr>
                <w:rFonts w:ascii="Calibri" w:hAnsi="Calibri" w:cs="Calibri"/>
              </w:rPr>
              <w:t>2017</w:t>
            </w:r>
          </w:p>
        </w:tc>
      </w:tr>
      <w:tr w:rsidR="00C413B9" w:rsidRPr="00C413B9" w14:paraId="2EE73DD0" w14:textId="77777777" w:rsidTr="00DB15C8">
        <w:tc>
          <w:tcPr>
            <w:tcW w:w="3540" w:type="dxa"/>
            <w:shd w:val="clear" w:color="auto" w:fill="auto"/>
            <w:tcMar>
              <w:top w:w="100" w:type="dxa"/>
              <w:left w:w="100" w:type="dxa"/>
              <w:bottom w:w="100" w:type="dxa"/>
              <w:right w:w="100" w:type="dxa"/>
            </w:tcMar>
          </w:tcPr>
          <w:p w14:paraId="475B9737" w14:textId="77777777" w:rsidR="00C413B9" w:rsidRPr="00C413B9" w:rsidRDefault="00C413B9" w:rsidP="00C413B9">
            <w:pPr>
              <w:spacing w:after="0" w:line="240" w:lineRule="auto"/>
              <w:contextualSpacing/>
              <w:rPr>
                <w:rFonts w:ascii="Calibri" w:hAnsi="Calibri" w:cs="Calibri"/>
                <w:b/>
              </w:rPr>
            </w:pPr>
            <w:r w:rsidRPr="00C413B9">
              <w:rPr>
                <w:rFonts w:ascii="Calibri" w:hAnsi="Calibri" w:cs="Calibri"/>
                <w:b/>
              </w:rPr>
              <w:t>Sri Lanka</w:t>
            </w:r>
          </w:p>
        </w:tc>
        <w:tc>
          <w:tcPr>
            <w:tcW w:w="3420" w:type="dxa"/>
            <w:shd w:val="clear" w:color="auto" w:fill="auto"/>
            <w:tcMar>
              <w:top w:w="100" w:type="dxa"/>
              <w:left w:w="100" w:type="dxa"/>
              <w:bottom w:w="100" w:type="dxa"/>
              <w:right w:w="100" w:type="dxa"/>
            </w:tcMar>
          </w:tcPr>
          <w:p w14:paraId="1FC4E256" w14:textId="77777777" w:rsidR="00C413B9" w:rsidRPr="00C413B9" w:rsidRDefault="00C413B9" w:rsidP="00C413B9">
            <w:pPr>
              <w:spacing w:after="0" w:line="240" w:lineRule="auto"/>
              <w:contextualSpacing/>
              <w:rPr>
                <w:rFonts w:ascii="Calibri" w:hAnsi="Calibri" w:cs="Calibri"/>
                <w:b/>
              </w:rPr>
            </w:pPr>
            <w:r w:rsidRPr="00C413B9">
              <w:rPr>
                <w:rFonts w:ascii="Calibri" w:hAnsi="Calibri" w:cs="Calibri"/>
              </w:rPr>
              <w:t>Unstated*</w:t>
            </w:r>
          </w:p>
        </w:tc>
        <w:tc>
          <w:tcPr>
            <w:tcW w:w="2400" w:type="dxa"/>
            <w:shd w:val="clear" w:color="auto" w:fill="auto"/>
            <w:tcMar>
              <w:top w:w="100" w:type="dxa"/>
              <w:left w:w="100" w:type="dxa"/>
              <w:bottom w:w="100" w:type="dxa"/>
              <w:right w:w="100" w:type="dxa"/>
            </w:tcMar>
          </w:tcPr>
          <w:p w14:paraId="5F2BD069" w14:textId="77777777" w:rsidR="00C413B9" w:rsidRPr="00C413B9" w:rsidRDefault="00C413B9" w:rsidP="00C413B9">
            <w:pPr>
              <w:spacing w:after="0" w:line="240" w:lineRule="auto"/>
              <w:contextualSpacing/>
              <w:rPr>
                <w:rFonts w:ascii="Calibri" w:hAnsi="Calibri" w:cs="Calibri"/>
              </w:rPr>
            </w:pPr>
            <w:r w:rsidRPr="00C413B9">
              <w:rPr>
                <w:rFonts w:ascii="Calibri" w:hAnsi="Calibri" w:cs="Calibri"/>
              </w:rPr>
              <w:t>2018</w:t>
            </w:r>
          </w:p>
        </w:tc>
      </w:tr>
    </w:tbl>
    <w:p w14:paraId="65F2DCEC" w14:textId="77777777" w:rsidR="00474D54" w:rsidRDefault="00474D54" w:rsidP="003A0C24">
      <w:pPr>
        <w:pStyle w:val="NoSpacing"/>
        <w:contextualSpacing/>
        <w:rPr>
          <w:rFonts w:ascii="Calibri" w:hAnsi="Calibri" w:cs="Calibri"/>
          <w:sz w:val="20"/>
          <w:szCs w:val="20"/>
        </w:rPr>
      </w:pPr>
    </w:p>
    <w:p w14:paraId="693FA2F3" w14:textId="1720F20F" w:rsidR="003A0C24" w:rsidRPr="003A0C24" w:rsidRDefault="003A0C24" w:rsidP="003A0C24">
      <w:pPr>
        <w:pStyle w:val="NoSpacing"/>
        <w:contextualSpacing/>
        <w:rPr>
          <w:rFonts w:ascii="Calibri" w:eastAsia="MS Mincho" w:hAnsi="Calibri" w:cs="Times New Roman"/>
          <w:lang w:val="en-US"/>
        </w:rPr>
      </w:pPr>
      <w:r w:rsidRPr="003A0C24">
        <w:rPr>
          <w:rFonts w:ascii="Calibri" w:hAnsi="Calibri" w:cs="Calibri"/>
          <w:sz w:val="20"/>
          <w:szCs w:val="20"/>
        </w:rPr>
        <w:t xml:space="preserve">*The IMF Article IV reports for these countries did not state the level of overall debt distress. For Pakistan, the projected path for external debt was termed ‘sustainable’. For Sri Lanka, there was a ‘high risk’ to public debt sustainability, and the external debt path was termed ‘sustainable’. </w:t>
      </w:r>
    </w:p>
    <w:p w14:paraId="783B1D17" w14:textId="77777777" w:rsidR="00C413B9" w:rsidRPr="00C413B9" w:rsidRDefault="00C413B9" w:rsidP="00C413B9"/>
    <w:p w14:paraId="0ED7F4F8" w14:textId="77777777" w:rsidR="00C413B9" w:rsidRPr="00C413B9" w:rsidRDefault="00C413B9" w:rsidP="00C413B9"/>
    <w:p w14:paraId="1394AF10" w14:textId="014E7B02" w:rsidR="009032D1" w:rsidRDefault="009032D1" w:rsidP="00594341">
      <w:pPr>
        <w:spacing w:before="120" w:after="120" w:line="240" w:lineRule="auto"/>
        <w:rPr>
          <w:sz w:val="32"/>
          <w:szCs w:val="32"/>
        </w:rPr>
      </w:pPr>
      <w:r>
        <w:rPr>
          <w:sz w:val="32"/>
          <w:szCs w:val="32"/>
        </w:rPr>
        <w:lastRenderedPageBreak/>
        <w:t>A</w:t>
      </w:r>
      <w:r w:rsidR="00105CF3">
        <w:rPr>
          <w:sz w:val="32"/>
          <w:szCs w:val="32"/>
        </w:rPr>
        <w:t>NNEX</w:t>
      </w:r>
      <w:r>
        <w:rPr>
          <w:sz w:val="32"/>
          <w:szCs w:val="32"/>
        </w:rPr>
        <w:t xml:space="preserve"> </w:t>
      </w:r>
      <w:r w:rsidR="00C25D85">
        <w:rPr>
          <w:sz w:val="32"/>
          <w:szCs w:val="32"/>
        </w:rPr>
        <w:t>9</w:t>
      </w:r>
      <w:r w:rsidRPr="009032D1">
        <w:rPr>
          <w:sz w:val="32"/>
          <w:szCs w:val="32"/>
        </w:rPr>
        <w:t>—</w:t>
      </w:r>
      <w:r>
        <w:rPr>
          <w:sz w:val="32"/>
          <w:szCs w:val="32"/>
        </w:rPr>
        <w:t>PIDG indicators</w:t>
      </w:r>
      <w:r w:rsidRPr="009032D1">
        <w:rPr>
          <w:sz w:val="32"/>
          <w:szCs w:val="32"/>
        </w:rPr>
        <w:t xml:space="preserve"> </w:t>
      </w:r>
      <w:r>
        <w:rPr>
          <w:sz w:val="32"/>
          <w:szCs w:val="32"/>
        </w:rPr>
        <w:t>of development results</w:t>
      </w:r>
    </w:p>
    <w:p w14:paraId="61C4B55E" w14:textId="3B4F18C9" w:rsidR="009032D1" w:rsidRDefault="009032D1" w:rsidP="00594341">
      <w:pPr>
        <w:spacing w:before="120" w:after="120" w:line="240" w:lineRule="auto"/>
        <w:rPr>
          <w:sz w:val="32"/>
          <w:szCs w:val="32"/>
        </w:rPr>
      </w:pPr>
      <w:r>
        <w:rPr>
          <w:noProof/>
          <w:sz w:val="32"/>
          <w:szCs w:val="32"/>
          <w:lang w:eastAsia="en-AU"/>
        </w:rPr>
        <w:drawing>
          <wp:inline distT="0" distB="0" distL="0" distR="0" wp14:anchorId="599F1FFB" wp14:editId="2308F711">
            <wp:extent cx="6096635" cy="3952875"/>
            <wp:effectExtent l="0" t="0" r="0" b="9525"/>
            <wp:docPr id="1" name="Picture 1" descr="Image is of a table of results indicators. A more comprehensive list of indicators is available on the PIDG website http://data.pidg.org/help.htm&#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is of a table of results indicators. A more comprehensive list of indicators is available on the PIDG website http://data.pidg.org/help.htm&#1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096635" cy="3952875"/>
                    </a:xfrm>
                    <a:prstGeom prst="rect">
                      <a:avLst/>
                    </a:prstGeom>
                    <a:noFill/>
                  </pic:spPr>
                </pic:pic>
              </a:graphicData>
            </a:graphic>
          </wp:inline>
        </w:drawing>
      </w:r>
    </w:p>
    <w:p w14:paraId="25636610" w14:textId="77777777" w:rsidR="009032D1" w:rsidRDefault="009032D1">
      <w:pPr>
        <w:rPr>
          <w:sz w:val="32"/>
          <w:szCs w:val="32"/>
        </w:rPr>
      </w:pPr>
      <w:r>
        <w:rPr>
          <w:sz w:val="32"/>
          <w:szCs w:val="32"/>
        </w:rPr>
        <w:br w:type="page"/>
      </w:r>
    </w:p>
    <w:p w14:paraId="33A0BD44" w14:textId="77777777" w:rsidR="00D27B8A" w:rsidRDefault="00D27B8A" w:rsidP="00581DE9">
      <w:pPr>
        <w:spacing w:before="120" w:after="120" w:line="240" w:lineRule="auto"/>
        <w:rPr>
          <w:sz w:val="32"/>
          <w:szCs w:val="32"/>
        </w:rPr>
        <w:sectPr w:rsidR="00D27B8A" w:rsidSect="00374C10">
          <w:headerReference w:type="even" r:id="rId56"/>
          <w:headerReference w:type="default" r:id="rId57"/>
          <w:footerReference w:type="default" r:id="rId58"/>
          <w:headerReference w:type="first" r:id="rId59"/>
          <w:pgSz w:w="11906" w:h="16838"/>
          <w:pgMar w:top="1440" w:right="1440" w:bottom="1440" w:left="1440" w:header="708" w:footer="708" w:gutter="0"/>
          <w:cols w:space="708"/>
          <w:docGrid w:linePitch="360"/>
        </w:sectPr>
      </w:pPr>
    </w:p>
    <w:p w14:paraId="5B9B7060" w14:textId="3AD199B3" w:rsidR="002F756E" w:rsidRPr="002F756E" w:rsidRDefault="002F756E" w:rsidP="002F756E">
      <w:pPr>
        <w:spacing w:before="120" w:after="120" w:line="240" w:lineRule="auto"/>
        <w:rPr>
          <w:sz w:val="32"/>
          <w:szCs w:val="32"/>
        </w:rPr>
      </w:pPr>
      <w:r w:rsidRPr="002F756E">
        <w:rPr>
          <w:sz w:val="32"/>
          <w:szCs w:val="32"/>
        </w:rPr>
        <w:lastRenderedPageBreak/>
        <w:t xml:space="preserve">ANNEX </w:t>
      </w:r>
      <w:r w:rsidR="00FD17ED">
        <w:rPr>
          <w:sz w:val="32"/>
          <w:szCs w:val="32"/>
        </w:rPr>
        <w:t>10</w:t>
      </w:r>
      <w:r w:rsidRPr="002F756E">
        <w:rPr>
          <w:sz w:val="32"/>
          <w:szCs w:val="32"/>
        </w:rPr>
        <w:t>—Table of DFI benchmarks in the region</w:t>
      </w:r>
    </w:p>
    <w:tbl>
      <w:tblPr>
        <w:tblW w:w="13892" w:type="dxa"/>
        <w:tblInd w:w="-5" w:type="dxa"/>
        <w:tblLook w:val="04A0" w:firstRow="1" w:lastRow="0" w:firstColumn="1" w:lastColumn="0" w:noHBand="0" w:noVBand="1"/>
      </w:tblPr>
      <w:tblGrid>
        <w:gridCol w:w="1560"/>
        <w:gridCol w:w="2551"/>
        <w:gridCol w:w="5103"/>
        <w:gridCol w:w="1843"/>
        <w:gridCol w:w="1417"/>
        <w:gridCol w:w="1418"/>
      </w:tblGrid>
      <w:tr w:rsidR="002F756E" w:rsidRPr="002F756E" w14:paraId="5C30A4FA" w14:textId="77777777" w:rsidTr="009B2458">
        <w:trPr>
          <w:trHeight w:val="480"/>
          <w:tblHeader/>
        </w:trPr>
        <w:tc>
          <w:tcPr>
            <w:tcW w:w="1560" w:type="dxa"/>
            <w:tcBorders>
              <w:top w:val="single" w:sz="4" w:space="0" w:color="FFFFFF"/>
              <w:left w:val="single" w:sz="4" w:space="0" w:color="FFFFFF"/>
              <w:bottom w:val="single" w:sz="4" w:space="0" w:color="FFFFFF"/>
              <w:right w:val="single" w:sz="4" w:space="0" w:color="FFFFFF"/>
            </w:tcBorders>
            <w:shd w:val="clear" w:color="000000" w:fill="88194B"/>
            <w:vAlign w:val="center"/>
            <w:hideMark/>
          </w:tcPr>
          <w:p w14:paraId="75330BE2" w14:textId="77777777" w:rsidR="002F756E" w:rsidRPr="002F756E" w:rsidRDefault="002F756E" w:rsidP="002F756E">
            <w:pPr>
              <w:spacing w:after="0" w:line="240" w:lineRule="auto"/>
              <w:jc w:val="center"/>
              <w:rPr>
                <w:rFonts w:eastAsia="Times New Roman" w:cstheme="minorHAnsi"/>
                <w:b/>
                <w:bCs/>
                <w:color w:val="FFFFFF"/>
                <w:lang w:eastAsia="en-IN"/>
              </w:rPr>
            </w:pPr>
            <w:bookmarkStart w:id="58" w:name="_Hlk535051591"/>
            <w:r w:rsidRPr="002F756E">
              <w:rPr>
                <w:rFonts w:eastAsia="Times New Roman" w:cstheme="minorHAnsi"/>
                <w:b/>
                <w:bCs/>
                <w:color w:val="FFFFFF"/>
                <w:lang w:eastAsia="en-IN"/>
              </w:rPr>
              <w:t xml:space="preserve">Donor country </w:t>
            </w:r>
          </w:p>
        </w:tc>
        <w:tc>
          <w:tcPr>
            <w:tcW w:w="2551" w:type="dxa"/>
            <w:tcBorders>
              <w:top w:val="single" w:sz="4" w:space="0" w:color="FFFFFF"/>
              <w:left w:val="nil"/>
              <w:bottom w:val="single" w:sz="4" w:space="0" w:color="FFFFFF"/>
              <w:right w:val="single" w:sz="4" w:space="0" w:color="FFFFFF"/>
            </w:tcBorders>
            <w:shd w:val="clear" w:color="000000" w:fill="88194B"/>
            <w:vAlign w:val="center"/>
            <w:hideMark/>
          </w:tcPr>
          <w:p w14:paraId="425BC45A" w14:textId="77777777" w:rsidR="002F756E" w:rsidRPr="002F756E" w:rsidRDefault="002F756E" w:rsidP="002F756E">
            <w:pPr>
              <w:spacing w:after="0" w:line="240" w:lineRule="auto"/>
              <w:jc w:val="center"/>
              <w:rPr>
                <w:rFonts w:eastAsia="Times New Roman" w:cstheme="minorHAnsi"/>
                <w:b/>
                <w:bCs/>
                <w:color w:val="FFFFFF"/>
                <w:lang w:eastAsia="en-IN"/>
              </w:rPr>
            </w:pPr>
            <w:r w:rsidRPr="002F756E">
              <w:rPr>
                <w:rFonts w:eastAsia="Times New Roman" w:cstheme="minorHAnsi"/>
                <w:b/>
                <w:bCs/>
                <w:color w:val="FFFFFF"/>
                <w:lang w:eastAsia="en-IN"/>
              </w:rPr>
              <w:t xml:space="preserve">Overview of </w:t>
            </w:r>
            <w:r w:rsidRPr="002F756E">
              <w:rPr>
                <w:rFonts w:eastAsia="Times New Roman" w:cstheme="minorHAnsi"/>
                <w:b/>
                <w:bCs/>
                <w:color w:val="FFFFFF"/>
                <w:lang w:eastAsia="en-IN"/>
              </w:rPr>
              <w:br/>
              <w:t xml:space="preserve">governance arrangement </w:t>
            </w:r>
          </w:p>
        </w:tc>
        <w:tc>
          <w:tcPr>
            <w:tcW w:w="5103" w:type="dxa"/>
            <w:tcBorders>
              <w:top w:val="single" w:sz="4" w:space="0" w:color="FFFFFF"/>
              <w:left w:val="nil"/>
              <w:bottom w:val="single" w:sz="4" w:space="0" w:color="FFFFFF"/>
              <w:right w:val="single" w:sz="4" w:space="0" w:color="FFFFFF"/>
            </w:tcBorders>
            <w:shd w:val="clear" w:color="000000" w:fill="88194B"/>
            <w:vAlign w:val="center"/>
            <w:hideMark/>
          </w:tcPr>
          <w:p w14:paraId="55889639" w14:textId="70880BD7" w:rsidR="002F756E" w:rsidRPr="002F756E" w:rsidRDefault="002F756E" w:rsidP="002F756E">
            <w:pPr>
              <w:spacing w:after="0" w:line="240" w:lineRule="auto"/>
              <w:jc w:val="center"/>
              <w:rPr>
                <w:rFonts w:eastAsia="Times New Roman" w:cstheme="minorHAnsi"/>
                <w:b/>
                <w:bCs/>
                <w:color w:val="FFFFFF"/>
                <w:lang w:eastAsia="en-IN"/>
              </w:rPr>
            </w:pPr>
            <w:r w:rsidRPr="002F756E">
              <w:rPr>
                <w:rFonts w:eastAsia="Times New Roman" w:cstheme="minorHAnsi"/>
                <w:b/>
                <w:bCs/>
                <w:color w:val="FFFFFF"/>
                <w:lang w:eastAsia="en-IN"/>
              </w:rPr>
              <w:t xml:space="preserve">Target recipient countries </w:t>
            </w:r>
            <w:r w:rsidR="00930DB1">
              <w:rPr>
                <w:rFonts w:eastAsia="Times New Roman" w:cstheme="minorHAnsi"/>
                <w:b/>
                <w:bCs/>
                <w:color w:val="FFFFFF"/>
                <w:lang w:eastAsia="en-IN"/>
              </w:rPr>
              <w:t>and regions</w:t>
            </w:r>
            <w:r w:rsidRPr="002F756E">
              <w:rPr>
                <w:rFonts w:eastAsia="Times New Roman" w:cstheme="minorHAnsi"/>
                <w:b/>
                <w:bCs/>
                <w:color w:val="FFFFFF"/>
                <w:lang w:eastAsia="en-IN"/>
              </w:rPr>
              <w:br/>
              <w:t>(excluding EU recipients)</w:t>
            </w:r>
          </w:p>
        </w:tc>
        <w:tc>
          <w:tcPr>
            <w:tcW w:w="1843" w:type="dxa"/>
            <w:tcBorders>
              <w:top w:val="single" w:sz="4" w:space="0" w:color="FFFFFF"/>
              <w:left w:val="nil"/>
              <w:bottom w:val="single" w:sz="4" w:space="0" w:color="FFFFFF"/>
              <w:right w:val="single" w:sz="4" w:space="0" w:color="FFFFFF"/>
            </w:tcBorders>
            <w:shd w:val="clear" w:color="000000" w:fill="88194B"/>
            <w:vAlign w:val="center"/>
            <w:hideMark/>
          </w:tcPr>
          <w:p w14:paraId="73F7E744" w14:textId="77777777" w:rsidR="002F756E" w:rsidRPr="002F756E" w:rsidRDefault="002F756E" w:rsidP="002F756E">
            <w:pPr>
              <w:spacing w:after="0" w:line="240" w:lineRule="auto"/>
              <w:jc w:val="center"/>
              <w:rPr>
                <w:rFonts w:eastAsia="Times New Roman" w:cstheme="minorHAnsi"/>
                <w:b/>
                <w:bCs/>
                <w:color w:val="FFFFFF"/>
                <w:lang w:eastAsia="en-IN"/>
              </w:rPr>
            </w:pPr>
            <w:r w:rsidRPr="002F756E">
              <w:rPr>
                <w:rFonts w:eastAsia="Times New Roman" w:cstheme="minorHAnsi"/>
                <w:b/>
                <w:bCs/>
                <w:color w:val="FFFFFF"/>
                <w:lang w:eastAsia="en-IN"/>
              </w:rPr>
              <w:t xml:space="preserve">Sectors with greatest aid spend </w:t>
            </w:r>
          </w:p>
        </w:tc>
        <w:tc>
          <w:tcPr>
            <w:tcW w:w="1417" w:type="dxa"/>
            <w:tcBorders>
              <w:top w:val="single" w:sz="4" w:space="0" w:color="FFFFFF"/>
              <w:left w:val="nil"/>
              <w:bottom w:val="single" w:sz="4" w:space="0" w:color="FFFFFF"/>
              <w:right w:val="single" w:sz="4" w:space="0" w:color="FFFFFF"/>
            </w:tcBorders>
            <w:shd w:val="clear" w:color="000000" w:fill="88194B"/>
            <w:vAlign w:val="center"/>
            <w:hideMark/>
          </w:tcPr>
          <w:p w14:paraId="086FFE63" w14:textId="77777777" w:rsidR="002F756E" w:rsidRPr="002F756E" w:rsidRDefault="002F756E" w:rsidP="002F756E">
            <w:pPr>
              <w:spacing w:after="0" w:line="240" w:lineRule="auto"/>
              <w:jc w:val="center"/>
              <w:rPr>
                <w:rFonts w:eastAsia="Times New Roman" w:cstheme="minorHAnsi"/>
                <w:b/>
                <w:bCs/>
                <w:color w:val="FFFFFF"/>
                <w:lang w:eastAsia="en-IN"/>
              </w:rPr>
            </w:pPr>
            <w:r w:rsidRPr="002F756E">
              <w:rPr>
                <w:rFonts w:eastAsia="Times New Roman" w:cstheme="minorHAnsi"/>
                <w:b/>
                <w:bCs/>
                <w:color w:val="FFFFFF"/>
                <w:lang w:eastAsia="en-IN"/>
              </w:rPr>
              <w:t xml:space="preserve">Instruments </w:t>
            </w:r>
          </w:p>
        </w:tc>
        <w:tc>
          <w:tcPr>
            <w:tcW w:w="1418" w:type="dxa"/>
            <w:tcBorders>
              <w:top w:val="single" w:sz="4" w:space="0" w:color="FFFFFF"/>
              <w:left w:val="nil"/>
              <w:bottom w:val="single" w:sz="4" w:space="0" w:color="FFFFFF"/>
              <w:right w:val="single" w:sz="4" w:space="0" w:color="FFFFFF"/>
            </w:tcBorders>
            <w:shd w:val="clear" w:color="000000" w:fill="88194B"/>
            <w:vAlign w:val="center"/>
            <w:hideMark/>
          </w:tcPr>
          <w:p w14:paraId="4B7ED7FB" w14:textId="77777777" w:rsidR="002F756E" w:rsidRPr="002F756E" w:rsidRDefault="002F756E" w:rsidP="002F756E">
            <w:pPr>
              <w:spacing w:after="0" w:line="240" w:lineRule="auto"/>
              <w:jc w:val="center"/>
              <w:rPr>
                <w:rFonts w:eastAsia="Times New Roman" w:cstheme="minorHAnsi"/>
                <w:b/>
                <w:bCs/>
                <w:color w:val="FFFFFF"/>
                <w:lang w:eastAsia="en-IN"/>
              </w:rPr>
            </w:pPr>
            <w:r w:rsidRPr="002F756E">
              <w:rPr>
                <w:rFonts w:eastAsia="Times New Roman" w:cstheme="minorHAnsi"/>
                <w:b/>
                <w:bCs/>
                <w:color w:val="FFFFFF"/>
                <w:lang w:eastAsia="en-IN"/>
              </w:rPr>
              <w:t xml:space="preserve">Average project size (ex-grant) </w:t>
            </w:r>
          </w:p>
        </w:tc>
      </w:tr>
    </w:tbl>
    <w:tbl>
      <w:tblPr>
        <w:tblStyle w:val="TableGrid7"/>
        <w:tblW w:w="0" w:type="auto"/>
        <w:tblLook w:val="04A0" w:firstRow="1" w:lastRow="0" w:firstColumn="1" w:lastColumn="0" w:noHBand="0" w:noVBand="1"/>
      </w:tblPr>
      <w:tblGrid>
        <w:gridCol w:w="1555"/>
        <w:gridCol w:w="2551"/>
        <w:gridCol w:w="5103"/>
        <w:gridCol w:w="1843"/>
        <w:gridCol w:w="1417"/>
        <w:gridCol w:w="1418"/>
      </w:tblGrid>
      <w:tr w:rsidR="002F756E" w:rsidRPr="002F756E" w14:paraId="0E79E772" w14:textId="77777777" w:rsidTr="009B2458">
        <w:tc>
          <w:tcPr>
            <w:tcW w:w="1555" w:type="dxa"/>
          </w:tcPr>
          <w:bookmarkEnd w:id="58"/>
          <w:p w14:paraId="51360122" w14:textId="77777777" w:rsidR="002F756E" w:rsidRPr="002F756E" w:rsidRDefault="002F756E" w:rsidP="002F756E">
            <w:r w:rsidRPr="002F756E">
              <w:t>Korea: KOICA &amp; KEXIM (including EDCF)</w:t>
            </w:r>
          </w:p>
        </w:tc>
        <w:tc>
          <w:tcPr>
            <w:tcW w:w="2551" w:type="dxa"/>
          </w:tcPr>
          <w:p w14:paraId="1FD647ED" w14:textId="77777777" w:rsidR="002F756E" w:rsidRPr="002F756E" w:rsidRDefault="002F756E" w:rsidP="002F756E">
            <w:r w:rsidRPr="002F756E">
              <w:t>Committee for International Development Cooperation (CIDC, headed by the PM) has final approval over activities undertaken by Korean International Cooperation Agency (KOICA - for grant aid) and KEXIM (which administers the Economic Development Cooperation Fund [EDCF] for concessional loans). Ministry of Strategy and Finance (MOSF) supervises KEXIM and EDCF; Ministry of Foreign Affairs (MOFA) supervises KOICA.</w:t>
            </w:r>
          </w:p>
        </w:tc>
        <w:tc>
          <w:tcPr>
            <w:tcW w:w="5103" w:type="dxa"/>
          </w:tcPr>
          <w:p w14:paraId="7A920904" w14:textId="77777777" w:rsidR="002F756E" w:rsidRPr="002F756E" w:rsidRDefault="002F756E" w:rsidP="002F756E">
            <w:r w:rsidRPr="002F756E">
              <w:t>ASIA: Bangladesh, Cambodia, Indonesia, Lao PDR, Mongolia, Myanmar, Nepal, Pakistan, Philippines, Sri Lanka, Vietnam; MIDDLE EAST &amp; CIS: Azerbaijan, Uzbekistan; AFRICA: Ethiopia, Ghana, Mozambique, Rwanda, Senegal, Tanzania, Uganda; LATIN AMERICA: Bolivia, Colombia, Paraguay, Peru.</w:t>
            </w:r>
            <w:r w:rsidRPr="002F756E">
              <w:rPr>
                <w:vertAlign w:val="superscript"/>
              </w:rPr>
              <w:footnoteReference w:id="165"/>
            </w:r>
            <w:r w:rsidRPr="002F756E">
              <w:t xml:space="preserve"> </w:t>
            </w:r>
          </w:p>
        </w:tc>
        <w:tc>
          <w:tcPr>
            <w:tcW w:w="1843" w:type="dxa"/>
          </w:tcPr>
          <w:p w14:paraId="4F70C7F4" w14:textId="77777777" w:rsidR="002F756E" w:rsidRPr="002F756E" w:rsidRDefault="002F756E" w:rsidP="002F756E">
            <w:r w:rsidRPr="002F756E">
              <w:t>Transport (22.5%), Health (11.8%), WASH (11.6%), Education (11%), Governance (9.2%).</w:t>
            </w:r>
            <w:r w:rsidRPr="002F756E">
              <w:rPr>
                <w:vertAlign w:val="superscript"/>
              </w:rPr>
              <w:footnoteReference w:id="166"/>
            </w:r>
          </w:p>
        </w:tc>
        <w:tc>
          <w:tcPr>
            <w:tcW w:w="1417" w:type="dxa"/>
          </w:tcPr>
          <w:p w14:paraId="34B3ABE4" w14:textId="77777777" w:rsidR="002F756E" w:rsidRPr="002F756E" w:rsidRDefault="002F756E" w:rsidP="002F756E">
            <w:r w:rsidRPr="002F756E">
              <w:t>PPP loans, concessional loans, export credit, guarantees.</w:t>
            </w:r>
          </w:p>
        </w:tc>
        <w:tc>
          <w:tcPr>
            <w:tcW w:w="1418" w:type="dxa"/>
          </w:tcPr>
          <w:p w14:paraId="6BD611E8" w14:textId="77777777" w:rsidR="002F756E" w:rsidRPr="002F756E" w:rsidRDefault="002F756E" w:rsidP="002F756E">
            <w:r w:rsidRPr="002F756E">
              <w:t xml:space="preserve"> N/A</w:t>
            </w:r>
            <w:r w:rsidRPr="002F756E">
              <w:rPr>
                <w:vertAlign w:val="superscript"/>
              </w:rPr>
              <w:footnoteReference w:id="167"/>
            </w:r>
            <w:r w:rsidRPr="002F756E">
              <w:t xml:space="preserve">  </w:t>
            </w:r>
          </w:p>
        </w:tc>
      </w:tr>
    </w:tbl>
    <w:p w14:paraId="75B0C51F" w14:textId="77777777" w:rsidR="002F756E" w:rsidRPr="002F756E" w:rsidRDefault="002F756E" w:rsidP="002F756E">
      <w:r w:rsidRPr="002F756E">
        <w:br w:type="page"/>
      </w:r>
    </w:p>
    <w:tbl>
      <w:tblPr>
        <w:tblW w:w="13750" w:type="dxa"/>
        <w:tblInd w:w="-5" w:type="dxa"/>
        <w:tblLayout w:type="fixed"/>
        <w:tblLook w:val="04A0" w:firstRow="1" w:lastRow="0" w:firstColumn="1" w:lastColumn="0" w:noHBand="0" w:noVBand="1"/>
      </w:tblPr>
      <w:tblGrid>
        <w:gridCol w:w="1560"/>
        <w:gridCol w:w="2551"/>
        <w:gridCol w:w="5103"/>
        <w:gridCol w:w="1559"/>
        <w:gridCol w:w="1560"/>
        <w:gridCol w:w="1417"/>
      </w:tblGrid>
      <w:tr w:rsidR="002F756E" w:rsidRPr="002F756E" w14:paraId="75A047D3" w14:textId="77777777" w:rsidTr="00145DB0">
        <w:trPr>
          <w:trHeight w:val="480"/>
          <w:tblHeader/>
        </w:trPr>
        <w:tc>
          <w:tcPr>
            <w:tcW w:w="1560" w:type="dxa"/>
            <w:tcBorders>
              <w:top w:val="single" w:sz="4" w:space="0" w:color="FFFFFF"/>
              <w:left w:val="single" w:sz="4" w:space="0" w:color="FFFFFF"/>
              <w:bottom w:val="single" w:sz="4" w:space="0" w:color="FFFFFF"/>
              <w:right w:val="single" w:sz="4" w:space="0" w:color="FFFFFF"/>
            </w:tcBorders>
            <w:shd w:val="clear" w:color="000000" w:fill="88194B"/>
            <w:vAlign w:val="center"/>
            <w:hideMark/>
          </w:tcPr>
          <w:p w14:paraId="198725C2" w14:textId="77777777" w:rsidR="002F756E" w:rsidRPr="002F756E" w:rsidRDefault="002F756E" w:rsidP="002F756E">
            <w:pPr>
              <w:spacing w:after="0" w:line="240" w:lineRule="auto"/>
              <w:jc w:val="center"/>
              <w:rPr>
                <w:rFonts w:eastAsia="Times New Roman" w:cstheme="minorHAnsi"/>
                <w:b/>
                <w:bCs/>
                <w:color w:val="FFFFFF"/>
                <w:lang w:eastAsia="en-IN"/>
              </w:rPr>
            </w:pPr>
            <w:r w:rsidRPr="002F756E">
              <w:rPr>
                <w:rFonts w:eastAsia="Times New Roman" w:cstheme="minorHAnsi"/>
                <w:b/>
                <w:bCs/>
                <w:color w:val="FFFFFF"/>
                <w:lang w:eastAsia="en-IN"/>
              </w:rPr>
              <w:lastRenderedPageBreak/>
              <w:t xml:space="preserve">Donor country </w:t>
            </w:r>
          </w:p>
        </w:tc>
        <w:tc>
          <w:tcPr>
            <w:tcW w:w="2551" w:type="dxa"/>
            <w:tcBorders>
              <w:top w:val="single" w:sz="4" w:space="0" w:color="FFFFFF"/>
              <w:left w:val="nil"/>
              <w:bottom w:val="single" w:sz="4" w:space="0" w:color="FFFFFF"/>
              <w:right w:val="single" w:sz="4" w:space="0" w:color="FFFFFF"/>
            </w:tcBorders>
            <w:shd w:val="clear" w:color="000000" w:fill="88194B"/>
            <w:vAlign w:val="center"/>
            <w:hideMark/>
          </w:tcPr>
          <w:p w14:paraId="70C041BD" w14:textId="77777777" w:rsidR="002F756E" w:rsidRPr="002F756E" w:rsidRDefault="002F756E" w:rsidP="002F756E">
            <w:pPr>
              <w:spacing w:after="0" w:line="240" w:lineRule="auto"/>
              <w:jc w:val="center"/>
              <w:rPr>
                <w:rFonts w:eastAsia="Times New Roman" w:cstheme="minorHAnsi"/>
                <w:b/>
                <w:bCs/>
                <w:color w:val="FFFFFF"/>
                <w:lang w:eastAsia="en-IN"/>
              </w:rPr>
            </w:pPr>
            <w:r w:rsidRPr="002F756E">
              <w:rPr>
                <w:rFonts w:eastAsia="Times New Roman" w:cstheme="minorHAnsi"/>
                <w:b/>
                <w:bCs/>
                <w:color w:val="FFFFFF"/>
                <w:lang w:eastAsia="en-IN"/>
              </w:rPr>
              <w:t xml:space="preserve">Overview of </w:t>
            </w:r>
            <w:r w:rsidRPr="002F756E">
              <w:rPr>
                <w:rFonts w:eastAsia="Times New Roman" w:cstheme="minorHAnsi"/>
                <w:b/>
                <w:bCs/>
                <w:color w:val="FFFFFF"/>
                <w:lang w:eastAsia="en-IN"/>
              </w:rPr>
              <w:br/>
              <w:t xml:space="preserve">governance arrangement </w:t>
            </w:r>
          </w:p>
        </w:tc>
        <w:tc>
          <w:tcPr>
            <w:tcW w:w="5103" w:type="dxa"/>
            <w:tcBorders>
              <w:top w:val="single" w:sz="4" w:space="0" w:color="FFFFFF"/>
              <w:left w:val="nil"/>
              <w:bottom w:val="single" w:sz="4" w:space="0" w:color="FFFFFF"/>
              <w:right w:val="single" w:sz="4" w:space="0" w:color="FFFFFF"/>
            </w:tcBorders>
            <w:shd w:val="clear" w:color="000000" w:fill="88194B"/>
            <w:vAlign w:val="center"/>
            <w:hideMark/>
          </w:tcPr>
          <w:p w14:paraId="1AA6EDB1" w14:textId="273A4039" w:rsidR="002F756E" w:rsidRPr="002F756E" w:rsidRDefault="002F756E" w:rsidP="002F756E">
            <w:pPr>
              <w:spacing w:after="0" w:line="240" w:lineRule="auto"/>
              <w:jc w:val="center"/>
              <w:rPr>
                <w:rFonts w:eastAsia="Times New Roman" w:cstheme="minorHAnsi"/>
                <w:b/>
                <w:bCs/>
                <w:color w:val="FFFFFF"/>
                <w:lang w:eastAsia="en-IN"/>
              </w:rPr>
            </w:pPr>
            <w:r w:rsidRPr="002F756E">
              <w:rPr>
                <w:rFonts w:eastAsia="Times New Roman" w:cstheme="minorHAnsi"/>
                <w:b/>
                <w:bCs/>
                <w:color w:val="FFFFFF"/>
                <w:lang w:eastAsia="en-IN"/>
              </w:rPr>
              <w:t xml:space="preserve">Target recipient countries </w:t>
            </w:r>
            <w:r w:rsidR="00930DB1">
              <w:rPr>
                <w:rFonts w:eastAsia="Times New Roman" w:cstheme="minorHAnsi"/>
                <w:b/>
                <w:bCs/>
                <w:color w:val="FFFFFF"/>
                <w:lang w:eastAsia="en-IN"/>
              </w:rPr>
              <w:t>and regions</w:t>
            </w:r>
            <w:r w:rsidRPr="002F756E">
              <w:rPr>
                <w:rFonts w:eastAsia="Times New Roman" w:cstheme="minorHAnsi"/>
                <w:b/>
                <w:bCs/>
                <w:color w:val="FFFFFF"/>
                <w:lang w:eastAsia="en-IN"/>
              </w:rPr>
              <w:br/>
              <w:t>(excluding EU recipients)</w:t>
            </w:r>
          </w:p>
        </w:tc>
        <w:tc>
          <w:tcPr>
            <w:tcW w:w="1559" w:type="dxa"/>
            <w:tcBorders>
              <w:top w:val="single" w:sz="4" w:space="0" w:color="FFFFFF"/>
              <w:left w:val="nil"/>
              <w:bottom w:val="single" w:sz="4" w:space="0" w:color="FFFFFF"/>
              <w:right w:val="single" w:sz="4" w:space="0" w:color="FFFFFF"/>
            </w:tcBorders>
            <w:shd w:val="clear" w:color="000000" w:fill="88194B"/>
            <w:vAlign w:val="center"/>
            <w:hideMark/>
          </w:tcPr>
          <w:p w14:paraId="10F966DC" w14:textId="77777777" w:rsidR="002F756E" w:rsidRPr="002F756E" w:rsidRDefault="002F756E" w:rsidP="002F756E">
            <w:pPr>
              <w:spacing w:after="0" w:line="240" w:lineRule="auto"/>
              <w:jc w:val="center"/>
              <w:rPr>
                <w:rFonts w:eastAsia="Times New Roman" w:cstheme="minorHAnsi"/>
                <w:b/>
                <w:bCs/>
                <w:color w:val="FFFFFF"/>
                <w:lang w:eastAsia="en-IN"/>
              </w:rPr>
            </w:pPr>
            <w:r w:rsidRPr="002F756E">
              <w:rPr>
                <w:rFonts w:eastAsia="Times New Roman" w:cstheme="minorHAnsi"/>
                <w:b/>
                <w:bCs/>
                <w:color w:val="FFFFFF"/>
                <w:lang w:eastAsia="en-IN"/>
              </w:rPr>
              <w:t xml:space="preserve">Sectors with greatest aid spend </w:t>
            </w:r>
          </w:p>
        </w:tc>
        <w:tc>
          <w:tcPr>
            <w:tcW w:w="1560" w:type="dxa"/>
            <w:tcBorders>
              <w:top w:val="single" w:sz="4" w:space="0" w:color="FFFFFF"/>
              <w:left w:val="nil"/>
              <w:bottom w:val="single" w:sz="4" w:space="0" w:color="FFFFFF"/>
              <w:right w:val="single" w:sz="4" w:space="0" w:color="FFFFFF"/>
            </w:tcBorders>
            <w:shd w:val="clear" w:color="000000" w:fill="88194B"/>
            <w:vAlign w:val="center"/>
            <w:hideMark/>
          </w:tcPr>
          <w:p w14:paraId="4AEBCB4E" w14:textId="77777777" w:rsidR="002F756E" w:rsidRPr="002F756E" w:rsidRDefault="002F756E" w:rsidP="002F756E">
            <w:pPr>
              <w:spacing w:after="0" w:line="240" w:lineRule="auto"/>
              <w:jc w:val="center"/>
              <w:rPr>
                <w:rFonts w:eastAsia="Times New Roman" w:cstheme="minorHAnsi"/>
                <w:b/>
                <w:bCs/>
                <w:color w:val="FFFFFF"/>
                <w:lang w:eastAsia="en-IN"/>
              </w:rPr>
            </w:pPr>
            <w:r w:rsidRPr="002F756E">
              <w:rPr>
                <w:rFonts w:eastAsia="Times New Roman" w:cstheme="minorHAnsi"/>
                <w:b/>
                <w:bCs/>
                <w:color w:val="FFFFFF"/>
                <w:lang w:eastAsia="en-IN"/>
              </w:rPr>
              <w:t xml:space="preserve">Instruments </w:t>
            </w:r>
          </w:p>
        </w:tc>
        <w:tc>
          <w:tcPr>
            <w:tcW w:w="1417" w:type="dxa"/>
            <w:tcBorders>
              <w:top w:val="single" w:sz="4" w:space="0" w:color="FFFFFF"/>
              <w:left w:val="nil"/>
              <w:bottom w:val="single" w:sz="4" w:space="0" w:color="FFFFFF"/>
              <w:right w:val="single" w:sz="4" w:space="0" w:color="FFFFFF"/>
            </w:tcBorders>
            <w:shd w:val="clear" w:color="000000" w:fill="88194B"/>
            <w:vAlign w:val="center"/>
            <w:hideMark/>
          </w:tcPr>
          <w:p w14:paraId="52E350D1" w14:textId="77777777" w:rsidR="002F756E" w:rsidRPr="002F756E" w:rsidRDefault="002F756E" w:rsidP="002F756E">
            <w:pPr>
              <w:spacing w:after="0" w:line="240" w:lineRule="auto"/>
              <w:jc w:val="center"/>
              <w:rPr>
                <w:rFonts w:eastAsia="Times New Roman" w:cstheme="minorHAnsi"/>
                <w:b/>
                <w:bCs/>
                <w:color w:val="FFFFFF"/>
                <w:lang w:eastAsia="en-IN"/>
              </w:rPr>
            </w:pPr>
            <w:r w:rsidRPr="002F756E">
              <w:rPr>
                <w:rFonts w:eastAsia="Times New Roman" w:cstheme="minorHAnsi"/>
                <w:b/>
                <w:bCs/>
                <w:color w:val="FFFFFF"/>
                <w:lang w:eastAsia="en-IN"/>
              </w:rPr>
              <w:t xml:space="preserve">Average project size (ex-grant) </w:t>
            </w:r>
          </w:p>
        </w:tc>
      </w:tr>
      <w:tr w:rsidR="002F756E" w:rsidRPr="002F756E" w14:paraId="35C89403" w14:textId="77777777" w:rsidTr="00145DB0">
        <w:trPr>
          <w:trHeight w:val="5145"/>
        </w:trPr>
        <w:tc>
          <w:tcPr>
            <w:tcW w:w="1560" w:type="dxa"/>
            <w:tcBorders>
              <w:top w:val="nil"/>
              <w:left w:val="single" w:sz="4" w:space="0" w:color="auto"/>
              <w:bottom w:val="single" w:sz="4" w:space="0" w:color="auto"/>
              <w:right w:val="nil"/>
            </w:tcBorders>
            <w:shd w:val="clear" w:color="000000" w:fill="FFFFFF"/>
            <w:hideMark/>
          </w:tcPr>
          <w:p w14:paraId="20F06B0E" w14:textId="77777777" w:rsidR="002F756E" w:rsidRPr="002F756E" w:rsidRDefault="002F756E" w:rsidP="002F756E">
            <w:pPr>
              <w:spacing w:after="0" w:line="240" w:lineRule="auto"/>
              <w:rPr>
                <w:rFonts w:eastAsia="Times New Roman" w:cstheme="minorHAnsi"/>
                <w:color w:val="000000"/>
                <w:lang w:eastAsia="en-IN"/>
              </w:rPr>
            </w:pPr>
            <w:r w:rsidRPr="002F756E">
              <w:rPr>
                <w:rFonts w:eastAsia="Times New Roman" w:cstheme="minorHAnsi"/>
                <w:b/>
                <w:bCs/>
                <w:color w:val="000000"/>
                <w:lang w:eastAsia="en-IN"/>
              </w:rPr>
              <w:t>Germany</w:t>
            </w:r>
            <w:r w:rsidRPr="002F756E">
              <w:rPr>
                <w:rFonts w:eastAsia="Times New Roman" w:cstheme="minorHAnsi"/>
                <w:color w:val="000000"/>
                <w:lang w:eastAsia="en-IN"/>
              </w:rPr>
              <w:t xml:space="preserve">: </w:t>
            </w:r>
            <w:proofErr w:type="spellStart"/>
            <w:r w:rsidRPr="002F756E">
              <w:rPr>
                <w:rFonts w:eastAsia="Times New Roman" w:cstheme="minorHAnsi"/>
                <w:color w:val="000000"/>
                <w:lang w:eastAsia="en-IN"/>
              </w:rPr>
              <w:t>KfW</w:t>
            </w:r>
            <w:proofErr w:type="spellEnd"/>
            <w:r w:rsidRPr="002F756E">
              <w:rPr>
                <w:rFonts w:eastAsia="Times New Roman" w:cstheme="minorHAnsi"/>
                <w:color w:val="000000"/>
                <w:lang w:eastAsia="en-IN"/>
              </w:rPr>
              <w:t xml:space="preserve"> Development Bank (including DEG)</w:t>
            </w:r>
          </w:p>
        </w:tc>
        <w:tc>
          <w:tcPr>
            <w:tcW w:w="2551" w:type="dxa"/>
            <w:tcBorders>
              <w:top w:val="nil"/>
              <w:left w:val="single" w:sz="4" w:space="0" w:color="88194B"/>
              <w:bottom w:val="single" w:sz="4" w:space="0" w:color="88194B"/>
              <w:right w:val="single" w:sz="4" w:space="0" w:color="88194B"/>
            </w:tcBorders>
            <w:shd w:val="clear" w:color="auto" w:fill="auto"/>
            <w:hideMark/>
          </w:tcPr>
          <w:p w14:paraId="4247C63D" w14:textId="77777777" w:rsidR="002F756E" w:rsidRPr="002F756E" w:rsidRDefault="002F756E" w:rsidP="002F756E">
            <w:pPr>
              <w:spacing w:after="0" w:line="240" w:lineRule="auto"/>
              <w:rPr>
                <w:rFonts w:eastAsia="Times New Roman" w:cstheme="minorHAnsi"/>
                <w:color w:val="000000"/>
                <w:lang w:eastAsia="en-IN"/>
              </w:rPr>
            </w:pPr>
            <w:r w:rsidRPr="002F756E">
              <w:rPr>
                <w:rFonts w:eastAsia="Times New Roman" w:cstheme="minorHAnsi"/>
                <w:color w:val="000000"/>
                <w:lang w:eastAsia="en-IN"/>
              </w:rPr>
              <w:t xml:space="preserve">Federal Ministry for Economic Cooperation and Development (BMZ) oversees German Agency for International Cooperation (or GIZ, for technical cooperation) and </w:t>
            </w:r>
            <w:proofErr w:type="spellStart"/>
            <w:r w:rsidRPr="002F756E">
              <w:rPr>
                <w:rFonts w:eastAsia="Times New Roman" w:cstheme="minorHAnsi"/>
                <w:color w:val="000000"/>
                <w:lang w:eastAsia="en-IN"/>
              </w:rPr>
              <w:t>KfW</w:t>
            </w:r>
            <w:proofErr w:type="spellEnd"/>
            <w:r w:rsidRPr="002F756E">
              <w:rPr>
                <w:rFonts w:eastAsia="Times New Roman" w:cstheme="minorHAnsi"/>
                <w:color w:val="000000"/>
                <w:lang w:eastAsia="en-IN"/>
              </w:rPr>
              <w:t xml:space="preserve"> Development Bank (including German Investment and Development Corporation [or DEG, the private sector financing arm], for financial cooperation). DEG operates as a Limited Liability Company, wholly owned by </w:t>
            </w:r>
            <w:proofErr w:type="spellStart"/>
            <w:r w:rsidRPr="002F756E">
              <w:rPr>
                <w:rFonts w:eastAsia="Times New Roman" w:cstheme="minorHAnsi"/>
                <w:color w:val="000000"/>
                <w:lang w:eastAsia="en-IN"/>
              </w:rPr>
              <w:t>KfW</w:t>
            </w:r>
            <w:proofErr w:type="spellEnd"/>
            <w:r w:rsidRPr="002F756E">
              <w:rPr>
                <w:rFonts w:eastAsia="Times New Roman" w:cstheme="minorHAnsi"/>
                <w:color w:val="000000"/>
                <w:lang w:eastAsia="en-IN"/>
              </w:rPr>
              <w:t>.</w:t>
            </w:r>
            <w:r w:rsidRPr="002F756E">
              <w:rPr>
                <w:rFonts w:eastAsia="Times New Roman" w:cstheme="minorHAnsi"/>
                <w:color w:val="000000"/>
                <w:vertAlign w:val="superscript"/>
                <w:lang w:eastAsia="en-IN"/>
              </w:rPr>
              <w:footnoteReference w:id="168"/>
            </w:r>
            <w:r w:rsidRPr="002F756E">
              <w:rPr>
                <w:rFonts w:eastAsia="Times New Roman" w:cstheme="minorHAnsi"/>
                <w:color w:val="000000"/>
                <w:vertAlign w:val="superscript"/>
                <w:lang w:eastAsia="en-IN"/>
              </w:rPr>
              <w:t>,</w:t>
            </w:r>
            <w:r w:rsidRPr="002F756E">
              <w:rPr>
                <w:rFonts w:eastAsia="Times New Roman" w:cstheme="minorHAnsi"/>
                <w:color w:val="000000"/>
                <w:vertAlign w:val="superscript"/>
                <w:lang w:eastAsia="en-IN"/>
              </w:rPr>
              <w:footnoteReference w:id="169"/>
            </w:r>
            <w:r w:rsidRPr="002F756E">
              <w:rPr>
                <w:rFonts w:eastAsia="Times New Roman" w:cstheme="minorHAnsi"/>
                <w:color w:val="000000"/>
                <w:lang w:eastAsia="en-IN"/>
              </w:rPr>
              <w:t xml:space="preserve"> </w:t>
            </w:r>
          </w:p>
        </w:tc>
        <w:tc>
          <w:tcPr>
            <w:tcW w:w="5103" w:type="dxa"/>
            <w:tcBorders>
              <w:top w:val="nil"/>
              <w:left w:val="nil"/>
              <w:bottom w:val="single" w:sz="4" w:space="0" w:color="88194B"/>
              <w:right w:val="single" w:sz="4" w:space="0" w:color="88194B"/>
            </w:tcBorders>
            <w:shd w:val="clear" w:color="auto" w:fill="auto"/>
            <w:hideMark/>
          </w:tcPr>
          <w:p w14:paraId="568CD6F1" w14:textId="77777777" w:rsidR="002F756E" w:rsidRPr="002F756E" w:rsidRDefault="002F756E" w:rsidP="002F756E">
            <w:pPr>
              <w:spacing w:after="0" w:line="240" w:lineRule="auto"/>
              <w:rPr>
                <w:rFonts w:eastAsia="Times New Roman" w:cstheme="minorHAnsi"/>
                <w:color w:val="000000"/>
                <w:lang w:eastAsia="en-IN"/>
              </w:rPr>
            </w:pPr>
            <w:r w:rsidRPr="002F756E">
              <w:rPr>
                <w:rFonts w:eastAsia="Times New Roman" w:cstheme="minorHAnsi"/>
                <w:color w:val="FF0000"/>
                <w:lang w:eastAsia="en-IN"/>
              </w:rPr>
              <w:t>ASIA</w:t>
            </w:r>
            <w:r w:rsidRPr="002F756E">
              <w:rPr>
                <w:rFonts w:eastAsia="Times New Roman" w:cstheme="minorHAnsi"/>
                <w:color w:val="000000"/>
                <w:lang w:eastAsia="en-IN"/>
              </w:rPr>
              <w:t xml:space="preserve">: </w:t>
            </w:r>
            <w:r w:rsidRPr="002F756E">
              <w:rPr>
                <w:rFonts w:eastAsia="Times New Roman" w:cstheme="minorHAnsi"/>
                <w:color w:val="4472C4"/>
                <w:lang w:eastAsia="en-IN"/>
              </w:rPr>
              <w:t>Afghanistan</w:t>
            </w:r>
            <w:r w:rsidRPr="002F756E">
              <w:rPr>
                <w:rFonts w:eastAsia="Times New Roman" w:cstheme="minorHAnsi"/>
                <w:color w:val="000000"/>
                <w:lang w:eastAsia="en-IN"/>
              </w:rPr>
              <w:t xml:space="preserve">, Bangladesh, Cambodia, China, India, Indonesia, Kazakhstan, </w:t>
            </w:r>
            <w:r w:rsidRPr="002F756E">
              <w:rPr>
                <w:rFonts w:eastAsia="Times New Roman" w:cstheme="minorHAnsi"/>
                <w:color w:val="4472C4"/>
                <w:lang w:eastAsia="en-IN"/>
              </w:rPr>
              <w:t>Kyrgyzstan</w:t>
            </w:r>
            <w:r w:rsidRPr="002F756E">
              <w:rPr>
                <w:rFonts w:eastAsia="Times New Roman" w:cstheme="minorHAnsi"/>
                <w:color w:val="000000"/>
                <w:lang w:eastAsia="en-IN"/>
              </w:rPr>
              <w:t xml:space="preserve">, </w:t>
            </w:r>
            <w:r w:rsidRPr="002F756E">
              <w:rPr>
                <w:rFonts w:eastAsia="Times New Roman" w:cstheme="minorHAnsi"/>
                <w:color w:val="4472C4"/>
                <w:lang w:eastAsia="en-IN"/>
              </w:rPr>
              <w:t>Lao</w:t>
            </w:r>
            <w:r w:rsidRPr="002F756E">
              <w:rPr>
                <w:rFonts w:eastAsia="Times New Roman" w:cstheme="minorHAnsi"/>
                <w:color w:val="000000"/>
                <w:lang w:eastAsia="en-IN"/>
              </w:rPr>
              <w:t xml:space="preserve"> </w:t>
            </w:r>
            <w:r w:rsidRPr="002F756E">
              <w:rPr>
                <w:rFonts w:eastAsia="Times New Roman" w:cstheme="minorHAnsi"/>
                <w:color w:val="4472C4"/>
                <w:lang w:eastAsia="en-IN"/>
              </w:rPr>
              <w:t>PDR</w:t>
            </w:r>
            <w:r w:rsidRPr="002F756E">
              <w:rPr>
                <w:rFonts w:eastAsia="Times New Roman" w:cstheme="minorHAnsi"/>
                <w:color w:val="000000"/>
                <w:lang w:eastAsia="en-IN"/>
              </w:rPr>
              <w:t xml:space="preserve">, </w:t>
            </w:r>
            <w:r w:rsidRPr="002F756E">
              <w:rPr>
                <w:rFonts w:eastAsia="Times New Roman" w:cstheme="minorHAnsi"/>
                <w:color w:val="4472C4"/>
                <w:lang w:eastAsia="en-IN"/>
              </w:rPr>
              <w:t>Mongolia</w:t>
            </w:r>
            <w:r w:rsidRPr="002F756E">
              <w:rPr>
                <w:rFonts w:eastAsia="Times New Roman" w:cstheme="minorHAnsi"/>
                <w:color w:val="000000"/>
                <w:lang w:eastAsia="en-IN"/>
              </w:rPr>
              <w:t xml:space="preserve">, </w:t>
            </w:r>
            <w:r w:rsidRPr="002F756E">
              <w:rPr>
                <w:rFonts w:eastAsia="Times New Roman" w:cstheme="minorHAnsi"/>
                <w:color w:val="4472C4"/>
                <w:lang w:eastAsia="en-IN"/>
              </w:rPr>
              <w:t>Myanmar</w:t>
            </w:r>
            <w:r w:rsidRPr="002F756E">
              <w:rPr>
                <w:rFonts w:eastAsia="Times New Roman" w:cstheme="minorHAnsi"/>
                <w:color w:val="000000"/>
                <w:lang w:eastAsia="en-IN"/>
              </w:rPr>
              <w:t xml:space="preserve">, Malaysia, Nepal, Pakistan, </w:t>
            </w:r>
            <w:r w:rsidRPr="002F756E">
              <w:rPr>
                <w:rFonts w:eastAsia="Times New Roman" w:cstheme="minorHAnsi"/>
                <w:color w:val="4472C4"/>
                <w:lang w:eastAsia="en-IN"/>
              </w:rPr>
              <w:t>Philippines</w:t>
            </w:r>
            <w:r w:rsidRPr="002F756E">
              <w:rPr>
                <w:rFonts w:eastAsia="Times New Roman" w:cstheme="minorHAnsi"/>
                <w:color w:val="000000"/>
                <w:lang w:eastAsia="en-IN"/>
              </w:rPr>
              <w:t xml:space="preserve">, Sri Lanka, </w:t>
            </w:r>
            <w:r w:rsidRPr="002F756E">
              <w:rPr>
                <w:rFonts w:eastAsia="Times New Roman" w:cstheme="minorHAnsi"/>
                <w:color w:val="4472C4"/>
                <w:lang w:eastAsia="en-IN"/>
              </w:rPr>
              <w:t>Tajikistan</w:t>
            </w:r>
            <w:r w:rsidRPr="002F756E">
              <w:rPr>
                <w:rFonts w:eastAsia="Times New Roman" w:cstheme="minorHAnsi"/>
                <w:color w:val="000000"/>
                <w:lang w:eastAsia="en-IN"/>
              </w:rPr>
              <w:t xml:space="preserve">, </w:t>
            </w:r>
            <w:r w:rsidRPr="002F756E">
              <w:rPr>
                <w:rFonts w:eastAsia="Times New Roman" w:cstheme="minorHAnsi"/>
                <w:color w:val="4472C4"/>
                <w:lang w:eastAsia="en-IN"/>
              </w:rPr>
              <w:t>Timor-Leste</w:t>
            </w:r>
            <w:r w:rsidRPr="002F756E">
              <w:rPr>
                <w:rFonts w:eastAsia="Times New Roman" w:cstheme="minorHAnsi"/>
                <w:color w:val="000000"/>
                <w:lang w:eastAsia="en-IN"/>
              </w:rPr>
              <w:t xml:space="preserve">, Thailand, </w:t>
            </w:r>
            <w:r w:rsidRPr="002F756E">
              <w:rPr>
                <w:rFonts w:eastAsia="Times New Roman" w:cstheme="minorHAnsi"/>
                <w:color w:val="4472C4"/>
                <w:lang w:eastAsia="en-IN"/>
              </w:rPr>
              <w:t>Uzbekistan</w:t>
            </w:r>
            <w:r w:rsidRPr="002F756E">
              <w:rPr>
                <w:rFonts w:eastAsia="Times New Roman" w:cstheme="minorHAnsi"/>
                <w:color w:val="000000"/>
                <w:lang w:eastAsia="en-IN"/>
              </w:rPr>
              <w:t xml:space="preserve">, Vietnam; </w:t>
            </w:r>
            <w:r w:rsidRPr="002F756E">
              <w:rPr>
                <w:rFonts w:eastAsia="Times New Roman" w:cstheme="minorHAnsi"/>
                <w:color w:val="FF0000"/>
                <w:lang w:eastAsia="en-IN"/>
              </w:rPr>
              <w:t>MIDDLE EAST &amp; NORTH AFRICA</w:t>
            </w:r>
            <w:r w:rsidRPr="002F756E">
              <w:rPr>
                <w:rFonts w:eastAsia="Times New Roman" w:cstheme="minorHAnsi"/>
                <w:color w:val="000000"/>
                <w:lang w:eastAsia="en-IN"/>
              </w:rPr>
              <w:t xml:space="preserve">: </w:t>
            </w:r>
            <w:r w:rsidRPr="002F756E">
              <w:rPr>
                <w:rFonts w:eastAsia="Times New Roman" w:cstheme="minorHAnsi"/>
                <w:color w:val="4472C4"/>
                <w:lang w:eastAsia="en-IN"/>
              </w:rPr>
              <w:t>Egypt</w:t>
            </w:r>
            <w:r w:rsidRPr="002F756E">
              <w:rPr>
                <w:rFonts w:eastAsia="Times New Roman" w:cstheme="minorHAnsi"/>
                <w:color w:val="000000"/>
                <w:lang w:eastAsia="en-IN"/>
              </w:rPr>
              <w:t xml:space="preserve">, </w:t>
            </w:r>
            <w:r w:rsidRPr="002F756E">
              <w:rPr>
                <w:rFonts w:eastAsia="Times New Roman" w:cstheme="minorHAnsi"/>
                <w:color w:val="4472C4"/>
                <w:lang w:eastAsia="en-IN"/>
              </w:rPr>
              <w:t>Iraq</w:t>
            </w:r>
            <w:r w:rsidRPr="002F756E">
              <w:rPr>
                <w:rFonts w:eastAsia="Times New Roman" w:cstheme="minorHAnsi"/>
                <w:color w:val="000000"/>
                <w:lang w:eastAsia="en-IN"/>
              </w:rPr>
              <w:t xml:space="preserve">, Jordan, </w:t>
            </w:r>
            <w:r w:rsidRPr="002F756E">
              <w:rPr>
                <w:rFonts w:eastAsia="Times New Roman" w:cstheme="minorHAnsi"/>
                <w:color w:val="4472C4"/>
                <w:lang w:eastAsia="en-IN"/>
              </w:rPr>
              <w:t>Lebanon</w:t>
            </w:r>
            <w:r w:rsidRPr="002F756E">
              <w:rPr>
                <w:rFonts w:eastAsia="Times New Roman" w:cstheme="minorHAnsi"/>
                <w:color w:val="000000"/>
                <w:lang w:eastAsia="en-IN"/>
              </w:rPr>
              <w:t xml:space="preserve">, Morocco, </w:t>
            </w:r>
            <w:r w:rsidRPr="002F756E">
              <w:rPr>
                <w:rFonts w:eastAsia="Times New Roman" w:cstheme="minorHAnsi"/>
                <w:color w:val="4472C4"/>
                <w:lang w:eastAsia="en-IN"/>
              </w:rPr>
              <w:t>Palestinian territories</w:t>
            </w:r>
            <w:r w:rsidRPr="002F756E">
              <w:rPr>
                <w:rFonts w:eastAsia="Times New Roman" w:cstheme="minorHAnsi"/>
                <w:color w:val="000000"/>
                <w:lang w:eastAsia="en-IN"/>
              </w:rPr>
              <w:t>,</w:t>
            </w:r>
            <w:r w:rsidRPr="002F756E">
              <w:rPr>
                <w:rFonts w:eastAsia="Times New Roman" w:cstheme="minorHAnsi"/>
                <w:color w:val="4472C4"/>
                <w:lang w:eastAsia="en-IN"/>
              </w:rPr>
              <w:t xml:space="preserve"> Syria</w:t>
            </w:r>
            <w:r w:rsidRPr="002F756E">
              <w:rPr>
                <w:rFonts w:eastAsia="Times New Roman" w:cstheme="minorHAnsi"/>
                <w:color w:val="000000"/>
                <w:lang w:eastAsia="en-IN"/>
              </w:rPr>
              <w:t>,</w:t>
            </w:r>
            <w:r w:rsidRPr="002F756E">
              <w:rPr>
                <w:rFonts w:eastAsia="Times New Roman" w:cstheme="minorHAnsi"/>
                <w:color w:val="4472C4"/>
                <w:lang w:eastAsia="en-IN"/>
              </w:rPr>
              <w:t xml:space="preserve"> </w:t>
            </w:r>
            <w:r w:rsidRPr="002F756E">
              <w:rPr>
                <w:rFonts w:eastAsia="Times New Roman" w:cstheme="minorHAnsi"/>
                <w:color w:val="000000"/>
                <w:lang w:eastAsia="en-IN"/>
              </w:rPr>
              <w:t xml:space="preserve">Tunisia, </w:t>
            </w:r>
            <w:r w:rsidRPr="002F756E">
              <w:rPr>
                <w:rFonts w:eastAsia="Times New Roman" w:cstheme="minorHAnsi"/>
                <w:color w:val="4472C4"/>
                <w:lang w:eastAsia="en-IN"/>
              </w:rPr>
              <w:t>Yemen</w:t>
            </w:r>
            <w:r w:rsidRPr="002F756E">
              <w:rPr>
                <w:rFonts w:eastAsia="Times New Roman" w:cstheme="minorHAnsi"/>
                <w:color w:val="000000"/>
                <w:lang w:eastAsia="en-IN"/>
              </w:rPr>
              <w:t xml:space="preserve">; </w:t>
            </w:r>
            <w:r w:rsidRPr="002F756E">
              <w:rPr>
                <w:rFonts w:eastAsia="Times New Roman" w:cstheme="minorHAnsi"/>
                <w:color w:val="FF0000"/>
                <w:lang w:eastAsia="en-IN"/>
              </w:rPr>
              <w:t>AFRICA</w:t>
            </w:r>
            <w:r w:rsidRPr="002F756E">
              <w:rPr>
                <w:rFonts w:eastAsia="Times New Roman" w:cstheme="minorHAnsi"/>
                <w:color w:val="000000"/>
                <w:lang w:eastAsia="en-IN"/>
              </w:rPr>
              <w:t>:</w:t>
            </w:r>
            <w:r w:rsidRPr="002F756E">
              <w:rPr>
                <w:rFonts w:eastAsia="Times New Roman" w:cstheme="minorHAnsi"/>
                <w:color w:val="4472C4"/>
                <w:lang w:eastAsia="en-IN"/>
              </w:rPr>
              <w:t xml:space="preserve"> AU, Benin, Burkina Faso, Burundi, Cameroon, CAR, Congo, Ghana, Guinea, Liberia, Madagascar, Malawi, Mozambique, Namibia, Niger, Rwanda, Senegal, Sierra Leone, South Sudan, Togo, Uganda, Zambia,</w:t>
            </w:r>
            <w:r w:rsidRPr="002F756E">
              <w:rPr>
                <w:rFonts w:eastAsia="Times New Roman" w:cstheme="minorHAnsi"/>
                <w:color w:val="000000"/>
                <w:lang w:eastAsia="en-IN"/>
              </w:rPr>
              <w:t xml:space="preserve"> Ethiopia, Ivory Coast, Kenya, Mali, Nigeria, SA, Tanzania; </w:t>
            </w:r>
            <w:r w:rsidRPr="002F756E">
              <w:rPr>
                <w:rFonts w:eastAsia="Times New Roman" w:cstheme="minorHAnsi"/>
                <w:color w:val="FF0000"/>
                <w:lang w:eastAsia="en-IN"/>
              </w:rPr>
              <w:t>LATIN AMERICA</w:t>
            </w:r>
            <w:r w:rsidRPr="002F756E">
              <w:rPr>
                <w:rFonts w:eastAsia="Times New Roman" w:cstheme="minorHAnsi"/>
                <w:color w:val="000000"/>
                <w:lang w:eastAsia="en-IN"/>
              </w:rPr>
              <w:t xml:space="preserve">: Argentina, </w:t>
            </w:r>
            <w:r w:rsidRPr="002F756E">
              <w:rPr>
                <w:rFonts w:eastAsia="Times New Roman" w:cstheme="minorHAnsi"/>
                <w:color w:val="4472C4"/>
                <w:lang w:eastAsia="en-IN"/>
              </w:rPr>
              <w:t>Bolivia</w:t>
            </w:r>
            <w:r w:rsidRPr="002F756E">
              <w:rPr>
                <w:rFonts w:eastAsia="Times New Roman" w:cstheme="minorHAnsi"/>
                <w:color w:val="000000"/>
                <w:lang w:eastAsia="en-IN"/>
              </w:rPr>
              <w:t xml:space="preserve">, Brazil, </w:t>
            </w:r>
            <w:r w:rsidRPr="002F756E">
              <w:rPr>
                <w:rFonts w:eastAsia="Times New Roman" w:cstheme="minorHAnsi"/>
                <w:color w:val="4472C4"/>
                <w:lang w:eastAsia="en-IN"/>
              </w:rPr>
              <w:t>Colombia</w:t>
            </w:r>
            <w:r w:rsidRPr="002F756E">
              <w:rPr>
                <w:rFonts w:eastAsia="Times New Roman" w:cstheme="minorHAnsi"/>
                <w:color w:val="000000"/>
                <w:lang w:eastAsia="en-IN"/>
              </w:rPr>
              <w:t>, Costa Rica, Dominican Republic, Ecuador, El Salvador, Guatemala, Honduras, Mexico, Nicaragua, Panama, Paraguay, Peru.</w:t>
            </w:r>
            <w:r w:rsidRPr="002F756E">
              <w:rPr>
                <w:rFonts w:eastAsia="Times New Roman" w:cstheme="minorHAnsi"/>
                <w:color w:val="000000"/>
                <w:vertAlign w:val="superscript"/>
                <w:lang w:eastAsia="en-IN"/>
              </w:rPr>
              <w:footnoteReference w:id="170"/>
            </w:r>
            <w:r w:rsidRPr="002F756E">
              <w:rPr>
                <w:rFonts w:eastAsia="Times New Roman" w:cstheme="minorHAnsi"/>
                <w:color w:val="000000"/>
                <w:lang w:eastAsia="en-IN"/>
              </w:rPr>
              <w:t xml:space="preserve"> </w:t>
            </w:r>
          </w:p>
        </w:tc>
        <w:tc>
          <w:tcPr>
            <w:tcW w:w="1559" w:type="dxa"/>
            <w:tcBorders>
              <w:top w:val="nil"/>
              <w:left w:val="nil"/>
              <w:bottom w:val="single" w:sz="4" w:space="0" w:color="88194B"/>
              <w:right w:val="single" w:sz="4" w:space="0" w:color="88194B"/>
            </w:tcBorders>
            <w:shd w:val="clear" w:color="auto" w:fill="auto"/>
            <w:hideMark/>
          </w:tcPr>
          <w:p w14:paraId="741ED202" w14:textId="77777777" w:rsidR="002F756E" w:rsidRPr="002F756E" w:rsidRDefault="002F756E" w:rsidP="002F756E">
            <w:pPr>
              <w:spacing w:after="0" w:line="240" w:lineRule="auto"/>
              <w:rPr>
                <w:rFonts w:eastAsia="Times New Roman" w:cstheme="minorHAnsi"/>
                <w:color w:val="000000"/>
                <w:lang w:eastAsia="en-IN"/>
              </w:rPr>
            </w:pPr>
            <w:r w:rsidRPr="002F756E">
              <w:rPr>
                <w:rFonts w:eastAsia="Times New Roman" w:cstheme="minorHAnsi"/>
                <w:color w:val="000000"/>
                <w:lang w:eastAsia="en-IN"/>
              </w:rPr>
              <w:t xml:space="preserve">Industry/manufacturing (33%), Financial sector (35%), Power (13%), Agribusiness (11%). </w:t>
            </w:r>
            <w:r w:rsidRPr="002F756E">
              <w:rPr>
                <w:rFonts w:eastAsia="Times New Roman" w:cstheme="minorHAnsi"/>
                <w:color w:val="000000"/>
                <w:vertAlign w:val="superscript"/>
                <w:lang w:eastAsia="en-IN"/>
              </w:rPr>
              <w:footnoteReference w:id="171"/>
            </w:r>
            <w:r w:rsidRPr="002F756E">
              <w:rPr>
                <w:rFonts w:eastAsia="Times New Roman" w:cstheme="minorHAnsi"/>
                <w:color w:val="000000"/>
                <w:lang w:eastAsia="en-IN"/>
              </w:rPr>
              <w:t xml:space="preserve"> </w:t>
            </w:r>
          </w:p>
        </w:tc>
        <w:tc>
          <w:tcPr>
            <w:tcW w:w="1560" w:type="dxa"/>
            <w:tcBorders>
              <w:top w:val="nil"/>
              <w:left w:val="nil"/>
              <w:bottom w:val="single" w:sz="4" w:space="0" w:color="88194B"/>
              <w:right w:val="single" w:sz="4" w:space="0" w:color="88194B"/>
            </w:tcBorders>
            <w:shd w:val="clear" w:color="auto" w:fill="auto"/>
            <w:hideMark/>
          </w:tcPr>
          <w:p w14:paraId="5D6B9D99" w14:textId="77777777" w:rsidR="002F756E" w:rsidRPr="002F756E" w:rsidRDefault="002F756E" w:rsidP="002F756E">
            <w:pPr>
              <w:spacing w:after="0" w:line="240" w:lineRule="auto"/>
              <w:rPr>
                <w:rFonts w:eastAsia="Times New Roman" w:cstheme="minorHAnsi"/>
                <w:color w:val="000000"/>
                <w:lang w:eastAsia="en-IN"/>
              </w:rPr>
            </w:pPr>
            <w:r w:rsidRPr="002F756E">
              <w:rPr>
                <w:rFonts w:eastAsia="Times New Roman" w:cstheme="minorHAnsi"/>
                <w:color w:val="000000"/>
                <w:lang w:eastAsia="en-IN"/>
              </w:rPr>
              <w:t xml:space="preserve">Promotional loans (100% extended by </w:t>
            </w:r>
            <w:proofErr w:type="spellStart"/>
            <w:r w:rsidRPr="002F756E">
              <w:rPr>
                <w:rFonts w:eastAsia="Times New Roman" w:cstheme="minorHAnsi"/>
                <w:color w:val="000000"/>
                <w:lang w:eastAsia="en-IN"/>
              </w:rPr>
              <w:t>KfW</w:t>
            </w:r>
            <w:proofErr w:type="spellEnd"/>
            <w:r w:rsidRPr="002F756E">
              <w:rPr>
                <w:rFonts w:eastAsia="Times New Roman" w:cstheme="minorHAnsi"/>
                <w:color w:val="000000"/>
                <w:lang w:eastAsia="en-IN"/>
              </w:rPr>
              <w:t xml:space="preserve">), development loans (extended jointly by </w:t>
            </w:r>
            <w:proofErr w:type="spellStart"/>
            <w:r w:rsidRPr="002F756E">
              <w:rPr>
                <w:rFonts w:eastAsia="Times New Roman" w:cstheme="minorHAnsi"/>
                <w:color w:val="000000"/>
                <w:lang w:eastAsia="en-IN"/>
              </w:rPr>
              <w:t>KfW</w:t>
            </w:r>
            <w:proofErr w:type="spellEnd"/>
            <w:r w:rsidRPr="002F756E">
              <w:rPr>
                <w:rFonts w:eastAsia="Times New Roman" w:cstheme="minorHAnsi"/>
                <w:color w:val="000000"/>
                <w:lang w:eastAsia="en-IN"/>
              </w:rPr>
              <w:t xml:space="preserve"> and the German federal government), grants, equity.</w:t>
            </w:r>
          </w:p>
        </w:tc>
        <w:tc>
          <w:tcPr>
            <w:tcW w:w="1417" w:type="dxa"/>
            <w:tcBorders>
              <w:top w:val="nil"/>
              <w:left w:val="nil"/>
              <w:bottom w:val="single" w:sz="4" w:space="0" w:color="88194B"/>
              <w:right w:val="single" w:sz="4" w:space="0" w:color="88194B"/>
            </w:tcBorders>
            <w:shd w:val="clear" w:color="auto" w:fill="auto"/>
            <w:hideMark/>
          </w:tcPr>
          <w:p w14:paraId="0489CEA0" w14:textId="6BBD988A" w:rsidR="002F756E" w:rsidRPr="002F756E" w:rsidRDefault="00800236" w:rsidP="002F756E">
            <w:pPr>
              <w:spacing w:after="0" w:line="240" w:lineRule="auto"/>
              <w:rPr>
                <w:rFonts w:eastAsia="Times New Roman" w:cstheme="minorHAnsi"/>
                <w:color w:val="000000"/>
                <w:lang w:eastAsia="en-IN"/>
              </w:rPr>
            </w:pPr>
            <w:r>
              <w:rPr>
                <w:rFonts w:eastAsia="Times New Roman" w:cstheme="minorHAnsi"/>
                <w:color w:val="000000"/>
                <w:lang w:eastAsia="en-IN"/>
              </w:rPr>
              <w:t>US$</w:t>
            </w:r>
            <w:r w:rsidR="002F756E" w:rsidRPr="002F756E">
              <w:rPr>
                <w:rFonts w:eastAsia="Times New Roman" w:cstheme="minorHAnsi"/>
                <w:color w:val="000000"/>
                <w:lang w:eastAsia="en-IN"/>
              </w:rPr>
              <w:t xml:space="preserve"> 19.89m </w:t>
            </w:r>
            <w:r w:rsidR="002F756E" w:rsidRPr="002F756E">
              <w:rPr>
                <w:rFonts w:eastAsia="Times New Roman" w:cstheme="minorHAnsi"/>
                <w:color w:val="000000"/>
                <w:vertAlign w:val="superscript"/>
                <w:lang w:eastAsia="en-IN"/>
              </w:rPr>
              <w:footnoteReference w:id="172"/>
            </w:r>
          </w:p>
        </w:tc>
      </w:tr>
    </w:tbl>
    <w:p w14:paraId="6AE3004B" w14:textId="77777777" w:rsidR="002F756E" w:rsidRPr="002F756E" w:rsidRDefault="002F756E" w:rsidP="002F756E">
      <w:r w:rsidRPr="002F756E">
        <w:br w:type="page"/>
      </w:r>
    </w:p>
    <w:tbl>
      <w:tblPr>
        <w:tblW w:w="13750" w:type="dxa"/>
        <w:tblInd w:w="-5" w:type="dxa"/>
        <w:tblLook w:val="04A0" w:firstRow="1" w:lastRow="0" w:firstColumn="1" w:lastColumn="0" w:noHBand="0" w:noVBand="1"/>
      </w:tblPr>
      <w:tblGrid>
        <w:gridCol w:w="1418"/>
        <w:gridCol w:w="2126"/>
        <w:gridCol w:w="5670"/>
        <w:gridCol w:w="1833"/>
        <w:gridCol w:w="1325"/>
        <w:gridCol w:w="1378"/>
      </w:tblGrid>
      <w:tr w:rsidR="002F756E" w:rsidRPr="002F756E" w14:paraId="2E320E00" w14:textId="77777777" w:rsidTr="000C73D2">
        <w:trPr>
          <w:trHeight w:val="480"/>
          <w:tblHeader/>
        </w:trPr>
        <w:tc>
          <w:tcPr>
            <w:tcW w:w="1418" w:type="dxa"/>
            <w:tcBorders>
              <w:top w:val="single" w:sz="4" w:space="0" w:color="FFFFFF"/>
              <w:left w:val="single" w:sz="4" w:space="0" w:color="FFFFFF"/>
              <w:bottom w:val="single" w:sz="4" w:space="0" w:color="FFFFFF"/>
              <w:right w:val="single" w:sz="4" w:space="0" w:color="FFFFFF"/>
            </w:tcBorders>
            <w:shd w:val="clear" w:color="000000" w:fill="88194B"/>
            <w:vAlign w:val="center"/>
            <w:hideMark/>
          </w:tcPr>
          <w:p w14:paraId="218F28D8" w14:textId="77777777" w:rsidR="002F756E" w:rsidRPr="002F756E" w:rsidRDefault="002F756E" w:rsidP="002F756E">
            <w:pPr>
              <w:spacing w:after="0" w:line="240" w:lineRule="auto"/>
              <w:jc w:val="center"/>
              <w:rPr>
                <w:rFonts w:eastAsia="Times New Roman" w:cstheme="minorHAnsi"/>
                <w:b/>
                <w:bCs/>
                <w:color w:val="FFFFFF"/>
                <w:lang w:eastAsia="en-IN"/>
              </w:rPr>
            </w:pPr>
            <w:r w:rsidRPr="002F756E">
              <w:rPr>
                <w:rFonts w:eastAsia="Times New Roman" w:cstheme="minorHAnsi"/>
                <w:b/>
                <w:bCs/>
                <w:color w:val="FFFFFF"/>
                <w:lang w:eastAsia="en-IN"/>
              </w:rPr>
              <w:lastRenderedPageBreak/>
              <w:t xml:space="preserve">Donor country </w:t>
            </w:r>
          </w:p>
        </w:tc>
        <w:tc>
          <w:tcPr>
            <w:tcW w:w="2126" w:type="dxa"/>
            <w:tcBorders>
              <w:top w:val="single" w:sz="4" w:space="0" w:color="FFFFFF"/>
              <w:left w:val="nil"/>
              <w:bottom w:val="single" w:sz="4" w:space="0" w:color="FFFFFF"/>
              <w:right w:val="single" w:sz="4" w:space="0" w:color="FFFFFF"/>
            </w:tcBorders>
            <w:shd w:val="clear" w:color="000000" w:fill="88194B"/>
            <w:vAlign w:val="center"/>
            <w:hideMark/>
          </w:tcPr>
          <w:p w14:paraId="0C1EBA04" w14:textId="77777777" w:rsidR="002F756E" w:rsidRPr="002F756E" w:rsidRDefault="002F756E" w:rsidP="002F756E">
            <w:pPr>
              <w:spacing w:after="0" w:line="240" w:lineRule="auto"/>
              <w:jc w:val="center"/>
              <w:rPr>
                <w:rFonts w:eastAsia="Times New Roman" w:cstheme="minorHAnsi"/>
                <w:b/>
                <w:bCs/>
                <w:color w:val="FFFFFF"/>
                <w:lang w:eastAsia="en-IN"/>
              </w:rPr>
            </w:pPr>
            <w:r w:rsidRPr="002F756E">
              <w:rPr>
                <w:rFonts w:eastAsia="Times New Roman" w:cstheme="minorHAnsi"/>
                <w:b/>
                <w:bCs/>
                <w:color w:val="FFFFFF"/>
                <w:lang w:eastAsia="en-IN"/>
              </w:rPr>
              <w:t xml:space="preserve">Overview of </w:t>
            </w:r>
            <w:r w:rsidRPr="002F756E">
              <w:rPr>
                <w:rFonts w:eastAsia="Times New Roman" w:cstheme="minorHAnsi"/>
                <w:b/>
                <w:bCs/>
                <w:color w:val="FFFFFF"/>
                <w:lang w:eastAsia="en-IN"/>
              </w:rPr>
              <w:br/>
              <w:t xml:space="preserve">governance arrangement </w:t>
            </w:r>
          </w:p>
        </w:tc>
        <w:tc>
          <w:tcPr>
            <w:tcW w:w="5670" w:type="dxa"/>
            <w:tcBorders>
              <w:top w:val="single" w:sz="4" w:space="0" w:color="FFFFFF"/>
              <w:left w:val="nil"/>
              <w:bottom w:val="single" w:sz="4" w:space="0" w:color="FFFFFF"/>
              <w:right w:val="single" w:sz="4" w:space="0" w:color="FFFFFF"/>
            </w:tcBorders>
            <w:shd w:val="clear" w:color="000000" w:fill="88194B"/>
            <w:vAlign w:val="center"/>
            <w:hideMark/>
          </w:tcPr>
          <w:p w14:paraId="11D2F33D" w14:textId="7EA5FA0F" w:rsidR="002F756E" w:rsidRPr="002F756E" w:rsidRDefault="002F756E" w:rsidP="002F756E">
            <w:pPr>
              <w:spacing w:after="0" w:line="240" w:lineRule="auto"/>
              <w:jc w:val="center"/>
              <w:rPr>
                <w:rFonts w:eastAsia="Times New Roman" w:cstheme="minorHAnsi"/>
                <w:b/>
                <w:bCs/>
                <w:color w:val="FFFFFF"/>
                <w:lang w:eastAsia="en-IN"/>
              </w:rPr>
            </w:pPr>
            <w:r w:rsidRPr="00D0618A">
              <w:rPr>
                <w:rFonts w:eastAsia="Times New Roman" w:cstheme="minorHAnsi"/>
                <w:b/>
                <w:bCs/>
                <w:color w:val="FFFFFF"/>
                <w:lang w:eastAsia="en-IN"/>
              </w:rPr>
              <w:t xml:space="preserve">Target recipient countries </w:t>
            </w:r>
            <w:r w:rsidR="00D0618A" w:rsidRPr="00D0618A">
              <w:rPr>
                <w:rFonts w:eastAsia="Times New Roman" w:cstheme="minorHAnsi"/>
                <w:b/>
                <w:bCs/>
                <w:color w:val="FFFFFF"/>
                <w:lang w:eastAsia="en-IN"/>
              </w:rPr>
              <w:t>and regions</w:t>
            </w:r>
            <w:r w:rsidRPr="00D0618A">
              <w:rPr>
                <w:rFonts w:eastAsia="Times New Roman" w:cstheme="minorHAnsi"/>
                <w:b/>
                <w:bCs/>
                <w:color w:val="FFFFFF"/>
                <w:lang w:eastAsia="en-IN"/>
              </w:rPr>
              <w:br/>
              <w:t>(excluding EU recipients)</w:t>
            </w:r>
          </w:p>
        </w:tc>
        <w:tc>
          <w:tcPr>
            <w:tcW w:w="1833" w:type="dxa"/>
            <w:tcBorders>
              <w:top w:val="single" w:sz="4" w:space="0" w:color="FFFFFF"/>
              <w:left w:val="nil"/>
              <w:bottom w:val="single" w:sz="4" w:space="0" w:color="FFFFFF"/>
              <w:right w:val="single" w:sz="4" w:space="0" w:color="FFFFFF"/>
            </w:tcBorders>
            <w:shd w:val="clear" w:color="000000" w:fill="88194B"/>
            <w:vAlign w:val="center"/>
            <w:hideMark/>
          </w:tcPr>
          <w:p w14:paraId="64CA1F15" w14:textId="77777777" w:rsidR="002F756E" w:rsidRPr="002F756E" w:rsidRDefault="002F756E" w:rsidP="002F756E">
            <w:pPr>
              <w:spacing w:after="0" w:line="240" w:lineRule="auto"/>
              <w:jc w:val="center"/>
              <w:rPr>
                <w:rFonts w:eastAsia="Times New Roman" w:cstheme="minorHAnsi"/>
                <w:b/>
                <w:bCs/>
                <w:color w:val="FFFFFF"/>
                <w:lang w:eastAsia="en-IN"/>
              </w:rPr>
            </w:pPr>
            <w:r w:rsidRPr="002F756E">
              <w:rPr>
                <w:rFonts w:eastAsia="Times New Roman" w:cstheme="minorHAnsi"/>
                <w:b/>
                <w:bCs/>
                <w:color w:val="FFFFFF"/>
                <w:lang w:eastAsia="en-IN"/>
              </w:rPr>
              <w:t xml:space="preserve">Sectors with greatest aid spend </w:t>
            </w:r>
          </w:p>
        </w:tc>
        <w:tc>
          <w:tcPr>
            <w:tcW w:w="1325" w:type="dxa"/>
            <w:tcBorders>
              <w:top w:val="single" w:sz="4" w:space="0" w:color="FFFFFF"/>
              <w:left w:val="nil"/>
              <w:bottom w:val="single" w:sz="4" w:space="0" w:color="FFFFFF"/>
              <w:right w:val="single" w:sz="4" w:space="0" w:color="FFFFFF"/>
            </w:tcBorders>
            <w:shd w:val="clear" w:color="000000" w:fill="88194B"/>
            <w:vAlign w:val="center"/>
            <w:hideMark/>
          </w:tcPr>
          <w:p w14:paraId="3917641D" w14:textId="77777777" w:rsidR="002F756E" w:rsidRPr="002F756E" w:rsidRDefault="002F756E" w:rsidP="002F756E">
            <w:pPr>
              <w:spacing w:after="0" w:line="240" w:lineRule="auto"/>
              <w:jc w:val="center"/>
              <w:rPr>
                <w:rFonts w:eastAsia="Times New Roman" w:cstheme="minorHAnsi"/>
                <w:b/>
                <w:bCs/>
                <w:color w:val="FFFFFF"/>
                <w:lang w:eastAsia="en-IN"/>
              </w:rPr>
            </w:pPr>
            <w:r w:rsidRPr="002F756E">
              <w:rPr>
                <w:rFonts w:eastAsia="Times New Roman" w:cstheme="minorHAnsi"/>
                <w:b/>
                <w:bCs/>
                <w:color w:val="FFFFFF"/>
                <w:lang w:eastAsia="en-IN"/>
              </w:rPr>
              <w:t xml:space="preserve">Instruments </w:t>
            </w:r>
          </w:p>
        </w:tc>
        <w:tc>
          <w:tcPr>
            <w:tcW w:w="1378" w:type="dxa"/>
            <w:tcBorders>
              <w:top w:val="single" w:sz="4" w:space="0" w:color="FFFFFF"/>
              <w:left w:val="nil"/>
              <w:bottom w:val="single" w:sz="4" w:space="0" w:color="FFFFFF"/>
              <w:right w:val="single" w:sz="4" w:space="0" w:color="FFFFFF"/>
            </w:tcBorders>
            <w:shd w:val="clear" w:color="000000" w:fill="88194B"/>
            <w:vAlign w:val="center"/>
            <w:hideMark/>
          </w:tcPr>
          <w:p w14:paraId="51686D33" w14:textId="77777777" w:rsidR="002F756E" w:rsidRPr="002F756E" w:rsidRDefault="002F756E" w:rsidP="002F756E">
            <w:pPr>
              <w:spacing w:after="0" w:line="240" w:lineRule="auto"/>
              <w:jc w:val="center"/>
              <w:rPr>
                <w:rFonts w:eastAsia="Times New Roman" w:cstheme="minorHAnsi"/>
                <w:b/>
                <w:bCs/>
                <w:color w:val="FFFFFF"/>
                <w:lang w:eastAsia="en-IN"/>
              </w:rPr>
            </w:pPr>
            <w:r w:rsidRPr="002F756E">
              <w:rPr>
                <w:rFonts w:eastAsia="Times New Roman" w:cstheme="minorHAnsi"/>
                <w:b/>
                <w:bCs/>
                <w:color w:val="FFFFFF"/>
                <w:lang w:eastAsia="en-IN"/>
              </w:rPr>
              <w:t xml:space="preserve">Average project size (ex-grant) </w:t>
            </w:r>
          </w:p>
        </w:tc>
      </w:tr>
      <w:tr w:rsidR="002F756E" w:rsidRPr="002F756E" w14:paraId="5C52110D" w14:textId="77777777" w:rsidTr="000C73D2">
        <w:trPr>
          <w:trHeight w:val="6615"/>
        </w:trPr>
        <w:tc>
          <w:tcPr>
            <w:tcW w:w="1418" w:type="dxa"/>
            <w:tcBorders>
              <w:top w:val="nil"/>
              <w:left w:val="single" w:sz="4" w:space="0" w:color="auto"/>
              <w:bottom w:val="single" w:sz="4" w:space="0" w:color="auto"/>
              <w:right w:val="nil"/>
            </w:tcBorders>
            <w:shd w:val="clear" w:color="auto" w:fill="auto"/>
            <w:hideMark/>
          </w:tcPr>
          <w:p w14:paraId="514FF2FC" w14:textId="77777777" w:rsidR="002F756E" w:rsidRPr="002F756E" w:rsidRDefault="002F756E" w:rsidP="002F756E">
            <w:pPr>
              <w:spacing w:after="0" w:line="240" w:lineRule="auto"/>
              <w:rPr>
                <w:rFonts w:eastAsia="Times New Roman" w:cstheme="minorHAnsi"/>
                <w:color w:val="000000"/>
                <w:lang w:eastAsia="en-IN"/>
              </w:rPr>
            </w:pPr>
            <w:r w:rsidRPr="002F756E">
              <w:rPr>
                <w:rFonts w:eastAsia="Times New Roman" w:cstheme="minorHAnsi"/>
                <w:b/>
                <w:bCs/>
                <w:color w:val="000000"/>
                <w:lang w:eastAsia="en-IN"/>
              </w:rPr>
              <w:t>Japan</w:t>
            </w:r>
            <w:r w:rsidRPr="002F756E">
              <w:rPr>
                <w:rFonts w:eastAsia="Times New Roman" w:cstheme="minorHAnsi"/>
                <w:color w:val="000000"/>
                <w:lang w:eastAsia="en-IN"/>
              </w:rPr>
              <w:t>: JICA</w:t>
            </w:r>
          </w:p>
        </w:tc>
        <w:tc>
          <w:tcPr>
            <w:tcW w:w="2126" w:type="dxa"/>
            <w:tcBorders>
              <w:top w:val="nil"/>
              <w:left w:val="single" w:sz="4" w:space="0" w:color="88194B"/>
              <w:bottom w:val="single" w:sz="4" w:space="0" w:color="88194B"/>
              <w:right w:val="single" w:sz="4" w:space="0" w:color="88194B"/>
            </w:tcBorders>
            <w:shd w:val="clear" w:color="auto" w:fill="auto"/>
            <w:hideMark/>
          </w:tcPr>
          <w:p w14:paraId="0329975A" w14:textId="77777777" w:rsidR="002F756E" w:rsidRPr="002F756E" w:rsidRDefault="002F756E" w:rsidP="002F756E">
            <w:pPr>
              <w:spacing w:after="0" w:line="240" w:lineRule="auto"/>
              <w:rPr>
                <w:rFonts w:eastAsia="Times New Roman" w:cstheme="minorHAnsi"/>
                <w:color w:val="000000"/>
                <w:lang w:eastAsia="en-IN"/>
              </w:rPr>
            </w:pPr>
            <w:r w:rsidRPr="002F756E">
              <w:rPr>
                <w:rFonts w:eastAsia="Times New Roman" w:cstheme="minorHAnsi"/>
                <w:color w:val="000000"/>
                <w:lang w:eastAsia="en-IN"/>
              </w:rPr>
              <w:t>The Ministry of Finance and the Ministry of Foreign Affairs (MOFA -includes the International Cooperation Bureau, which designs the development policy) jointly supervise JICA. JICA implements grant, loan, and technical cooperation programs, while in recent years MOFA has taken the lead in steering direction.</w:t>
            </w:r>
            <w:r w:rsidRPr="002F756E">
              <w:rPr>
                <w:rFonts w:eastAsia="Times New Roman" w:cstheme="minorHAnsi"/>
                <w:color w:val="000000"/>
                <w:vertAlign w:val="superscript"/>
                <w:lang w:eastAsia="en-IN"/>
              </w:rPr>
              <w:footnoteReference w:id="173"/>
            </w:r>
            <w:r w:rsidRPr="002F756E">
              <w:rPr>
                <w:rFonts w:eastAsia="Times New Roman" w:cstheme="minorHAnsi"/>
                <w:color w:val="000000"/>
                <w:lang w:eastAsia="en-IN"/>
              </w:rPr>
              <w:t xml:space="preserve"> </w:t>
            </w:r>
          </w:p>
        </w:tc>
        <w:tc>
          <w:tcPr>
            <w:tcW w:w="5670" w:type="dxa"/>
            <w:tcBorders>
              <w:top w:val="nil"/>
              <w:left w:val="nil"/>
              <w:bottom w:val="single" w:sz="4" w:space="0" w:color="88194B"/>
              <w:right w:val="single" w:sz="4" w:space="0" w:color="88194B"/>
            </w:tcBorders>
            <w:shd w:val="clear" w:color="auto" w:fill="auto"/>
            <w:hideMark/>
          </w:tcPr>
          <w:p w14:paraId="6D9FF716" w14:textId="77777777" w:rsidR="002F756E" w:rsidRPr="002F756E" w:rsidRDefault="002F756E" w:rsidP="002F756E">
            <w:pPr>
              <w:spacing w:after="0" w:line="240" w:lineRule="auto"/>
              <w:rPr>
                <w:rFonts w:eastAsia="Times New Roman" w:cstheme="minorHAnsi"/>
                <w:color w:val="000000"/>
                <w:lang w:eastAsia="en-IN"/>
              </w:rPr>
            </w:pPr>
            <w:r w:rsidRPr="002F756E">
              <w:rPr>
                <w:rFonts w:eastAsia="Times New Roman" w:cstheme="minorHAnsi"/>
                <w:color w:val="FF0000"/>
                <w:lang w:eastAsia="en-IN"/>
              </w:rPr>
              <w:t>SOUTH EAST ASIA</w:t>
            </w:r>
            <w:r w:rsidRPr="002F756E">
              <w:rPr>
                <w:rFonts w:eastAsia="Times New Roman" w:cstheme="minorHAnsi"/>
                <w:color w:val="000000"/>
                <w:lang w:eastAsia="en-IN"/>
              </w:rPr>
              <w:t xml:space="preserve">: Cambodia, Indonesia, Lao PDR, Thailand, Malaysia, Myanmar, Philippines, Timor-Leste, Vietnam, Singapore; </w:t>
            </w:r>
            <w:r w:rsidRPr="002F756E">
              <w:rPr>
                <w:rFonts w:eastAsia="Times New Roman" w:cstheme="minorHAnsi"/>
                <w:color w:val="FF0000"/>
                <w:lang w:eastAsia="en-IN"/>
              </w:rPr>
              <w:t>PACIFIC</w:t>
            </w:r>
            <w:r w:rsidRPr="002F756E">
              <w:rPr>
                <w:rFonts w:eastAsia="Times New Roman" w:cstheme="minorHAnsi"/>
                <w:color w:val="000000"/>
                <w:lang w:eastAsia="en-IN"/>
              </w:rPr>
              <w:t xml:space="preserve">: PNG, Vanuatu, Tonga, Kiribati, Samoa, Marshall Islands, Solomon Islands, Fiji, Palau, Micronesia; </w:t>
            </w:r>
            <w:r w:rsidRPr="002F756E">
              <w:rPr>
                <w:rFonts w:eastAsia="Times New Roman" w:cstheme="minorHAnsi"/>
                <w:color w:val="FF0000"/>
                <w:lang w:eastAsia="en-IN"/>
              </w:rPr>
              <w:t xml:space="preserve">CENTRAL/EAST ASIA &amp; CIS: </w:t>
            </w:r>
            <w:r w:rsidRPr="002F756E">
              <w:rPr>
                <w:rFonts w:eastAsia="Times New Roman" w:cstheme="minorHAnsi"/>
                <w:lang w:eastAsia="en-IN"/>
              </w:rPr>
              <w:t xml:space="preserve">Mongolia, China, Uzbekistan, Azerbaijan, Tajikistan, Kyrgyzstan, Armenia, Georgia, Turkmenistan, Kazakhstan; </w:t>
            </w:r>
            <w:r w:rsidRPr="002F756E">
              <w:rPr>
                <w:rFonts w:eastAsia="Times New Roman" w:cstheme="minorHAnsi"/>
                <w:color w:val="FF0000"/>
                <w:lang w:eastAsia="en-IN"/>
              </w:rPr>
              <w:t xml:space="preserve">SOUTH ASIA: </w:t>
            </w:r>
            <w:r w:rsidRPr="002F756E">
              <w:rPr>
                <w:rFonts w:eastAsia="Times New Roman" w:cstheme="minorHAnsi"/>
                <w:lang w:eastAsia="en-IN"/>
              </w:rPr>
              <w:t xml:space="preserve">India, Bangladesh, Sri Lanka, Pakistan, Nepal, Afghanistan, Maldives, Bhutan; </w:t>
            </w:r>
            <w:r w:rsidRPr="002F756E">
              <w:rPr>
                <w:rFonts w:eastAsia="Times New Roman" w:cstheme="minorHAnsi"/>
                <w:color w:val="FF0000"/>
                <w:lang w:eastAsia="en-IN"/>
              </w:rPr>
              <w:t>MIDDLE EAST &amp; NORTH AFRICA</w:t>
            </w:r>
            <w:r w:rsidRPr="002F756E">
              <w:rPr>
                <w:rFonts w:eastAsia="Times New Roman" w:cstheme="minorHAnsi"/>
                <w:color w:val="000000"/>
                <w:lang w:eastAsia="en-IN"/>
              </w:rPr>
              <w:t xml:space="preserve">: Egypt, Iraq, Jordan, Lebanon, Morocco, Palestinian territories, Syria, Tunisia, Algeria, Iran; </w:t>
            </w:r>
            <w:r w:rsidRPr="002F756E">
              <w:rPr>
                <w:rFonts w:eastAsia="Times New Roman" w:cstheme="minorHAnsi"/>
                <w:color w:val="FF0000"/>
                <w:lang w:eastAsia="en-IN"/>
              </w:rPr>
              <w:t>AFRICA:</w:t>
            </w:r>
            <w:r w:rsidRPr="002F756E">
              <w:rPr>
                <w:rFonts w:eastAsia="Times New Roman" w:cstheme="minorHAnsi"/>
                <w:lang w:eastAsia="en-IN"/>
              </w:rPr>
              <w:t xml:space="preserve">  Angola, Burkina Faso, Cameroon, CAR, Congo, Ghana, Guinea, Liberia, Madagascar, Malawi, Mozambique, Niger, Rwanda, Senegal, Sierra Leone, South Sudan, Uganda, Zambia, Ethiopia, Ivory Coast, Kenya, Nigeria, SA, Tanzania</w:t>
            </w:r>
            <w:r w:rsidRPr="002F756E">
              <w:rPr>
                <w:rFonts w:eastAsia="Times New Roman" w:cstheme="minorHAnsi"/>
                <w:color w:val="FF0000"/>
                <w:lang w:eastAsia="en-IN"/>
              </w:rPr>
              <w:t xml:space="preserve">; LATIN AMERICA: </w:t>
            </w:r>
            <w:r w:rsidRPr="002F756E">
              <w:rPr>
                <w:rFonts w:eastAsia="Times New Roman" w:cstheme="minorHAnsi"/>
                <w:lang w:eastAsia="en-IN"/>
              </w:rPr>
              <w:t>Argentina, Bolivia, Brazil, Belize, Chile, Colombia, Costa Rica, Cuba, Dominican Republic, Ecuador, El Salvador, Guatemala, Guyana, Honduras, Haiti, Jamaica, Mexico, Nicaragua, Panama, Paraguay, Peru, Uruguay, Venezuela.</w:t>
            </w:r>
            <w:r w:rsidRPr="002F756E">
              <w:rPr>
                <w:rFonts w:eastAsia="Times New Roman" w:cstheme="minorHAnsi"/>
                <w:vertAlign w:val="superscript"/>
                <w:lang w:eastAsia="en-IN"/>
              </w:rPr>
              <w:footnoteReference w:id="174"/>
            </w:r>
          </w:p>
        </w:tc>
        <w:tc>
          <w:tcPr>
            <w:tcW w:w="1833" w:type="dxa"/>
            <w:tcBorders>
              <w:top w:val="nil"/>
              <w:left w:val="nil"/>
              <w:bottom w:val="single" w:sz="4" w:space="0" w:color="88194B"/>
              <w:right w:val="single" w:sz="4" w:space="0" w:color="88194B"/>
            </w:tcBorders>
            <w:shd w:val="clear" w:color="000000" w:fill="FFFFFF"/>
            <w:hideMark/>
          </w:tcPr>
          <w:p w14:paraId="2CD70B52" w14:textId="77777777" w:rsidR="002F756E" w:rsidRPr="002F756E" w:rsidRDefault="002F756E" w:rsidP="002F756E">
            <w:pPr>
              <w:spacing w:after="0" w:line="240" w:lineRule="auto"/>
              <w:rPr>
                <w:rFonts w:eastAsia="Times New Roman" w:cstheme="minorHAnsi"/>
                <w:lang w:eastAsia="en-IN"/>
              </w:rPr>
            </w:pPr>
            <w:r w:rsidRPr="002F756E">
              <w:rPr>
                <w:rFonts w:eastAsia="Times New Roman" w:cstheme="minorHAnsi"/>
                <w:lang w:eastAsia="en-IN"/>
              </w:rPr>
              <w:t xml:space="preserve">Transport (31.7%), Electric Power &amp; Gas (21.3%), Social services (14.8%), Mining &amp; manufacturing (6.6%). </w:t>
            </w:r>
            <w:r w:rsidRPr="002F756E">
              <w:rPr>
                <w:rFonts w:eastAsia="Times New Roman" w:cstheme="minorHAnsi"/>
                <w:vertAlign w:val="superscript"/>
                <w:lang w:eastAsia="en-IN"/>
              </w:rPr>
              <w:footnoteReference w:id="175"/>
            </w:r>
            <w:r w:rsidRPr="002F756E">
              <w:rPr>
                <w:rFonts w:eastAsia="Times New Roman" w:cstheme="minorHAnsi"/>
                <w:lang w:eastAsia="en-IN"/>
              </w:rPr>
              <w:t xml:space="preserve"> </w:t>
            </w:r>
          </w:p>
        </w:tc>
        <w:tc>
          <w:tcPr>
            <w:tcW w:w="1325" w:type="dxa"/>
            <w:tcBorders>
              <w:top w:val="nil"/>
              <w:left w:val="nil"/>
              <w:bottom w:val="single" w:sz="4" w:space="0" w:color="88194B"/>
              <w:right w:val="single" w:sz="4" w:space="0" w:color="88194B"/>
            </w:tcBorders>
            <w:shd w:val="clear" w:color="auto" w:fill="auto"/>
            <w:noWrap/>
            <w:hideMark/>
          </w:tcPr>
          <w:p w14:paraId="50DA0ACD" w14:textId="77777777" w:rsidR="002F756E" w:rsidRPr="002F756E" w:rsidRDefault="002F756E" w:rsidP="002F756E">
            <w:pPr>
              <w:spacing w:after="0" w:line="240" w:lineRule="auto"/>
              <w:rPr>
                <w:rFonts w:eastAsia="Times New Roman" w:cstheme="minorHAnsi"/>
                <w:color w:val="000000"/>
                <w:lang w:eastAsia="en-IN"/>
              </w:rPr>
            </w:pPr>
            <w:r w:rsidRPr="002F756E">
              <w:rPr>
                <w:rFonts w:eastAsia="Times New Roman" w:cstheme="minorHAnsi"/>
                <w:color w:val="000000"/>
                <w:lang w:eastAsia="en-IN"/>
              </w:rPr>
              <w:t xml:space="preserve">Loans, grants. </w:t>
            </w:r>
          </w:p>
        </w:tc>
        <w:tc>
          <w:tcPr>
            <w:tcW w:w="1378" w:type="dxa"/>
            <w:tcBorders>
              <w:top w:val="nil"/>
              <w:left w:val="nil"/>
              <w:bottom w:val="single" w:sz="4" w:space="0" w:color="88194B"/>
              <w:right w:val="single" w:sz="4" w:space="0" w:color="88194B"/>
            </w:tcBorders>
            <w:shd w:val="clear" w:color="000000" w:fill="FFFFFF"/>
            <w:noWrap/>
            <w:hideMark/>
          </w:tcPr>
          <w:p w14:paraId="57DD3549" w14:textId="6D7AF75E" w:rsidR="002F756E" w:rsidRPr="002F756E" w:rsidRDefault="00800236" w:rsidP="002F756E">
            <w:pPr>
              <w:spacing w:after="0" w:line="240" w:lineRule="auto"/>
              <w:rPr>
                <w:rFonts w:eastAsia="Times New Roman" w:cstheme="minorHAnsi"/>
                <w:color w:val="000000"/>
                <w:lang w:eastAsia="en-IN"/>
              </w:rPr>
            </w:pPr>
            <w:r>
              <w:rPr>
                <w:rFonts w:eastAsia="Times New Roman" w:cstheme="minorHAnsi"/>
                <w:color w:val="000000"/>
                <w:lang w:eastAsia="en-IN"/>
              </w:rPr>
              <w:t>US$</w:t>
            </w:r>
            <w:r w:rsidR="002F756E" w:rsidRPr="002F756E">
              <w:rPr>
                <w:rFonts w:eastAsia="Times New Roman" w:cstheme="minorHAnsi"/>
                <w:color w:val="000000"/>
                <w:lang w:eastAsia="en-IN"/>
              </w:rPr>
              <w:t xml:space="preserve"> 264m </w:t>
            </w:r>
            <w:r w:rsidR="002F756E" w:rsidRPr="002F756E">
              <w:rPr>
                <w:rFonts w:eastAsia="Times New Roman" w:cstheme="minorHAnsi"/>
                <w:color w:val="000000"/>
                <w:vertAlign w:val="superscript"/>
                <w:lang w:eastAsia="en-IN"/>
              </w:rPr>
              <w:footnoteReference w:id="176"/>
            </w:r>
          </w:p>
        </w:tc>
      </w:tr>
      <w:tr w:rsidR="00145DB0" w:rsidRPr="002F756E" w14:paraId="70D3D61B" w14:textId="77777777" w:rsidTr="000C73D2">
        <w:trPr>
          <w:trHeight w:val="6409"/>
        </w:trPr>
        <w:tc>
          <w:tcPr>
            <w:tcW w:w="1418" w:type="dxa"/>
            <w:tcBorders>
              <w:top w:val="nil"/>
              <w:left w:val="single" w:sz="4" w:space="0" w:color="auto"/>
              <w:bottom w:val="single" w:sz="4" w:space="0" w:color="auto"/>
              <w:right w:val="nil"/>
            </w:tcBorders>
            <w:shd w:val="clear" w:color="000000" w:fill="FFFFFF"/>
            <w:hideMark/>
          </w:tcPr>
          <w:p w14:paraId="53651044" w14:textId="77777777" w:rsidR="002F756E" w:rsidRPr="002F756E" w:rsidRDefault="002F756E" w:rsidP="002F756E">
            <w:pPr>
              <w:spacing w:after="0" w:line="240" w:lineRule="auto"/>
              <w:rPr>
                <w:rFonts w:eastAsia="Times New Roman" w:cstheme="minorHAnsi"/>
                <w:color w:val="000000"/>
                <w:lang w:eastAsia="en-IN"/>
              </w:rPr>
            </w:pPr>
            <w:r w:rsidRPr="002F756E">
              <w:rPr>
                <w:rFonts w:eastAsia="Times New Roman" w:cstheme="minorHAnsi"/>
                <w:b/>
                <w:bCs/>
                <w:color w:val="000000"/>
                <w:lang w:eastAsia="en-IN"/>
              </w:rPr>
              <w:lastRenderedPageBreak/>
              <w:t>U.S.A</w:t>
            </w:r>
            <w:r w:rsidRPr="002F756E">
              <w:rPr>
                <w:rFonts w:eastAsia="Times New Roman" w:cstheme="minorHAnsi"/>
                <w:color w:val="000000"/>
                <w:lang w:eastAsia="en-IN"/>
              </w:rPr>
              <w:t>: OPIC</w:t>
            </w:r>
          </w:p>
        </w:tc>
        <w:tc>
          <w:tcPr>
            <w:tcW w:w="2126" w:type="dxa"/>
            <w:tcBorders>
              <w:top w:val="nil"/>
              <w:left w:val="single" w:sz="4" w:space="0" w:color="88194B"/>
              <w:bottom w:val="single" w:sz="4" w:space="0" w:color="88194B"/>
              <w:right w:val="single" w:sz="4" w:space="0" w:color="88194B"/>
            </w:tcBorders>
            <w:shd w:val="clear" w:color="000000" w:fill="FFFFFF"/>
            <w:hideMark/>
          </w:tcPr>
          <w:p w14:paraId="672DD3CC" w14:textId="77777777" w:rsidR="002F756E" w:rsidRPr="002F756E" w:rsidRDefault="002F756E" w:rsidP="002F756E">
            <w:pPr>
              <w:spacing w:after="0" w:line="240" w:lineRule="auto"/>
              <w:rPr>
                <w:rFonts w:eastAsia="Times New Roman" w:cstheme="minorHAnsi"/>
                <w:color w:val="000000"/>
                <w:lang w:eastAsia="en-IN"/>
              </w:rPr>
            </w:pPr>
            <w:r w:rsidRPr="002F756E">
              <w:rPr>
                <w:rFonts w:eastAsia="Times New Roman" w:cstheme="minorHAnsi"/>
                <w:color w:val="000000"/>
                <w:lang w:eastAsia="en-IN"/>
              </w:rPr>
              <w:t xml:space="preserve">Operates under the foreign policy guidance of the Secretary of State. The U.S. Congress authorises and oversees OPIC's activities. </w:t>
            </w:r>
          </w:p>
        </w:tc>
        <w:tc>
          <w:tcPr>
            <w:tcW w:w="5670" w:type="dxa"/>
            <w:tcBorders>
              <w:top w:val="nil"/>
              <w:left w:val="nil"/>
              <w:bottom w:val="single" w:sz="4" w:space="0" w:color="88194B"/>
              <w:right w:val="single" w:sz="4" w:space="0" w:color="88194B"/>
            </w:tcBorders>
            <w:shd w:val="clear" w:color="000000" w:fill="FFFFFF"/>
            <w:hideMark/>
          </w:tcPr>
          <w:p w14:paraId="642323CE" w14:textId="77777777" w:rsidR="002F756E" w:rsidRPr="002F756E" w:rsidRDefault="002F756E" w:rsidP="002F756E">
            <w:pPr>
              <w:spacing w:after="0" w:line="240" w:lineRule="auto"/>
              <w:rPr>
                <w:rFonts w:eastAsia="Times New Roman" w:cstheme="minorHAnsi"/>
                <w:color w:val="000000"/>
                <w:sz w:val="20"/>
                <w:szCs w:val="20"/>
                <w:lang w:eastAsia="en-IN"/>
              </w:rPr>
            </w:pPr>
            <w:r w:rsidRPr="002F756E">
              <w:rPr>
                <w:rFonts w:eastAsia="Times New Roman" w:cstheme="minorHAnsi"/>
                <w:color w:val="FF0000"/>
                <w:sz w:val="20"/>
                <w:szCs w:val="20"/>
                <w:lang w:eastAsia="en-IN"/>
              </w:rPr>
              <w:t xml:space="preserve">ASIA &amp; PACIFIC: </w:t>
            </w:r>
            <w:r w:rsidRPr="002F756E">
              <w:rPr>
                <w:rFonts w:eastAsia="Times New Roman" w:cstheme="minorHAnsi"/>
                <w:sz w:val="20"/>
                <w:szCs w:val="20"/>
                <w:lang w:eastAsia="en-IN"/>
              </w:rPr>
              <w:t xml:space="preserve">Afghanistan, Bangladesh, Burma, Cambodia, Cook Islands, Fiji, India, Indonesia, Kiribati, Laos, Malaysia, Maldives, Marshall Islands, Micronesia, Mongolia, Nepal, Pakistan, Palau, Papua New Guinea, Philippines, Samoa, Singapore, South Korea, Sri Lanka, </w:t>
            </w:r>
            <w:r w:rsidRPr="00AC28AD">
              <w:rPr>
                <w:rFonts w:eastAsia="Times New Roman" w:cstheme="minorHAnsi"/>
                <w:sz w:val="20"/>
                <w:szCs w:val="20"/>
                <w:lang w:eastAsia="en-IN"/>
              </w:rPr>
              <w:t>Taiwan,</w:t>
            </w:r>
            <w:r w:rsidRPr="002F756E">
              <w:rPr>
                <w:rFonts w:eastAsia="Times New Roman" w:cstheme="minorHAnsi"/>
                <w:sz w:val="20"/>
                <w:szCs w:val="20"/>
                <w:lang w:eastAsia="en-IN"/>
              </w:rPr>
              <w:t xml:space="preserve"> Thailand, Timor-Leste, Tonga, Vietnam; </w:t>
            </w:r>
            <w:r w:rsidRPr="002F756E">
              <w:rPr>
                <w:rFonts w:eastAsia="Times New Roman" w:cstheme="minorHAnsi"/>
                <w:color w:val="FF0000"/>
                <w:sz w:val="20"/>
                <w:szCs w:val="20"/>
                <w:lang w:eastAsia="en-IN"/>
              </w:rPr>
              <w:t>LATIN AMERICA</w:t>
            </w:r>
            <w:r w:rsidRPr="002F756E">
              <w:rPr>
                <w:rFonts w:eastAsia="Times New Roman" w:cstheme="minorHAnsi"/>
                <w:color w:val="000000"/>
                <w:sz w:val="20"/>
                <w:szCs w:val="20"/>
                <w:lang w:eastAsia="en-IN"/>
              </w:rPr>
              <w:t xml:space="preserve">: Anguilla, Antigua and Barbuda, Argentina, Aruba, Bahamas, Barbados, Belize, Bolivia, Brazil, Chile, Colombia, Costa Rica, Costa Rica, Curacao, Dominica, Dominican Republic, Ecuador, El Salvador, French Guiana, Grenada, Guatemala, Guyana, Haiti, Honduras, Jamaica, Mexico, Nicaragua, Panama, Paraguay, Peru, Saint Kitts and Nevi, Saint Lucia, Saint Vincent and the Grenadines, St. Maarten, Suriname, Trinidad and Tobago, Uruguay, Venezuela; </w:t>
            </w:r>
            <w:r w:rsidRPr="002F756E">
              <w:rPr>
                <w:rFonts w:eastAsia="Times New Roman" w:cstheme="minorHAnsi"/>
                <w:color w:val="FF0000"/>
                <w:sz w:val="20"/>
                <w:szCs w:val="20"/>
                <w:lang w:eastAsia="en-IN"/>
              </w:rPr>
              <w:t>EURASIA</w:t>
            </w:r>
            <w:r w:rsidRPr="002F756E">
              <w:rPr>
                <w:rFonts w:eastAsia="Times New Roman" w:cstheme="minorHAnsi"/>
                <w:color w:val="000000"/>
                <w:sz w:val="20"/>
                <w:szCs w:val="20"/>
                <w:lang w:eastAsia="en-IN"/>
              </w:rPr>
              <w:t>: Albania, Armenia, Azerbaijan, Bosnia and Herzegovina, Bulgaria, Georgia, Kazakhstan, Kosovo, Kyrgyzstan, Macedonia, Malta, Moldova, Montenegro, Serbia, Tajikistan, Turkey, Turkmenistan, Ukraine, Uzbekistan;</w:t>
            </w:r>
            <w:r w:rsidRPr="002F756E">
              <w:rPr>
                <w:rFonts w:eastAsia="Times New Roman" w:cstheme="minorHAnsi"/>
                <w:color w:val="FF0000"/>
                <w:sz w:val="20"/>
                <w:szCs w:val="20"/>
                <w:lang w:eastAsia="en-IN"/>
              </w:rPr>
              <w:t xml:space="preserve"> AFRICA &amp; MIDDLE EAST:</w:t>
            </w:r>
            <w:r w:rsidRPr="002F756E">
              <w:rPr>
                <w:rFonts w:eastAsia="Times New Roman" w:cstheme="minorHAnsi"/>
                <w:color w:val="000000"/>
                <w:sz w:val="20"/>
                <w:szCs w:val="20"/>
                <w:lang w:eastAsia="en-IN"/>
              </w:rPr>
              <w:t xml:space="preserve"> Algeria, Angola, Bahrain, Benin, Botswana, Burkina Faso, Burundi, Cameroon, Cape Verde, Central African Republic, Chad, Comoros, Congo, Côte d'Ivoire, Djibouti, Egypt, Equatorial Guinea, Eritrea, Ethiopia, Gabon, Gambia, Ghana, Guinea, Guinea-Bissau, Iraq, Israel, Jordan, Kenya, Kuwait, Lebanon, Lesotho, Liberia, Madagascar, Malawi, Mali, Mauritania, Mauritius, Morocco, Mozambique, Namibia, Niger, Nigeria, Oman, Rwanda, São Tomé and Príncipe, Senegal, Seychelles, Sierra Leone, Somalia, South Africa, South Sudan, Swaziland, Tanzania, Togo, Tunisia, Uganda, West Bank and Gaza, Yemen, Zambia, Zimbabwe. </w:t>
            </w:r>
          </w:p>
        </w:tc>
        <w:tc>
          <w:tcPr>
            <w:tcW w:w="1833" w:type="dxa"/>
            <w:tcBorders>
              <w:top w:val="nil"/>
              <w:left w:val="nil"/>
              <w:bottom w:val="single" w:sz="4" w:space="0" w:color="88194B"/>
              <w:right w:val="single" w:sz="4" w:space="0" w:color="88194B"/>
            </w:tcBorders>
            <w:shd w:val="clear" w:color="000000" w:fill="FFFFFF"/>
            <w:hideMark/>
          </w:tcPr>
          <w:p w14:paraId="332188DA" w14:textId="652C6A29" w:rsidR="002F756E" w:rsidRPr="002F756E" w:rsidRDefault="002F756E" w:rsidP="002F756E">
            <w:pPr>
              <w:spacing w:after="0" w:line="240" w:lineRule="auto"/>
              <w:rPr>
                <w:rFonts w:eastAsia="Times New Roman" w:cstheme="minorHAnsi"/>
                <w:color w:val="000000"/>
                <w:lang w:eastAsia="en-IN"/>
              </w:rPr>
            </w:pPr>
            <w:r w:rsidRPr="002F756E">
              <w:rPr>
                <w:rFonts w:eastAsia="Times New Roman" w:cstheme="minorHAnsi"/>
                <w:color w:val="000000"/>
                <w:lang w:eastAsia="en-IN"/>
              </w:rPr>
              <w:t>Financial sector (42%), Utilities (34%), Manufacturing (6%).</w:t>
            </w:r>
            <w:r w:rsidR="000C73D2">
              <w:rPr>
                <w:rStyle w:val="FootnoteReference"/>
                <w:rFonts w:eastAsia="Times New Roman" w:cstheme="minorHAnsi"/>
                <w:color w:val="000000"/>
                <w:lang w:eastAsia="en-IN"/>
              </w:rPr>
              <w:footnoteReference w:id="177"/>
            </w:r>
            <w:r w:rsidRPr="002F756E">
              <w:rPr>
                <w:rFonts w:eastAsia="Times New Roman" w:cstheme="minorHAnsi"/>
                <w:color w:val="000000"/>
                <w:lang w:eastAsia="en-IN"/>
              </w:rPr>
              <w:t xml:space="preserve"> </w:t>
            </w:r>
          </w:p>
        </w:tc>
        <w:tc>
          <w:tcPr>
            <w:tcW w:w="1325" w:type="dxa"/>
            <w:tcBorders>
              <w:top w:val="nil"/>
              <w:left w:val="nil"/>
              <w:bottom w:val="single" w:sz="4" w:space="0" w:color="88194B"/>
              <w:right w:val="single" w:sz="4" w:space="0" w:color="88194B"/>
            </w:tcBorders>
            <w:shd w:val="clear" w:color="auto" w:fill="auto"/>
          </w:tcPr>
          <w:p w14:paraId="288BE611" w14:textId="77777777" w:rsidR="002F756E" w:rsidRPr="002F756E" w:rsidRDefault="002F756E" w:rsidP="002F756E">
            <w:pPr>
              <w:spacing w:after="0" w:line="240" w:lineRule="auto"/>
              <w:rPr>
                <w:rFonts w:eastAsia="Times New Roman" w:cstheme="minorHAnsi"/>
                <w:color w:val="000000"/>
                <w:lang w:eastAsia="en-IN"/>
              </w:rPr>
            </w:pPr>
            <w:r w:rsidRPr="002F756E">
              <w:rPr>
                <w:rFonts w:eastAsia="Times New Roman" w:cstheme="minorHAnsi"/>
                <w:color w:val="000000"/>
                <w:lang w:eastAsia="en-IN"/>
              </w:rPr>
              <w:t>Loans, guarantees, political risk insurance, funding for other equity funds.</w:t>
            </w:r>
          </w:p>
        </w:tc>
        <w:tc>
          <w:tcPr>
            <w:tcW w:w="1378" w:type="dxa"/>
            <w:tcBorders>
              <w:top w:val="nil"/>
              <w:left w:val="nil"/>
              <w:bottom w:val="single" w:sz="4" w:space="0" w:color="88194B"/>
              <w:right w:val="single" w:sz="4" w:space="0" w:color="88194B"/>
            </w:tcBorders>
            <w:shd w:val="clear" w:color="000000" w:fill="FFFFFF"/>
            <w:hideMark/>
          </w:tcPr>
          <w:p w14:paraId="1A05EFF9" w14:textId="7B9B8F60" w:rsidR="002F756E" w:rsidRPr="002F756E" w:rsidRDefault="00800236" w:rsidP="002F756E">
            <w:pPr>
              <w:spacing w:after="0" w:line="240" w:lineRule="auto"/>
              <w:rPr>
                <w:rFonts w:eastAsia="Times New Roman" w:cstheme="minorHAnsi"/>
                <w:color w:val="000000"/>
                <w:lang w:eastAsia="en-IN"/>
              </w:rPr>
            </w:pPr>
            <w:r>
              <w:rPr>
                <w:rFonts w:eastAsia="Times New Roman" w:cstheme="minorHAnsi"/>
                <w:color w:val="000000"/>
                <w:lang w:eastAsia="en-IN"/>
              </w:rPr>
              <w:t>US$</w:t>
            </w:r>
            <w:r w:rsidR="002F756E" w:rsidRPr="002F756E">
              <w:rPr>
                <w:rFonts w:eastAsia="Times New Roman" w:cstheme="minorHAnsi"/>
                <w:color w:val="000000"/>
                <w:lang w:eastAsia="en-IN"/>
              </w:rPr>
              <w:t xml:space="preserve"> 12.63m</w:t>
            </w:r>
            <w:r w:rsidR="004624F4">
              <w:rPr>
                <w:rStyle w:val="FootnoteReference"/>
                <w:rFonts w:eastAsia="Times New Roman" w:cstheme="minorHAnsi"/>
                <w:color w:val="000000"/>
                <w:lang w:eastAsia="en-IN"/>
              </w:rPr>
              <w:footnoteReference w:id="178"/>
            </w:r>
            <w:r w:rsidR="002F756E" w:rsidRPr="002F756E">
              <w:rPr>
                <w:rFonts w:eastAsia="Times New Roman" w:cstheme="minorHAnsi"/>
                <w:color w:val="000000"/>
                <w:lang w:eastAsia="en-IN"/>
              </w:rPr>
              <w:t xml:space="preserve"> </w:t>
            </w:r>
          </w:p>
        </w:tc>
      </w:tr>
    </w:tbl>
    <w:p w14:paraId="09C9C1EC" w14:textId="77777777" w:rsidR="002F756E" w:rsidRPr="002F756E" w:rsidRDefault="002F756E" w:rsidP="002F756E"/>
    <w:tbl>
      <w:tblPr>
        <w:tblW w:w="13892" w:type="dxa"/>
        <w:tblInd w:w="-5" w:type="dxa"/>
        <w:tblLook w:val="04A0" w:firstRow="1" w:lastRow="0" w:firstColumn="1" w:lastColumn="0" w:noHBand="0" w:noVBand="1"/>
      </w:tblPr>
      <w:tblGrid>
        <w:gridCol w:w="1560"/>
        <w:gridCol w:w="2551"/>
        <w:gridCol w:w="5103"/>
        <w:gridCol w:w="1843"/>
        <w:gridCol w:w="1417"/>
        <w:gridCol w:w="1418"/>
      </w:tblGrid>
      <w:tr w:rsidR="002F756E" w:rsidRPr="002F756E" w14:paraId="39CC791D" w14:textId="77777777" w:rsidTr="009B2458">
        <w:trPr>
          <w:trHeight w:val="480"/>
          <w:tblHeader/>
        </w:trPr>
        <w:tc>
          <w:tcPr>
            <w:tcW w:w="1560" w:type="dxa"/>
            <w:tcBorders>
              <w:top w:val="single" w:sz="4" w:space="0" w:color="FFFFFF"/>
              <w:left w:val="single" w:sz="4" w:space="0" w:color="FFFFFF"/>
              <w:bottom w:val="single" w:sz="4" w:space="0" w:color="FFFFFF"/>
              <w:right w:val="single" w:sz="4" w:space="0" w:color="FFFFFF"/>
            </w:tcBorders>
            <w:shd w:val="clear" w:color="000000" w:fill="88194B"/>
            <w:vAlign w:val="center"/>
            <w:hideMark/>
          </w:tcPr>
          <w:p w14:paraId="1C2134CE" w14:textId="77777777" w:rsidR="002F756E" w:rsidRPr="002F756E" w:rsidRDefault="002F756E" w:rsidP="002F756E">
            <w:pPr>
              <w:spacing w:after="0" w:line="240" w:lineRule="auto"/>
              <w:jc w:val="center"/>
              <w:rPr>
                <w:rFonts w:eastAsia="Times New Roman" w:cstheme="minorHAnsi"/>
                <w:b/>
                <w:bCs/>
                <w:color w:val="FFFFFF"/>
                <w:lang w:eastAsia="en-IN"/>
              </w:rPr>
            </w:pPr>
            <w:r w:rsidRPr="002F756E">
              <w:rPr>
                <w:rFonts w:eastAsia="Times New Roman" w:cstheme="minorHAnsi"/>
                <w:b/>
                <w:bCs/>
                <w:color w:val="FFFFFF"/>
                <w:lang w:eastAsia="en-IN"/>
              </w:rPr>
              <w:lastRenderedPageBreak/>
              <w:t xml:space="preserve">Donor country </w:t>
            </w:r>
          </w:p>
        </w:tc>
        <w:tc>
          <w:tcPr>
            <w:tcW w:w="2551" w:type="dxa"/>
            <w:tcBorders>
              <w:top w:val="single" w:sz="4" w:space="0" w:color="FFFFFF"/>
              <w:left w:val="nil"/>
              <w:bottom w:val="single" w:sz="4" w:space="0" w:color="FFFFFF"/>
              <w:right w:val="single" w:sz="4" w:space="0" w:color="FFFFFF"/>
            </w:tcBorders>
            <w:shd w:val="clear" w:color="000000" w:fill="88194B"/>
            <w:vAlign w:val="center"/>
            <w:hideMark/>
          </w:tcPr>
          <w:p w14:paraId="40F393E9" w14:textId="77777777" w:rsidR="002F756E" w:rsidRPr="002F756E" w:rsidRDefault="002F756E" w:rsidP="002F756E">
            <w:pPr>
              <w:spacing w:after="0" w:line="240" w:lineRule="auto"/>
              <w:jc w:val="center"/>
              <w:rPr>
                <w:rFonts w:eastAsia="Times New Roman" w:cstheme="minorHAnsi"/>
                <w:b/>
                <w:bCs/>
                <w:color w:val="FFFFFF"/>
                <w:lang w:eastAsia="en-IN"/>
              </w:rPr>
            </w:pPr>
            <w:r w:rsidRPr="002F756E">
              <w:rPr>
                <w:rFonts w:eastAsia="Times New Roman" w:cstheme="minorHAnsi"/>
                <w:b/>
                <w:bCs/>
                <w:color w:val="FFFFFF"/>
                <w:lang w:eastAsia="en-IN"/>
              </w:rPr>
              <w:t xml:space="preserve">Overview of </w:t>
            </w:r>
            <w:r w:rsidRPr="002F756E">
              <w:rPr>
                <w:rFonts w:eastAsia="Times New Roman" w:cstheme="minorHAnsi"/>
                <w:b/>
                <w:bCs/>
                <w:color w:val="FFFFFF"/>
                <w:lang w:eastAsia="en-IN"/>
              </w:rPr>
              <w:br/>
              <w:t xml:space="preserve">governance arrangement </w:t>
            </w:r>
          </w:p>
        </w:tc>
        <w:tc>
          <w:tcPr>
            <w:tcW w:w="5103" w:type="dxa"/>
            <w:tcBorders>
              <w:top w:val="single" w:sz="4" w:space="0" w:color="FFFFFF"/>
              <w:left w:val="nil"/>
              <w:bottom w:val="single" w:sz="4" w:space="0" w:color="FFFFFF"/>
              <w:right w:val="single" w:sz="4" w:space="0" w:color="FFFFFF"/>
            </w:tcBorders>
            <w:shd w:val="clear" w:color="000000" w:fill="88194B"/>
            <w:vAlign w:val="center"/>
            <w:hideMark/>
          </w:tcPr>
          <w:p w14:paraId="5B7E19A6" w14:textId="463F20EA" w:rsidR="002F756E" w:rsidRPr="002F756E" w:rsidRDefault="002F756E" w:rsidP="002F756E">
            <w:pPr>
              <w:spacing w:after="0" w:line="240" w:lineRule="auto"/>
              <w:jc w:val="center"/>
              <w:rPr>
                <w:rFonts w:eastAsia="Times New Roman" w:cstheme="minorHAnsi"/>
                <w:b/>
                <w:bCs/>
                <w:color w:val="FFFFFF"/>
                <w:lang w:eastAsia="en-IN"/>
              </w:rPr>
            </w:pPr>
            <w:r w:rsidRPr="002F756E">
              <w:rPr>
                <w:rFonts w:eastAsia="Times New Roman" w:cstheme="minorHAnsi"/>
                <w:b/>
                <w:bCs/>
                <w:color w:val="FFFFFF"/>
                <w:lang w:eastAsia="en-IN"/>
              </w:rPr>
              <w:t xml:space="preserve">Target recipient countries </w:t>
            </w:r>
            <w:r w:rsidR="00C33C97">
              <w:rPr>
                <w:rFonts w:eastAsia="Times New Roman" w:cstheme="minorHAnsi"/>
                <w:b/>
                <w:bCs/>
                <w:color w:val="FFFFFF"/>
                <w:lang w:eastAsia="en-IN"/>
              </w:rPr>
              <w:t>and regions</w:t>
            </w:r>
            <w:r w:rsidRPr="002F756E">
              <w:rPr>
                <w:rFonts w:eastAsia="Times New Roman" w:cstheme="minorHAnsi"/>
                <w:b/>
                <w:bCs/>
                <w:color w:val="FFFFFF"/>
                <w:lang w:eastAsia="en-IN"/>
              </w:rPr>
              <w:br/>
              <w:t>(excluding EU recipients)</w:t>
            </w:r>
          </w:p>
        </w:tc>
        <w:tc>
          <w:tcPr>
            <w:tcW w:w="1843" w:type="dxa"/>
            <w:tcBorders>
              <w:top w:val="single" w:sz="4" w:space="0" w:color="FFFFFF"/>
              <w:left w:val="nil"/>
              <w:bottom w:val="single" w:sz="4" w:space="0" w:color="FFFFFF"/>
              <w:right w:val="single" w:sz="4" w:space="0" w:color="FFFFFF"/>
            </w:tcBorders>
            <w:shd w:val="clear" w:color="000000" w:fill="88194B"/>
            <w:vAlign w:val="center"/>
            <w:hideMark/>
          </w:tcPr>
          <w:p w14:paraId="0FAAE480" w14:textId="77777777" w:rsidR="002F756E" w:rsidRPr="002F756E" w:rsidRDefault="002F756E" w:rsidP="002F756E">
            <w:pPr>
              <w:spacing w:after="0" w:line="240" w:lineRule="auto"/>
              <w:jc w:val="center"/>
              <w:rPr>
                <w:rFonts w:eastAsia="Times New Roman" w:cstheme="minorHAnsi"/>
                <w:b/>
                <w:bCs/>
                <w:color w:val="FFFFFF"/>
                <w:lang w:eastAsia="en-IN"/>
              </w:rPr>
            </w:pPr>
            <w:r w:rsidRPr="002F756E">
              <w:rPr>
                <w:rFonts w:eastAsia="Times New Roman" w:cstheme="minorHAnsi"/>
                <w:b/>
                <w:bCs/>
                <w:color w:val="FFFFFF"/>
                <w:lang w:eastAsia="en-IN"/>
              </w:rPr>
              <w:t xml:space="preserve">Sectors with greatest aid spend </w:t>
            </w:r>
          </w:p>
        </w:tc>
        <w:tc>
          <w:tcPr>
            <w:tcW w:w="1417" w:type="dxa"/>
            <w:tcBorders>
              <w:top w:val="single" w:sz="4" w:space="0" w:color="FFFFFF"/>
              <w:left w:val="nil"/>
              <w:bottom w:val="single" w:sz="4" w:space="0" w:color="FFFFFF"/>
              <w:right w:val="single" w:sz="4" w:space="0" w:color="FFFFFF"/>
            </w:tcBorders>
            <w:shd w:val="clear" w:color="000000" w:fill="88194B"/>
            <w:vAlign w:val="center"/>
            <w:hideMark/>
          </w:tcPr>
          <w:p w14:paraId="2A0CCB42" w14:textId="77777777" w:rsidR="002F756E" w:rsidRPr="002F756E" w:rsidRDefault="002F756E" w:rsidP="002F756E">
            <w:pPr>
              <w:spacing w:after="0" w:line="240" w:lineRule="auto"/>
              <w:jc w:val="center"/>
              <w:rPr>
                <w:rFonts w:eastAsia="Times New Roman" w:cstheme="minorHAnsi"/>
                <w:b/>
                <w:bCs/>
                <w:color w:val="FFFFFF"/>
                <w:lang w:eastAsia="en-IN"/>
              </w:rPr>
            </w:pPr>
            <w:r w:rsidRPr="002F756E">
              <w:rPr>
                <w:rFonts w:eastAsia="Times New Roman" w:cstheme="minorHAnsi"/>
                <w:b/>
                <w:bCs/>
                <w:color w:val="FFFFFF"/>
                <w:lang w:eastAsia="en-IN"/>
              </w:rPr>
              <w:t xml:space="preserve">Instruments </w:t>
            </w:r>
          </w:p>
        </w:tc>
        <w:tc>
          <w:tcPr>
            <w:tcW w:w="1418" w:type="dxa"/>
            <w:tcBorders>
              <w:top w:val="single" w:sz="4" w:space="0" w:color="FFFFFF"/>
              <w:left w:val="nil"/>
              <w:bottom w:val="single" w:sz="4" w:space="0" w:color="FFFFFF"/>
              <w:right w:val="single" w:sz="4" w:space="0" w:color="FFFFFF"/>
            </w:tcBorders>
            <w:shd w:val="clear" w:color="000000" w:fill="88194B"/>
            <w:vAlign w:val="center"/>
            <w:hideMark/>
          </w:tcPr>
          <w:p w14:paraId="47DE64C3" w14:textId="77777777" w:rsidR="002F756E" w:rsidRPr="002F756E" w:rsidRDefault="002F756E" w:rsidP="002F756E">
            <w:pPr>
              <w:spacing w:after="0" w:line="240" w:lineRule="auto"/>
              <w:jc w:val="center"/>
              <w:rPr>
                <w:rFonts w:eastAsia="Times New Roman" w:cstheme="minorHAnsi"/>
                <w:b/>
                <w:bCs/>
                <w:color w:val="FFFFFF"/>
                <w:lang w:eastAsia="en-IN"/>
              </w:rPr>
            </w:pPr>
            <w:r w:rsidRPr="002F756E">
              <w:rPr>
                <w:rFonts w:eastAsia="Times New Roman" w:cstheme="minorHAnsi"/>
                <w:b/>
                <w:bCs/>
                <w:color w:val="FFFFFF"/>
                <w:lang w:eastAsia="en-IN"/>
              </w:rPr>
              <w:t xml:space="preserve">Average project size (ex-grant) </w:t>
            </w:r>
          </w:p>
        </w:tc>
      </w:tr>
      <w:tr w:rsidR="002F756E" w:rsidRPr="002F756E" w14:paraId="08154E23" w14:textId="77777777" w:rsidTr="009B2458">
        <w:trPr>
          <w:trHeight w:val="4005"/>
        </w:trPr>
        <w:tc>
          <w:tcPr>
            <w:tcW w:w="1560" w:type="dxa"/>
            <w:tcBorders>
              <w:top w:val="nil"/>
              <w:left w:val="single" w:sz="4" w:space="0" w:color="auto"/>
              <w:bottom w:val="single" w:sz="4" w:space="0" w:color="auto"/>
              <w:right w:val="nil"/>
            </w:tcBorders>
            <w:shd w:val="clear" w:color="000000" w:fill="FFFFFF"/>
            <w:hideMark/>
          </w:tcPr>
          <w:p w14:paraId="744F1311" w14:textId="77777777" w:rsidR="002F756E" w:rsidRPr="002F756E" w:rsidRDefault="002F756E" w:rsidP="002F756E">
            <w:pPr>
              <w:spacing w:after="0" w:line="240" w:lineRule="auto"/>
              <w:rPr>
                <w:rFonts w:eastAsia="Times New Roman" w:cstheme="minorHAnsi"/>
                <w:color w:val="000000"/>
                <w:lang w:eastAsia="en-IN"/>
              </w:rPr>
            </w:pPr>
            <w:r w:rsidRPr="002F756E">
              <w:rPr>
                <w:rFonts w:eastAsia="Times New Roman" w:cstheme="minorHAnsi"/>
                <w:b/>
                <w:bCs/>
                <w:color w:val="000000"/>
                <w:lang w:eastAsia="en-IN"/>
              </w:rPr>
              <w:t>China</w:t>
            </w:r>
            <w:r w:rsidRPr="002F756E">
              <w:rPr>
                <w:rFonts w:eastAsia="Times New Roman" w:cstheme="minorHAnsi"/>
                <w:color w:val="000000"/>
                <w:lang w:eastAsia="en-IN"/>
              </w:rPr>
              <w:t>:  Ministry of Commerce (MOFCOM), China Export-Import Bank (</w:t>
            </w:r>
            <w:proofErr w:type="spellStart"/>
            <w:r w:rsidRPr="002F756E">
              <w:rPr>
                <w:rFonts w:eastAsia="Times New Roman" w:cstheme="minorHAnsi"/>
                <w:color w:val="000000"/>
                <w:lang w:eastAsia="en-IN"/>
              </w:rPr>
              <w:t>Chexim</w:t>
            </w:r>
            <w:proofErr w:type="spellEnd"/>
            <w:r w:rsidRPr="002F756E">
              <w:rPr>
                <w:rFonts w:eastAsia="Times New Roman" w:cstheme="minorHAnsi"/>
                <w:color w:val="000000"/>
                <w:lang w:eastAsia="en-IN"/>
              </w:rPr>
              <w:t xml:space="preserve">), China Development Bank (CDB) and many other governmental, state-owned, and state-controlled entities. </w:t>
            </w:r>
          </w:p>
        </w:tc>
        <w:tc>
          <w:tcPr>
            <w:tcW w:w="2551" w:type="dxa"/>
            <w:tcBorders>
              <w:top w:val="nil"/>
              <w:left w:val="single" w:sz="4" w:space="0" w:color="88194B"/>
              <w:bottom w:val="single" w:sz="4" w:space="0" w:color="88194B"/>
              <w:right w:val="single" w:sz="4" w:space="0" w:color="88194B"/>
            </w:tcBorders>
            <w:shd w:val="clear" w:color="000000" w:fill="FFFFFF"/>
            <w:hideMark/>
          </w:tcPr>
          <w:p w14:paraId="189B6299" w14:textId="77777777" w:rsidR="002F756E" w:rsidRPr="002F756E" w:rsidRDefault="002F756E" w:rsidP="002F756E">
            <w:pPr>
              <w:spacing w:after="0" w:line="240" w:lineRule="auto"/>
              <w:rPr>
                <w:rFonts w:eastAsia="Times New Roman" w:cstheme="minorHAnsi"/>
                <w:color w:val="000000"/>
                <w:lang w:eastAsia="en-IN"/>
              </w:rPr>
            </w:pPr>
            <w:r w:rsidRPr="002F756E">
              <w:rPr>
                <w:rFonts w:eastAsia="Times New Roman" w:cstheme="minorHAnsi"/>
                <w:color w:val="000000"/>
                <w:lang w:eastAsia="en-IN"/>
              </w:rPr>
              <w:t xml:space="preserve">China's development finance regime encompasses an enormous variety of organizations that distribute </w:t>
            </w:r>
            <w:proofErr w:type="gramStart"/>
            <w:r w:rsidRPr="002F756E">
              <w:rPr>
                <w:rFonts w:eastAsia="Times New Roman" w:cstheme="minorHAnsi"/>
                <w:color w:val="000000"/>
                <w:lang w:eastAsia="en-IN"/>
              </w:rPr>
              <w:t>mostly-unreported</w:t>
            </w:r>
            <w:proofErr w:type="gramEnd"/>
            <w:r w:rsidRPr="002F756E">
              <w:rPr>
                <w:rFonts w:eastAsia="Times New Roman" w:cstheme="minorHAnsi"/>
                <w:color w:val="000000"/>
                <w:lang w:eastAsia="en-IN"/>
              </w:rPr>
              <w:t xml:space="preserve"> financial flows thorough a range of official and unofficial channels. </w:t>
            </w:r>
          </w:p>
        </w:tc>
        <w:tc>
          <w:tcPr>
            <w:tcW w:w="5103" w:type="dxa"/>
            <w:tcBorders>
              <w:top w:val="nil"/>
              <w:left w:val="nil"/>
              <w:bottom w:val="single" w:sz="4" w:space="0" w:color="88194B"/>
              <w:right w:val="single" w:sz="4" w:space="0" w:color="88194B"/>
            </w:tcBorders>
            <w:shd w:val="clear" w:color="000000" w:fill="FFFFFF"/>
            <w:hideMark/>
          </w:tcPr>
          <w:p w14:paraId="1C223EF5" w14:textId="77777777" w:rsidR="002F756E" w:rsidRPr="002F756E" w:rsidRDefault="002F756E" w:rsidP="002F756E">
            <w:pPr>
              <w:spacing w:after="0" w:line="240" w:lineRule="auto"/>
              <w:rPr>
                <w:rFonts w:eastAsia="Times New Roman" w:cstheme="minorHAnsi"/>
                <w:color w:val="000000"/>
                <w:lang w:eastAsia="en-IN"/>
              </w:rPr>
            </w:pPr>
            <w:r w:rsidRPr="002F756E">
              <w:rPr>
                <w:rFonts w:eastAsia="Times New Roman" w:cstheme="minorHAnsi"/>
                <w:color w:val="000000"/>
                <w:lang w:eastAsia="en-IN"/>
              </w:rPr>
              <w:t xml:space="preserve">At least 142 countries across six continents. </w:t>
            </w:r>
            <w:r w:rsidRPr="002F756E">
              <w:rPr>
                <w:rFonts w:eastAsia="Times New Roman" w:cstheme="minorHAnsi"/>
                <w:color w:val="000000"/>
                <w:vertAlign w:val="superscript"/>
                <w:lang w:eastAsia="en-IN"/>
              </w:rPr>
              <w:footnoteReference w:id="179"/>
            </w:r>
          </w:p>
        </w:tc>
        <w:tc>
          <w:tcPr>
            <w:tcW w:w="1843" w:type="dxa"/>
            <w:tcBorders>
              <w:top w:val="nil"/>
              <w:left w:val="nil"/>
              <w:bottom w:val="single" w:sz="4" w:space="0" w:color="88194B"/>
              <w:right w:val="single" w:sz="4" w:space="0" w:color="88194B"/>
            </w:tcBorders>
            <w:shd w:val="clear" w:color="000000" w:fill="FFFFFF"/>
            <w:hideMark/>
          </w:tcPr>
          <w:p w14:paraId="68D5F965" w14:textId="77777777" w:rsidR="002F756E" w:rsidRPr="002F756E" w:rsidRDefault="002F756E" w:rsidP="002F756E">
            <w:pPr>
              <w:spacing w:after="0" w:line="240" w:lineRule="auto"/>
              <w:rPr>
                <w:rFonts w:eastAsia="Times New Roman" w:cstheme="minorHAnsi"/>
                <w:color w:val="000000"/>
                <w:lang w:eastAsia="en-IN"/>
              </w:rPr>
            </w:pPr>
            <w:r w:rsidRPr="002F756E">
              <w:rPr>
                <w:rFonts w:eastAsia="Times New Roman" w:cstheme="minorHAnsi"/>
                <w:color w:val="000000"/>
                <w:lang w:eastAsia="en-IN"/>
              </w:rPr>
              <w:t xml:space="preserve">Diversified but concentrated in infrastructure and extractive industry. </w:t>
            </w:r>
            <w:r w:rsidRPr="002F756E">
              <w:rPr>
                <w:rFonts w:eastAsia="Times New Roman" w:cstheme="minorHAnsi"/>
                <w:color w:val="000000"/>
                <w:vertAlign w:val="superscript"/>
                <w:lang w:eastAsia="en-IN"/>
              </w:rPr>
              <w:footnoteReference w:id="180"/>
            </w:r>
          </w:p>
        </w:tc>
        <w:tc>
          <w:tcPr>
            <w:tcW w:w="1417" w:type="dxa"/>
            <w:tcBorders>
              <w:top w:val="nil"/>
              <w:left w:val="nil"/>
              <w:bottom w:val="single" w:sz="4" w:space="0" w:color="88194B"/>
              <w:right w:val="single" w:sz="4" w:space="0" w:color="88194B"/>
            </w:tcBorders>
            <w:shd w:val="clear" w:color="000000" w:fill="FFFFFF"/>
            <w:hideMark/>
          </w:tcPr>
          <w:p w14:paraId="73CD80F6" w14:textId="77777777" w:rsidR="002F756E" w:rsidRPr="002F756E" w:rsidRDefault="002F756E" w:rsidP="002F756E">
            <w:pPr>
              <w:spacing w:after="0" w:line="240" w:lineRule="auto"/>
              <w:rPr>
                <w:rFonts w:eastAsia="Times New Roman" w:cstheme="minorHAnsi"/>
                <w:color w:val="000000"/>
                <w:lang w:eastAsia="en-IN"/>
              </w:rPr>
            </w:pPr>
            <w:r w:rsidRPr="002F756E">
              <w:rPr>
                <w:rFonts w:eastAsia="Times New Roman" w:cstheme="minorHAnsi"/>
                <w:color w:val="000000"/>
                <w:lang w:eastAsia="en-IN"/>
              </w:rPr>
              <w:t xml:space="preserve">Grants, loans, equity, export finance, insurance. </w:t>
            </w:r>
          </w:p>
        </w:tc>
        <w:tc>
          <w:tcPr>
            <w:tcW w:w="1418" w:type="dxa"/>
            <w:tcBorders>
              <w:top w:val="nil"/>
              <w:left w:val="nil"/>
              <w:bottom w:val="single" w:sz="4" w:space="0" w:color="88194B"/>
              <w:right w:val="single" w:sz="4" w:space="0" w:color="88194B"/>
            </w:tcBorders>
            <w:shd w:val="clear" w:color="000000" w:fill="FFFFFF"/>
            <w:hideMark/>
          </w:tcPr>
          <w:p w14:paraId="2DD96570" w14:textId="1820D4FC" w:rsidR="002F756E" w:rsidRPr="002F756E" w:rsidRDefault="00800236" w:rsidP="002F756E">
            <w:pPr>
              <w:spacing w:after="0" w:line="240" w:lineRule="auto"/>
              <w:rPr>
                <w:rFonts w:eastAsia="Times New Roman" w:cstheme="minorHAnsi"/>
                <w:color w:val="000000"/>
                <w:lang w:eastAsia="en-IN"/>
              </w:rPr>
            </w:pPr>
            <w:r>
              <w:rPr>
                <w:rFonts w:eastAsia="Times New Roman" w:cstheme="minorHAnsi"/>
                <w:color w:val="000000"/>
                <w:lang w:eastAsia="en-IN"/>
              </w:rPr>
              <w:t>US$</w:t>
            </w:r>
            <w:r w:rsidR="002F756E" w:rsidRPr="002F756E">
              <w:rPr>
                <w:rFonts w:eastAsia="Times New Roman" w:cstheme="minorHAnsi"/>
                <w:color w:val="000000"/>
                <w:lang w:eastAsia="en-IN"/>
              </w:rPr>
              <w:t xml:space="preserve"> 558m </w:t>
            </w:r>
            <w:r w:rsidR="002F756E" w:rsidRPr="002F756E">
              <w:rPr>
                <w:rFonts w:eastAsia="Times New Roman" w:cstheme="minorHAnsi"/>
                <w:color w:val="000000"/>
                <w:vertAlign w:val="superscript"/>
                <w:lang w:eastAsia="en-IN"/>
              </w:rPr>
              <w:footnoteReference w:id="181"/>
            </w:r>
          </w:p>
        </w:tc>
      </w:tr>
    </w:tbl>
    <w:p w14:paraId="34633D07" w14:textId="77777777" w:rsidR="002F756E" w:rsidRPr="002F756E" w:rsidRDefault="002F756E" w:rsidP="002F756E">
      <w:r w:rsidRPr="002F756E">
        <w:br w:type="page"/>
      </w:r>
    </w:p>
    <w:tbl>
      <w:tblPr>
        <w:tblW w:w="13963" w:type="dxa"/>
        <w:tblInd w:w="-5" w:type="dxa"/>
        <w:tblLook w:val="04A0" w:firstRow="1" w:lastRow="0" w:firstColumn="1" w:lastColumn="0" w:noHBand="0" w:noVBand="1"/>
      </w:tblPr>
      <w:tblGrid>
        <w:gridCol w:w="1386"/>
        <w:gridCol w:w="2583"/>
        <w:gridCol w:w="4543"/>
        <w:gridCol w:w="2353"/>
        <w:gridCol w:w="1577"/>
        <w:gridCol w:w="1461"/>
        <w:gridCol w:w="60"/>
      </w:tblGrid>
      <w:tr w:rsidR="002F756E" w:rsidRPr="002F756E" w14:paraId="0ABC92E3" w14:textId="77777777" w:rsidTr="009B2458">
        <w:trPr>
          <w:trHeight w:val="480"/>
          <w:tblHeader/>
        </w:trPr>
        <w:tc>
          <w:tcPr>
            <w:tcW w:w="1386" w:type="dxa"/>
            <w:tcBorders>
              <w:top w:val="single" w:sz="4" w:space="0" w:color="FFFFFF"/>
              <w:left w:val="single" w:sz="4" w:space="0" w:color="FFFFFF"/>
              <w:bottom w:val="single" w:sz="4" w:space="0" w:color="FFFFFF"/>
              <w:right w:val="single" w:sz="4" w:space="0" w:color="FFFFFF"/>
            </w:tcBorders>
            <w:shd w:val="clear" w:color="000000" w:fill="88194B"/>
            <w:vAlign w:val="center"/>
            <w:hideMark/>
          </w:tcPr>
          <w:p w14:paraId="5E2904BE" w14:textId="77777777" w:rsidR="002F756E" w:rsidRPr="002F756E" w:rsidRDefault="002F756E" w:rsidP="002F756E">
            <w:pPr>
              <w:spacing w:after="0" w:line="240" w:lineRule="auto"/>
              <w:jc w:val="center"/>
              <w:rPr>
                <w:rFonts w:eastAsia="Times New Roman" w:cstheme="minorHAnsi"/>
                <w:b/>
                <w:bCs/>
                <w:color w:val="FFFFFF"/>
                <w:lang w:eastAsia="en-IN"/>
              </w:rPr>
            </w:pPr>
            <w:r w:rsidRPr="002F756E">
              <w:rPr>
                <w:rFonts w:eastAsia="Times New Roman" w:cstheme="minorHAnsi"/>
                <w:b/>
                <w:bCs/>
                <w:color w:val="FFFFFF"/>
                <w:lang w:eastAsia="en-IN"/>
              </w:rPr>
              <w:lastRenderedPageBreak/>
              <w:t xml:space="preserve">Donor country </w:t>
            </w:r>
          </w:p>
        </w:tc>
        <w:tc>
          <w:tcPr>
            <w:tcW w:w="2583" w:type="dxa"/>
            <w:tcBorders>
              <w:top w:val="single" w:sz="4" w:space="0" w:color="FFFFFF"/>
              <w:left w:val="nil"/>
              <w:bottom w:val="single" w:sz="4" w:space="0" w:color="FFFFFF"/>
              <w:right w:val="single" w:sz="4" w:space="0" w:color="FFFFFF"/>
            </w:tcBorders>
            <w:shd w:val="clear" w:color="000000" w:fill="88194B"/>
            <w:vAlign w:val="center"/>
            <w:hideMark/>
          </w:tcPr>
          <w:p w14:paraId="66A7C6A3" w14:textId="77777777" w:rsidR="002F756E" w:rsidRPr="002F756E" w:rsidRDefault="002F756E" w:rsidP="002F756E">
            <w:pPr>
              <w:spacing w:after="0" w:line="240" w:lineRule="auto"/>
              <w:jc w:val="center"/>
              <w:rPr>
                <w:rFonts w:eastAsia="Times New Roman" w:cstheme="minorHAnsi"/>
                <w:b/>
                <w:bCs/>
                <w:color w:val="FFFFFF"/>
                <w:lang w:eastAsia="en-IN"/>
              </w:rPr>
            </w:pPr>
            <w:r w:rsidRPr="002F756E">
              <w:rPr>
                <w:rFonts w:eastAsia="Times New Roman" w:cstheme="minorHAnsi"/>
                <w:b/>
                <w:bCs/>
                <w:color w:val="FFFFFF"/>
                <w:lang w:eastAsia="en-IN"/>
              </w:rPr>
              <w:t xml:space="preserve">Overview of </w:t>
            </w:r>
            <w:r w:rsidRPr="002F756E">
              <w:rPr>
                <w:rFonts w:eastAsia="Times New Roman" w:cstheme="minorHAnsi"/>
                <w:b/>
                <w:bCs/>
                <w:color w:val="FFFFFF"/>
                <w:lang w:eastAsia="en-IN"/>
              </w:rPr>
              <w:br/>
              <w:t xml:space="preserve">governance arrangement </w:t>
            </w:r>
          </w:p>
        </w:tc>
        <w:tc>
          <w:tcPr>
            <w:tcW w:w="4543" w:type="dxa"/>
            <w:tcBorders>
              <w:top w:val="single" w:sz="4" w:space="0" w:color="FFFFFF"/>
              <w:left w:val="nil"/>
              <w:bottom w:val="single" w:sz="4" w:space="0" w:color="FFFFFF"/>
              <w:right w:val="single" w:sz="4" w:space="0" w:color="FFFFFF"/>
            </w:tcBorders>
            <w:shd w:val="clear" w:color="000000" w:fill="88194B"/>
            <w:vAlign w:val="center"/>
            <w:hideMark/>
          </w:tcPr>
          <w:p w14:paraId="4D7C3E58" w14:textId="0088178A" w:rsidR="002F756E" w:rsidRPr="002F756E" w:rsidRDefault="002F756E" w:rsidP="002F756E">
            <w:pPr>
              <w:spacing w:after="0" w:line="240" w:lineRule="auto"/>
              <w:jc w:val="center"/>
              <w:rPr>
                <w:rFonts w:eastAsia="Times New Roman" w:cstheme="minorHAnsi"/>
                <w:b/>
                <w:bCs/>
                <w:color w:val="FFFFFF"/>
                <w:lang w:eastAsia="en-IN"/>
              </w:rPr>
            </w:pPr>
            <w:r w:rsidRPr="002F756E">
              <w:rPr>
                <w:rFonts w:eastAsia="Times New Roman" w:cstheme="minorHAnsi"/>
                <w:b/>
                <w:bCs/>
                <w:color w:val="FFFFFF"/>
                <w:lang w:eastAsia="en-IN"/>
              </w:rPr>
              <w:t xml:space="preserve">Target recipient countries </w:t>
            </w:r>
            <w:r w:rsidR="00C33C97">
              <w:rPr>
                <w:rFonts w:eastAsia="Times New Roman" w:cstheme="minorHAnsi"/>
                <w:b/>
                <w:bCs/>
                <w:color w:val="FFFFFF"/>
                <w:lang w:eastAsia="en-IN"/>
              </w:rPr>
              <w:t>and regions</w:t>
            </w:r>
            <w:r w:rsidRPr="002F756E">
              <w:rPr>
                <w:rFonts w:eastAsia="Times New Roman" w:cstheme="minorHAnsi"/>
                <w:b/>
                <w:bCs/>
                <w:color w:val="FFFFFF"/>
                <w:lang w:eastAsia="en-IN"/>
              </w:rPr>
              <w:br/>
              <w:t>(excluding EU recipients)</w:t>
            </w:r>
          </w:p>
        </w:tc>
        <w:tc>
          <w:tcPr>
            <w:tcW w:w="2353" w:type="dxa"/>
            <w:tcBorders>
              <w:top w:val="single" w:sz="4" w:space="0" w:color="FFFFFF"/>
              <w:left w:val="nil"/>
              <w:bottom w:val="single" w:sz="4" w:space="0" w:color="FFFFFF"/>
              <w:right w:val="single" w:sz="4" w:space="0" w:color="FFFFFF"/>
            </w:tcBorders>
            <w:shd w:val="clear" w:color="000000" w:fill="88194B"/>
            <w:vAlign w:val="center"/>
            <w:hideMark/>
          </w:tcPr>
          <w:p w14:paraId="32709BB9" w14:textId="77777777" w:rsidR="002F756E" w:rsidRPr="002F756E" w:rsidRDefault="002F756E" w:rsidP="002F756E">
            <w:pPr>
              <w:spacing w:after="0" w:line="240" w:lineRule="auto"/>
              <w:jc w:val="center"/>
              <w:rPr>
                <w:rFonts w:eastAsia="Times New Roman" w:cstheme="minorHAnsi"/>
                <w:b/>
                <w:bCs/>
                <w:color w:val="FFFFFF"/>
                <w:lang w:eastAsia="en-IN"/>
              </w:rPr>
            </w:pPr>
            <w:r w:rsidRPr="002F756E">
              <w:rPr>
                <w:rFonts w:eastAsia="Times New Roman" w:cstheme="minorHAnsi"/>
                <w:b/>
                <w:bCs/>
                <w:color w:val="FFFFFF"/>
                <w:lang w:eastAsia="en-IN"/>
              </w:rPr>
              <w:t xml:space="preserve">Sectors with greatest aid spend </w:t>
            </w:r>
          </w:p>
        </w:tc>
        <w:tc>
          <w:tcPr>
            <w:tcW w:w="1577" w:type="dxa"/>
            <w:tcBorders>
              <w:top w:val="single" w:sz="4" w:space="0" w:color="FFFFFF"/>
              <w:left w:val="nil"/>
              <w:bottom w:val="single" w:sz="4" w:space="0" w:color="FFFFFF"/>
              <w:right w:val="single" w:sz="4" w:space="0" w:color="FFFFFF"/>
            </w:tcBorders>
            <w:shd w:val="clear" w:color="000000" w:fill="88194B"/>
            <w:vAlign w:val="center"/>
            <w:hideMark/>
          </w:tcPr>
          <w:p w14:paraId="2512D54F" w14:textId="77777777" w:rsidR="002F756E" w:rsidRPr="002F756E" w:rsidRDefault="002F756E" w:rsidP="002F756E">
            <w:pPr>
              <w:spacing w:after="0" w:line="240" w:lineRule="auto"/>
              <w:jc w:val="center"/>
              <w:rPr>
                <w:rFonts w:eastAsia="Times New Roman" w:cstheme="minorHAnsi"/>
                <w:b/>
                <w:bCs/>
                <w:color w:val="FFFFFF"/>
                <w:lang w:eastAsia="en-IN"/>
              </w:rPr>
            </w:pPr>
            <w:r w:rsidRPr="002F756E">
              <w:rPr>
                <w:rFonts w:eastAsia="Times New Roman" w:cstheme="minorHAnsi"/>
                <w:b/>
                <w:bCs/>
                <w:color w:val="FFFFFF"/>
                <w:lang w:eastAsia="en-IN"/>
              </w:rPr>
              <w:t xml:space="preserve">Instruments </w:t>
            </w:r>
          </w:p>
        </w:tc>
        <w:tc>
          <w:tcPr>
            <w:tcW w:w="1521" w:type="dxa"/>
            <w:gridSpan w:val="2"/>
            <w:tcBorders>
              <w:top w:val="single" w:sz="4" w:space="0" w:color="FFFFFF"/>
              <w:left w:val="nil"/>
              <w:bottom w:val="single" w:sz="4" w:space="0" w:color="FFFFFF"/>
              <w:right w:val="single" w:sz="4" w:space="0" w:color="FFFFFF"/>
            </w:tcBorders>
            <w:shd w:val="clear" w:color="000000" w:fill="88194B"/>
            <w:vAlign w:val="center"/>
            <w:hideMark/>
          </w:tcPr>
          <w:p w14:paraId="5E8E0E04" w14:textId="77777777" w:rsidR="002F756E" w:rsidRPr="002F756E" w:rsidRDefault="002F756E" w:rsidP="002F756E">
            <w:pPr>
              <w:spacing w:after="0" w:line="240" w:lineRule="auto"/>
              <w:jc w:val="center"/>
              <w:rPr>
                <w:rFonts w:eastAsia="Times New Roman" w:cstheme="minorHAnsi"/>
                <w:b/>
                <w:bCs/>
                <w:color w:val="FFFFFF"/>
                <w:lang w:eastAsia="en-IN"/>
              </w:rPr>
            </w:pPr>
            <w:r w:rsidRPr="002F756E">
              <w:rPr>
                <w:rFonts w:eastAsia="Times New Roman" w:cstheme="minorHAnsi"/>
                <w:b/>
                <w:bCs/>
                <w:color w:val="FFFFFF"/>
                <w:lang w:eastAsia="en-IN"/>
              </w:rPr>
              <w:t xml:space="preserve">Average project size (ex-grant) </w:t>
            </w:r>
          </w:p>
        </w:tc>
      </w:tr>
      <w:tr w:rsidR="002F756E" w:rsidRPr="002F756E" w14:paraId="2409334A" w14:textId="77777777" w:rsidTr="009B2458">
        <w:trPr>
          <w:gridAfter w:val="1"/>
          <w:wAfter w:w="60" w:type="dxa"/>
          <w:trHeight w:val="4800"/>
        </w:trPr>
        <w:tc>
          <w:tcPr>
            <w:tcW w:w="1386" w:type="dxa"/>
            <w:tcBorders>
              <w:top w:val="nil"/>
              <w:left w:val="single" w:sz="4" w:space="0" w:color="auto"/>
              <w:bottom w:val="single" w:sz="4" w:space="0" w:color="auto"/>
              <w:right w:val="nil"/>
            </w:tcBorders>
            <w:shd w:val="clear" w:color="000000" w:fill="FFFFFF"/>
            <w:hideMark/>
          </w:tcPr>
          <w:p w14:paraId="7F5BC35C" w14:textId="77777777" w:rsidR="002F756E" w:rsidRPr="002F756E" w:rsidRDefault="002F756E" w:rsidP="002F756E">
            <w:pPr>
              <w:spacing w:after="0" w:line="240" w:lineRule="auto"/>
              <w:rPr>
                <w:rFonts w:eastAsia="Times New Roman" w:cstheme="minorHAnsi"/>
                <w:color w:val="000000"/>
                <w:lang w:eastAsia="en-IN"/>
              </w:rPr>
            </w:pPr>
            <w:r w:rsidRPr="002F756E">
              <w:rPr>
                <w:rFonts w:eastAsia="Times New Roman" w:cstheme="minorHAnsi"/>
                <w:b/>
                <w:bCs/>
                <w:color w:val="000000"/>
                <w:lang w:eastAsia="en-IN"/>
              </w:rPr>
              <w:t>France</w:t>
            </w:r>
            <w:r w:rsidRPr="002F756E">
              <w:rPr>
                <w:rFonts w:eastAsia="Times New Roman" w:cstheme="minorHAnsi"/>
                <w:color w:val="000000"/>
                <w:lang w:eastAsia="en-IN"/>
              </w:rPr>
              <w:t xml:space="preserve">: AFD (including </w:t>
            </w:r>
            <w:proofErr w:type="spellStart"/>
            <w:r w:rsidRPr="002F756E">
              <w:rPr>
                <w:rFonts w:eastAsia="Times New Roman" w:cstheme="minorHAnsi"/>
                <w:color w:val="000000"/>
                <w:lang w:eastAsia="en-IN"/>
              </w:rPr>
              <w:t>Proparco</w:t>
            </w:r>
            <w:proofErr w:type="spellEnd"/>
            <w:r w:rsidRPr="002F756E">
              <w:rPr>
                <w:rFonts w:eastAsia="Times New Roman" w:cstheme="minorHAnsi"/>
                <w:color w:val="000000"/>
                <w:lang w:eastAsia="en-IN"/>
              </w:rPr>
              <w:t>)</w:t>
            </w:r>
          </w:p>
        </w:tc>
        <w:tc>
          <w:tcPr>
            <w:tcW w:w="2583" w:type="dxa"/>
            <w:tcBorders>
              <w:top w:val="nil"/>
              <w:left w:val="single" w:sz="4" w:space="0" w:color="88194B"/>
              <w:bottom w:val="single" w:sz="4" w:space="0" w:color="88194B"/>
              <w:right w:val="single" w:sz="4" w:space="0" w:color="88194B"/>
            </w:tcBorders>
            <w:shd w:val="clear" w:color="auto" w:fill="auto"/>
            <w:hideMark/>
          </w:tcPr>
          <w:p w14:paraId="7E62A9C3" w14:textId="77777777" w:rsidR="002F756E" w:rsidRPr="002F756E" w:rsidRDefault="002F756E" w:rsidP="002F756E">
            <w:pPr>
              <w:spacing w:after="0" w:line="240" w:lineRule="auto"/>
              <w:rPr>
                <w:rFonts w:eastAsia="Times New Roman" w:cstheme="minorHAnsi"/>
                <w:color w:val="000000"/>
                <w:sz w:val="20"/>
                <w:szCs w:val="20"/>
                <w:lang w:eastAsia="en-IN"/>
              </w:rPr>
            </w:pPr>
            <w:r w:rsidRPr="002F756E">
              <w:rPr>
                <w:rFonts w:eastAsia="Times New Roman" w:cstheme="minorHAnsi"/>
                <w:color w:val="000000"/>
                <w:sz w:val="20"/>
                <w:szCs w:val="20"/>
                <w:lang w:eastAsia="en-IN"/>
              </w:rPr>
              <w:t xml:space="preserve">The </w:t>
            </w:r>
            <w:proofErr w:type="spellStart"/>
            <w:r w:rsidRPr="002F756E">
              <w:rPr>
                <w:rFonts w:eastAsia="Times New Roman" w:cstheme="minorHAnsi"/>
                <w:color w:val="000000"/>
                <w:sz w:val="20"/>
                <w:szCs w:val="20"/>
                <w:lang w:eastAsia="en-IN"/>
              </w:rPr>
              <w:t>Interministerial</w:t>
            </w:r>
            <w:proofErr w:type="spellEnd"/>
            <w:r w:rsidRPr="002F756E">
              <w:rPr>
                <w:rFonts w:eastAsia="Times New Roman" w:cstheme="minorHAnsi"/>
                <w:color w:val="000000"/>
                <w:sz w:val="20"/>
                <w:szCs w:val="20"/>
                <w:lang w:eastAsia="en-IN"/>
              </w:rPr>
              <w:t xml:space="preserve"> Committee for International Cooperation and Development (CICID) approves the long-term strategic priorities, while the Finance Ministry and Ministry of Europe and Foreign Affairs jointly manage the development policy. All three bodies exercise some level of supervision over the French Development Agency (AFD), which includes </w:t>
            </w:r>
            <w:proofErr w:type="spellStart"/>
            <w:r w:rsidRPr="002F756E">
              <w:rPr>
                <w:rFonts w:eastAsia="Times New Roman" w:cstheme="minorHAnsi"/>
                <w:color w:val="000000"/>
                <w:sz w:val="20"/>
                <w:szCs w:val="20"/>
                <w:lang w:eastAsia="en-IN"/>
              </w:rPr>
              <w:t>Proparco</w:t>
            </w:r>
            <w:proofErr w:type="spellEnd"/>
            <w:r w:rsidRPr="002F756E">
              <w:rPr>
                <w:rFonts w:eastAsia="Times New Roman" w:cstheme="minorHAnsi"/>
                <w:color w:val="000000"/>
                <w:sz w:val="20"/>
                <w:szCs w:val="20"/>
                <w:lang w:eastAsia="en-IN"/>
              </w:rPr>
              <w:t xml:space="preserve">, the private sector financing arm of AFD Group. AFD is the majority shareholder (64%) of </w:t>
            </w:r>
            <w:proofErr w:type="spellStart"/>
            <w:r w:rsidRPr="002F756E">
              <w:rPr>
                <w:rFonts w:eastAsia="Times New Roman" w:cstheme="minorHAnsi"/>
                <w:color w:val="000000"/>
                <w:sz w:val="20"/>
                <w:szCs w:val="20"/>
                <w:lang w:eastAsia="en-IN"/>
              </w:rPr>
              <w:t>Proparco</w:t>
            </w:r>
            <w:proofErr w:type="spellEnd"/>
            <w:r w:rsidRPr="002F756E">
              <w:rPr>
                <w:rFonts w:eastAsia="Times New Roman" w:cstheme="minorHAnsi"/>
                <w:color w:val="000000"/>
                <w:sz w:val="20"/>
                <w:szCs w:val="20"/>
                <w:lang w:eastAsia="en-IN"/>
              </w:rPr>
              <w:t xml:space="preserve">, which operates with a banking license. Other shareholders include public and private financial institutions, service companies and ethical funds and foundations across Africa &amp; Latin America. </w:t>
            </w:r>
          </w:p>
        </w:tc>
        <w:tc>
          <w:tcPr>
            <w:tcW w:w="4543" w:type="dxa"/>
            <w:tcBorders>
              <w:top w:val="nil"/>
              <w:left w:val="nil"/>
              <w:bottom w:val="single" w:sz="4" w:space="0" w:color="88194B"/>
              <w:right w:val="single" w:sz="4" w:space="0" w:color="88194B"/>
            </w:tcBorders>
            <w:shd w:val="clear" w:color="auto" w:fill="auto"/>
            <w:hideMark/>
          </w:tcPr>
          <w:p w14:paraId="2A179C18" w14:textId="77777777" w:rsidR="002F756E" w:rsidRPr="002F756E" w:rsidRDefault="002F756E" w:rsidP="002F756E">
            <w:pPr>
              <w:spacing w:after="0" w:line="240" w:lineRule="auto"/>
              <w:rPr>
                <w:rFonts w:eastAsia="Times New Roman" w:cstheme="minorHAnsi"/>
                <w:color w:val="000000"/>
                <w:lang w:eastAsia="en-IN"/>
              </w:rPr>
            </w:pPr>
            <w:r w:rsidRPr="002F756E">
              <w:rPr>
                <w:rFonts w:eastAsia="Times New Roman" w:cstheme="minorHAnsi"/>
                <w:color w:val="FF0000"/>
                <w:lang w:eastAsia="en-IN"/>
              </w:rPr>
              <w:t>ASIA &amp; PACIFIC</w:t>
            </w:r>
            <w:r w:rsidRPr="002F756E">
              <w:rPr>
                <w:rFonts w:eastAsia="Times New Roman" w:cstheme="minorHAnsi"/>
                <w:color w:val="000000"/>
                <w:lang w:eastAsia="en-IN"/>
              </w:rPr>
              <w:t xml:space="preserve">: China, India, Bangladesh, Cambodia, Indonesia, Lao PDR, Pakistan, Philippines, Thailand, Vietnam, </w:t>
            </w:r>
            <w:r w:rsidRPr="002F756E">
              <w:rPr>
                <w:rFonts w:eastAsia="Times New Roman" w:cstheme="minorHAnsi"/>
                <w:color w:val="4472C4"/>
                <w:lang w:eastAsia="en-IN"/>
              </w:rPr>
              <w:t xml:space="preserve">Sri Lanka, Malaysia, Myanmar, Mongolia; </w:t>
            </w:r>
            <w:r w:rsidRPr="002F756E">
              <w:rPr>
                <w:rFonts w:eastAsia="Times New Roman" w:cstheme="minorHAnsi"/>
                <w:color w:val="FF0000"/>
                <w:lang w:eastAsia="en-IN"/>
              </w:rPr>
              <w:t>AFRICA</w:t>
            </w:r>
            <w:r w:rsidRPr="002F756E">
              <w:rPr>
                <w:rFonts w:eastAsia="Times New Roman" w:cstheme="minorHAnsi"/>
                <w:color w:val="4472C4"/>
                <w:lang w:eastAsia="en-IN"/>
              </w:rPr>
              <w:t xml:space="preserve">: </w:t>
            </w:r>
            <w:r w:rsidRPr="002F756E">
              <w:rPr>
                <w:rFonts w:eastAsia="Times New Roman" w:cstheme="minorHAnsi"/>
                <w:lang w:eastAsia="en-IN"/>
              </w:rPr>
              <w:t xml:space="preserve">Cameroon, Kenya, Morocco, Senegal, Tunisia, Madagascar, Niger, Ivory Coast, Mozambique, Ghana, Benin, Nigeria, Chad, Togo, Egypt, Algeria, Congo, Mali, Ethiopia, Djibouti, Gabon, Guinea, Tanzania, Uganda, Burkina Faso, Burundi, Zambia, Angola, Namibia, Senegal, Sierra Leone, Zimbabwe, CAR, Mauritania,  </w:t>
            </w:r>
            <w:r w:rsidRPr="002F756E">
              <w:rPr>
                <w:rFonts w:eastAsia="Times New Roman" w:cstheme="minorHAnsi"/>
                <w:color w:val="4472C4"/>
                <w:lang w:eastAsia="en-IN"/>
              </w:rPr>
              <w:t>Malawi, Reunion, Cape Verde, Rwanda, Swaziland</w:t>
            </w:r>
            <w:r w:rsidRPr="002F756E">
              <w:rPr>
                <w:rFonts w:eastAsia="Times New Roman" w:cstheme="minorHAnsi"/>
                <w:lang w:eastAsia="en-IN"/>
              </w:rPr>
              <w:t>;</w:t>
            </w:r>
            <w:r w:rsidRPr="002F756E">
              <w:rPr>
                <w:rFonts w:eastAsia="Times New Roman" w:cstheme="minorHAnsi"/>
                <w:color w:val="FF0000"/>
                <w:lang w:eastAsia="en-IN"/>
              </w:rPr>
              <w:t xml:space="preserve"> LATIN AMERICA &amp; THE CARIBBEAN</w:t>
            </w:r>
            <w:r w:rsidRPr="002F756E">
              <w:rPr>
                <w:rFonts w:eastAsia="Times New Roman" w:cstheme="minorHAnsi"/>
                <w:lang w:eastAsia="en-IN"/>
              </w:rPr>
              <w:t>:</w:t>
            </w:r>
            <w:r w:rsidRPr="002F756E">
              <w:rPr>
                <w:rFonts w:eastAsia="Times New Roman" w:cstheme="minorHAnsi"/>
                <w:color w:val="4472C4"/>
                <w:lang w:eastAsia="en-IN"/>
              </w:rPr>
              <w:t xml:space="preserve"> </w:t>
            </w:r>
            <w:r w:rsidRPr="002F756E">
              <w:rPr>
                <w:rFonts w:eastAsia="Times New Roman" w:cstheme="minorHAnsi"/>
                <w:lang w:eastAsia="en-IN"/>
              </w:rPr>
              <w:t xml:space="preserve">Brazil, Peru, Colombia, Haiti, Mexico, Suriname, </w:t>
            </w:r>
            <w:r w:rsidRPr="002F756E">
              <w:rPr>
                <w:rFonts w:eastAsia="Times New Roman" w:cstheme="minorHAnsi"/>
                <w:color w:val="4472C4"/>
                <w:lang w:eastAsia="en-IN"/>
              </w:rPr>
              <w:t>Ecuador, Nicaragua, Panama, Costa Rica, Jamaica, Chile, Dominican Republic, Guatemala, Honduras, Uruguay, Salvador, Bolivia, Paraguay, Argentina, Belize</w:t>
            </w:r>
            <w:r w:rsidRPr="002F756E">
              <w:rPr>
                <w:rFonts w:eastAsia="Times New Roman" w:cstheme="minorHAnsi"/>
                <w:lang w:eastAsia="en-IN"/>
              </w:rPr>
              <w:t xml:space="preserve">; </w:t>
            </w:r>
            <w:r w:rsidRPr="002F756E">
              <w:rPr>
                <w:rFonts w:eastAsia="Times New Roman" w:cstheme="minorHAnsi"/>
                <w:color w:val="FF0000"/>
                <w:lang w:eastAsia="en-IN"/>
              </w:rPr>
              <w:t>MEDITERRANEAN &amp; MIDDLE EAST</w:t>
            </w:r>
            <w:r w:rsidRPr="002F756E">
              <w:rPr>
                <w:rFonts w:eastAsia="Times New Roman" w:cstheme="minorHAnsi"/>
                <w:color w:val="4472C4"/>
                <w:lang w:eastAsia="en-IN"/>
              </w:rPr>
              <w:t xml:space="preserve">: </w:t>
            </w:r>
            <w:r w:rsidRPr="002F756E">
              <w:rPr>
                <w:rFonts w:eastAsia="Times New Roman" w:cstheme="minorHAnsi"/>
                <w:lang w:eastAsia="en-IN"/>
              </w:rPr>
              <w:t xml:space="preserve">Jordan, Lebanon, Palestine, Turkey, Iraq, </w:t>
            </w:r>
            <w:r w:rsidRPr="002F756E">
              <w:rPr>
                <w:rFonts w:eastAsia="Times New Roman" w:cstheme="minorHAnsi"/>
                <w:color w:val="4472C4"/>
                <w:lang w:eastAsia="en-IN"/>
              </w:rPr>
              <w:t xml:space="preserve">Georgia, Montenegro, Armenia, Moldova, Palestinian autonomous areas, Ukraine, Tajikistan. </w:t>
            </w:r>
            <w:r w:rsidRPr="002F756E">
              <w:rPr>
                <w:rFonts w:eastAsia="Times New Roman" w:cstheme="minorHAnsi"/>
                <w:vertAlign w:val="superscript"/>
                <w:lang w:eastAsia="en-IN"/>
              </w:rPr>
              <w:footnoteReference w:id="182"/>
            </w:r>
            <w:r w:rsidRPr="002F756E">
              <w:rPr>
                <w:rFonts w:eastAsia="Times New Roman" w:cstheme="minorHAnsi"/>
                <w:lang w:eastAsia="en-IN"/>
              </w:rPr>
              <w:t xml:space="preserve"> </w:t>
            </w:r>
            <w:r w:rsidRPr="002F756E">
              <w:rPr>
                <w:rFonts w:eastAsia="Times New Roman" w:cstheme="minorHAnsi"/>
                <w:color w:val="4472C4"/>
                <w:lang w:eastAsia="en-IN"/>
              </w:rPr>
              <w:t xml:space="preserve">  </w:t>
            </w:r>
          </w:p>
        </w:tc>
        <w:tc>
          <w:tcPr>
            <w:tcW w:w="2353" w:type="dxa"/>
            <w:tcBorders>
              <w:top w:val="nil"/>
              <w:left w:val="nil"/>
              <w:bottom w:val="single" w:sz="4" w:space="0" w:color="88194B"/>
              <w:right w:val="single" w:sz="4" w:space="0" w:color="88194B"/>
            </w:tcBorders>
            <w:shd w:val="clear" w:color="auto" w:fill="auto"/>
            <w:hideMark/>
          </w:tcPr>
          <w:p w14:paraId="66CC211A" w14:textId="77777777" w:rsidR="002F756E" w:rsidRPr="002F756E" w:rsidRDefault="002F756E" w:rsidP="002F756E">
            <w:pPr>
              <w:spacing w:after="0" w:line="240" w:lineRule="auto"/>
              <w:rPr>
                <w:rFonts w:eastAsia="Times New Roman" w:cstheme="minorHAnsi"/>
                <w:color w:val="000000"/>
                <w:lang w:eastAsia="en-IN"/>
              </w:rPr>
            </w:pPr>
            <w:r w:rsidRPr="002F756E">
              <w:rPr>
                <w:rFonts w:eastAsia="Times New Roman" w:cstheme="minorHAnsi"/>
                <w:color w:val="000000"/>
                <w:lang w:eastAsia="en-IN"/>
              </w:rPr>
              <w:t xml:space="preserve">Financial sector (36%), Power (22%), Industry/manufacturing (11%). </w:t>
            </w:r>
            <w:r w:rsidRPr="002F756E">
              <w:rPr>
                <w:rFonts w:eastAsia="Times New Roman" w:cstheme="minorHAnsi"/>
                <w:color w:val="000000"/>
                <w:vertAlign w:val="superscript"/>
                <w:lang w:eastAsia="en-IN"/>
              </w:rPr>
              <w:footnoteReference w:id="183"/>
            </w:r>
            <w:r w:rsidRPr="002F756E">
              <w:rPr>
                <w:rFonts w:eastAsia="Times New Roman" w:cstheme="minorHAnsi"/>
                <w:color w:val="000000"/>
                <w:lang w:eastAsia="en-IN"/>
              </w:rPr>
              <w:t xml:space="preserve"> </w:t>
            </w:r>
          </w:p>
        </w:tc>
        <w:tc>
          <w:tcPr>
            <w:tcW w:w="1577" w:type="dxa"/>
            <w:tcBorders>
              <w:top w:val="nil"/>
              <w:left w:val="nil"/>
              <w:bottom w:val="single" w:sz="4" w:space="0" w:color="88194B"/>
              <w:right w:val="single" w:sz="4" w:space="0" w:color="88194B"/>
            </w:tcBorders>
            <w:shd w:val="clear" w:color="auto" w:fill="auto"/>
            <w:hideMark/>
          </w:tcPr>
          <w:p w14:paraId="401EE139" w14:textId="77777777" w:rsidR="002F756E" w:rsidRPr="002F756E" w:rsidRDefault="002F756E" w:rsidP="002F756E">
            <w:pPr>
              <w:spacing w:after="0" w:line="240" w:lineRule="auto"/>
              <w:rPr>
                <w:rFonts w:eastAsia="Times New Roman" w:cstheme="minorHAnsi"/>
                <w:color w:val="000000"/>
                <w:lang w:eastAsia="en-IN"/>
              </w:rPr>
            </w:pPr>
            <w:r w:rsidRPr="002F756E">
              <w:rPr>
                <w:rFonts w:eastAsia="Times New Roman" w:cstheme="minorHAnsi"/>
                <w:color w:val="000000"/>
                <w:lang w:eastAsia="en-IN"/>
              </w:rPr>
              <w:t xml:space="preserve">Loans, grants, guarantees </w:t>
            </w:r>
          </w:p>
        </w:tc>
        <w:tc>
          <w:tcPr>
            <w:tcW w:w="1461" w:type="dxa"/>
            <w:tcBorders>
              <w:top w:val="nil"/>
              <w:left w:val="nil"/>
              <w:bottom w:val="single" w:sz="4" w:space="0" w:color="88194B"/>
              <w:right w:val="single" w:sz="4" w:space="0" w:color="88194B"/>
            </w:tcBorders>
            <w:shd w:val="clear" w:color="000000" w:fill="FFFFFF"/>
            <w:hideMark/>
          </w:tcPr>
          <w:p w14:paraId="7BB32E6E" w14:textId="5357925C" w:rsidR="002F756E" w:rsidRPr="002F756E" w:rsidRDefault="00800236" w:rsidP="002F756E">
            <w:pPr>
              <w:spacing w:after="0" w:line="240" w:lineRule="auto"/>
              <w:rPr>
                <w:rFonts w:eastAsia="Times New Roman" w:cstheme="minorHAnsi"/>
                <w:color w:val="000000"/>
                <w:lang w:eastAsia="en-IN"/>
              </w:rPr>
            </w:pPr>
            <w:r>
              <w:rPr>
                <w:rFonts w:eastAsia="Times New Roman" w:cstheme="minorHAnsi"/>
                <w:color w:val="000000"/>
                <w:lang w:eastAsia="en-IN"/>
              </w:rPr>
              <w:t>US$</w:t>
            </w:r>
            <w:r w:rsidR="002F756E" w:rsidRPr="002F756E">
              <w:rPr>
                <w:rFonts w:eastAsia="Times New Roman" w:cstheme="minorHAnsi"/>
                <w:color w:val="000000"/>
                <w:lang w:eastAsia="en-IN"/>
              </w:rPr>
              <w:t xml:space="preserve"> 18.46m </w:t>
            </w:r>
            <w:r w:rsidR="002F756E" w:rsidRPr="002F756E">
              <w:rPr>
                <w:rFonts w:eastAsia="Times New Roman" w:cstheme="minorHAnsi"/>
                <w:color w:val="000000"/>
                <w:vertAlign w:val="superscript"/>
                <w:lang w:eastAsia="en-IN"/>
              </w:rPr>
              <w:footnoteReference w:id="184"/>
            </w:r>
          </w:p>
        </w:tc>
      </w:tr>
    </w:tbl>
    <w:p w14:paraId="10016525" w14:textId="77777777" w:rsidR="002F756E" w:rsidRPr="002F756E" w:rsidRDefault="002F756E" w:rsidP="002F756E">
      <w:r w:rsidRPr="002F756E">
        <w:br w:type="page"/>
      </w:r>
    </w:p>
    <w:tbl>
      <w:tblPr>
        <w:tblW w:w="13894" w:type="dxa"/>
        <w:tblInd w:w="-5" w:type="dxa"/>
        <w:tblLook w:val="04A0" w:firstRow="1" w:lastRow="0" w:firstColumn="1" w:lastColumn="0" w:noHBand="0" w:noVBand="1"/>
      </w:tblPr>
      <w:tblGrid>
        <w:gridCol w:w="1467"/>
        <w:gridCol w:w="2396"/>
        <w:gridCol w:w="4560"/>
        <w:gridCol w:w="2525"/>
        <w:gridCol w:w="1540"/>
        <w:gridCol w:w="1406"/>
      </w:tblGrid>
      <w:tr w:rsidR="002F756E" w:rsidRPr="002F756E" w14:paraId="5297FBB1" w14:textId="77777777" w:rsidTr="009B2458">
        <w:trPr>
          <w:trHeight w:val="480"/>
          <w:tblHeader/>
        </w:trPr>
        <w:tc>
          <w:tcPr>
            <w:tcW w:w="1467" w:type="dxa"/>
            <w:tcBorders>
              <w:top w:val="single" w:sz="4" w:space="0" w:color="FFFFFF"/>
              <w:left w:val="single" w:sz="4" w:space="0" w:color="FFFFFF"/>
              <w:bottom w:val="single" w:sz="4" w:space="0" w:color="FFFFFF"/>
              <w:right w:val="single" w:sz="4" w:space="0" w:color="FFFFFF"/>
            </w:tcBorders>
            <w:shd w:val="clear" w:color="000000" w:fill="88194B"/>
            <w:vAlign w:val="center"/>
            <w:hideMark/>
          </w:tcPr>
          <w:p w14:paraId="2091E5F4" w14:textId="77777777" w:rsidR="002F756E" w:rsidRPr="002F756E" w:rsidRDefault="002F756E" w:rsidP="002F756E">
            <w:pPr>
              <w:spacing w:after="0" w:line="240" w:lineRule="auto"/>
              <w:jc w:val="center"/>
              <w:rPr>
                <w:rFonts w:eastAsia="Times New Roman" w:cstheme="minorHAnsi"/>
                <w:b/>
                <w:bCs/>
                <w:color w:val="FFFFFF"/>
                <w:lang w:eastAsia="en-IN"/>
              </w:rPr>
            </w:pPr>
            <w:r w:rsidRPr="002F756E">
              <w:rPr>
                <w:rFonts w:eastAsia="Times New Roman" w:cstheme="minorHAnsi"/>
                <w:b/>
                <w:bCs/>
                <w:color w:val="FFFFFF"/>
                <w:lang w:eastAsia="en-IN"/>
              </w:rPr>
              <w:lastRenderedPageBreak/>
              <w:t xml:space="preserve">Donor country </w:t>
            </w:r>
          </w:p>
        </w:tc>
        <w:tc>
          <w:tcPr>
            <w:tcW w:w="2396" w:type="dxa"/>
            <w:tcBorders>
              <w:top w:val="single" w:sz="4" w:space="0" w:color="FFFFFF"/>
              <w:left w:val="nil"/>
              <w:bottom w:val="single" w:sz="4" w:space="0" w:color="FFFFFF"/>
              <w:right w:val="single" w:sz="4" w:space="0" w:color="FFFFFF"/>
            </w:tcBorders>
            <w:shd w:val="clear" w:color="000000" w:fill="88194B"/>
            <w:vAlign w:val="center"/>
            <w:hideMark/>
          </w:tcPr>
          <w:p w14:paraId="182F8D3F" w14:textId="77777777" w:rsidR="002F756E" w:rsidRPr="002F756E" w:rsidRDefault="002F756E" w:rsidP="002F756E">
            <w:pPr>
              <w:spacing w:after="0" w:line="240" w:lineRule="auto"/>
              <w:jc w:val="center"/>
              <w:rPr>
                <w:rFonts w:eastAsia="Times New Roman" w:cstheme="minorHAnsi"/>
                <w:b/>
                <w:bCs/>
                <w:color w:val="FFFFFF"/>
                <w:lang w:eastAsia="en-IN"/>
              </w:rPr>
            </w:pPr>
            <w:r w:rsidRPr="002F756E">
              <w:rPr>
                <w:rFonts w:eastAsia="Times New Roman" w:cstheme="minorHAnsi"/>
                <w:b/>
                <w:bCs/>
                <w:color w:val="FFFFFF"/>
                <w:lang w:eastAsia="en-IN"/>
              </w:rPr>
              <w:t xml:space="preserve">Overview of </w:t>
            </w:r>
            <w:r w:rsidRPr="002F756E">
              <w:rPr>
                <w:rFonts w:eastAsia="Times New Roman" w:cstheme="minorHAnsi"/>
                <w:b/>
                <w:bCs/>
                <w:color w:val="FFFFFF"/>
                <w:lang w:eastAsia="en-IN"/>
              </w:rPr>
              <w:br/>
              <w:t xml:space="preserve">governance arrangement </w:t>
            </w:r>
          </w:p>
        </w:tc>
        <w:tc>
          <w:tcPr>
            <w:tcW w:w="4560" w:type="dxa"/>
            <w:tcBorders>
              <w:top w:val="single" w:sz="4" w:space="0" w:color="FFFFFF"/>
              <w:left w:val="nil"/>
              <w:bottom w:val="single" w:sz="4" w:space="0" w:color="FFFFFF"/>
              <w:right w:val="single" w:sz="4" w:space="0" w:color="FFFFFF"/>
            </w:tcBorders>
            <w:shd w:val="clear" w:color="000000" w:fill="88194B"/>
            <w:vAlign w:val="center"/>
            <w:hideMark/>
          </w:tcPr>
          <w:p w14:paraId="734A67ED" w14:textId="14C03C2B" w:rsidR="002F756E" w:rsidRPr="002F756E" w:rsidRDefault="002F756E" w:rsidP="002F756E">
            <w:pPr>
              <w:spacing w:after="0" w:line="240" w:lineRule="auto"/>
              <w:jc w:val="center"/>
              <w:rPr>
                <w:rFonts w:eastAsia="Times New Roman" w:cstheme="minorHAnsi"/>
                <w:b/>
                <w:bCs/>
                <w:color w:val="FFFFFF"/>
                <w:lang w:eastAsia="en-IN"/>
              </w:rPr>
            </w:pPr>
            <w:r w:rsidRPr="002F756E">
              <w:rPr>
                <w:rFonts w:eastAsia="Times New Roman" w:cstheme="minorHAnsi"/>
                <w:b/>
                <w:bCs/>
                <w:color w:val="FFFFFF"/>
                <w:lang w:eastAsia="en-IN"/>
              </w:rPr>
              <w:t xml:space="preserve">Target recipient countries </w:t>
            </w:r>
            <w:r w:rsidR="00C33C97">
              <w:rPr>
                <w:rFonts w:eastAsia="Times New Roman" w:cstheme="minorHAnsi"/>
                <w:b/>
                <w:bCs/>
                <w:color w:val="FFFFFF"/>
                <w:lang w:eastAsia="en-IN"/>
              </w:rPr>
              <w:t>and regions</w:t>
            </w:r>
            <w:r w:rsidRPr="002F756E">
              <w:rPr>
                <w:rFonts w:eastAsia="Times New Roman" w:cstheme="minorHAnsi"/>
                <w:b/>
                <w:bCs/>
                <w:color w:val="FFFFFF"/>
                <w:lang w:eastAsia="en-IN"/>
              </w:rPr>
              <w:br/>
              <w:t>(excluding EU recipients)</w:t>
            </w:r>
          </w:p>
        </w:tc>
        <w:tc>
          <w:tcPr>
            <w:tcW w:w="2525" w:type="dxa"/>
            <w:tcBorders>
              <w:top w:val="single" w:sz="4" w:space="0" w:color="FFFFFF"/>
              <w:left w:val="nil"/>
              <w:bottom w:val="single" w:sz="4" w:space="0" w:color="FFFFFF"/>
              <w:right w:val="single" w:sz="4" w:space="0" w:color="FFFFFF"/>
            </w:tcBorders>
            <w:shd w:val="clear" w:color="000000" w:fill="88194B"/>
            <w:vAlign w:val="center"/>
            <w:hideMark/>
          </w:tcPr>
          <w:p w14:paraId="0881D83A" w14:textId="77777777" w:rsidR="002F756E" w:rsidRPr="002F756E" w:rsidRDefault="002F756E" w:rsidP="002F756E">
            <w:pPr>
              <w:spacing w:after="0" w:line="240" w:lineRule="auto"/>
              <w:jc w:val="center"/>
              <w:rPr>
                <w:rFonts w:eastAsia="Times New Roman" w:cstheme="minorHAnsi"/>
                <w:b/>
                <w:bCs/>
                <w:color w:val="FFFFFF"/>
                <w:lang w:eastAsia="en-IN"/>
              </w:rPr>
            </w:pPr>
            <w:r w:rsidRPr="002F756E">
              <w:rPr>
                <w:rFonts w:eastAsia="Times New Roman" w:cstheme="minorHAnsi"/>
                <w:b/>
                <w:bCs/>
                <w:color w:val="FFFFFF"/>
                <w:lang w:eastAsia="en-IN"/>
              </w:rPr>
              <w:t xml:space="preserve">Sectors with greatest aid spend </w:t>
            </w:r>
          </w:p>
        </w:tc>
        <w:tc>
          <w:tcPr>
            <w:tcW w:w="1540" w:type="dxa"/>
            <w:tcBorders>
              <w:top w:val="single" w:sz="4" w:space="0" w:color="FFFFFF"/>
              <w:left w:val="nil"/>
              <w:bottom w:val="single" w:sz="4" w:space="0" w:color="FFFFFF"/>
              <w:right w:val="single" w:sz="4" w:space="0" w:color="FFFFFF"/>
            </w:tcBorders>
            <w:shd w:val="clear" w:color="000000" w:fill="88194B"/>
            <w:vAlign w:val="center"/>
            <w:hideMark/>
          </w:tcPr>
          <w:p w14:paraId="7850D68C" w14:textId="77777777" w:rsidR="002F756E" w:rsidRPr="002F756E" w:rsidRDefault="002F756E" w:rsidP="002F756E">
            <w:pPr>
              <w:spacing w:after="0" w:line="240" w:lineRule="auto"/>
              <w:jc w:val="center"/>
              <w:rPr>
                <w:rFonts w:eastAsia="Times New Roman" w:cstheme="minorHAnsi"/>
                <w:b/>
                <w:bCs/>
                <w:color w:val="FFFFFF"/>
                <w:lang w:eastAsia="en-IN"/>
              </w:rPr>
            </w:pPr>
            <w:r w:rsidRPr="002F756E">
              <w:rPr>
                <w:rFonts w:eastAsia="Times New Roman" w:cstheme="minorHAnsi"/>
                <w:b/>
                <w:bCs/>
                <w:color w:val="FFFFFF"/>
                <w:lang w:eastAsia="en-IN"/>
              </w:rPr>
              <w:t xml:space="preserve">Instruments </w:t>
            </w:r>
          </w:p>
        </w:tc>
        <w:tc>
          <w:tcPr>
            <w:tcW w:w="1406" w:type="dxa"/>
            <w:tcBorders>
              <w:top w:val="single" w:sz="4" w:space="0" w:color="FFFFFF"/>
              <w:left w:val="nil"/>
              <w:bottom w:val="single" w:sz="4" w:space="0" w:color="FFFFFF"/>
              <w:right w:val="single" w:sz="4" w:space="0" w:color="FFFFFF"/>
            </w:tcBorders>
            <w:shd w:val="clear" w:color="000000" w:fill="88194B"/>
            <w:vAlign w:val="center"/>
            <w:hideMark/>
          </w:tcPr>
          <w:p w14:paraId="5043C2E0" w14:textId="77777777" w:rsidR="002F756E" w:rsidRPr="002F756E" w:rsidRDefault="002F756E" w:rsidP="002F756E">
            <w:pPr>
              <w:spacing w:after="0" w:line="240" w:lineRule="auto"/>
              <w:jc w:val="center"/>
              <w:rPr>
                <w:rFonts w:eastAsia="Times New Roman" w:cstheme="minorHAnsi"/>
                <w:b/>
                <w:bCs/>
                <w:color w:val="FFFFFF"/>
                <w:lang w:eastAsia="en-IN"/>
              </w:rPr>
            </w:pPr>
            <w:r w:rsidRPr="002F756E">
              <w:rPr>
                <w:rFonts w:eastAsia="Times New Roman" w:cstheme="minorHAnsi"/>
                <w:b/>
                <w:bCs/>
                <w:color w:val="FFFFFF"/>
                <w:lang w:eastAsia="en-IN"/>
              </w:rPr>
              <w:t xml:space="preserve">Average project size (ex-grant) </w:t>
            </w:r>
          </w:p>
        </w:tc>
      </w:tr>
      <w:tr w:rsidR="002F756E" w:rsidRPr="002F756E" w14:paraId="4F4702E3" w14:textId="77777777" w:rsidTr="009B2458">
        <w:trPr>
          <w:trHeight w:val="3825"/>
        </w:trPr>
        <w:tc>
          <w:tcPr>
            <w:tcW w:w="1467" w:type="dxa"/>
            <w:tcBorders>
              <w:top w:val="nil"/>
              <w:left w:val="single" w:sz="4" w:space="0" w:color="auto"/>
              <w:bottom w:val="single" w:sz="4" w:space="0" w:color="auto"/>
              <w:right w:val="nil"/>
            </w:tcBorders>
            <w:shd w:val="clear" w:color="auto" w:fill="auto"/>
            <w:hideMark/>
          </w:tcPr>
          <w:p w14:paraId="2B9F99DB" w14:textId="77777777" w:rsidR="002F756E" w:rsidRPr="002F756E" w:rsidRDefault="002F756E" w:rsidP="002F756E">
            <w:pPr>
              <w:spacing w:after="0" w:line="240" w:lineRule="auto"/>
              <w:rPr>
                <w:rFonts w:eastAsia="Times New Roman" w:cstheme="minorHAnsi"/>
                <w:color w:val="000000"/>
                <w:lang w:eastAsia="en-IN"/>
              </w:rPr>
            </w:pPr>
            <w:r w:rsidRPr="002F756E">
              <w:rPr>
                <w:rFonts w:eastAsia="Times New Roman" w:cstheme="minorHAnsi"/>
                <w:b/>
                <w:bCs/>
                <w:color w:val="000000"/>
                <w:lang w:eastAsia="en-IN"/>
              </w:rPr>
              <w:t>UK</w:t>
            </w:r>
            <w:r w:rsidRPr="002F756E">
              <w:rPr>
                <w:rFonts w:eastAsia="Times New Roman" w:cstheme="minorHAnsi"/>
                <w:color w:val="000000"/>
                <w:lang w:eastAsia="en-IN"/>
              </w:rPr>
              <w:t xml:space="preserve">: CDC Group </w:t>
            </w:r>
          </w:p>
        </w:tc>
        <w:tc>
          <w:tcPr>
            <w:tcW w:w="2396" w:type="dxa"/>
            <w:tcBorders>
              <w:top w:val="nil"/>
              <w:left w:val="single" w:sz="4" w:space="0" w:color="88194B"/>
              <w:bottom w:val="single" w:sz="4" w:space="0" w:color="88194B"/>
              <w:right w:val="single" w:sz="4" w:space="0" w:color="88194B"/>
            </w:tcBorders>
            <w:shd w:val="clear" w:color="auto" w:fill="auto"/>
            <w:hideMark/>
          </w:tcPr>
          <w:p w14:paraId="24DE3742" w14:textId="77777777" w:rsidR="002F756E" w:rsidRPr="002F756E" w:rsidRDefault="002F756E" w:rsidP="002F756E">
            <w:pPr>
              <w:spacing w:after="0" w:line="240" w:lineRule="auto"/>
              <w:rPr>
                <w:rFonts w:eastAsia="Times New Roman" w:cstheme="minorHAnsi"/>
                <w:color w:val="000000"/>
                <w:lang w:eastAsia="en-IN"/>
              </w:rPr>
            </w:pPr>
            <w:r w:rsidRPr="002F756E">
              <w:rPr>
                <w:rFonts w:eastAsia="Times New Roman" w:cstheme="minorHAnsi"/>
                <w:color w:val="000000"/>
                <w:lang w:eastAsia="en-IN"/>
              </w:rPr>
              <w:t xml:space="preserve">CDC Group is entirely owned by the UK government. UK's Department for International Development (DFID) sets the investment policy, appoints the members of the board, and practises other accountability measures, but otherwise practises 'arm's length' governance. </w:t>
            </w:r>
          </w:p>
        </w:tc>
        <w:tc>
          <w:tcPr>
            <w:tcW w:w="4560" w:type="dxa"/>
            <w:tcBorders>
              <w:top w:val="nil"/>
              <w:left w:val="nil"/>
              <w:bottom w:val="single" w:sz="4" w:space="0" w:color="88194B"/>
              <w:right w:val="single" w:sz="4" w:space="0" w:color="88194B"/>
            </w:tcBorders>
            <w:shd w:val="clear" w:color="auto" w:fill="auto"/>
            <w:hideMark/>
          </w:tcPr>
          <w:p w14:paraId="7BFAAA80" w14:textId="77777777" w:rsidR="002F756E" w:rsidRPr="002F756E" w:rsidRDefault="002F756E" w:rsidP="002F756E">
            <w:pPr>
              <w:spacing w:after="0" w:line="240" w:lineRule="auto"/>
              <w:rPr>
                <w:rFonts w:eastAsia="Times New Roman" w:cstheme="minorHAnsi"/>
                <w:color w:val="000000"/>
                <w:lang w:eastAsia="en-IN"/>
              </w:rPr>
            </w:pPr>
            <w:r w:rsidRPr="002F756E">
              <w:rPr>
                <w:rFonts w:eastAsia="Times New Roman" w:cstheme="minorHAnsi"/>
                <w:color w:val="FF0000"/>
                <w:lang w:eastAsia="en-IN"/>
              </w:rPr>
              <w:t>ASIA &amp; CIS</w:t>
            </w:r>
            <w:r w:rsidRPr="002F756E">
              <w:rPr>
                <w:rFonts w:eastAsia="Times New Roman" w:cstheme="minorHAnsi"/>
                <w:color w:val="000000"/>
                <w:lang w:eastAsia="en-IN"/>
              </w:rPr>
              <w:t xml:space="preserve">: India, China, Myanmar, Pakistan, Bangladesh, Vietnam, Indonesia, Malaysia, Cambodia, Philippines, Thailand, Mauritius, Kazakhstan; </w:t>
            </w:r>
            <w:r w:rsidRPr="002F756E">
              <w:rPr>
                <w:rFonts w:eastAsia="Times New Roman" w:cstheme="minorHAnsi"/>
                <w:color w:val="FF0000"/>
                <w:lang w:eastAsia="en-IN"/>
              </w:rPr>
              <w:t>AFRICA:</w:t>
            </w:r>
            <w:r w:rsidRPr="002F756E">
              <w:rPr>
                <w:rFonts w:eastAsia="Times New Roman" w:cstheme="minorHAnsi"/>
                <w:color w:val="000000"/>
                <w:lang w:eastAsia="en-IN"/>
              </w:rPr>
              <w:t xml:space="preserve"> Nigeria, South Africa, Kenya, Ivory Coast, Cameroon, Zambia, Ghana, Uganda, Tanzania, Congo, Ethiopia, Algeria, Malawi, Mozambique, Morocco, Egypt, Zimbabwe, Tunisia, Gabon, Sierra Leone, Senegal, Madagascar, Burkina Faso, Rwanda, Mali, Niger, Liberia; </w:t>
            </w:r>
            <w:r w:rsidRPr="002F756E">
              <w:rPr>
                <w:rFonts w:eastAsia="Times New Roman" w:cstheme="minorHAnsi"/>
                <w:color w:val="FF0000"/>
                <w:lang w:eastAsia="en-IN"/>
              </w:rPr>
              <w:t>LATIN AMERICA</w:t>
            </w:r>
            <w:r w:rsidRPr="002F756E">
              <w:rPr>
                <w:rFonts w:eastAsia="Times New Roman" w:cstheme="minorHAnsi"/>
                <w:color w:val="000000"/>
                <w:lang w:eastAsia="en-IN"/>
              </w:rPr>
              <w:t>: Brazil, Costa Rica, Peru, Colombia, Mexico</w:t>
            </w:r>
          </w:p>
        </w:tc>
        <w:tc>
          <w:tcPr>
            <w:tcW w:w="2525" w:type="dxa"/>
            <w:tcBorders>
              <w:top w:val="nil"/>
              <w:left w:val="nil"/>
              <w:bottom w:val="single" w:sz="4" w:space="0" w:color="88194B"/>
              <w:right w:val="single" w:sz="4" w:space="0" w:color="88194B"/>
            </w:tcBorders>
            <w:shd w:val="clear" w:color="auto" w:fill="auto"/>
            <w:hideMark/>
          </w:tcPr>
          <w:p w14:paraId="5A6BF44C" w14:textId="77777777" w:rsidR="002F756E" w:rsidRPr="002F756E" w:rsidRDefault="002F756E" w:rsidP="002F756E">
            <w:pPr>
              <w:spacing w:after="0" w:line="240" w:lineRule="auto"/>
              <w:rPr>
                <w:rFonts w:eastAsia="Times New Roman" w:cstheme="minorHAnsi"/>
                <w:color w:val="000000"/>
                <w:lang w:eastAsia="en-IN"/>
              </w:rPr>
            </w:pPr>
            <w:r w:rsidRPr="002F756E">
              <w:rPr>
                <w:rFonts w:eastAsia="Times New Roman" w:cstheme="minorHAnsi"/>
                <w:color w:val="000000"/>
                <w:lang w:eastAsia="en-IN"/>
              </w:rPr>
              <w:t xml:space="preserve">Financial sector (24%), Funds (36%), Power (19%), Industry/manufacturing (15%). </w:t>
            </w:r>
            <w:r w:rsidRPr="002F756E">
              <w:rPr>
                <w:rFonts w:eastAsia="Times New Roman" w:cstheme="minorHAnsi"/>
                <w:color w:val="000000"/>
                <w:vertAlign w:val="superscript"/>
                <w:lang w:eastAsia="en-IN"/>
              </w:rPr>
              <w:footnoteReference w:id="185"/>
            </w:r>
            <w:r w:rsidRPr="002F756E">
              <w:rPr>
                <w:rFonts w:eastAsia="Times New Roman" w:cstheme="minorHAnsi"/>
                <w:color w:val="000000"/>
                <w:lang w:eastAsia="en-IN"/>
              </w:rPr>
              <w:t xml:space="preserve"> </w:t>
            </w:r>
          </w:p>
        </w:tc>
        <w:tc>
          <w:tcPr>
            <w:tcW w:w="1540" w:type="dxa"/>
            <w:tcBorders>
              <w:top w:val="nil"/>
              <w:left w:val="nil"/>
              <w:bottom w:val="single" w:sz="4" w:space="0" w:color="88194B"/>
              <w:right w:val="single" w:sz="4" w:space="0" w:color="88194B"/>
            </w:tcBorders>
            <w:shd w:val="clear" w:color="auto" w:fill="auto"/>
            <w:hideMark/>
          </w:tcPr>
          <w:p w14:paraId="7A87F4ED" w14:textId="77777777" w:rsidR="002F756E" w:rsidRPr="002F756E" w:rsidRDefault="002F756E" w:rsidP="002F756E">
            <w:pPr>
              <w:spacing w:after="0" w:line="240" w:lineRule="auto"/>
              <w:rPr>
                <w:rFonts w:eastAsia="Times New Roman" w:cstheme="minorHAnsi"/>
                <w:color w:val="000000"/>
                <w:lang w:eastAsia="en-IN"/>
              </w:rPr>
            </w:pPr>
            <w:r w:rsidRPr="002F756E">
              <w:rPr>
                <w:rFonts w:eastAsia="Times New Roman" w:cstheme="minorHAnsi"/>
                <w:color w:val="000000"/>
                <w:lang w:eastAsia="en-IN"/>
              </w:rPr>
              <w:t xml:space="preserve">Equity, loans, guarantees. </w:t>
            </w:r>
          </w:p>
        </w:tc>
        <w:tc>
          <w:tcPr>
            <w:tcW w:w="1406" w:type="dxa"/>
            <w:tcBorders>
              <w:top w:val="nil"/>
              <w:left w:val="nil"/>
              <w:bottom w:val="single" w:sz="4" w:space="0" w:color="88194B"/>
              <w:right w:val="single" w:sz="4" w:space="0" w:color="88194B"/>
            </w:tcBorders>
            <w:shd w:val="clear" w:color="auto" w:fill="auto"/>
            <w:hideMark/>
          </w:tcPr>
          <w:p w14:paraId="4CCC28D3" w14:textId="6FA970AB" w:rsidR="002F756E" w:rsidRPr="002F756E" w:rsidRDefault="00800236" w:rsidP="002F756E">
            <w:pPr>
              <w:spacing w:after="0" w:line="240" w:lineRule="auto"/>
              <w:rPr>
                <w:rFonts w:eastAsia="Times New Roman" w:cstheme="minorHAnsi"/>
                <w:color w:val="000000"/>
                <w:lang w:eastAsia="en-IN"/>
              </w:rPr>
            </w:pPr>
            <w:r>
              <w:rPr>
                <w:rFonts w:eastAsia="Times New Roman" w:cstheme="minorHAnsi"/>
                <w:color w:val="000000"/>
                <w:lang w:eastAsia="en-IN"/>
              </w:rPr>
              <w:t>US$</w:t>
            </w:r>
            <w:r w:rsidR="002F756E" w:rsidRPr="002F756E">
              <w:rPr>
                <w:rFonts w:eastAsia="Times New Roman" w:cstheme="minorHAnsi"/>
                <w:color w:val="000000"/>
                <w:lang w:eastAsia="en-IN"/>
              </w:rPr>
              <w:t xml:space="preserve"> 32.7m </w:t>
            </w:r>
            <w:r w:rsidR="002F756E" w:rsidRPr="002F756E">
              <w:rPr>
                <w:rFonts w:eastAsia="Times New Roman" w:cstheme="minorHAnsi"/>
                <w:color w:val="000000"/>
                <w:vertAlign w:val="superscript"/>
                <w:lang w:eastAsia="en-IN"/>
              </w:rPr>
              <w:footnoteReference w:id="186"/>
            </w:r>
          </w:p>
        </w:tc>
      </w:tr>
    </w:tbl>
    <w:p w14:paraId="7246AF4E" w14:textId="77777777" w:rsidR="002F756E" w:rsidRPr="002F756E" w:rsidRDefault="002F756E" w:rsidP="002F756E"/>
    <w:p w14:paraId="29EC5106" w14:textId="69ED0D19" w:rsidR="004C0F8F" w:rsidRDefault="004C0F8F">
      <w:pPr>
        <w:rPr>
          <w:sz w:val="32"/>
          <w:szCs w:val="32"/>
        </w:rPr>
      </w:pPr>
      <w:r>
        <w:rPr>
          <w:sz w:val="32"/>
          <w:szCs w:val="32"/>
        </w:rPr>
        <w:br w:type="page"/>
      </w:r>
    </w:p>
    <w:p w14:paraId="6AADEF35" w14:textId="160234AF" w:rsidR="008C42F0" w:rsidRDefault="008C42F0" w:rsidP="008C42F0">
      <w:pPr>
        <w:spacing w:before="120" w:after="120" w:line="240" w:lineRule="auto"/>
        <w:rPr>
          <w:sz w:val="32"/>
          <w:szCs w:val="32"/>
        </w:rPr>
      </w:pPr>
      <w:bookmarkStart w:id="59" w:name="_Hlk534002946"/>
      <w:r w:rsidRPr="00C741CD">
        <w:rPr>
          <w:sz w:val="32"/>
          <w:szCs w:val="32"/>
        </w:rPr>
        <w:lastRenderedPageBreak/>
        <w:t>A</w:t>
      </w:r>
      <w:r w:rsidR="00105CF3">
        <w:rPr>
          <w:sz w:val="32"/>
          <w:szCs w:val="32"/>
        </w:rPr>
        <w:t>NNEX</w:t>
      </w:r>
      <w:r w:rsidRPr="00C741CD">
        <w:rPr>
          <w:sz w:val="32"/>
          <w:szCs w:val="32"/>
        </w:rPr>
        <w:t xml:space="preserve"> </w:t>
      </w:r>
      <w:r w:rsidR="00FD17ED">
        <w:rPr>
          <w:sz w:val="32"/>
          <w:szCs w:val="32"/>
        </w:rPr>
        <w:t>11</w:t>
      </w:r>
      <w:r>
        <w:rPr>
          <w:sz w:val="32"/>
          <w:szCs w:val="32"/>
        </w:rPr>
        <w:t>—</w:t>
      </w:r>
      <w:r w:rsidRPr="00C741CD">
        <w:rPr>
          <w:sz w:val="32"/>
          <w:szCs w:val="32"/>
        </w:rPr>
        <w:t>Skills matrix for support unit</w:t>
      </w:r>
    </w:p>
    <w:p w14:paraId="4E99D7AA" w14:textId="6F1968C9" w:rsidR="00966CC8" w:rsidRPr="00C741CD" w:rsidRDefault="00966CC8" w:rsidP="008C42F0">
      <w:pPr>
        <w:spacing w:before="120" w:after="120" w:line="240" w:lineRule="auto"/>
        <w:rPr>
          <w:sz w:val="32"/>
          <w:szCs w:val="32"/>
        </w:rPr>
      </w:pPr>
      <w:r>
        <w:rPr>
          <w:noProof/>
          <w:sz w:val="32"/>
          <w:szCs w:val="32"/>
          <w:lang w:eastAsia="en-AU"/>
        </w:rPr>
        <w:drawing>
          <wp:inline distT="0" distB="0" distL="0" distR="0" wp14:anchorId="1D3EA171" wp14:editId="5105B6E0">
            <wp:extent cx="8846185" cy="5029200"/>
            <wp:effectExtent l="0" t="0" r="0" b="0"/>
            <wp:docPr id="9" name="Picture 9" descr="Image is of a matrix of the specialties likely to be needed for non-grant financing specialist support uni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mage is of a matrix of the specialties likely to be needed for non-grant financing specialist support unit. "/>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8846185" cy="5029200"/>
                    </a:xfrm>
                    <a:prstGeom prst="rect">
                      <a:avLst/>
                    </a:prstGeom>
                    <a:noFill/>
                  </pic:spPr>
                </pic:pic>
              </a:graphicData>
            </a:graphic>
          </wp:inline>
        </w:drawing>
      </w:r>
    </w:p>
    <w:bookmarkEnd w:id="59"/>
    <w:p w14:paraId="67ACD088" w14:textId="739573A6" w:rsidR="005315A7" w:rsidRDefault="005315A7">
      <w:pPr>
        <w:rPr>
          <w:sz w:val="32"/>
          <w:szCs w:val="32"/>
        </w:rPr>
      </w:pPr>
    </w:p>
    <w:p w14:paraId="5DDC7419" w14:textId="77777777" w:rsidR="005315A7" w:rsidRDefault="005315A7" w:rsidP="00594341">
      <w:pPr>
        <w:spacing w:before="120" w:after="120" w:line="240" w:lineRule="auto"/>
        <w:rPr>
          <w:sz w:val="32"/>
          <w:szCs w:val="32"/>
        </w:rPr>
        <w:sectPr w:rsidR="005315A7" w:rsidSect="00E6754C">
          <w:pgSz w:w="16838" w:h="11906" w:orient="landscape"/>
          <w:pgMar w:top="1440" w:right="1440" w:bottom="1440" w:left="1440" w:header="708" w:footer="708" w:gutter="0"/>
          <w:cols w:space="708"/>
          <w:docGrid w:linePitch="360"/>
        </w:sectPr>
      </w:pPr>
    </w:p>
    <w:p w14:paraId="3C6138F7" w14:textId="0F77A47C" w:rsidR="00BB5F6D" w:rsidRPr="0003026F" w:rsidRDefault="0000792F" w:rsidP="00594341">
      <w:pPr>
        <w:spacing w:before="120" w:after="120" w:line="240" w:lineRule="auto"/>
        <w:rPr>
          <w:sz w:val="32"/>
          <w:szCs w:val="32"/>
        </w:rPr>
      </w:pPr>
      <w:r w:rsidRPr="0003026F">
        <w:rPr>
          <w:sz w:val="32"/>
          <w:szCs w:val="32"/>
        </w:rPr>
        <w:lastRenderedPageBreak/>
        <w:t>A</w:t>
      </w:r>
      <w:r w:rsidR="00105CF3">
        <w:rPr>
          <w:sz w:val="32"/>
          <w:szCs w:val="32"/>
        </w:rPr>
        <w:t>NNEX</w:t>
      </w:r>
      <w:r w:rsidRPr="0003026F">
        <w:rPr>
          <w:sz w:val="32"/>
          <w:szCs w:val="32"/>
        </w:rPr>
        <w:t xml:space="preserve"> </w:t>
      </w:r>
      <w:r w:rsidR="005315A7">
        <w:rPr>
          <w:sz w:val="32"/>
          <w:szCs w:val="32"/>
        </w:rPr>
        <w:t>12</w:t>
      </w:r>
      <w:r w:rsidR="0071103E">
        <w:rPr>
          <w:sz w:val="32"/>
          <w:szCs w:val="32"/>
        </w:rPr>
        <w:t>—</w:t>
      </w:r>
      <w:r w:rsidR="00BB5F6D" w:rsidRPr="0003026F">
        <w:rPr>
          <w:sz w:val="32"/>
          <w:szCs w:val="32"/>
        </w:rPr>
        <w:t xml:space="preserve">Summary of AGS </w:t>
      </w:r>
      <w:r w:rsidR="008C42F0">
        <w:rPr>
          <w:sz w:val="32"/>
          <w:szCs w:val="32"/>
        </w:rPr>
        <w:t>a</w:t>
      </w:r>
      <w:r w:rsidR="00BB5F6D" w:rsidRPr="0003026F">
        <w:rPr>
          <w:sz w:val="32"/>
          <w:szCs w:val="32"/>
        </w:rPr>
        <w:t xml:space="preserve">dvice prepared by Legal Division, DFAT </w:t>
      </w:r>
    </w:p>
    <w:p w14:paraId="78D340A8" w14:textId="7D9F2F57" w:rsidR="00BB5F6D" w:rsidRPr="00BB5F6D" w:rsidRDefault="00BB5F6D" w:rsidP="00594341">
      <w:pPr>
        <w:spacing w:before="120" w:after="120" w:line="240" w:lineRule="auto"/>
        <w:rPr>
          <w:rFonts w:ascii="Calibri" w:eastAsia="Calibri" w:hAnsi="Calibri" w:cs="Times New Roman"/>
          <w:b/>
        </w:rPr>
      </w:pPr>
      <w:r w:rsidRPr="00BB5F6D">
        <w:rPr>
          <w:rFonts w:ascii="Calibri" w:eastAsia="Calibri" w:hAnsi="Calibri" w:cs="Times New Roman"/>
          <w:b/>
        </w:rPr>
        <w:t xml:space="preserve">Summary of overall advice/recommendation </w:t>
      </w:r>
    </w:p>
    <w:p w14:paraId="5B646092" w14:textId="77777777" w:rsidR="00BB5F6D" w:rsidRPr="00BB5F6D" w:rsidRDefault="00BB5F6D" w:rsidP="00594341">
      <w:pPr>
        <w:spacing w:before="120" w:after="120" w:line="240" w:lineRule="auto"/>
        <w:rPr>
          <w:rFonts w:ascii="Calibri" w:eastAsia="Calibri" w:hAnsi="Calibri" w:cs="Times New Roman"/>
        </w:rPr>
      </w:pPr>
      <w:r w:rsidRPr="00BB5F6D">
        <w:rPr>
          <w:rFonts w:ascii="Calibri" w:eastAsia="Calibri" w:hAnsi="Calibri" w:cs="Times New Roman"/>
        </w:rPr>
        <w:t xml:space="preserve">Authority for the full range of instruments is likely to require primary legislation. A single standalone Act could potentially be made which could also address the issues raised, </w:t>
      </w:r>
      <w:proofErr w:type="gramStart"/>
      <w:r w:rsidRPr="00BB5F6D">
        <w:rPr>
          <w:rFonts w:ascii="Calibri" w:eastAsia="Calibri" w:hAnsi="Calibri" w:cs="Times New Roman"/>
        </w:rPr>
        <w:t>i.e.</w:t>
      </w:r>
      <w:proofErr w:type="gramEnd"/>
      <w:r w:rsidRPr="00BB5F6D">
        <w:rPr>
          <w:rFonts w:ascii="Calibri" w:eastAsia="Calibri" w:hAnsi="Calibri" w:cs="Times New Roman"/>
        </w:rPr>
        <w:t xml:space="preserve"> the ability to use funds received under the instruments for further foreign aid, and any other applicable legislative requirements. </w:t>
      </w:r>
    </w:p>
    <w:tbl>
      <w:tblPr>
        <w:tblStyle w:val="TableGrid3"/>
        <w:tblW w:w="9067" w:type="dxa"/>
        <w:tblLook w:val="04A0" w:firstRow="1" w:lastRow="0" w:firstColumn="1" w:lastColumn="0" w:noHBand="0" w:noVBand="1"/>
      </w:tblPr>
      <w:tblGrid>
        <w:gridCol w:w="1344"/>
        <w:gridCol w:w="1912"/>
        <w:gridCol w:w="3260"/>
        <w:gridCol w:w="2551"/>
      </w:tblGrid>
      <w:tr w:rsidR="00BB5F6D" w:rsidRPr="00BB5F6D" w14:paraId="7614A919" w14:textId="77777777" w:rsidTr="00BB5F6D">
        <w:trPr>
          <w:tblHeader/>
        </w:trPr>
        <w:tc>
          <w:tcPr>
            <w:tcW w:w="1344" w:type="dxa"/>
          </w:tcPr>
          <w:p w14:paraId="34D99E7A" w14:textId="77777777" w:rsidR="00BB5F6D" w:rsidRPr="00BB5F6D" w:rsidRDefault="00BB5F6D" w:rsidP="00594341">
            <w:pPr>
              <w:spacing w:before="120" w:after="120"/>
              <w:rPr>
                <w:rFonts w:ascii="Calibri" w:eastAsia="Calibri" w:hAnsi="Calibri" w:cs="Times New Roman"/>
              </w:rPr>
            </w:pPr>
          </w:p>
        </w:tc>
        <w:tc>
          <w:tcPr>
            <w:tcW w:w="1912" w:type="dxa"/>
          </w:tcPr>
          <w:p w14:paraId="1BA17534" w14:textId="77777777" w:rsidR="00BB5F6D" w:rsidRPr="00BB5F6D" w:rsidRDefault="00BB5F6D" w:rsidP="00594341">
            <w:pPr>
              <w:spacing w:before="120" w:after="120"/>
              <w:jc w:val="center"/>
              <w:rPr>
                <w:rFonts w:ascii="Calibri" w:eastAsia="Calibri" w:hAnsi="Calibri" w:cs="Times New Roman"/>
                <w:b/>
              </w:rPr>
            </w:pPr>
            <w:r w:rsidRPr="00BB5F6D">
              <w:rPr>
                <w:rFonts w:ascii="Calibri" w:eastAsia="Calibri" w:hAnsi="Calibri" w:cs="Times New Roman"/>
                <w:b/>
              </w:rPr>
              <w:t>Constitutional Authority</w:t>
            </w:r>
          </w:p>
        </w:tc>
        <w:tc>
          <w:tcPr>
            <w:tcW w:w="3260" w:type="dxa"/>
          </w:tcPr>
          <w:p w14:paraId="1C1A1F4A" w14:textId="77777777" w:rsidR="00BB5F6D" w:rsidRPr="00BB5F6D" w:rsidRDefault="00BB5F6D" w:rsidP="00594341">
            <w:pPr>
              <w:spacing w:before="120" w:after="120"/>
              <w:jc w:val="center"/>
              <w:rPr>
                <w:rFonts w:ascii="Calibri" w:eastAsia="Calibri" w:hAnsi="Calibri" w:cs="Times New Roman"/>
                <w:b/>
              </w:rPr>
            </w:pPr>
            <w:r w:rsidRPr="00BB5F6D">
              <w:rPr>
                <w:rFonts w:ascii="Calibri" w:eastAsia="Calibri" w:hAnsi="Calibri" w:cs="Times New Roman"/>
                <w:b/>
              </w:rPr>
              <w:t>Legislative Authority</w:t>
            </w:r>
          </w:p>
        </w:tc>
        <w:tc>
          <w:tcPr>
            <w:tcW w:w="2551" w:type="dxa"/>
          </w:tcPr>
          <w:p w14:paraId="312F13BB" w14:textId="77777777" w:rsidR="00BB5F6D" w:rsidRPr="00BB5F6D" w:rsidRDefault="00BB5F6D" w:rsidP="00594341">
            <w:pPr>
              <w:spacing w:before="120" w:after="120"/>
              <w:jc w:val="center"/>
              <w:rPr>
                <w:rFonts w:ascii="Calibri" w:eastAsia="Calibri" w:hAnsi="Calibri" w:cs="Times New Roman"/>
                <w:b/>
              </w:rPr>
            </w:pPr>
            <w:r w:rsidRPr="00BB5F6D">
              <w:rPr>
                <w:rFonts w:ascii="Calibri" w:eastAsia="Calibri" w:hAnsi="Calibri" w:cs="Times New Roman"/>
                <w:b/>
              </w:rPr>
              <w:t>Legislative Compliance</w:t>
            </w:r>
          </w:p>
        </w:tc>
      </w:tr>
      <w:tr w:rsidR="00BB5F6D" w:rsidRPr="00BB5F6D" w14:paraId="1F960921" w14:textId="77777777" w:rsidTr="00BB5F6D">
        <w:tc>
          <w:tcPr>
            <w:tcW w:w="1344" w:type="dxa"/>
          </w:tcPr>
          <w:p w14:paraId="11A81ED1" w14:textId="77777777" w:rsidR="00BB5F6D" w:rsidRPr="00BB5F6D" w:rsidRDefault="00BB5F6D" w:rsidP="00594341">
            <w:pPr>
              <w:spacing w:before="120" w:after="120"/>
              <w:jc w:val="center"/>
              <w:rPr>
                <w:rFonts w:ascii="Calibri" w:eastAsia="Calibri" w:hAnsi="Calibri" w:cs="Times New Roman"/>
                <w:b/>
              </w:rPr>
            </w:pPr>
            <w:r w:rsidRPr="00BB5F6D">
              <w:rPr>
                <w:rFonts w:ascii="Calibri" w:eastAsia="Calibri" w:hAnsi="Calibri" w:cs="Times New Roman"/>
                <w:b/>
              </w:rPr>
              <w:t>Loan</w:t>
            </w:r>
          </w:p>
        </w:tc>
        <w:tc>
          <w:tcPr>
            <w:tcW w:w="1912" w:type="dxa"/>
          </w:tcPr>
          <w:p w14:paraId="79B2FFC7" w14:textId="77777777" w:rsidR="00BB5F6D" w:rsidRPr="00BB5F6D" w:rsidRDefault="00BB5F6D" w:rsidP="00594341">
            <w:pPr>
              <w:spacing w:before="120" w:after="120"/>
              <w:jc w:val="center"/>
              <w:rPr>
                <w:rFonts w:ascii="Calibri" w:eastAsia="Calibri" w:hAnsi="Calibri" w:cs="Times New Roman"/>
              </w:rPr>
            </w:pPr>
            <w:r w:rsidRPr="00BB5F6D">
              <w:rPr>
                <w:rFonts w:ascii="Calibri" w:eastAsia="Calibri" w:hAnsi="Calibri" w:cs="Times New Roman"/>
              </w:rPr>
              <w:t xml:space="preserve">External Affairs power (s 51 (xxix) </w:t>
            </w:r>
          </w:p>
        </w:tc>
        <w:tc>
          <w:tcPr>
            <w:tcW w:w="3260" w:type="dxa"/>
          </w:tcPr>
          <w:p w14:paraId="630B7CE9" w14:textId="77777777" w:rsidR="00BB5F6D" w:rsidRPr="00BB5F6D" w:rsidRDefault="00BB5F6D" w:rsidP="00594341">
            <w:pPr>
              <w:spacing w:before="120" w:after="120"/>
              <w:rPr>
                <w:rFonts w:ascii="Calibri" w:eastAsia="Calibri" w:hAnsi="Calibri" w:cs="Times New Roman"/>
              </w:rPr>
            </w:pPr>
            <w:r w:rsidRPr="00BB5F6D">
              <w:rPr>
                <w:rFonts w:ascii="Calibri" w:eastAsia="Calibri" w:hAnsi="Calibri" w:cs="Times New Roman"/>
              </w:rPr>
              <w:t>Medium level of risk if DFAT were to rely on Sch 1AA of the FF(SP) Regs (items 413.001 to 413.006) (para 41).</w:t>
            </w:r>
          </w:p>
          <w:p w14:paraId="4AC3EE28" w14:textId="77777777" w:rsidR="00BB5F6D" w:rsidRPr="00BB5F6D" w:rsidRDefault="00BB5F6D" w:rsidP="00594341">
            <w:pPr>
              <w:spacing w:before="120" w:after="120"/>
              <w:rPr>
                <w:rFonts w:ascii="Calibri" w:eastAsia="Calibri" w:hAnsi="Calibri" w:cs="Times New Roman"/>
              </w:rPr>
            </w:pPr>
          </w:p>
          <w:p w14:paraId="59944381" w14:textId="77777777" w:rsidR="00BB5F6D" w:rsidRPr="00BB5F6D" w:rsidRDefault="00BB5F6D" w:rsidP="00594341">
            <w:pPr>
              <w:spacing w:before="120" w:after="120"/>
              <w:rPr>
                <w:rFonts w:ascii="Calibri" w:eastAsia="Calibri" w:hAnsi="Calibri" w:cs="Times New Roman"/>
              </w:rPr>
            </w:pPr>
            <w:r w:rsidRPr="00BB5F6D">
              <w:rPr>
                <w:rFonts w:ascii="Calibri" w:eastAsia="Calibri" w:hAnsi="Calibri" w:cs="Times New Roman"/>
              </w:rPr>
              <w:t>Legislative authority required, recommend amend Sch 1AB or primary legislation, or amend the</w:t>
            </w:r>
            <w:r w:rsidRPr="00BB5F6D">
              <w:rPr>
                <w:rFonts w:ascii="Calibri" w:eastAsia="Calibri" w:hAnsi="Calibri" w:cs="Times New Roman"/>
                <w:i/>
              </w:rPr>
              <w:t xml:space="preserve"> Export Finance and insurance Corporation Act 1992</w:t>
            </w:r>
            <w:r w:rsidRPr="00BB5F6D">
              <w:rPr>
                <w:rFonts w:ascii="Calibri" w:eastAsia="Calibri" w:hAnsi="Calibri" w:cs="Times New Roman"/>
              </w:rPr>
              <w:t xml:space="preserve"> (EFIC Act) (para 44). </w:t>
            </w:r>
          </w:p>
          <w:p w14:paraId="27EE96F0" w14:textId="77777777" w:rsidR="00BB5F6D" w:rsidRPr="00BB5F6D" w:rsidRDefault="00BB5F6D" w:rsidP="00594341">
            <w:pPr>
              <w:spacing w:before="120" w:after="120"/>
              <w:rPr>
                <w:rFonts w:ascii="Calibri" w:eastAsia="Calibri" w:hAnsi="Calibri" w:cs="Times New Roman"/>
              </w:rPr>
            </w:pPr>
          </w:p>
          <w:p w14:paraId="07213E52" w14:textId="77777777" w:rsidR="00BB5F6D" w:rsidRPr="00BB5F6D" w:rsidRDefault="00BB5F6D" w:rsidP="00594341">
            <w:pPr>
              <w:spacing w:before="120" w:after="120"/>
              <w:rPr>
                <w:rFonts w:ascii="Calibri" w:eastAsia="Calibri" w:hAnsi="Calibri" w:cs="Times New Roman"/>
              </w:rPr>
            </w:pPr>
            <w:r w:rsidRPr="00BB5F6D">
              <w:rPr>
                <w:rFonts w:ascii="Calibri" w:eastAsia="Calibri" w:hAnsi="Calibri" w:cs="Times New Roman"/>
              </w:rPr>
              <w:t xml:space="preserve">In limited circumstances, loans to foreign countries may be supported by ss 8C or 8CA of the </w:t>
            </w:r>
            <w:r w:rsidRPr="00BB5F6D">
              <w:rPr>
                <w:rFonts w:ascii="Calibri" w:eastAsia="Calibri" w:hAnsi="Calibri" w:cs="Times New Roman"/>
                <w:i/>
              </w:rPr>
              <w:t xml:space="preserve">International Monetary Agreements Act 1947 </w:t>
            </w:r>
            <w:r w:rsidRPr="00BB5F6D">
              <w:rPr>
                <w:rFonts w:ascii="Calibri" w:eastAsia="Calibri" w:hAnsi="Calibri" w:cs="Times New Roman"/>
              </w:rPr>
              <w:t>(para 43).</w:t>
            </w:r>
          </w:p>
          <w:p w14:paraId="21608E0F" w14:textId="77777777" w:rsidR="00BB5F6D" w:rsidRPr="00BB5F6D" w:rsidRDefault="00BB5F6D" w:rsidP="00594341">
            <w:pPr>
              <w:spacing w:before="120" w:after="120"/>
              <w:rPr>
                <w:rFonts w:ascii="Calibri" w:eastAsia="Calibri" w:hAnsi="Calibri" w:cs="Times New Roman"/>
              </w:rPr>
            </w:pPr>
          </w:p>
          <w:p w14:paraId="103686C1" w14:textId="77777777" w:rsidR="00BB5F6D" w:rsidRPr="00BB5F6D" w:rsidRDefault="00BB5F6D" w:rsidP="00594341">
            <w:pPr>
              <w:spacing w:before="120" w:after="120"/>
              <w:rPr>
                <w:rFonts w:ascii="Calibri" w:eastAsia="Calibri" w:hAnsi="Calibri" w:cs="Times New Roman"/>
              </w:rPr>
            </w:pPr>
            <w:r w:rsidRPr="00BB5F6D">
              <w:rPr>
                <w:rFonts w:ascii="Calibri" w:eastAsia="Calibri" w:hAnsi="Calibri" w:cs="Times New Roman"/>
              </w:rPr>
              <w:t>AGS recommends amendments are made in broad terms, along the lines of the Sch 1AA items above, but that clearly encompass the making of loan (para 44).</w:t>
            </w:r>
          </w:p>
        </w:tc>
        <w:tc>
          <w:tcPr>
            <w:tcW w:w="2551" w:type="dxa"/>
          </w:tcPr>
          <w:p w14:paraId="16DC6186" w14:textId="12783D68" w:rsidR="00BB5F6D" w:rsidRPr="00BB5F6D" w:rsidRDefault="00BB5F6D" w:rsidP="00594341">
            <w:pPr>
              <w:spacing w:before="120" w:after="120"/>
              <w:rPr>
                <w:rFonts w:ascii="Calibri" w:eastAsia="Calibri" w:hAnsi="Calibri" w:cs="Times New Roman"/>
              </w:rPr>
            </w:pPr>
            <w:r w:rsidRPr="00BB5F6D">
              <w:rPr>
                <w:rFonts w:ascii="Calibri" w:eastAsia="Calibri" w:hAnsi="Calibri" w:cs="Times New Roman"/>
              </w:rPr>
              <w:t>None, s 58 of the PGPA Act may apply if the loan is regarded as an ‘investment’ but this is unlikely given that the loans are likely to be concessional (paras 46</w:t>
            </w:r>
            <w:r w:rsidR="0071103E">
              <w:rPr>
                <w:rFonts w:ascii="Calibri" w:eastAsia="Calibri" w:hAnsi="Calibri" w:cs="Times New Roman"/>
              </w:rPr>
              <w:t>—</w:t>
            </w:r>
            <w:r w:rsidRPr="00BB5F6D">
              <w:rPr>
                <w:rFonts w:ascii="Calibri" w:eastAsia="Calibri" w:hAnsi="Calibri" w:cs="Times New Roman"/>
              </w:rPr>
              <w:t xml:space="preserve">47). </w:t>
            </w:r>
          </w:p>
        </w:tc>
      </w:tr>
      <w:tr w:rsidR="00BB5F6D" w:rsidRPr="00BB5F6D" w14:paraId="68D14C24" w14:textId="77777777" w:rsidTr="00BB5F6D">
        <w:tc>
          <w:tcPr>
            <w:tcW w:w="1344" w:type="dxa"/>
          </w:tcPr>
          <w:p w14:paraId="59E8FA59" w14:textId="77777777" w:rsidR="00BB5F6D" w:rsidRPr="00BB5F6D" w:rsidRDefault="00BB5F6D" w:rsidP="00594341">
            <w:pPr>
              <w:spacing w:before="120" w:after="120"/>
              <w:jc w:val="center"/>
              <w:rPr>
                <w:rFonts w:ascii="Calibri" w:eastAsia="Calibri" w:hAnsi="Calibri" w:cs="Times New Roman"/>
                <w:b/>
              </w:rPr>
            </w:pPr>
            <w:r w:rsidRPr="00BB5F6D">
              <w:rPr>
                <w:rFonts w:ascii="Calibri" w:eastAsia="Calibri" w:hAnsi="Calibri" w:cs="Times New Roman"/>
                <w:b/>
              </w:rPr>
              <w:t>Guarantees</w:t>
            </w:r>
          </w:p>
        </w:tc>
        <w:tc>
          <w:tcPr>
            <w:tcW w:w="1912" w:type="dxa"/>
          </w:tcPr>
          <w:p w14:paraId="59D90D7C" w14:textId="77777777" w:rsidR="00BB5F6D" w:rsidRPr="00BB5F6D" w:rsidRDefault="00BB5F6D" w:rsidP="00594341">
            <w:pPr>
              <w:spacing w:before="120" w:after="120"/>
              <w:jc w:val="center"/>
              <w:rPr>
                <w:rFonts w:ascii="Calibri" w:eastAsia="Calibri" w:hAnsi="Calibri" w:cs="Times New Roman"/>
              </w:rPr>
            </w:pPr>
            <w:r w:rsidRPr="00BB5F6D">
              <w:rPr>
                <w:rFonts w:ascii="Calibri" w:eastAsia="Calibri" w:hAnsi="Calibri" w:cs="Times New Roman"/>
              </w:rPr>
              <w:t xml:space="preserve">External Affairs power (s 51 (xxix) </w:t>
            </w:r>
          </w:p>
        </w:tc>
        <w:tc>
          <w:tcPr>
            <w:tcW w:w="3260" w:type="dxa"/>
          </w:tcPr>
          <w:p w14:paraId="76E73020" w14:textId="77777777" w:rsidR="00BB5F6D" w:rsidRPr="00BB5F6D" w:rsidRDefault="00BB5F6D" w:rsidP="00594341">
            <w:pPr>
              <w:spacing w:before="120" w:after="120"/>
              <w:rPr>
                <w:rFonts w:ascii="Calibri" w:eastAsia="Calibri" w:hAnsi="Calibri" w:cs="Times New Roman"/>
              </w:rPr>
            </w:pPr>
            <w:r w:rsidRPr="00BB5F6D">
              <w:rPr>
                <w:rFonts w:ascii="Calibri" w:eastAsia="Calibri" w:hAnsi="Calibri" w:cs="Times New Roman"/>
              </w:rPr>
              <w:t>Medium level of risk if DFAT were to rely on s 60 of the PGPA Act, because s 60 is extremely broad, and there is the possibility that a court could find that more specific legislative authority is required (paras 52 and 58).</w:t>
            </w:r>
          </w:p>
          <w:p w14:paraId="1E2E32EA" w14:textId="77777777" w:rsidR="00BB5F6D" w:rsidRPr="00BB5F6D" w:rsidRDefault="00BB5F6D" w:rsidP="00594341">
            <w:pPr>
              <w:spacing w:before="120" w:after="120"/>
              <w:rPr>
                <w:rFonts w:ascii="Calibri" w:eastAsia="Calibri" w:hAnsi="Calibri" w:cs="Times New Roman"/>
              </w:rPr>
            </w:pPr>
          </w:p>
          <w:p w14:paraId="6D63F513" w14:textId="77777777" w:rsidR="00BB5F6D" w:rsidRPr="00BB5F6D" w:rsidRDefault="00BB5F6D" w:rsidP="00594341">
            <w:pPr>
              <w:spacing w:before="120" w:after="120"/>
              <w:rPr>
                <w:rFonts w:ascii="Calibri" w:eastAsia="Calibri" w:hAnsi="Calibri" w:cs="Times New Roman"/>
              </w:rPr>
            </w:pPr>
            <w:r w:rsidRPr="00BB5F6D">
              <w:rPr>
                <w:rFonts w:ascii="Calibri" w:eastAsia="Calibri" w:hAnsi="Calibri" w:cs="Times New Roman"/>
              </w:rPr>
              <w:t xml:space="preserve">AGS advises </w:t>
            </w:r>
            <w:r w:rsidRPr="00BB5F6D">
              <w:rPr>
                <w:rFonts w:ascii="Calibri" w:eastAsia="Calibri" w:hAnsi="Calibri" w:cs="Times New Roman"/>
                <w:u w:val="single"/>
              </w:rPr>
              <w:t xml:space="preserve">not </w:t>
            </w:r>
            <w:r w:rsidRPr="00BB5F6D">
              <w:rPr>
                <w:rFonts w:ascii="Calibri" w:eastAsia="Calibri" w:hAnsi="Calibri" w:cs="Times New Roman"/>
              </w:rPr>
              <w:t xml:space="preserve">to rely on the FF(SP) framework, including </w:t>
            </w:r>
            <w:r w:rsidRPr="00BB5F6D">
              <w:rPr>
                <w:rFonts w:ascii="Calibri" w:eastAsia="Calibri" w:hAnsi="Calibri" w:cs="Times New Roman"/>
              </w:rPr>
              <w:lastRenderedPageBreak/>
              <w:t>making amendments to it, as regulations made under the framework authorising guarantees might detract from, and be inconsistent with s 60 of the PGPA Act. This is because s 60 confers power specifically on the Finance Minister to grant guarantees on behalf of the Commonwealth, and by implication prevents other persons from doing this (para 59).</w:t>
            </w:r>
          </w:p>
          <w:p w14:paraId="2EBDD157" w14:textId="77777777" w:rsidR="00BB5F6D" w:rsidRPr="00BB5F6D" w:rsidRDefault="00BB5F6D" w:rsidP="00594341">
            <w:pPr>
              <w:spacing w:before="120" w:after="120"/>
              <w:rPr>
                <w:rFonts w:ascii="Calibri" w:eastAsia="Calibri" w:hAnsi="Calibri" w:cs="Times New Roman"/>
              </w:rPr>
            </w:pPr>
          </w:p>
          <w:p w14:paraId="4314BEC3" w14:textId="77777777" w:rsidR="00BB5F6D" w:rsidRPr="00BB5F6D" w:rsidRDefault="00BB5F6D" w:rsidP="00594341">
            <w:pPr>
              <w:spacing w:before="120" w:after="120"/>
              <w:rPr>
                <w:rFonts w:ascii="Calibri" w:eastAsia="Calibri" w:hAnsi="Calibri" w:cs="Times New Roman"/>
              </w:rPr>
            </w:pPr>
            <w:r w:rsidRPr="00BB5F6D">
              <w:rPr>
                <w:rFonts w:ascii="Calibri" w:eastAsia="Calibri" w:hAnsi="Calibri" w:cs="Times New Roman"/>
              </w:rPr>
              <w:t xml:space="preserve">To avoid medium level of risk, AGS recommends enacting primary legislation, or amending primary legislation, such as the EFIC Act (para 59).  </w:t>
            </w:r>
          </w:p>
        </w:tc>
        <w:tc>
          <w:tcPr>
            <w:tcW w:w="2551" w:type="dxa"/>
          </w:tcPr>
          <w:p w14:paraId="0DE7159C" w14:textId="77777777" w:rsidR="00BB5F6D" w:rsidRPr="00BB5F6D" w:rsidRDefault="00BB5F6D" w:rsidP="00594341">
            <w:pPr>
              <w:spacing w:before="120" w:after="120"/>
              <w:rPr>
                <w:rFonts w:ascii="Calibri" w:eastAsia="Calibri" w:hAnsi="Calibri" w:cs="Times New Roman"/>
              </w:rPr>
            </w:pPr>
            <w:r w:rsidRPr="00BB5F6D">
              <w:rPr>
                <w:rFonts w:ascii="Calibri" w:eastAsia="Calibri" w:hAnsi="Calibri" w:cs="Times New Roman"/>
              </w:rPr>
              <w:lastRenderedPageBreak/>
              <w:t xml:space="preserve">If DFAT were to rely on s 60 of the PGPA Act, as legislative authority, there are 2 relevant restrictions: </w:t>
            </w:r>
          </w:p>
          <w:p w14:paraId="7534C22F" w14:textId="77777777" w:rsidR="00BB5F6D" w:rsidRPr="00BB5F6D" w:rsidRDefault="00BB5F6D" w:rsidP="00594341">
            <w:pPr>
              <w:spacing w:before="120" w:after="120"/>
              <w:rPr>
                <w:rFonts w:ascii="Calibri" w:eastAsia="Calibri" w:hAnsi="Calibri" w:cs="Times New Roman"/>
              </w:rPr>
            </w:pPr>
          </w:p>
          <w:p w14:paraId="040A6DFA" w14:textId="29D88391" w:rsidR="00BB5F6D" w:rsidRPr="00BB5F6D" w:rsidRDefault="00BB5F6D" w:rsidP="000F209C">
            <w:pPr>
              <w:numPr>
                <w:ilvl w:val="0"/>
                <w:numId w:val="78"/>
              </w:numPr>
              <w:spacing w:before="120" w:after="120"/>
              <w:rPr>
                <w:rFonts w:ascii="Calibri" w:eastAsia="Calibri" w:hAnsi="Calibri" w:cs="Times New Roman"/>
              </w:rPr>
            </w:pPr>
            <w:r w:rsidRPr="00BB5F6D">
              <w:rPr>
                <w:rFonts w:ascii="Calibri" w:eastAsia="Calibri" w:hAnsi="Calibri" w:cs="Times New Roman"/>
              </w:rPr>
              <w:t xml:space="preserve">The delegate cannot grant a guarantee for the payment of any </w:t>
            </w:r>
            <w:r w:rsidRPr="00BB5F6D">
              <w:rPr>
                <w:rFonts w:ascii="Calibri" w:eastAsia="Calibri" w:hAnsi="Calibri" w:cs="Times New Roman"/>
              </w:rPr>
              <w:lastRenderedPageBreak/>
              <w:t>amount or principal or interest due on a loan (cl 6.1(2))</w:t>
            </w:r>
            <w:r w:rsidR="00D71E1C">
              <w:rPr>
                <w:rFonts w:ascii="Calibri" w:eastAsia="Calibri" w:hAnsi="Calibri" w:cs="Times New Roman"/>
              </w:rPr>
              <w:t>,</w:t>
            </w:r>
            <w:r w:rsidRPr="00BB5F6D">
              <w:rPr>
                <w:rFonts w:ascii="Calibri" w:eastAsia="Calibri" w:hAnsi="Calibri" w:cs="Times New Roman"/>
                <w:vertAlign w:val="superscript"/>
              </w:rPr>
              <w:footnoteReference w:id="187"/>
            </w:r>
            <w:r w:rsidRPr="00BB5F6D">
              <w:rPr>
                <w:rFonts w:ascii="Calibri" w:eastAsia="Calibri" w:hAnsi="Calibri" w:cs="Times New Roman"/>
              </w:rPr>
              <w:t xml:space="preserve"> and </w:t>
            </w:r>
          </w:p>
          <w:p w14:paraId="1F29CEB0" w14:textId="77777777" w:rsidR="00BB5F6D" w:rsidRPr="00BB5F6D" w:rsidRDefault="00BB5F6D" w:rsidP="00594341">
            <w:pPr>
              <w:spacing w:before="120" w:after="120"/>
              <w:ind w:left="720"/>
              <w:rPr>
                <w:rFonts w:ascii="Calibri" w:eastAsia="Calibri" w:hAnsi="Calibri" w:cs="Times New Roman"/>
              </w:rPr>
            </w:pPr>
          </w:p>
          <w:p w14:paraId="21EAF8A0" w14:textId="0677FF0A" w:rsidR="00BB5F6D" w:rsidRPr="00BB5F6D" w:rsidRDefault="00BB5F6D" w:rsidP="000F209C">
            <w:pPr>
              <w:numPr>
                <w:ilvl w:val="0"/>
                <w:numId w:val="78"/>
              </w:numPr>
              <w:spacing w:before="120" w:after="120"/>
              <w:rPr>
                <w:rFonts w:ascii="Calibri" w:eastAsia="Calibri" w:hAnsi="Calibri" w:cs="Times New Roman"/>
              </w:rPr>
            </w:pPr>
            <w:r w:rsidRPr="00BB5F6D">
              <w:rPr>
                <w:rFonts w:ascii="Calibri" w:eastAsia="Calibri" w:hAnsi="Calibri" w:cs="Times New Roman"/>
              </w:rPr>
              <w:t xml:space="preserve">A delegate can only grant a guarantee if the delegate considers the likelihood of its being enlivened is remote (less than 5% chance) and the most probable expenditure under it is not significant (less than </w:t>
            </w:r>
            <w:r w:rsidR="00800236">
              <w:rPr>
                <w:rFonts w:ascii="Calibri" w:eastAsia="Calibri" w:hAnsi="Calibri" w:cs="Times New Roman"/>
              </w:rPr>
              <w:t>US$</w:t>
            </w:r>
            <w:r w:rsidR="002D44B7">
              <w:rPr>
                <w:rFonts w:ascii="Calibri" w:eastAsia="Calibri" w:hAnsi="Calibri" w:cs="Times New Roman"/>
              </w:rPr>
              <w:t xml:space="preserve"> </w:t>
            </w:r>
            <w:r w:rsidRPr="00BB5F6D">
              <w:rPr>
                <w:rFonts w:ascii="Calibri" w:eastAsia="Calibri" w:hAnsi="Calibri" w:cs="Times New Roman"/>
              </w:rPr>
              <w:t>30 million)</w:t>
            </w:r>
          </w:p>
          <w:p w14:paraId="4E50DEED" w14:textId="77777777" w:rsidR="00BB5F6D" w:rsidRPr="00BB5F6D" w:rsidRDefault="00BB5F6D" w:rsidP="00594341">
            <w:pPr>
              <w:spacing w:before="120" w:after="120"/>
              <w:ind w:left="720"/>
              <w:rPr>
                <w:rFonts w:ascii="Calibri" w:eastAsia="Calibri" w:hAnsi="Calibri" w:cs="Times New Roman"/>
              </w:rPr>
            </w:pPr>
          </w:p>
          <w:p w14:paraId="0F850AE9" w14:textId="502F1F43" w:rsidR="00BB5F6D" w:rsidRPr="00BB5F6D" w:rsidRDefault="00BB5F6D" w:rsidP="00594341">
            <w:pPr>
              <w:spacing w:before="120" w:after="120"/>
              <w:rPr>
                <w:rFonts w:ascii="Calibri" w:eastAsia="Calibri" w:hAnsi="Calibri" w:cs="Times New Roman"/>
              </w:rPr>
            </w:pPr>
            <w:r w:rsidRPr="00BB5F6D">
              <w:rPr>
                <w:rFonts w:ascii="Calibri" w:eastAsia="Calibri" w:hAnsi="Calibri" w:cs="Times New Roman"/>
              </w:rPr>
              <w:t xml:space="preserve">Notwithstanding these restrictions, the delegate may grant such a guarantee in certain circumstances, </w:t>
            </w:r>
            <w:proofErr w:type="gramStart"/>
            <w:r w:rsidR="00263BD0" w:rsidRPr="00BB5F6D">
              <w:rPr>
                <w:rFonts w:ascii="Calibri" w:eastAsia="Calibri" w:hAnsi="Calibri" w:cs="Times New Roman"/>
              </w:rPr>
              <w:t>e.g.</w:t>
            </w:r>
            <w:proofErr w:type="gramEnd"/>
            <w:r w:rsidRPr="00BB5F6D">
              <w:rPr>
                <w:rFonts w:ascii="Calibri" w:eastAsia="Calibri" w:hAnsi="Calibri" w:cs="Times New Roman"/>
              </w:rPr>
              <w:t xml:space="preserve"> if the guarantee has been explicitly agreed in a decision of Cabinet or Prime Minister (cl 6.4) or, in the case of the restriction in cl 6.3(1), if the Finance Minister has approved the grant of the guarantee in writing (cl 6.3(2)).</w:t>
            </w:r>
            <w:r w:rsidRPr="00BB5F6D">
              <w:rPr>
                <w:rFonts w:ascii="Calibri" w:eastAsia="Calibri" w:hAnsi="Calibri" w:cs="Times New Roman"/>
                <w:vertAlign w:val="superscript"/>
              </w:rPr>
              <w:footnoteReference w:id="188"/>
            </w:r>
          </w:p>
          <w:p w14:paraId="7E0033D4" w14:textId="77777777" w:rsidR="00BB5F6D" w:rsidRPr="00BB5F6D" w:rsidRDefault="00BB5F6D" w:rsidP="00594341">
            <w:pPr>
              <w:spacing w:before="120" w:after="120"/>
              <w:rPr>
                <w:rFonts w:ascii="Calibri" w:eastAsia="Calibri" w:hAnsi="Calibri" w:cs="Times New Roman"/>
              </w:rPr>
            </w:pPr>
          </w:p>
        </w:tc>
      </w:tr>
      <w:tr w:rsidR="00BB5F6D" w:rsidRPr="00BB5F6D" w14:paraId="16D7CB25" w14:textId="77777777" w:rsidTr="00BB5F6D">
        <w:tc>
          <w:tcPr>
            <w:tcW w:w="1344" w:type="dxa"/>
          </w:tcPr>
          <w:p w14:paraId="4062F24C" w14:textId="77777777" w:rsidR="00BB5F6D" w:rsidRPr="00BB5F6D" w:rsidRDefault="00BB5F6D" w:rsidP="00594341">
            <w:pPr>
              <w:spacing w:before="120" w:after="120"/>
              <w:jc w:val="center"/>
              <w:rPr>
                <w:rFonts w:ascii="Calibri" w:eastAsia="Calibri" w:hAnsi="Calibri" w:cs="Times New Roman"/>
                <w:b/>
              </w:rPr>
            </w:pPr>
            <w:r w:rsidRPr="00BB5F6D">
              <w:rPr>
                <w:rFonts w:ascii="Calibri" w:eastAsia="Calibri" w:hAnsi="Calibri" w:cs="Times New Roman"/>
                <w:b/>
              </w:rPr>
              <w:lastRenderedPageBreak/>
              <w:t>Equity Investments</w:t>
            </w:r>
          </w:p>
        </w:tc>
        <w:tc>
          <w:tcPr>
            <w:tcW w:w="1912" w:type="dxa"/>
          </w:tcPr>
          <w:p w14:paraId="2EF612B2" w14:textId="77777777" w:rsidR="00BB5F6D" w:rsidRPr="00BB5F6D" w:rsidRDefault="00BB5F6D" w:rsidP="00594341">
            <w:pPr>
              <w:spacing w:before="120" w:after="120"/>
              <w:jc w:val="center"/>
              <w:rPr>
                <w:rFonts w:ascii="Calibri" w:eastAsia="Calibri" w:hAnsi="Calibri" w:cs="Times New Roman"/>
              </w:rPr>
            </w:pPr>
            <w:r w:rsidRPr="00BB5F6D">
              <w:rPr>
                <w:rFonts w:ascii="Calibri" w:eastAsia="Calibri" w:hAnsi="Calibri" w:cs="Times New Roman"/>
              </w:rPr>
              <w:t xml:space="preserve">External Affairs power (s 51 (xxix) </w:t>
            </w:r>
          </w:p>
        </w:tc>
        <w:tc>
          <w:tcPr>
            <w:tcW w:w="3260" w:type="dxa"/>
          </w:tcPr>
          <w:p w14:paraId="3137FC46" w14:textId="74647AD1" w:rsidR="00BB5F6D" w:rsidRPr="00BB5F6D" w:rsidRDefault="00BB5F6D" w:rsidP="00594341">
            <w:pPr>
              <w:spacing w:before="120" w:after="120"/>
              <w:rPr>
                <w:rFonts w:ascii="Calibri" w:eastAsia="Calibri" w:hAnsi="Calibri" w:cs="Times New Roman"/>
              </w:rPr>
            </w:pPr>
            <w:r w:rsidRPr="00BB5F6D">
              <w:rPr>
                <w:rFonts w:ascii="Calibri" w:eastAsia="Calibri" w:hAnsi="Calibri" w:cs="Times New Roman"/>
              </w:rPr>
              <w:t>Limitations associated with reliance on Schedule 1AA of the FF(SP) Regulations (paras 70</w:t>
            </w:r>
            <w:r w:rsidR="0071103E">
              <w:rPr>
                <w:rFonts w:ascii="Calibri" w:eastAsia="Calibri" w:hAnsi="Calibri" w:cs="Times New Roman"/>
              </w:rPr>
              <w:t>—</w:t>
            </w:r>
            <w:r w:rsidRPr="00BB5F6D">
              <w:rPr>
                <w:rFonts w:ascii="Calibri" w:eastAsia="Calibri" w:hAnsi="Calibri" w:cs="Times New Roman"/>
              </w:rPr>
              <w:t>75), s 58 of the PGPA Act (paras 76</w:t>
            </w:r>
            <w:r w:rsidR="0071103E">
              <w:rPr>
                <w:rFonts w:ascii="Calibri" w:eastAsia="Calibri" w:hAnsi="Calibri" w:cs="Times New Roman"/>
              </w:rPr>
              <w:t>—</w:t>
            </w:r>
            <w:r w:rsidRPr="00BB5F6D">
              <w:rPr>
                <w:rFonts w:ascii="Calibri" w:eastAsia="Calibri" w:hAnsi="Calibri" w:cs="Times New Roman"/>
              </w:rPr>
              <w:t>79), s 85 of the PGPA Act, s 39B of the FF(SP) Act, and s 32B of the FF(SP) Act (paras 70</w:t>
            </w:r>
            <w:r w:rsidR="0071103E">
              <w:rPr>
                <w:rFonts w:ascii="Calibri" w:eastAsia="Calibri" w:hAnsi="Calibri" w:cs="Times New Roman"/>
              </w:rPr>
              <w:t>—</w:t>
            </w:r>
            <w:r w:rsidRPr="00BB5F6D">
              <w:rPr>
                <w:rFonts w:ascii="Calibri" w:eastAsia="Calibri" w:hAnsi="Calibri" w:cs="Times New Roman"/>
              </w:rPr>
              <w:t>75). It would be reasonable to rely on a new item in Schedule 1AB of the FF(SP) Regulations, however this attracts a medium level of risk (paras 81</w:t>
            </w:r>
            <w:r w:rsidR="0071103E">
              <w:rPr>
                <w:rFonts w:ascii="Calibri" w:eastAsia="Calibri" w:hAnsi="Calibri" w:cs="Times New Roman"/>
              </w:rPr>
              <w:t>—</w:t>
            </w:r>
            <w:r w:rsidRPr="00BB5F6D">
              <w:rPr>
                <w:rFonts w:ascii="Calibri" w:eastAsia="Calibri" w:hAnsi="Calibri" w:cs="Times New Roman"/>
              </w:rPr>
              <w:t>82).</w:t>
            </w:r>
          </w:p>
          <w:p w14:paraId="4BD5D974" w14:textId="77777777" w:rsidR="00BB5F6D" w:rsidRPr="00BB5F6D" w:rsidRDefault="00BB5F6D" w:rsidP="00594341">
            <w:pPr>
              <w:spacing w:before="120" w:after="120"/>
              <w:rPr>
                <w:rFonts w:ascii="Calibri" w:eastAsia="Calibri" w:hAnsi="Calibri" w:cs="Times New Roman"/>
              </w:rPr>
            </w:pPr>
          </w:p>
          <w:p w14:paraId="660410AE" w14:textId="4DC893A5" w:rsidR="00BB5F6D" w:rsidRPr="00BB5F6D" w:rsidRDefault="00BB5F6D" w:rsidP="00594341">
            <w:pPr>
              <w:spacing w:before="120" w:after="120"/>
              <w:rPr>
                <w:rFonts w:ascii="Calibri" w:eastAsia="Calibri" w:hAnsi="Calibri" w:cs="Times New Roman"/>
              </w:rPr>
            </w:pPr>
            <w:r w:rsidRPr="00BB5F6D">
              <w:rPr>
                <w:rFonts w:ascii="Calibri" w:eastAsia="Calibri" w:hAnsi="Calibri" w:cs="Times New Roman"/>
              </w:rPr>
              <w:t>Legislative authority required (paras 81</w:t>
            </w:r>
            <w:r w:rsidR="0071103E">
              <w:rPr>
                <w:rFonts w:ascii="Calibri" w:eastAsia="Calibri" w:hAnsi="Calibri" w:cs="Times New Roman"/>
              </w:rPr>
              <w:t>—</w:t>
            </w:r>
            <w:r w:rsidRPr="00BB5F6D">
              <w:rPr>
                <w:rFonts w:ascii="Calibri" w:eastAsia="Calibri" w:hAnsi="Calibri" w:cs="Times New Roman"/>
              </w:rPr>
              <w:t xml:space="preserve">83). AGS recommends enacting primary legislation (para 83) or amending the EFIC Act (para 105).  </w:t>
            </w:r>
          </w:p>
        </w:tc>
        <w:tc>
          <w:tcPr>
            <w:tcW w:w="2551" w:type="dxa"/>
          </w:tcPr>
          <w:p w14:paraId="4500BF5F" w14:textId="22D4F430" w:rsidR="00BB5F6D" w:rsidRPr="00BB5F6D" w:rsidRDefault="00BB5F6D" w:rsidP="00594341">
            <w:pPr>
              <w:tabs>
                <w:tab w:val="num" w:pos="709"/>
              </w:tabs>
              <w:spacing w:before="120" w:after="120"/>
              <w:ind w:hanging="709"/>
              <w:rPr>
                <w:rFonts w:ascii="Calibri" w:eastAsia="Times New Roman" w:hAnsi="Calibri" w:cs="Arial"/>
                <w:lang w:eastAsia="en-AU"/>
              </w:rPr>
            </w:pPr>
            <w:r w:rsidRPr="00BB5F6D">
              <w:rPr>
                <w:rFonts w:ascii="Calibri" w:eastAsia="Times New Roman" w:hAnsi="Calibri" w:cs="Arial"/>
                <w:lang w:eastAsia="en-AU"/>
              </w:rPr>
              <w:t>Where money is paid not with the main purpose of obtaining a profitable return, but rather for the purpose of furthering some other policy objective of the Commonwealth, then the transaction is not an ‘investment’ for the purposes of s 58. In AGS’ view, equity investment could not properly be regarded as ‘investment’ for the purposes of s 58 of the PGPA Act (paras 78</w:t>
            </w:r>
            <w:r w:rsidR="0071103E">
              <w:rPr>
                <w:rFonts w:ascii="Calibri" w:eastAsia="Times New Roman" w:hAnsi="Calibri" w:cs="Arial"/>
                <w:lang w:eastAsia="en-AU"/>
              </w:rPr>
              <w:t>—</w:t>
            </w:r>
            <w:r w:rsidRPr="00BB5F6D">
              <w:rPr>
                <w:rFonts w:ascii="Calibri" w:eastAsia="Times New Roman" w:hAnsi="Calibri" w:cs="Arial"/>
                <w:lang w:eastAsia="en-AU"/>
              </w:rPr>
              <w:t xml:space="preserve">79). </w:t>
            </w:r>
          </w:p>
          <w:p w14:paraId="48BA8963" w14:textId="77777777" w:rsidR="00BB5F6D" w:rsidRPr="00BB5F6D" w:rsidRDefault="00BB5F6D" w:rsidP="00594341">
            <w:pPr>
              <w:spacing w:before="120" w:after="120"/>
              <w:rPr>
                <w:rFonts w:ascii="Calibri" w:eastAsia="Calibri" w:hAnsi="Calibri" w:cs="Times New Roman"/>
              </w:rPr>
            </w:pPr>
          </w:p>
          <w:p w14:paraId="373567B1" w14:textId="77777777" w:rsidR="00BB5F6D" w:rsidRPr="00BB5F6D" w:rsidRDefault="00BB5F6D" w:rsidP="00594341">
            <w:pPr>
              <w:spacing w:before="120" w:after="120"/>
              <w:rPr>
                <w:rFonts w:ascii="Calibri" w:eastAsia="Calibri" w:hAnsi="Calibri" w:cs="Times New Roman"/>
              </w:rPr>
            </w:pPr>
          </w:p>
        </w:tc>
      </w:tr>
      <w:tr w:rsidR="00BB5F6D" w:rsidRPr="00BB5F6D" w14:paraId="0E0CB55B" w14:textId="77777777" w:rsidTr="00BB5F6D">
        <w:tc>
          <w:tcPr>
            <w:tcW w:w="1344" w:type="dxa"/>
          </w:tcPr>
          <w:p w14:paraId="6F98F5BF" w14:textId="77777777" w:rsidR="00BB5F6D" w:rsidRPr="00BB5F6D" w:rsidRDefault="00BB5F6D" w:rsidP="00594341">
            <w:pPr>
              <w:spacing w:before="120" w:after="120"/>
              <w:jc w:val="center"/>
              <w:rPr>
                <w:rFonts w:ascii="Calibri" w:eastAsia="Calibri" w:hAnsi="Calibri" w:cs="Times New Roman"/>
                <w:b/>
              </w:rPr>
            </w:pPr>
            <w:r w:rsidRPr="00BB5F6D">
              <w:rPr>
                <w:rFonts w:ascii="Calibri" w:eastAsia="Calibri" w:hAnsi="Calibri" w:cs="Times New Roman"/>
                <w:b/>
              </w:rPr>
              <w:t>Insurance products</w:t>
            </w:r>
          </w:p>
        </w:tc>
        <w:tc>
          <w:tcPr>
            <w:tcW w:w="1912" w:type="dxa"/>
          </w:tcPr>
          <w:p w14:paraId="5A18A023" w14:textId="77777777" w:rsidR="00BB5F6D" w:rsidRPr="00BB5F6D" w:rsidRDefault="00BB5F6D" w:rsidP="00594341">
            <w:pPr>
              <w:spacing w:before="120" w:after="120"/>
              <w:jc w:val="center"/>
              <w:rPr>
                <w:rFonts w:ascii="Calibri" w:eastAsia="Calibri" w:hAnsi="Calibri" w:cs="Times New Roman"/>
              </w:rPr>
            </w:pPr>
            <w:r w:rsidRPr="00BB5F6D">
              <w:rPr>
                <w:rFonts w:ascii="Calibri" w:eastAsia="Calibri" w:hAnsi="Calibri" w:cs="Times New Roman"/>
              </w:rPr>
              <w:t xml:space="preserve">External Affairs power (s 51 (xxix) </w:t>
            </w:r>
          </w:p>
          <w:p w14:paraId="7DC45360" w14:textId="77777777" w:rsidR="00BB5F6D" w:rsidRPr="00BB5F6D" w:rsidRDefault="00BB5F6D" w:rsidP="00594341">
            <w:pPr>
              <w:spacing w:before="120" w:after="120"/>
              <w:jc w:val="center"/>
              <w:rPr>
                <w:rFonts w:ascii="Calibri" w:eastAsia="Calibri" w:hAnsi="Calibri" w:cs="Times New Roman"/>
              </w:rPr>
            </w:pPr>
          </w:p>
          <w:p w14:paraId="6FBF82F5" w14:textId="398BF0F6" w:rsidR="00BB5F6D" w:rsidRPr="00BB5F6D" w:rsidRDefault="00263BD0" w:rsidP="00594341">
            <w:pPr>
              <w:spacing w:before="120" w:after="120"/>
              <w:jc w:val="center"/>
              <w:rPr>
                <w:rFonts w:ascii="Calibri" w:eastAsia="Calibri" w:hAnsi="Calibri" w:cs="Times New Roman"/>
              </w:rPr>
            </w:pPr>
            <w:r w:rsidRPr="00BB5F6D">
              <w:rPr>
                <w:rFonts w:ascii="Calibri" w:eastAsia="Calibri" w:hAnsi="Calibri" w:cs="Times New Roman"/>
              </w:rPr>
              <w:t>Also,</w:t>
            </w:r>
            <w:r w:rsidR="00BB5F6D" w:rsidRPr="00BB5F6D">
              <w:rPr>
                <w:rFonts w:ascii="Calibri" w:eastAsia="Calibri" w:hAnsi="Calibri" w:cs="Times New Roman"/>
              </w:rPr>
              <w:t xml:space="preserve"> the insurance power in s 51(xiv)</w:t>
            </w:r>
          </w:p>
        </w:tc>
        <w:tc>
          <w:tcPr>
            <w:tcW w:w="3260" w:type="dxa"/>
          </w:tcPr>
          <w:p w14:paraId="210FDF3A" w14:textId="5EA8A7B5" w:rsidR="00BB5F6D" w:rsidRPr="00BB5F6D" w:rsidRDefault="00BB5F6D" w:rsidP="00594341">
            <w:pPr>
              <w:spacing w:before="120" w:after="120"/>
              <w:rPr>
                <w:rFonts w:ascii="Calibri" w:eastAsia="Calibri" w:hAnsi="Calibri" w:cs="Times New Roman"/>
              </w:rPr>
            </w:pPr>
            <w:r w:rsidRPr="00BB5F6D">
              <w:rPr>
                <w:rFonts w:ascii="Calibri" w:eastAsia="Calibri" w:hAnsi="Calibri" w:cs="Times New Roman"/>
              </w:rPr>
              <w:t>Considerable level of risk if DFAT were to rely on an existing item in Schedule 1AA the FF(SP) Regs (items 413.001 to 413.006) or amend s 60 of the PGPA Act (guarantees) (paras 86</w:t>
            </w:r>
            <w:r w:rsidR="0071103E">
              <w:rPr>
                <w:rFonts w:ascii="Calibri" w:eastAsia="Calibri" w:hAnsi="Calibri" w:cs="Times New Roman"/>
              </w:rPr>
              <w:t>—</w:t>
            </w:r>
            <w:r w:rsidRPr="00BB5F6D">
              <w:rPr>
                <w:rFonts w:ascii="Calibri" w:eastAsia="Calibri" w:hAnsi="Calibri" w:cs="Times New Roman"/>
              </w:rPr>
              <w:t>87).</w:t>
            </w:r>
          </w:p>
          <w:p w14:paraId="78F36F09" w14:textId="77777777" w:rsidR="00BB5F6D" w:rsidRPr="00BB5F6D" w:rsidRDefault="00BB5F6D" w:rsidP="00594341">
            <w:pPr>
              <w:spacing w:before="120" w:after="120"/>
              <w:rPr>
                <w:rFonts w:ascii="Calibri" w:eastAsia="Calibri" w:hAnsi="Calibri" w:cs="Times New Roman"/>
              </w:rPr>
            </w:pPr>
          </w:p>
          <w:p w14:paraId="2DF7AA9A" w14:textId="0736B588" w:rsidR="00BB5F6D" w:rsidRPr="00BB5F6D" w:rsidRDefault="00BB5F6D" w:rsidP="00594341">
            <w:pPr>
              <w:spacing w:before="120" w:after="120"/>
              <w:rPr>
                <w:rFonts w:ascii="Calibri" w:eastAsia="Calibri" w:hAnsi="Calibri" w:cs="Times New Roman"/>
              </w:rPr>
            </w:pPr>
            <w:r w:rsidRPr="00BB5F6D">
              <w:rPr>
                <w:rFonts w:ascii="Calibri" w:eastAsia="Calibri" w:hAnsi="Calibri" w:cs="Times New Roman"/>
              </w:rPr>
              <w:t>Legislative authority required. AGS recommends amending Sch 1AB, enacting primary legislation or amending primary legislation, such as the EFIC Act (paras 88</w:t>
            </w:r>
            <w:r w:rsidR="0071103E">
              <w:rPr>
                <w:rFonts w:ascii="Calibri" w:eastAsia="Calibri" w:hAnsi="Calibri" w:cs="Times New Roman"/>
              </w:rPr>
              <w:t>—</w:t>
            </w:r>
            <w:r w:rsidRPr="00BB5F6D">
              <w:rPr>
                <w:rFonts w:ascii="Calibri" w:eastAsia="Calibri" w:hAnsi="Calibri" w:cs="Times New Roman"/>
              </w:rPr>
              <w:t>90).</w:t>
            </w:r>
          </w:p>
        </w:tc>
        <w:tc>
          <w:tcPr>
            <w:tcW w:w="2551" w:type="dxa"/>
          </w:tcPr>
          <w:p w14:paraId="11589304" w14:textId="77777777" w:rsidR="00BB5F6D" w:rsidRPr="00BB5F6D" w:rsidRDefault="00BB5F6D" w:rsidP="00594341">
            <w:pPr>
              <w:spacing w:before="120" w:after="120"/>
              <w:rPr>
                <w:rFonts w:ascii="Calibri" w:eastAsia="Calibri" w:hAnsi="Calibri" w:cs="Times New Roman"/>
              </w:rPr>
            </w:pPr>
            <w:r w:rsidRPr="00BB5F6D">
              <w:rPr>
                <w:rFonts w:ascii="Calibri" w:eastAsia="Calibri" w:hAnsi="Calibri" w:cs="Times New Roman"/>
              </w:rPr>
              <w:t xml:space="preserve">The </w:t>
            </w:r>
            <w:r w:rsidRPr="00BB5F6D">
              <w:rPr>
                <w:rFonts w:ascii="Calibri" w:eastAsia="Calibri" w:hAnsi="Calibri" w:cs="Times New Roman"/>
                <w:i/>
              </w:rPr>
              <w:t>Insurance Contracts Act 1984</w:t>
            </w:r>
            <w:r w:rsidRPr="00BB5F6D">
              <w:rPr>
                <w:rFonts w:ascii="Calibri" w:eastAsia="Calibri" w:hAnsi="Calibri" w:cs="Times New Roman"/>
              </w:rPr>
              <w:t xml:space="preserve"> may not apply, particularly overseas. There is a general statutory presumption that legislation is not intended to have extra-territorial effect (para 94). </w:t>
            </w:r>
          </w:p>
        </w:tc>
      </w:tr>
    </w:tbl>
    <w:p w14:paraId="189620AE" w14:textId="77777777" w:rsidR="00BB5F6D" w:rsidRPr="00BB5F6D" w:rsidRDefault="00BB5F6D" w:rsidP="00594341">
      <w:pPr>
        <w:spacing w:before="120" w:after="120" w:line="240" w:lineRule="auto"/>
        <w:rPr>
          <w:rFonts w:ascii="Calibri" w:eastAsia="Calibri" w:hAnsi="Calibri" w:cs="Times New Roman"/>
        </w:rPr>
      </w:pPr>
    </w:p>
    <w:p w14:paraId="0185B30E" w14:textId="00FBB8A1" w:rsidR="006F0DD0" w:rsidRDefault="006F0DD0" w:rsidP="008C42F0"/>
    <w:sectPr w:rsidR="006F0DD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64903" w14:textId="77777777" w:rsidR="00C562C6" w:rsidRDefault="00C562C6" w:rsidP="00F96CD9">
      <w:pPr>
        <w:spacing w:after="0" w:line="240" w:lineRule="auto"/>
      </w:pPr>
      <w:r>
        <w:separator/>
      </w:r>
    </w:p>
  </w:endnote>
  <w:endnote w:type="continuationSeparator" w:id="0">
    <w:p w14:paraId="365609C5" w14:textId="77777777" w:rsidR="00C562C6" w:rsidRDefault="00C562C6" w:rsidP="00F96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Lato">
    <w:altName w:val="Lato"/>
    <w:charset w:val="00"/>
    <w:family w:val="swiss"/>
    <w:pitch w:val="variable"/>
    <w:sig w:usb0="E10002FF" w:usb1="5000ECFF" w:usb2="00000021" w:usb3="00000000" w:csb0="0000019F"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5273859"/>
      <w:docPartObj>
        <w:docPartGallery w:val="Page Numbers (Bottom of Page)"/>
        <w:docPartUnique/>
      </w:docPartObj>
    </w:sdtPr>
    <w:sdtEndPr>
      <w:rPr>
        <w:noProof/>
      </w:rPr>
    </w:sdtEndPr>
    <w:sdtContent>
      <w:p w14:paraId="769F4A37" w14:textId="11B34B1B" w:rsidR="00E82131" w:rsidRDefault="00E82131">
        <w:pPr>
          <w:pStyle w:val="Footer"/>
          <w:jc w:val="center"/>
        </w:pPr>
        <w:r>
          <w:fldChar w:fldCharType="begin"/>
        </w:r>
        <w:r>
          <w:instrText xml:space="preserve"> PAGE   \* MERGEFORMAT </w:instrText>
        </w:r>
        <w:r>
          <w:fldChar w:fldCharType="separate"/>
        </w:r>
        <w:r>
          <w:rPr>
            <w:noProof/>
          </w:rPr>
          <w:t>ii</w:t>
        </w:r>
        <w:r>
          <w:rPr>
            <w:noProof/>
          </w:rPr>
          <w:fldChar w:fldCharType="end"/>
        </w:r>
      </w:p>
    </w:sdtContent>
  </w:sdt>
  <w:p w14:paraId="57EF2281" w14:textId="77777777" w:rsidR="00E82131" w:rsidRDefault="00E821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E8DC6" w14:textId="45029070" w:rsidR="00E82131" w:rsidRPr="00F96CD9" w:rsidRDefault="00E82131" w:rsidP="00F96CD9">
    <w:pPr>
      <w:pStyle w:val="Footer"/>
      <w:jc w:val="center"/>
      <w:rPr>
        <w:b/>
      </w:rPr>
    </w:pPr>
    <w:r w:rsidRPr="00D76799">
      <w:rPr>
        <w:b/>
        <w:color w:val="7F7F7F"/>
        <w:spacing w:val="60"/>
      </w:rPr>
      <w:t>Page</w:t>
    </w:r>
    <w:r w:rsidRPr="004425B3">
      <w:rPr>
        <w:b/>
      </w:rPr>
      <w:t xml:space="preserve"> | </w:t>
    </w:r>
    <w:r w:rsidRPr="004425B3">
      <w:rPr>
        <w:b/>
      </w:rPr>
      <w:fldChar w:fldCharType="begin"/>
    </w:r>
    <w:r w:rsidRPr="004425B3">
      <w:rPr>
        <w:b/>
      </w:rPr>
      <w:instrText xml:space="preserve"> PAGE   \* MERGEFORMAT </w:instrText>
    </w:r>
    <w:r w:rsidRPr="004425B3">
      <w:rPr>
        <w:b/>
      </w:rPr>
      <w:fldChar w:fldCharType="separate"/>
    </w:r>
    <w:r w:rsidRPr="00042A33">
      <w:rPr>
        <w:b/>
        <w:bCs/>
        <w:noProof/>
      </w:rPr>
      <w:t>78</w:t>
    </w:r>
    <w:r w:rsidRPr="004425B3">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0321A" w14:textId="77777777" w:rsidR="00C562C6" w:rsidRDefault="00C562C6" w:rsidP="00F96CD9">
      <w:pPr>
        <w:spacing w:after="0" w:line="240" w:lineRule="auto"/>
      </w:pPr>
      <w:r>
        <w:separator/>
      </w:r>
    </w:p>
  </w:footnote>
  <w:footnote w:type="continuationSeparator" w:id="0">
    <w:p w14:paraId="010A7FF8" w14:textId="77777777" w:rsidR="00C562C6" w:rsidRDefault="00C562C6" w:rsidP="00F96CD9">
      <w:pPr>
        <w:spacing w:after="0" w:line="240" w:lineRule="auto"/>
      </w:pPr>
      <w:r>
        <w:continuationSeparator/>
      </w:r>
    </w:p>
  </w:footnote>
  <w:footnote w:id="1">
    <w:p w14:paraId="475858AB" w14:textId="601BC8E6" w:rsidR="00E82131" w:rsidRDefault="00E82131">
      <w:pPr>
        <w:pStyle w:val="FootnoteText"/>
      </w:pPr>
      <w:r w:rsidRPr="004C3488">
        <w:rPr>
          <w:rStyle w:val="FootnoteReference"/>
        </w:rPr>
        <w:footnoteRef/>
      </w:r>
      <w:r w:rsidRPr="004C3488">
        <w:t xml:space="preserve"> The current program is described at </w:t>
      </w:r>
      <w:hyperlink r:id="rId1" w:history="1">
        <w:r w:rsidRPr="004C3488">
          <w:rPr>
            <w:rStyle w:val="Hyperlink"/>
          </w:rPr>
          <w:t>https://dfat.gov.au/aid/Pages/australias-aid-program.aspx</w:t>
        </w:r>
      </w:hyperlink>
      <w:r w:rsidRPr="004C3488">
        <w:t xml:space="preserve"> .</w:t>
      </w:r>
    </w:p>
  </w:footnote>
  <w:footnote w:id="2">
    <w:p w14:paraId="46EC38EF" w14:textId="77777777" w:rsidR="00E82131" w:rsidRDefault="00E82131" w:rsidP="00B62D10">
      <w:pPr>
        <w:pStyle w:val="FootnoteText"/>
      </w:pPr>
      <w:r>
        <w:rPr>
          <w:rStyle w:val="FootnoteReference"/>
        </w:rPr>
        <w:footnoteRef/>
      </w:r>
      <w:r>
        <w:t xml:space="preserve"> Table 1</w:t>
      </w:r>
      <w:r w:rsidRPr="00CD6ECD">
        <w:t xml:space="preserve"> omits three projects of which the particulars are commercial-in-confidence: they are infrastructure projects in PNG and the Pacific for which loans or offtake guarantees seem suitable.</w:t>
      </w:r>
    </w:p>
  </w:footnote>
  <w:footnote w:id="3">
    <w:p w14:paraId="33DD4FE1" w14:textId="4F7A5115" w:rsidR="00E82131" w:rsidRDefault="00E82131">
      <w:pPr>
        <w:pStyle w:val="FootnoteText"/>
      </w:pPr>
      <w:r>
        <w:rPr>
          <w:rStyle w:val="FootnoteReference"/>
        </w:rPr>
        <w:footnoteRef/>
      </w:r>
      <w:r>
        <w:t xml:space="preserve"> </w:t>
      </w:r>
      <w:r w:rsidRPr="00527E22">
        <w:t xml:space="preserve">Department of Foreign Affairs and Trade, “Foreign Policy White Paper” (Canberra: Department of Foreign Affairs and Trade, November 2017), </w:t>
      </w:r>
      <w:hyperlink r:id="rId2" w:history="1">
        <w:r w:rsidRPr="001C7577">
          <w:rPr>
            <w:rStyle w:val="Hyperlink"/>
          </w:rPr>
          <w:t>https://www.fpwhitepaper.gov.au/home</w:t>
        </w:r>
      </w:hyperlink>
      <w:r>
        <w:t xml:space="preserve"> </w:t>
      </w:r>
      <w:r w:rsidRPr="00527E22">
        <w:t>.</w:t>
      </w:r>
    </w:p>
  </w:footnote>
  <w:footnote w:id="4">
    <w:p w14:paraId="6A58DBE9" w14:textId="3FFAC9A7" w:rsidR="00E82131" w:rsidRDefault="00E82131">
      <w:pPr>
        <w:pStyle w:val="FootnoteText"/>
      </w:pPr>
      <w:r>
        <w:rPr>
          <w:rStyle w:val="FootnoteReference"/>
        </w:rPr>
        <w:footnoteRef/>
      </w:r>
      <w:r>
        <w:t xml:space="preserve"> It would be </w:t>
      </w:r>
      <w:r w:rsidRPr="00786711">
        <w:t xml:space="preserve">prudent to advance </w:t>
      </w:r>
      <w:r>
        <w:t xml:space="preserve">as loan principal </w:t>
      </w:r>
      <w:r w:rsidRPr="00786711">
        <w:t>some single-digit multiple of estimated carrying costs (interest margin and provisions for financial risk)</w:t>
      </w:r>
      <w:r>
        <w:t xml:space="preserve">: see p2 illustration in Indonesia, p21 about suggested </w:t>
      </w:r>
      <w:r w:rsidRPr="00786711">
        <w:t xml:space="preserve">principles </w:t>
      </w:r>
      <w:r>
        <w:t>of</w:t>
      </w:r>
      <w:r w:rsidRPr="00786711">
        <w:t xml:space="preserve"> budget treatment</w:t>
      </w:r>
      <w:r>
        <w:t>, and</w:t>
      </w:r>
      <w:r w:rsidRPr="00786711">
        <w:t xml:space="preserve"> p1</w:t>
      </w:r>
      <w:r>
        <w:t>8 n45 about the “recycling” period of funds</w:t>
      </w:r>
      <w:r w:rsidRPr="00786711">
        <w:t>.</w:t>
      </w:r>
    </w:p>
  </w:footnote>
  <w:footnote w:id="5">
    <w:p w14:paraId="3F94E637" w14:textId="6B83719D" w:rsidR="00E82131" w:rsidRDefault="00E82131" w:rsidP="009552B9">
      <w:pPr>
        <w:pStyle w:val="FootnoteText"/>
      </w:pPr>
      <w:r>
        <w:rPr>
          <w:rStyle w:val="FootnoteReference"/>
        </w:rPr>
        <w:footnoteRef/>
      </w:r>
      <w:r>
        <w:t xml:space="preserve"> This refers mainly to first-loss cover for lending institutions, guarantees of utilities’ obligations to private providers of electricity or water supplies, and guarantees of other financial obligations to providers of components or services to large projects. These usually provide only partial cover, so that counterparties and financiers have “skin in the game” as incentives to make their own credit assessments. </w:t>
      </w:r>
    </w:p>
  </w:footnote>
  <w:footnote w:id="6">
    <w:p w14:paraId="0C828765" w14:textId="77777777" w:rsidR="00E82131" w:rsidRDefault="00E82131" w:rsidP="00100B62">
      <w:pPr>
        <w:pStyle w:val="FootnoteText"/>
      </w:pPr>
      <w:r>
        <w:rPr>
          <w:rStyle w:val="FootnoteReference"/>
        </w:rPr>
        <w:footnoteRef/>
      </w:r>
      <w:r>
        <w:t xml:space="preserve"> This is emphasised on page 43 of the </w:t>
      </w:r>
      <w:r w:rsidRPr="004A73BA">
        <w:rPr>
          <w:i/>
        </w:rPr>
        <w:t>Foreign Policy White Paper</w:t>
      </w:r>
      <w:r>
        <w:t>: “</w:t>
      </w:r>
      <w:r w:rsidRPr="00587BA4">
        <w:t xml:space="preserve">Through our development assistance, we </w:t>
      </w:r>
      <w:r>
        <w:t>…</w:t>
      </w:r>
      <w:r w:rsidRPr="00587BA4">
        <w:t xml:space="preserve"> </w:t>
      </w:r>
      <w:r w:rsidRPr="00F35273">
        <w:rPr>
          <w:b/>
        </w:rPr>
        <w:t>work with partner governments</w:t>
      </w:r>
      <w:r w:rsidRPr="00587BA4">
        <w:t xml:space="preserve"> to help improve investment settings, regulatory frameworks, taxation systems</w:t>
      </w:r>
      <w:r>
        <w:t xml:space="preserve"> ….” (emphasis added). </w:t>
      </w:r>
      <w:r>
        <w:fldChar w:fldCharType="begin"/>
      </w:r>
      <w:r>
        <w:instrText xml:space="preserve"> ADDIN ZOTERO_ITEM CSL_CITATION {"citationID":"OjnuIQln","properties":{"formattedCitation":"Department of Foreign Affairs and Trade.","plainCitation":"Department of Foreign Affairs and Trade.","noteIndex":3},"citationItems":[{"id":2876,"uris":["http://zotero.org/users/2818427/items/CZZN9C2N"],"uri":["http://zotero.org/users/2818427/items/CZZN9C2N"],"itemData":{"id":2876,"type":"report","title":"Foreign Policy White Paper","publisher":"Department of Foreign Affairs and Trade","publisher-place":"Canberra","page":"122","event-place":"Canberra","abstract":"A comprehensive framework to guide Australia's international engagement over the next five to ten years.","URL":"https://www.fpwhitepaper.gov.au/home","language":"en","author":[{"literal":"Department of Foreign Affairs and Trade"}],"issued":{"date-parts":[["2017",11]]},"accessed":{"date-parts":[["2018",12,3]]}}}],"schema":"https://github.com/citation-style-language/schema/raw/master/csl-citation.json"} </w:instrText>
      </w:r>
      <w:r>
        <w:fldChar w:fldCharType="separate"/>
      </w:r>
      <w:r>
        <w:rPr>
          <w:noProof/>
        </w:rPr>
        <w:t>Department of Foreign Affairs and Trade.</w:t>
      </w:r>
      <w:r>
        <w:fldChar w:fldCharType="end"/>
      </w:r>
    </w:p>
    <w:p w14:paraId="0690F6AD" w14:textId="77777777" w:rsidR="00E82131" w:rsidRDefault="00E82131" w:rsidP="00100B62">
      <w:pPr>
        <w:pStyle w:val="FootnoteText"/>
      </w:pPr>
    </w:p>
  </w:footnote>
  <w:footnote w:id="7">
    <w:p w14:paraId="7CF4A92B" w14:textId="77777777" w:rsidR="00E82131" w:rsidRDefault="00E82131" w:rsidP="00F16A17">
      <w:pPr>
        <w:pStyle w:val="FootnoteText"/>
        <w:rPr>
          <w:lang w:val="en-US"/>
        </w:rPr>
      </w:pPr>
      <w:r>
        <w:rPr>
          <w:rStyle w:val="FootnoteReference"/>
        </w:rPr>
        <w:footnoteRef/>
      </w:r>
      <w:r>
        <w:t xml:space="preserve"> </w:t>
      </w:r>
      <w:r>
        <w:fldChar w:fldCharType="begin"/>
      </w:r>
      <w:r>
        <w:instrText xml:space="preserve"> ADDIN ZOTERO_ITEM CSL_CITATION {"citationID":"t0VBfJbN","properties":{"formattedCitation":"UN Economic Analysis &amp; Policy Division, \\uc0\\u8220{}Inclusion in the LDC Category,\\uc0\\u8221{} Development Policy &amp; Analysis Division | Dept of Economic &amp; Social Affairs | United Nations, September 23, 2010, https://www.un.org/development/desa/dpad/least-developed-country-category/ldc-inclusion.html.","plainCitation":"UN Economic Analysis &amp; Policy Division, “Inclusion in the LDC Category,” Development Policy &amp; Analysis Division | Dept of Economic &amp; Social Affairs | United Nations, September 23, 2010, https://www.un.org/development/desa/dpad/least-developed-country-category/ldc-inclusion.html.","noteIndex":4},"citationItems":[{"id":2772,"uris":["http://zotero.org/users/2818427/items/4WAMR3AA"],"uri":["http://zotero.org/users/2818427/items/4WAMR3AA"],"itemData":{"id":2772,"type":"webpage","title":"Inclusion in the LDC category","container-title":"Development Policy &amp; Analysis Division | Dept of Economic &amp; Social Affairs | United Nations","abstract":"Eligibility Identification of Eligible Countries The CDP reviews the list of LDCs and makes recommendations for inclusion in and graduation from the category every three years These recommendations are not exclusively based on the criteria scores, complementary country-specific information and the views of the government are also taken into account The inclusion thresholds, as determined by the CDP, must be met for each of the three criteria (GNI per capita, HAI and EVI) in one triennial review The Population must be no larger than 75 million inhabitants Inclusion Thresholds: 2018 Triennial Review Gross National Income (GNI) per capita Human Assets Index (HAI) Economic Vulnerability Index (EVI) $1,025 or below 60 or below 36 or above Process Time frame of the eligibility procedure January expert group review CDP Preliminary finding: country satisfies inclusion criteria DESA Notifies the country of preliminary finding Between the expert group","URL":"https://www.un.org/development/desa/dpad/least-developed-country-category/ldc-inclusion.html","author":[{"literal":"UN Economic Analysis &amp; Policy Division"}],"issued":{"date-parts":[["2010",9,23]]},"accessed":{"date-parts":[["2018",11,28]]}}}],"schema":"https://github.com/citation-style-language/schema/raw/master/csl-citation.json"} </w:instrText>
      </w:r>
      <w:r>
        <w:fldChar w:fldCharType="separate"/>
      </w:r>
      <w:r>
        <w:rPr>
          <w:rFonts w:cs="Calibri"/>
        </w:rPr>
        <w:t>UN Economic Analysis &amp; Policy Division, 'Inclusion in the LDC Category,' 23 September 2010. https://www.un.org/development/desa/dpad/least-developed-country-category/ldc-inclusion.html</w:t>
      </w:r>
      <w:r>
        <w:fldChar w:fldCharType="end"/>
      </w:r>
      <w:r>
        <w:t xml:space="preserve">  </w:t>
      </w:r>
    </w:p>
  </w:footnote>
  <w:footnote w:id="8">
    <w:p w14:paraId="510AC4FD" w14:textId="77777777" w:rsidR="00E82131" w:rsidRDefault="00E82131" w:rsidP="00F16A17">
      <w:pPr>
        <w:pStyle w:val="FootnoteText"/>
        <w:rPr>
          <w:lang w:val="en-US"/>
        </w:rPr>
      </w:pPr>
      <w:r>
        <w:rPr>
          <w:rStyle w:val="FootnoteReference"/>
        </w:rPr>
        <w:footnoteRef/>
      </w:r>
      <w:r>
        <w:t xml:space="preserve"> </w:t>
      </w:r>
      <w:r>
        <w:fldChar w:fldCharType="begin"/>
      </w:r>
      <w:r>
        <w:instrText xml:space="preserve"> ADDIN ZOTERO_ITEM CSL_CITATION {"citationID":"BHVKX4Ls","properties":{"formattedCitation":"World Bank, \\uc0\\u8220{}Global Financial Development Database,\\uc0\\u8221{} Database, World Bank, July 2018, http://www.worldbank.org/en/publication/gfdr/data/global-financial-development-database.","plainCitation":"World Bank, “Global Financial Development Database,” Database, World Bank, July 2018, http://www.worldbank.org/en/publication/gfdr/data/global-financial-development-database.","noteIndex":5},"citationItems":[{"id":2774,"uris":["http://zotero.org/users/2818427/items/VBMMREV5"],"uri":["http://zotero.org/users/2818427/items/VBMMREV5"],"itemData":{"id":2774,"type":"webpage","title":"Global Financial Development Database","container-title":"World Bank","genre":"Database","URL":"http://www.worldbank.org/en/publication/gfdr/data/global-financial-development-database","language":"en","author":[{"literal":"World Bank"}],"issued":{"date-parts":[["2018",7]]},"accessed":{"date-parts":[["2018",11,28]]}}}],"schema":"https://github.com/citation-style-language/schema/raw/master/csl-citation.json"} </w:instrText>
      </w:r>
      <w:r>
        <w:fldChar w:fldCharType="separate"/>
      </w:r>
      <w:r>
        <w:rPr>
          <w:rFonts w:cs="Calibri"/>
        </w:rPr>
        <w:t>World Bank Global Financial Development Database, July 2018. http://www.worldbank.org/en/publication/gfdr/data/global-financial-development-database</w:t>
      </w:r>
      <w:r>
        <w:fldChar w:fldCharType="end"/>
      </w:r>
      <w:r>
        <w:t xml:space="preserve"> </w:t>
      </w:r>
    </w:p>
  </w:footnote>
  <w:footnote w:id="9">
    <w:p w14:paraId="25340D2E" w14:textId="77777777" w:rsidR="00E82131" w:rsidRDefault="00E82131" w:rsidP="00F16A17">
      <w:pPr>
        <w:pStyle w:val="FootnoteText"/>
        <w:rPr>
          <w:sz w:val="18"/>
          <w:szCs w:val="18"/>
          <w:lang w:val="en-US"/>
        </w:rPr>
      </w:pPr>
      <w:r>
        <w:rPr>
          <w:rStyle w:val="FootnoteReference"/>
        </w:rPr>
        <w:footnoteRef/>
      </w:r>
      <w:r>
        <w:t xml:space="preserve"> </w:t>
      </w:r>
      <w:r>
        <w:fldChar w:fldCharType="begin"/>
      </w:r>
      <w:r>
        <w:instrText xml:space="preserve"> ADDIN ZOTERO_ITEM CSL_CITATION {"citationID":"Rdp9knjE","properties":{"formattedCitation":"World Bank, \\uc0\\u8220{}World Bank Open Data,\\uc0\\u8221{} Database, World Bank, November 2018, https://data.worldbank.org/.","plainCitation":"World Bank, “World Bank Open Data,” Database, World Bank, November 2018, https://data.worldbank.org/.","noteIndex":6},"citationItems":[{"id":2777,"uris":["http://zotero.org/users/2818427/items/WMSW8KSG"],"uri":["http://zotero.org/users/2818427/items/WMSW8KSG"],"itemData":{"id":2777,"type":"webpage","title":"World Bank Open Data","container-title":"World Bank","genre":"Database","URL":"https://data.worldbank.org/","author":[{"literal":"World Bank"}],"issued":{"date-parts":[["2018",11]]},"accessed":{"date-parts":[["2018",11,28]]}}}],"schema":"https://github.com/citation-style-language/schema/raw/master/csl-citation.json"} </w:instrText>
      </w:r>
      <w:r>
        <w:fldChar w:fldCharType="separate"/>
      </w:r>
      <w:r>
        <w:rPr>
          <w:rFonts w:cs="Calibri"/>
        </w:rPr>
        <w:t>World Bank Open Database, November 2018, https://data.worldbank.org/</w:t>
      </w:r>
      <w:r>
        <w:fldChar w:fldCharType="end"/>
      </w:r>
      <w:r>
        <w:t xml:space="preserve"> </w:t>
      </w:r>
    </w:p>
  </w:footnote>
  <w:footnote w:id="10">
    <w:p w14:paraId="58EA6D6F" w14:textId="77777777" w:rsidR="00E82131" w:rsidRDefault="00E82131" w:rsidP="00F16A17">
      <w:pPr>
        <w:pStyle w:val="FootnoteText"/>
        <w:rPr>
          <w:lang w:val="en-US"/>
        </w:rPr>
      </w:pPr>
      <w:r>
        <w:rPr>
          <w:rStyle w:val="FootnoteReference"/>
        </w:rPr>
        <w:footnoteRef/>
      </w:r>
      <w:r>
        <w:t xml:space="preserve"> Ibid.</w:t>
      </w:r>
    </w:p>
  </w:footnote>
  <w:footnote w:id="11">
    <w:p w14:paraId="34751F5B" w14:textId="77777777" w:rsidR="00E82131" w:rsidRDefault="00E82131" w:rsidP="00F16A17">
      <w:pPr>
        <w:pStyle w:val="FootnoteText"/>
        <w:rPr>
          <w:sz w:val="18"/>
          <w:szCs w:val="18"/>
          <w:lang w:val="en-US"/>
        </w:rPr>
      </w:pPr>
      <w:r>
        <w:rPr>
          <w:rStyle w:val="FootnoteReference"/>
        </w:rPr>
        <w:footnoteRef/>
      </w:r>
      <w:r>
        <w:t xml:space="preserve"> </w:t>
      </w:r>
      <w:r>
        <w:fldChar w:fldCharType="begin"/>
      </w:r>
      <w:r>
        <w:instrText xml:space="preserve"> ADDIN ZOTERO_ITEM CSL_CITATION {"citationID":"PyvGOeeG","properties":{"formattedCitation":"Charles Kenny, Jared Kalow, and Vijaya Ramachandran, \\uc0\\u8220{}Inside the Portfolio of the International Finance Corporation: Does IFC Do Enough in Low-Income Countries?\\uc0\\u8221{} (Washington, D.C.: Center For Global Development, January 17, 2018), https://www.cgdev.org/publication/inside-portfolio-international-finance-corporation-does-ifc-do-enough-low-income.","plainCitation":"Charles Kenny, Jared Kalow, and Vijaya Ramachandran, “Inside the Portfolio of the International Finance Corporation: Does IFC Do Enough in Low-Income Countries?” (Washington, D.C.: Center For Global Development, January 17, 2018), https://www.cgdev.org/publication/inside-portfolio-international-finance-corporation-does-ifc-do-enough-low-income.","noteIndex":8},"citationItems":[{"id":2778,"uris":["http://zotero.org/users/2818427/items/G72BTKKB"],"uri":["http://zotero.org/users/2818427/items/G72BTKKB"],"itemData":{"id":2778,"type":"report","title":"Inside the Portfolio of the International Finance Corporation: Does IFC Do Enough in Low-Income Countries?","publisher":"Center For Global Development","publisher-place":"Washington, D.C.","page":"31","event-place":"Washington, D.C.","abstract":"IFC’s portfolio is not focused where it could make the most difference. Low income countries are where IFC has the scale to make a considerable difference to development outcomes. While an excessive portfolio shift might imperil IFC’s credit rating, the evidence suggests that there is considerable scope for increasing commitments to low income countries without significant impact to IFC’s credit scores.","URL":"https://www.cgdev.org/publication/inside-portfolio-international-finance-corporation-does-ifc-do-enough-low-income","shortTitle":"Inside the Portfolio of the International Finance Corporation","language":"en","author":[{"family":"Kenny","given":"Charles"},{"family":"Kalow","given":"Jared"},{"family":"Ramachandran","given":"Vijaya"}],"issued":{"date-parts":[["2018",1,17]]},"accessed":{"date-parts":[["2018",11,28]]}}}],"schema":"https://github.com/citation-style-language/schema/raw/master/csl-citation.json"} </w:instrText>
      </w:r>
      <w:r>
        <w:fldChar w:fldCharType="separate"/>
      </w:r>
      <w:r>
        <w:rPr>
          <w:rFonts w:cs="Calibri"/>
        </w:rPr>
        <w:t xml:space="preserve">Charles Kenny, Jared Kalow, and Vijaya Ramachandran, </w:t>
      </w:r>
      <w:r>
        <w:rPr>
          <w:rFonts w:cs="Calibri"/>
          <w:i/>
        </w:rPr>
        <w:t>Inside the Portfolio of the International Finance Corporation: Does IFC Do Enough in Low-Income Countries?,</w:t>
      </w:r>
      <w:r>
        <w:rPr>
          <w:rFonts w:cs="Calibri"/>
        </w:rPr>
        <w:t xml:space="preserve"> </w:t>
      </w:r>
      <w:r>
        <w:fldChar w:fldCharType="end"/>
      </w:r>
      <w:r>
        <w:t xml:space="preserve">17 January 2018. </w:t>
      </w:r>
    </w:p>
  </w:footnote>
  <w:footnote w:id="12">
    <w:p w14:paraId="0C40AC58" w14:textId="77777777" w:rsidR="00E82131" w:rsidRDefault="00E82131" w:rsidP="00F16A17">
      <w:pPr>
        <w:pStyle w:val="FootnoteText"/>
        <w:rPr>
          <w:lang w:val="en-US"/>
        </w:rPr>
      </w:pPr>
      <w:r>
        <w:rPr>
          <w:rStyle w:val="FootnoteReference"/>
        </w:rPr>
        <w:footnoteRef/>
      </w:r>
      <w:r>
        <w:t xml:space="preserve"> </w:t>
      </w:r>
      <w:r>
        <w:fldChar w:fldCharType="begin"/>
      </w:r>
      <w:r>
        <w:instrText xml:space="preserve"> ADDIN ZOTERO_ITEM CSL_CITATION {"citationID":"ZbwY2EGA","properties":{"formattedCitation":"Global Infrastructure Hub, \\uc0\\u8220{}Global Infrastructure Outlook\\uc0\\u8221{} (Global Infrastructure Hub), accessed November 28, 2018, https://www.oxfordeconomics.com/recent-releases/Global-Infrastructure-Outlook.","plainCitation":"Global Infrastructure Hub, “Global Infrastructure Outlook” (Global Infrastructure Hub), accessed November 28, 2018, https://www.oxfordeconomics.com/recent-releases/Global-Infrastructure-Outlook.","noteIndex":9},"citationItems":[{"id":2780,"uris":["http://zotero.org/users/2818427/items/ZZZEMUA4"],"uri":["http://zotero.org/users/2818427/items/ZZZEMUA4"],"itemData":{"id":2780,"type":"report","title":"Global Infrastructure Outlook","publisher":"Global Infrastructure Hub","URL":"https://www.oxfordeconomics.com/recent-releases/Global-Infrastructure-Outlook","language":"en-US","author":[{"literal":"Global Infrastructure Hub"}],"accessed":{"date-parts":[["2018",11,28]]}}}],"schema":"https://github.com/citation-style-language/schema/raw/master/csl-citation.json"} </w:instrText>
      </w:r>
      <w:r>
        <w:fldChar w:fldCharType="separate"/>
      </w:r>
      <w:r>
        <w:rPr>
          <w:rFonts w:cs="Calibri"/>
        </w:rPr>
        <w:t>Global Infrastructure Outlook Database. https://www.oxfordeconomics.com/recent-releases/Global-Infrastructure-Outlook</w:t>
      </w:r>
      <w:r>
        <w:fldChar w:fldCharType="end"/>
      </w:r>
      <w:r>
        <w:t xml:space="preserve"> </w:t>
      </w:r>
    </w:p>
  </w:footnote>
  <w:footnote w:id="13">
    <w:p w14:paraId="28206DFB" w14:textId="77777777" w:rsidR="00E82131" w:rsidRDefault="00E82131" w:rsidP="00F16A17">
      <w:pPr>
        <w:pStyle w:val="FootnoteText"/>
        <w:rPr>
          <w:lang w:val="en-US"/>
        </w:rPr>
      </w:pPr>
      <w:r>
        <w:rPr>
          <w:rStyle w:val="FootnoteReference"/>
        </w:rPr>
        <w:footnoteRef/>
      </w:r>
      <w:r>
        <w:t xml:space="preserve"> </w:t>
      </w:r>
      <w:r>
        <w:fldChar w:fldCharType="begin"/>
      </w:r>
      <w:r>
        <w:instrText xml:space="preserve"> ADDIN ZOTERO_ITEM CSL_CITATION {"citationID":"aUmYd1jC","properties":{"formattedCitation":"Miriam Bruhn et al., \\uc0\\u8220{}MSME Finance Gap\\uc0\\u8239{}: Assessment of the Shortfalls and Opportunities in Financing Micro, Small, and Medium Enterprises in Emerging Markets\\uc0\\u8221{} (The World Bank, January 1, 2017), http://documents.worldbank.org/curated/en/653831510568517947/MSME-finance-gap-assessment-of-the-shortfalls-and-opportunities-in-financing-micro-small-and-medium-enterprises-in-emerging-markets.","plainCitation":"Miriam Bruhn et al., “MSME Finance Gap : Assessment of the Shortfalls and Opportunities in Financing Micro, Small, and Medium Enterprises in Emerging Markets” (The World Bank, January 1, 2017), http://documents.worldbank.org/curated/en/653831510568517947/MSME-finance-gap-assessment-of-the-shortfalls-and-opportunities-in-financing-micro-small-and-medium-enterprises-in-emerging-markets.","noteIndex":10},"citationItems":[{"id":2785,"uris":["http://zotero.org/users/2818427/items/IWF9IR65"],"uri":["http://zotero.org/users/2818427/items/IWF9IR65"],"itemData":{"id":2785,"type":"report","title":"MSME finance gap : assessment of the shortfalls and opportunities in financing micro, small, and medium enterprises in emerging markets","publisher":"The World Bank","page":"1-80","source":"documents.worldbank.org","abstract":"As in most economies, micro, small, and medium enterprises (MSMEs) in emerging markets are widely believed to be the engine of growth across. Over the last decade, many researchers and academics have tried to analyze the issue of MSME access to finance, emphasizing their dependence on credit and cash flows. This study presents a new approach to the estimation of the unmet demand for financing from MSMEs in developing countries. Importantly, it also describes the potential implications for the public-sector bodies, private sector financial institutions, and technology providers. The present research adds significant value to the repository of data in the MSME space, and opens new opportunities for further investigation. It estimates both supply of and demand for MSME finance on a global scale, which has never been done in a comprehensive way. This approach estimates MSME equilibrium lending in developed economies according to the industry, age, and size categories, and applies this benchmark to MSMEs in developing countries. It estimates the MSME finance gap as the difference between current supply and potential demand which can potentially be addressed by financial institutions. This report is divided into five sections. The first section reviews the literature about financing MSMEs. The second section describes the methodology of the present research, data sources, and the model specification. The third section analyzes the results of the finance gap estimation, including regional comparisons, formal, and informal MSME sector results, and gender disaggregated statistics. The fourth section elaborates on the implications of the finance gap for the public sector, including government agencies and multilateral organizations and lending institutions. Finally, the fifth section highlights implications for the private sector, including banks and non-bank financial institutions, as well as financial technology companies.","URL":"http://documents.worldbank.org/curated/en/653831510568517947/MSME-finance-gap-assessment-of-the-shortfalls-and-opportunities-in-financing-micro-small-and-medium-enterprises-in-emerging-markets","number":"121264","shortTitle":"MSME finance gap","language":"en","author":[{"family":"Bruhn","given":"Miriam"},{"family":"Hommes","given":"Martin"},{"family":"Khanna","given":"Mahima"},{"family":"Singh","given":"Sandeep"},{"family":"Sorokina","given":"Aksinya"},{"family":"Wimpey","given":"Joshua Seth"}],"issued":{"date-parts":[["2017",1,1]]},"accessed":{"date-parts":[["2018",11,28]]}}}],"schema":"https://github.com/citation-style-language/schema/raw/master/csl-citation.json"} </w:instrText>
      </w:r>
      <w:r>
        <w:fldChar w:fldCharType="separate"/>
      </w:r>
      <w:r>
        <w:rPr>
          <w:rFonts w:cs="Calibri"/>
        </w:rPr>
        <w:t xml:space="preserve">Miriam Bruhn et al., </w:t>
      </w:r>
      <w:r>
        <w:rPr>
          <w:rFonts w:cs="Calibri"/>
          <w:i/>
        </w:rPr>
        <w:t>MSME Finance Gap: Assessment of the Shortfalls and Opportunities in Financing Micro, Small, and Medium Enterprises in Emerging Markets</w:t>
      </w:r>
      <w:r>
        <w:rPr>
          <w:rFonts w:cs="Calibri"/>
        </w:rPr>
        <w:t>, 2017</w:t>
      </w:r>
      <w:r>
        <w:fldChar w:fldCharType="end"/>
      </w:r>
      <w:r>
        <w:t>.</w:t>
      </w:r>
    </w:p>
  </w:footnote>
  <w:footnote w:id="14">
    <w:p w14:paraId="7F2810FE" w14:textId="77777777" w:rsidR="00E82131" w:rsidRDefault="00E82131" w:rsidP="00F16A17">
      <w:pPr>
        <w:pStyle w:val="FootnoteText"/>
        <w:rPr>
          <w:lang w:val="en-US"/>
        </w:rPr>
      </w:pPr>
      <w:r>
        <w:rPr>
          <w:rStyle w:val="FootnoteReference"/>
        </w:rPr>
        <w:footnoteRef/>
      </w:r>
      <w:r>
        <w:t xml:space="preserve"> Ibid.</w:t>
      </w:r>
    </w:p>
  </w:footnote>
  <w:footnote w:id="15">
    <w:p w14:paraId="3F20E62C" w14:textId="77777777" w:rsidR="00E82131" w:rsidRDefault="00E82131" w:rsidP="00F16A17">
      <w:pPr>
        <w:pStyle w:val="FootnoteText"/>
        <w:rPr>
          <w:lang w:val="en-US"/>
        </w:rPr>
      </w:pPr>
      <w:r>
        <w:rPr>
          <w:rStyle w:val="FootnoteReference"/>
        </w:rPr>
        <w:footnoteRef/>
      </w:r>
      <w:r>
        <w:t xml:space="preserve"> </w:t>
      </w:r>
      <w:r>
        <w:fldChar w:fldCharType="begin"/>
      </w:r>
      <w:r>
        <w:instrText xml:space="preserve"> ADDIN ZOTERO_ITEM CSL_CITATION {"citationID":"husOOSep","properties":{"formattedCitation":"Graeme Smith et al., \\uc0\\u8220{}The Development Needs of Pacific Island Countries\\uc0\\u8221{} (Canberra: UNDP, AusAid, 2014).","plainCitation":"Graeme Smith et al., “The Development Needs of Pacific Island Countries” (Canberra: UNDP, AusAid, 2014).","noteIndex":12},"citationItems":[{"id":2784,"uris":["http://zotero.org/users/2818427/items/2CNJM26I"],"uri":["http://zotero.org/users/2818427/items/2CNJM26I"],"itemData":{"id":2784,"type":"report","title":"The development needs of pacific island countries","publisher":"UNDP, AusAid","publisher-place":"Canberra","page":"1–66","event-place":"Canberra","author":[{"family":"Smith","given":"Graeme"},{"family":"Carter","given":"George"},{"family":"Mao","given":"Xiaojing"},{"family":"Tararia","given":"Almah"},{"family":"Tupou","given":"Elisi"},{"family":"Xu","given":"Weitao"}],"issued":{"date-parts":[["2014"]]}}}],"schema":"https://github.com/citation-style-language/schema/raw/master/csl-citation.json"} </w:instrText>
      </w:r>
      <w:r>
        <w:fldChar w:fldCharType="separate"/>
      </w:r>
      <w:r>
        <w:rPr>
          <w:rFonts w:cs="Calibri"/>
        </w:rPr>
        <w:t xml:space="preserve">Graeme Smith et al., </w:t>
      </w:r>
      <w:r>
        <w:rPr>
          <w:rFonts w:cs="Calibri"/>
          <w:i/>
        </w:rPr>
        <w:t>The Development Needs of Pacific Island Countries</w:t>
      </w:r>
      <w:r>
        <w:rPr>
          <w:rFonts w:cs="Calibri"/>
        </w:rPr>
        <w:t>, 2014</w:t>
      </w:r>
      <w:r>
        <w:fldChar w:fldCharType="end"/>
      </w:r>
      <w:r>
        <w:t>.</w:t>
      </w:r>
    </w:p>
  </w:footnote>
  <w:footnote w:id="16">
    <w:p w14:paraId="6C2AF03C" w14:textId="77777777" w:rsidR="00E82131" w:rsidRDefault="00E82131" w:rsidP="00F16A17">
      <w:pPr>
        <w:pStyle w:val="FootnoteText"/>
        <w:rPr>
          <w:lang w:val="en-US"/>
        </w:rPr>
      </w:pPr>
      <w:r>
        <w:rPr>
          <w:rStyle w:val="FootnoteReference"/>
        </w:rPr>
        <w:footnoteRef/>
      </w:r>
      <w:r>
        <w:t xml:space="preserve"> </w:t>
      </w:r>
      <w:r>
        <w:fldChar w:fldCharType="begin"/>
      </w:r>
      <w:r>
        <w:instrText xml:space="preserve"> ADDIN ZOTERO_ITEM CSL_CITATION {"citationID":"RDQmErri","properties":{"formattedCitation":"Office of the Director, Agricultural Development Economics Division, \\uc0\\u8220{}Non-Distorting Support Measures to Farmers\\uc0\\u8221{} (Food and Agriculture Organization of the United Nations, October 2009), http://www.fao.org/fileadmin/templates/wsfs/docs/Issues_papers/HLEF2050_Trade.pdf.","plainCitation":"Office of the Director, Agricultural Development Economics Division, “Non-Distorting Support Measures to Farmers” (Food and Agriculture Organization of the United Nations, October 2009), http://www.fao.org/fileadmin/templates/wsfs/docs/Issues_papers/HLEF2050_Trade.pdf.","noteIndex":14},"citationItems":[{"id":2758,"uris":["http://zotero.org/users/2818427/items/W8ACZSMM"],"uri":["http://zotero.org/users/2818427/items/W8ACZSMM"],"itemData":{"id":2758,"type":"article","title":"Non-distorting support measures to farmers","publisher":"Food and Agriculture Organization of the United Nations","URL":"http://www.fao.org/fileadmin/templates/wsfs/docs/Issues_papers/HLEF2050_Trade.pdf","author":[{"literal":"Office of the Director, Agricultural Development Economics Division"}],"issued":{"date-parts":[["2009",10]]},"accessed":{"date-parts":[["2018",11,28]]}}}],"schema":"https://github.com/citation-style-language/schema/raw/master/csl-citation.json"} </w:instrText>
      </w:r>
      <w:r>
        <w:fldChar w:fldCharType="separate"/>
      </w:r>
      <w:r>
        <w:rPr>
          <w:rFonts w:cs="Calibri"/>
        </w:rPr>
        <w:t xml:space="preserve">FAO, </w:t>
      </w:r>
      <w:r>
        <w:rPr>
          <w:rFonts w:cs="Calibri"/>
          <w:i/>
        </w:rPr>
        <w:t>Non-Distorting Support Measures to Farmers</w:t>
      </w:r>
      <w:r>
        <w:rPr>
          <w:rFonts w:cs="Calibri"/>
        </w:rPr>
        <w:t>, 2009</w:t>
      </w:r>
      <w:r>
        <w:fldChar w:fldCharType="end"/>
      </w:r>
      <w:r>
        <w:t>.</w:t>
      </w:r>
    </w:p>
  </w:footnote>
  <w:footnote w:id="17">
    <w:p w14:paraId="464F2E39" w14:textId="77777777" w:rsidR="00E82131" w:rsidRDefault="00E82131" w:rsidP="00F16A17">
      <w:pPr>
        <w:pStyle w:val="FootnoteText"/>
        <w:rPr>
          <w:lang w:val="en-US"/>
        </w:rPr>
      </w:pPr>
      <w:r>
        <w:rPr>
          <w:rStyle w:val="FootnoteReference"/>
        </w:rPr>
        <w:footnoteRef/>
      </w:r>
      <w:r>
        <w:t xml:space="preserve"> </w:t>
      </w:r>
      <w:r>
        <w:fldChar w:fldCharType="begin"/>
      </w:r>
      <w:r>
        <w:instrText xml:space="preserve"> ADDIN ZOTERO_ITEM CSL_CITATION {"citationID":"u1mixcvZ","properties":{"formattedCitation":"William Ascher, {\\i{}Why Governments Waste Natural Resources: Policy Failures in Developing Countries} (JHU Press, 1999).","plainCitation":"William Ascher, Why Governments Waste Natural Resources: Policy Failures in Developing Countries (JHU Press, 1999).","noteIndex":15},"citationItems":[{"id":2760,"uris":["http://zotero.org/users/2818427/items/UCHTCUM2"],"uri":["http://zotero.org/users/2818427/items/UCHTCUM2"],"itemData":{"id":2760,"type":"book","title":"Why Governments Waste Natural Resources: Policy Failures in Developing Countries","publisher":"JHU Press","number-of-pages":"356","source":"Google Books","abstract":"Explores the complex political and programmatic reasons why government officials in Third World countries often wilfully adopt wasteful natural resource policies. Drawing on 16 case studies from Africa, Asia and Latin America, the author documents how clashes among government agencies have led to results ranging from Indonesia's deforestation to the collapse of the Mexican water system, from the destruction of cocoa farms in Ghana to the waste of Nigeria's oil wealth.","ISBN":"978-0-8018-6096-6","shortTitle":"Why Governments Waste Natural Resources","language":"en","author":[{"family":"Ascher","given":"William"}],"issued":{"date-parts":[["1999"]]}}}],"schema":"https://github.com/citation-style-language/schema/raw/master/csl-citation.json"} </w:instrText>
      </w:r>
      <w:r>
        <w:fldChar w:fldCharType="separate"/>
      </w:r>
      <w:r>
        <w:rPr>
          <w:rFonts w:cs="Calibri"/>
        </w:rPr>
        <w:t xml:space="preserve">William Ascher, </w:t>
      </w:r>
      <w:r>
        <w:rPr>
          <w:rFonts w:cs="Calibri"/>
          <w:i/>
          <w:iCs/>
        </w:rPr>
        <w:t>Why Governments Waste Natural Resources: Policy Failures in Developing Countries</w:t>
      </w:r>
      <w:r>
        <w:rPr>
          <w:rFonts w:cs="Calibri"/>
        </w:rPr>
        <w:t xml:space="preserve">, 1999. </w:t>
      </w:r>
      <w:r>
        <w:fldChar w:fldCharType="end"/>
      </w:r>
    </w:p>
  </w:footnote>
  <w:footnote w:id="18">
    <w:p w14:paraId="66AD276F" w14:textId="77777777" w:rsidR="00E82131" w:rsidRDefault="00E82131" w:rsidP="00F16A17">
      <w:pPr>
        <w:pStyle w:val="FootnoteText"/>
        <w:rPr>
          <w:lang w:val="en-US"/>
        </w:rPr>
      </w:pPr>
      <w:r>
        <w:rPr>
          <w:rStyle w:val="FootnoteReference"/>
        </w:rPr>
        <w:footnoteRef/>
      </w:r>
      <w:r>
        <w:t xml:space="preserve"> </w:t>
      </w:r>
      <w:r>
        <w:fldChar w:fldCharType="begin"/>
      </w:r>
      <w:r>
        <w:instrText xml:space="preserve"> ADDIN ZOTERO_ITEM CSL_CITATION {"citationID":"fmIcZasl","properties":{"formattedCitation":"U.S. Agency for International Development, \\uc0\\u8220{}The Crossboundary Energy Partnership\\uc0\\u8221{} (Washington, D.C.: USAID, September 22, 2016), https://www.usaid.gov/documents/1865/crossboundary-energy-partnership.","plainCitation":"U.S. Agency for International Development, “The Crossboundary Energy Partnership” (Washington, D.C.: USAID, September 22, 2016), https://www.usaid.gov/documents/1865/crossboundary-energy-partnership.","noteIndex":17},"citationItems":[{"id":2762,"uris":["http://zotero.org/users/2818427/items/WEQI2NCJ"],"uri":["http://zotero.org/users/2818427/items/WEQI2NCJ"],"itemData":{"id":2762,"type":"report","title":"The Crossboundary Energy Partnership","publisher":"USAID","publisher-place":"Washington, D.C.","event-place":"Washington, D.C.","abstract":"African businesses typically cannot rely on national power grids, and instead generate their own power using diesel fuel. Although diesel is an expensive and polluting option, most small businesses cannot finance the conversion to renewable energy.","URL":"https://www.usaid.gov/documents/1865/crossboundary-energy-partnership","language":"en","author":[{"literal":"U.S. Agency for International Development"}],"issued":{"date-parts":[["2016",9,22]]},"accessed":{"date-parts":[["2018",11,28]]}}}],"schema":"https://github.com/citation-style-language/schema/raw/master/csl-citation.json"} </w:instrText>
      </w:r>
      <w:r>
        <w:fldChar w:fldCharType="separate"/>
      </w:r>
      <w:r>
        <w:rPr>
          <w:rFonts w:cs="Calibri"/>
        </w:rPr>
        <w:t xml:space="preserve">U.S. Agency for International Development, </w:t>
      </w:r>
      <w:r>
        <w:rPr>
          <w:rFonts w:cs="Calibri"/>
          <w:i/>
        </w:rPr>
        <w:t>The Crossboundary Energy Partnership</w:t>
      </w:r>
      <w:r>
        <w:rPr>
          <w:rFonts w:cs="Calibri"/>
        </w:rPr>
        <w:t xml:space="preserve">, 22 September 2016. </w:t>
      </w:r>
      <w:r>
        <w:fldChar w:fldCharType="end"/>
      </w:r>
    </w:p>
  </w:footnote>
  <w:footnote w:id="19">
    <w:p w14:paraId="1BCEA84A" w14:textId="5254EBCF" w:rsidR="00E82131" w:rsidRDefault="00E82131" w:rsidP="00F16A17">
      <w:pPr>
        <w:pStyle w:val="FootnoteText"/>
        <w:rPr>
          <w:lang w:val="en-US"/>
        </w:rPr>
      </w:pPr>
      <w:r>
        <w:rPr>
          <w:rStyle w:val="FootnoteReference"/>
        </w:rPr>
        <w:footnoteRef/>
      </w:r>
      <w:r>
        <w:t xml:space="preserve"> </w:t>
      </w:r>
      <w:r>
        <w:fldChar w:fldCharType="begin"/>
      </w:r>
      <w:r>
        <w:instrText xml:space="preserve"> ADDIN ZOTERO_ITEM CSL_CITATION {"citationID":"mwr43eFk","properties":{"formattedCitation":"Inter-American Development Bank and Clean Technology Fund, \\uc0\\u8220{}Geothermal Financing And Risk Transfer Program,\\uc0\\u8221{} IDB, July 2018, https://www.iadb.org/en/node/1867.","plainCitation":"Inter-American Development Bank and Clean Technology Fund, “Geothermal Financing And Risk Transfer Program,” IDB, July 2018, https://www.iadb.org/en/node/1867.","noteIndex":19},"citationItems":[{"id":2765,"uris":["http://zotero.org/users/2818427/items/S3KNNHPB"],"uri":["http://zotero.org/users/2818427/items/S3KNNHPB"],"itemData":{"id":2765,"type":"webpage","title":"Geothermal Financing And Risk Transfer Program","genre":"IDB","URL":"https://www.iadb.org/en/node/1867","author":[{"literal":"Inter-American Development Bank"},{"literal":"Clean Technology Fund"}],"issued":{"date-parts":[["2018",7]]},"accessed":{"date-parts":[["2018",11,28]]}}}],"schema":"https://github.com/citation-style-language/schema/raw/master/csl-citation.json"} </w:instrText>
      </w:r>
      <w:r>
        <w:fldChar w:fldCharType="separate"/>
      </w:r>
      <w:bookmarkStart w:id="22" w:name="_Hlk536198260"/>
      <w:r>
        <w:rPr>
          <w:rFonts w:cs="Calibri"/>
        </w:rPr>
        <w:t>Inter-American Development Bank</w:t>
      </w:r>
      <w:bookmarkEnd w:id="22"/>
      <w:r>
        <w:rPr>
          <w:rFonts w:cs="Calibri"/>
        </w:rPr>
        <w:t xml:space="preserve"> and Clean Technology Fund, 'Geothermal Financing And Risk Transfer Program,' </w:t>
      </w:r>
      <w:r w:rsidRPr="00B71F56">
        <w:rPr>
          <w:rFonts w:cs="Calibri"/>
          <w:i/>
        </w:rPr>
        <w:t>Inter-American Development Bank</w:t>
      </w:r>
      <w:r>
        <w:rPr>
          <w:rFonts w:cs="Calibri"/>
        </w:rPr>
        <w:t>, July 2018. https://www.iadb.org/en/node/1867</w:t>
      </w:r>
      <w:r>
        <w:fldChar w:fldCharType="end"/>
      </w:r>
      <w:r>
        <w:t xml:space="preserve">  </w:t>
      </w:r>
    </w:p>
  </w:footnote>
  <w:footnote w:id="20">
    <w:p w14:paraId="621AE5FD" w14:textId="77777777" w:rsidR="00E82131" w:rsidRDefault="00E82131" w:rsidP="00F16A17">
      <w:pPr>
        <w:pStyle w:val="FootnoteText"/>
        <w:rPr>
          <w:lang w:val="en-US"/>
        </w:rPr>
      </w:pPr>
      <w:r>
        <w:rPr>
          <w:rStyle w:val="FootnoteReference"/>
        </w:rPr>
        <w:footnoteRef/>
      </w:r>
      <w:r>
        <w:t xml:space="preserve"> </w:t>
      </w:r>
      <w:r>
        <w:fldChar w:fldCharType="begin"/>
      </w:r>
      <w:r>
        <w:instrText xml:space="preserve"> ADDIN ZOTERO_ITEM CSL_CITATION {"citationID":"HL8Pub5B","properties":{"formattedCitation":"Asian Development Bank and Clean Technology Fund, \\uc0\\u8220{}ADB Mezzanine Finance for Climate Change,\\uc0\\u8221{} accessed November 28, 2018, http://pubdocs.worldbank.org/en/738131531492864948/1804-PCTFDP602A-Regional-Cover-Page-and-Project-Documents.pdf.","plainCitation":"Asian Development Bank and Clean Technology Fund, “ADB Mezzanine Finance for Climate Change,” accessed November 28, 2018, http://pubdocs.worldbank.org/en/738131531492864948/1804-PCTFDP602A-Regional-Cover-Page-and-Project-Documents.pdf.","noteIndex":21},"citationItems":[{"id":2766,"uris":["http://zotero.org/users/2818427/items/JETACWC5"],"uri":["http://zotero.org/users/2818427/items/JETACWC5"],"itemData":{"id":2766,"type":"article","title":"ADB Mezzanine Finance for Climate Change","URL":"http://pubdocs.worldbank.org/en/738131531492864948/1804-PCTFDP602A-Regional-Cover-Page-and-Project-Documents.pdf","author":[{"literal":"Asian Development Bank"},{"literal":"Clean Technology Fund"}],"accessed":{"date-parts":[["2018",11,28]]}}}],"schema":"https://github.com/citation-style-language/schema/raw/master/csl-citation.json"} </w:instrText>
      </w:r>
      <w:r>
        <w:fldChar w:fldCharType="separate"/>
      </w:r>
      <w:r>
        <w:rPr>
          <w:rFonts w:cs="Calibri"/>
        </w:rPr>
        <w:t xml:space="preserve">Asian Development Bank and Clean Technology Fund, </w:t>
      </w:r>
      <w:r>
        <w:rPr>
          <w:rFonts w:cs="Calibri"/>
          <w:i/>
        </w:rPr>
        <w:t>ADB Mezzanine Finance for Climate Change</w:t>
      </w:r>
      <w:r>
        <w:rPr>
          <w:rFonts w:cs="Calibri"/>
        </w:rPr>
        <w:t xml:space="preserve">, 28 November 2018. </w:t>
      </w:r>
      <w:r>
        <w:fldChar w:fldCharType="end"/>
      </w:r>
    </w:p>
  </w:footnote>
  <w:footnote w:id="21">
    <w:p w14:paraId="3CF60336" w14:textId="5537731B" w:rsidR="00E82131" w:rsidRDefault="00E82131" w:rsidP="00F16A17">
      <w:pPr>
        <w:spacing w:line="240" w:lineRule="auto"/>
        <w:rPr>
          <w:sz w:val="20"/>
          <w:szCs w:val="20"/>
        </w:rPr>
      </w:pPr>
      <w:r>
        <w:rPr>
          <w:rStyle w:val="FootnoteReference"/>
          <w:sz w:val="20"/>
          <w:szCs w:val="20"/>
        </w:rPr>
        <w:footnoteRef/>
      </w:r>
      <w:r>
        <w:rPr>
          <w:sz w:val="20"/>
          <w:szCs w:val="20"/>
        </w:rPr>
        <w:t xml:space="preserve"> The precise figure is 44%, according to a 2016 survey by the OECD of 35 major institutions providing development finance, surveying private finance mobilised by five instruments: guarantees, syndicated loans, shares in collective investment vehicles, credit lines and direct investment.  </w:t>
      </w:r>
    </w:p>
  </w:footnote>
  <w:footnote w:id="22">
    <w:p w14:paraId="44E60276" w14:textId="77777777" w:rsidR="00E82131" w:rsidRDefault="00E82131" w:rsidP="00F16A17">
      <w:pPr>
        <w:pStyle w:val="NoSpacing"/>
        <w:rPr>
          <w:sz w:val="20"/>
          <w:szCs w:val="20"/>
          <w:lang w:val="en-US"/>
        </w:rPr>
      </w:pPr>
      <w:r>
        <w:rPr>
          <w:rStyle w:val="FootnoteReference"/>
          <w:sz w:val="20"/>
          <w:szCs w:val="20"/>
        </w:rPr>
        <w:footnoteRef/>
      </w:r>
      <w:r>
        <w:rPr>
          <w:sz w:val="20"/>
          <w:szCs w:val="20"/>
          <w:lang w:val="en-US"/>
        </w:rPr>
        <w:t xml:space="preserve"> Convergence Database. </w:t>
      </w:r>
      <w:hyperlink r:id="rId3" w:history="1">
        <w:r>
          <w:rPr>
            <w:rStyle w:val="Hyperlink"/>
            <w:sz w:val="20"/>
            <w:szCs w:val="20"/>
            <w:lang w:val="en-US"/>
          </w:rPr>
          <w:t>https://convergence.finance</w:t>
        </w:r>
      </w:hyperlink>
      <w:r>
        <w:rPr>
          <w:sz w:val="20"/>
          <w:szCs w:val="20"/>
          <w:lang w:val="en-US"/>
        </w:rPr>
        <w:t xml:space="preserve"> </w:t>
      </w:r>
    </w:p>
  </w:footnote>
  <w:footnote w:id="23">
    <w:p w14:paraId="46F94C86" w14:textId="77777777" w:rsidR="00E82131" w:rsidRDefault="00E82131" w:rsidP="00F16A17">
      <w:pPr>
        <w:pStyle w:val="NoSpacing"/>
        <w:rPr>
          <w:sz w:val="20"/>
          <w:szCs w:val="20"/>
          <w:lang w:val="en-US"/>
        </w:rPr>
      </w:pPr>
      <w:r>
        <w:rPr>
          <w:rStyle w:val="FootnoteReference"/>
          <w:sz w:val="20"/>
          <w:szCs w:val="20"/>
        </w:rPr>
        <w:footnoteRef/>
      </w:r>
      <w:r>
        <w:rPr>
          <w:sz w:val="20"/>
          <w:szCs w:val="20"/>
          <w:lang w:val="en-US"/>
        </w:rPr>
        <w:t xml:space="preserve"> </w:t>
      </w:r>
      <w:r>
        <w:rPr>
          <w:sz w:val="20"/>
          <w:szCs w:val="20"/>
        </w:rPr>
        <w:fldChar w:fldCharType="begin"/>
      </w:r>
      <w:r>
        <w:rPr>
          <w:sz w:val="20"/>
          <w:szCs w:val="20"/>
          <w:lang w:val="en-US"/>
        </w:rPr>
        <w:instrText xml:space="preserve"> ADDIN ZOTERO_ITEM CSL_CITATION {"citationID":"vkFqIRUG","properties":{"formattedCitation":"Pablo Pereira Dos Santos and Matthew C. Kearney, \\uc0\\u8220{}Multilateral Development Banks\\uc0\\u8217{} Risk Mitigation Instruments for Infrastructure Investment,\\uc0\\u8221{} Technical Notes (Inter-American Development Bank, February 27, 2018), https://doi.org/10.18235/0001008.","plainCitation":"Pablo Pereira Dos Santos and Matthew C. Kearney, “Multilateral Development Banks’ Risk Mitigation Instruments for Infrastructure Investment,” Technical Notes (Inter-American Development Bank, February 27, 2018), https://doi.org/10.18235/0001008.","noteIndex":27},"citationItems":[{"id":2846,"uris":["http://zotero.org/users/2818427/items/IQI339M4"],"uri":["http://zotero.org/users/2818427/items/IQI339M4"],"itemData":{"id":2846,"type":"report","title":"Multilateral Development Banks’ Risk Mitigation Instruments for Infrastructure Investment","publisher":"Inter-American Development Bank","genre":"Technical Notes","source":"publications.iadb.org","abstract":"Risk mitigation instruments such as guarantees are attractive options for achieving the United Nations Sustainable Development Goals because they provide a way for multilateral development banks (MDBs) to strategically de-risk investments while crowding in private financial resources. However, despite the potential attractiveness of these instruments and their effectiveness in mobilizing private resources, their use has been relatively limited. According to private estimates, guarantees represent only 5 percent of MDB operations, although they account for 45 percent of total private resource mobilization. This paper considers supply and demand determinants of MDBs’ current guarantee products, addresses the requirements of private sector investors, and identifies ways to close the gaps between private sector needs and the ability of MDBs to scale up risk mitigation mechanisms. The main conclusion from this analysis is that MDBs’ business models impose significant limitations on the further use of guarantees. A possible alternative to overcome these limitations is the creation of specialized entities or off-balance-sheet facilities, learning from the experience of the Multilateral Investment Guarantee Agency.","URL":"https://publications.iadb.org/handle/11319/8783","note":"DOI: 10.18235/0001008","language":"English","author":[{"family":"Pereira Dos Santos","given":"Pablo"},{"family":"Kearney","given":"Matthew C."}],"issued":{"date-parts":[["2018",2,27]]},"accessed":{"date-parts":[["2018",11,30]]}}}],"schema":"https://github.com/citation-style-language/schema/raw/master/csl-citation.json"} </w:instrText>
      </w:r>
      <w:r>
        <w:rPr>
          <w:sz w:val="20"/>
          <w:szCs w:val="20"/>
        </w:rPr>
        <w:fldChar w:fldCharType="separate"/>
      </w:r>
      <w:r>
        <w:rPr>
          <w:rFonts w:cs="Calibri"/>
          <w:sz w:val="20"/>
        </w:rPr>
        <w:t xml:space="preserve">Pablo Pereira Dos Santos and Matthew C. Kearney, </w:t>
      </w:r>
      <w:r>
        <w:rPr>
          <w:rFonts w:cs="Calibri"/>
          <w:i/>
          <w:sz w:val="20"/>
        </w:rPr>
        <w:t>Multilateral Development Banks’ Risk Mitigation Instruments for Infrastructure Investment</w:t>
      </w:r>
      <w:r>
        <w:rPr>
          <w:rFonts w:cs="Calibri"/>
          <w:sz w:val="20"/>
        </w:rPr>
        <w:t xml:space="preserve">, 27 February 2018. </w:t>
      </w:r>
      <w:r>
        <w:rPr>
          <w:sz w:val="20"/>
          <w:szCs w:val="20"/>
        </w:rPr>
        <w:fldChar w:fldCharType="end"/>
      </w:r>
    </w:p>
  </w:footnote>
  <w:footnote w:id="24">
    <w:p w14:paraId="64F97A7B" w14:textId="77777777" w:rsidR="00E82131" w:rsidRDefault="00E82131" w:rsidP="00F16A17">
      <w:pPr>
        <w:pStyle w:val="FootnoteText"/>
        <w:rPr>
          <w:lang w:val="en-US"/>
        </w:rPr>
      </w:pPr>
      <w:r>
        <w:rPr>
          <w:rStyle w:val="FootnoteReference"/>
        </w:rPr>
        <w:footnoteRef/>
      </w:r>
      <w:r>
        <w:t xml:space="preserve"> </w:t>
      </w:r>
      <w:r>
        <w:fldChar w:fldCharType="begin"/>
      </w:r>
      <w:r>
        <w:instrText xml:space="preserve"> ADDIN ZOTERO_ITEM CSL_CITATION {"citationID":"AdW7Otep","properties":{"formattedCitation":"Chris Humphrey and Annalisa Prizzon, \\uc0\\u8220{}Guarantees for Development: A Review of Multilateral Development Bank Operations,\\uc0\\u8221{} Shaping Policy for Development (London: ODI, December 2014), https://www.odi.org/sites/odi.org.uk/files/odi-assets/publications-opinion-files/9398.pdf; Nancy Lee, \\uc0\\u8220{}Billions to Trillions? Issues on the Role of Development Banks in Mobilizing Private Finance\\uc0\\u8221{} (Washington, D.C.: Center For Global Development, November 17, 2017), https://www.cgdev.org/publication/billions-trillions-issues-role-development-banks-mobilizing-private-finance.","plainCitation":"Chris Humphrey and Annalisa Prizzon, “Guarantees for Development: A Review of Multilateral Development Bank Operations,” Shaping Policy for Development (London: ODI, December 2014), https://www.odi.org/sites/odi.org.uk/files/odi-assets/publications-opinion-files/9398.pdf; Nancy Lee, “Billions to Trillions? Issues on the Role of Development Banks in Mobilizing Private Finance” (Washington, D.C.: Center For Global Development, November 17, 2017), https://www.cgdev.org/publication/billions-trillions-issues-role-development-banks-mobilizing-private-finance.","noteIndex":28},"citationItems":[{"id":2756,"uris":["http://zotero.org/users/2818427/items/78G5T9MS"],"uri":["http://zotero.org/users/2818427/items/78G5T9MS"],"itemData":{"id":2756,"type":"report","title":"Guarantees for Development: A review of multilateral development bank operations","collection-title":"Shaping Policy for Development","publisher":"ODI","publisher-place":"London","event-place":"London","URL":"https://www.odi.org/sites/odi.org.uk/files/odi-assets/publications-opinion-files/9398.pdf","author":[{"family":"Humphrey","given":"Chris"},{"family":"Prizzon","given":"Annalisa"}],"issued":{"date-parts":[["2014",12]]},"accessed":{"date-parts":[["2018",11,28]]}}},{"id":2744,"uris":["http://zotero.org/users/2818427/items/QHZQBF5V"],"uri":["http://zotero.org/users/2818427/items/QHZQBF5V"],"itemData":{"id":2744,"type":"report","title":"Billions to Trillions? Issues on the Role of Development Banks in Mobilizing Private Finance","publisher":"Center For Global Development","publisher-place":"Washington, D.C.","event-place":"Washington, D.C.","abstract":"It is time to take a fresh look at the PSWs and to ask some basic questions about their role and instruments. The aim of this essay is to raise issues that need to be addressed as we think about how PSWs should evolve and adapt to meet the formidable challenges ahead. These questions and the answers gained through careful research can help chart the right course and set the right expectations for MDB PSWs, DFIs, and impact investors generally.","URL":"https://www.cgdev.org/publication/billions-trillions-issues-role-development-banks-mobilizing-private-finance","shortTitle":"Billions to Trillions?","language":"en","author":[{"family":"Lee","given":"Nancy"}],"issued":{"date-parts":[["2017",11,17]]},"accessed":{"date-parts":[["2018",11,12]]}}}],"schema":"https://github.com/citation-style-language/schema/raw/master/csl-citation.json"} </w:instrText>
      </w:r>
      <w:r>
        <w:fldChar w:fldCharType="separate"/>
      </w:r>
      <w:r>
        <w:rPr>
          <w:rFonts w:cs="Calibri"/>
        </w:rPr>
        <w:t xml:space="preserve">Chris Humphrey and Annalisa Prizzon, </w:t>
      </w:r>
      <w:r>
        <w:rPr>
          <w:rFonts w:cs="Calibri"/>
          <w:i/>
        </w:rPr>
        <w:t xml:space="preserve">Guarantees for Development: A Review of Multilateral Development Bank Operations, </w:t>
      </w:r>
      <w:r>
        <w:rPr>
          <w:rFonts w:cs="Calibri"/>
        </w:rPr>
        <w:t xml:space="preserve">2014; Nancy Lee, </w:t>
      </w:r>
      <w:r>
        <w:rPr>
          <w:rFonts w:cs="Calibri"/>
          <w:i/>
        </w:rPr>
        <w:t>Billions to Trillions? Issues on the Role of Development Banks in Mobilizing Private Finance,</w:t>
      </w:r>
      <w:r>
        <w:rPr>
          <w:rFonts w:cs="Calibri"/>
        </w:rPr>
        <w:t xml:space="preserve"> 17 November 2017</w:t>
      </w:r>
      <w:r>
        <w:fldChar w:fldCharType="end"/>
      </w:r>
      <w:r>
        <w:t>.</w:t>
      </w:r>
    </w:p>
  </w:footnote>
  <w:footnote w:id="25">
    <w:p w14:paraId="51DCBDAA" w14:textId="77777777" w:rsidR="00E82131" w:rsidRDefault="00E82131" w:rsidP="00F16A17">
      <w:pPr>
        <w:pStyle w:val="FootnoteText"/>
        <w:rPr>
          <w:lang w:val="en-US"/>
        </w:rPr>
      </w:pPr>
      <w:r>
        <w:rPr>
          <w:rStyle w:val="FootnoteReference"/>
        </w:rPr>
        <w:footnoteRef/>
      </w:r>
      <w:r>
        <w:t xml:space="preserve"> </w:t>
      </w:r>
      <w:r>
        <w:fldChar w:fldCharType="begin"/>
      </w:r>
      <w:r>
        <w:rPr>
          <w:lang w:val="en-US"/>
        </w:rPr>
        <w:instrText xml:space="preserve"> ADDIN ZOTERO_ITEM CSL_CITATION {"citationID":"vkFqIRUG","properties":{"formattedCitation":"Pablo Pereira Dos Santos and Matthew C. Kearney, \\uc0\\u8220{}Multilateral Development Banks\\uc0\\u8217{} Risk Mitigation Instruments for Infrastructure Investment,\\uc0\\u8221{} Technical Notes (Inter-American Development Bank, February 27, 2018), https://doi.org/10.18235/0001008.","plainCitation":"Pablo Pereira Dos Santos and Matthew C. Kearney, “Multilateral Development Banks’ Risk Mitigation Instruments for Infrastructure Investment,” Technical Notes (Inter-American Development Bank, February 27, 2018), https://doi.org/10.18235/0001008.","noteIndex":27},"citationItems":[{"id":2846,"uris":["http://zotero.org/users/2818427/items/IQI339M4"],"uri":["http://zotero.org/users/2818427/items/IQI339M4"],"itemData":{"id":2846,"type":"report","title":"Multilateral Development Banks’ Risk Mitigation Instruments for Infrastructure Investment","publisher":"Inter-American Development Bank","genre":"Technical Notes","source":"publications.iadb.org","abstract":"Risk mitigation instruments such as guarantees are attractive options for achieving the United Nations Sustainable Development Goals because they provide a way for multilateral development banks (MDBs) to strategically de-risk investments while crowding in private financial resources. However, despite the potential attractiveness of these instruments and their effectiveness in mobilizing private resources, their use has been relatively limited. According to private estimates, guarantees represent only 5 percent of MDB operations, although they account for 45 percent of total private resource mobilization. This paper considers supply and demand determinants of MDBs’ current guarantee products, addresses the requirements of private sector investors, and identifies ways to close the gaps between private sector needs and the ability of MDBs to scale up risk mitigation mechanisms. The main conclusion from this analysis is that MDBs’ business models impose significant limitations on the further use of guarantees. A possible alternative to overcome these limitations is the creation of specialized entities or off-balance-sheet facilities, learning from the experience of the Multilateral Investment Guarantee Agency.","URL":"https://publications.iadb.org/handle/11319/8783","note":"DOI: 10.18235/0001008","language":"English","author":[{"family":"Pereira Dos Santos","given":"Pablo"},{"family":"Kearney","given":"Matthew C."}],"issued":{"date-parts":[["2018",2,27]]},"accessed":{"date-parts":[["2018",11,30]]}}}],"schema":"https://github.com/citation-style-language/schema/raw/master/csl-citation.json"} </w:instrText>
      </w:r>
      <w:r>
        <w:fldChar w:fldCharType="separate"/>
      </w:r>
      <w:r>
        <w:rPr>
          <w:rFonts w:cs="Calibri"/>
        </w:rPr>
        <w:t xml:space="preserve">Pablo Pereira Dos Santos and Matthew C. Kearney, </w:t>
      </w:r>
      <w:r>
        <w:rPr>
          <w:rFonts w:cs="Calibri"/>
          <w:i/>
        </w:rPr>
        <w:t>Multilateral Development Banks’ Risk Mitigation Instruments for Infrastructure Investment</w:t>
      </w:r>
      <w:r>
        <w:rPr>
          <w:rFonts w:cs="Calibri"/>
        </w:rPr>
        <w:t xml:space="preserve">, 27 February 2018. </w:t>
      </w:r>
      <w:r>
        <w:fldChar w:fldCharType="end"/>
      </w:r>
    </w:p>
  </w:footnote>
  <w:footnote w:id="26">
    <w:p w14:paraId="1C64FBB3" w14:textId="77777777" w:rsidR="00E82131" w:rsidRDefault="00E82131" w:rsidP="00F16A17">
      <w:pPr>
        <w:pStyle w:val="FootnoteText"/>
        <w:rPr>
          <w:lang w:val="en-US"/>
        </w:rPr>
      </w:pPr>
      <w:r>
        <w:rPr>
          <w:rStyle w:val="FootnoteReference"/>
        </w:rPr>
        <w:footnoteRef/>
      </w:r>
      <w:r>
        <w:t xml:space="preserve"> UN Capital Development Fund et al., </w:t>
      </w:r>
      <w:r>
        <w:rPr>
          <w:i/>
        </w:rPr>
        <w:t xml:space="preserve">Blended Finance in the Least Developed Countries, </w:t>
      </w:r>
      <w:r>
        <w:t>2018.</w:t>
      </w:r>
      <w:r>
        <w:fldChar w:fldCharType="begin"/>
      </w:r>
      <w:r>
        <w:instrText xml:space="preserve"> ADDIN ZOTERO_ITEM CSL_CITATION {"citationID":"gXlXvkDq","properties":{"formattedCitation":"UN Capital Development Fund et al., \\uc0\\u8220{}Blended Finance in the Least Developed Countries\\uc0\\u8221{} (New York: UNCDF, November 5, 2018), https://www.convergence.finance/knowledge/53itVFMaSAogCwykaGaq22/view.","plainCitation":"","noteIndex":31},"citationItems":[{"id":2788,"uris":["http://zotero.org/users/2818427/items/D2VPA3B5"],"uri":["http://zotero.org/users/2818427/items/D2VPA3B5"],"itemData":{"id":2788,"type":"report","title":"Blended Finance in the Least Developed Countries","publisher":"UNCDF","publisher-place":"New York","page":"117","event-place":"New York","URL":"https://www.convergence.finance/knowledge/53itVFMaSAogCwykaGaq22/view","author":[{"literal":"UN Capital Development Fund"},{"literal":"Convergence"},{"literal":"Southern Voice"},{"literal":"UN Foundation"}],"issued":{"date-parts":[["2018",11,5]]},"accessed":{"date-parts":[["2018",11,28]]}}}],"schema":"https://github.com/citation-style-language/schema/raw/master/csl-citation.json"} </w:instrText>
      </w:r>
      <w:r>
        <w:fldChar w:fldCharType="end"/>
      </w:r>
    </w:p>
  </w:footnote>
  <w:footnote w:id="27">
    <w:p w14:paraId="6918CCCE" w14:textId="77777777" w:rsidR="00E82131" w:rsidRDefault="00E82131" w:rsidP="00F16A17">
      <w:pPr>
        <w:pStyle w:val="FootnoteText"/>
        <w:rPr>
          <w:lang w:val="en-US"/>
        </w:rPr>
      </w:pPr>
      <w:r>
        <w:rPr>
          <w:rStyle w:val="FootnoteReference"/>
        </w:rPr>
        <w:footnoteRef/>
      </w:r>
      <w:r>
        <w:t xml:space="preserve"> </w:t>
      </w:r>
      <w:r>
        <w:rPr>
          <w:lang w:val="en-US"/>
        </w:rPr>
        <w:t xml:space="preserve">For example, see the Global Concessional Financing Facility, that offers concessional financing to Middle Income Countries that are affected by the refugee crises; the facility uses grants to buy down the interest rate of IBRD lending </w:t>
      </w:r>
      <w:proofErr w:type="gramStart"/>
      <w:r>
        <w:rPr>
          <w:lang w:val="en-US"/>
        </w:rPr>
        <w:t>so as to</w:t>
      </w:r>
      <w:proofErr w:type="gramEnd"/>
      <w:r>
        <w:rPr>
          <w:lang w:val="en-US"/>
        </w:rPr>
        <w:t xml:space="preserve"> increase host country’s capacity to serve the needs of refugee populations. While this facility does not currently have active projects in the Indo Pacific region, it provides an example of how grants could be used to augment the deployment of NGF in the region. </w:t>
      </w:r>
    </w:p>
  </w:footnote>
  <w:footnote w:id="28">
    <w:p w14:paraId="7775DF50" w14:textId="77777777" w:rsidR="00E82131" w:rsidRDefault="00E82131" w:rsidP="00F16A17">
      <w:pPr>
        <w:pStyle w:val="FootnoteText"/>
        <w:rPr>
          <w:lang w:val="en-US"/>
        </w:rPr>
      </w:pPr>
      <w:r>
        <w:rPr>
          <w:rStyle w:val="FootnoteReference"/>
        </w:rPr>
        <w:footnoteRef/>
      </w:r>
      <w:r>
        <w:t xml:space="preserve"> </w:t>
      </w:r>
      <w:r>
        <w:rPr>
          <w:lang w:val="en-US"/>
        </w:rPr>
        <w:t>For example, see the ADB Regional Health Fund, which includes a USD 150 million grant funding facility that the ADB will use to increase government demand for a blend of loan and grant financing to address critical gaps in domestic financing for health systems</w:t>
      </w:r>
    </w:p>
  </w:footnote>
  <w:footnote w:id="29">
    <w:p w14:paraId="0004F029" w14:textId="77777777" w:rsidR="00E82131" w:rsidRDefault="00E82131" w:rsidP="00F16A17">
      <w:pPr>
        <w:pStyle w:val="FootnoteText"/>
        <w:rPr>
          <w:lang w:val="en-US"/>
        </w:rPr>
      </w:pPr>
      <w:r>
        <w:rPr>
          <w:rStyle w:val="FootnoteReference"/>
        </w:rPr>
        <w:footnoteRef/>
      </w:r>
      <w:r>
        <w:t xml:space="preserve"> </w:t>
      </w:r>
      <w:r>
        <w:rPr>
          <w:lang w:val="en-US"/>
        </w:rPr>
        <w:t xml:space="preserve">Such a facility could offer a similar suite of instruments as the IFC-MIGA Blended Finance Facility (BFF): </w:t>
      </w:r>
      <w:hyperlink r:id="rId4" w:history="1">
        <w:r>
          <w:rPr>
            <w:rStyle w:val="Hyperlink"/>
            <w:lang w:val="en-US"/>
          </w:rPr>
          <w:t>https://ida.worldbank.org/financing/replenishments/ida18-replenishment/ida18-private-sector-window/blended-finance-facility-bff</w:t>
        </w:r>
      </w:hyperlink>
      <w:r>
        <w:rPr>
          <w:lang w:val="en-US"/>
        </w:rPr>
        <w:t xml:space="preserve"> </w:t>
      </w:r>
    </w:p>
  </w:footnote>
  <w:footnote w:id="30">
    <w:p w14:paraId="587DFE2E" w14:textId="72912312" w:rsidR="00E82131" w:rsidRDefault="00E82131" w:rsidP="00F16A17">
      <w:pPr>
        <w:pStyle w:val="FootnoteText"/>
        <w:rPr>
          <w:sz w:val="18"/>
          <w:szCs w:val="18"/>
          <w:lang w:val="en-US"/>
        </w:rPr>
      </w:pPr>
      <w:r>
        <w:rPr>
          <w:rStyle w:val="FootnoteReference"/>
        </w:rPr>
        <w:footnoteRef/>
      </w:r>
      <w:r>
        <w:t xml:space="preserve"> For instance, the Australian Parliament has commented as follows on the World Bank: “</w:t>
      </w:r>
      <w:r>
        <w:rPr>
          <w:lang w:val="en-US"/>
        </w:rPr>
        <w:t xml:space="preserve">on all major issues Australia has had to work within the parameters set by the major developed countries, notably the USA, Japan, Canada and the West Europeans.” Increasingly, China is also gaining major influence in these organizations. See: </w:t>
      </w:r>
      <w:r>
        <w:rPr>
          <w:lang w:val="en-US"/>
        </w:rPr>
        <w:fldChar w:fldCharType="begin"/>
      </w:r>
      <w:r>
        <w:rPr>
          <w:lang w:val="en-US"/>
        </w:rPr>
        <w:instrText xml:space="preserve"> ADDIN ZOTERO_ITEM CSL_CITATION {"citationID":"wnYqRWla","properties":{"formattedCitation":"Australian Parliamentary Research Service, \\uc0\\u8220{}A Critical Analysis of the World Bank\\uc0\\u8221{} (Canberra: Parliament of the Commonwealth of Australia, 1994), https://www.aph.gov.au/binaries/library/pubs/rp/1994-95/95rp15.pdf.","plainCitation":"Australian Parliamentary Research Service, “A Critical Analysis of the World Bank” (Canberra: Parliament of the Commonwealth of Australia, 1994), https://www.aph.gov.au/binaries/library/pubs/rp/1994-95/95rp15.pdf.","noteIndex":35},"citationItems":[{"id":2789,"uris":["http://zotero.org/users/2818427/items/MEAFWJBF"],"uri":["http://zotero.org/users/2818427/items/MEAFWJBF"],"itemData":{"id":2789,"type":"report","title":"A Critical Analysis of the World Bank","publisher":"Parliament of the Commonwealth of Australia","publisher-place":"Canberra","page":"56","event-place":"Canberra","URL":"https://www.aph.gov.au/binaries/library/pubs/rp/1994-95/95rp15.pdf","number":"15","language":"English","author":[{"literal":"Australian Parliamentary Research Service"}],"issued":{"date-parts":[["1994"]]},"accessed":{"date-parts":[["2018",11,29]]}}}],"schema":"https://github.com/citation-style-language/schema/raw/master/csl-citation.json"} </w:instrText>
      </w:r>
      <w:r>
        <w:rPr>
          <w:lang w:val="en-US"/>
        </w:rPr>
        <w:fldChar w:fldCharType="separate"/>
      </w:r>
      <w:r>
        <w:rPr>
          <w:rFonts w:cs="Calibri"/>
        </w:rPr>
        <w:t xml:space="preserve">Australian Parliamentary Research Service, </w:t>
      </w:r>
      <w:r>
        <w:rPr>
          <w:rFonts w:cs="Calibri"/>
          <w:i/>
        </w:rPr>
        <w:t xml:space="preserve">A Critical Analysis of the World Bank, </w:t>
      </w:r>
      <w:r>
        <w:rPr>
          <w:rFonts w:cs="Calibri"/>
        </w:rPr>
        <w:t xml:space="preserve">1994. </w:t>
      </w:r>
      <w:r>
        <w:rPr>
          <w:lang w:val="en-US"/>
        </w:rPr>
        <w:fldChar w:fldCharType="end"/>
      </w:r>
      <w:r>
        <w:rPr>
          <w:lang w:val="en-US"/>
        </w:rPr>
        <w:t xml:space="preserve"> </w:t>
      </w:r>
    </w:p>
  </w:footnote>
  <w:footnote w:id="31">
    <w:p w14:paraId="748D07C5" w14:textId="77777777" w:rsidR="00E82131" w:rsidRDefault="00E82131" w:rsidP="00F16A17">
      <w:pPr>
        <w:pStyle w:val="FootnoteText"/>
        <w:rPr>
          <w:lang w:val="en-US"/>
        </w:rPr>
      </w:pPr>
      <w:r>
        <w:rPr>
          <w:rStyle w:val="FootnoteReference"/>
        </w:rPr>
        <w:footnoteRef/>
      </w:r>
      <w:r>
        <w:t xml:space="preserve"> </w:t>
      </w:r>
      <w:r>
        <w:rPr>
          <w:lang w:val="en-US"/>
        </w:rPr>
        <w:t xml:space="preserve">Since China publishes no data on its development finance, this analysis was conducted using crowd-sourced, unofficial data compiled by </w:t>
      </w:r>
      <w:proofErr w:type="spellStart"/>
      <w:r>
        <w:rPr>
          <w:lang w:val="en-US"/>
        </w:rPr>
        <w:t>AidData</w:t>
      </w:r>
      <w:proofErr w:type="spellEnd"/>
      <w:r>
        <w:rPr>
          <w:lang w:val="en-US"/>
        </w:rPr>
        <w:t xml:space="preserve">, available here: </w:t>
      </w:r>
      <w:hyperlink r:id="rId5" w:history="1">
        <w:r>
          <w:rPr>
            <w:rStyle w:val="Hyperlink"/>
            <w:lang w:val="en-US"/>
          </w:rPr>
          <w:t>https://www.aiddata.org/data/chinese-global-official-finance-dataset</w:t>
        </w:r>
      </w:hyperlink>
      <w:r>
        <w:rPr>
          <w:lang w:val="en-US"/>
        </w:rPr>
        <w:t>. Given the nature of the data, this analysis is intended as indicative rather than authoritative.</w:t>
      </w:r>
    </w:p>
  </w:footnote>
  <w:footnote w:id="32">
    <w:p w14:paraId="61700F32" w14:textId="77777777" w:rsidR="00E82131" w:rsidRDefault="00E82131" w:rsidP="00F16A17">
      <w:pPr>
        <w:pStyle w:val="FootnoteText"/>
        <w:rPr>
          <w:lang w:val="en-US"/>
        </w:rPr>
      </w:pPr>
      <w:r>
        <w:rPr>
          <w:rStyle w:val="FootnoteReference"/>
        </w:rPr>
        <w:footnoteRef/>
      </w:r>
      <w:r>
        <w:t xml:space="preserve"> </w:t>
      </w:r>
      <w:r>
        <w:rPr>
          <w:rFonts w:cs="Calibri"/>
        </w:rPr>
        <w:t xml:space="preserve">Nancy Lee, </w:t>
      </w:r>
      <w:r>
        <w:rPr>
          <w:rFonts w:cs="Calibri"/>
          <w:i/>
        </w:rPr>
        <w:t>Billions to Trillions? Issues on the Role of Development Banks in Mobilizing Private Finance,</w:t>
      </w:r>
      <w:r>
        <w:rPr>
          <w:rFonts w:cs="Calibri"/>
        </w:rPr>
        <w:t xml:space="preserve"> 17 November 2017.</w:t>
      </w:r>
    </w:p>
  </w:footnote>
  <w:footnote w:id="33">
    <w:p w14:paraId="2303CA1B" w14:textId="77777777" w:rsidR="00E82131" w:rsidRDefault="00E82131" w:rsidP="00F16A17">
      <w:pPr>
        <w:pStyle w:val="FootnoteText"/>
        <w:rPr>
          <w:lang w:val="en-US"/>
        </w:rPr>
      </w:pPr>
      <w:r>
        <w:rPr>
          <w:rStyle w:val="FootnoteReference"/>
        </w:rPr>
        <w:footnoteRef/>
      </w:r>
      <w:r>
        <w:t xml:space="preserve"> </w:t>
      </w:r>
      <w:r>
        <w:rPr>
          <w:rFonts w:cs="Calibri"/>
        </w:rPr>
        <w:t xml:space="preserve">Chris Humphrey and Annalisa </w:t>
      </w:r>
      <w:proofErr w:type="spellStart"/>
      <w:r>
        <w:rPr>
          <w:rFonts w:cs="Calibri"/>
        </w:rPr>
        <w:t>Prizzon</w:t>
      </w:r>
      <w:proofErr w:type="spellEnd"/>
      <w:r>
        <w:rPr>
          <w:rFonts w:cs="Calibri"/>
        </w:rPr>
        <w:t xml:space="preserve">, </w:t>
      </w:r>
      <w:r>
        <w:rPr>
          <w:rFonts w:cs="Calibri"/>
          <w:i/>
        </w:rPr>
        <w:t xml:space="preserve">Guarantees for Development: A Review of Multilateral Development Bank Operations, </w:t>
      </w:r>
      <w:r>
        <w:rPr>
          <w:rFonts w:cs="Calibri"/>
        </w:rPr>
        <w:t>2014.</w:t>
      </w:r>
    </w:p>
  </w:footnote>
  <w:footnote w:id="34">
    <w:p w14:paraId="636D3896" w14:textId="77777777" w:rsidR="00E82131" w:rsidRDefault="00E82131" w:rsidP="00F16A17">
      <w:pPr>
        <w:pStyle w:val="FootnoteText"/>
        <w:rPr>
          <w:sz w:val="18"/>
          <w:szCs w:val="18"/>
          <w:lang w:val="en-US"/>
        </w:rPr>
      </w:pPr>
      <w:r>
        <w:rPr>
          <w:rStyle w:val="FootnoteReference"/>
        </w:rPr>
        <w:footnoteRef/>
      </w:r>
      <w:r>
        <w:t xml:space="preserve"> Ibid.</w:t>
      </w:r>
    </w:p>
  </w:footnote>
  <w:footnote w:id="35">
    <w:p w14:paraId="7020B6F8" w14:textId="3DDC8A92" w:rsidR="00E82131" w:rsidRDefault="00E82131" w:rsidP="00F16A17">
      <w:pPr>
        <w:pStyle w:val="FootnoteText"/>
        <w:rPr>
          <w:lang w:val="en-US"/>
        </w:rPr>
      </w:pPr>
      <w:r>
        <w:rPr>
          <w:rStyle w:val="FootnoteReference"/>
        </w:rPr>
        <w:footnoteRef/>
      </w:r>
      <w:r>
        <w:t xml:space="preserve"> </w:t>
      </w:r>
      <w:r>
        <w:rPr>
          <w:lang w:val="en-US"/>
        </w:rPr>
        <w:t xml:space="preserve">For an example of how Japan </w:t>
      </w:r>
      <w:proofErr w:type="spellStart"/>
      <w:r>
        <w:rPr>
          <w:lang w:val="en-US"/>
        </w:rPr>
        <w:t>operationalises</w:t>
      </w:r>
      <w:proofErr w:type="spellEnd"/>
      <w:r>
        <w:rPr>
          <w:lang w:val="en-US"/>
        </w:rPr>
        <w:t xml:space="preserve"> this expertise, see: </w:t>
      </w:r>
      <w:r>
        <w:rPr>
          <w:lang w:val="en-US"/>
        </w:rPr>
        <w:fldChar w:fldCharType="begin"/>
      </w:r>
      <w:r>
        <w:rPr>
          <w:lang w:val="en-US"/>
        </w:rPr>
        <w:instrText xml:space="preserve"> ADDIN ZOTERO_ITEM CSL_CITATION {"citationID":"kpPqZuos","properties":{"formattedCitation":"Japan International Cooperation Agency, \\uc0\\u8220{}Learning Japanese Experience in Urban Public Transport,\\uc0\\u8221{} JICA, October 2017, https://www.jica.go.jp/uzbekistan/english/office/topics/171115.html.","plainCitation":"Japan International Cooperation Agency, “Learning Japanese Experience in Urban Public Transport,” JICA, October 2017, https://www.jica.go.jp/uzbekistan/english/office/topics/171115.html.","noteIndex":40},"citationItems":[{"id":2771,"uris":["http://zotero.org/users/2818427/items/M8HZZS88"],"uri":["http://zotero.org/users/2818427/items/M8HZZS88"],"itemData":{"id":2771,"type":"webpage","title":"Learning Japanese experience in Urban Public Transport","container-title":"JICA","URL":"https://www.jica.go.jp/uzbekistan/english/office/topics/171115.html","author":[{"literal":"Japan International Cooperation Agency"}],"issued":{"date-parts":[["2017",10]]},"accessed":{"date-parts":[["2018",11,28]]}}}],"schema":"https://github.com/citation-style-language/schema/raw/master/csl-citation.json"} </w:instrText>
      </w:r>
      <w:r>
        <w:rPr>
          <w:lang w:val="en-US"/>
        </w:rPr>
        <w:fldChar w:fldCharType="separate"/>
      </w:r>
      <w:r>
        <w:rPr>
          <w:rFonts w:cs="Calibri"/>
        </w:rPr>
        <w:t xml:space="preserve">Japan International Cooperation Agency, 'Learning Japanese Experience in Urban Public Transport,' </w:t>
      </w:r>
      <w:r>
        <w:rPr>
          <w:rFonts w:cs="Calibri"/>
          <w:i/>
        </w:rPr>
        <w:t>JICA</w:t>
      </w:r>
      <w:r>
        <w:rPr>
          <w:rFonts w:cs="Calibri"/>
        </w:rPr>
        <w:t>, October 2017. https://www.jica.go.jp/uzbekistan/english/office/topics/171115.html</w:t>
      </w:r>
      <w:r>
        <w:rPr>
          <w:lang w:val="en-US"/>
        </w:rPr>
        <w:fldChar w:fldCharType="end"/>
      </w:r>
      <w:r>
        <w:rPr>
          <w:lang w:val="en-US"/>
        </w:rPr>
        <w:t xml:space="preserve">  </w:t>
      </w:r>
    </w:p>
  </w:footnote>
  <w:footnote w:id="36">
    <w:p w14:paraId="5F32C9C1" w14:textId="690660C7" w:rsidR="00E82131" w:rsidRDefault="00E82131">
      <w:pPr>
        <w:pStyle w:val="FootnoteText"/>
      </w:pPr>
      <w:r>
        <w:rPr>
          <w:rStyle w:val="FootnoteReference"/>
        </w:rPr>
        <w:footnoteRef/>
      </w:r>
      <w:r>
        <w:t xml:space="preserve"> T</w:t>
      </w:r>
      <w:r w:rsidRPr="009B6ED9">
        <w:t>here may be politically sensitive projects</w:t>
      </w:r>
      <w:r>
        <w:t>,</w:t>
      </w:r>
      <w:r w:rsidRPr="009B6ED9">
        <w:t xml:space="preserve"> including critical infrastructure</w:t>
      </w:r>
      <w:r>
        <w:t>,</w:t>
      </w:r>
      <w:r w:rsidRPr="009B6ED9">
        <w:t xml:space="preserve"> </w:t>
      </w:r>
      <w:r>
        <w:t xml:space="preserve">for </w:t>
      </w:r>
      <w:r w:rsidRPr="009B6ED9">
        <w:t>wh</w:t>
      </w:r>
      <w:r>
        <w:t>ich</w:t>
      </w:r>
      <w:r w:rsidRPr="009B6ED9">
        <w:t xml:space="preserve"> limited procurement is appropriate</w:t>
      </w:r>
      <w:r>
        <w:t>.</w:t>
      </w:r>
    </w:p>
  </w:footnote>
  <w:footnote w:id="37">
    <w:p w14:paraId="5022CC34" w14:textId="77777777" w:rsidR="00E82131" w:rsidRPr="00594341" w:rsidRDefault="00E82131" w:rsidP="000E0565">
      <w:pPr>
        <w:pStyle w:val="FootnoteText"/>
        <w:rPr>
          <w:lang w:val="en-US"/>
        </w:rPr>
      </w:pPr>
      <w:r>
        <w:rPr>
          <w:rStyle w:val="FootnoteReference"/>
        </w:rPr>
        <w:footnoteRef/>
      </w:r>
      <w:r>
        <w:t xml:space="preserve"> See, for example: </w:t>
      </w:r>
      <w:r>
        <w:fldChar w:fldCharType="begin"/>
      </w:r>
      <w:r>
        <w:instrText xml:space="preserve"> ADDIN ZOTERO_ITEM CSL_CITATION {"citationID":"YddR1PEd","properties":{"formattedCitation":"Department of Foreign Affairs and Trade, \\uc0\\u8220{}Performance of Australian Aid 2016\\uc0\\u8211{}17\\uc0\\u8221{} (Canberra: DFAT, May 2018); Department of Foreign Affairs and Trade (DFAT), \\uc0\\u8220{}Performance of Australian Aid 2015\\uc0\\u8211{}16\\uc0\\u8221{} (Canberra: DFAT, May 2017); Asian Development Bank, {\\i{}2016 Development Effectiveness Review} (Asian Development Bank, 2017), http://dx.doi.org/10.22617/TCS178770-2; Office of Development Effectiveness (ODE), \\uc0\\u8220{}Banking Our Aid: Australia\\uc0\\u8217{}s Non-Core Funding to the Asian Development Bank and the World Bank\\uc0\\u8221{} (Canberra: Department of Foreign Affairs and Trade, September 2015).","plainCitation":"Department of Foreign Affairs and Trade, “Performance of Australian Aid 2016–17” (Canberra: DFAT, May 2018); Department of Foreign Affairs and Trade (DFAT), “Performance of Australian Aid 2015–16” (Canberra: DFAT, May 2017); Asian Development Bank, 2016 Development Effectiveness Review (Asian Development Bank, 2017), http://dx.doi.org/10.22617/TCS178770-2; Office of Development Effectiveness (ODE), “Banking Our Aid: Australia’s Non-Core Funding to the Asian Development Bank and the World Bank” (Canberra: Department of Foreign Affairs and Trade, September 2015).","noteIndex":42},"citationItems":[{"id":2870,"uris":["http://zotero.org/users/2818427/items/848XTYBH"],"uri":["http://zotero.org/users/2818427/items/848XTYBH"],"itemData":{"id":2870,"type":"report","title":"Performance of Australian Aid 2016–17","publisher":"DFAT","publisher-place":"Canberra","page":"84","source":"Zotero","event-place":"Canberra","language":"en","author":[{"literal":"Department of Foreign Affairs and Trade"}],"issued":{"date-parts":[["2018",5]]}}},{"id":2868,"uris":["http://zotero.org/users/2818427/items/ZI35LC8L"],"uri":["http://zotero.org/users/2818427/items/ZI35LC8L"],"itemData":{"id":2868,"type":"report","title":"Performance of Australian Aid 2015–16","publisher":"DFAT","publisher-place":"Canberra","page":"114","source":"Zotero","event-place":"Canberra","language":"en","author":[{"literal":"Department of Foreign Affairs and Trade (DFAT)"}],"issued":{"date-parts":[["2017",5]]}}},{"id":2862,"uris":["http://zotero.org/users/2818427/items/CLWUYKT3"],"uri":["http://zotero.org/users/2818427/items/CLWUYKT3"],"itemData":{"id":2862,"type":"book","title":"2016 Development Effectiveness Review","publisher":"Asian Development Bank","source":"www.adb.org","abstract":"The Development Effectiveness Review (DEfR) takes stock of the performances by ADB and the Asia and Pacific for selected periods spanning 2010–2016.","URL":"https://www.adb.org/documents/development-effectiveness-review-2016-report","ISBN":"978-92-9257-817-6","note":"DOI: http://dx.doi.org/10.22617/TCS178770-2","language":"en","author":[{"literal":"Asian Development Bank"}],"issued":{"date-parts":[["2017",5,5]]},"accessed":{"date-parts":[["2018",12,3]]}}},{"id":2866,"uris":["http://zotero.org/users/2818427/items/KGNW2K9N"],"uri":["http://zotero.org/users/2818427/items/KGNW2K9N"],"itemData":{"id":2866,"type":"report","title":"Banking our aid: Australia’s non-core funding to the Asian Development Bank and the World Bank","publisher":"Department of Foreign Affairs and Trade","publisher-place":"Canberra","event-place":"Canberra","author":[{"literal":"Office of Development Effectiveness (ODE)"}],"issued":{"date-parts":[["2015",9]]}}}],"schema":"https://github.com/citation-style-language/schema/raw/master/csl-citation.json"} </w:instrText>
      </w:r>
      <w:r>
        <w:fldChar w:fldCharType="separate"/>
      </w:r>
      <w:r w:rsidRPr="00594341">
        <w:rPr>
          <w:rFonts w:ascii="Calibri" w:cs="Calibri"/>
        </w:rPr>
        <w:t xml:space="preserve">Department of Foreign Affairs and Trade, </w:t>
      </w:r>
      <w:r w:rsidRPr="00594341">
        <w:rPr>
          <w:rFonts w:ascii="Calibri" w:cs="Calibri"/>
          <w:i/>
        </w:rPr>
        <w:t>Performance of Australian Aid 2016–17</w:t>
      </w:r>
      <w:r>
        <w:rPr>
          <w:rFonts w:ascii="Calibri" w:cs="Calibri"/>
        </w:rPr>
        <w:t>, 2018;</w:t>
      </w:r>
      <w:r w:rsidRPr="00594341">
        <w:rPr>
          <w:rFonts w:ascii="Calibri" w:cs="Calibri"/>
        </w:rPr>
        <w:t xml:space="preserve"> Department of Foreign Affairs and Trade, </w:t>
      </w:r>
      <w:r w:rsidRPr="00594341">
        <w:rPr>
          <w:rFonts w:ascii="Calibri" w:cs="Calibri"/>
          <w:i/>
        </w:rPr>
        <w:t>Performance of Australian Aid 2015–16</w:t>
      </w:r>
      <w:r>
        <w:rPr>
          <w:rFonts w:ascii="Calibri" w:cs="Calibri"/>
          <w:i/>
        </w:rPr>
        <w:t>,</w:t>
      </w:r>
      <w:r w:rsidRPr="00594341">
        <w:rPr>
          <w:rFonts w:ascii="Calibri" w:cs="Calibri"/>
        </w:rPr>
        <w:t xml:space="preserve"> 2017; Asian Development Bank, </w:t>
      </w:r>
      <w:r w:rsidRPr="00594341">
        <w:rPr>
          <w:rFonts w:ascii="Calibri" w:cs="Calibri"/>
          <w:i/>
          <w:iCs/>
        </w:rPr>
        <w:t>2016 Development Effectiveness Review</w:t>
      </w:r>
      <w:r>
        <w:rPr>
          <w:rFonts w:ascii="Calibri" w:cs="Calibri"/>
        </w:rPr>
        <w:t>,</w:t>
      </w:r>
      <w:r w:rsidRPr="00594341">
        <w:rPr>
          <w:rFonts w:ascii="Calibri" w:cs="Calibri"/>
        </w:rPr>
        <w:t xml:space="preserve"> 2017; Office of Development Effectiveness (ODE), </w:t>
      </w:r>
      <w:r w:rsidRPr="00594341">
        <w:rPr>
          <w:rFonts w:ascii="Calibri" w:cs="Calibri"/>
          <w:i/>
        </w:rPr>
        <w:t>Banking Our Aid: Australia’s Non-Core Funding to the Asian Development Bank and the World Bank</w:t>
      </w:r>
      <w:r>
        <w:rPr>
          <w:rFonts w:ascii="Calibri" w:cs="Calibri"/>
          <w:i/>
        </w:rPr>
        <w:t>,</w:t>
      </w:r>
      <w:r>
        <w:rPr>
          <w:rFonts w:ascii="Calibri" w:cs="Calibri"/>
        </w:rPr>
        <w:t xml:space="preserve"> 2015</w:t>
      </w:r>
      <w:r>
        <w:fldChar w:fldCharType="end"/>
      </w:r>
      <w:r>
        <w:t>.</w:t>
      </w:r>
    </w:p>
  </w:footnote>
  <w:footnote w:id="38">
    <w:p w14:paraId="6200BA49" w14:textId="77777777" w:rsidR="00E82131" w:rsidRPr="00201D50" w:rsidRDefault="00E82131" w:rsidP="000E0565">
      <w:pPr>
        <w:pStyle w:val="FootnoteText"/>
        <w:rPr>
          <w:rFonts w:ascii="Calibri" w:hAnsi="Calibri" w:cs="Times New Roman"/>
        </w:rPr>
      </w:pPr>
      <w:r w:rsidRPr="00922B6A">
        <w:rPr>
          <w:rStyle w:val="FootnoteReference"/>
          <w:rFonts w:cstheme="minorHAnsi"/>
        </w:rPr>
        <w:footnoteRef/>
      </w:r>
      <w:r w:rsidRPr="00922B6A">
        <w:rPr>
          <w:rFonts w:cstheme="minorHAnsi"/>
        </w:rPr>
        <w:t xml:space="preserve"> DCA consultation, 2 Nov 2018</w:t>
      </w:r>
    </w:p>
  </w:footnote>
  <w:footnote w:id="39">
    <w:p w14:paraId="50F762BA" w14:textId="194E8BB6" w:rsidR="00E82131" w:rsidRDefault="00E82131" w:rsidP="000E0565">
      <w:pPr>
        <w:pStyle w:val="FootnoteText"/>
      </w:pPr>
      <w:r>
        <w:rPr>
          <w:rStyle w:val="FootnoteReference"/>
        </w:rPr>
        <w:footnoteRef/>
      </w:r>
      <w:r>
        <w:t xml:space="preserve"> </w:t>
      </w:r>
      <w:r>
        <w:fldChar w:fldCharType="begin"/>
      </w:r>
      <w:r>
        <w:instrText xml:space="preserve"> ADDIN ZOTERO_ITEM CSL_CITATION {"citationID":"QEgc533p","properties":{"formattedCitation":"Harmonized Indicators for Private Sector Operations (HIPSO), \\uc0\\u8220{}Indicators,\\uc0\\u8221{} Harmonized Indicators for Private Sector Operations (HIPSO), accessed December 3, 2018, https://indicators.ifipartnership.org/indicators/.","plainCitation":"Harmonized Indicators for Private Sector Operations (HIPSO), “Indicators,” Harmonized Indicators for Private Sector Operations (HIPSO), accessed December 3, 2018, https://indicators.ifipartnership.org/indicators/.","noteIndex":45},"citationItems":[{"id":2852,"uris":["http://zotero.org/users/2818427/items/QPLCA4P5"],"uri":["http://zotero.org/users/2818427/items/QPLCA4P5"],"itemData":{"id":2852,"type":"webpage","title":"Indicators","container-title":"Harmonized Indicators for Private Sector Operations (HIPSO)","abstract":"The following is a list of 38 reporting indicators that split up across 15 different sectors and industries (including cross-cutting).","URL":"https://indicators.ifipartnership.org/indicators/","language":"en-US","author":[{"literal":"Harmonized Indicators for Private Sector Operations (HIPSO)"}],"accessed":{"date-parts":[["2018",12,3]]}}}],"schema":"https://github.com/citation-style-language/schema/raw/master/csl-citation.json"} </w:instrText>
      </w:r>
      <w:r>
        <w:fldChar w:fldCharType="separate"/>
      </w:r>
      <w:r w:rsidRPr="00594341">
        <w:rPr>
          <w:rFonts w:ascii="Calibri" w:cs="Calibri"/>
        </w:rPr>
        <w:t xml:space="preserve">Harmonized Indicators for Private Sector Operations, </w:t>
      </w:r>
      <w:r w:rsidRPr="001B0D3B">
        <w:rPr>
          <w:rFonts w:ascii="Calibri" w:cs="Calibri"/>
          <w:i/>
        </w:rPr>
        <w:t>Indicators</w:t>
      </w:r>
      <w:r w:rsidRPr="00594341">
        <w:rPr>
          <w:rFonts w:ascii="Calibri" w:cs="Calibri"/>
        </w:rPr>
        <w:t xml:space="preserve">, accessed </w:t>
      </w:r>
      <w:r>
        <w:rPr>
          <w:rFonts w:ascii="Calibri" w:cs="Calibri"/>
        </w:rPr>
        <w:t xml:space="preserve">3 </w:t>
      </w:r>
      <w:r w:rsidRPr="00594341">
        <w:rPr>
          <w:rFonts w:ascii="Calibri" w:cs="Calibri"/>
        </w:rPr>
        <w:t>December 2018, https://indicators.ifipartnership.org/indicators/.</w:t>
      </w:r>
      <w:r>
        <w:fldChar w:fldCharType="end"/>
      </w:r>
    </w:p>
  </w:footnote>
  <w:footnote w:id="40">
    <w:p w14:paraId="3D935C1A" w14:textId="77777777" w:rsidR="00E82131" w:rsidRDefault="00E82131" w:rsidP="000E0565">
      <w:pPr>
        <w:pStyle w:val="FootnoteText"/>
      </w:pPr>
      <w:r>
        <w:rPr>
          <w:rStyle w:val="FootnoteReference"/>
        </w:rPr>
        <w:footnoteRef/>
      </w:r>
      <w:r>
        <w:t xml:space="preserve"> DCED website, accessed 5 January 2019, </w:t>
      </w:r>
      <w:proofErr w:type="gramStart"/>
      <w:r w:rsidRPr="001F176A">
        <w:t>https://www.enterprise-development.org/intro-to-the-dced/</w:t>
      </w:r>
      <w:r>
        <w:t xml:space="preserve"> .</w:t>
      </w:r>
      <w:proofErr w:type="gramEnd"/>
    </w:p>
  </w:footnote>
  <w:footnote w:id="41">
    <w:p w14:paraId="594125D0" w14:textId="77777777" w:rsidR="00E82131" w:rsidRPr="00922B6A" w:rsidRDefault="00E82131" w:rsidP="000E0565">
      <w:pPr>
        <w:pStyle w:val="FootnoteText"/>
        <w:rPr>
          <w:rFonts w:ascii="Calibri" w:hAnsi="Calibri"/>
        </w:rPr>
      </w:pPr>
      <w:r w:rsidRPr="00922B6A">
        <w:rPr>
          <w:rStyle w:val="FootnoteReference"/>
        </w:rPr>
        <w:footnoteRef/>
      </w:r>
      <w:r w:rsidRPr="00922B6A">
        <w:t xml:space="preserve"> </w:t>
      </w:r>
      <w:r w:rsidRPr="00922B6A">
        <w:rPr>
          <w:rFonts w:ascii="Calibri" w:hAnsi="Calibri" w:cs="Times New Roman"/>
        </w:rPr>
        <w:t xml:space="preserve">PNG, Jakarta </w:t>
      </w:r>
      <w:r>
        <w:rPr>
          <w:rFonts w:ascii="Calibri" w:hAnsi="Calibri" w:cs="Times New Roman"/>
        </w:rPr>
        <w:t>P</w:t>
      </w:r>
      <w:r w:rsidRPr="00922B6A">
        <w:rPr>
          <w:rFonts w:ascii="Calibri" w:hAnsi="Calibri" w:cs="Times New Roman"/>
        </w:rPr>
        <w:t>ost consultations</w:t>
      </w:r>
    </w:p>
  </w:footnote>
  <w:footnote w:id="42">
    <w:p w14:paraId="33548AA2" w14:textId="77777777" w:rsidR="00E82131" w:rsidRPr="00AB3C8E" w:rsidRDefault="00E82131" w:rsidP="000E0565">
      <w:pPr>
        <w:pStyle w:val="NormalWeb"/>
        <w:spacing w:after="0"/>
        <w:rPr>
          <w:sz w:val="20"/>
          <w:szCs w:val="20"/>
        </w:rPr>
      </w:pPr>
      <w:r w:rsidRPr="00922B6A">
        <w:rPr>
          <w:rStyle w:val="FootnoteReference"/>
          <w:rFonts w:ascii="Calibri" w:hAnsi="Calibri"/>
          <w:sz w:val="20"/>
          <w:szCs w:val="20"/>
        </w:rPr>
        <w:footnoteRef/>
      </w:r>
      <w:r w:rsidRPr="00922B6A">
        <w:rPr>
          <w:rFonts w:ascii="Calibri" w:hAnsi="Calibri"/>
          <w:sz w:val="20"/>
          <w:szCs w:val="20"/>
        </w:rPr>
        <w:t xml:space="preserve"> </w:t>
      </w:r>
      <w:r>
        <w:rPr>
          <w:rFonts w:ascii="Calibri" w:hAnsi="Calibri"/>
          <w:sz w:val="20"/>
          <w:szCs w:val="20"/>
        </w:rPr>
        <w:fldChar w:fldCharType="begin"/>
      </w:r>
      <w:r>
        <w:rPr>
          <w:rFonts w:ascii="Calibri" w:hAnsi="Calibri"/>
          <w:sz w:val="20"/>
          <w:szCs w:val="20"/>
        </w:rPr>
        <w:instrText xml:space="preserve"> ADDIN ZOTERO_ITEM CSL_CITATION {"citationID":"sk2dTN83","properties":{"formattedCitation":"Alexander Karaivanov, \\uc0\\u8220{}Non-Grant Microfinance, Incentives and Efficiency,\\uc0\\u8221{} {\\i{}Applied Economics} 50, no. 23 (2018): 2509\\uc0\\u8211{}2524.","plainCitation":"Alexander Karaivanov, “Non-Grant Microfinance, Incentives and Efficiency,” Applied Economics 50, no. 23 (2018): 2509–2524.","noteIndex":48},"citationItems":[{"id":2854,"uris":["http://zotero.org/users/2818427/items/DZBLISP4"],"uri":["http://zotero.org/users/2818427/items/DZBLISP4"],"itemData":{"id":2854,"type":"article-journal","title":"Non-grant microfinance, incentives and efficiency","container-title":"Applied Economics","page":"2509–2524","volume":"50","issue":"23","author":[{"family":"Karaivanov","given":"Alexander"}],"issued":{"date-parts":[["2018"]]}}}],"schema":"https://github.com/citation-style-language/schema/raw/master/csl-citation.json"} </w:instrText>
      </w:r>
      <w:r>
        <w:rPr>
          <w:rFonts w:ascii="Calibri" w:hAnsi="Calibri"/>
          <w:sz w:val="20"/>
          <w:szCs w:val="20"/>
        </w:rPr>
        <w:fldChar w:fldCharType="separate"/>
      </w:r>
      <w:r w:rsidRPr="003E0FF9">
        <w:rPr>
          <w:rFonts w:ascii="Calibri" w:hAnsi="Calibri" w:cs="Calibri"/>
          <w:sz w:val="20"/>
        </w:rPr>
        <w:t xml:space="preserve">Alexander Karaivanov, </w:t>
      </w:r>
      <w:r w:rsidRPr="000B34FF">
        <w:rPr>
          <w:rFonts w:ascii="Calibri" w:hAnsi="Calibri" w:cs="Calibri"/>
          <w:i/>
          <w:sz w:val="20"/>
        </w:rPr>
        <w:t>Non-Grant Microfinance, Incentives and Efficiency</w:t>
      </w:r>
      <w:r w:rsidRPr="003E0FF9">
        <w:rPr>
          <w:rFonts w:ascii="Calibri" w:hAnsi="Calibri" w:cs="Calibri"/>
          <w:sz w:val="20"/>
        </w:rPr>
        <w:t>,</w:t>
      </w:r>
      <w:r>
        <w:rPr>
          <w:rFonts w:ascii="Calibri" w:hAnsi="Calibri"/>
          <w:sz w:val="20"/>
          <w:szCs w:val="20"/>
        </w:rPr>
        <w:fldChar w:fldCharType="end"/>
      </w:r>
      <w:r>
        <w:rPr>
          <w:rFonts w:ascii="Calibri" w:hAnsi="Calibri"/>
          <w:sz w:val="20"/>
          <w:szCs w:val="20"/>
        </w:rPr>
        <w:t xml:space="preserve"> 2018.</w:t>
      </w:r>
    </w:p>
  </w:footnote>
  <w:footnote w:id="43">
    <w:p w14:paraId="4D573C2C" w14:textId="77777777" w:rsidR="00E82131" w:rsidRPr="00594341" w:rsidRDefault="00E82131" w:rsidP="000E0565">
      <w:pPr>
        <w:pStyle w:val="FootnoteText"/>
        <w:rPr>
          <w:lang w:val="en-US"/>
        </w:rPr>
      </w:pPr>
      <w:r>
        <w:rPr>
          <w:rStyle w:val="FootnoteReference"/>
        </w:rPr>
        <w:footnoteRef/>
      </w:r>
      <w:r>
        <w:t xml:space="preserve"> </w:t>
      </w:r>
      <w:r>
        <w:fldChar w:fldCharType="begin"/>
      </w:r>
      <w:r>
        <w:instrText xml:space="preserve"> ADDIN ZOTERO_ITEM CSL_CITATION {"citationID":"cPlZrMhn","properties":{"formattedCitation":"Private Infrastructure Development Group (PIDG), \\uc0\\u8220{}Annual Report 2016\\uc0\\u8221{} (London: Private Infrastructure Development Group, 2017), https://www.pidg.org/resource-library/annual-reports/pidg-annual-report-2016.pdf/at_download/file.","plainCitation":"Private Infrastructure Development Group (PIDG), “Annual Report 2016” (London: Private Infrastructure Development Group, 2017), https://www.pidg.org/resource-library/annual-reports/pidg-annual-report-2016.pdf/at_download/file.","noteIndex":50},"citationItems":[{"id":2872,"uris":["http://zotero.org/users/2818427/items/W64JMDS9"],"uri":["http://zotero.org/users/2818427/items/W64JMDS9"],"itemData":{"id":2872,"type":"report","title":"Annual Report 2016","publisher":"Private Infrastructure Development Group","publisher-place":"London","page":"86","event-place":"London","URL":"https://www.pidg.org/resource-library/annual-reports/pidg-annual-report-2016.pdf/at_download/file","author":[{"literal":"Private Infrastructure Development Group (PIDG)"}],"issued":{"date-parts":[["2017"]]}}}],"schema":"https://github.com/citation-style-language/schema/raw/master/csl-citation.json"} </w:instrText>
      </w:r>
      <w:r>
        <w:fldChar w:fldCharType="separate"/>
      </w:r>
      <w:r>
        <w:rPr>
          <w:rFonts w:ascii="Calibri" w:cs="Calibri"/>
        </w:rPr>
        <w:t>PIDG</w:t>
      </w:r>
      <w:r w:rsidRPr="00594341">
        <w:rPr>
          <w:rFonts w:ascii="Calibri" w:cs="Calibri"/>
        </w:rPr>
        <w:t xml:space="preserve">, </w:t>
      </w:r>
      <w:r w:rsidRPr="00594341">
        <w:rPr>
          <w:rFonts w:ascii="Calibri" w:cs="Calibri"/>
          <w:i/>
        </w:rPr>
        <w:t>Annual Report 2016</w:t>
      </w:r>
      <w:r>
        <w:rPr>
          <w:rFonts w:ascii="Calibri" w:cs="Calibri"/>
          <w:i/>
        </w:rPr>
        <w:t xml:space="preserve">, </w:t>
      </w:r>
      <w:r>
        <w:rPr>
          <w:rFonts w:ascii="Calibri" w:cs="Calibri"/>
        </w:rPr>
        <w:t>2017.</w:t>
      </w:r>
      <w:r w:rsidRPr="00594341">
        <w:rPr>
          <w:rFonts w:ascii="Calibri" w:cs="Calibri"/>
        </w:rPr>
        <w:t xml:space="preserve"> </w:t>
      </w:r>
      <w:r>
        <w:fldChar w:fldCharType="end"/>
      </w:r>
    </w:p>
  </w:footnote>
  <w:footnote w:id="44">
    <w:p w14:paraId="26AC3D3A" w14:textId="77777777" w:rsidR="00E82131" w:rsidRPr="00201D50" w:rsidRDefault="00E82131" w:rsidP="000E0565">
      <w:pPr>
        <w:pStyle w:val="FootnoteText"/>
        <w:rPr>
          <w:rFonts w:ascii="Calibri" w:hAnsi="Calibri"/>
        </w:rPr>
      </w:pPr>
      <w:r w:rsidRPr="00201D50">
        <w:rPr>
          <w:rStyle w:val="FootnoteReference"/>
          <w:rFonts w:ascii="Calibri" w:hAnsi="Calibri"/>
        </w:rPr>
        <w:footnoteRef/>
      </w:r>
      <w:r w:rsidRPr="00201D50">
        <w:rPr>
          <w:rFonts w:ascii="Calibri" w:hAnsi="Calibri"/>
        </w:rPr>
        <w:t xml:space="preserve"> </w:t>
      </w:r>
      <w:r w:rsidRPr="00201D50">
        <w:rPr>
          <w:rFonts w:ascii="Calibri" w:hAnsi="Calibri" w:cs="Times New Roman"/>
        </w:rPr>
        <w:t xml:space="preserve">The MDBs involved usually offer funding to </w:t>
      </w:r>
      <w:r>
        <w:rPr>
          <w:rFonts w:ascii="Calibri" w:hAnsi="Calibri" w:cs="Times New Roman"/>
        </w:rPr>
        <w:t xml:space="preserve">the </w:t>
      </w:r>
      <w:r w:rsidRPr="00201D50">
        <w:rPr>
          <w:rFonts w:ascii="Calibri" w:hAnsi="Calibri" w:cs="Times New Roman"/>
        </w:rPr>
        <w:t xml:space="preserve">FIs as a positive incentive; for “green” lending </w:t>
      </w:r>
      <w:r>
        <w:rPr>
          <w:rFonts w:ascii="Calibri" w:hAnsi="Calibri" w:cs="Times New Roman"/>
        </w:rPr>
        <w:t>the Green Climate Fund</w:t>
      </w:r>
      <w:r w:rsidRPr="00201D50">
        <w:rPr>
          <w:rFonts w:ascii="Calibri" w:hAnsi="Calibri" w:cs="Times New Roman"/>
        </w:rPr>
        <w:t xml:space="preserve"> or others may offer concessional funding; and donors may offer in conjunction with </w:t>
      </w:r>
      <w:proofErr w:type="gramStart"/>
      <w:r w:rsidRPr="00201D50">
        <w:rPr>
          <w:rFonts w:ascii="Calibri" w:hAnsi="Calibri" w:cs="Times New Roman"/>
        </w:rPr>
        <w:t>first-loss</w:t>
      </w:r>
      <w:proofErr w:type="gramEnd"/>
      <w:r w:rsidRPr="00201D50">
        <w:rPr>
          <w:rFonts w:ascii="Calibri" w:hAnsi="Calibri" w:cs="Times New Roman"/>
        </w:rPr>
        <w:t xml:space="preserve"> cover other kinds of grants</w:t>
      </w:r>
      <w:r>
        <w:rPr>
          <w:rFonts w:ascii="Calibri" w:hAnsi="Calibri" w:cs="Times New Roman"/>
        </w:rPr>
        <w:t>—</w:t>
      </w:r>
      <w:r w:rsidRPr="00201D50">
        <w:rPr>
          <w:rFonts w:ascii="Calibri" w:hAnsi="Calibri" w:cs="Times New Roman"/>
        </w:rPr>
        <w:t>for incentives for FIs or borrowers, or for advisory support</w:t>
      </w:r>
      <w:r>
        <w:rPr>
          <w:rFonts w:ascii="Calibri" w:hAnsi="Calibri" w:cs="Times New Roman"/>
        </w:rPr>
        <w:t>—</w:t>
      </w:r>
      <w:r w:rsidRPr="00201D50">
        <w:rPr>
          <w:rFonts w:ascii="Calibri" w:hAnsi="Calibri" w:cs="Times New Roman"/>
        </w:rPr>
        <w:t>depending mainly on how demanding the targeted type of lending is likely to be for the FIs.</w:t>
      </w:r>
    </w:p>
  </w:footnote>
  <w:footnote w:id="45">
    <w:p w14:paraId="375A003A" w14:textId="07E19336" w:rsidR="00E82131" w:rsidRDefault="00E82131" w:rsidP="00275C84">
      <w:pPr>
        <w:pStyle w:val="FootnoteText"/>
      </w:pPr>
      <w:r>
        <w:rPr>
          <w:rStyle w:val="FootnoteReference"/>
        </w:rPr>
        <w:footnoteRef/>
      </w:r>
      <w:r>
        <w:t xml:space="preserve"> There are several relevant factors </w:t>
      </w:r>
      <w:bookmarkStart w:id="25" w:name="_Hlk534975013"/>
      <w:r>
        <w:t>–</w:t>
      </w:r>
      <w:bookmarkEnd w:id="25"/>
      <w:r>
        <w:t xml:space="preserve"> including grace periods and tenors for loans, exit plans for equities, and possibilities of rescheduling or losses in $A value – and working estimates would require financial modelling.</w:t>
      </w:r>
    </w:p>
    <w:p w14:paraId="4E03992C" w14:textId="30007201" w:rsidR="00E82131" w:rsidRDefault="00E82131" w:rsidP="00275C84">
      <w:pPr>
        <w:pStyle w:val="FootnoteText"/>
      </w:pPr>
      <w:r>
        <w:t>Put very simply, the bulk of sums lent or invested is likely to be “recyclable” between five and fifteen years.</w:t>
      </w:r>
    </w:p>
  </w:footnote>
  <w:footnote w:id="46">
    <w:p w14:paraId="38B59A5C" w14:textId="1456D4B0" w:rsidR="00E82131" w:rsidRPr="00594341" w:rsidRDefault="00E82131" w:rsidP="000E0565">
      <w:pPr>
        <w:pStyle w:val="FootnoteText"/>
        <w:rPr>
          <w:lang w:val="en-US"/>
        </w:rPr>
      </w:pPr>
      <w:r>
        <w:rPr>
          <w:rStyle w:val="FootnoteReference"/>
        </w:rPr>
        <w:footnoteRef/>
      </w:r>
      <w:r>
        <w:t xml:space="preserve"> </w:t>
      </w:r>
      <w:r>
        <w:fldChar w:fldCharType="begin"/>
      </w:r>
      <w:r>
        <w:instrText xml:space="preserve"> ADDIN ZOTERO_ITEM CSL_CITATION {"citationID":"8qV1PeM0","properties":{"formattedCitation":"Asian Development Bank, \\uc0\\u8220{}ADB\\uc0\\u8217{}s Submission to the Parliament of Australia\\uc0\\u8217{}s Inquiry into The Strategic Effectiveness and Outcomes of Australia\\uc0\\u8217{}s Aid Program in the Indo-Pacific and Its Role in Supporting Australia\\uc0\\u8217{}s Regional Interests,\\uc0\\u8221{} June 2018, https://www.aph.gov.au/DocumentStore.ashx?id=563f12ec-1176-4da0-b760-010f06c29941&amp;subId=657976.","plainCitation":"Asian Development Bank, “ADB’s Submission to the Parliament of Australia’s Inquiry into The Strategic Effectiveness and Outcomes of Australia’s Aid Program in the Indo-Pacific and Its Role in Supporting Australia’s Regional Interests,” June 2018, https://www.aph.gov.au/DocumentStore.ashx?id=563f12ec-1176-4da0-b760-010f06c29941&amp;subId=657976.","noteIndex":54},"citationItems":[{"id":2873,"uris":["http://zotero.org/users/2818427/items/L5UMV8ZX"],"uri":["http://zotero.org/users/2818427/items/L5UMV8ZX"],"itemData":{"id":2873,"type":"article","title":"ADB’s Submission to the Parliament of Australia’s Inquiry into The Strategic Effectiveness and Outcomes of Australia’s Aid Program in the Indo-Pacific and its Role in Supporting Australia’s Regional Interests","URL":"https://www.aph.gov.au/DocumentStore.ashx?id=563f12ec-1176-4da0-b760-010f06c29941&amp;subId=657976","author":[{"literal":"Asian Development Bank"}],"issued":{"date-parts":[["2018",6]]}}}],"schema":"https://github.com/citation-style-language/schema/raw/master/csl-citation.json"} </w:instrText>
      </w:r>
      <w:r>
        <w:fldChar w:fldCharType="separate"/>
      </w:r>
      <w:r w:rsidRPr="00594341">
        <w:rPr>
          <w:rFonts w:ascii="Calibri" w:cs="Calibri"/>
        </w:rPr>
        <w:t xml:space="preserve">Asian Development Bank, </w:t>
      </w:r>
      <w:r w:rsidRPr="000B34FF">
        <w:rPr>
          <w:rFonts w:ascii="Calibri" w:cs="Calibri"/>
          <w:i/>
        </w:rPr>
        <w:t>A</w:t>
      </w:r>
      <w:r w:rsidRPr="00594341">
        <w:rPr>
          <w:rFonts w:ascii="Calibri" w:cs="Calibri"/>
          <w:i/>
        </w:rPr>
        <w:t xml:space="preserve">DB’s Submission to the Parliament of Australia’s Inquiry into The Strategic Effectiveness and Outcomes of Australia’s Aid </w:t>
      </w:r>
      <w:r>
        <w:rPr>
          <w:rFonts w:ascii="Calibri" w:cs="Calibri"/>
          <w:i/>
        </w:rPr>
        <w:t>Program</w:t>
      </w:r>
      <w:r w:rsidRPr="00594341">
        <w:rPr>
          <w:rFonts w:ascii="Calibri" w:cs="Calibri"/>
          <w:i/>
        </w:rPr>
        <w:t xml:space="preserve"> in the Indo-Pacific and Its Role in Supporting Australia’s Regional Interests</w:t>
      </w:r>
      <w:r>
        <w:rPr>
          <w:rFonts w:ascii="Calibri" w:cs="Calibri"/>
          <w:i/>
        </w:rPr>
        <w:t>,</w:t>
      </w:r>
      <w:r w:rsidRPr="00594341">
        <w:rPr>
          <w:rFonts w:ascii="Calibri" w:cs="Calibri"/>
        </w:rPr>
        <w:t xml:space="preserve"> June 2018</w:t>
      </w:r>
      <w:r>
        <w:rPr>
          <w:rFonts w:ascii="Calibri" w:cs="Calibri"/>
        </w:rPr>
        <w:t xml:space="preserve">. </w:t>
      </w:r>
      <w:r>
        <w:fldChar w:fldCharType="end"/>
      </w:r>
    </w:p>
  </w:footnote>
  <w:footnote w:id="47">
    <w:p w14:paraId="29EF8F6B" w14:textId="3D2A64C0" w:rsidR="00E82131" w:rsidRPr="00201D50" w:rsidRDefault="00E82131" w:rsidP="000E0565">
      <w:pPr>
        <w:pStyle w:val="FootnoteText"/>
        <w:rPr>
          <w:rFonts w:ascii="Calibri" w:hAnsi="Calibri"/>
        </w:rPr>
      </w:pPr>
      <w:r w:rsidRPr="00201D50">
        <w:rPr>
          <w:rStyle w:val="FootnoteReference"/>
          <w:rFonts w:ascii="Calibri" w:hAnsi="Calibri"/>
        </w:rPr>
        <w:footnoteRef/>
      </w:r>
      <w:r w:rsidRPr="00201D50">
        <w:rPr>
          <w:rFonts w:ascii="Calibri" w:hAnsi="Calibri"/>
        </w:rPr>
        <w:t xml:space="preserve"> </w:t>
      </w:r>
      <w:r>
        <w:rPr>
          <w:rFonts w:ascii="Calibri" w:hAnsi="Calibri"/>
        </w:rPr>
        <w:fldChar w:fldCharType="begin"/>
      </w:r>
      <w:r>
        <w:rPr>
          <w:rFonts w:ascii="Calibri" w:hAnsi="Calibri"/>
        </w:rPr>
        <w:instrText xml:space="preserve"> ADDIN ZOTERO_ITEM CSL_CITATION {"citationID":"b3dj4YuJ","properties":{"formattedCitation":"Global Impact Investing Network (GIIN), \\uc0\\u8220{}About IRIS,\\uc0\\u8221{} Impact Reporting and Inestment Standards (IRIS), accessed December 3, 2018, https://iris.thegiin.org/about-iris.","plainCitation":"Global Impact Investing Network (GIIN), “About IRIS,” Impact Reporting and Inestment Standards (IRIS), accessed December 3, 2018, https://iris.thegiin.org/about-iris.","noteIndex":59},"citationItems":[{"id":2874,"uris":["http://zotero.org/users/2818427/items/QCQSSKW4"],"uri":["http://zotero.org/users/2818427/items/QCQSSKW4"],"itemData":{"id":2874,"type":"webpage","title":"About IRIS","container-title":"Impact Reporting and Inestment Standards (IRIS)","URL":"https://iris.thegiin.org/about-iris","author":[{"literal":"Global Impact Investing Network (GIIN)"}],"accessed":{"date-parts":[["2018",12,3]]}}}],"schema":"https://github.com/citation-style-language/schema/raw/master/csl-citation.json"} </w:instrText>
      </w:r>
      <w:r>
        <w:rPr>
          <w:rFonts w:ascii="Calibri" w:hAnsi="Calibri"/>
        </w:rPr>
        <w:fldChar w:fldCharType="separate"/>
      </w:r>
      <w:r w:rsidRPr="00594341">
        <w:rPr>
          <w:rFonts w:ascii="Calibri" w:hAnsi="Calibri" w:cs="Calibri"/>
        </w:rPr>
        <w:t xml:space="preserve">Global Impact Investing Network (GIIN), </w:t>
      </w:r>
      <w:r>
        <w:rPr>
          <w:rFonts w:ascii="Calibri" w:hAnsi="Calibri" w:cs="Calibri"/>
        </w:rPr>
        <w:t>'</w:t>
      </w:r>
      <w:r w:rsidRPr="00594341">
        <w:rPr>
          <w:rFonts w:ascii="Calibri" w:hAnsi="Calibri" w:cs="Calibri"/>
        </w:rPr>
        <w:t>About IRIS,</w:t>
      </w:r>
      <w:r>
        <w:rPr>
          <w:rFonts w:ascii="Calibri" w:hAnsi="Calibri" w:cs="Calibri"/>
        </w:rPr>
        <w:t>'</w:t>
      </w:r>
      <w:r w:rsidRPr="00594341">
        <w:rPr>
          <w:rFonts w:ascii="Calibri" w:hAnsi="Calibri" w:cs="Calibri"/>
        </w:rPr>
        <w:t xml:space="preserve"> </w:t>
      </w:r>
      <w:r w:rsidRPr="00594341">
        <w:rPr>
          <w:rFonts w:ascii="Calibri" w:hAnsi="Calibri" w:cs="Calibri"/>
          <w:i/>
        </w:rPr>
        <w:t>Impact Reporting and In</w:t>
      </w:r>
      <w:r>
        <w:rPr>
          <w:rFonts w:ascii="Calibri" w:hAnsi="Calibri" w:cs="Calibri"/>
          <w:i/>
        </w:rPr>
        <w:t>v</w:t>
      </w:r>
      <w:r w:rsidRPr="00594341">
        <w:rPr>
          <w:rFonts w:ascii="Calibri" w:hAnsi="Calibri" w:cs="Calibri"/>
          <w:i/>
        </w:rPr>
        <w:t>estment Standards (IRIS)</w:t>
      </w:r>
      <w:r w:rsidRPr="00594341">
        <w:rPr>
          <w:rFonts w:ascii="Calibri" w:hAnsi="Calibri" w:cs="Calibri"/>
        </w:rPr>
        <w:t>,</w:t>
      </w:r>
      <w:r>
        <w:rPr>
          <w:rFonts w:ascii="Calibri" w:hAnsi="Calibri" w:cs="Calibri"/>
          <w:i/>
        </w:rPr>
        <w:t xml:space="preserve"> </w:t>
      </w:r>
      <w:r w:rsidRPr="000B34FF">
        <w:rPr>
          <w:rFonts w:ascii="Calibri" w:hAnsi="Calibri" w:cs="Calibri"/>
        </w:rPr>
        <w:t>2018</w:t>
      </w:r>
      <w:r>
        <w:rPr>
          <w:rFonts w:ascii="Calibri" w:hAnsi="Calibri" w:cs="Calibri"/>
          <w:i/>
        </w:rPr>
        <w:t>.</w:t>
      </w:r>
      <w:r w:rsidRPr="00594341">
        <w:rPr>
          <w:rFonts w:ascii="Calibri" w:hAnsi="Calibri" w:cs="Calibri"/>
        </w:rPr>
        <w:t xml:space="preserve"> https://iris.thegiin.org/about-iris</w:t>
      </w:r>
      <w:r>
        <w:rPr>
          <w:rFonts w:ascii="Calibri" w:hAnsi="Calibri"/>
        </w:rPr>
        <w:fldChar w:fldCharType="end"/>
      </w:r>
      <w:r>
        <w:rPr>
          <w:rFonts w:ascii="Calibri" w:hAnsi="Calibri"/>
        </w:rPr>
        <w:t xml:space="preserve"> </w:t>
      </w:r>
    </w:p>
  </w:footnote>
  <w:footnote w:id="48">
    <w:p w14:paraId="5D63A9FC" w14:textId="70B3EC14" w:rsidR="00E82131" w:rsidRDefault="00E82131">
      <w:pPr>
        <w:pStyle w:val="FootnoteText"/>
      </w:pPr>
      <w:r>
        <w:rPr>
          <w:rStyle w:val="FootnoteReference"/>
        </w:rPr>
        <w:footnoteRef/>
      </w:r>
      <w:r>
        <w:t xml:space="preserve"> In due course these reviews of risk levels would be informed by actual experience of the incidence of defaults on loans, and of gains or losses from equities. </w:t>
      </w:r>
      <w:proofErr w:type="gramStart"/>
      <w:r>
        <w:t>Therefore</w:t>
      </w:r>
      <w:proofErr w:type="gramEnd"/>
      <w:r>
        <w:t xml:space="preserve"> prudent management of these financial assets could be expected to help contain their cost to appropriations for development assistance.</w:t>
      </w:r>
    </w:p>
  </w:footnote>
  <w:footnote w:id="49">
    <w:p w14:paraId="4C1970CC" w14:textId="0B34FCF3" w:rsidR="00E82131" w:rsidRDefault="00E82131">
      <w:pPr>
        <w:pStyle w:val="FootnoteText"/>
      </w:pPr>
      <w:r>
        <w:rPr>
          <w:rStyle w:val="FootnoteReference"/>
        </w:rPr>
        <w:footnoteRef/>
      </w:r>
      <w:r>
        <w:t xml:space="preserve"> </w:t>
      </w:r>
      <w:bookmarkStart w:id="28" w:name="_Hlk535659891"/>
      <w:r>
        <w:t xml:space="preserve">OECD, </w:t>
      </w:r>
      <w:r w:rsidRPr="00B30150">
        <w:t>DCD/</w:t>
      </w:r>
      <w:proofErr w:type="gramStart"/>
      <w:r w:rsidRPr="00B30150">
        <w:t>DAC(</w:t>
      </w:r>
      <w:proofErr w:type="gramEnd"/>
      <w:r w:rsidRPr="00B30150">
        <w:t>2018)47/FINAL</w:t>
      </w:r>
      <w:r>
        <w:t>, 12 December 2018, especially paragraphs 9 and 14 (x).</w:t>
      </w:r>
      <w:bookmarkEnd w:id="28"/>
    </w:p>
  </w:footnote>
  <w:footnote w:id="50">
    <w:p w14:paraId="52B18C83" w14:textId="18CD0DBA" w:rsidR="00E82131" w:rsidRDefault="00E82131" w:rsidP="00CD3D15">
      <w:pPr>
        <w:pStyle w:val="FootnoteText"/>
      </w:pPr>
      <w:r>
        <w:rPr>
          <w:rStyle w:val="FootnoteReference"/>
        </w:rPr>
        <w:footnoteRef/>
      </w:r>
      <w:r>
        <w:t xml:space="preserve"> The OECD-DAC guidelines say vehicles are eligible </w:t>
      </w:r>
      <w:r w:rsidRPr="00892DFA">
        <w:t>which ha</w:t>
      </w:r>
      <w:r>
        <w:t>ve</w:t>
      </w:r>
      <w:r w:rsidRPr="00892DFA">
        <w:t xml:space="preserve"> the economic development and welfare of developing countries as the main and primary objective of </w:t>
      </w:r>
      <w:proofErr w:type="gramStart"/>
      <w:r w:rsidRPr="00892DFA">
        <w:t>operations</w:t>
      </w:r>
      <w:r>
        <w:t>,</w:t>
      </w:r>
      <w:r w:rsidRPr="00892DFA">
        <w:t xml:space="preserve"> and</w:t>
      </w:r>
      <w:proofErr w:type="gramEnd"/>
      <w:r w:rsidRPr="00892DFA">
        <w:t xml:space="preserve"> provide finance which is additional</w:t>
      </w:r>
      <w:r>
        <w:t>. It’s unclear whether they refer to vehicles which principally, but not exclusively, finance private-sector entities.</w:t>
      </w:r>
    </w:p>
  </w:footnote>
  <w:footnote w:id="51">
    <w:p w14:paraId="57E054F0" w14:textId="0A19C67C" w:rsidR="00E82131" w:rsidRDefault="00E82131" w:rsidP="007C756B">
      <w:pPr>
        <w:pStyle w:val="FootnoteText"/>
      </w:pPr>
      <w:r>
        <w:rPr>
          <w:rStyle w:val="FootnoteReference"/>
        </w:rPr>
        <w:footnoteRef/>
      </w:r>
      <w:r>
        <w:t xml:space="preserve"> For example, we suggest FR offsets should be deducted from development assistance appropriations if guarantees were extended, but if these were internal </w:t>
      </w:r>
      <w:proofErr w:type="gramStart"/>
      <w:r>
        <w:t>transfers</w:t>
      </w:r>
      <w:proofErr w:type="gramEnd"/>
      <w:r>
        <w:t xml:space="preserve"> they might not be eligible as ODA; or in the other direction, amounts outlaid to purchase equity stakes would be eligible as ODA, but what we suggest should be deducted from development assistance appropriations in these cases would be smaller amounts.</w:t>
      </w:r>
    </w:p>
  </w:footnote>
  <w:footnote w:id="52">
    <w:p w14:paraId="45EDAC43" w14:textId="7F426B0D" w:rsidR="00E82131" w:rsidRDefault="00E82131" w:rsidP="00871A98">
      <w:pPr>
        <w:pStyle w:val="FootnoteText"/>
      </w:pPr>
      <w:r>
        <w:rPr>
          <w:rStyle w:val="FootnoteReference"/>
        </w:rPr>
        <w:footnoteRef/>
      </w:r>
      <w:r>
        <w:t xml:space="preserve"> Additional budget principles for Option 2:</w:t>
      </w:r>
    </w:p>
    <w:p w14:paraId="49F65098" w14:textId="4B178D55" w:rsidR="00E82131" w:rsidRDefault="00E82131" w:rsidP="00871A98">
      <w:pPr>
        <w:pStyle w:val="FootnoteText"/>
      </w:pPr>
      <w:proofErr w:type="spellStart"/>
      <w:r>
        <w:t>Efic</w:t>
      </w:r>
      <w:proofErr w:type="spellEnd"/>
      <w:r>
        <w:t xml:space="preserve"> would continue to operate commercially: any sub-commercial elements of financing arrangements which it undertook on DFAT’s initiative for development purposes would be funded from appropriations for development assistance. This could be in any of three ways, chosen case by case according to the situation:</w:t>
      </w:r>
    </w:p>
    <w:p w14:paraId="097EB149" w14:textId="77777777" w:rsidR="00E82131" w:rsidRDefault="00E82131" w:rsidP="00871A98">
      <w:pPr>
        <w:pStyle w:val="FootnoteText"/>
      </w:pPr>
      <w:r>
        <w:t>•</w:t>
      </w:r>
      <w:r>
        <w:tab/>
        <w:t xml:space="preserve">as payments from DFAT to </w:t>
      </w:r>
      <w:proofErr w:type="spellStart"/>
      <w:r>
        <w:t>Efic</w:t>
      </w:r>
      <w:proofErr w:type="spellEnd"/>
      <w:r>
        <w:t xml:space="preserve">, for example as interest-rate subsidies or guarantee </w:t>
      </w:r>
      <w:proofErr w:type="gramStart"/>
      <w:r>
        <w:t>fees;</w:t>
      </w:r>
      <w:proofErr w:type="gramEnd"/>
      <w:r>
        <w:t xml:space="preserve"> </w:t>
      </w:r>
    </w:p>
    <w:p w14:paraId="5C63FDBB" w14:textId="77777777" w:rsidR="00E82131" w:rsidRDefault="00E82131" w:rsidP="00871A98">
      <w:pPr>
        <w:pStyle w:val="FootnoteText"/>
      </w:pPr>
      <w:r>
        <w:t>•</w:t>
      </w:r>
      <w:r>
        <w:tab/>
        <w:t xml:space="preserve">through DFAT finance or financial support provided directly to a government, project sponsor or project contractor/s, in conjunction with </w:t>
      </w:r>
      <w:proofErr w:type="spellStart"/>
      <w:r>
        <w:t>Efic</w:t>
      </w:r>
      <w:proofErr w:type="spellEnd"/>
      <w:r>
        <w:t xml:space="preserve"> finance; or</w:t>
      </w:r>
    </w:p>
    <w:p w14:paraId="25443A66" w14:textId="11DB34CA" w:rsidR="00E82131" w:rsidRDefault="00E82131" w:rsidP="00871A98">
      <w:pPr>
        <w:pStyle w:val="FootnoteText"/>
      </w:pPr>
      <w:r>
        <w:t>•</w:t>
      </w:r>
      <w:r>
        <w:tab/>
        <w:t xml:space="preserve">for transactions on National Interest Account, through the existing arrangement for </w:t>
      </w:r>
      <w:proofErr w:type="spellStart"/>
      <w:r>
        <w:t>Efic’s</w:t>
      </w:r>
      <w:proofErr w:type="spellEnd"/>
      <w:r>
        <w:t xml:space="preserve"> losses to be recompensed from CRA, with equivalent deductions made from appropriations for development assistance.</w:t>
      </w:r>
    </w:p>
  </w:footnote>
  <w:footnote w:id="53">
    <w:p w14:paraId="6AEEAA36" w14:textId="090085DC" w:rsidR="00E82131" w:rsidRDefault="00E82131" w:rsidP="002D03C6">
      <w:pPr>
        <w:pStyle w:val="FootnoteText"/>
      </w:pPr>
      <w:r>
        <w:rPr>
          <w:rStyle w:val="FootnoteReference"/>
        </w:rPr>
        <w:footnoteRef/>
      </w:r>
      <w:r>
        <w:t xml:space="preserve"> Additional budget principles for Option 3:</w:t>
      </w:r>
    </w:p>
    <w:p w14:paraId="6104CB0F" w14:textId="72359523" w:rsidR="00E82131" w:rsidRDefault="00E82131" w:rsidP="002D03C6">
      <w:pPr>
        <w:pStyle w:val="FootnoteText"/>
      </w:pPr>
      <w:r>
        <w:t>a) If this new entity were established with a special appropriation, having notional balances and not being separately capitalised, its principles of operation would be as for option 1.</w:t>
      </w:r>
    </w:p>
    <w:p w14:paraId="0FEED897" w14:textId="088B34FD" w:rsidR="00E82131" w:rsidRDefault="00E82131" w:rsidP="002D03C6">
      <w:pPr>
        <w:pStyle w:val="FootnoteText"/>
      </w:pPr>
      <w:r>
        <w:t xml:space="preserve">b) Separate capitalisation appears to have nothing to recommend it in the near term—that is, the next several years. But it should be kept for later consideration whether the new entity might be made a corporate entity, so that it could provide a platform through which Australian (and perhaps other) institutional investors could participate in financing the entity’s portfolio of investments in regional developing countries (or selected ones of them). </w:t>
      </w:r>
    </w:p>
    <w:p w14:paraId="58F7E009" w14:textId="47261D02" w:rsidR="00E82131" w:rsidRDefault="00E82131" w:rsidP="002D03C6">
      <w:pPr>
        <w:pStyle w:val="FootnoteText"/>
      </w:pPr>
      <w:r>
        <w:t>c) Funding for the new entity’s operating expenses would be provided as part of annual appropriations for DFAT: it would require consideration whether to treat this funding as diversion of part of appropriations for development assistance.</w:t>
      </w:r>
    </w:p>
    <w:p w14:paraId="565A6A93" w14:textId="59FA684B" w:rsidR="00E82131" w:rsidRDefault="00E82131" w:rsidP="002D03C6">
      <w:pPr>
        <w:pStyle w:val="FootnoteText"/>
      </w:pPr>
      <w:r>
        <w:t>d) For the NGF functions remaining within DFAT, it might not be necessary to use appropriations other than those for development assistance. Reflows from maturing loans and investments should be added to appropriations, and so be available for new outlays of development assistance.</w:t>
      </w:r>
    </w:p>
  </w:footnote>
  <w:footnote w:id="54">
    <w:p w14:paraId="6C49DA5B" w14:textId="510FAC7D" w:rsidR="00E82131" w:rsidRDefault="00E82131">
      <w:pPr>
        <w:pStyle w:val="FootnoteText"/>
      </w:pPr>
      <w:r>
        <w:rPr>
          <w:rStyle w:val="FootnoteReference"/>
        </w:rPr>
        <w:footnoteRef/>
      </w:r>
      <w:r>
        <w:t xml:space="preserve"> We have had the benefit of information from DFAT about the expected costs of establishing the </w:t>
      </w:r>
      <w:r w:rsidRPr="00786D81">
        <w:t>financing facility for infrastructure in the Pacific</w:t>
      </w:r>
      <w:r>
        <w:t>,</w:t>
      </w:r>
      <w:r w:rsidRPr="00786D81">
        <w:t xml:space="preserve"> </w:t>
      </w:r>
      <w:r>
        <w:t>mentioned in the Introduction on page iii. Even so, our</w:t>
      </w:r>
      <w:r w:rsidRPr="00786D81">
        <w:t xml:space="preserve"> </w:t>
      </w:r>
      <w:r>
        <w:t>estimat</w:t>
      </w:r>
      <w:r w:rsidRPr="00786D81">
        <w:t xml:space="preserve">es are </w:t>
      </w:r>
      <w:r>
        <w:t xml:space="preserve">largely </w:t>
      </w:r>
      <w:r w:rsidRPr="00786D81">
        <w:t>conjectural</w:t>
      </w:r>
      <w:r>
        <w:t>, and better estimates would help in deciding on the minimum viable level of NGF operations.</w:t>
      </w:r>
    </w:p>
  </w:footnote>
  <w:footnote w:id="55">
    <w:p w14:paraId="21FCAF37" w14:textId="610C5D11" w:rsidR="00E82131" w:rsidRDefault="00E82131">
      <w:pPr>
        <w:pStyle w:val="FootnoteText"/>
      </w:pPr>
      <w:r>
        <w:rPr>
          <w:rStyle w:val="FootnoteReference"/>
        </w:rPr>
        <w:footnoteRef/>
      </w:r>
      <w:r>
        <w:t xml:space="preserve"> The </w:t>
      </w:r>
      <w:r w:rsidRPr="00742C2F">
        <w:t xml:space="preserve">AGS advice included some options for establishing legislative authority which AGS consider </w:t>
      </w:r>
      <w:proofErr w:type="gramStart"/>
      <w:r w:rsidRPr="00742C2F">
        <w:t>to contain</w:t>
      </w:r>
      <w:proofErr w:type="gramEnd"/>
      <w:r w:rsidRPr="00742C2F">
        <w:t xml:space="preserve"> a medium risk that a legal challenge would be upheld, and others containing a low risk of a legal challenge being upheld. Only the low-risk options are summarised here.</w:t>
      </w:r>
    </w:p>
  </w:footnote>
  <w:footnote w:id="56">
    <w:p w14:paraId="7EA9A593" w14:textId="1BE9D56B" w:rsidR="00E82131" w:rsidRDefault="00E82131">
      <w:pPr>
        <w:pStyle w:val="FootnoteText"/>
      </w:pPr>
      <w:r w:rsidRPr="003B3F3F">
        <w:rPr>
          <w:rStyle w:val="FootnoteReference"/>
        </w:rPr>
        <w:footnoteRef/>
      </w:r>
      <w:r w:rsidRPr="003B3F3F">
        <w:t xml:space="preserve"> This is explained in paragraphs 88 and 89 of the AGS advice.</w:t>
      </w:r>
    </w:p>
  </w:footnote>
  <w:footnote w:id="57">
    <w:p w14:paraId="3D393A17" w14:textId="77777777" w:rsidR="00E82131" w:rsidRPr="008E3CB3" w:rsidRDefault="00E82131" w:rsidP="00E63804">
      <w:pPr>
        <w:spacing w:after="0" w:line="240" w:lineRule="auto"/>
        <w:rPr>
          <w:rFonts w:cstheme="minorHAnsi"/>
          <w:sz w:val="20"/>
          <w:szCs w:val="20"/>
        </w:rPr>
      </w:pPr>
      <w:r w:rsidRPr="008E3CB3">
        <w:rPr>
          <w:rFonts w:cstheme="minorHAnsi"/>
          <w:sz w:val="20"/>
          <w:szCs w:val="20"/>
          <w:vertAlign w:val="superscript"/>
        </w:rPr>
        <w:footnoteRef/>
      </w:r>
      <w:r w:rsidRPr="008E3CB3">
        <w:rPr>
          <w:rFonts w:cstheme="minorHAnsi"/>
          <w:sz w:val="20"/>
          <w:szCs w:val="20"/>
        </w:rPr>
        <w:t xml:space="preserve"> </w:t>
      </w:r>
      <w:proofErr w:type="spellStart"/>
      <w:r w:rsidRPr="008E3CB3">
        <w:rPr>
          <w:rFonts w:eastAsia="Times New Roman" w:cstheme="minorHAnsi"/>
          <w:sz w:val="20"/>
          <w:szCs w:val="20"/>
        </w:rPr>
        <w:t>Karlis</w:t>
      </w:r>
      <w:proofErr w:type="spellEnd"/>
      <w:r w:rsidRPr="008E3CB3">
        <w:rPr>
          <w:rFonts w:eastAsia="Times New Roman" w:cstheme="minorHAnsi"/>
          <w:sz w:val="20"/>
          <w:szCs w:val="20"/>
        </w:rPr>
        <w:t xml:space="preserve"> </w:t>
      </w:r>
      <w:proofErr w:type="spellStart"/>
      <w:r w:rsidRPr="008E3CB3">
        <w:rPr>
          <w:rFonts w:eastAsia="Times New Roman" w:cstheme="minorHAnsi"/>
          <w:sz w:val="20"/>
          <w:szCs w:val="20"/>
        </w:rPr>
        <w:t>Salna</w:t>
      </w:r>
      <w:proofErr w:type="spellEnd"/>
      <w:r w:rsidRPr="008E3CB3">
        <w:rPr>
          <w:rFonts w:eastAsia="Times New Roman" w:cstheme="minorHAnsi"/>
          <w:sz w:val="20"/>
          <w:szCs w:val="20"/>
        </w:rPr>
        <w:t xml:space="preserve">, ‘Indonesia Needs $157 Billion for Infrastructure Plan,’ </w:t>
      </w:r>
      <w:r w:rsidRPr="008E3CB3">
        <w:rPr>
          <w:rFonts w:eastAsia="Times New Roman" w:cstheme="minorHAnsi"/>
          <w:i/>
          <w:sz w:val="20"/>
          <w:szCs w:val="20"/>
        </w:rPr>
        <w:t>Bloomberg</w:t>
      </w:r>
      <w:r w:rsidRPr="008E3CB3">
        <w:rPr>
          <w:rFonts w:eastAsia="Times New Roman" w:cstheme="minorHAnsi"/>
          <w:sz w:val="20"/>
          <w:szCs w:val="20"/>
        </w:rPr>
        <w:t xml:space="preserve">, 25 January 2018. </w:t>
      </w:r>
      <w:hyperlink r:id="rId6" w:history="1">
        <w:r w:rsidRPr="008E3CB3">
          <w:rPr>
            <w:rStyle w:val="Hyperlink"/>
            <w:rFonts w:eastAsia="Times New Roman" w:cstheme="minorHAnsi"/>
            <w:sz w:val="20"/>
            <w:szCs w:val="20"/>
          </w:rPr>
          <w:t>https://www.bloomberg.com/news/articles/2018-01-25/indonesia-seeks-to-plug-157-billion-gap-in-nation-building-plan</w:t>
        </w:r>
      </w:hyperlink>
      <w:r w:rsidRPr="008E3CB3">
        <w:rPr>
          <w:rFonts w:eastAsia="Times New Roman" w:cstheme="minorHAnsi"/>
          <w:sz w:val="20"/>
          <w:szCs w:val="20"/>
        </w:rPr>
        <w:t>.</w:t>
      </w:r>
    </w:p>
  </w:footnote>
  <w:footnote w:id="58">
    <w:p w14:paraId="577657C0" w14:textId="77777777" w:rsidR="00E82131" w:rsidRPr="008E3CB3" w:rsidRDefault="00E82131" w:rsidP="00E63804">
      <w:pPr>
        <w:pBdr>
          <w:top w:val="nil"/>
          <w:left w:val="nil"/>
          <w:bottom w:val="nil"/>
          <w:right w:val="nil"/>
          <w:between w:val="nil"/>
        </w:pBdr>
        <w:spacing w:after="0" w:line="240" w:lineRule="auto"/>
        <w:rPr>
          <w:rFonts w:eastAsia="Times New Roman" w:cstheme="minorHAnsi"/>
          <w:color w:val="000000"/>
          <w:sz w:val="20"/>
          <w:szCs w:val="20"/>
        </w:rPr>
      </w:pPr>
      <w:r w:rsidRPr="008E3CB3">
        <w:rPr>
          <w:rFonts w:cstheme="minorHAnsi"/>
          <w:sz w:val="20"/>
          <w:szCs w:val="20"/>
          <w:vertAlign w:val="superscript"/>
        </w:rPr>
        <w:footnoteRef/>
      </w:r>
      <w:r w:rsidRPr="008E3CB3">
        <w:rPr>
          <w:rFonts w:eastAsia="Times New Roman" w:cstheme="minorHAnsi"/>
          <w:color w:val="000000"/>
          <w:sz w:val="20"/>
          <w:szCs w:val="20"/>
        </w:rPr>
        <w:t xml:space="preserve"> DFAT, </w:t>
      </w:r>
      <w:r w:rsidRPr="008E3CB3">
        <w:rPr>
          <w:rFonts w:eastAsia="Times New Roman" w:cstheme="minorHAnsi"/>
          <w:i/>
          <w:color w:val="000000"/>
          <w:sz w:val="20"/>
          <w:szCs w:val="20"/>
        </w:rPr>
        <w:t>Indonesia</w:t>
      </w:r>
      <w:r>
        <w:rPr>
          <w:rFonts w:eastAsia="Times New Roman" w:cstheme="minorHAnsi"/>
          <w:i/>
          <w:color w:val="000000"/>
          <w:sz w:val="20"/>
          <w:szCs w:val="20"/>
        </w:rPr>
        <w:t>—</w:t>
      </w:r>
      <w:r w:rsidRPr="008E3CB3">
        <w:rPr>
          <w:rFonts w:eastAsia="Times New Roman" w:cstheme="minorHAnsi"/>
          <w:i/>
          <w:color w:val="000000"/>
          <w:sz w:val="20"/>
          <w:szCs w:val="20"/>
        </w:rPr>
        <w:t>Australia Aid Factsheet,</w:t>
      </w:r>
      <w:r w:rsidRPr="008E3CB3">
        <w:rPr>
          <w:rFonts w:eastAsia="Times New Roman" w:cstheme="minorHAnsi"/>
          <w:color w:val="000000"/>
          <w:sz w:val="20"/>
          <w:szCs w:val="20"/>
        </w:rPr>
        <w:t xml:space="preserve"> October 2018. </w:t>
      </w:r>
    </w:p>
  </w:footnote>
  <w:footnote w:id="59">
    <w:p w14:paraId="721140F5" w14:textId="77777777" w:rsidR="00E82131" w:rsidRPr="008E3CB3" w:rsidRDefault="00E82131" w:rsidP="00E63804">
      <w:pPr>
        <w:pBdr>
          <w:top w:val="nil"/>
          <w:left w:val="nil"/>
          <w:bottom w:val="nil"/>
          <w:right w:val="nil"/>
          <w:between w:val="nil"/>
        </w:pBdr>
        <w:spacing w:after="0" w:line="240" w:lineRule="auto"/>
        <w:rPr>
          <w:rFonts w:eastAsia="Times New Roman" w:cstheme="minorHAnsi"/>
          <w:color w:val="000000"/>
          <w:sz w:val="20"/>
          <w:szCs w:val="20"/>
        </w:rPr>
      </w:pPr>
      <w:r w:rsidRPr="008E3CB3">
        <w:rPr>
          <w:rFonts w:cstheme="minorHAnsi"/>
          <w:sz w:val="20"/>
          <w:szCs w:val="20"/>
          <w:vertAlign w:val="superscript"/>
        </w:rPr>
        <w:footnoteRef/>
      </w:r>
      <w:r w:rsidRPr="008E3CB3">
        <w:rPr>
          <w:rFonts w:eastAsia="Times New Roman" w:cstheme="minorHAnsi"/>
          <w:color w:val="000000"/>
          <w:sz w:val="20"/>
          <w:szCs w:val="20"/>
        </w:rPr>
        <w:t xml:space="preserve"> </w:t>
      </w:r>
      <w:proofErr w:type="spellStart"/>
      <w:r w:rsidRPr="008E3CB3">
        <w:rPr>
          <w:rFonts w:eastAsia="Times New Roman" w:cstheme="minorHAnsi"/>
          <w:color w:val="000000"/>
          <w:sz w:val="20"/>
          <w:szCs w:val="20"/>
        </w:rPr>
        <w:t>Erwida</w:t>
      </w:r>
      <w:proofErr w:type="spellEnd"/>
      <w:r w:rsidRPr="008E3CB3">
        <w:rPr>
          <w:rFonts w:eastAsia="Times New Roman" w:cstheme="minorHAnsi"/>
          <w:color w:val="000000"/>
          <w:sz w:val="20"/>
          <w:szCs w:val="20"/>
        </w:rPr>
        <w:t xml:space="preserve"> </w:t>
      </w:r>
      <w:proofErr w:type="spellStart"/>
      <w:r w:rsidRPr="008E3CB3">
        <w:rPr>
          <w:rFonts w:eastAsia="Times New Roman" w:cstheme="minorHAnsi"/>
          <w:color w:val="000000"/>
          <w:sz w:val="20"/>
          <w:szCs w:val="20"/>
        </w:rPr>
        <w:t>Maulia</w:t>
      </w:r>
      <w:proofErr w:type="spellEnd"/>
      <w:r w:rsidRPr="008E3CB3">
        <w:rPr>
          <w:rFonts w:eastAsia="Times New Roman" w:cstheme="minorHAnsi"/>
          <w:color w:val="000000"/>
          <w:sz w:val="20"/>
          <w:szCs w:val="20"/>
        </w:rPr>
        <w:t xml:space="preserve">, ‘China becomes Indonesia's No. 2 investor with infrastructure drive’, </w:t>
      </w:r>
      <w:r w:rsidRPr="008E3CB3">
        <w:rPr>
          <w:rFonts w:eastAsia="Times New Roman" w:cstheme="minorHAnsi"/>
          <w:i/>
          <w:color w:val="000000"/>
          <w:sz w:val="20"/>
          <w:szCs w:val="20"/>
        </w:rPr>
        <w:t>Nikkei Asian Review</w:t>
      </w:r>
      <w:r w:rsidRPr="008E3CB3">
        <w:rPr>
          <w:rFonts w:eastAsia="Times New Roman" w:cstheme="minorHAnsi"/>
          <w:color w:val="000000"/>
          <w:sz w:val="20"/>
          <w:szCs w:val="20"/>
        </w:rPr>
        <w:t>, 1 February 2018</w:t>
      </w:r>
      <w:r w:rsidRPr="008E3CB3">
        <w:rPr>
          <w:rFonts w:eastAsia="Times New Roman" w:cstheme="minorHAnsi"/>
          <w:sz w:val="20"/>
          <w:szCs w:val="20"/>
        </w:rPr>
        <w:t xml:space="preserve">. </w:t>
      </w:r>
      <w:hyperlink r:id="rId7" w:history="1">
        <w:r w:rsidRPr="008E3CB3">
          <w:rPr>
            <w:rStyle w:val="Hyperlink"/>
            <w:rFonts w:eastAsia="Times New Roman" w:cstheme="minorHAnsi"/>
            <w:sz w:val="20"/>
            <w:szCs w:val="20"/>
          </w:rPr>
          <w:t>https://asia.nikkei.com/Politics/International-Relations/China-becomes-Indonesia-s-No.-2-investor-with-infrastructure-drive</w:t>
        </w:r>
      </w:hyperlink>
    </w:p>
  </w:footnote>
  <w:footnote w:id="60">
    <w:p w14:paraId="1AF5D98A" w14:textId="77777777" w:rsidR="00E82131" w:rsidRPr="008E3CB3" w:rsidRDefault="00E82131" w:rsidP="00E63804">
      <w:pPr>
        <w:spacing w:after="0" w:line="240" w:lineRule="auto"/>
        <w:rPr>
          <w:rFonts w:cstheme="minorHAnsi"/>
          <w:sz w:val="20"/>
          <w:szCs w:val="20"/>
        </w:rPr>
      </w:pPr>
      <w:r w:rsidRPr="008E3CB3">
        <w:rPr>
          <w:rFonts w:cstheme="minorHAnsi"/>
          <w:sz w:val="20"/>
          <w:szCs w:val="20"/>
          <w:vertAlign w:val="superscript"/>
        </w:rPr>
        <w:footnoteRef/>
      </w:r>
      <w:r w:rsidRPr="008E3CB3">
        <w:rPr>
          <w:rFonts w:eastAsia="Times New Roman" w:cstheme="minorHAnsi"/>
          <w:sz w:val="20"/>
          <w:szCs w:val="20"/>
        </w:rPr>
        <w:t xml:space="preserve"> Australian Government, </w:t>
      </w:r>
      <w:r w:rsidRPr="008E3CB3">
        <w:rPr>
          <w:rFonts w:eastAsia="Times New Roman" w:cstheme="minorHAnsi"/>
          <w:i/>
          <w:sz w:val="20"/>
          <w:szCs w:val="20"/>
        </w:rPr>
        <w:t>Foreign Policy Whitepaper,</w:t>
      </w:r>
      <w:r w:rsidRPr="008E3CB3">
        <w:rPr>
          <w:rFonts w:eastAsia="Times New Roman" w:cstheme="minorHAnsi"/>
          <w:sz w:val="20"/>
          <w:szCs w:val="20"/>
        </w:rPr>
        <w:t xml:space="preserve"> 2017.</w:t>
      </w:r>
    </w:p>
  </w:footnote>
  <w:footnote w:id="61">
    <w:p w14:paraId="64A73136" w14:textId="77777777" w:rsidR="00E82131" w:rsidRPr="008E3CB3" w:rsidRDefault="00E82131" w:rsidP="00E63804">
      <w:pPr>
        <w:pBdr>
          <w:top w:val="nil"/>
          <w:left w:val="nil"/>
          <w:bottom w:val="nil"/>
          <w:right w:val="nil"/>
          <w:between w:val="nil"/>
        </w:pBdr>
        <w:spacing w:after="0" w:line="240" w:lineRule="auto"/>
        <w:rPr>
          <w:rFonts w:eastAsia="Times New Roman" w:cstheme="minorHAnsi"/>
          <w:color w:val="000000"/>
          <w:sz w:val="20"/>
          <w:szCs w:val="20"/>
        </w:rPr>
      </w:pPr>
      <w:r w:rsidRPr="008E3CB3">
        <w:rPr>
          <w:rFonts w:cstheme="minorHAnsi"/>
          <w:sz w:val="20"/>
          <w:szCs w:val="20"/>
          <w:vertAlign w:val="superscript"/>
        </w:rPr>
        <w:footnoteRef/>
      </w:r>
      <w:r w:rsidRPr="008E3CB3">
        <w:rPr>
          <w:rFonts w:eastAsia="Times New Roman" w:cstheme="minorHAnsi"/>
          <w:color w:val="000000"/>
          <w:sz w:val="20"/>
          <w:szCs w:val="20"/>
        </w:rPr>
        <w:t xml:space="preserve"> OECD, </w:t>
      </w:r>
      <w:r w:rsidRPr="008E3CB3">
        <w:rPr>
          <w:rFonts w:eastAsia="Times New Roman" w:cstheme="minorHAnsi"/>
          <w:i/>
          <w:sz w:val="20"/>
          <w:szCs w:val="20"/>
        </w:rPr>
        <w:t>FDI Flows</w:t>
      </w:r>
      <w:r w:rsidRPr="008E3CB3">
        <w:rPr>
          <w:rFonts w:eastAsia="Times New Roman" w:cstheme="minorHAnsi"/>
          <w:sz w:val="20"/>
          <w:szCs w:val="20"/>
        </w:rPr>
        <w:t xml:space="preserve">. Database. https://data.oecd.org/fdi/fdi-flows.htm  </w:t>
      </w:r>
    </w:p>
  </w:footnote>
  <w:footnote w:id="62">
    <w:p w14:paraId="7D17D9A7" w14:textId="77777777" w:rsidR="00E82131" w:rsidRPr="008E3CB3" w:rsidRDefault="00E82131" w:rsidP="00E63804">
      <w:pPr>
        <w:pBdr>
          <w:top w:val="nil"/>
          <w:left w:val="nil"/>
          <w:bottom w:val="nil"/>
          <w:right w:val="nil"/>
          <w:between w:val="nil"/>
        </w:pBdr>
        <w:spacing w:after="0" w:line="240" w:lineRule="auto"/>
        <w:rPr>
          <w:rFonts w:eastAsia="Times New Roman" w:cstheme="minorHAnsi"/>
          <w:color w:val="000000"/>
          <w:sz w:val="20"/>
          <w:szCs w:val="20"/>
        </w:rPr>
      </w:pPr>
      <w:r w:rsidRPr="008E3CB3">
        <w:rPr>
          <w:rFonts w:cstheme="minorHAnsi"/>
          <w:sz w:val="20"/>
          <w:szCs w:val="20"/>
          <w:vertAlign w:val="superscript"/>
        </w:rPr>
        <w:footnoteRef/>
      </w:r>
      <w:r w:rsidRPr="008E3CB3">
        <w:rPr>
          <w:rFonts w:eastAsia="Times New Roman" w:cstheme="minorHAnsi"/>
          <w:color w:val="000000"/>
          <w:sz w:val="20"/>
          <w:szCs w:val="20"/>
        </w:rPr>
        <w:t xml:space="preserve"> </w:t>
      </w:r>
      <w:r w:rsidRPr="008E3CB3">
        <w:rPr>
          <w:rFonts w:eastAsia="Times New Roman" w:cstheme="minorHAnsi"/>
          <w:i/>
          <w:color w:val="000000"/>
          <w:sz w:val="20"/>
          <w:szCs w:val="20"/>
        </w:rPr>
        <w:t>The Jakarta Post</w:t>
      </w:r>
      <w:r w:rsidRPr="008E3CB3">
        <w:rPr>
          <w:rFonts w:eastAsia="Times New Roman" w:cstheme="minorHAnsi"/>
          <w:color w:val="000000"/>
          <w:sz w:val="20"/>
          <w:szCs w:val="20"/>
        </w:rPr>
        <w:t xml:space="preserve">, ‘Poverty rate falls to lowest ever: BPS’, 16 July 2018. </w:t>
      </w:r>
      <w:hyperlink r:id="rId8" w:history="1">
        <w:r w:rsidRPr="008E3CB3">
          <w:rPr>
            <w:rStyle w:val="Hyperlink"/>
            <w:rFonts w:eastAsia="Times New Roman" w:cstheme="minorHAnsi"/>
            <w:sz w:val="20"/>
            <w:szCs w:val="20"/>
          </w:rPr>
          <w:t>http://www.thejakartapost.com/news/2018/07/16/poverty-rate-falls-to-lowest-level-ever.html</w:t>
        </w:r>
      </w:hyperlink>
      <w:r w:rsidRPr="008E3CB3">
        <w:rPr>
          <w:rFonts w:eastAsia="Times New Roman" w:cstheme="minorHAnsi"/>
          <w:color w:val="000000"/>
          <w:sz w:val="20"/>
          <w:szCs w:val="20"/>
        </w:rPr>
        <w:t xml:space="preserve"> </w:t>
      </w:r>
    </w:p>
  </w:footnote>
  <w:footnote w:id="63">
    <w:p w14:paraId="1705D13C" w14:textId="77777777" w:rsidR="00E82131" w:rsidRPr="001241AD" w:rsidRDefault="00E82131" w:rsidP="00E63804">
      <w:pPr>
        <w:pBdr>
          <w:top w:val="nil"/>
          <w:left w:val="nil"/>
          <w:bottom w:val="nil"/>
          <w:right w:val="nil"/>
          <w:between w:val="nil"/>
        </w:pBdr>
        <w:spacing w:after="0" w:line="240" w:lineRule="auto"/>
        <w:rPr>
          <w:rFonts w:ascii="Calibri" w:eastAsia="Times New Roman" w:hAnsi="Calibri" w:cs="Times New Roman"/>
          <w:color w:val="000000"/>
          <w:sz w:val="20"/>
          <w:szCs w:val="20"/>
        </w:rPr>
      </w:pPr>
      <w:r w:rsidRPr="008E3CB3">
        <w:rPr>
          <w:rFonts w:cstheme="minorHAnsi"/>
          <w:sz w:val="20"/>
          <w:szCs w:val="20"/>
          <w:vertAlign w:val="superscript"/>
        </w:rPr>
        <w:footnoteRef/>
      </w:r>
      <w:r w:rsidRPr="008E3CB3">
        <w:rPr>
          <w:rFonts w:eastAsia="Times New Roman" w:cstheme="minorHAnsi"/>
          <w:color w:val="000000"/>
          <w:sz w:val="20"/>
          <w:szCs w:val="20"/>
        </w:rPr>
        <w:t xml:space="preserve"> DFAT, </w:t>
      </w:r>
      <w:r w:rsidRPr="008E3CB3">
        <w:rPr>
          <w:rFonts w:eastAsia="Times New Roman" w:cstheme="minorHAnsi"/>
          <w:i/>
          <w:color w:val="000000"/>
          <w:sz w:val="20"/>
          <w:szCs w:val="20"/>
        </w:rPr>
        <w:t>Country Information Report Indonesia,</w:t>
      </w:r>
      <w:r w:rsidRPr="008E3CB3">
        <w:rPr>
          <w:rFonts w:eastAsia="Times New Roman" w:cstheme="minorHAnsi"/>
          <w:color w:val="000000"/>
          <w:sz w:val="20"/>
          <w:szCs w:val="20"/>
        </w:rPr>
        <w:t xml:space="preserve"> 2017.</w:t>
      </w:r>
    </w:p>
  </w:footnote>
  <w:footnote w:id="64">
    <w:p w14:paraId="55389E1F" w14:textId="77777777" w:rsidR="00E82131" w:rsidRPr="008E3CB3" w:rsidRDefault="00E82131" w:rsidP="00E63804">
      <w:pPr>
        <w:pBdr>
          <w:top w:val="nil"/>
          <w:left w:val="nil"/>
          <w:bottom w:val="nil"/>
          <w:right w:val="nil"/>
          <w:between w:val="nil"/>
        </w:pBdr>
        <w:spacing w:after="0" w:line="240" w:lineRule="auto"/>
        <w:rPr>
          <w:rFonts w:eastAsia="Times New Roman" w:cstheme="minorHAnsi"/>
          <w:color w:val="000000"/>
          <w:sz w:val="20"/>
          <w:szCs w:val="20"/>
        </w:rPr>
      </w:pPr>
      <w:r w:rsidRPr="008E3CB3">
        <w:rPr>
          <w:rFonts w:cstheme="minorHAnsi"/>
          <w:sz w:val="20"/>
          <w:szCs w:val="20"/>
          <w:vertAlign w:val="superscript"/>
        </w:rPr>
        <w:footnoteRef/>
      </w:r>
      <w:r w:rsidRPr="008E3CB3">
        <w:rPr>
          <w:rFonts w:eastAsia="Times New Roman" w:cstheme="minorHAnsi"/>
          <w:color w:val="000000"/>
          <w:sz w:val="20"/>
          <w:szCs w:val="20"/>
        </w:rPr>
        <w:t xml:space="preserve"> Ibid. </w:t>
      </w:r>
    </w:p>
  </w:footnote>
  <w:footnote w:id="65">
    <w:p w14:paraId="7816F55B" w14:textId="77777777" w:rsidR="00E82131" w:rsidRPr="008E3CB3" w:rsidRDefault="00E82131" w:rsidP="00E63804">
      <w:pPr>
        <w:spacing w:after="0" w:line="240" w:lineRule="auto"/>
        <w:rPr>
          <w:rFonts w:eastAsia="Times New Roman" w:cstheme="minorHAnsi"/>
          <w:sz w:val="20"/>
          <w:szCs w:val="20"/>
        </w:rPr>
      </w:pPr>
      <w:r w:rsidRPr="008E3CB3">
        <w:rPr>
          <w:rFonts w:cstheme="minorHAnsi"/>
          <w:sz w:val="20"/>
          <w:szCs w:val="20"/>
          <w:vertAlign w:val="superscript"/>
        </w:rPr>
        <w:footnoteRef/>
      </w:r>
      <w:r w:rsidRPr="008E3CB3">
        <w:rPr>
          <w:rFonts w:eastAsia="Times New Roman" w:cstheme="minorHAnsi"/>
          <w:sz w:val="20"/>
          <w:szCs w:val="20"/>
        </w:rPr>
        <w:t xml:space="preserve"> Statista Database. </w:t>
      </w:r>
      <w:hyperlink r:id="rId9" w:history="1">
        <w:r w:rsidRPr="008E3CB3">
          <w:rPr>
            <w:rStyle w:val="Hyperlink"/>
            <w:rFonts w:eastAsia="Times New Roman" w:cstheme="minorHAnsi"/>
            <w:sz w:val="20"/>
            <w:szCs w:val="20"/>
          </w:rPr>
          <w:t>https://www.statista.com/statistics/257046/smartphone-user-penetration-in-indonesia/</w:t>
        </w:r>
      </w:hyperlink>
    </w:p>
  </w:footnote>
  <w:footnote w:id="66">
    <w:p w14:paraId="23CFAC0E" w14:textId="77777777" w:rsidR="00E82131" w:rsidRPr="008E3CB3" w:rsidRDefault="00E82131" w:rsidP="00E63804">
      <w:pPr>
        <w:pBdr>
          <w:top w:val="nil"/>
          <w:left w:val="nil"/>
          <w:bottom w:val="nil"/>
          <w:right w:val="nil"/>
          <w:between w:val="nil"/>
        </w:pBdr>
        <w:spacing w:after="0" w:line="240" w:lineRule="auto"/>
        <w:rPr>
          <w:rFonts w:eastAsia="Times New Roman" w:cstheme="minorHAnsi"/>
          <w:color w:val="000000"/>
          <w:sz w:val="20"/>
          <w:szCs w:val="20"/>
        </w:rPr>
      </w:pPr>
      <w:r w:rsidRPr="008E3CB3">
        <w:rPr>
          <w:rFonts w:cstheme="minorHAnsi"/>
          <w:sz w:val="20"/>
          <w:szCs w:val="20"/>
          <w:vertAlign w:val="superscript"/>
        </w:rPr>
        <w:footnoteRef/>
      </w:r>
      <w:r w:rsidRPr="008E3CB3">
        <w:rPr>
          <w:rFonts w:eastAsia="Times New Roman" w:cstheme="minorHAnsi"/>
          <w:color w:val="000000"/>
          <w:sz w:val="20"/>
          <w:szCs w:val="20"/>
        </w:rPr>
        <w:t xml:space="preserve"> </w:t>
      </w:r>
      <w:proofErr w:type="spellStart"/>
      <w:r w:rsidRPr="008E3CB3">
        <w:rPr>
          <w:rFonts w:eastAsia="Times New Roman" w:cstheme="minorHAnsi"/>
          <w:color w:val="000000"/>
          <w:sz w:val="20"/>
          <w:szCs w:val="20"/>
        </w:rPr>
        <w:t>Karlis</w:t>
      </w:r>
      <w:proofErr w:type="spellEnd"/>
      <w:r w:rsidRPr="008E3CB3">
        <w:rPr>
          <w:rFonts w:eastAsia="Times New Roman" w:cstheme="minorHAnsi"/>
          <w:color w:val="000000"/>
          <w:sz w:val="20"/>
          <w:szCs w:val="20"/>
        </w:rPr>
        <w:t xml:space="preserve"> </w:t>
      </w:r>
      <w:proofErr w:type="spellStart"/>
      <w:r w:rsidRPr="008E3CB3">
        <w:rPr>
          <w:rFonts w:eastAsia="Times New Roman" w:cstheme="minorHAnsi"/>
          <w:color w:val="000000"/>
          <w:sz w:val="20"/>
          <w:szCs w:val="20"/>
        </w:rPr>
        <w:t>Salna</w:t>
      </w:r>
      <w:proofErr w:type="spellEnd"/>
      <w:r w:rsidRPr="008E3CB3">
        <w:rPr>
          <w:rFonts w:eastAsia="Times New Roman" w:cstheme="minorHAnsi"/>
          <w:color w:val="000000"/>
          <w:sz w:val="20"/>
          <w:szCs w:val="20"/>
        </w:rPr>
        <w:t xml:space="preserve">, ‘Indonesia Needs $157 Billion for Infrastructure Plan’, </w:t>
      </w:r>
      <w:r w:rsidRPr="008E3CB3">
        <w:rPr>
          <w:rFonts w:eastAsia="Times New Roman" w:cstheme="minorHAnsi"/>
          <w:i/>
          <w:color w:val="000000"/>
          <w:sz w:val="20"/>
          <w:szCs w:val="20"/>
        </w:rPr>
        <w:t>Bloomberg</w:t>
      </w:r>
      <w:r w:rsidRPr="008E3CB3">
        <w:rPr>
          <w:rFonts w:eastAsia="Times New Roman" w:cstheme="minorHAnsi"/>
          <w:color w:val="000000"/>
          <w:sz w:val="20"/>
          <w:szCs w:val="20"/>
        </w:rPr>
        <w:t xml:space="preserve">, 25 January 2018. </w:t>
      </w:r>
      <w:hyperlink r:id="rId10" w:history="1">
        <w:r w:rsidRPr="008E3CB3">
          <w:rPr>
            <w:rStyle w:val="Hyperlink"/>
            <w:rFonts w:eastAsia="Times New Roman" w:cstheme="minorHAnsi"/>
            <w:sz w:val="20"/>
            <w:szCs w:val="20"/>
          </w:rPr>
          <w:t>https://www.bloomberg.com/news/articles/2018-01-25/indonesia-seeks-to-plug-157-billion-gap-in-nation-building-plan</w:t>
        </w:r>
      </w:hyperlink>
    </w:p>
  </w:footnote>
  <w:footnote w:id="67">
    <w:p w14:paraId="710862A2" w14:textId="77777777" w:rsidR="00E82131" w:rsidRPr="008E3CB3" w:rsidRDefault="00E82131" w:rsidP="00E63804">
      <w:pPr>
        <w:pBdr>
          <w:top w:val="nil"/>
          <w:left w:val="nil"/>
          <w:bottom w:val="nil"/>
          <w:right w:val="nil"/>
          <w:between w:val="nil"/>
        </w:pBdr>
        <w:spacing w:after="0" w:line="240" w:lineRule="auto"/>
        <w:rPr>
          <w:rFonts w:eastAsia="Times New Roman" w:cstheme="minorHAnsi"/>
          <w:color w:val="000000"/>
          <w:sz w:val="20"/>
          <w:szCs w:val="20"/>
        </w:rPr>
      </w:pPr>
      <w:r w:rsidRPr="008E3CB3">
        <w:rPr>
          <w:rFonts w:cstheme="minorHAnsi"/>
          <w:sz w:val="20"/>
          <w:szCs w:val="20"/>
          <w:vertAlign w:val="superscript"/>
        </w:rPr>
        <w:footnoteRef/>
      </w:r>
      <w:r w:rsidRPr="008E3CB3">
        <w:rPr>
          <w:rFonts w:eastAsia="Times New Roman" w:cstheme="minorHAnsi"/>
          <w:color w:val="000000"/>
          <w:sz w:val="20"/>
          <w:szCs w:val="20"/>
        </w:rPr>
        <w:t xml:space="preserve"> GIIN, </w:t>
      </w:r>
      <w:proofErr w:type="spellStart"/>
      <w:r w:rsidRPr="008E3CB3">
        <w:rPr>
          <w:rFonts w:eastAsia="Times New Roman" w:cstheme="minorHAnsi"/>
          <w:color w:val="000000"/>
          <w:sz w:val="20"/>
          <w:szCs w:val="20"/>
        </w:rPr>
        <w:t>Intellecap</w:t>
      </w:r>
      <w:proofErr w:type="spellEnd"/>
      <w:r w:rsidRPr="008E3CB3">
        <w:rPr>
          <w:rFonts w:eastAsia="Times New Roman" w:cstheme="minorHAnsi"/>
          <w:color w:val="000000"/>
          <w:sz w:val="20"/>
          <w:szCs w:val="20"/>
        </w:rPr>
        <w:t>,</w:t>
      </w:r>
      <w:r w:rsidRPr="008E3CB3">
        <w:rPr>
          <w:rFonts w:eastAsia="Times New Roman" w:cstheme="minorHAnsi"/>
          <w:i/>
          <w:color w:val="000000"/>
          <w:sz w:val="20"/>
          <w:szCs w:val="20"/>
        </w:rPr>
        <w:t xml:space="preserve"> The Landscape for Impact Investing in Southeast Asia: Indonesia</w:t>
      </w:r>
      <w:r w:rsidRPr="008E3CB3">
        <w:rPr>
          <w:rFonts w:eastAsia="Times New Roman" w:cstheme="minorHAnsi"/>
          <w:color w:val="000000"/>
          <w:sz w:val="20"/>
          <w:szCs w:val="20"/>
        </w:rPr>
        <w:t>, 2018.</w:t>
      </w:r>
    </w:p>
  </w:footnote>
  <w:footnote w:id="68">
    <w:p w14:paraId="69BCE0FA" w14:textId="77777777" w:rsidR="00E82131" w:rsidRPr="008E3CB3" w:rsidRDefault="00E82131" w:rsidP="00E63804">
      <w:pPr>
        <w:pBdr>
          <w:top w:val="nil"/>
          <w:left w:val="nil"/>
          <w:bottom w:val="nil"/>
          <w:right w:val="nil"/>
          <w:between w:val="nil"/>
        </w:pBdr>
        <w:spacing w:after="0" w:line="240" w:lineRule="auto"/>
        <w:rPr>
          <w:rFonts w:eastAsia="Times New Roman" w:cstheme="minorHAnsi"/>
          <w:color w:val="000000"/>
          <w:sz w:val="20"/>
          <w:szCs w:val="20"/>
        </w:rPr>
      </w:pPr>
      <w:r w:rsidRPr="008E3CB3">
        <w:rPr>
          <w:rFonts w:cstheme="minorHAnsi"/>
          <w:sz w:val="20"/>
          <w:szCs w:val="20"/>
          <w:vertAlign w:val="superscript"/>
        </w:rPr>
        <w:footnoteRef/>
      </w:r>
      <w:r w:rsidRPr="008E3CB3">
        <w:rPr>
          <w:rFonts w:eastAsia="Times New Roman" w:cstheme="minorHAnsi"/>
          <w:color w:val="000000"/>
          <w:sz w:val="20"/>
          <w:szCs w:val="20"/>
        </w:rPr>
        <w:t>Hogan Lovells, ‘PE in Indonesia</w:t>
      </w:r>
      <w:r>
        <w:rPr>
          <w:rFonts w:eastAsia="Times New Roman" w:cstheme="minorHAnsi"/>
          <w:color w:val="000000"/>
          <w:sz w:val="20"/>
          <w:szCs w:val="20"/>
        </w:rPr>
        <w:t>—</w:t>
      </w:r>
      <w:r w:rsidRPr="008E3CB3">
        <w:rPr>
          <w:rFonts w:eastAsia="Times New Roman" w:cstheme="minorHAnsi"/>
          <w:color w:val="000000"/>
          <w:sz w:val="20"/>
          <w:szCs w:val="20"/>
        </w:rPr>
        <w:t>a vibrant market’, 16 October 2017.</w:t>
      </w:r>
      <w:r>
        <w:rPr>
          <w:rFonts w:eastAsia="Times New Roman" w:cstheme="minorHAnsi"/>
          <w:color w:val="000000"/>
          <w:sz w:val="20"/>
          <w:szCs w:val="20"/>
        </w:rPr>
        <w:t xml:space="preserve"> </w:t>
      </w:r>
      <w:hyperlink r:id="rId11" w:history="1">
        <w:r w:rsidRPr="002F60A8">
          <w:rPr>
            <w:rStyle w:val="Hyperlink"/>
            <w:rFonts w:eastAsia="Times New Roman" w:cstheme="minorHAnsi"/>
            <w:sz w:val="20"/>
            <w:szCs w:val="20"/>
          </w:rPr>
          <w:t>https://www.hoganlovells.com/en/blogs/the-buyout-board/pe-in-indonesia-a-vibrant-market</w:t>
        </w:r>
      </w:hyperlink>
      <w:r>
        <w:rPr>
          <w:rFonts w:eastAsia="Times New Roman" w:cstheme="minorHAnsi"/>
          <w:color w:val="000000"/>
          <w:sz w:val="20"/>
          <w:szCs w:val="20"/>
        </w:rPr>
        <w:t xml:space="preserve"> </w:t>
      </w:r>
    </w:p>
  </w:footnote>
  <w:footnote w:id="69">
    <w:p w14:paraId="0E0FC80A" w14:textId="77777777" w:rsidR="00E82131" w:rsidRPr="001241AD" w:rsidRDefault="00E82131" w:rsidP="00E63804">
      <w:pPr>
        <w:pBdr>
          <w:top w:val="nil"/>
          <w:left w:val="nil"/>
          <w:bottom w:val="nil"/>
          <w:right w:val="nil"/>
          <w:between w:val="nil"/>
        </w:pBdr>
        <w:spacing w:after="0" w:line="240" w:lineRule="auto"/>
        <w:rPr>
          <w:rFonts w:ascii="Calibri" w:hAnsi="Calibri"/>
          <w:color w:val="000000"/>
          <w:sz w:val="20"/>
          <w:szCs w:val="20"/>
        </w:rPr>
      </w:pPr>
      <w:r w:rsidRPr="008E3CB3">
        <w:rPr>
          <w:rFonts w:cstheme="minorHAnsi"/>
          <w:sz w:val="20"/>
          <w:szCs w:val="20"/>
          <w:vertAlign w:val="superscript"/>
        </w:rPr>
        <w:footnoteRef/>
      </w:r>
      <w:r w:rsidRPr="008E3CB3">
        <w:rPr>
          <w:rFonts w:eastAsia="Times New Roman" w:cstheme="minorHAnsi"/>
          <w:color w:val="000000"/>
          <w:sz w:val="20"/>
          <w:szCs w:val="20"/>
        </w:rPr>
        <w:t xml:space="preserve"> AT Kearney, Google, </w:t>
      </w:r>
      <w:r w:rsidRPr="008E3CB3">
        <w:rPr>
          <w:rFonts w:eastAsia="Times New Roman" w:cstheme="minorHAnsi"/>
          <w:i/>
          <w:color w:val="000000"/>
          <w:sz w:val="20"/>
          <w:szCs w:val="20"/>
        </w:rPr>
        <w:t>Indonesia Venture Capital Outlook,</w:t>
      </w:r>
      <w:r w:rsidRPr="008E3CB3">
        <w:rPr>
          <w:rFonts w:eastAsia="Times New Roman" w:cstheme="minorHAnsi"/>
          <w:color w:val="000000"/>
          <w:sz w:val="20"/>
          <w:szCs w:val="20"/>
        </w:rPr>
        <w:t xml:space="preserve"> 2017.</w:t>
      </w:r>
    </w:p>
  </w:footnote>
  <w:footnote w:id="70">
    <w:p w14:paraId="0E79ECB8" w14:textId="77777777" w:rsidR="00E82131" w:rsidRPr="001241AD" w:rsidRDefault="00E82131" w:rsidP="00E63804">
      <w:pPr>
        <w:spacing w:after="0" w:line="240" w:lineRule="auto"/>
        <w:rPr>
          <w:rFonts w:ascii="Calibri" w:eastAsia="Times New Roman" w:hAnsi="Calibri" w:cs="Times New Roman"/>
          <w:sz w:val="20"/>
          <w:szCs w:val="20"/>
        </w:rPr>
      </w:pPr>
      <w:r w:rsidRPr="001241AD">
        <w:rPr>
          <w:rFonts w:ascii="Calibri" w:hAnsi="Calibri"/>
          <w:sz w:val="20"/>
          <w:szCs w:val="20"/>
          <w:vertAlign w:val="superscript"/>
        </w:rPr>
        <w:footnoteRef/>
      </w:r>
      <w:r w:rsidRPr="001241AD">
        <w:rPr>
          <w:rFonts w:ascii="Calibri" w:eastAsia="Times New Roman" w:hAnsi="Calibri" w:cs="Times New Roman"/>
          <w:sz w:val="20"/>
          <w:szCs w:val="20"/>
        </w:rPr>
        <w:t xml:space="preserve"> This shortfall figure is calculated by projecting current investment trends and subtracting the same from an investment needs estimate. It does not explicitly </w:t>
      </w:r>
      <w:proofErr w:type="gramStart"/>
      <w:r w:rsidRPr="001241AD">
        <w:rPr>
          <w:rFonts w:ascii="Calibri" w:eastAsia="Times New Roman" w:hAnsi="Calibri" w:cs="Times New Roman"/>
          <w:sz w:val="20"/>
          <w:szCs w:val="20"/>
        </w:rPr>
        <w:t>take into account</w:t>
      </w:r>
      <w:proofErr w:type="gramEnd"/>
      <w:r w:rsidRPr="001241AD">
        <w:rPr>
          <w:rFonts w:ascii="Calibri" w:eastAsia="Times New Roman" w:hAnsi="Calibri" w:cs="Times New Roman"/>
          <w:sz w:val="20"/>
          <w:szCs w:val="20"/>
        </w:rPr>
        <w:t xml:space="preserve"> commitments by organisations like MDBs, such as those listed in the subsequent paragraph.</w:t>
      </w:r>
    </w:p>
  </w:footnote>
  <w:footnote w:id="71">
    <w:p w14:paraId="767B1473" w14:textId="77777777" w:rsidR="00E82131" w:rsidRPr="001241AD" w:rsidRDefault="00E82131" w:rsidP="00E63804">
      <w:pPr>
        <w:spacing w:after="0" w:line="240" w:lineRule="auto"/>
        <w:rPr>
          <w:rFonts w:ascii="Calibri" w:eastAsia="Times New Roman" w:hAnsi="Calibri" w:cs="Times New Roman"/>
          <w:sz w:val="20"/>
          <w:szCs w:val="20"/>
        </w:rPr>
      </w:pPr>
      <w:r w:rsidRPr="001241AD">
        <w:rPr>
          <w:rFonts w:ascii="Calibri" w:hAnsi="Calibri"/>
          <w:sz w:val="20"/>
          <w:szCs w:val="20"/>
          <w:vertAlign w:val="superscript"/>
        </w:rPr>
        <w:footnoteRef/>
      </w:r>
      <w:r w:rsidRPr="001241AD">
        <w:rPr>
          <w:rFonts w:ascii="Calibri" w:eastAsia="Times New Roman" w:hAnsi="Calibri" w:cs="Times New Roman"/>
          <w:sz w:val="20"/>
          <w:szCs w:val="20"/>
        </w:rPr>
        <w:t xml:space="preserve"> PricewaterhouseCoopers, </w:t>
      </w:r>
      <w:r w:rsidRPr="001241AD">
        <w:rPr>
          <w:rFonts w:ascii="Calibri" w:eastAsia="Times New Roman" w:hAnsi="Calibri" w:cs="Times New Roman"/>
          <w:i/>
          <w:sz w:val="20"/>
          <w:szCs w:val="20"/>
        </w:rPr>
        <w:t>Indonesian Infrastructure: Stable Foundations for Growth</w:t>
      </w:r>
      <w:r w:rsidRPr="001241AD">
        <w:rPr>
          <w:rFonts w:ascii="Calibri" w:eastAsia="Times New Roman" w:hAnsi="Calibri" w:cs="Times New Roman"/>
          <w:sz w:val="20"/>
          <w:szCs w:val="20"/>
        </w:rPr>
        <w:t xml:space="preserve">, 2017; World Bank, </w:t>
      </w:r>
      <w:r w:rsidRPr="001241AD">
        <w:rPr>
          <w:rFonts w:ascii="Calibri" w:eastAsia="Times New Roman" w:hAnsi="Calibri" w:cs="Times New Roman"/>
          <w:i/>
          <w:sz w:val="20"/>
          <w:szCs w:val="20"/>
        </w:rPr>
        <w:t>Infrastructure Sector Assessment Program: Indonesia,</w:t>
      </w:r>
      <w:r w:rsidRPr="001241AD">
        <w:rPr>
          <w:rFonts w:ascii="Calibri" w:eastAsia="Times New Roman" w:hAnsi="Calibri" w:cs="Times New Roman"/>
          <w:sz w:val="20"/>
          <w:szCs w:val="20"/>
        </w:rPr>
        <w:t xml:space="preserve"> 2018.</w:t>
      </w:r>
    </w:p>
  </w:footnote>
  <w:footnote w:id="72">
    <w:p w14:paraId="6ACC7629" w14:textId="77777777" w:rsidR="00E82131" w:rsidRPr="001241AD" w:rsidRDefault="00E82131" w:rsidP="00E63804">
      <w:pPr>
        <w:spacing w:after="0"/>
        <w:rPr>
          <w:rFonts w:ascii="Calibri" w:eastAsia="Times New Roman" w:hAnsi="Calibri" w:cs="Times New Roman"/>
          <w:sz w:val="20"/>
          <w:szCs w:val="20"/>
        </w:rPr>
      </w:pPr>
      <w:r w:rsidRPr="001241AD">
        <w:rPr>
          <w:rFonts w:ascii="Calibri" w:hAnsi="Calibri"/>
          <w:sz w:val="20"/>
          <w:szCs w:val="20"/>
          <w:vertAlign w:val="superscript"/>
        </w:rPr>
        <w:footnoteRef/>
      </w:r>
      <w:r w:rsidRPr="001241AD">
        <w:rPr>
          <w:rFonts w:ascii="Calibri" w:eastAsia="Times New Roman" w:hAnsi="Calibri" w:cs="Times New Roman"/>
          <w:sz w:val="20"/>
          <w:szCs w:val="20"/>
        </w:rPr>
        <w:t xml:space="preserve"> Asian Infrastructure Investment Bank (AIIB), </w:t>
      </w:r>
      <w:r w:rsidRPr="001241AD">
        <w:rPr>
          <w:rFonts w:ascii="Calibri" w:eastAsia="Times New Roman" w:hAnsi="Calibri" w:cs="Times New Roman"/>
          <w:i/>
          <w:sz w:val="20"/>
          <w:szCs w:val="20"/>
        </w:rPr>
        <w:t>Investor Brief</w:t>
      </w:r>
      <w:r w:rsidRPr="001241AD">
        <w:rPr>
          <w:rFonts w:ascii="Calibri" w:eastAsia="Times New Roman" w:hAnsi="Calibri" w:cs="Times New Roman"/>
          <w:sz w:val="20"/>
          <w:szCs w:val="20"/>
        </w:rPr>
        <w:t xml:space="preserve">, 2018. </w:t>
      </w:r>
    </w:p>
  </w:footnote>
  <w:footnote w:id="73">
    <w:p w14:paraId="40DE02CC" w14:textId="77777777" w:rsidR="00E82131" w:rsidRPr="001241AD" w:rsidRDefault="00E82131" w:rsidP="00E63804">
      <w:pPr>
        <w:spacing w:after="0"/>
        <w:rPr>
          <w:rFonts w:ascii="Calibri" w:eastAsia="Times New Roman" w:hAnsi="Calibri" w:cs="Times New Roman"/>
          <w:sz w:val="20"/>
          <w:szCs w:val="20"/>
        </w:rPr>
      </w:pPr>
      <w:r w:rsidRPr="001241AD">
        <w:rPr>
          <w:rFonts w:ascii="Calibri" w:hAnsi="Calibri"/>
          <w:sz w:val="20"/>
          <w:szCs w:val="20"/>
          <w:vertAlign w:val="superscript"/>
        </w:rPr>
        <w:footnoteRef/>
      </w:r>
      <w:r w:rsidRPr="001241AD">
        <w:rPr>
          <w:rFonts w:ascii="Calibri" w:eastAsia="Times New Roman" w:hAnsi="Calibri" w:cs="Times New Roman"/>
          <w:sz w:val="20"/>
          <w:szCs w:val="20"/>
        </w:rPr>
        <w:t xml:space="preserve"> World Bank, </w:t>
      </w:r>
      <w:r w:rsidRPr="001241AD">
        <w:rPr>
          <w:rFonts w:ascii="Calibri" w:eastAsia="Times New Roman" w:hAnsi="Calibri" w:cs="Times New Roman"/>
          <w:i/>
          <w:sz w:val="20"/>
          <w:szCs w:val="20"/>
        </w:rPr>
        <w:t>2016-2020 Country Partnership Framework,</w:t>
      </w:r>
      <w:r w:rsidRPr="001241AD">
        <w:rPr>
          <w:rFonts w:ascii="Calibri" w:eastAsia="Times New Roman" w:hAnsi="Calibri" w:cs="Times New Roman"/>
          <w:sz w:val="20"/>
          <w:szCs w:val="20"/>
        </w:rPr>
        <w:t xml:space="preserve"> 2016; ADB, </w:t>
      </w:r>
      <w:r w:rsidRPr="001241AD">
        <w:rPr>
          <w:rFonts w:ascii="Calibri" w:eastAsia="Times New Roman" w:hAnsi="Calibri" w:cs="Times New Roman"/>
          <w:i/>
          <w:sz w:val="20"/>
          <w:szCs w:val="20"/>
        </w:rPr>
        <w:t>2019</w:t>
      </w:r>
      <w:r>
        <w:rPr>
          <w:rFonts w:ascii="Calibri" w:eastAsia="Times New Roman" w:hAnsi="Calibri" w:cs="Times New Roman"/>
          <w:i/>
          <w:sz w:val="20"/>
          <w:szCs w:val="20"/>
        </w:rPr>
        <w:t>—</w:t>
      </w:r>
      <w:r w:rsidRPr="001241AD">
        <w:rPr>
          <w:rFonts w:ascii="Calibri" w:eastAsia="Times New Roman" w:hAnsi="Calibri" w:cs="Times New Roman"/>
          <w:i/>
          <w:sz w:val="20"/>
          <w:szCs w:val="20"/>
        </w:rPr>
        <w:t>2021 Country Operations Business Plan</w:t>
      </w:r>
      <w:r w:rsidRPr="001241AD">
        <w:rPr>
          <w:rFonts w:ascii="Calibri" w:eastAsia="Times New Roman" w:hAnsi="Calibri" w:cs="Times New Roman"/>
          <w:sz w:val="20"/>
          <w:szCs w:val="20"/>
        </w:rPr>
        <w:t>, 2018.</w:t>
      </w:r>
    </w:p>
  </w:footnote>
  <w:footnote w:id="74">
    <w:p w14:paraId="201E2859" w14:textId="77777777" w:rsidR="00E82131" w:rsidRPr="001241AD" w:rsidRDefault="00E82131" w:rsidP="00E63804">
      <w:pPr>
        <w:spacing w:after="0"/>
        <w:rPr>
          <w:rFonts w:ascii="Calibri" w:eastAsia="Times New Roman" w:hAnsi="Calibri" w:cs="Times New Roman"/>
          <w:sz w:val="20"/>
          <w:szCs w:val="20"/>
        </w:rPr>
      </w:pPr>
      <w:r w:rsidRPr="001241AD">
        <w:rPr>
          <w:rFonts w:ascii="Calibri" w:hAnsi="Calibri"/>
          <w:sz w:val="20"/>
          <w:szCs w:val="20"/>
          <w:vertAlign w:val="superscript"/>
        </w:rPr>
        <w:footnoteRef/>
      </w:r>
      <w:r w:rsidRPr="001241AD">
        <w:rPr>
          <w:rFonts w:ascii="Calibri" w:eastAsia="Times New Roman" w:hAnsi="Calibri" w:cs="Times New Roman"/>
          <w:sz w:val="20"/>
          <w:szCs w:val="20"/>
        </w:rPr>
        <w:t xml:space="preserve"> DFAT, </w:t>
      </w:r>
      <w:r w:rsidRPr="001241AD">
        <w:rPr>
          <w:rFonts w:ascii="Calibri" w:eastAsia="Times New Roman" w:hAnsi="Calibri" w:cs="Times New Roman"/>
          <w:i/>
          <w:sz w:val="20"/>
          <w:szCs w:val="20"/>
        </w:rPr>
        <w:t>Indonesia</w:t>
      </w:r>
      <w:r>
        <w:rPr>
          <w:rFonts w:ascii="Calibri" w:eastAsia="Times New Roman" w:hAnsi="Calibri" w:cs="Times New Roman"/>
          <w:i/>
          <w:sz w:val="20"/>
          <w:szCs w:val="20"/>
        </w:rPr>
        <w:t>—</w:t>
      </w:r>
      <w:r w:rsidRPr="001241AD">
        <w:rPr>
          <w:rFonts w:ascii="Calibri" w:eastAsia="Times New Roman" w:hAnsi="Calibri" w:cs="Times New Roman"/>
          <w:i/>
          <w:sz w:val="20"/>
          <w:szCs w:val="20"/>
        </w:rPr>
        <w:t>Australia Aid Factsheet,</w:t>
      </w:r>
      <w:r w:rsidRPr="001241AD">
        <w:rPr>
          <w:rFonts w:ascii="Calibri" w:eastAsia="Times New Roman" w:hAnsi="Calibri" w:cs="Times New Roman"/>
          <w:sz w:val="20"/>
          <w:szCs w:val="20"/>
        </w:rPr>
        <w:t xml:space="preserve"> October 2018.</w:t>
      </w:r>
    </w:p>
  </w:footnote>
  <w:footnote w:id="75">
    <w:p w14:paraId="3FFEA8D0" w14:textId="77777777" w:rsidR="00E82131" w:rsidRPr="001241AD" w:rsidRDefault="00E82131" w:rsidP="00E63804">
      <w:pPr>
        <w:spacing w:after="0"/>
        <w:rPr>
          <w:rFonts w:ascii="Calibri" w:eastAsia="Times New Roman" w:hAnsi="Calibri" w:cs="Times New Roman"/>
          <w:sz w:val="20"/>
          <w:szCs w:val="20"/>
        </w:rPr>
      </w:pPr>
      <w:r w:rsidRPr="001241AD">
        <w:rPr>
          <w:rFonts w:ascii="Calibri" w:hAnsi="Calibri"/>
          <w:sz w:val="20"/>
          <w:szCs w:val="20"/>
          <w:vertAlign w:val="superscript"/>
        </w:rPr>
        <w:footnoteRef/>
      </w:r>
      <w:r w:rsidRPr="001241AD">
        <w:rPr>
          <w:rFonts w:ascii="Calibri" w:eastAsia="Times New Roman" w:hAnsi="Calibri" w:cs="Times New Roman"/>
          <w:sz w:val="20"/>
          <w:szCs w:val="20"/>
        </w:rPr>
        <w:t xml:space="preserve"> Ministry of Finance, </w:t>
      </w:r>
      <w:r w:rsidRPr="001241AD">
        <w:rPr>
          <w:rFonts w:ascii="Calibri" w:eastAsia="Times New Roman" w:hAnsi="Calibri" w:cs="Times New Roman"/>
          <w:i/>
          <w:sz w:val="20"/>
          <w:szCs w:val="20"/>
        </w:rPr>
        <w:t>SDG Indonesia One</w:t>
      </w:r>
      <w:r w:rsidRPr="001241AD">
        <w:rPr>
          <w:rFonts w:ascii="Calibri" w:eastAsia="Times New Roman" w:hAnsi="Calibri" w:cs="Times New Roman"/>
          <w:sz w:val="20"/>
          <w:szCs w:val="20"/>
        </w:rPr>
        <w:t>, 2018.</w:t>
      </w:r>
    </w:p>
  </w:footnote>
  <w:footnote w:id="76">
    <w:p w14:paraId="279EFC2B" w14:textId="77777777" w:rsidR="00E82131" w:rsidRPr="001241AD" w:rsidRDefault="00E82131" w:rsidP="00E63804">
      <w:pPr>
        <w:spacing w:after="0"/>
        <w:rPr>
          <w:rFonts w:ascii="Calibri" w:hAnsi="Calibri"/>
          <w:sz w:val="20"/>
          <w:szCs w:val="20"/>
        </w:rPr>
      </w:pPr>
      <w:r w:rsidRPr="001241AD">
        <w:rPr>
          <w:rFonts w:ascii="Calibri" w:hAnsi="Calibri"/>
          <w:sz w:val="20"/>
          <w:szCs w:val="20"/>
          <w:vertAlign w:val="superscript"/>
        </w:rPr>
        <w:footnoteRef/>
      </w:r>
      <w:r w:rsidRPr="001241AD">
        <w:rPr>
          <w:rFonts w:ascii="Calibri" w:eastAsia="Times New Roman" w:hAnsi="Calibri" w:cs="Times New Roman"/>
          <w:sz w:val="20"/>
          <w:szCs w:val="20"/>
        </w:rPr>
        <w:t xml:space="preserve"> Benchmarked here as projects with an estimated cost less than USD 200 million.</w:t>
      </w:r>
      <w:r w:rsidRPr="001241AD">
        <w:rPr>
          <w:rFonts w:ascii="Calibri" w:hAnsi="Calibri"/>
          <w:sz w:val="20"/>
          <w:szCs w:val="20"/>
        </w:rPr>
        <w:t xml:space="preserve"> </w:t>
      </w:r>
    </w:p>
  </w:footnote>
  <w:footnote w:id="77">
    <w:p w14:paraId="193CD7D6" w14:textId="77777777" w:rsidR="00E82131" w:rsidRPr="008E3CB3" w:rsidRDefault="00E82131" w:rsidP="00E63804">
      <w:pPr>
        <w:spacing w:after="0"/>
        <w:rPr>
          <w:rFonts w:eastAsia="Times New Roman" w:cstheme="minorHAnsi"/>
          <w:sz w:val="20"/>
          <w:szCs w:val="20"/>
        </w:rPr>
      </w:pPr>
      <w:r w:rsidRPr="008E3CB3">
        <w:rPr>
          <w:rFonts w:cstheme="minorHAnsi"/>
          <w:sz w:val="20"/>
          <w:szCs w:val="20"/>
          <w:vertAlign w:val="superscript"/>
        </w:rPr>
        <w:footnoteRef/>
      </w:r>
      <w:r w:rsidRPr="008E3CB3">
        <w:rPr>
          <w:rFonts w:eastAsia="Times New Roman" w:cstheme="minorHAnsi"/>
          <w:sz w:val="20"/>
          <w:szCs w:val="20"/>
        </w:rPr>
        <w:t xml:space="preserve"> Angel Investment Network Indonesia (ANGIN), </w:t>
      </w:r>
      <w:r w:rsidRPr="008E3CB3">
        <w:rPr>
          <w:rFonts w:eastAsia="Times New Roman" w:cstheme="minorHAnsi"/>
          <w:i/>
          <w:sz w:val="20"/>
          <w:szCs w:val="20"/>
        </w:rPr>
        <w:t xml:space="preserve">Social Finance and Social Enterprises, </w:t>
      </w:r>
      <w:r w:rsidRPr="008E3CB3">
        <w:rPr>
          <w:rFonts w:eastAsia="Times New Roman" w:cstheme="minorHAnsi"/>
          <w:sz w:val="20"/>
          <w:szCs w:val="20"/>
        </w:rPr>
        <w:t>2017.</w:t>
      </w:r>
    </w:p>
  </w:footnote>
  <w:footnote w:id="78">
    <w:p w14:paraId="4E30FAE4" w14:textId="77777777" w:rsidR="00E82131" w:rsidRPr="008E3CB3" w:rsidRDefault="00E82131" w:rsidP="00E63804">
      <w:pPr>
        <w:spacing w:after="0"/>
        <w:rPr>
          <w:rFonts w:eastAsia="Times New Roman" w:cstheme="minorHAnsi"/>
          <w:sz w:val="20"/>
          <w:szCs w:val="20"/>
        </w:rPr>
      </w:pPr>
      <w:r w:rsidRPr="008E3CB3">
        <w:rPr>
          <w:rFonts w:cstheme="minorHAnsi"/>
          <w:sz w:val="20"/>
          <w:szCs w:val="20"/>
          <w:vertAlign w:val="superscript"/>
        </w:rPr>
        <w:footnoteRef/>
      </w:r>
      <w:r w:rsidRPr="008E3CB3">
        <w:rPr>
          <w:rFonts w:eastAsia="Times New Roman" w:cstheme="minorHAnsi"/>
          <w:sz w:val="20"/>
          <w:szCs w:val="20"/>
        </w:rPr>
        <w:t xml:space="preserve"> Global Impact Investing Network (GIIN), </w:t>
      </w:r>
      <w:proofErr w:type="spellStart"/>
      <w:r w:rsidRPr="008E3CB3">
        <w:rPr>
          <w:rFonts w:eastAsia="Times New Roman" w:cstheme="minorHAnsi"/>
          <w:sz w:val="20"/>
          <w:szCs w:val="20"/>
        </w:rPr>
        <w:t>Intellecap</w:t>
      </w:r>
      <w:proofErr w:type="spellEnd"/>
      <w:r w:rsidRPr="008E3CB3">
        <w:rPr>
          <w:rFonts w:eastAsia="Times New Roman" w:cstheme="minorHAnsi"/>
          <w:sz w:val="20"/>
          <w:szCs w:val="20"/>
        </w:rPr>
        <w:t>,</w:t>
      </w:r>
      <w:r w:rsidRPr="008E3CB3">
        <w:rPr>
          <w:rFonts w:eastAsia="Times New Roman" w:cstheme="minorHAnsi"/>
          <w:i/>
          <w:sz w:val="20"/>
          <w:szCs w:val="20"/>
        </w:rPr>
        <w:t xml:space="preserve"> The Landscape for Impact Investing in Southeast Asia: Indonesia</w:t>
      </w:r>
      <w:r w:rsidRPr="008E3CB3">
        <w:rPr>
          <w:rFonts w:eastAsia="Times New Roman" w:cstheme="minorHAnsi"/>
          <w:sz w:val="20"/>
          <w:szCs w:val="20"/>
        </w:rPr>
        <w:t>, 2018.</w:t>
      </w:r>
    </w:p>
  </w:footnote>
  <w:footnote w:id="79">
    <w:p w14:paraId="4815E7FA" w14:textId="77777777" w:rsidR="00E82131" w:rsidRPr="008E3CB3" w:rsidRDefault="00E82131" w:rsidP="00E63804">
      <w:pPr>
        <w:pBdr>
          <w:top w:val="nil"/>
          <w:left w:val="nil"/>
          <w:bottom w:val="nil"/>
          <w:right w:val="nil"/>
          <w:between w:val="nil"/>
        </w:pBdr>
        <w:spacing w:after="0" w:line="240" w:lineRule="auto"/>
        <w:rPr>
          <w:rFonts w:eastAsia="Times New Roman" w:cstheme="minorHAnsi"/>
          <w:color w:val="000000"/>
          <w:sz w:val="20"/>
          <w:szCs w:val="20"/>
        </w:rPr>
      </w:pPr>
      <w:r w:rsidRPr="008E3CB3">
        <w:rPr>
          <w:rFonts w:cstheme="minorHAnsi"/>
          <w:sz w:val="20"/>
          <w:szCs w:val="20"/>
          <w:vertAlign w:val="superscript"/>
        </w:rPr>
        <w:footnoteRef/>
      </w:r>
      <w:r w:rsidRPr="008E3CB3">
        <w:rPr>
          <w:rFonts w:eastAsia="Times New Roman" w:cstheme="minorHAnsi"/>
          <w:color w:val="000000"/>
          <w:sz w:val="20"/>
          <w:szCs w:val="20"/>
        </w:rPr>
        <w:t xml:space="preserve"> Ibid.</w:t>
      </w:r>
    </w:p>
  </w:footnote>
  <w:footnote w:id="80">
    <w:p w14:paraId="0B7131EC" w14:textId="77777777" w:rsidR="00E82131" w:rsidRPr="008E3CB3" w:rsidRDefault="00E82131" w:rsidP="00E63804">
      <w:pPr>
        <w:spacing w:after="0"/>
        <w:rPr>
          <w:rFonts w:eastAsia="Times New Roman" w:cstheme="minorHAnsi"/>
          <w:sz w:val="20"/>
          <w:szCs w:val="20"/>
        </w:rPr>
      </w:pPr>
      <w:r w:rsidRPr="008E3CB3">
        <w:rPr>
          <w:rFonts w:cstheme="minorHAnsi"/>
          <w:sz w:val="20"/>
          <w:szCs w:val="20"/>
          <w:vertAlign w:val="superscript"/>
        </w:rPr>
        <w:footnoteRef/>
      </w:r>
      <w:r w:rsidRPr="008E3CB3">
        <w:rPr>
          <w:rFonts w:eastAsia="Times New Roman" w:cstheme="minorHAnsi"/>
          <w:sz w:val="20"/>
          <w:szCs w:val="20"/>
        </w:rPr>
        <w:t xml:space="preserve"> Ibid.</w:t>
      </w:r>
    </w:p>
  </w:footnote>
  <w:footnote w:id="81">
    <w:p w14:paraId="1094E4E2" w14:textId="77777777" w:rsidR="00E82131" w:rsidRPr="008E3CB3" w:rsidRDefault="00E82131" w:rsidP="00E63804">
      <w:pPr>
        <w:spacing w:after="0" w:line="240" w:lineRule="auto"/>
        <w:rPr>
          <w:rFonts w:eastAsia="Times New Roman" w:cstheme="minorHAnsi"/>
          <w:sz w:val="20"/>
          <w:szCs w:val="20"/>
        </w:rPr>
      </w:pPr>
      <w:r w:rsidRPr="008E3CB3">
        <w:rPr>
          <w:rFonts w:cstheme="minorHAnsi"/>
          <w:sz w:val="20"/>
          <w:szCs w:val="20"/>
          <w:vertAlign w:val="superscript"/>
        </w:rPr>
        <w:footnoteRef/>
      </w:r>
      <w:r w:rsidRPr="008E3CB3">
        <w:rPr>
          <w:rFonts w:eastAsia="Times New Roman" w:cstheme="minorHAnsi"/>
          <w:sz w:val="20"/>
          <w:szCs w:val="20"/>
        </w:rPr>
        <w:t xml:space="preserve"> </w:t>
      </w:r>
      <w:r w:rsidRPr="008E3CB3">
        <w:rPr>
          <w:rFonts w:cstheme="minorHAnsi"/>
          <w:sz w:val="20"/>
          <w:szCs w:val="20"/>
        </w:rPr>
        <w:t xml:space="preserve">OPIC Press Release, 7 March 2018. </w:t>
      </w:r>
      <w:hyperlink r:id="rId12" w:history="1">
        <w:r w:rsidRPr="008E3CB3">
          <w:rPr>
            <w:rStyle w:val="Hyperlink"/>
            <w:rFonts w:cstheme="minorHAnsi"/>
            <w:sz w:val="20"/>
            <w:szCs w:val="20"/>
          </w:rPr>
          <w:t>https://www.opic.gov/press-releases/2018/opic-unveils-2x-womens-initiative-mobilize-more-1-billion-invest-worlds-women</w:t>
        </w:r>
      </w:hyperlink>
    </w:p>
  </w:footnote>
  <w:footnote w:id="82">
    <w:p w14:paraId="3B1D63C8" w14:textId="77777777" w:rsidR="00E82131" w:rsidRPr="008E3CB3" w:rsidRDefault="00E82131" w:rsidP="00E63804">
      <w:pPr>
        <w:spacing w:after="0" w:line="240" w:lineRule="auto"/>
        <w:rPr>
          <w:rFonts w:cstheme="minorHAnsi"/>
          <w:sz w:val="20"/>
          <w:szCs w:val="20"/>
        </w:rPr>
      </w:pPr>
      <w:r w:rsidRPr="008E3CB3">
        <w:rPr>
          <w:rFonts w:cstheme="minorHAnsi"/>
          <w:sz w:val="20"/>
          <w:szCs w:val="20"/>
          <w:vertAlign w:val="superscript"/>
        </w:rPr>
        <w:footnoteRef/>
      </w:r>
      <w:r w:rsidRPr="008E3CB3">
        <w:rPr>
          <w:rFonts w:cstheme="minorHAnsi"/>
          <w:sz w:val="20"/>
          <w:szCs w:val="20"/>
        </w:rPr>
        <w:t xml:space="preserve"> Aastha Maheshwari, ‘</w:t>
      </w:r>
      <w:r w:rsidRPr="008E3CB3">
        <w:rPr>
          <w:rFonts w:cstheme="minorHAnsi"/>
          <w:sz w:val="20"/>
          <w:szCs w:val="20"/>
          <w:highlight w:val="white"/>
        </w:rPr>
        <w:t xml:space="preserve">Impact investor Patamar makes first investment from women-focused fund in </w:t>
      </w:r>
      <w:proofErr w:type="spellStart"/>
      <w:r w:rsidRPr="008E3CB3">
        <w:rPr>
          <w:rFonts w:cstheme="minorHAnsi"/>
          <w:sz w:val="20"/>
          <w:szCs w:val="20"/>
          <w:highlight w:val="white"/>
        </w:rPr>
        <w:t>SayurBox</w:t>
      </w:r>
      <w:proofErr w:type="spellEnd"/>
      <w:r w:rsidRPr="008E3CB3">
        <w:rPr>
          <w:rFonts w:cstheme="minorHAnsi"/>
          <w:sz w:val="20"/>
          <w:szCs w:val="20"/>
          <w:highlight w:val="white"/>
        </w:rPr>
        <w:t>’,</w:t>
      </w:r>
      <w:r w:rsidRPr="008E3CB3">
        <w:rPr>
          <w:rFonts w:cstheme="minorHAnsi"/>
          <w:i/>
          <w:sz w:val="20"/>
          <w:szCs w:val="20"/>
          <w:highlight w:val="white"/>
        </w:rPr>
        <w:t xml:space="preserve"> Deal Street Asia</w:t>
      </w:r>
      <w:r w:rsidRPr="008E3CB3">
        <w:rPr>
          <w:rFonts w:cstheme="minorHAnsi"/>
          <w:sz w:val="20"/>
          <w:szCs w:val="20"/>
          <w:highlight w:val="white"/>
        </w:rPr>
        <w:t xml:space="preserve">, 22 January 2018. </w:t>
      </w:r>
      <w:hyperlink r:id="rId13" w:history="1">
        <w:r w:rsidRPr="008E3CB3">
          <w:rPr>
            <w:rStyle w:val="Hyperlink"/>
            <w:rFonts w:cstheme="minorHAnsi"/>
            <w:sz w:val="20"/>
            <w:szCs w:val="20"/>
          </w:rPr>
          <w:t>https://www.dealstreetasia.com/stories/exclusive-patamar-capital-strikes-maiden-investment-in-indonesias-sayurbox-90748/</w:t>
        </w:r>
      </w:hyperlink>
    </w:p>
  </w:footnote>
  <w:footnote w:id="83">
    <w:p w14:paraId="7189B38A" w14:textId="77777777" w:rsidR="00E82131" w:rsidRPr="001241AD" w:rsidRDefault="00E82131" w:rsidP="00E63804">
      <w:pPr>
        <w:pBdr>
          <w:top w:val="nil"/>
          <w:left w:val="nil"/>
          <w:bottom w:val="nil"/>
          <w:right w:val="nil"/>
          <w:between w:val="nil"/>
        </w:pBdr>
        <w:spacing w:after="0" w:line="240" w:lineRule="auto"/>
        <w:rPr>
          <w:rFonts w:ascii="Calibri" w:eastAsia="Times New Roman" w:hAnsi="Calibri" w:cs="Times New Roman"/>
          <w:color w:val="000000"/>
          <w:sz w:val="20"/>
          <w:szCs w:val="20"/>
        </w:rPr>
      </w:pPr>
      <w:r w:rsidRPr="008E3CB3">
        <w:rPr>
          <w:rFonts w:cstheme="minorHAnsi"/>
          <w:sz w:val="20"/>
          <w:szCs w:val="20"/>
          <w:vertAlign w:val="superscript"/>
        </w:rPr>
        <w:footnoteRef/>
      </w:r>
      <w:r w:rsidRPr="008E3CB3">
        <w:rPr>
          <w:rFonts w:eastAsia="Times New Roman" w:cstheme="minorHAnsi"/>
          <w:color w:val="000000"/>
          <w:sz w:val="20"/>
          <w:szCs w:val="20"/>
        </w:rPr>
        <w:t xml:space="preserve"> </w:t>
      </w:r>
      <w:proofErr w:type="spellStart"/>
      <w:r w:rsidRPr="008E3CB3">
        <w:rPr>
          <w:rFonts w:eastAsia="Times New Roman" w:cstheme="minorHAnsi"/>
          <w:color w:val="000000"/>
          <w:sz w:val="20"/>
          <w:szCs w:val="20"/>
        </w:rPr>
        <w:t>Azhari</w:t>
      </w:r>
      <w:proofErr w:type="spellEnd"/>
      <w:r w:rsidRPr="008E3CB3">
        <w:rPr>
          <w:rFonts w:eastAsia="Times New Roman" w:cstheme="minorHAnsi"/>
          <w:color w:val="000000"/>
          <w:sz w:val="20"/>
          <w:szCs w:val="20"/>
        </w:rPr>
        <w:t xml:space="preserve"> </w:t>
      </w:r>
      <w:proofErr w:type="spellStart"/>
      <w:r w:rsidRPr="008E3CB3">
        <w:rPr>
          <w:rFonts w:eastAsia="Times New Roman" w:cstheme="minorHAnsi"/>
          <w:color w:val="000000"/>
          <w:sz w:val="20"/>
          <w:szCs w:val="20"/>
        </w:rPr>
        <w:t>Gito</w:t>
      </w:r>
      <w:proofErr w:type="spellEnd"/>
      <w:r w:rsidRPr="008E3CB3">
        <w:rPr>
          <w:rFonts w:eastAsia="Times New Roman" w:cstheme="minorHAnsi"/>
          <w:color w:val="000000"/>
          <w:sz w:val="20"/>
          <w:szCs w:val="20"/>
        </w:rPr>
        <w:t xml:space="preserve"> et al., ‘The Role of Cooperative in the Indonesian Economy’, </w:t>
      </w:r>
      <w:r w:rsidRPr="008E3CB3">
        <w:rPr>
          <w:rFonts w:eastAsia="Times New Roman" w:cstheme="minorHAnsi"/>
          <w:i/>
          <w:sz w:val="20"/>
          <w:szCs w:val="20"/>
        </w:rPr>
        <w:t>International Journal of Humanities and Social Science Invention</w:t>
      </w:r>
      <w:r w:rsidRPr="008E3CB3">
        <w:rPr>
          <w:rFonts w:eastAsia="Times New Roman" w:cstheme="minorHAnsi"/>
          <w:sz w:val="20"/>
          <w:szCs w:val="20"/>
        </w:rPr>
        <w:t>, October</w:t>
      </w:r>
      <w:r w:rsidRPr="008E3CB3">
        <w:rPr>
          <w:rFonts w:eastAsia="Times New Roman" w:cstheme="minorHAnsi"/>
          <w:i/>
          <w:color w:val="000000"/>
          <w:sz w:val="20"/>
          <w:szCs w:val="20"/>
        </w:rPr>
        <w:t xml:space="preserve"> </w:t>
      </w:r>
      <w:r w:rsidRPr="008E3CB3">
        <w:rPr>
          <w:rFonts w:eastAsia="Times New Roman" w:cstheme="minorHAnsi"/>
          <w:color w:val="000000"/>
          <w:sz w:val="20"/>
          <w:szCs w:val="20"/>
        </w:rPr>
        <w:t>2017.</w:t>
      </w:r>
      <w:r w:rsidRPr="001241AD">
        <w:rPr>
          <w:rFonts w:ascii="Calibri" w:eastAsia="Times New Roman" w:hAnsi="Calibri" w:cs="Times New Roman"/>
          <w:color w:val="000000"/>
          <w:sz w:val="20"/>
          <w:szCs w:val="20"/>
        </w:rPr>
        <w:t xml:space="preserve"> </w:t>
      </w:r>
    </w:p>
  </w:footnote>
  <w:footnote w:id="84">
    <w:p w14:paraId="4AB9A4B3" w14:textId="77777777" w:rsidR="00E82131" w:rsidRPr="001241AD" w:rsidRDefault="00E82131" w:rsidP="00E63804">
      <w:pPr>
        <w:spacing w:after="0"/>
        <w:rPr>
          <w:rFonts w:ascii="Calibri" w:hAnsi="Calibri"/>
          <w:sz w:val="20"/>
          <w:szCs w:val="20"/>
        </w:rPr>
      </w:pPr>
      <w:r w:rsidRPr="001241AD">
        <w:rPr>
          <w:rFonts w:ascii="Calibri" w:hAnsi="Calibri"/>
          <w:sz w:val="20"/>
          <w:szCs w:val="20"/>
          <w:vertAlign w:val="superscript"/>
        </w:rPr>
        <w:footnoteRef/>
      </w:r>
      <w:r w:rsidRPr="001241AD">
        <w:rPr>
          <w:rFonts w:ascii="Calibri" w:eastAsia="Times New Roman" w:hAnsi="Calibri" w:cs="Times New Roman"/>
          <w:sz w:val="20"/>
          <w:szCs w:val="20"/>
        </w:rPr>
        <w:t xml:space="preserve"> Nomura Foundation, </w:t>
      </w:r>
      <w:r w:rsidRPr="001241AD">
        <w:rPr>
          <w:rFonts w:ascii="Calibri" w:eastAsia="Times New Roman" w:hAnsi="Calibri" w:cs="Times New Roman"/>
          <w:i/>
          <w:sz w:val="20"/>
          <w:szCs w:val="20"/>
        </w:rPr>
        <w:t>Indonesian Capital Market: Developments and Challenges,</w:t>
      </w:r>
      <w:r w:rsidRPr="001241AD">
        <w:rPr>
          <w:rFonts w:ascii="Calibri" w:eastAsia="Times New Roman" w:hAnsi="Calibri" w:cs="Times New Roman"/>
          <w:sz w:val="20"/>
          <w:szCs w:val="20"/>
        </w:rPr>
        <w:t xml:space="preserve"> 2016.</w:t>
      </w:r>
    </w:p>
  </w:footnote>
  <w:footnote w:id="85">
    <w:p w14:paraId="4EF052B3" w14:textId="77777777" w:rsidR="00E82131" w:rsidRPr="001241AD" w:rsidRDefault="00E82131" w:rsidP="00E63804">
      <w:pPr>
        <w:spacing w:after="0"/>
        <w:rPr>
          <w:rFonts w:ascii="Calibri" w:eastAsia="Times New Roman" w:hAnsi="Calibri" w:cs="Times New Roman"/>
          <w:sz w:val="20"/>
          <w:szCs w:val="20"/>
        </w:rPr>
      </w:pPr>
      <w:r w:rsidRPr="001241AD">
        <w:rPr>
          <w:rFonts w:ascii="Calibri" w:hAnsi="Calibri"/>
          <w:sz w:val="20"/>
          <w:szCs w:val="20"/>
          <w:vertAlign w:val="superscript"/>
        </w:rPr>
        <w:footnoteRef/>
      </w:r>
      <w:r w:rsidRPr="001241AD">
        <w:rPr>
          <w:rFonts w:ascii="Calibri" w:eastAsia="Times New Roman" w:hAnsi="Calibri" w:cs="Times New Roman"/>
          <w:sz w:val="20"/>
          <w:szCs w:val="20"/>
        </w:rPr>
        <w:t xml:space="preserve"> Committee for Acceleration of Priority Infrastructure Delivery (KPPIP), </w:t>
      </w:r>
      <w:r w:rsidRPr="001241AD">
        <w:rPr>
          <w:rFonts w:ascii="Calibri" w:eastAsia="Times New Roman" w:hAnsi="Calibri" w:cs="Times New Roman"/>
          <w:i/>
          <w:sz w:val="20"/>
          <w:szCs w:val="20"/>
        </w:rPr>
        <w:t>Recent Progress in Indonesia Infrastructure Financing Development</w:t>
      </w:r>
      <w:r w:rsidRPr="001241AD">
        <w:rPr>
          <w:rFonts w:ascii="Calibri" w:eastAsia="Times New Roman" w:hAnsi="Calibri" w:cs="Times New Roman"/>
          <w:sz w:val="20"/>
          <w:szCs w:val="20"/>
        </w:rPr>
        <w:t>, 2018.</w:t>
      </w:r>
    </w:p>
  </w:footnote>
  <w:footnote w:id="86">
    <w:p w14:paraId="74A1778A" w14:textId="77777777" w:rsidR="00E82131" w:rsidRPr="001241AD" w:rsidRDefault="00E82131" w:rsidP="00E63804">
      <w:pPr>
        <w:pBdr>
          <w:top w:val="nil"/>
          <w:left w:val="nil"/>
          <w:bottom w:val="nil"/>
          <w:right w:val="nil"/>
          <w:between w:val="nil"/>
        </w:pBdr>
        <w:spacing w:after="0" w:line="240" w:lineRule="auto"/>
        <w:rPr>
          <w:rFonts w:ascii="Calibri" w:eastAsia="Times New Roman" w:hAnsi="Calibri" w:cs="Times New Roman"/>
          <w:color w:val="000000"/>
          <w:sz w:val="20"/>
          <w:szCs w:val="20"/>
        </w:rPr>
      </w:pPr>
      <w:r w:rsidRPr="001241AD">
        <w:rPr>
          <w:rFonts w:ascii="Calibri" w:hAnsi="Calibri"/>
          <w:sz w:val="20"/>
          <w:szCs w:val="20"/>
          <w:vertAlign w:val="superscript"/>
        </w:rPr>
        <w:footnoteRef/>
      </w:r>
      <w:r w:rsidRPr="001241AD">
        <w:rPr>
          <w:rFonts w:ascii="Calibri" w:eastAsia="Times New Roman" w:hAnsi="Calibri" w:cs="Times New Roman"/>
          <w:color w:val="000000"/>
          <w:sz w:val="20"/>
          <w:szCs w:val="20"/>
        </w:rPr>
        <w:t xml:space="preserve"> Ibid.</w:t>
      </w:r>
    </w:p>
  </w:footnote>
  <w:footnote w:id="87">
    <w:p w14:paraId="7173D327" w14:textId="77777777" w:rsidR="00E82131" w:rsidRPr="001241AD" w:rsidRDefault="00E82131" w:rsidP="00E63804">
      <w:pPr>
        <w:pBdr>
          <w:top w:val="nil"/>
          <w:left w:val="nil"/>
          <w:bottom w:val="nil"/>
          <w:right w:val="nil"/>
          <w:between w:val="nil"/>
        </w:pBdr>
        <w:spacing w:after="0" w:line="240" w:lineRule="auto"/>
        <w:rPr>
          <w:rFonts w:ascii="Calibri" w:eastAsia="Times New Roman" w:hAnsi="Calibri" w:cs="Times New Roman"/>
          <w:color w:val="000000"/>
          <w:sz w:val="20"/>
          <w:szCs w:val="20"/>
        </w:rPr>
      </w:pPr>
      <w:r w:rsidRPr="001241AD">
        <w:rPr>
          <w:rFonts w:ascii="Calibri" w:hAnsi="Calibri"/>
          <w:sz w:val="20"/>
          <w:szCs w:val="20"/>
          <w:vertAlign w:val="superscript"/>
        </w:rPr>
        <w:footnoteRef/>
      </w:r>
      <w:r w:rsidRPr="001241AD">
        <w:rPr>
          <w:rFonts w:ascii="Calibri" w:eastAsia="Times New Roman" w:hAnsi="Calibri" w:cs="Times New Roman"/>
          <w:color w:val="000000"/>
          <w:sz w:val="20"/>
          <w:szCs w:val="20"/>
        </w:rPr>
        <w:t xml:space="preserve"> World Bank, </w:t>
      </w:r>
      <w:r w:rsidRPr="001241AD">
        <w:rPr>
          <w:rFonts w:ascii="Calibri" w:eastAsia="Times New Roman" w:hAnsi="Calibri" w:cs="Times New Roman"/>
          <w:i/>
          <w:color w:val="000000"/>
          <w:sz w:val="20"/>
          <w:szCs w:val="20"/>
        </w:rPr>
        <w:t xml:space="preserve">Infrastructure Sector Assessment Program: Indonesia, </w:t>
      </w:r>
      <w:r w:rsidRPr="001241AD">
        <w:rPr>
          <w:rFonts w:ascii="Calibri" w:eastAsia="Times New Roman" w:hAnsi="Calibri" w:cs="Times New Roman"/>
          <w:color w:val="000000"/>
          <w:sz w:val="20"/>
          <w:szCs w:val="20"/>
        </w:rPr>
        <w:t>2018.</w:t>
      </w:r>
    </w:p>
  </w:footnote>
  <w:footnote w:id="88">
    <w:p w14:paraId="03788046" w14:textId="77777777" w:rsidR="00E82131" w:rsidRPr="001241AD" w:rsidRDefault="00E82131" w:rsidP="00E63804">
      <w:pPr>
        <w:pBdr>
          <w:top w:val="nil"/>
          <w:left w:val="nil"/>
          <w:bottom w:val="nil"/>
          <w:right w:val="nil"/>
          <w:between w:val="nil"/>
        </w:pBdr>
        <w:spacing w:after="0" w:line="240" w:lineRule="auto"/>
        <w:rPr>
          <w:rFonts w:ascii="Calibri" w:hAnsi="Calibri"/>
          <w:color w:val="000000"/>
          <w:sz w:val="20"/>
          <w:szCs w:val="20"/>
        </w:rPr>
      </w:pPr>
      <w:r w:rsidRPr="001241AD">
        <w:rPr>
          <w:rFonts w:ascii="Calibri" w:hAnsi="Calibri"/>
          <w:sz w:val="20"/>
          <w:szCs w:val="20"/>
          <w:vertAlign w:val="superscript"/>
        </w:rPr>
        <w:footnoteRef/>
      </w:r>
      <w:r w:rsidRPr="001241AD">
        <w:rPr>
          <w:rFonts w:ascii="Calibri" w:eastAsia="Times New Roman" w:hAnsi="Calibri" w:cs="Times New Roman"/>
          <w:color w:val="000000"/>
          <w:sz w:val="20"/>
          <w:szCs w:val="20"/>
        </w:rPr>
        <w:t xml:space="preserve"> Ibid.</w:t>
      </w:r>
    </w:p>
  </w:footnote>
  <w:footnote w:id="89">
    <w:p w14:paraId="40DDAFB5" w14:textId="77777777" w:rsidR="00E82131" w:rsidRPr="001241AD" w:rsidRDefault="00E82131" w:rsidP="00E63804">
      <w:pPr>
        <w:spacing w:after="0" w:line="240" w:lineRule="auto"/>
        <w:rPr>
          <w:rFonts w:ascii="Calibri" w:eastAsia="Times New Roman" w:hAnsi="Calibri" w:cs="Times New Roman"/>
          <w:sz w:val="20"/>
          <w:szCs w:val="20"/>
        </w:rPr>
      </w:pPr>
      <w:r w:rsidRPr="001241AD">
        <w:rPr>
          <w:rFonts w:ascii="Calibri" w:hAnsi="Calibri"/>
          <w:sz w:val="20"/>
          <w:szCs w:val="20"/>
          <w:vertAlign w:val="superscript"/>
        </w:rPr>
        <w:footnoteRef/>
      </w:r>
      <w:r w:rsidRPr="001241AD">
        <w:rPr>
          <w:rFonts w:ascii="Calibri" w:eastAsia="Times New Roman" w:hAnsi="Calibri" w:cs="Times New Roman"/>
          <w:sz w:val="20"/>
          <w:szCs w:val="20"/>
        </w:rPr>
        <w:t>Ibid.</w:t>
      </w:r>
    </w:p>
  </w:footnote>
  <w:footnote w:id="90">
    <w:p w14:paraId="13AA8806" w14:textId="77777777" w:rsidR="00E82131" w:rsidRPr="001241AD" w:rsidRDefault="00E82131" w:rsidP="00E63804">
      <w:pPr>
        <w:spacing w:after="0"/>
        <w:rPr>
          <w:rFonts w:ascii="Calibri" w:eastAsia="Times New Roman" w:hAnsi="Calibri" w:cs="Times New Roman"/>
          <w:sz w:val="20"/>
          <w:szCs w:val="20"/>
        </w:rPr>
      </w:pPr>
      <w:r w:rsidRPr="001241AD">
        <w:rPr>
          <w:rFonts w:ascii="Calibri" w:hAnsi="Calibri"/>
          <w:sz w:val="20"/>
          <w:szCs w:val="20"/>
          <w:vertAlign w:val="superscript"/>
        </w:rPr>
        <w:footnoteRef/>
      </w:r>
      <w:r w:rsidRPr="001241AD">
        <w:rPr>
          <w:rFonts w:ascii="Calibri" w:eastAsia="Times New Roman" w:hAnsi="Calibri" w:cs="Times New Roman"/>
          <w:sz w:val="20"/>
          <w:szCs w:val="20"/>
        </w:rPr>
        <w:t xml:space="preserve"> USAID, FHI 360, </w:t>
      </w:r>
      <w:r w:rsidRPr="001241AD">
        <w:rPr>
          <w:rFonts w:ascii="Calibri" w:eastAsia="Times New Roman" w:hAnsi="Calibri" w:cs="Times New Roman"/>
          <w:i/>
          <w:sz w:val="20"/>
          <w:szCs w:val="20"/>
        </w:rPr>
        <w:t>Analysis of Skills Demand in Indonesia</w:t>
      </w:r>
      <w:r w:rsidRPr="001241AD">
        <w:rPr>
          <w:rFonts w:ascii="Calibri" w:eastAsia="Times New Roman" w:hAnsi="Calibri" w:cs="Times New Roman"/>
          <w:sz w:val="20"/>
          <w:szCs w:val="20"/>
        </w:rPr>
        <w:t xml:space="preserve">, 2015. </w:t>
      </w:r>
    </w:p>
  </w:footnote>
  <w:footnote w:id="91">
    <w:p w14:paraId="10311CC8" w14:textId="77777777" w:rsidR="00E82131" w:rsidRPr="001241AD" w:rsidRDefault="00E82131" w:rsidP="00E63804">
      <w:pPr>
        <w:spacing w:after="0"/>
        <w:rPr>
          <w:rFonts w:ascii="Calibri" w:eastAsia="Times New Roman" w:hAnsi="Calibri" w:cs="Times New Roman"/>
          <w:sz w:val="20"/>
          <w:szCs w:val="20"/>
        </w:rPr>
      </w:pPr>
      <w:r w:rsidRPr="001241AD">
        <w:rPr>
          <w:rFonts w:ascii="Calibri" w:hAnsi="Calibri"/>
          <w:sz w:val="20"/>
          <w:szCs w:val="20"/>
          <w:vertAlign w:val="superscript"/>
        </w:rPr>
        <w:footnoteRef/>
      </w:r>
      <w:r w:rsidRPr="001241AD">
        <w:rPr>
          <w:rFonts w:ascii="Calibri" w:eastAsia="Times New Roman" w:hAnsi="Calibri" w:cs="Times New Roman"/>
          <w:sz w:val="20"/>
          <w:szCs w:val="20"/>
        </w:rPr>
        <w:t xml:space="preserve"> OECD, </w:t>
      </w:r>
      <w:r w:rsidRPr="001241AD">
        <w:rPr>
          <w:rFonts w:ascii="Calibri" w:eastAsia="Times New Roman" w:hAnsi="Calibri" w:cs="Times New Roman"/>
          <w:i/>
          <w:sz w:val="20"/>
          <w:szCs w:val="20"/>
        </w:rPr>
        <w:t>SME and Entrepreneurship Policy in Indonesia,</w:t>
      </w:r>
      <w:r w:rsidRPr="001241AD">
        <w:rPr>
          <w:rFonts w:ascii="Calibri" w:eastAsia="Times New Roman" w:hAnsi="Calibri" w:cs="Times New Roman"/>
          <w:sz w:val="20"/>
          <w:szCs w:val="20"/>
        </w:rPr>
        <w:t xml:space="preserve"> 2018.</w:t>
      </w:r>
    </w:p>
  </w:footnote>
  <w:footnote w:id="92">
    <w:p w14:paraId="4729ECE3" w14:textId="77777777" w:rsidR="00E82131" w:rsidRPr="001241AD" w:rsidRDefault="00E82131" w:rsidP="00E63804">
      <w:pPr>
        <w:spacing w:after="0"/>
        <w:rPr>
          <w:rFonts w:ascii="Calibri" w:eastAsia="Times New Roman" w:hAnsi="Calibri" w:cs="Times New Roman"/>
          <w:sz w:val="20"/>
          <w:szCs w:val="20"/>
        </w:rPr>
      </w:pPr>
      <w:r w:rsidRPr="001241AD">
        <w:rPr>
          <w:rFonts w:ascii="Calibri" w:hAnsi="Calibri"/>
          <w:sz w:val="20"/>
          <w:szCs w:val="20"/>
          <w:vertAlign w:val="superscript"/>
        </w:rPr>
        <w:footnoteRef/>
      </w:r>
      <w:r w:rsidRPr="001241AD">
        <w:rPr>
          <w:rFonts w:ascii="Calibri" w:eastAsia="Times New Roman" w:hAnsi="Calibri" w:cs="Times New Roman"/>
          <w:sz w:val="20"/>
          <w:szCs w:val="20"/>
        </w:rPr>
        <w:t xml:space="preserve"> Global Business Guide Indonesia</w:t>
      </w:r>
      <w:r w:rsidRPr="001241AD">
        <w:rPr>
          <w:rFonts w:ascii="Calibri" w:eastAsia="Times New Roman" w:hAnsi="Calibri" w:cs="Times New Roman"/>
          <w:i/>
          <w:sz w:val="20"/>
          <w:szCs w:val="20"/>
        </w:rPr>
        <w:t>, Vocational Education in Indonesia: Crucial to Compete in the ASEAN</w:t>
      </w:r>
      <w:r w:rsidRPr="001241AD">
        <w:rPr>
          <w:rFonts w:ascii="Calibri" w:eastAsia="Times New Roman" w:hAnsi="Calibri" w:cs="Times New Roman"/>
          <w:sz w:val="20"/>
          <w:szCs w:val="20"/>
        </w:rPr>
        <w:t>, 2016.</w:t>
      </w:r>
    </w:p>
  </w:footnote>
  <w:footnote w:id="93">
    <w:p w14:paraId="2E719E34" w14:textId="77777777" w:rsidR="00E82131" w:rsidRPr="001241AD" w:rsidRDefault="00E82131" w:rsidP="00E63804">
      <w:pPr>
        <w:spacing w:after="0" w:line="240" w:lineRule="auto"/>
        <w:rPr>
          <w:rFonts w:ascii="Calibri" w:eastAsia="Times New Roman" w:hAnsi="Calibri" w:cs="Times New Roman"/>
          <w:sz w:val="20"/>
          <w:szCs w:val="20"/>
        </w:rPr>
      </w:pPr>
      <w:r w:rsidRPr="001241AD">
        <w:rPr>
          <w:rFonts w:ascii="Calibri" w:hAnsi="Calibri"/>
          <w:sz w:val="20"/>
          <w:szCs w:val="20"/>
          <w:vertAlign w:val="superscript"/>
        </w:rPr>
        <w:footnoteRef/>
      </w:r>
      <w:r w:rsidRPr="001241AD">
        <w:rPr>
          <w:rFonts w:ascii="Calibri" w:eastAsia="Times New Roman" w:hAnsi="Calibri" w:cs="Times New Roman"/>
          <w:sz w:val="20"/>
          <w:szCs w:val="20"/>
        </w:rPr>
        <w:t xml:space="preserve"> DFAT,</w:t>
      </w:r>
      <w:r w:rsidRPr="001241AD">
        <w:rPr>
          <w:rFonts w:ascii="Calibri" w:eastAsia="Times New Roman" w:hAnsi="Calibri" w:cs="Times New Roman"/>
          <w:i/>
          <w:sz w:val="20"/>
          <w:szCs w:val="20"/>
        </w:rPr>
        <w:t xml:space="preserve"> Investing in Roads: Lessons from EINRIP</w:t>
      </w:r>
      <w:r w:rsidRPr="001241AD">
        <w:rPr>
          <w:rFonts w:ascii="Calibri" w:eastAsia="Times New Roman" w:hAnsi="Calibri" w:cs="Times New Roman"/>
          <w:sz w:val="20"/>
          <w:szCs w:val="20"/>
        </w:rPr>
        <w:t xml:space="preserve">, 2017. </w:t>
      </w:r>
    </w:p>
  </w:footnote>
  <w:footnote w:id="94">
    <w:p w14:paraId="57CEED48" w14:textId="0615B50F" w:rsidR="00E82131" w:rsidRPr="001241AD" w:rsidRDefault="00E82131" w:rsidP="00E63804">
      <w:pPr>
        <w:spacing w:after="0"/>
        <w:rPr>
          <w:rFonts w:ascii="Calibri" w:hAnsi="Calibri"/>
          <w:sz w:val="20"/>
          <w:szCs w:val="20"/>
        </w:rPr>
      </w:pPr>
      <w:r w:rsidRPr="001241AD">
        <w:rPr>
          <w:rFonts w:ascii="Calibri" w:hAnsi="Calibri"/>
          <w:sz w:val="20"/>
          <w:szCs w:val="20"/>
          <w:vertAlign w:val="superscript"/>
        </w:rPr>
        <w:footnoteRef/>
      </w:r>
      <w:r w:rsidRPr="001241AD">
        <w:rPr>
          <w:rFonts w:ascii="Calibri" w:eastAsia="Times New Roman" w:hAnsi="Calibri" w:cs="Times New Roman"/>
          <w:sz w:val="20"/>
          <w:szCs w:val="20"/>
        </w:rPr>
        <w:t xml:space="preserve"> DFAT, </w:t>
      </w:r>
      <w:r w:rsidRPr="001241AD">
        <w:rPr>
          <w:rFonts w:ascii="Calibri" w:eastAsia="Times New Roman" w:hAnsi="Calibri" w:cs="Times New Roman"/>
          <w:i/>
          <w:sz w:val="20"/>
          <w:szCs w:val="20"/>
        </w:rPr>
        <w:t>Pilot</w:t>
      </w:r>
      <w:r>
        <w:rPr>
          <w:rFonts w:ascii="Calibri" w:eastAsia="Times New Roman" w:hAnsi="Calibri" w:cs="Times New Roman"/>
          <w:i/>
          <w:sz w:val="20"/>
          <w:szCs w:val="20"/>
        </w:rPr>
        <w:t xml:space="preserve"> program </w:t>
      </w:r>
      <w:r w:rsidRPr="001241AD">
        <w:rPr>
          <w:rFonts w:ascii="Calibri" w:eastAsia="Times New Roman" w:hAnsi="Calibri" w:cs="Times New Roman"/>
          <w:i/>
          <w:sz w:val="20"/>
          <w:szCs w:val="20"/>
        </w:rPr>
        <w:t>for Provincial Road Improvement and Maintenance (PRIM):</w:t>
      </w:r>
      <w:r>
        <w:rPr>
          <w:rFonts w:ascii="Calibri" w:eastAsia="Times New Roman" w:hAnsi="Calibri" w:cs="Times New Roman"/>
          <w:i/>
          <w:sz w:val="20"/>
          <w:szCs w:val="20"/>
        </w:rPr>
        <w:t xml:space="preserve"> program </w:t>
      </w:r>
      <w:r w:rsidRPr="001241AD">
        <w:rPr>
          <w:rFonts w:ascii="Calibri" w:eastAsia="Times New Roman" w:hAnsi="Calibri" w:cs="Times New Roman"/>
          <w:i/>
          <w:sz w:val="20"/>
          <w:szCs w:val="20"/>
        </w:rPr>
        <w:t>Design Document,</w:t>
      </w:r>
      <w:r w:rsidRPr="001241AD">
        <w:rPr>
          <w:rFonts w:ascii="Calibri" w:eastAsia="Times New Roman" w:hAnsi="Calibri" w:cs="Times New Roman"/>
          <w:sz w:val="20"/>
          <w:szCs w:val="20"/>
        </w:rPr>
        <w:t xml:space="preserve"> 2013.</w:t>
      </w:r>
    </w:p>
  </w:footnote>
  <w:footnote w:id="95">
    <w:p w14:paraId="3871CC6E" w14:textId="77777777" w:rsidR="00E82131" w:rsidRPr="001241AD" w:rsidRDefault="00E82131" w:rsidP="00E63804">
      <w:pPr>
        <w:spacing w:after="0" w:line="240" w:lineRule="auto"/>
        <w:rPr>
          <w:rFonts w:ascii="Calibri" w:eastAsia="Times New Roman" w:hAnsi="Calibri" w:cs="Times New Roman"/>
          <w:sz w:val="20"/>
          <w:szCs w:val="20"/>
        </w:rPr>
      </w:pPr>
      <w:r w:rsidRPr="001241AD">
        <w:rPr>
          <w:rFonts w:ascii="Calibri" w:hAnsi="Calibri"/>
          <w:sz w:val="20"/>
          <w:szCs w:val="20"/>
          <w:vertAlign w:val="superscript"/>
        </w:rPr>
        <w:footnoteRef/>
      </w:r>
      <w:r w:rsidRPr="001241AD">
        <w:rPr>
          <w:rFonts w:ascii="Calibri" w:eastAsia="Times New Roman" w:hAnsi="Calibri" w:cs="Times New Roman"/>
          <w:sz w:val="20"/>
          <w:szCs w:val="20"/>
        </w:rPr>
        <w:t xml:space="preserve"> IMF, </w:t>
      </w:r>
      <w:r w:rsidRPr="001241AD">
        <w:rPr>
          <w:rFonts w:ascii="Calibri" w:eastAsia="Times New Roman" w:hAnsi="Calibri" w:cs="Times New Roman"/>
          <w:i/>
          <w:sz w:val="20"/>
          <w:szCs w:val="20"/>
        </w:rPr>
        <w:t>Foreign Aid: Grants versus Loans</w:t>
      </w:r>
      <w:r w:rsidRPr="001241AD">
        <w:rPr>
          <w:rFonts w:ascii="Calibri" w:eastAsia="Times New Roman" w:hAnsi="Calibri" w:cs="Times New Roman"/>
          <w:sz w:val="20"/>
          <w:szCs w:val="20"/>
        </w:rPr>
        <w:t>, 2004.</w:t>
      </w:r>
    </w:p>
  </w:footnote>
  <w:footnote w:id="96">
    <w:p w14:paraId="00BC79AC" w14:textId="77777777" w:rsidR="00E82131" w:rsidRPr="001241AD" w:rsidRDefault="00E82131" w:rsidP="00E63804">
      <w:pPr>
        <w:spacing w:after="0"/>
        <w:rPr>
          <w:rFonts w:ascii="Calibri" w:eastAsia="Times New Roman" w:hAnsi="Calibri" w:cs="Times New Roman"/>
          <w:sz w:val="20"/>
          <w:szCs w:val="20"/>
        </w:rPr>
      </w:pPr>
      <w:r w:rsidRPr="001241AD">
        <w:rPr>
          <w:rFonts w:ascii="Calibri" w:hAnsi="Calibri"/>
          <w:sz w:val="20"/>
          <w:szCs w:val="20"/>
          <w:vertAlign w:val="superscript"/>
        </w:rPr>
        <w:footnoteRef/>
      </w:r>
      <w:r w:rsidRPr="001241AD">
        <w:rPr>
          <w:rFonts w:ascii="Calibri" w:eastAsia="Times New Roman" w:hAnsi="Calibri" w:cs="Times New Roman"/>
          <w:sz w:val="20"/>
          <w:szCs w:val="20"/>
        </w:rPr>
        <w:t xml:space="preserve"> World Bank, </w:t>
      </w:r>
      <w:r w:rsidRPr="001241AD">
        <w:rPr>
          <w:rFonts w:ascii="Calibri" w:eastAsia="Times New Roman" w:hAnsi="Calibri" w:cs="Times New Roman"/>
          <w:i/>
          <w:sz w:val="20"/>
          <w:szCs w:val="20"/>
        </w:rPr>
        <w:t xml:space="preserve">Infrastructure Sector Assessment Program: Indonesia, </w:t>
      </w:r>
      <w:r w:rsidRPr="001241AD">
        <w:rPr>
          <w:rFonts w:ascii="Calibri" w:eastAsia="Times New Roman" w:hAnsi="Calibri" w:cs="Times New Roman"/>
          <w:sz w:val="20"/>
          <w:szCs w:val="20"/>
        </w:rPr>
        <w:t>2018.</w:t>
      </w:r>
    </w:p>
  </w:footnote>
  <w:footnote w:id="97">
    <w:p w14:paraId="59946990" w14:textId="77777777" w:rsidR="00E82131" w:rsidRPr="001241AD" w:rsidRDefault="00E82131" w:rsidP="00E63804">
      <w:pPr>
        <w:spacing w:after="0" w:line="240" w:lineRule="auto"/>
        <w:rPr>
          <w:rFonts w:ascii="Calibri" w:eastAsia="Times New Roman" w:hAnsi="Calibri" w:cs="Times New Roman"/>
          <w:sz w:val="20"/>
          <w:szCs w:val="20"/>
        </w:rPr>
      </w:pPr>
      <w:r w:rsidRPr="001241AD">
        <w:rPr>
          <w:rFonts w:ascii="Calibri" w:hAnsi="Calibri"/>
          <w:sz w:val="20"/>
          <w:szCs w:val="20"/>
          <w:vertAlign w:val="superscript"/>
        </w:rPr>
        <w:footnoteRef/>
      </w:r>
      <w:r w:rsidRPr="001241AD">
        <w:rPr>
          <w:rFonts w:ascii="Calibri" w:eastAsia="Times New Roman" w:hAnsi="Calibri" w:cs="Times New Roman"/>
          <w:sz w:val="20"/>
          <w:szCs w:val="20"/>
        </w:rPr>
        <w:t xml:space="preserve"> A PDAM is a regional water supply utility owned by the local government.</w:t>
      </w:r>
    </w:p>
  </w:footnote>
  <w:footnote w:id="98">
    <w:p w14:paraId="2DA2AE5A" w14:textId="77777777" w:rsidR="00E82131" w:rsidRPr="008E3CB3" w:rsidRDefault="00E82131" w:rsidP="00E63804">
      <w:pPr>
        <w:spacing w:after="0" w:line="240" w:lineRule="auto"/>
        <w:rPr>
          <w:rFonts w:eastAsia="Times New Roman" w:cstheme="minorHAnsi"/>
          <w:sz w:val="20"/>
          <w:szCs w:val="20"/>
        </w:rPr>
      </w:pPr>
      <w:r w:rsidRPr="008E3CB3">
        <w:rPr>
          <w:rFonts w:cstheme="minorHAnsi"/>
          <w:sz w:val="20"/>
          <w:szCs w:val="20"/>
          <w:vertAlign w:val="superscript"/>
        </w:rPr>
        <w:footnoteRef/>
      </w:r>
      <w:r w:rsidRPr="008E3CB3">
        <w:rPr>
          <w:rFonts w:eastAsia="Times New Roman" w:cstheme="minorHAnsi"/>
          <w:sz w:val="20"/>
          <w:szCs w:val="20"/>
        </w:rPr>
        <w:t xml:space="preserve"> Asian Development Bank,</w:t>
      </w:r>
      <w:r w:rsidRPr="008E3CB3">
        <w:rPr>
          <w:rFonts w:eastAsia="Times New Roman" w:cstheme="minorHAnsi"/>
          <w:i/>
          <w:sz w:val="20"/>
          <w:szCs w:val="20"/>
        </w:rPr>
        <w:t xml:space="preserve"> Special Evaluation Study on ADB Assistance for PPPs in Infrastructure Development: Potential for More Success,</w:t>
      </w:r>
      <w:r w:rsidRPr="008E3CB3">
        <w:rPr>
          <w:rFonts w:eastAsia="Times New Roman" w:cstheme="minorHAnsi"/>
          <w:sz w:val="20"/>
          <w:szCs w:val="20"/>
        </w:rPr>
        <w:t xml:space="preserve"> 2009; ADB, </w:t>
      </w:r>
      <w:r w:rsidRPr="008E3CB3">
        <w:rPr>
          <w:rFonts w:eastAsia="Times New Roman" w:cstheme="minorHAnsi"/>
          <w:i/>
          <w:sz w:val="20"/>
          <w:szCs w:val="20"/>
        </w:rPr>
        <w:t>Indonesia: Activities.</w:t>
      </w:r>
      <w:r w:rsidRPr="008E3CB3">
        <w:rPr>
          <w:rFonts w:eastAsia="Times New Roman" w:cstheme="minorHAnsi"/>
          <w:sz w:val="20"/>
          <w:szCs w:val="20"/>
        </w:rPr>
        <w:t xml:space="preserve"> </w:t>
      </w:r>
      <w:hyperlink r:id="rId14" w:history="1">
        <w:r w:rsidRPr="008E3CB3">
          <w:rPr>
            <w:rStyle w:val="Hyperlink"/>
            <w:rFonts w:eastAsia="Times New Roman" w:cstheme="minorHAnsi"/>
            <w:sz w:val="20"/>
            <w:szCs w:val="20"/>
          </w:rPr>
          <w:t>https://www.adb.org/countries/indonesia/activities</w:t>
        </w:r>
      </w:hyperlink>
    </w:p>
  </w:footnote>
  <w:footnote w:id="99">
    <w:p w14:paraId="55078D5C" w14:textId="77777777" w:rsidR="00E82131" w:rsidRPr="008E3CB3" w:rsidRDefault="00E82131" w:rsidP="00E63804">
      <w:pPr>
        <w:pStyle w:val="NoSpacing"/>
        <w:rPr>
          <w:rFonts w:cstheme="minorHAnsi"/>
          <w:sz w:val="20"/>
          <w:szCs w:val="20"/>
        </w:rPr>
      </w:pPr>
      <w:r w:rsidRPr="008E3CB3">
        <w:rPr>
          <w:rFonts w:cstheme="minorHAnsi"/>
          <w:sz w:val="20"/>
          <w:szCs w:val="20"/>
          <w:vertAlign w:val="superscript"/>
        </w:rPr>
        <w:footnoteRef/>
      </w:r>
      <w:r w:rsidRPr="008E3CB3">
        <w:rPr>
          <w:rFonts w:cstheme="minorHAnsi"/>
          <w:sz w:val="20"/>
          <w:szCs w:val="20"/>
        </w:rPr>
        <w:t xml:space="preserve"> GIIN, </w:t>
      </w:r>
      <w:proofErr w:type="spellStart"/>
      <w:r w:rsidRPr="008E3CB3">
        <w:rPr>
          <w:rFonts w:cstheme="minorHAnsi"/>
          <w:sz w:val="20"/>
          <w:szCs w:val="20"/>
        </w:rPr>
        <w:t>Intellecap</w:t>
      </w:r>
      <w:proofErr w:type="spellEnd"/>
      <w:r w:rsidRPr="008E3CB3">
        <w:rPr>
          <w:rFonts w:cstheme="minorHAnsi"/>
          <w:sz w:val="20"/>
          <w:szCs w:val="20"/>
        </w:rPr>
        <w:t xml:space="preserve">, </w:t>
      </w:r>
      <w:r w:rsidRPr="008E3CB3">
        <w:rPr>
          <w:rFonts w:cstheme="minorHAnsi"/>
          <w:i/>
          <w:sz w:val="20"/>
          <w:szCs w:val="20"/>
        </w:rPr>
        <w:t>The Landscape for Impact Investing in Southeast Asia: Indonesia</w:t>
      </w:r>
      <w:r w:rsidRPr="008E3CB3">
        <w:rPr>
          <w:rFonts w:cstheme="minorHAnsi"/>
          <w:sz w:val="20"/>
          <w:szCs w:val="20"/>
        </w:rPr>
        <w:t>, 2018.</w:t>
      </w:r>
    </w:p>
  </w:footnote>
  <w:footnote w:id="100">
    <w:p w14:paraId="1DC6D405" w14:textId="77777777" w:rsidR="00E82131" w:rsidRPr="004F31B8" w:rsidRDefault="00E82131" w:rsidP="00E63804">
      <w:pPr>
        <w:pStyle w:val="NoSpacing"/>
        <w:rPr>
          <w:rFonts w:asciiTheme="majorHAnsi" w:hAnsiTheme="majorHAnsi" w:cstheme="majorHAnsi"/>
          <w:lang w:val="en-IN"/>
        </w:rPr>
      </w:pPr>
      <w:r w:rsidRPr="008E3CB3">
        <w:rPr>
          <w:rStyle w:val="FootnoteReference"/>
          <w:rFonts w:cstheme="minorHAnsi"/>
          <w:sz w:val="20"/>
          <w:szCs w:val="20"/>
        </w:rPr>
        <w:footnoteRef/>
      </w:r>
      <w:r w:rsidRPr="008E3CB3">
        <w:rPr>
          <w:rFonts w:cstheme="minorHAnsi"/>
          <w:sz w:val="20"/>
          <w:szCs w:val="20"/>
        </w:rPr>
        <w:t xml:space="preserve"> Nomura Foundation, </w:t>
      </w:r>
      <w:r w:rsidRPr="008E3CB3">
        <w:rPr>
          <w:rFonts w:cstheme="minorHAnsi"/>
          <w:i/>
          <w:sz w:val="20"/>
          <w:szCs w:val="20"/>
        </w:rPr>
        <w:t>Indonesian Capital Market: Developments and Challenges</w:t>
      </w:r>
      <w:r w:rsidRPr="008E3CB3">
        <w:rPr>
          <w:rFonts w:cstheme="minorHAnsi"/>
          <w:sz w:val="20"/>
          <w:szCs w:val="20"/>
        </w:rPr>
        <w:t>, 2016.</w:t>
      </w:r>
    </w:p>
  </w:footnote>
  <w:footnote w:id="101">
    <w:p w14:paraId="2EF5BE86" w14:textId="77777777" w:rsidR="00E82131" w:rsidRPr="007E2005" w:rsidRDefault="00E82131" w:rsidP="006B593E">
      <w:pPr>
        <w:pBdr>
          <w:top w:val="nil"/>
          <w:left w:val="nil"/>
          <w:bottom w:val="nil"/>
          <w:right w:val="nil"/>
          <w:between w:val="nil"/>
        </w:pBdr>
        <w:spacing w:after="0" w:line="240" w:lineRule="auto"/>
        <w:rPr>
          <w:rFonts w:ascii="Calibri" w:eastAsia="Times New Roman" w:hAnsi="Calibri" w:cs="Times New Roman"/>
          <w:color w:val="000000"/>
          <w:sz w:val="20"/>
          <w:szCs w:val="20"/>
        </w:rPr>
      </w:pPr>
      <w:r w:rsidRPr="007E2005">
        <w:rPr>
          <w:rFonts w:ascii="Calibri" w:hAnsi="Calibri"/>
          <w:sz w:val="20"/>
          <w:szCs w:val="20"/>
          <w:vertAlign w:val="superscript"/>
        </w:rPr>
        <w:footnoteRef/>
      </w:r>
      <w:r w:rsidRPr="007E2005">
        <w:rPr>
          <w:rFonts w:ascii="Calibri" w:eastAsia="Times New Roman" w:hAnsi="Calibri" w:cs="Times New Roman"/>
          <w:color w:val="000000"/>
          <w:sz w:val="20"/>
          <w:szCs w:val="20"/>
        </w:rPr>
        <w:t xml:space="preserve"> Government of Papua New Guinea, </w:t>
      </w:r>
      <w:r w:rsidRPr="007E2005">
        <w:rPr>
          <w:rFonts w:ascii="Calibri" w:eastAsia="Times New Roman" w:hAnsi="Calibri" w:cs="Times New Roman"/>
          <w:i/>
          <w:color w:val="000000"/>
          <w:sz w:val="20"/>
          <w:szCs w:val="20"/>
        </w:rPr>
        <w:t>Medium Term Development Plan III 2018</w:t>
      </w:r>
      <w:r>
        <w:rPr>
          <w:rFonts w:ascii="Calibri" w:eastAsia="Times New Roman" w:hAnsi="Calibri" w:cs="Times New Roman"/>
          <w:i/>
          <w:color w:val="000000"/>
          <w:sz w:val="20"/>
          <w:szCs w:val="20"/>
        </w:rPr>
        <w:t>—</w:t>
      </w:r>
      <w:r w:rsidRPr="007E2005">
        <w:rPr>
          <w:rFonts w:ascii="Calibri" w:eastAsia="Times New Roman" w:hAnsi="Calibri" w:cs="Times New Roman"/>
          <w:i/>
          <w:color w:val="000000"/>
          <w:sz w:val="20"/>
          <w:szCs w:val="20"/>
        </w:rPr>
        <w:t>2022</w:t>
      </w:r>
      <w:r w:rsidRPr="007E2005">
        <w:rPr>
          <w:rFonts w:ascii="Calibri" w:eastAsia="Times New Roman" w:hAnsi="Calibri" w:cs="Times New Roman"/>
          <w:sz w:val="20"/>
          <w:szCs w:val="20"/>
        </w:rPr>
        <w:t>, 2018.</w:t>
      </w:r>
    </w:p>
  </w:footnote>
  <w:footnote w:id="102">
    <w:p w14:paraId="249AF1F9" w14:textId="77777777" w:rsidR="00E82131" w:rsidRPr="007E2005" w:rsidRDefault="00E82131" w:rsidP="006B593E">
      <w:pPr>
        <w:pBdr>
          <w:top w:val="nil"/>
          <w:left w:val="nil"/>
          <w:bottom w:val="nil"/>
          <w:right w:val="nil"/>
          <w:between w:val="nil"/>
        </w:pBdr>
        <w:spacing w:after="0" w:line="240" w:lineRule="auto"/>
        <w:rPr>
          <w:rFonts w:ascii="Calibri" w:eastAsia="Times New Roman" w:hAnsi="Calibri" w:cs="Times New Roman"/>
          <w:color w:val="000000"/>
          <w:sz w:val="20"/>
          <w:szCs w:val="20"/>
        </w:rPr>
      </w:pPr>
      <w:r w:rsidRPr="007E2005">
        <w:rPr>
          <w:rFonts w:ascii="Calibri" w:hAnsi="Calibri"/>
          <w:sz w:val="20"/>
          <w:szCs w:val="20"/>
          <w:vertAlign w:val="superscript"/>
        </w:rPr>
        <w:footnoteRef/>
      </w:r>
      <w:r w:rsidRPr="007E2005">
        <w:rPr>
          <w:rFonts w:ascii="Calibri" w:eastAsia="Times New Roman" w:hAnsi="Calibri" w:cs="Times New Roman"/>
          <w:color w:val="000000"/>
          <w:sz w:val="20"/>
          <w:szCs w:val="20"/>
        </w:rPr>
        <w:t xml:space="preserve"> Antonio</w:t>
      </w:r>
      <w:r w:rsidRPr="007E2005">
        <w:rPr>
          <w:rFonts w:ascii="Calibri" w:hAnsi="Calibri"/>
          <w:color w:val="000000"/>
          <w:sz w:val="20"/>
          <w:szCs w:val="20"/>
        </w:rPr>
        <w:t xml:space="preserve"> </w:t>
      </w:r>
      <w:proofErr w:type="spellStart"/>
      <w:r w:rsidRPr="007E2005">
        <w:rPr>
          <w:rFonts w:ascii="Calibri" w:eastAsia="Times New Roman" w:hAnsi="Calibri" w:cs="Times New Roman"/>
          <w:color w:val="000000"/>
          <w:sz w:val="20"/>
          <w:szCs w:val="20"/>
        </w:rPr>
        <w:t>Estache</w:t>
      </w:r>
      <w:proofErr w:type="spellEnd"/>
      <w:r w:rsidRPr="007E2005">
        <w:rPr>
          <w:rFonts w:ascii="Calibri" w:eastAsia="Times New Roman" w:hAnsi="Calibri" w:cs="Times New Roman"/>
          <w:color w:val="000000"/>
          <w:sz w:val="20"/>
          <w:szCs w:val="20"/>
        </w:rPr>
        <w:t xml:space="preserve">, and Grégoire </w:t>
      </w:r>
      <w:proofErr w:type="spellStart"/>
      <w:r w:rsidRPr="007E2005">
        <w:rPr>
          <w:rFonts w:ascii="Calibri" w:eastAsia="Times New Roman" w:hAnsi="Calibri" w:cs="Times New Roman"/>
          <w:color w:val="000000"/>
          <w:sz w:val="20"/>
          <w:szCs w:val="20"/>
        </w:rPr>
        <w:t>Garous</w:t>
      </w:r>
      <w:proofErr w:type="spellEnd"/>
      <w:r w:rsidRPr="007E2005">
        <w:rPr>
          <w:rFonts w:ascii="Calibri" w:eastAsia="Times New Roman" w:hAnsi="Calibri" w:cs="Times New Roman"/>
          <w:color w:val="000000"/>
          <w:sz w:val="20"/>
          <w:szCs w:val="20"/>
        </w:rPr>
        <w:t xml:space="preserve">, </w:t>
      </w:r>
      <w:r w:rsidRPr="007E2005">
        <w:rPr>
          <w:rFonts w:ascii="Calibri" w:eastAsia="Times New Roman" w:hAnsi="Calibri" w:cs="Times New Roman"/>
          <w:i/>
          <w:color w:val="000000"/>
          <w:sz w:val="20"/>
          <w:szCs w:val="20"/>
        </w:rPr>
        <w:t>The Impact of Infrastructure on growth in Developing Countries</w:t>
      </w:r>
      <w:r w:rsidRPr="007E2005">
        <w:rPr>
          <w:rFonts w:ascii="Calibri" w:eastAsia="Times New Roman" w:hAnsi="Calibri" w:cs="Times New Roman"/>
          <w:color w:val="000000"/>
          <w:sz w:val="20"/>
          <w:szCs w:val="20"/>
        </w:rPr>
        <w:t>, IFC Economics Note, 2012.</w:t>
      </w:r>
    </w:p>
  </w:footnote>
  <w:footnote w:id="103">
    <w:p w14:paraId="6741A862" w14:textId="77777777" w:rsidR="00E82131" w:rsidRPr="007E2005" w:rsidRDefault="00E82131" w:rsidP="006B593E">
      <w:pPr>
        <w:pBdr>
          <w:top w:val="nil"/>
          <w:left w:val="nil"/>
          <w:bottom w:val="nil"/>
          <w:right w:val="nil"/>
          <w:between w:val="nil"/>
        </w:pBdr>
        <w:spacing w:after="0" w:line="240" w:lineRule="auto"/>
        <w:rPr>
          <w:rFonts w:ascii="Calibri" w:eastAsia="Times New Roman" w:hAnsi="Calibri" w:cs="Times New Roman"/>
          <w:color w:val="000000"/>
          <w:sz w:val="20"/>
          <w:szCs w:val="20"/>
        </w:rPr>
      </w:pPr>
      <w:r w:rsidRPr="007E2005">
        <w:rPr>
          <w:rFonts w:ascii="Calibri" w:hAnsi="Calibri"/>
          <w:sz w:val="20"/>
          <w:szCs w:val="20"/>
          <w:vertAlign w:val="superscript"/>
        </w:rPr>
        <w:footnoteRef/>
      </w:r>
      <w:r w:rsidRPr="007E2005">
        <w:rPr>
          <w:rFonts w:ascii="Calibri" w:eastAsia="Times New Roman" w:hAnsi="Calibri" w:cs="Times New Roman"/>
          <w:color w:val="000000"/>
          <w:sz w:val="20"/>
          <w:szCs w:val="20"/>
        </w:rPr>
        <w:t xml:space="preserve"> Exchange rate: PGK 1 = USD 0.3.</w:t>
      </w:r>
    </w:p>
  </w:footnote>
  <w:footnote w:id="104">
    <w:p w14:paraId="5CE5AA04" w14:textId="77777777" w:rsidR="00E82131" w:rsidRPr="007E2005" w:rsidRDefault="00E82131" w:rsidP="006B593E">
      <w:pPr>
        <w:pBdr>
          <w:top w:val="nil"/>
          <w:left w:val="nil"/>
          <w:bottom w:val="nil"/>
          <w:right w:val="nil"/>
          <w:between w:val="nil"/>
        </w:pBdr>
        <w:spacing w:after="0" w:line="240" w:lineRule="auto"/>
        <w:rPr>
          <w:rFonts w:ascii="Calibri" w:eastAsia="Times New Roman" w:hAnsi="Calibri" w:cs="Times New Roman"/>
          <w:color w:val="000000"/>
          <w:sz w:val="20"/>
          <w:szCs w:val="20"/>
        </w:rPr>
      </w:pPr>
      <w:r w:rsidRPr="007E2005">
        <w:rPr>
          <w:rFonts w:ascii="Calibri" w:hAnsi="Calibri"/>
          <w:sz w:val="20"/>
          <w:szCs w:val="20"/>
          <w:vertAlign w:val="superscript"/>
        </w:rPr>
        <w:footnoteRef/>
      </w:r>
      <w:r w:rsidRPr="007E2005">
        <w:rPr>
          <w:rFonts w:ascii="Calibri" w:eastAsia="Times New Roman" w:hAnsi="Calibri" w:cs="Times New Roman"/>
          <w:color w:val="000000"/>
          <w:sz w:val="20"/>
          <w:szCs w:val="20"/>
        </w:rPr>
        <w:t xml:space="preserve"> Australian Government, </w:t>
      </w:r>
      <w:r w:rsidRPr="007E2005">
        <w:rPr>
          <w:rFonts w:ascii="Calibri" w:eastAsia="Times New Roman" w:hAnsi="Calibri" w:cs="Times New Roman"/>
          <w:i/>
          <w:color w:val="000000"/>
          <w:sz w:val="20"/>
          <w:szCs w:val="20"/>
        </w:rPr>
        <w:t>2017 Foreign Policy White Paper</w:t>
      </w:r>
      <w:r w:rsidRPr="007E2005">
        <w:rPr>
          <w:rFonts w:ascii="Calibri" w:eastAsia="Times New Roman" w:hAnsi="Calibri" w:cs="Times New Roman"/>
          <w:color w:val="000000"/>
          <w:sz w:val="20"/>
          <w:szCs w:val="20"/>
        </w:rPr>
        <w:t xml:space="preserve">, 2017. </w:t>
      </w:r>
    </w:p>
  </w:footnote>
  <w:footnote w:id="105">
    <w:p w14:paraId="71B8434D" w14:textId="77777777" w:rsidR="00E82131" w:rsidRPr="007E2005" w:rsidRDefault="00E82131" w:rsidP="006B593E">
      <w:pPr>
        <w:pBdr>
          <w:top w:val="nil"/>
          <w:left w:val="nil"/>
          <w:bottom w:val="nil"/>
          <w:right w:val="nil"/>
          <w:between w:val="nil"/>
        </w:pBdr>
        <w:spacing w:after="0" w:line="240" w:lineRule="auto"/>
        <w:rPr>
          <w:rFonts w:ascii="Calibri" w:eastAsia="Times New Roman" w:hAnsi="Calibri" w:cs="Times New Roman"/>
          <w:color w:val="000000"/>
          <w:sz w:val="20"/>
          <w:szCs w:val="20"/>
        </w:rPr>
      </w:pPr>
      <w:r w:rsidRPr="007E2005">
        <w:rPr>
          <w:rFonts w:ascii="Calibri" w:hAnsi="Calibri"/>
          <w:sz w:val="20"/>
          <w:szCs w:val="20"/>
          <w:vertAlign w:val="superscript"/>
        </w:rPr>
        <w:footnoteRef/>
      </w:r>
      <w:r w:rsidRPr="007E2005">
        <w:rPr>
          <w:rFonts w:ascii="Calibri" w:eastAsia="Times New Roman" w:hAnsi="Calibri" w:cs="Times New Roman"/>
          <w:color w:val="000000"/>
          <w:sz w:val="20"/>
          <w:szCs w:val="20"/>
        </w:rPr>
        <w:t xml:space="preserve"> Central Intelligence Agency, </w:t>
      </w:r>
      <w:r w:rsidRPr="007E2005">
        <w:rPr>
          <w:rFonts w:ascii="Calibri" w:eastAsia="Times New Roman" w:hAnsi="Calibri" w:cs="Times New Roman"/>
          <w:i/>
          <w:color w:val="000000"/>
          <w:sz w:val="20"/>
          <w:szCs w:val="20"/>
        </w:rPr>
        <w:t xml:space="preserve">The World Factbook, Country Comparison: Natural Gas, proved reserves, </w:t>
      </w:r>
      <w:r w:rsidRPr="007E2005">
        <w:rPr>
          <w:rFonts w:ascii="Calibri" w:eastAsia="Times New Roman" w:hAnsi="Calibri" w:cs="Times New Roman"/>
          <w:color w:val="000000"/>
          <w:sz w:val="20"/>
          <w:szCs w:val="20"/>
        </w:rPr>
        <w:t>2018.</w:t>
      </w:r>
    </w:p>
  </w:footnote>
  <w:footnote w:id="106">
    <w:p w14:paraId="44FAD7BC" w14:textId="77777777" w:rsidR="00E82131" w:rsidRPr="007E2005" w:rsidRDefault="00E82131" w:rsidP="006B593E">
      <w:pPr>
        <w:rPr>
          <w:rFonts w:ascii="Calibri" w:hAnsi="Calibri" w:cs="Calibri"/>
          <w:color w:val="000000"/>
          <w:sz w:val="20"/>
          <w:szCs w:val="20"/>
        </w:rPr>
      </w:pPr>
      <w:r w:rsidRPr="007E2005">
        <w:rPr>
          <w:rFonts w:ascii="Calibri" w:hAnsi="Calibri" w:cs="Calibri"/>
          <w:sz w:val="20"/>
          <w:szCs w:val="20"/>
          <w:vertAlign w:val="superscript"/>
        </w:rPr>
        <w:footnoteRef/>
      </w:r>
      <w:r w:rsidRPr="007E2005">
        <w:rPr>
          <w:rFonts w:ascii="Calibri" w:hAnsi="Calibri" w:cs="Calibri"/>
          <w:sz w:val="20"/>
          <w:szCs w:val="20"/>
        </w:rPr>
        <w:t xml:space="preserve"> Government of Papua New Guinea, </w:t>
      </w:r>
      <w:r w:rsidRPr="0076464E">
        <w:rPr>
          <w:rFonts w:ascii="Calibri" w:hAnsi="Calibri" w:cs="Calibri"/>
          <w:i/>
          <w:sz w:val="20"/>
          <w:szCs w:val="20"/>
        </w:rPr>
        <w:t>Medium Term Development Plan III 2018</w:t>
      </w:r>
      <w:r>
        <w:rPr>
          <w:rFonts w:ascii="Calibri" w:hAnsi="Calibri" w:cs="Calibri"/>
          <w:i/>
          <w:sz w:val="20"/>
          <w:szCs w:val="20"/>
        </w:rPr>
        <w:t>—</w:t>
      </w:r>
      <w:r w:rsidRPr="0076464E">
        <w:rPr>
          <w:rFonts w:ascii="Calibri" w:hAnsi="Calibri" w:cs="Calibri"/>
          <w:i/>
          <w:sz w:val="20"/>
          <w:szCs w:val="20"/>
        </w:rPr>
        <w:t>2022</w:t>
      </w:r>
      <w:r w:rsidRPr="007E2005">
        <w:rPr>
          <w:rFonts w:ascii="Calibri" w:hAnsi="Calibri" w:cs="Calibri"/>
          <w:sz w:val="20"/>
          <w:szCs w:val="20"/>
        </w:rPr>
        <w:t>, 2018.</w:t>
      </w:r>
    </w:p>
  </w:footnote>
  <w:footnote w:id="107">
    <w:p w14:paraId="66331D63" w14:textId="77777777" w:rsidR="00E82131" w:rsidRPr="0076464E" w:rsidRDefault="00E82131" w:rsidP="006B593E">
      <w:pPr>
        <w:pStyle w:val="NoSpacing"/>
        <w:rPr>
          <w:rFonts w:cstheme="minorHAnsi"/>
          <w:color w:val="000000"/>
          <w:sz w:val="20"/>
          <w:szCs w:val="20"/>
        </w:rPr>
      </w:pPr>
      <w:r w:rsidRPr="0076464E">
        <w:rPr>
          <w:rFonts w:cstheme="minorHAnsi"/>
          <w:sz w:val="20"/>
          <w:szCs w:val="20"/>
          <w:vertAlign w:val="superscript"/>
        </w:rPr>
        <w:footnoteRef/>
      </w:r>
      <w:r w:rsidRPr="0076464E">
        <w:rPr>
          <w:rFonts w:cstheme="minorHAnsi"/>
          <w:color w:val="000000"/>
          <w:sz w:val="20"/>
          <w:szCs w:val="20"/>
        </w:rPr>
        <w:t xml:space="preserve"> </w:t>
      </w:r>
      <w:r w:rsidRPr="0076464E">
        <w:rPr>
          <w:rStyle w:val="Hyperlink"/>
          <w:rFonts w:cstheme="minorHAnsi"/>
          <w:color w:val="auto"/>
          <w:sz w:val="20"/>
          <w:szCs w:val="20"/>
          <w:u w:val="none"/>
        </w:rPr>
        <w:t>Katrina Manson</w:t>
      </w:r>
      <w:r w:rsidRPr="0076464E">
        <w:rPr>
          <w:rFonts w:cstheme="minorHAnsi"/>
          <w:sz w:val="20"/>
          <w:szCs w:val="20"/>
        </w:rPr>
        <w:t xml:space="preserve"> and </w:t>
      </w:r>
      <w:r w:rsidRPr="0076464E">
        <w:rPr>
          <w:rStyle w:val="Hyperlink"/>
          <w:rFonts w:cstheme="minorHAnsi"/>
          <w:color w:val="auto"/>
          <w:sz w:val="20"/>
          <w:szCs w:val="20"/>
          <w:u w:val="none"/>
        </w:rPr>
        <w:t xml:space="preserve">Shawn </w:t>
      </w:r>
      <w:proofErr w:type="spellStart"/>
      <w:r w:rsidRPr="0076464E">
        <w:rPr>
          <w:rStyle w:val="Hyperlink"/>
          <w:rFonts w:cstheme="minorHAnsi"/>
          <w:color w:val="auto"/>
          <w:sz w:val="20"/>
          <w:szCs w:val="20"/>
          <w:u w:val="none"/>
        </w:rPr>
        <w:t>Donnan</w:t>
      </w:r>
      <w:proofErr w:type="spellEnd"/>
      <w:r w:rsidRPr="0076464E">
        <w:rPr>
          <w:rFonts w:cstheme="minorHAnsi"/>
          <w:sz w:val="20"/>
          <w:szCs w:val="20"/>
        </w:rPr>
        <w:t xml:space="preserve">, </w:t>
      </w:r>
      <w:r w:rsidRPr="0076464E">
        <w:rPr>
          <w:rFonts w:cstheme="minorHAnsi"/>
          <w:color w:val="000000"/>
          <w:sz w:val="20"/>
          <w:szCs w:val="20"/>
        </w:rPr>
        <w:t xml:space="preserve">‘Mike Pompeo’s plans to counter China found wanting’, </w:t>
      </w:r>
      <w:r w:rsidRPr="0076464E">
        <w:rPr>
          <w:rFonts w:cstheme="minorHAnsi"/>
          <w:i/>
          <w:color w:val="000000"/>
          <w:sz w:val="20"/>
          <w:szCs w:val="20"/>
        </w:rPr>
        <w:t>Financial Times</w:t>
      </w:r>
      <w:r w:rsidRPr="0076464E">
        <w:rPr>
          <w:rFonts w:cstheme="minorHAnsi"/>
          <w:color w:val="000000"/>
          <w:sz w:val="20"/>
          <w:szCs w:val="20"/>
        </w:rPr>
        <w:t xml:space="preserve">, 20 July 2018. </w:t>
      </w:r>
      <w:hyperlink r:id="rId15" w:history="1">
        <w:r w:rsidRPr="0076464E">
          <w:rPr>
            <w:rStyle w:val="Hyperlink"/>
            <w:rFonts w:cstheme="minorHAnsi"/>
            <w:sz w:val="20"/>
            <w:szCs w:val="20"/>
          </w:rPr>
          <w:t>https://www.ft.com/content/e8dbe9be-940f-11e8-b67b-b8205561c3fe</w:t>
        </w:r>
      </w:hyperlink>
    </w:p>
  </w:footnote>
  <w:footnote w:id="108">
    <w:p w14:paraId="51FB53DA" w14:textId="77777777" w:rsidR="00E82131" w:rsidRPr="007E2005" w:rsidRDefault="00E82131" w:rsidP="006B593E">
      <w:pPr>
        <w:pStyle w:val="NoSpacing"/>
        <w:rPr>
          <w:rFonts w:ascii="Calibri" w:eastAsia="Times New Roman" w:hAnsi="Calibri" w:cs="Times New Roman"/>
          <w:color w:val="000000"/>
        </w:rPr>
      </w:pPr>
      <w:r w:rsidRPr="0076464E">
        <w:rPr>
          <w:rFonts w:cstheme="minorHAnsi"/>
          <w:sz w:val="20"/>
          <w:szCs w:val="20"/>
          <w:vertAlign w:val="superscript"/>
        </w:rPr>
        <w:footnoteRef/>
      </w:r>
      <w:r w:rsidRPr="0076464E">
        <w:rPr>
          <w:rFonts w:eastAsia="Times New Roman" w:cstheme="minorHAnsi"/>
          <w:color w:val="000000"/>
          <w:sz w:val="20"/>
          <w:szCs w:val="20"/>
        </w:rPr>
        <w:t xml:space="preserve"> Exchange rate: AUD 1 = 0.7 USD.</w:t>
      </w:r>
    </w:p>
  </w:footnote>
  <w:footnote w:id="109">
    <w:p w14:paraId="31CCB9D3" w14:textId="77777777" w:rsidR="00E82131" w:rsidRPr="0076464E" w:rsidRDefault="00E82131" w:rsidP="006B593E">
      <w:pPr>
        <w:spacing w:after="0" w:line="240" w:lineRule="auto"/>
        <w:rPr>
          <w:rFonts w:cstheme="minorHAnsi"/>
          <w:sz w:val="20"/>
          <w:szCs w:val="20"/>
        </w:rPr>
      </w:pPr>
      <w:r w:rsidRPr="0076464E">
        <w:rPr>
          <w:rFonts w:cstheme="minorHAnsi"/>
          <w:sz w:val="20"/>
          <w:szCs w:val="20"/>
          <w:vertAlign w:val="superscript"/>
        </w:rPr>
        <w:footnoteRef/>
      </w:r>
      <w:r w:rsidRPr="0076464E">
        <w:rPr>
          <w:rFonts w:eastAsia="Times New Roman" w:cstheme="minorHAnsi"/>
          <w:sz w:val="20"/>
          <w:szCs w:val="20"/>
        </w:rPr>
        <w:t xml:space="preserve"> Rosalyn </w:t>
      </w:r>
      <w:proofErr w:type="spellStart"/>
      <w:r w:rsidRPr="0076464E">
        <w:rPr>
          <w:rFonts w:eastAsia="Times New Roman" w:cstheme="minorHAnsi"/>
          <w:sz w:val="20"/>
          <w:szCs w:val="20"/>
        </w:rPr>
        <w:t>Albaniel</w:t>
      </w:r>
      <w:proofErr w:type="spellEnd"/>
      <w:r w:rsidRPr="0076464E">
        <w:rPr>
          <w:rFonts w:eastAsia="Times New Roman" w:cstheme="minorHAnsi"/>
          <w:sz w:val="20"/>
          <w:szCs w:val="20"/>
        </w:rPr>
        <w:t>, ‘</w:t>
      </w:r>
      <w:r w:rsidRPr="0076464E">
        <w:rPr>
          <w:rFonts w:eastAsia="Times New Roman" w:cstheme="minorHAnsi"/>
          <w:color w:val="111111"/>
          <w:sz w:val="20"/>
          <w:szCs w:val="20"/>
        </w:rPr>
        <w:t xml:space="preserve">PNG Debt to Surpass Legal Limits Set Under the Fiscal Responsibility Act’, </w:t>
      </w:r>
      <w:r w:rsidRPr="0076464E">
        <w:rPr>
          <w:rFonts w:eastAsia="Times New Roman" w:cstheme="minorHAnsi"/>
          <w:i/>
          <w:sz w:val="20"/>
          <w:szCs w:val="20"/>
        </w:rPr>
        <w:t>Pacific Islands Report</w:t>
      </w:r>
      <w:r w:rsidRPr="0076464E">
        <w:rPr>
          <w:rFonts w:eastAsia="Times New Roman" w:cstheme="minorHAnsi"/>
          <w:sz w:val="20"/>
          <w:szCs w:val="20"/>
        </w:rPr>
        <w:t>, 3 August 2016</w:t>
      </w:r>
      <w:r w:rsidRPr="0076464E">
        <w:rPr>
          <w:rFonts w:eastAsia="Times New Roman" w:cstheme="minorHAnsi"/>
          <w:color w:val="111111"/>
          <w:sz w:val="20"/>
          <w:szCs w:val="20"/>
        </w:rPr>
        <w:t xml:space="preserve">. </w:t>
      </w:r>
      <w:hyperlink r:id="rId16" w:history="1">
        <w:r w:rsidRPr="0076464E">
          <w:rPr>
            <w:rStyle w:val="Hyperlink"/>
            <w:rFonts w:eastAsia="Times New Roman" w:cstheme="minorHAnsi"/>
            <w:sz w:val="20"/>
            <w:szCs w:val="20"/>
          </w:rPr>
          <w:t>http://www.pireport.org/articles/2016/08/02/png-debt-surpass-legal-limits-set-under-fiscal-responsibility-act</w:t>
        </w:r>
      </w:hyperlink>
    </w:p>
  </w:footnote>
  <w:footnote w:id="110">
    <w:p w14:paraId="16018F26" w14:textId="77777777" w:rsidR="00E82131" w:rsidRPr="007E2005" w:rsidRDefault="00E82131" w:rsidP="006B593E">
      <w:pPr>
        <w:pBdr>
          <w:top w:val="nil"/>
          <w:left w:val="nil"/>
          <w:bottom w:val="nil"/>
          <w:right w:val="nil"/>
          <w:between w:val="nil"/>
        </w:pBdr>
        <w:spacing w:after="0" w:line="240" w:lineRule="auto"/>
        <w:rPr>
          <w:rFonts w:ascii="Calibri" w:eastAsia="Times New Roman" w:hAnsi="Calibri" w:cs="Times New Roman"/>
          <w:i/>
          <w:color w:val="000000"/>
          <w:sz w:val="20"/>
          <w:szCs w:val="20"/>
        </w:rPr>
      </w:pPr>
      <w:r w:rsidRPr="0076464E">
        <w:rPr>
          <w:rFonts w:cstheme="minorHAnsi"/>
          <w:sz w:val="20"/>
          <w:szCs w:val="20"/>
          <w:vertAlign w:val="superscript"/>
        </w:rPr>
        <w:footnoteRef/>
      </w:r>
      <w:r w:rsidRPr="0076464E">
        <w:rPr>
          <w:rFonts w:eastAsia="Times New Roman" w:cstheme="minorHAnsi"/>
          <w:color w:val="000000"/>
          <w:sz w:val="20"/>
          <w:szCs w:val="20"/>
        </w:rPr>
        <w:t xml:space="preserve"> </w:t>
      </w:r>
      <w:proofErr w:type="spellStart"/>
      <w:r w:rsidRPr="0076464E">
        <w:rPr>
          <w:rFonts w:eastAsia="Times New Roman" w:cstheme="minorHAnsi"/>
          <w:color w:val="000000"/>
          <w:sz w:val="20"/>
          <w:szCs w:val="20"/>
        </w:rPr>
        <w:t>Center</w:t>
      </w:r>
      <w:proofErr w:type="spellEnd"/>
      <w:r w:rsidRPr="0076464E">
        <w:rPr>
          <w:rFonts w:eastAsia="Times New Roman" w:cstheme="minorHAnsi"/>
          <w:color w:val="000000"/>
          <w:sz w:val="20"/>
          <w:szCs w:val="20"/>
        </w:rPr>
        <w:t xml:space="preserve"> for Global Development, </w:t>
      </w:r>
      <w:r w:rsidRPr="0076464E">
        <w:rPr>
          <w:rFonts w:eastAsia="Times New Roman" w:cstheme="minorHAnsi"/>
          <w:i/>
          <w:color w:val="000000"/>
          <w:sz w:val="20"/>
          <w:szCs w:val="20"/>
        </w:rPr>
        <w:t>Why Multilateral Development Bank Practices Are So Far from Their Potential</w:t>
      </w:r>
      <w:r w:rsidRPr="0076464E">
        <w:rPr>
          <w:rFonts w:eastAsia="Times New Roman" w:cstheme="minorHAnsi"/>
          <w:color w:val="000000"/>
          <w:sz w:val="20"/>
          <w:szCs w:val="20"/>
        </w:rPr>
        <w:t xml:space="preserve">, </w:t>
      </w:r>
      <w:proofErr w:type="gramStart"/>
      <w:r w:rsidRPr="0076464E">
        <w:rPr>
          <w:rFonts w:eastAsia="Times New Roman" w:cstheme="minorHAnsi"/>
          <w:color w:val="000000"/>
          <w:sz w:val="20"/>
          <w:szCs w:val="20"/>
        </w:rPr>
        <w:t>2009;</w:t>
      </w:r>
      <w:proofErr w:type="gramEnd"/>
      <w:r w:rsidRPr="0076464E">
        <w:rPr>
          <w:rFonts w:eastAsia="Times New Roman" w:cstheme="minorHAnsi"/>
          <w:i/>
          <w:color w:val="000000"/>
          <w:sz w:val="20"/>
          <w:szCs w:val="20"/>
        </w:rPr>
        <w:t xml:space="preserve"> </w:t>
      </w:r>
      <w:proofErr w:type="spellStart"/>
      <w:r w:rsidRPr="0076464E">
        <w:rPr>
          <w:rFonts w:eastAsia="Times New Roman" w:cstheme="minorHAnsi"/>
          <w:color w:val="000000"/>
          <w:sz w:val="20"/>
          <w:szCs w:val="20"/>
        </w:rPr>
        <w:t>Center</w:t>
      </w:r>
      <w:proofErr w:type="spellEnd"/>
      <w:r w:rsidRPr="0076464E">
        <w:rPr>
          <w:rFonts w:eastAsia="Times New Roman" w:cstheme="minorHAnsi"/>
          <w:color w:val="000000"/>
          <w:sz w:val="20"/>
          <w:szCs w:val="20"/>
        </w:rPr>
        <w:t xml:space="preserve"> for Global Development, </w:t>
      </w:r>
      <w:r w:rsidRPr="0076464E">
        <w:rPr>
          <w:rFonts w:eastAsia="Times New Roman" w:cstheme="minorHAnsi"/>
          <w:i/>
          <w:color w:val="000000"/>
          <w:sz w:val="20"/>
          <w:szCs w:val="20"/>
        </w:rPr>
        <w:t xml:space="preserve">Billions to Trillions? Issues on the Role of Development Banks in Mobilizing Private Finance, </w:t>
      </w:r>
      <w:r w:rsidRPr="0076464E">
        <w:rPr>
          <w:rFonts w:eastAsia="Times New Roman" w:cstheme="minorHAnsi"/>
          <w:color w:val="000000"/>
          <w:sz w:val="20"/>
          <w:szCs w:val="20"/>
        </w:rPr>
        <w:t>2017.</w:t>
      </w:r>
    </w:p>
  </w:footnote>
  <w:footnote w:id="111">
    <w:p w14:paraId="54DD60D2" w14:textId="77777777" w:rsidR="00E82131" w:rsidRPr="007E2005" w:rsidRDefault="00E82131" w:rsidP="006B593E">
      <w:pPr>
        <w:spacing w:after="0" w:line="240" w:lineRule="auto"/>
        <w:rPr>
          <w:rFonts w:ascii="Calibri" w:eastAsia="Times New Roman" w:hAnsi="Calibri" w:cs="Times New Roman"/>
          <w:color w:val="000000"/>
          <w:sz w:val="20"/>
          <w:szCs w:val="20"/>
        </w:rPr>
      </w:pPr>
      <w:r w:rsidRPr="007E2005">
        <w:rPr>
          <w:rFonts w:ascii="Calibri" w:hAnsi="Calibri"/>
          <w:sz w:val="20"/>
          <w:szCs w:val="20"/>
          <w:vertAlign w:val="superscript"/>
        </w:rPr>
        <w:footnoteRef/>
      </w:r>
      <w:r w:rsidRPr="007E2005">
        <w:rPr>
          <w:rFonts w:ascii="Calibri" w:eastAsia="Times New Roman" w:hAnsi="Calibri" w:cs="Times New Roman"/>
          <w:sz w:val="20"/>
          <w:szCs w:val="20"/>
        </w:rPr>
        <w:t xml:space="preserve"> Government of Papua New Guinea, </w:t>
      </w:r>
      <w:r w:rsidRPr="007E2005">
        <w:rPr>
          <w:rFonts w:ascii="Calibri" w:eastAsia="Times New Roman" w:hAnsi="Calibri" w:cs="Times New Roman"/>
          <w:i/>
          <w:sz w:val="20"/>
          <w:szCs w:val="20"/>
        </w:rPr>
        <w:t>Medium Term Development Plan III 2018</w:t>
      </w:r>
      <w:r>
        <w:rPr>
          <w:rFonts w:ascii="Calibri" w:eastAsia="Times New Roman" w:hAnsi="Calibri" w:cs="Times New Roman"/>
          <w:i/>
          <w:sz w:val="20"/>
          <w:szCs w:val="20"/>
        </w:rPr>
        <w:t>—</w:t>
      </w:r>
      <w:r w:rsidRPr="007E2005">
        <w:rPr>
          <w:rFonts w:ascii="Calibri" w:eastAsia="Times New Roman" w:hAnsi="Calibri" w:cs="Times New Roman"/>
          <w:i/>
          <w:sz w:val="20"/>
          <w:szCs w:val="20"/>
        </w:rPr>
        <w:t>2022</w:t>
      </w:r>
      <w:r w:rsidRPr="007E2005">
        <w:rPr>
          <w:rFonts w:ascii="Calibri" w:eastAsia="Times New Roman" w:hAnsi="Calibri" w:cs="Times New Roman"/>
          <w:sz w:val="20"/>
          <w:szCs w:val="20"/>
        </w:rPr>
        <w:t>, 2018.</w:t>
      </w:r>
    </w:p>
  </w:footnote>
  <w:footnote w:id="112">
    <w:p w14:paraId="4BD84516" w14:textId="77777777" w:rsidR="00E82131" w:rsidRPr="007E2005" w:rsidRDefault="00E82131" w:rsidP="006B593E">
      <w:pPr>
        <w:pBdr>
          <w:top w:val="nil"/>
          <w:left w:val="nil"/>
          <w:bottom w:val="nil"/>
          <w:right w:val="nil"/>
          <w:between w:val="nil"/>
        </w:pBdr>
        <w:spacing w:after="0" w:line="240" w:lineRule="auto"/>
        <w:rPr>
          <w:rFonts w:ascii="Calibri" w:eastAsia="Times New Roman" w:hAnsi="Calibri" w:cs="Times New Roman"/>
          <w:color w:val="000000"/>
          <w:sz w:val="20"/>
          <w:szCs w:val="20"/>
        </w:rPr>
      </w:pPr>
      <w:r w:rsidRPr="007E2005">
        <w:rPr>
          <w:rFonts w:ascii="Calibri" w:hAnsi="Calibri"/>
          <w:sz w:val="20"/>
          <w:szCs w:val="20"/>
          <w:vertAlign w:val="superscript"/>
        </w:rPr>
        <w:footnoteRef/>
      </w:r>
      <w:r w:rsidRPr="007E2005">
        <w:rPr>
          <w:rFonts w:ascii="Calibri" w:eastAsia="Times New Roman" w:hAnsi="Calibri" w:cs="Times New Roman"/>
          <w:color w:val="000000"/>
          <w:sz w:val="20"/>
          <w:szCs w:val="20"/>
        </w:rPr>
        <w:t xml:space="preserve"> World Bank Group, </w:t>
      </w:r>
      <w:r w:rsidRPr="007E2005">
        <w:rPr>
          <w:rFonts w:ascii="Calibri" w:eastAsia="Times New Roman" w:hAnsi="Calibri" w:cs="Times New Roman"/>
          <w:i/>
          <w:color w:val="000000"/>
          <w:sz w:val="20"/>
          <w:szCs w:val="20"/>
        </w:rPr>
        <w:t>Doing Business 2018</w:t>
      </w:r>
      <w:r>
        <w:rPr>
          <w:rFonts w:ascii="Calibri" w:eastAsia="Times New Roman" w:hAnsi="Calibri" w:cs="Times New Roman"/>
          <w:i/>
          <w:color w:val="000000"/>
          <w:sz w:val="20"/>
          <w:szCs w:val="20"/>
        </w:rPr>
        <w:t>—</w:t>
      </w:r>
      <w:r w:rsidRPr="007E2005">
        <w:rPr>
          <w:rFonts w:ascii="Calibri" w:eastAsia="Times New Roman" w:hAnsi="Calibri" w:cs="Times New Roman"/>
          <w:i/>
          <w:color w:val="000000"/>
          <w:sz w:val="20"/>
          <w:szCs w:val="20"/>
        </w:rPr>
        <w:t xml:space="preserve">Reforming to create jobs, </w:t>
      </w:r>
      <w:r w:rsidRPr="007E2005">
        <w:rPr>
          <w:rFonts w:ascii="Calibri" w:eastAsia="Times New Roman" w:hAnsi="Calibri" w:cs="Times New Roman"/>
          <w:color w:val="000000"/>
          <w:sz w:val="20"/>
          <w:szCs w:val="20"/>
        </w:rPr>
        <w:t>2018.</w:t>
      </w:r>
    </w:p>
  </w:footnote>
  <w:footnote w:id="113">
    <w:p w14:paraId="42DF2CF1" w14:textId="77777777" w:rsidR="00E82131" w:rsidRPr="0076464E" w:rsidRDefault="00E82131" w:rsidP="006B593E">
      <w:pPr>
        <w:spacing w:after="0" w:line="240" w:lineRule="auto"/>
        <w:rPr>
          <w:rFonts w:eastAsia="Times New Roman" w:cstheme="minorHAnsi"/>
          <w:sz w:val="20"/>
          <w:szCs w:val="20"/>
        </w:rPr>
      </w:pPr>
      <w:r w:rsidRPr="0076464E">
        <w:rPr>
          <w:rFonts w:cstheme="minorHAnsi"/>
          <w:sz w:val="20"/>
          <w:szCs w:val="20"/>
          <w:vertAlign w:val="superscript"/>
        </w:rPr>
        <w:footnoteRef/>
      </w:r>
      <w:r w:rsidRPr="0076464E">
        <w:rPr>
          <w:rFonts w:eastAsia="Times New Roman" w:cstheme="minorHAnsi"/>
          <w:sz w:val="20"/>
          <w:szCs w:val="20"/>
        </w:rPr>
        <w:t xml:space="preserve">Tom Westbrook, ‘Coke's coffers crammed with kina as dollar crunch hits Papua New Guinea’, </w:t>
      </w:r>
      <w:r w:rsidRPr="0076464E">
        <w:rPr>
          <w:rFonts w:eastAsia="Times New Roman" w:cstheme="minorHAnsi"/>
          <w:i/>
          <w:sz w:val="20"/>
          <w:szCs w:val="20"/>
        </w:rPr>
        <w:t>Reuters</w:t>
      </w:r>
      <w:r w:rsidRPr="0076464E">
        <w:rPr>
          <w:rFonts w:eastAsia="Times New Roman" w:cstheme="minorHAnsi"/>
          <w:sz w:val="20"/>
          <w:szCs w:val="20"/>
        </w:rPr>
        <w:t xml:space="preserve">, 8 November 2018. </w:t>
      </w:r>
      <w:hyperlink r:id="rId17" w:history="1">
        <w:r w:rsidRPr="0076464E">
          <w:rPr>
            <w:rStyle w:val="Hyperlink"/>
            <w:rFonts w:eastAsia="Times New Roman" w:cstheme="minorHAnsi"/>
            <w:sz w:val="20"/>
            <w:szCs w:val="20"/>
          </w:rPr>
          <w:t>https://in.reuters.com/article/us-apec-summit-currency/cokes-coffers-crammed-with-kina-as-dollar-crunch-hits-papua-new-guinea-idINKCN1ND39U</w:t>
        </w:r>
      </w:hyperlink>
      <w:r w:rsidRPr="0076464E">
        <w:rPr>
          <w:rFonts w:eastAsia="Times New Roman" w:cstheme="minorHAnsi"/>
          <w:sz w:val="20"/>
          <w:szCs w:val="20"/>
        </w:rPr>
        <w:t xml:space="preserve"> </w:t>
      </w:r>
      <w:r w:rsidRPr="0076464E">
        <w:rPr>
          <w:rFonts w:eastAsia="Times New Roman" w:cstheme="minorHAnsi"/>
          <w:color w:val="111111"/>
          <w:sz w:val="20"/>
          <w:szCs w:val="20"/>
        </w:rPr>
        <w:t xml:space="preserve">; </w:t>
      </w:r>
      <w:r w:rsidRPr="0076464E">
        <w:rPr>
          <w:rFonts w:eastAsia="Times New Roman" w:cstheme="minorHAnsi"/>
          <w:sz w:val="20"/>
          <w:szCs w:val="20"/>
        </w:rPr>
        <w:t>Liam Cochrane, ‘</w:t>
      </w:r>
      <w:r w:rsidRPr="0076464E">
        <w:rPr>
          <w:rFonts w:eastAsia="Times New Roman" w:cstheme="minorHAnsi"/>
          <w:color w:val="111111"/>
          <w:sz w:val="20"/>
          <w:szCs w:val="20"/>
        </w:rPr>
        <w:t>PNG Central Bank moves to stabilise the kina with foreign currency trading bands’</w:t>
      </w:r>
      <w:r w:rsidRPr="0076464E">
        <w:rPr>
          <w:rFonts w:eastAsia="Times New Roman" w:cstheme="minorHAnsi"/>
          <w:i/>
          <w:color w:val="111111"/>
          <w:sz w:val="20"/>
          <w:szCs w:val="20"/>
        </w:rPr>
        <w:t>, ABC News</w:t>
      </w:r>
      <w:r w:rsidRPr="0076464E">
        <w:rPr>
          <w:rFonts w:eastAsia="Times New Roman" w:cstheme="minorHAnsi"/>
          <w:color w:val="111111"/>
          <w:sz w:val="20"/>
          <w:szCs w:val="20"/>
        </w:rPr>
        <w:t xml:space="preserve">, 5 June 2014. </w:t>
      </w:r>
      <w:hyperlink r:id="rId18" w:history="1">
        <w:r w:rsidRPr="0076464E">
          <w:rPr>
            <w:rStyle w:val="Hyperlink"/>
            <w:rFonts w:eastAsia="Times New Roman" w:cstheme="minorHAnsi"/>
            <w:sz w:val="20"/>
            <w:szCs w:val="20"/>
          </w:rPr>
          <w:t>https://www.abc.net.au/news/2014-06-06/an-png-kina-trading-band/5504716</w:t>
        </w:r>
      </w:hyperlink>
    </w:p>
  </w:footnote>
  <w:footnote w:id="114">
    <w:p w14:paraId="06CBEC20" w14:textId="77777777" w:rsidR="00E82131" w:rsidRPr="0076464E" w:rsidRDefault="00E82131" w:rsidP="006B593E">
      <w:pPr>
        <w:pBdr>
          <w:top w:val="nil"/>
          <w:left w:val="nil"/>
          <w:bottom w:val="nil"/>
          <w:right w:val="nil"/>
          <w:between w:val="nil"/>
        </w:pBdr>
        <w:spacing w:after="0" w:line="240" w:lineRule="auto"/>
        <w:rPr>
          <w:rFonts w:eastAsia="Times New Roman" w:cstheme="minorHAnsi"/>
          <w:sz w:val="20"/>
          <w:szCs w:val="20"/>
        </w:rPr>
      </w:pPr>
      <w:r w:rsidRPr="0076464E">
        <w:rPr>
          <w:rFonts w:cstheme="minorHAnsi"/>
          <w:sz w:val="20"/>
          <w:szCs w:val="20"/>
          <w:vertAlign w:val="superscript"/>
        </w:rPr>
        <w:footnoteRef/>
      </w:r>
      <w:r w:rsidRPr="0076464E">
        <w:rPr>
          <w:rFonts w:eastAsia="Times New Roman" w:cstheme="minorHAnsi"/>
          <w:sz w:val="20"/>
          <w:szCs w:val="20"/>
        </w:rPr>
        <w:t xml:space="preserve"> </w:t>
      </w:r>
      <w:proofErr w:type="spellStart"/>
      <w:r w:rsidRPr="0076464E">
        <w:rPr>
          <w:rFonts w:eastAsia="Times New Roman" w:cstheme="minorHAnsi"/>
          <w:sz w:val="20"/>
          <w:szCs w:val="20"/>
        </w:rPr>
        <w:t>DevPolicy</w:t>
      </w:r>
      <w:proofErr w:type="spellEnd"/>
      <w:r w:rsidRPr="0076464E">
        <w:rPr>
          <w:rFonts w:eastAsia="Times New Roman" w:cstheme="minorHAnsi"/>
          <w:sz w:val="20"/>
          <w:szCs w:val="20"/>
        </w:rPr>
        <w:t xml:space="preserve">, </w:t>
      </w:r>
      <w:r w:rsidRPr="0076464E">
        <w:rPr>
          <w:rFonts w:eastAsia="Times New Roman" w:cstheme="minorHAnsi"/>
          <w:i/>
          <w:sz w:val="20"/>
          <w:szCs w:val="20"/>
        </w:rPr>
        <w:t>Foreign Exchange Restrictions in PNG: Costs and Remedies</w:t>
      </w:r>
      <w:r w:rsidRPr="0076464E">
        <w:rPr>
          <w:rFonts w:eastAsia="Times New Roman" w:cstheme="minorHAnsi"/>
          <w:sz w:val="20"/>
          <w:szCs w:val="20"/>
        </w:rPr>
        <w:t>, 2017.</w:t>
      </w:r>
    </w:p>
  </w:footnote>
  <w:footnote w:id="115">
    <w:p w14:paraId="582E418B" w14:textId="77777777" w:rsidR="00E82131" w:rsidRPr="0076464E" w:rsidRDefault="00E82131" w:rsidP="006B593E">
      <w:pPr>
        <w:pBdr>
          <w:top w:val="nil"/>
          <w:left w:val="nil"/>
          <w:bottom w:val="nil"/>
          <w:right w:val="nil"/>
          <w:between w:val="nil"/>
        </w:pBdr>
        <w:spacing w:after="0" w:line="240" w:lineRule="auto"/>
        <w:rPr>
          <w:rFonts w:eastAsia="Times New Roman" w:cstheme="minorHAnsi"/>
          <w:color w:val="000000"/>
          <w:sz w:val="20"/>
          <w:szCs w:val="20"/>
        </w:rPr>
      </w:pPr>
      <w:r w:rsidRPr="0076464E">
        <w:rPr>
          <w:rFonts w:cstheme="minorHAnsi"/>
          <w:sz w:val="20"/>
          <w:szCs w:val="20"/>
          <w:vertAlign w:val="superscript"/>
        </w:rPr>
        <w:footnoteRef/>
      </w:r>
      <w:r w:rsidRPr="0076464E">
        <w:rPr>
          <w:rFonts w:eastAsia="Times New Roman" w:cstheme="minorHAnsi"/>
          <w:sz w:val="20"/>
          <w:szCs w:val="20"/>
        </w:rPr>
        <w:t xml:space="preserve"> Ibid.</w:t>
      </w:r>
    </w:p>
  </w:footnote>
  <w:footnote w:id="116">
    <w:p w14:paraId="01955B00" w14:textId="09CFBF05" w:rsidR="00E82131" w:rsidRPr="007E2005" w:rsidRDefault="00E82131" w:rsidP="006B593E">
      <w:pPr>
        <w:pBdr>
          <w:top w:val="nil"/>
          <w:left w:val="nil"/>
          <w:bottom w:val="nil"/>
          <w:right w:val="nil"/>
          <w:between w:val="nil"/>
        </w:pBdr>
        <w:spacing w:after="0" w:line="240" w:lineRule="auto"/>
        <w:rPr>
          <w:rFonts w:ascii="Calibri" w:hAnsi="Calibri"/>
          <w:color w:val="000000"/>
          <w:sz w:val="20"/>
          <w:szCs w:val="20"/>
        </w:rPr>
      </w:pPr>
      <w:r w:rsidRPr="0076464E">
        <w:rPr>
          <w:rFonts w:cstheme="minorHAnsi"/>
          <w:sz w:val="20"/>
          <w:szCs w:val="20"/>
          <w:vertAlign w:val="superscript"/>
        </w:rPr>
        <w:footnoteRef/>
      </w:r>
      <w:r w:rsidRPr="0076464E">
        <w:rPr>
          <w:rFonts w:eastAsia="Times New Roman" w:cstheme="minorHAnsi"/>
          <w:color w:val="000000"/>
          <w:sz w:val="20"/>
          <w:szCs w:val="20"/>
        </w:rPr>
        <w:t xml:space="preserve"> Australia Department of Foreign Affairs and Trade (DFAT)</w:t>
      </w:r>
      <w:r w:rsidRPr="0076464E">
        <w:rPr>
          <w:rFonts w:eastAsia="Times New Roman" w:cstheme="minorHAnsi"/>
          <w:sz w:val="20"/>
          <w:szCs w:val="20"/>
        </w:rPr>
        <w:t xml:space="preserve">, </w:t>
      </w:r>
      <w:r w:rsidRPr="0076464E">
        <w:rPr>
          <w:rFonts w:eastAsia="Times New Roman" w:cstheme="minorHAnsi"/>
          <w:i/>
          <w:color w:val="000000"/>
          <w:sz w:val="20"/>
          <w:szCs w:val="20"/>
        </w:rPr>
        <w:t>PNG Economic and Social Infrastructure</w:t>
      </w:r>
      <w:r>
        <w:rPr>
          <w:rFonts w:eastAsia="Times New Roman" w:cstheme="minorHAnsi"/>
          <w:i/>
          <w:color w:val="000000"/>
          <w:sz w:val="20"/>
          <w:szCs w:val="20"/>
        </w:rPr>
        <w:t xml:space="preserve"> program </w:t>
      </w:r>
      <w:r w:rsidRPr="0076464E">
        <w:rPr>
          <w:rFonts w:eastAsia="Times New Roman" w:cstheme="minorHAnsi"/>
          <w:i/>
          <w:color w:val="000000"/>
          <w:sz w:val="20"/>
          <w:szCs w:val="20"/>
        </w:rPr>
        <w:t>Design Document</w:t>
      </w:r>
      <w:r w:rsidRPr="0076464E">
        <w:rPr>
          <w:rFonts w:eastAsia="Times New Roman" w:cstheme="minorHAnsi"/>
          <w:color w:val="000000"/>
          <w:sz w:val="20"/>
          <w:szCs w:val="20"/>
        </w:rPr>
        <w:t>, 2018.</w:t>
      </w:r>
    </w:p>
  </w:footnote>
  <w:footnote w:id="117">
    <w:p w14:paraId="59D0B8E2" w14:textId="77777777" w:rsidR="00E82131" w:rsidRPr="0076464E" w:rsidRDefault="00E82131" w:rsidP="006B593E">
      <w:pPr>
        <w:spacing w:after="0" w:line="240" w:lineRule="auto"/>
        <w:rPr>
          <w:rFonts w:eastAsia="Times New Roman" w:cstheme="minorHAnsi"/>
          <w:sz w:val="20"/>
          <w:szCs w:val="20"/>
        </w:rPr>
      </w:pPr>
      <w:r w:rsidRPr="0076464E">
        <w:rPr>
          <w:rFonts w:cstheme="minorHAnsi"/>
          <w:sz w:val="20"/>
          <w:szCs w:val="20"/>
          <w:vertAlign w:val="superscript"/>
        </w:rPr>
        <w:footnoteRef/>
      </w:r>
      <w:r w:rsidRPr="0076464E">
        <w:rPr>
          <w:rFonts w:eastAsia="Times New Roman" w:cstheme="minorHAnsi"/>
          <w:sz w:val="20"/>
          <w:szCs w:val="20"/>
        </w:rPr>
        <w:t xml:space="preserve"> Corinne Reichert, ‘</w:t>
      </w:r>
      <w:proofErr w:type="spellStart"/>
      <w:r w:rsidRPr="0076464E">
        <w:rPr>
          <w:rFonts w:eastAsia="Times New Roman" w:cstheme="minorHAnsi"/>
          <w:color w:val="080E14"/>
          <w:sz w:val="20"/>
          <w:szCs w:val="20"/>
        </w:rPr>
        <w:t>Vocus</w:t>
      </w:r>
      <w:proofErr w:type="spellEnd"/>
      <w:r w:rsidRPr="0076464E">
        <w:rPr>
          <w:rFonts w:eastAsia="Times New Roman" w:cstheme="minorHAnsi"/>
          <w:color w:val="080E14"/>
          <w:sz w:val="20"/>
          <w:szCs w:val="20"/>
        </w:rPr>
        <w:t xml:space="preserve"> scores AU$137m subsea cable contract with Australian government’</w:t>
      </w:r>
      <w:r w:rsidRPr="0076464E">
        <w:rPr>
          <w:rFonts w:eastAsia="Times New Roman" w:cstheme="minorHAnsi"/>
          <w:i/>
          <w:color w:val="080E14"/>
          <w:sz w:val="20"/>
          <w:szCs w:val="20"/>
        </w:rPr>
        <w:t>, ZD Net</w:t>
      </w:r>
      <w:r w:rsidRPr="0076464E">
        <w:rPr>
          <w:rFonts w:eastAsia="Times New Roman" w:cstheme="minorHAnsi"/>
          <w:color w:val="080E14"/>
          <w:sz w:val="20"/>
          <w:szCs w:val="20"/>
        </w:rPr>
        <w:t xml:space="preserve">, 19 June 2018. </w:t>
      </w:r>
      <w:hyperlink r:id="rId19" w:history="1">
        <w:r w:rsidRPr="0076464E">
          <w:rPr>
            <w:rStyle w:val="Hyperlink"/>
            <w:rFonts w:eastAsia="Times New Roman" w:cstheme="minorHAnsi"/>
            <w:sz w:val="20"/>
            <w:szCs w:val="20"/>
          </w:rPr>
          <w:t>https://www.zdnet.com/article/vocus-scores-au137m-subsea-cable-contract-with-australian-government/</w:t>
        </w:r>
      </w:hyperlink>
    </w:p>
  </w:footnote>
  <w:footnote w:id="118">
    <w:p w14:paraId="3751A48C" w14:textId="77777777" w:rsidR="00E82131" w:rsidRPr="0076464E" w:rsidRDefault="00E82131" w:rsidP="006B593E">
      <w:pPr>
        <w:pBdr>
          <w:top w:val="nil"/>
          <w:left w:val="nil"/>
          <w:bottom w:val="nil"/>
          <w:right w:val="nil"/>
          <w:between w:val="nil"/>
        </w:pBdr>
        <w:spacing w:after="0" w:line="240" w:lineRule="auto"/>
        <w:rPr>
          <w:rFonts w:eastAsia="Times New Roman" w:cstheme="minorHAnsi"/>
          <w:color w:val="000000"/>
          <w:sz w:val="20"/>
          <w:szCs w:val="20"/>
        </w:rPr>
      </w:pPr>
      <w:r w:rsidRPr="0076464E">
        <w:rPr>
          <w:rFonts w:cstheme="minorHAnsi"/>
          <w:sz w:val="20"/>
          <w:szCs w:val="20"/>
          <w:vertAlign w:val="superscript"/>
        </w:rPr>
        <w:footnoteRef/>
      </w:r>
      <w:r w:rsidRPr="0076464E">
        <w:rPr>
          <w:rFonts w:eastAsia="Times New Roman" w:cstheme="minorHAnsi"/>
          <w:color w:val="000000"/>
          <w:sz w:val="20"/>
          <w:szCs w:val="20"/>
        </w:rPr>
        <w:t xml:space="preserve"> Craig Lawrence, </w:t>
      </w:r>
      <w:r w:rsidRPr="0076464E">
        <w:rPr>
          <w:rFonts w:eastAsia="Times New Roman" w:cstheme="minorHAnsi"/>
          <w:i/>
          <w:color w:val="000000"/>
          <w:sz w:val="20"/>
          <w:szCs w:val="20"/>
        </w:rPr>
        <w:t xml:space="preserve">Infrastructure Challenges for Papua New Guinea, </w:t>
      </w:r>
      <w:r w:rsidRPr="0076464E">
        <w:rPr>
          <w:rFonts w:eastAsia="Times New Roman" w:cstheme="minorHAnsi"/>
          <w:color w:val="000000"/>
          <w:sz w:val="20"/>
          <w:szCs w:val="20"/>
        </w:rPr>
        <w:t>6 December 2017</w:t>
      </w:r>
    </w:p>
  </w:footnote>
  <w:footnote w:id="119">
    <w:p w14:paraId="52226A1F" w14:textId="77777777" w:rsidR="00E82131" w:rsidRPr="007E2005" w:rsidRDefault="00E82131" w:rsidP="006B593E">
      <w:pPr>
        <w:pBdr>
          <w:top w:val="nil"/>
          <w:left w:val="nil"/>
          <w:bottom w:val="nil"/>
          <w:right w:val="nil"/>
          <w:between w:val="nil"/>
        </w:pBdr>
        <w:spacing w:after="0" w:line="240" w:lineRule="auto"/>
        <w:rPr>
          <w:rFonts w:ascii="Calibri" w:eastAsia="Times New Roman" w:hAnsi="Calibri" w:cs="Times New Roman"/>
          <w:color w:val="000000"/>
          <w:sz w:val="20"/>
          <w:szCs w:val="20"/>
        </w:rPr>
      </w:pPr>
      <w:r w:rsidRPr="0076464E">
        <w:rPr>
          <w:rFonts w:cstheme="minorHAnsi"/>
          <w:sz w:val="20"/>
          <w:szCs w:val="20"/>
          <w:vertAlign w:val="superscript"/>
        </w:rPr>
        <w:footnoteRef/>
      </w:r>
      <w:r w:rsidRPr="0076464E">
        <w:rPr>
          <w:rFonts w:eastAsia="Times New Roman" w:cstheme="minorHAnsi"/>
          <w:color w:val="000000"/>
          <w:sz w:val="20"/>
          <w:szCs w:val="20"/>
        </w:rPr>
        <w:t xml:space="preserve"> Asian Development Bank (ADB), </w:t>
      </w:r>
      <w:r w:rsidRPr="0076464E">
        <w:rPr>
          <w:rFonts w:eastAsia="Times New Roman" w:cstheme="minorHAnsi"/>
          <w:i/>
          <w:color w:val="000000"/>
          <w:sz w:val="20"/>
          <w:szCs w:val="20"/>
        </w:rPr>
        <w:t xml:space="preserve">Papua New Guinea: Country Partnership Strategy (2016-2020): Transport Sector, </w:t>
      </w:r>
      <w:r w:rsidRPr="0076464E">
        <w:rPr>
          <w:rFonts w:eastAsia="Times New Roman" w:cstheme="minorHAnsi"/>
          <w:color w:val="000000"/>
          <w:sz w:val="20"/>
          <w:szCs w:val="20"/>
        </w:rPr>
        <w:t>2015.</w:t>
      </w:r>
    </w:p>
  </w:footnote>
  <w:footnote w:id="120">
    <w:p w14:paraId="0D4E0A3F" w14:textId="77777777" w:rsidR="00E82131" w:rsidRPr="0076464E" w:rsidRDefault="00E82131" w:rsidP="006B593E">
      <w:pPr>
        <w:spacing w:after="0" w:line="240" w:lineRule="auto"/>
        <w:rPr>
          <w:rFonts w:eastAsia="Times New Roman" w:cstheme="minorHAnsi"/>
          <w:sz w:val="20"/>
          <w:szCs w:val="20"/>
        </w:rPr>
      </w:pPr>
      <w:r w:rsidRPr="0076464E">
        <w:rPr>
          <w:rFonts w:cstheme="minorHAnsi"/>
          <w:sz w:val="20"/>
          <w:szCs w:val="20"/>
          <w:vertAlign w:val="superscript"/>
        </w:rPr>
        <w:footnoteRef/>
      </w:r>
      <w:r w:rsidRPr="0076464E">
        <w:rPr>
          <w:rFonts w:eastAsia="Times New Roman" w:cstheme="minorHAnsi"/>
          <w:sz w:val="20"/>
          <w:szCs w:val="20"/>
        </w:rPr>
        <w:t xml:space="preserve"> Ibid.</w:t>
      </w:r>
    </w:p>
  </w:footnote>
  <w:footnote w:id="121">
    <w:p w14:paraId="05EBC458" w14:textId="77777777" w:rsidR="00E82131" w:rsidRPr="0076464E" w:rsidRDefault="00E82131" w:rsidP="006B593E">
      <w:pPr>
        <w:spacing w:after="0" w:line="240" w:lineRule="auto"/>
        <w:rPr>
          <w:rFonts w:eastAsia="Times New Roman" w:cstheme="minorHAnsi"/>
          <w:sz w:val="20"/>
          <w:szCs w:val="20"/>
        </w:rPr>
      </w:pPr>
      <w:r w:rsidRPr="0076464E">
        <w:rPr>
          <w:rFonts w:cstheme="minorHAnsi"/>
          <w:sz w:val="20"/>
          <w:szCs w:val="20"/>
          <w:vertAlign w:val="superscript"/>
        </w:rPr>
        <w:footnoteRef/>
      </w:r>
      <w:r w:rsidRPr="0076464E">
        <w:rPr>
          <w:rFonts w:eastAsia="Times New Roman" w:cstheme="minorHAnsi"/>
          <w:sz w:val="20"/>
          <w:szCs w:val="20"/>
        </w:rPr>
        <w:t xml:space="preserve"> ADB, </w:t>
      </w:r>
      <w:r w:rsidRPr="0076464E">
        <w:rPr>
          <w:rFonts w:eastAsia="Times New Roman" w:cstheme="minorHAnsi"/>
          <w:i/>
          <w:sz w:val="20"/>
          <w:szCs w:val="20"/>
        </w:rPr>
        <w:t>Papua New Guinea: Community Water Transport Project</w:t>
      </w:r>
      <w:r w:rsidRPr="0076464E">
        <w:rPr>
          <w:rFonts w:eastAsia="Times New Roman" w:cstheme="minorHAnsi"/>
          <w:sz w:val="20"/>
          <w:szCs w:val="20"/>
        </w:rPr>
        <w:t xml:space="preserve">, 2015. </w:t>
      </w:r>
    </w:p>
  </w:footnote>
  <w:footnote w:id="122">
    <w:p w14:paraId="40D812F3" w14:textId="77777777" w:rsidR="00E82131" w:rsidRPr="0076464E" w:rsidRDefault="00E82131" w:rsidP="006B593E">
      <w:pPr>
        <w:pBdr>
          <w:top w:val="nil"/>
          <w:left w:val="nil"/>
          <w:bottom w:val="nil"/>
          <w:right w:val="nil"/>
          <w:between w:val="nil"/>
        </w:pBdr>
        <w:spacing w:after="0" w:line="240" w:lineRule="auto"/>
        <w:rPr>
          <w:rFonts w:eastAsia="Times New Roman" w:cstheme="minorHAnsi"/>
          <w:sz w:val="20"/>
          <w:szCs w:val="20"/>
        </w:rPr>
      </w:pPr>
      <w:r w:rsidRPr="0076464E">
        <w:rPr>
          <w:rFonts w:cstheme="minorHAnsi"/>
          <w:sz w:val="20"/>
          <w:szCs w:val="20"/>
          <w:vertAlign w:val="superscript"/>
        </w:rPr>
        <w:footnoteRef/>
      </w:r>
      <w:r w:rsidRPr="0076464E">
        <w:rPr>
          <w:rFonts w:eastAsia="Times New Roman" w:cstheme="minorHAnsi"/>
          <w:sz w:val="20"/>
          <w:szCs w:val="20"/>
        </w:rPr>
        <w:t xml:space="preserve"> Australia’s current level of involvement is limited to technical assistance.</w:t>
      </w:r>
    </w:p>
  </w:footnote>
  <w:footnote w:id="123">
    <w:p w14:paraId="3C5BC9D9" w14:textId="77777777" w:rsidR="00E82131" w:rsidRPr="007E2005" w:rsidRDefault="00E82131" w:rsidP="006B593E">
      <w:pPr>
        <w:spacing w:after="0" w:line="240" w:lineRule="auto"/>
        <w:rPr>
          <w:rFonts w:ascii="Calibri" w:eastAsia="Times New Roman" w:hAnsi="Calibri" w:cs="Times New Roman"/>
          <w:sz w:val="20"/>
          <w:szCs w:val="20"/>
        </w:rPr>
      </w:pPr>
      <w:r w:rsidRPr="0076464E">
        <w:rPr>
          <w:rFonts w:cstheme="minorHAnsi"/>
          <w:sz w:val="20"/>
          <w:szCs w:val="20"/>
          <w:vertAlign w:val="superscript"/>
        </w:rPr>
        <w:footnoteRef/>
      </w:r>
      <w:r w:rsidRPr="0076464E">
        <w:rPr>
          <w:rFonts w:eastAsia="Times New Roman" w:cstheme="minorHAnsi"/>
          <w:sz w:val="20"/>
          <w:szCs w:val="20"/>
        </w:rPr>
        <w:t xml:space="preserve"> PNG TSSP, </w:t>
      </w:r>
      <w:r w:rsidRPr="0076464E">
        <w:rPr>
          <w:rFonts w:eastAsia="Times New Roman" w:cstheme="minorHAnsi"/>
          <w:i/>
          <w:sz w:val="20"/>
          <w:szCs w:val="20"/>
        </w:rPr>
        <w:t>Annual Sector Performance Report</w:t>
      </w:r>
      <w:r w:rsidRPr="0076464E">
        <w:rPr>
          <w:rFonts w:eastAsia="Times New Roman" w:cstheme="minorHAnsi"/>
          <w:sz w:val="20"/>
          <w:szCs w:val="20"/>
        </w:rPr>
        <w:t xml:space="preserve">, 2015; Freddy </w:t>
      </w:r>
      <w:proofErr w:type="spellStart"/>
      <w:r w:rsidRPr="0076464E">
        <w:rPr>
          <w:rFonts w:eastAsia="Times New Roman" w:cstheme="minorHAnsi"/>
          <w:sz w:val="20"/>
          <w:szCs w:val="20"/>
        </w:rPr>
        <w:t>Mou</w:t>
      </w:r>
      <w:proofErr w:type="spellEnd"/>
      <w:r w:rsidRPr="0076464E">
        <w:rPr>
          <w:rFonts w:eastAsia="Times New Roman" w:cstheme="minorHAnsi"/>
          <w:sz w:val="20"/>
          <w:szCs w:val="20"/>
        </w:rPr>
        <w:t>,</w:t>
      </w:r>
      <w:r w:rsidRPr="0076464E">
        <w:rPr>
          <w:rFonts w:eastAsia="Times New Roman" w:cstheme="minorHAnsi"/>
          <w:i/>
          <w:sz w:val="20"/>
          <w:szCs w:val="20"/>
        </w:rPr>
        <w:t xml:space="preserve"> </w:t>
      </w:r>
      <w:r w:rsidRPr="0076464E">
        <w:rPr>
          <w:rFonts w:eastAsia="Times New Roman" w:cstheme="minorHAnsi"/>
          <w:sz w:val="20"/>
          <w:szCs w:val="20"/>
        </w:rPr>
        <w:t xml:space="preserve">‘Cabinet approves upgrade of national roads,’ </w:t>
      </w:r>
      <w:r w:rsidRPr="0076464E">
        <w:rPr>
          <w:rFonts w:eastAsia="Times New Roman" w:cstheme="minorHAnsi"/>
          <w:i/>
          <w:sz w:val="20"/>
          <w:szCs w:val="20"/>
        </w:rPr>
        <w:t>Loop News</w:t>
      </w:r>
      <w:r w:rsidRPr="0076464E">
        <w:rPr>
          <w:rFonts w:eastAsia="Times New Roman" w:cstheme="minorHAnsi"/>
          <w:sz w:val="20"/>
          <w:szCs w:val="20"/>
        </w:rPr>
        <w:t xml:space="preserve">, 28 May 2018. </w:t>
      </w:r>
      <w:hyperlink r:id="rId20" w:history="1">
        <w:r w:rsidRPr="0076464E">
          <w:rPr>
            <w:rStyle w:val="Hyperlink"/>
            <w:rFonts w:eastAsia="Times New Roman" w:cstheme="minorHAnsi"/>
            <w:sz w:val="20"/>
            <w:szCs w:val="20"/>
          </w:rPr>
          <w:t>http://www.looppng.com/png-news/cabinet-approves-upgrade-national-roads-76876</w:t>
        </w:r>
      </w:hyperlink>
    </w:p>
  </w:footnote>
  <w:footnote w:id="124">
    <w:p w14:paraId="285B4DF2" w14:textId="77777777" w:rsidR="00E82131" w:rsidRPr="007E2005" w:rsidRDefault="00E82131" w:rsidP="006B593E">
      <w:pPr>
        <w:spacing w:after="0" w:line="240" w:lineRule="auto"/>
        <w:rPr>
          <w:rFonts w:ascii="Calibri" w:eastAsia="Times New Roman" w:hAnsi="Calibri" w:cs="Times New Roman"/>
          <w:sz w:val="20"/>
          <w:szCs w:val="20"/>
        </w:rPr>
      </w:pPr>
      <w:r w:rsidRPr="007E2005">
        <w:rPr>
          <w:rFonts w:ascii="Calibri" w:hAnsi="Calibri"/>
          <w:sz w:val="20"/>
          <w:szCs w:val="20"/>
          <w:vertAlign w:val="superscript"/>
        </w:rPr>
        <w:footnoteRef/>
      </w:r>
      <w:r w:rsidRPr="007E2005">
        <w:rPr>
          <w:rFonts w:ascii="Calibri" w:eastAsia="Times New Roman" w:hAnsi="Calibri" w:cs="Times New Roman"/>
          <w:sz w:val="20"/>
          <w:szCs w:val="20"/>
        </w:rPr>
        <w:t xml:space="preserve"> ADB, </w:t>
      </w:r>
      <w:r w:rsidRPr="007E2005">
        <w:rPr>
          <w:rFonts w:ascii="Calibri" w:eastAsia="Times New Roman" w:hAnsi="Calibri" w:cs="Times New Roman"/>
          <w:i/>
          <w:sz w:val="20"/>
          <w:szCs w:val="20"/>
        </w:rPr>
        <w:t>Sustainable Transport Infrastructure Improvement Program: Report and Recommendation of the President</w:t>
      </w:r>
      <w:r w:rsidRPr="007E2005">
        <w:rPr>
          <w:rFonts w:ascii="Calibri" w:eastAsia="Times New Roman" w:hAnsi="Calibri" w:cs="Times New Roman"/>
          <w:sz w:val="20"/>
          <w:szCs w:val="20"/>
        </w:rPr>
        <w:t>, 2016.</w:t>
      </w:r>
    </w:p>
  </w:footnote>
  <w:footnote w:id="125">
    <w:p w14:paraId="51C9F4A9" w14:textId="77777777" w:rsidR="00E82131" w:rsidRPr="007E2005" w:rsidRDefault="00E82131" w:rsidP="006B593E">
      <w:pPr>
        <w:pBdr>
          <w:top w:val="nil"/>
          <w:left w:val="nil"/>
          <w:bottom w:val="nil"/>
          <w:right w:val="nil"/>
          <w:between w:val="nil"/>
        </w:pBdr>
        <w:spacing w:after="0" w:line="240" w:lineRule="auto"/>
        <w:rPr>
          <w:rFonts w:ascii="Calibri" w:eastAsia="Times New Roman" w:hAnsi="Calibri" w:cs="Times New Roman"/>
          <w:color w:val="000000"/>
          <w:sz w:val="20"/>
          <w:szCs w:val="20"/>
        </w:rPr>
      </w:pPr>
      <w:r w:rsidRPr="007E2005">
        <w:rPr>
          <w:rFonts w:ascii="Calibri" w:hAnsi="Calibri"/>
          <w:sz w:val="20"/>
          <w:szCs w:val="20"/>
          <w:vertAlign w:val="superscript"/>
        </w:rPr>
        <w:footnoteRef/>
      </w:r>
      <w:r w:rsidRPr="007E2005">
        <w:rPr>
          <w:rFonts w:ascii="Calibri" w:eastAsia="Times New Roman" w:hAnsi="Calibri" w:cs="Times New Roman"/>
          <w:color w:val="000000"/>
          <w:sz w:val="20"/>
          <w:szCs w:val="20"/>
        </w:rPr>
        <w:t xml:space="preserve"> ADB, </w:t>
      </w:r>
      <w:r w:rsidRPr="007E2005">
        <w:rPr>
          <w:rFonts w:ascii="Calibri" w:eastAsia="Times New Roman" w:hAnsi="Calibri" w:cs="Times New Roman"/>
          <w:i/>
          <w:color w:val="000000"/>
          <w:sz w:val="20"/>
          <w:szCs w:val="20"/>
        </w:rPr>
        <w:t xml:space="preserve">Papua New Guinea: Country Partnership Strategy (2016-2020): Energy Sector, </w:t>
      </w:r>
      <w:r w:rsidRPr="007E2005">
        <w:rPr>
          <w:rFonts w:ascii="Calibri" w:eastAsia="Times New Roman" w:hAnsi="Calibri" w:cs="Times New Roman"/>
          <w:color w:val="000000"/>
          <w:sz w:val="20"/>
          <w:szCs w:val="20"/>
        </w:rPr>
        <w:t>2015.</w:t>
      </w:r>
    </w:p>
  </w:footnote>
  <w:footnote w:id="126">
    <w:p w14:paraId="4BBBD6A1" w14:textId="77777777" w:rsidR="00E82131" w:rsidRPr="0076464E" w:rsidRDefault="00E82131" w:rsidP="006B593E">
      <w:pPr>
        <w:spacing w:after="0" w:line="240" w:lineRule="auto"/>
        <w:rPr>
          <w:rFonts w:eastAsia="Times New Roman" w:cstheme="minorHAnsi"/>
          <w:sz w:val="20"/>
          <w:szCs w:val="20"/>
        </w:rPr>
      </w:pPr>
      <w:r w:rsidRPr="0076464E">
        <w:rPr>
          <w:rFonts w:cstheme="minorHAnsi"/>
          <w:sz w:val="20"/>
          <w:szCs w:val="20"/>
          <w:vertAlign w:val="superscript"/>
        </w:rPr>
        <w:footnoteRef/>
      </w:r>
      <w:r w:rsidRPr="0076464E">
        <w:rPr>
          <w:rFonts w:eastAsia="Times New Roman" w:cstheme="minorHAnsi"/>
          <w:sz w:val="20"/>
          <w:szCs w:val="20"/>
        </w:rPr>
        <w:t xml:space="preserve"> New Agriculturist, </w:t>
      </w:r>
      <w:r w:rsidRPr="0076464E">
        <w:rPr>
          <w:rFonts w:eastAsia="Times New Roman" w:cstheme="minorHAnsi"/>
          <w:i/>
          <w:sz w:val="20"/>
          <w:szCs w:val="20"/>
        </w:rPr>
        <w:t xml:space="preserve">Papua New Guinea Country Profile, </w:t>
      </w:r>
      <w:r w:rsidRPr="0076464E">
        <w:rPr>
          <w:rFonts w:eastAsia="Times New Roman" w:cstheme="minorHAnsi"/>
          <w:sz w:val="20"/>
          <w:szCs w:val="20"/>
        </w:rPr>
        <w:t xml:space="preserve">March 2013. </w:t>
      </w:r>
      <w:hyperlink r:id="rId21" w:history="1">
        <w:r w:rsidRPr="0076464E">
          <w:rPr>
            <w:rStyle w:val="Hyperlink"/>
            <w:rFonts w:eastAsia="Times New Roman" w:cstheme="minorHAnsi"/>
            <w:sz w:val="20"/>
            <w:szCs w:val="20"/>
          </w:rPr>
          <w:t>http://www.new-ag.info/en/country/profile.php?a=2924</w:t>
        </w:r>
      </w:hyperlink>
      <w:r w:rsidRPr="0076464E">
        <w:rPr>
          <w:rFonts w:eastAsia="Times New Roman" w:cstheme="minorHAnsi"/>
          <w:sz w:val="20"/>
          <w:szCs w:val="20"/>
        </w:rPr>
        <w:t xml:space="preserve">  </w:t>
      </w:r>
    </w:p>
  </w:footnote>
  <w:footnote w:id="127">
    <w:p w14:paraId="0025B329" w14:textId="77777777" w:rsidR="00E82131" w:rsidRPr="007E2005" w:rsidRDefault="00E82131" w:rsidP="006B593E">
      <w:pPr>
        <w:pBdr>
          <w:top w:val="nil"/>
          <w:left w:val="nil"/>
          <w:bottom w:val="nil"/>
          <w:right w:val="nil"/>
          <w:between w:val="nil"/>
        </w:pBdr>
        <w:spacing w:after="0" w:line="240" w:lineRule="auto"/>
        <w:rPr>
          <w:rFonts w:ascii="Calibri" w:eastAsia="Times New Roman" w:hAnsi="Calibri" w:cs="Times New Roman"/>
          <w:color w:val="000000"/>
          <w:sz w:val="20"/>
          <w:szCs w:val="20"/>
        </w:rPr>
      </w:pPr>
      <w:r w:rsidRPr="007E2005">
        <w:rPr>
          <w:rFonts w:ascii="Calibri" w:hAnsi="Calibri"/>
          <w:sz w:val="20"/>
          <w:szCs w:val="20"/>
          <w:vertAlign w:val="superscript"/>
        </w:rPr>
        <w:footnoteRef/>
      </w:r>
      <w:r w:rsidRPr="007E2005">
        <w:rPr>
          <w:rFonts w:ascii="Calibri" w:eastAsia="Times New Roman" w:hAnsi="Calibri" w:cs="Times New Roman"/>
          <w:color w:val="000000"/>
          <w:sz w:val="20"/>
          <w:szCs w:val="20"/>
        </w:rPr>
        <w:t xml:space="preserve"> ADB, </w:t>
      </w:r>
      <w:r w:rsidRPr="007E2005">
        <w:rPr>
          <w:rFonts w:ascii="Calibri" w:eastAsia="Times New Roman" w:hAnsi="Calibri" w:cs="Times New Roman"/>
          <w:i/>
          <w:color w:val="000000"/>
          <w:sz w:val="20"/>
          <w:szCs w:val="20"/>
        </w:rPr>
        <w:t>Papua New Guinea Microfinance Expansion Project</w:t>
      </w:r>
      <w:r w:rsidRPr="007E2005">
        <w:rPr>
          <w:rFonts w:ascii="Calibri" w:eastAsia="Times New Roman" w:hAnsi="Calibri" w:cs="Times New Roman"/>
          <w:color w:val="000000"/>
          <w:sz w:val="20"/>
          <w:szCs w:val="20"/>
        </w:rPr>
        <w:t xml:space="preserve">, 2016; SPC Fisheries, </w:t>
      </w:r>
      <w:r w:rsidRPr="007E2005">
        <w:rPr>
          <w:rFonts w:ascii="Calibri" w:eastAsia="Times New Roman" w:hAnsi="Calibri" w:cs="Times New Roman"/>
          <w:i/>
          <w:color w:val="000000"/>
          <w:sz w:val="20"/>
          <w:szCs w:val="20"/>
        </w:rPr>
        <w:t>Coastal Fishery Management and Development Projects in Papua New Guinea,</w:t>
      </w:r>
      <w:r w:rsidRPr="007E2005">
        <w:rPr>
          <w:rFonts w:ascii="Calibri" w:eastAsia="Times New Roman" w:hAnsi="Calibri" w:cs="Times New Roman"/>
          <w:color w:val="000000"/>
          <w:sz w:val="20"/>
          <w:szCs w:val="20"/>
        </w:rPr>
        <w:t xml:space="preserve"> 2004.</w:t>
      </w:r>
    </w:p>
  </w:footnote>
  <w:footnote w:id="128">
    <w:p w14:paraId="4156E91C" w14:textId="01DFC9A2" w:rsidR="00E82131" w:rsidRPr="007E2005" w:rsidRDefault="00E82131" w:rsidP="006B593E">
      <w:pPr>
        <w:pBdr>
          <w:top w:val="nil"/>
          <w:left w:val="nil"/>
          <w:bottom w:val="nil"/>
          <w:right w:val="nil"/>
          <w:between w:val="nil"/>
        </w:pBdr>
        <w:spacing w:after="0" w:line="240" w:lineRule="auto"/>
        <w:rPr>
          <w:rFonts w:ascii="Calibri" w:eastAsia="Times New Roman" w:hAnsi="Calibri" w:cs="Times New Roman"/>
          <w:color w:val="000000"/>
          <w:sz w:val="20"/>
          <w:szCs w:val="20"/>
        </w:rPr>
      </w:pPr>
      <w:r w:rsidRPr="007E2005">
        <w:rPr>
          <w:rFonts w:ascii="Calibri" w:hAnsi="Calibri"/>
          <w:sz w:val="20"/>
          <w:szCs w:val="20"/>
          <w:vertAlign w:val="superscript"/>
        </w:rPr>
        <w:footnoteRef/>
      </w:r>
      <w:r w:rsidRPr="007E2005">
        <w:rPr>
          <w:rFonts w:ascii="Calibri" w:eastAsia="Times New Roman" w:hAnsi="Calibri" w:cs="Times New Roman"/>
          <w:color w:val="000000"/>
          <w:sz w:val="20"/>
          <w:szCs w:val="20"/>
        </w:rPr>
        <w:t xml:space="preserve"> Department of National Planning and Monitoring, Department of Health, WaterAid, Water and Sanitation </w:t>
      </w:r>
      <w:r>
        <w:rPr>
          <w:rFonts w:ascii="Calibri" w:eastAsia="Times New Roman" w:hAnsi="Calibri" w:cs="Times New Roman"/>
          <w:color w:val="000000"/>
          <w:sz w:val="20"/>
          <w:szCs w:val="20"/>
        </w:rPr>
        <w:t>Program</w:t>
      </w:r>
      <w:r w:rsidRPr="007E2005">
        <w:rPr>
          <w:rFonts w:ascii="Calibri" w:eastAsia="Times New Roman" w:hAnsi="Calibri" w:cs="Times New Roman"/>
          <w:color w:val="000000"/>
          <w:sz w:val="20"/>
          <w:szCs w:val="20"/>
        </w:rPr>
        <w:t xml:space="preserve">, The World Bank, Water PNG, EDA </w:t>
      </w:r>
      <w:proofErr w:type="spellStart"/>
      <w:r w:rsidRPr="007E2005">
        <w:rPr>
          <w:rFonts w:ascii="Calibri" w:eastAsia="Times New Roman" w:hAnsi="Calibri" w:cs="Times New Roman"/>
          <w:color w:val="000000"/>
          <w:sz w:val="20"/>
          <w:szCs w:val="20"/>
        </w:rPr>
        <w:t>Ranu</w:t>
      </w:r>
      <w:proofErr w:type="spellEnd"/>
      <w:r w:rsidRPr="007E2005">
        <w:rPr>
          <w:rFonts w:ascii="Calibri" w:eastAsia="Times New Roman" w:hAnsi="Calibri" w:cs="Times New Roman"/>
          <w:color w:val="000000"/>
          <w:sz w:val="20"/>
          <w:szCs w:val="20"/>
        </w:rPr>
        <w:t xml:space="preserve">, </w:t>
      </w:r>
      <w:r w:rsidRPr="007E2005">
        <w:rPr>
          <w:rFonts w:ascii="Calibri" w:eastAsia="Times New Roman" w:hAnsi="Calibri" w:cs="Times New Roman"/>
          <w:i/>
          <w:color w:val="000000"/>
          <w:sz w:val="20"/>
          <w:szCs w:val="20"/>
        </w:rPr>
        <w:t xml:space="preserve">Water Supply and Sanitation in Papua New Guinea: Turning Finance into Services for the Future, </w:t>
      </w:r>
      <w:r w:rsidRPr="007E2005">
        <w:rPr>
          <w:rFonts w:ascii="Calibri" w:eastAsia="Times New Roman" w:hAnsi="Calibri" w:cs="Times New Roman"/>
          <w:color w:val="000000"/>
          <w:sz w:val="20"/>
          <w:szCs w:val="20"/>
        </w:rPr>
        <w:t>2013.</w:t>
      </w:r>
    </w:p>
  </w:footnote>
  <w:footnote w:id="129">
    <w:p w14:paraId="3E39C060" w14:textId="77777777" w:rsidR="00E82131" w:rsidRPr="007E2005" w:rsidRDefault="00E82131" w:rsidP="006B593E">
      <w:pPr>
        <w:spacing w:after="0" w:line="240" w:lineRule="auto"/>
        <w:rPr>
          <w:rFonts w:ascii="Calibri" w:eastAsia="Times New Roman" w:hAnsi="Calibri" w:cs="Times New Roman"/>
          <w:sz w:val="20"/>
          <w:szCs w:val="20"/>
        </w:rPr>
      </w:pPr>
      <w:r w:rsidRPr="007E2005">
        <w:rPr>
          <w:rFonts w:ascii="Calibri" w:hAnsi="Calibri"/>
          <w:sz w:val="20"/>
          <w:szCs w:val="20"/>
          <w:vertAlign w:val="superscript"/>
        </w:rPr>
        <w:footnoteRef/>
      </w:r>
      <w:r w:rsidRPr="007E2005">
        <w:rPr>
          <w:rFonts w:ascii="Calibri" w:eastAsia="Times New Roman" w:hAnsi="Calibri" w:cs="Times New Roman"/>
          <w:sz w:val="20"/>
          <w:szCs w:val="20"/>
        </w:rPr>
        <w:t xml:space="preserve"> Brookings Institute, </w:t>
      </w:r>
      <w:r w:rsidRPr="007E2005">
        <w:rPr>
          <w:rFonts w:ascii="Calibri" w:eastAsia="Times New Roman" w:hAnsi="Calibri" w:cs="Times New Roman"/>
          <w:i/>
          <w:sz w:val="20"/>
          <w:szCs w:val="20"/>
        </w:rPr>
        <w:t>Impact Bonds in Developing Countries</w:t>
      </w:r>
      <w:r w:rsidRPr="007E2005">
        <w:rPr>
          <w:rFonts w:ascii="Calibri" w:eastAsia="Times New Roman" w:hAnsi="Calibri" w:cs="Times New Roman"/>
          <w:sz w:val="20"/>
          <w:szCs w:val="20"/>
        </w:rPr>
        <w:t>, 2017.</w:t>
      </w:r>
    </w:p>
  </w:footnote>
  <w:footnote w:id="130">
    <w:p w14:paraId="4895E5A3" w14:textId="77777777" w:rsidR="00E82131" w:rsidRPr="0076464E" w:rsidRDefault="00E82131" w:rsidP="006B593E">
      <w:pPr>
        <w:pBdr>
          <w:top w:val="nil"/>
          <w:left w:val="nil"/>
          <w:bottom w:val="nil"/>
          <w:right w:val="nil"/>
          <w:between w:val="nil"/>
        </w:pBdr>
        <w:spacing w:after="0" w:line="240" w:lineRule="auto"/>
        <w:rPr>
          <w:rFonts w:eastAsia="Times New Roman" w:cstheme="minorHAnsi"/>
          <w:color w:val="000000"/>
          <w:sz w:val="20"/>
          <w:szCs w:val="20"/>
        </w:rPr>
      </w:pPr>
      <w:r w:rsidRPr="0076464E">
        <w:rPr>
          <w:rFonts w:cstheme="minorHAnsi"/>
          <w:sz w:val="20"/>
          <w:szCs w:val="20"/>
          <w:vertAlign w:val="superscript"/>
        </w:rPr>
        <w:footnoteRef/>
      </w:r>
      <w:r w:rsidRPr="0076464E">
        <w:rPr>
          <w:rFonts w:eastAsia="Times New Roman" w:cstheme="minorHAnsi"/>
          <w:color w:val="000000"/>
          <w:sz w:val="20"/>
          <w:szCs w:val="20"/>
        </w:rPr>
        <w:t xml:space="preserve"> </w:t>
      </w:r>
      <w:r w:rsidRPr="0076464E">
        <w:rPr>
          <w:rFonts w:eastAsia="Times New Roman" w:cstheme="minorHAnsi"/>
          <w:i/>
          <w:color w:val="000000"/>
          <w:sz w:val="20"/>
          <w:szCs w:val="20"/>
        </w:rPr>
        <w:t>Radio New Zealand</w:t>
      </w:r>
      <w:r w:rsidRPr="0076464E">
        <w:rPr>
          <w:rFonts w:eastAsia="Times New Roman" w:cstheme="minorHAnsi"/>
          <w:color w:val="000000"/>
          <w:sz w:val="20"/>
          <w:szCs w:val="20"/>
        </w:rPr>
        <w:t>, ‘ANZ selling Papua New Guinea assets,’</w:t>
      </w:r>
      <w:r w:rsidRPr="0076464E">
        <w:rPr>
          <w:rFonts w:eastAsia="Times New Roman" w:cstheme="minorHAnsi"/>
          <w:i/>
          <w:color w:val="000000"/>
          <w:sz w:val="20"/>
          <w:szCs w:val="20"/>
        </w:rPr>
        <w:t xml:space="preserve"> </w:t>
      </w:r>
      <w:r w:rsidRPr="0076464E">
        <w:rPr>
          <w:rFonts w:eastAsia="Times New Roman" w:cstheme="minorHAnsi"/>
          <w:color w:val="000000"/>
          <w:sz w:val="20"/>
          <w:szCs w:val="20"/>
        </w:rPr>
        <w:t xml:space="preserve">26 June 2018. </w:t>
      </w:r>
      <w:hyperlink r:id="rId22" w:history="1">
        <w:r w:rsidRPr="0076464E">
          <w:rPr>
            <w:rStyle w:val="Hyperlink"/>
            <w:rFonts w:eastAsia="Times New Roman" w:cstheme="minorHAnsi"/>
            <w:sz w:val="20"/>
            <w:szCs w:val="20"/>
          </w:rPr>
          <w:t>https://www.radionz.co.nz/international/pacific-news/360420/anz-selling-papua-new-guinea-assets</w:t>
        </w:r>
      </w:hyperlink>
      <w:r w:rsidRPr="0076464E">
        <w:rPr>
          <w:rFonts w:eastAsia="Times New Roman" w:cstheme="minorHAnsi"/>
          <w:color w:val="000000"/>
          <w:sz w:val="20"/>
          <w:szCs w:val="20"/>
        </w:rPr>
        <w:t xml:space="preserve"> </w:t>
      </w:r>
    </w:p>
  </w:footnote>
  <w:footnote w:id="131">
    <w:p w14:paraId="399771FC" w14:textId="77777777" w:rsidR="00E82131" w:rsidRPr="007E2005" w:rsidRDefault="00E82131" w:rsidP="006B593E">
      <w:pPr>
        <w:pBdr>
          <w:top w:val="nil"/>
          <w:left w:val="nil"/>
          <w:bottom w:val="nil"/>
          <w:right w:val="nil"/>
          <w:between w:val="nil"/>
        </w:pBdr>
        <w:spacing w:after="0" w:line="240" w:lineRule="auto"/>
        <w:rPr>
          <w:rFonts w:ascii="Calibri" w:eastAsia="Times New Roman" w:hAnsi="Calibri" w:cs="Times New Roman"/>
          <w:color w:val="000000"/>
          <w:sz w:val="20"/>
          <w:szCs w:val="20"/>
        </w:rPr>
      </w:pPr>
      <w:r w:rsidRPr="0076464E">
        <w:rPr>
          <w:rFonts w:cstheme="minorHAnsi"/>
          <w:sz w:val="20"/>
          <w:szCs w:val="20"/>
          <w:vertAlign w:val="superscript"/>
        </w:rPr>
        <w:footnoteRef/>
      </w:r>
      <w:r w:rsidRPr="0076464E">
        <w:rPr>
          <w:rFonts w:eastAsia="Times New Roman" w:cstheme="minorHAnsi"/>
          <w:color w:val="000000"/>
          <w:sz w:val="20"/>
          <w:szCs w:val="20"/>
        </w:rPr>
        <w:t xml:space="preserve"> Deryck R. Brown, ‘Institutional Development in Small States: Evidence from the Commonwealth Caribbean,’ </w:t>
      </w:r>
      <w:proofErr w:type="spellStart"/>
      <w:r w:rsidRPr="0076464E">
        <w:rPr>
          <w:rFonts w:cstheme="minorHAnsi"/>
          <w:i/>
          <w:sz w:val="20"/>
          <w:szCs w:val="20"/>
        </w:rPr>
        <w:t>Halduskultuur</w:t>
      </w:r>
      <w:proofErr w:type="spellEnd"/>
      <w:r>
        <w:rPr>
          <w:rFonts w:cstheme="minorHAnsi"/>
          <w:i/>
          <w:sz w:val="20"/>
          <w:szCs w:val="20"/>
        </w:rPr>
        <w:t>—</w:t>
      </w:r>
      <w:r w:rsidRPr="0076464E">
        <w:rPr>
          <w:rFonts w:cstheme="minorHAnsi"/>
          <w:i/>
          <w:sz w:val="20"/>
          <w:szCs w:val="20"/>
        </w:rPr>
        <w:t>Administrative Culture</w:t>
      </w:r>
      <w:r w:rsidRPr="0076464E">
        <w:rPr>
          <w:rFonts w:cstheme="minorHAnsi"/>
          <w:sz w:val="20"/>
          <w:szCs w:val="20"/>
        </w:rPr>
        <w:t>,</w:t>
      </w:r>
      <w:r w:rsidRPr="0076464E">
        <w:rPr>
          <w:rFonts w:eastAsia="Times New Roman" w:cstheme="minorHAnsi"/>
          <w:color w:val="000000"/>
          <w:sz w:val="20"/>
          <w:szCs w:val="20"/>
        </w:rPr>
        <w:t xml:space="preserve"> 2010; ADB and the Institute of National Affairs, </w:t>
      </w:r>
      <w:r w:rsidRPr="0076464E">
        <w:rPr>
          <w:rFonts w:eastAsia="Times New Roman" w:cstheme="minorHAnsi"/>
          <w:i/>
          <w:color w:val="000000"/>
          <w:sz w:val="20"/>
          <w:szCs w:val="20"/>
        </w:rPr>
        <w:t>The Challenges of Doing Business in Papua New Guinea</w:t>
      </w:r>
      <w:r w:rsidRPr="0076464E">
        <w:rPr>
          <w:rFonts w:eastAsia="Times New Roman" w:cstheme="minorHAnsi"/>
          <w:color w:val="000000"/>
          <w:sz w:val="20"/>
          <w:szCs w:val="20"/>
        </w:rPr>
        <w:t>, 2014.</w:t>
      </w:r>
    </w:p>
  </w:footnote>
  <w:footnote w:id="132">
    <w:p w14:paraId="01FCAD3D" w14:textId="77777777" w:rsidR="00E82131" w:rsidRPr="007E2005" w:rsidRDefault="00E82131" w:rsidP="006B593E">
      <w:pPr>
        <w:pBdr>
          <w:top w:val="nil"/>
          <w:left w:val="nil"/>
          <w:bottom w:val="nil"/>
          <w:right w:val="nil"/>
          <w:between w:val="nil"/>
        </w:pBdr>
        <w:spacing w:after="0" w:line="240" w:lineRule="auto"/>
        <w:rPr>
          <w:rFonts w:ascii="Calibri" w:hAnsi="Calibri"/>
          <w:color w:val="000000"/>
          <w:sz w:val="20"/>
          <w:szCs w:val="20"/>
        </w:rPr>
      </w:pPr>
      <w:r w:rsidRPr="0076464E">
        <w:rPr>
          <w:rFonts w:cstheme="minorHAnsi"/>
          <w:sz w:val="20"/>
          <w:szCs w:val="20"/>
          <w:vertAlign w:val="superscript"/>
        </w:rPr>
        <w:footnoteRef/>
      </w:r>
      <w:r w:rsidRPr="0076464E">
        <w:rPr>
          <w:rFonts w:eastAsia="Times New Roman" w:cstheme="minorHAnsi"/>
          <w:color w:val="000000"/>
          <w:sz w:val="20"/>
          <w:szCs w:val="20"/>
        </w:rPr>
        <w:t xml:space="preserve"> Sinclair </w:t>
      </w:r>
      <w:proofErr w:type="spellStart"/>
      <w:r w:rsidRPr="0076464E">
        <w:rPr>
          <w:rFonts w:eastAsia="Times New Roman" w:cstheme="minorHAnsi"/>
          <w:color w:val="000000"/>
          <w:sz w:val="20"/>
          <w:szCs w:val="20"/>
        </w:rPr>
        <w:t>Dinnen</w:t>
      </w:r>
      <w:proofErr w:type="spellEnd"/>
      <w:r w:rsidRPr="0076464E">
        <w:rPr>
          <w:rFonts w:eastAsia="Times New Roman" w:cstheme="minorHAnsi"/>
          <w:color w:val="000000"/>
          <w:sz w:val="20"/>
          <w:szCs w:val="20"/>
        </w:rPr>
        <w:t xml:space="preserve">, </w:t>
      </w:r>
      <w:r w:rsidRPr="0076464E">
        <w:rPr>
          <w:rFonts w:eastAsia="Times New Roman" w:cstheme="minorHAnsi"/>
          <w:i/>
          <w:color w:val="000000"/>
          <w:sz w:val="20"/>
          <w:szCs w:val="20"/>
        </w:rPr>
        <w:t>Internal Security in Papua New Guinea: Trends and Prospects</w:t>
      </w:r>
      <w:r w:rsidRPr="0076464E">
        <w:rPr>
          <w:rFonts w:eastAsia="Times New Roman" w:cstheme="minorHAnsi"/>
          <w:color w:val="000000"/>
          <w:sz w:val="20"/>
          <w:szCs w:val="20"/>
        </w:rPr>
        <w:t>, 6 December 2017</w:t>
      </w:r>
      <w:r w:rsidRPr="00584224">
        <w:rPr>
          <w:rFonts w:asciiTheme="majorHAnsi" w:eastAsia="Times New Roman" w:hAnsiTheme="majorHAnsi" w:cs="Times New Roman"/>
          <w:color w:val="000000"/>
          <w:sz w:val="20"/>
          <w:szCs w:val="20"/>
        </w:rPr>
        <w:t>.</w:t>
      </w:r>
    </w:p>
  </w:footnote>
  <w:footnote w:id="133">
    <w:p w14:paraId="558EA4B9" w14:textId="77777777" w:rsidR="00E82131" w:rsidRPr="002909C3" w:rsidRDefault="00E82131" w:rsidP="006B593E">
      <w:pPr>
        <w:spacing w:after="0" w:line="240" w:lineRule="auto"/>
        <w:rPr>
          <w:rFonts w:eastAsia="Times New Roman" w:cstheme="minorHAnsi"/>
          <w:sz w:val="20"/>
          <w:szCs w:val="20"/>
        </w:rPr>
      </w:pPr>
      <w:r w:rsidRPr="002909C3">
        <w:rPr>
          <w:rFonts w:cstheme="minorHAnsi"/>
          <w:sz w:val="20"/>
          <w:szCs w:val="20"/>
          <w:vertAlign w:val="superscript"/>
        </w:rPr>
        <w:footnoteRef/>
      </w:r>
      <w:r w:rsidRPr="002909C3">
        <w:rPr>
          <w:rFonts w:eastAsia="Times New Roman" w:cstheme="minorHAnsi"/>
          <w:sz w:val="20"/>
          <w:szCs w:val="20"/>
          <w:highlight w:val="white"/>
        </w:rPr>
        <w:t xml:space="preserve"> </w:t>
      </w:r>
      <w:r w:rsidRPr="00586F1E">
        <w:rPr>
          <w:rFonts w:eastAsia="Times New Roman" w:cstheme="minorHAnsi"/>
          <w:sz w:val="20"/>
          <w:szCs w:val="20"/>
        </w:rPr>
        <w:t xml:space="preserve">Sophia Kathleen O’Dell, Sophia Peters and Kate Wharton, ‘Women, Energy and Economic Empowerment’, </w:t>
      </w:r>
      <w:r w:rsidRPr="00586F1E">
        <w:rPr>
          <w:rFonts w:eastAsia="Times New Roman" w:cstheme="minorHAnsi"/>
          <w:i/>
          <w:sz w:val="20"/>
          <w:szCs w:val="20"/>
        </w:rPr>
        <w:t>Deloitte</w:t>
      </w:r>
      <w:r w:rsidRPr="00586F1E">
        <w:rPr>
          <w:rFonts w:eastAsia="Times New Roman" w:cstheme="minorHAnsi"/>
          <w:sz w:val="20"/>
          <w:szCs w:val="20"/>
        </w:rPr>
        <w:t xml:space="preserve">, 18 September 2014. </w:t>
      </w:r>
      <w:hyperlink r:id="rId23" w:history="1">
        <w:r w:rsidRPr="002F60A8">
          <w:rPr>
            <w:rStyle w:val="Hyperlink"/>
            <w:rFonts w:eastAsia="Times New Roman" w:cstheme="minorHAnsi"/>
            <w:sz w:val="20"/>
            <w:szCs w:val="20"/>
          </w:rPr>
          <w:t>https://www2.deloitte.com/insights/us/en/topics/social-impact/women-empowerment-energy-access.html</w:t>
        </w:r>
      </w:hyperlink>
      <w:r>
        <w:rPr>
          <w:rFonts w:eastAsia="Times New Roman" w:cstheme="minorHAnsi"/>
          <w:sz w:val="20"/>
          <w:szCs w:val="20"/>
        </w:rPr>
        <w:t xml:space="preserve"> </w:t>
      </w:r>
    </w:p>
  </w:footnote>
  <w:footnote w:id="134">
    <w:p w14:paraId="5C522373" w14:textId="77777777" w:rsidR="00E82131" w:rsidRPr="002909C3" w:rsidRDefault="00E82131" w:rsidP="006B593E">
      <w:pPr>
        <w:spacing w:after="0" w:line="240" w:lineRule="auto"/>
        <w:rPr>
          <w:rFonts w:eastAsia="Times New Roman" w:cstheme="minorHAnsi"/>
          <w:sz w:val="20"/>
          <w:szCs w:val="20"/>
        </w:rPr>
      </w:pPr>
      <w:r w:rsidRPr="002909C3">
        <w:rPr>
          <w:rFonts w:cstheme="minorHAnsi"/>
          <w:sz w:val="20"/>
          <w:szCs w:val="20"/>
          <w:vertAlign w:val="superscript"/>
        </w:rPr>
        <w:footnoteRef/>
      </w:r>
      <w:r w:rsidRPr="002909C3">
        <w:rPr>
          <w:rFonts w:eastAsia="Times New Roman" w:cstheme="minorHAnsi"/>
          <w:sz w:val="20"/>
          <w:szCs w:val="20"/>
        </w:rPr>
        <w:t xml:space="preserve"> Ibid.</w:t>
      </w:r>
    </w:p>
  </w:footnote>
  <w:footnote w:id="135">
    <w:p w14:paraId="5626E63E" w14:textId="77777777" w:rsidR="00E82131" w:rsidRPr="002909C3" w:rsidRDefault="00E82131" w:rsidP="006B593E">
      <w:pPr>
        <w:spacing w:after="0" w:line="240" w:lineRule="auto"/>
        <w:rPr>
          <w:rFonts w:eastAsia="Times New Roman" w:cstheme="minorHAnsi"/>
          <w:sz w:val="20"/>
          <w:szCs w:val="20"/>
        </w:rPr>
      </w:pPr>
      <w:r w:rsidRPr="002909C3">
        <w:rPr>
          <w:rFonts w:cstheme="minorHAnsi"/>
          <w:sz w:val="20"/>
          <w:szCs w:val="20"/>
          <w:vertAlign w:val="superscript"/>
        </w:rPr>
        <w:footnoteRef/>
      </w:r>
      <w:r w:rsidRPr="002909C3">
        <w:rPr>
          <w:rFonts w:eastAsia="Times New Roman" w:cstheme="minorHAnsi"/>
          <w:sz w:val="20"/>
          <w:szCs w:val="20"/>
        </w:rPr>
        <w:t xml:space="preserve"> JMP, WHO, UNICEF, </w:t>
      </w:r>
      <w:r w:rsidRPr="002909C3">
        <w:rPr>
          <w:rFonts w:eastAsia="Times New Roman" w:cstheme="minorHAnsi"/>
          <w:i/>
          <w:sz w:val="20"/>
          <w:szCs w:val="20"/>
        </w:rPr>
        <w:t>Annual Progress Report</w:t>
      </w:r>
      <w:r w:rsidRPr="002909C3">
        <w:rPr>
          <w:rFonts w:eastAsia="Times New Roman" w:cstheme="minorHAnsi"/>
          <w:sz w:val="20"/>
          <w:szCs w:val="20"/>
        </w:rPr>
        <w:t xml:space="preserve">, 2017; UNICEF, </w:t>
      </w:r>
      <w:r w:rsidRPr="002909C3">
        <w:rPr>
          <w:rFonts w:eastAsia="Times New Roman" w:cstheme="minorHAnsi"/>
          <w:i/>
          <w:sz w:val="20"/>
          <w:szCs w:val="20"/>
        </w:rPr>
        <w:t>Strategy for WASH (2016-30)</w:t>
      </w:r>
      <w:r w:rsidRPr="002909C3">
        <w:rPr>
          <w:rFonts w:eastAsia="Times New Roman" w:cstheme="minorHAnsi"/>
          <w:sz w:val="20"/>
          <w:szCs w:val="20"/>
        </w:rPr>
        <w:t>, 2016.</w:t>
      </w:r>
    </w:p>
  </w:footnote>
  <w:footnote w:id="136">
    <w:p w14:paraId="2D5BAED8" w14:textId="77777777" w:rsidR="00E82131" w:rsidRPr="002909C3" w:rsidRDefault="00E82131" w:rsidP="006B593E">
      <w:pPr>
        <w:spacing w:after="0" w:line="240" w:lineRule="auto"/>
        <w:rPr>
          <w:rFonts w:eastAsia="Times New Roman" w:cstheme="minorHAnsi"/>
          <w:sz w:val="20"/>
          <w:szCs w:val="20"/>
        </w:rPr>
      </w:pPr>
      <w:r w:rsidRPr="002909C3">
        <w:rPr>
          <w:rFonts w:cstheme="minorHAnsi"/>
          <w:sz w:val="20"/>
          <w:szCs w:val="20"/>
          <w:vertAlign w:val="superscript"/>
        </w:rPr>
        <w:footnoteRef/>
      </w:r>
      <w:r w:rsidRPr="002909C3">
        <w:rPr>
          <w:rFonts w:eastAsia="Times New Roman" w:cstheme="minorHAnsi"/>
          <w:sz w:val="20"/>
          <w:szCs w:val="20"/>
        </w:rPr>
        <w:t xml:space="preserve"> World Bank, ‘Papua New Guinea: Clean Water Access to End the Walk for Water for Women and Girls’, 20 March 2018. </w:t>
      </w:r>
      <w:hyperlink r:id="rId24" w:history="1">
        <w:r w:rsidRPr="002909C3">
          <w:rPr>
            <w:rStyle w:val="Hyperlink"/>
            <w:rFonts w:eastAsia="Times New Roman" w:cstheme="minorHAnsi"/>
            <w:sz w:val="20"/>
            <w:szCs w:val="20"/>
          </w:rPr>
          <w:t>https://www.worldbank.org/en/news/feature/2018/03/20/papua-new-guinea-clean-water-access-to-end-the-walk-for-water-for-women-and-girls</w:t>
        </w:r>
      </w:hyperlink>
    </w:p>
  </w:footnote>
  <w:footnote w:id="137">
    <w:p w14:paraId="314F5189" w14:textId="77777777" w:rsidR="00E82131" w:rsidRPr="002909C3" w:rsidRDefault="00E82131" w:rsidP="006B593E">
      <w:pPr>
        <w:spacing w:after="0" w:line="240" w:lineRule="auto"/>
        <w:rPr>
          <w:rFonts w:eastAsia="Times New Roman" w:cstheme="minorHAnsi"/>
          <w:sz w:val="20"/>
          <w:szCs w:val="20"/>
        </w:rPr>
      </w:pPr>
      <w:r w:rsidRPr="002909C3">
        <w:rPr>
          <w:rFonts w:cstheme="minorHAnsi"/>
          <w:sz w:val="20"/>
          <w:szCs w:val="20"/>
          <w:vertAlign w:val="superscript"/>
        </w:rPr>
        <w:footnoteRef/>
      </w:r>
      <w:r w:rsidRPr="002909C3">
        <w:rPr>
          <w:rFonts w:eastAsia="Times New Roman" w:cstheme="minorHAnsi"/>
          <w:sz w:val="20"/>
          <w:szCs w:val="20"/>
        </w:rPr>
        <w:t xml:space="preserve"> Human Rights Watch, </w:t>
      </w:r>
      <w:r w:rsidRPr="002909C3">
        <w:rPr>
          <w:rFonts w:eastAsia="Times New Roman" w:cstheme="minorHAnsi"/>
          <w:i/>
          <w:sz w:val="20"/>
          <w:szCs w:val="20"/>
        </w:rPr>
        <w:t>World Report: Papua New Guinea</w:t>
      </w:r>
      <w:r w:rsidRPr="002909C3">
        <w:rPr>
          <w:rFonts w:eastAsia="Times New Roman" w:cstheme="minorHAnsi"/>
          <w:sz w:val="20"/>
          <w:szCs w:val="20"/>
        </w:rPr>
        <w:t>, 2016.</w:t>
      </w:r>
    </w:p>
  </w:footnote>
  <w:footnote w:id="138">
    <w:p w14:paraId="4AF7D008" w14:textId="77777777" w:rsidR="00E82131" w:rsidRPr="002909C3" w:rsidRDefault="00E82131" w:rsidP="006B593E">
      <w:pPr>
        <w:spacing w:after="0" w:line="240" w:lineRule="auto"/>
        <w:rPr>
          <w:rFonts w:eastAsia="Times New Roman" w:cstheme="minorHAnsi"/>
          <w:sz w:val="20"/>
          <w:szCs w:val="20"/>
        </w:rPr>
      </w:pPr>
      <w:r w:rsidRPr="002909C3">
        <w:rPr>
          <w:rFonts w:cstheme="minorHAnsi"/>
          <w:sz w:val="20"/>
          <w:szCs w:val="20"/>
          <w:vertAlign w:val="superscript"/>
        </w:rPr>
        <w:footnoteRef/>
      </w:r>
      <w:r w:rsidRPr="002909C3">
        <w:rPr>
          <w:rFonts w:cstheme="minorHAnsi"/>
          <w:sz w:val="20"/>
          <w:szCs w:val="20"/>
        </w:rPr>
        <w:t xml:space="preserve"> </w:t>
      </w:r>
      <w:r w:rsidRPr="002909C3">
        <w:rPr>
          <w:rFonts w:eastAsia="Times New Roman" w:cstheme="minorHAnsi"/>
          <w:sz w:val="20"/>
          <w:szCs w:val="20"/>
        </w:rPr>
        <w:t xml:space="preserve">ADB, </w:t>
      </w:r>
      <w:r w:rsidRPr="002909C3">
        <w:rPr>
          <w:rFonts w:eastAsia="Times New Roman" w:cstheme="minorHAnsi"/>
          <w:i/>
          <w:sz w:val="20"/>
          <w:szCs w:val="20"/>
        </w:rPr>
        <w:t>Sector Assessment (Summary): Health</w:t>
      </w:r>
      <w:r w:rsidRPr="002909C3">
        <w:rPr>
          <w:rFonts w:eastAsia="Times New Roman" w:cstheme="minorHAnsi"/>
          <w:sz w:val="20"/>
          <w:szCs w:val="20"/>
        </w:rPr>
        <w:t xml:space="preserve">, 2015. </w:t>
      </w:r>
    </w:p>
  </w:footnote>
  <w:footnote w:id="139">
    <w:p w14:paraId="1FF4A5E4" w14:textId="77777777" w:rsidR="00E82131" w:rsidRPr="002909C3" w:rsidRDefault="00E82131" w:rsidP="006B593E">
      <w:pPr>
        <w:spacing w:after="0" w:line="240" w:lineRule="auto"/>
        <w:rPr>
          <w:rFonts w:eastAsia="Times New Roman" w:cstheme="minorHAnsi"/>
          <w:sz w:val="20"/>
          <w:szCs w:val="20"/>
        </w:rPr>
      </w:pPr>
      <w:r w:rsidRPr="002909C3">
        <w:rPr>
          <w:rFonts w:cstheme="minorHAnsi"/>
          <w:sz w:val="20"/>
          <w:szCs w:val="20"/>
          <w:vertAlign w:val="superscript"/>
        </w:rPr>
        <w:footnoteRef/>
      </w:r>
      <w:r w:rsidRPr="002909C3">
        <w:rPr>
          <w:rFonts w:cstheme="minorHAnsi"/>
          <w:sz w:val="20"/>
          <w:szCs w:val="20"/>
        </w:rPr>
        <w:t xml:space="preserve"> </w:t>
      </w:r>
      <w:r w:rsidRPr="002909C3">
        <w:rPr>
          <w:rFonts w:eastAsia="Times New Roman" w:cstheme="minorHAnsi"/>
          <w:sz w:val="20"/>
          <w:szCs w:val="20"/>
        </w:rPr>
        <w:t xml:space="preserve">Liam Cochrane, ‘Papua New Guinea's rates of violence at 'pandemic' levels, Australian Federal Police officer says’, ABC News, 19 February 2015. </w:t>
      </w:r>
      <w:hyperlink r:id="rId25" w:history="1">
        <w:r w:rsidRPr="002909C3">
          <w:rPr>
            <w:rStyle w:val="Hyperlink"/>
            <w:rFonts w:eastAsia="Times New Roman" w:cstheme="minorHAnsi"/>
            <w:sz w:val="20"/>
            <w:szCs w:val="20"/>
          </w:rPr>
          <w:t>https://www.abc.net.au/news/2015-02-19/png-facing-a-domestic-violence-pandemic,-afp-officer-says/6150064</w:t>
        </w:r>
      </w:hyperlink>
    </w:p>
  </w:footnote>
  <w:footnote w:id="140">
    <w:p w14:paraId="078CCD49" w14:textId="77777777" w:rsidR="00E82131" w:rsidRPr="007E2005" w:rsidRDefault="00E82131" w:rsidP="006B593E">
      <w:pPr>
        <w:spacing w:after="0" w:line="240" w:lineRule="auto"/>
        <w:rPr>
          <w:rFonts w:ascii="Calibri" w:eastAsia="Times New Roman" w:hAnsi="Calibri" w:cs="Times New Roman"/>
          <w:sz w:val="20"/>
          <w:szCs w:val="20"/>
        </w:rPr>
      </w:pPr>
      <w:r w:rsidRPr="002909C3">
        <w:rPr>
          <w:rFonts w:cstheme="minorHAnsi"/>
          <w:sz w:val="20"/>
          <w:szCs w:val="20"/>
          <w:vertAlign w:val="superscript"/>
        </w:rPr>
        <w:footnoteRef/>
      </w:r>
      <w:r w:rsidRPr="002909C3">
        <w:rPr>
          <w:rFonts w:cstheme="minorHAnsi"/>
          <w:sz w:val="20"/>
          <w:szCs w:val="20"/>
        </w:rPr>
        <w:t xml:space="preserve"> </w:t>
      </w:r>
      <w:r w:rsidRPr="002909C3">
        <w:rPr>
          <w:rFonts w:eastAsia="Times New Roman" w:cstheme="minorHAnsi"/>
          <w:sz w:val="20"/>
          <w:szCs w:val="20"/>
        </w:rPr>
        <w:t xml:space="preserve">Jonathan </w:t>
      </w:r>
      <w:proofErr w:type="spellStart"/>
      <w:r w:rsidRPr="002909C3">
        <w:rPr>
          <w:rFonts w:eastAsia="Times New Roman" w:cstheme="minorHAnsi"/>
          <w:sz w:val="20"/>
          <w:szCs w:val="20"/>
        </w:rPr>
        <w:t>Pryke</w:t>
      </w:r>
      <w:proofErr w:type="spellEnd"/>
      <w:r w:rsidRPr="002909C3">
        <w:rPr>
          <w:rFonts w:eastAsia="Times New Roman" w:cstheme="minorHAnsi"/>
          <w:sz w:val="20"/>
          <w:szCs w:val="20"/>
        </w:rPr>
        <w:t xml:space="preserve"> and Paul Barker, </w:t>
      </w:r>
      <w:r w:rsidRPr="002909C3">
        <w:rPr>
          <w:rFonts w:eastAsia="Times New Roman" w:cstheme="minorHAnsi"/>
          <w:i/>
          <w:sz w:val="20"/>
          <w:szCs w:val="20"/>
        </w:rPr>
        <w:t>A Bumpy Road: Societal Trends in Papua New Guinea,</w:t>
      </w:r>
      <w:r w:rsidRPr="002909C3">
        <w:rPr>
          <w:rFonts w:eastAsia="Times New Roman" w:cstheme="minorHAnsi"/>
          <w:sz w:val="20"/>
          <w:szCs w:val="20"/>
        </w:rPr>
        <w:t xml:space="preserve"> 6 December 2017.</w:t>
      </w:r>
    </w:p>
  </w:footnote>
  <w:footnote w:id="141">
    <w:p w14:paraId="3FAC1880" w14:textId="77777777" w:rsidR="00E82131" w:rsidRPr="0076464E" w:rsidRDefault="00E82131" w:rsidP="006B593E">
      <w:pPr>
        <w:spacing w:after="0" w:line="240" w:lineRule="auto"/>
        <w:rPr>
          <w:rFonts w:eastAsia="Times New Roman" w:cstheme="minorHAnsi"/>
          <w:sz w:val="20"/>
          <w:szCs w:val="20"/>
        </w:rPr>
      </w:pPr>
      <w:r w:rsidRPr="0076464E">
        <w:rPr>
          <w:rFonts w:cstheme="minorHAnsi"/>
          <w:sz w:val="20"/>
          <w:szCs w:val="20"/>
          <w:vertAlign w:val="superscript"/>
        </w:rPr>
        <w:footnoteRef/>
      </w:r>
      <w:r w:rsidRPr="0076464E">
        <w:rPr>
          <w:rFonts w:eastAsia="Times New Roman" w:cstheme="minorHAnsi"/>
          <w:sz w:val="20"/>
          <w:szCs w:val="20"/>
        </w:rPr>
        <w:t xml:space="preserve"> World Bank, ‘Women in Papua New Guinea to Play Stronger Role in Agriculture’, 16 September 2013. </w:t>
      </w:r>
      <w:hyperlink r:id="rId26" w:history="1">
        <w:r w:rsidRPr="0076464E">
          <w:rPr>
            <w:rStyle w:val="Hyperlink"/>
            <w:rFonts w:eastAsia="Times New Roman" w:cstheme="minorHAnsi"/>
            <w:sz w:val="20"/>
            <w:szCs w:val="20"/>
          </w:rPr>
          <w:t>http://www.worldbank.org/en/news/feature/2013/09/16/women-in-papua-new-guinea-to-play-stronger-role-in-agriculture</w:t>
        </w:r>
      </w:hyperlink>
      <w:r w:rsidRPr="0076464E">
        <w:rPr>
          <w:rFonts w:eastAsia="Times New Roman" w:cstheme="minorHAnsi"/>
          <w:sz w:val="20"/>
          <w:szCs w:val="20"/>
        </w:rPr>
        <w:t xml:space="preserve"> ; </w:t>
      </w:r>
      <w:r w:rsidRPr="0076464E">
        <w:rPr>
          <w:rFonts w:eastAsia="Times New Roman" w:cstheme="minorHAnsi"/>
          <w:sz w:val="20"/>
          <w:szCs w:val="20"/>
          <w:highlight w:val="white"/>
        </w:rPr>
        <w:t xml:space="preserve">Katja Mikhailovich et al., ‘Exploring the lives of women smallholder farmers in Papua New Guinea through a collaborative mixed methods approach’, </w:t>
      </w:r>
      <w:r w:rsidRPr="0076464E">
        <w:rPr>
          <w:rFonts w:eastAsia="Times New Roman" w:cstheme="minorHAnsi"/>
          <w:i/>
          <w:sz w:val="20"/>
          <w:szCs w:val="20"/>
          <w:highlight w:val="white"/>
        </w:rPr>
        <w:t>Cogent Social Sciences</w:t>
      </w:r>
      <w:r w:rsidRPr="0076464E">
        <w:rPr>
          <w:rFonts w:eastAsia="Times New Roman" w:cstheme="minorHAnsi"/>
          <w:sz w:val="20"/>
          <w:szCs w:val="20"/>
          <w:highlight w:val="white"/>
        </w:rPr>
        <w:t>, 22 February 2016</w:t>
      </w:r>
      <w:r w:rsidRPr="0076464E">
        <w:rPr>
          <w:rFonts w:eastAsia="Times New Roman" w:cstheme="minorHAnsi"/>
          <w:sz w:val="20"/>
          <w:szCs w:val="20"/>
        </w:rPr>
        <w:t>.</w:t>
      </w:r>
    </w:p>
  </w:footnote>
  <w:footnote w:id="142">
    <w:p w14:paraId="4834BC11" w14:textId="77777777" w:rsidR="00E82131" w:rsidRPr="0076464E" w:rsidRDefault="00E82131" w:rsidP="006B593E">
      <w:pPr>
        <w:spacing w:after="0" w:line="240" w:lineRule="auto"/>
        <w:rPr>
          <w:rFonts w:eastAsia="Times New Roman" w:cstheme="minorHAnsi"/>
          <w:sz w:val="20"/>
          <w:szCs w:val="20"/>
        </w:rPr>
      </w:pPr>
      <w:r w:rsidRPr="0076464E">
        <w:rPr>
          <w:rFonts w:cstheme="minorHAnsi"/>
          <w:sz w:val="20"/>
          <w:szCs w:val="20"/>
          <w:vertAlign w:val="superscript"/>
        </w:rPr>
        <w:footnoteRef/>
      </w:r>
      <w:r w:rsidRPr="0076464E">
        <w:rPr>
          <w:rFonts w:eastAsia="Times New Roman" w:cstheme="minorHAnsi"/>
          <w:sz w:val="20"/>
          <w:szCs w:val="20"/>
        </w:rPr>
        <w:t xml:space="preserve"> Food and Agriculture Organization of the United Nations (FAO), ‘FAO shares the “7 success factors to empowering rural women through ICTs</w:t>
      </w:r>
      <w:r w:rsidRPr="0076464E">
        <w:rPr>
          <w:rFonts w:eastAsia="Times New Roman" w:cstheme="minorHAnsi"/>
          <w:i/>
          <w:sz w:val="20"/>
          <w:szCs w:val="20"/>
        </w:rPr>
        <w:t>”’.</w:t>
      </w:r>
      <w:r w:rsidRPr="0076464E">
        <w:rPr>
          <w:rFonts w:cstheme="minorHAnsi"/>
        </w:rPr>
        <w:t xml:space="preserve"> </w:t>
      </w:r>
      <w:hyperlink r:id="rId27" w:history="1">
        <w:r w:rsidRPr="0076464E">
          <w:rPr>
            <w:rStyle w:val="Hyperlink"/>
            <w:rFonts w:eastAsia="Times New Roman" w:cstheme="minorHAnsi"/>
            <w:sz w:val="20"/>
            <w:szCs w:val="20"/>
          </w:rPr>
          <w:t>http://www.fao.org/e-agriculture/news/fao-shares-7-success-factors-empowering-rural-women-through-icts</w:t>
        </w:r>
      </w:hyperlink>
      <w:r w:rsidRPr="0076464E">
        <w:rPr>
          <w:rFonts w:eastAsia="Times New Roman" w:cstheme="minorHAnsi"/>
          <w:sz w:val="20"/>
          <w:szCs w:val="20"/>
        </w:rPr>
        <w:t xml:space="preserve"> ; Sarah Byrne,</w:t>
      </w:r>
      <w:r w:rsidRPr="0076464E">
        <w:rPr>
          <w:rFonts w:eastAsia="Times New Roman" w:cstheme="minorHAnsi"/>
          <w:i/>
          <w:sz w:val="20"/>
          <w:szCs w:val="20"/>
        </w:rPr>
        <w:t xml:space="preserve"> </w:t>
      </w:r>
      <w:r w:rsidRPr="0076464E">
        <w:rPr>
          <w:rFonts w:eastAsia="Times New Roman" w:cstheme="minorHAnsi"/>
          <w:sz w:val="20"/>
          <w:szCs w:val="20"/>
        </w:rPr>
        <w:t xml:space="preserve">‘Women entrepreneurs say ICT infrastructure and expertise delivering economic benefits’, </w:t>
      </w:r>
      <w:r w:rsidRPr="0076464E">
        <w:rPr>
          <w:rFonts w:eastAsia="Times New Roman" w:cstheme="minorHAnsi"/>
          <w:i/>
          <w:sz w:val="20"/>
          <w:szCs w:val="20"/>
        </w:rPr>
        <w:t>Business Advantage PNG</w:t>
      </w:r>
      <w:r w:rsidRPr="0076464E">
        <w:rPr>
          <w:rFonts w:eastAsia="Times New Roman" w:cstheme="minorHAnsi"/>
          <w:sz w:val="20"/>
          <w:szCs w:val="20"/>
        </w:rPr>
        <w:t xml:space="preserve">, 2018. </w:t>
      </w:r>
      <w:hyperlink r:id="rId28" w:history="1">
        <w:r w:rsidRPr="0076464E">
          <w:rPr>
            <w:rStyle w:val="Hyperlink"/>
            <w:rFonts w:eastAsia="Times New Roman" w:cstheme="minorHAnsi"/>
            <w:sz w:val="20"/>
            <w:szCs w:val="20"/>
          </w:rPr>
          <w:t>https://www.businessadvantagepng.com/women-entrepreneurs-say-ict-infrastructure-and-expertise-delivering-economic-benefits/</w:t>
        </w:r>
      </w:hyperlink>
    </w:p>
  </w:footnote>
  <w:footnote w:id="143">
    <w:p w14:paraId="2A1FC2A7" w14:textId="77777777" w:rsidR="00E82131" w:rsidRPr="007E2005" w:rsidRDefault="00E82131" w:rsidP="006B593E">
      <w:pPr>
        <w:spacing w:after="0" w:line="240" w:lineRule="auto"/>
      </w:pPr>
      <w:r w:rsidRPr="0076464E">
        <w:rPr>
          <w:rFonts w:cstheme="minorHAnsi"/>
          <w:sz w:val="20"/>
          <w:szCs w:val="20"/>
          <w:vertAlign w:val="superscript"/>
        </w:rPr>
        <w:footnoteRef/>
      </w:r>
      <w:r w:rsidRPr="0076464E">
        <w:rPr>
          <w:rFonts w:cstheme="minorHAnsi"/>
          <w:sz w:val="20"/>
          <w:szCs w:val="20"/>
        </w:rPr>
        <w:t xml:space="preserve"> </w:t>
      </w:r>
      <w:r w:rsidRPr="0076464E">
        <w:rPr>
          <w:rFonts w:eastAsia="Times New Roman" w:cstheme="minorHAnsi"/>
          <w:sz w:val="20"/>
          <w:szCs w:val="20"/>
        </w:rPr>
        <w:t xml:space="preserve">ADB Press Release, ‘New Energy Grid, Transmission Investments are Lighting up Papua New Guinea’, 2018. </w:t>
      </w:r>
      <w:hyperlink r:id="rId29" w:history="1">
        <w:r w:rsidRPr="0076464E">
          <w:rPr>
            <w:rStyle w:val="Hyperlink"/>
            <w:rFonts w:eastAsia="Times New Roman" w:cstheme="minorHAnsi"/>
            <w:sz w:val="20"/>
            <w:szCs w:val="20"/>
          </w:rPr>
          <w:t>https://www.adb.org/news/videos/new-energy-grid-transmission-investments-are-lighting-papua-new-guinea</w:t>
        </w:r>
      </w:hyperlink>
      <w:r w:rsidRPr="0076464E">
        <w:rPr>
          <w:rFonts w:eastAsia="Times New Roman" w:cstheme="minorHAnsi"/>
          <w:sz w:val="20"/>
          <w:szCs w:val="20"/>
        </w:rPr>
        <w:t xml:space="preserve"> </w:t>
      </w:r>
    </w:p>
  </w:footnote>
  <w:footnote w:id="144">
    <w:p w14:paraId="1F7B386B" w14:textId="77777777" w:rsidR="00E82131" w:rsidRPr="00914B0B" w:rsidRDefault="00E82131" w:rsidP="006B593E">
      <w:pPr>
        <w:pStyle w:val="NoSpacing"/>
        <w:rPr>
          <w:rFonts w:eastAsia="Times New Roman" w:cstheme="minorHAnsi"/>
          <w:sz w:val="20"/>
          <w:szCs w:val="20"/>
        </w:rPr>
      </w:pPr>
      <w:r w:rsidRPr="00914B0B">
        <w:rPr>
          <w:rFonts w:cstheme="minorHAnsi"/>
          <w:sz w:val="20"/>
          <w:szCs w:val="20"/>
          <w:vertAlign w:val="superscript"/>
        </w:rPr>
        <w:footnoteRef/>
      </w:r>
      <w:r w:rsidRPr="00914B0B">
        <w:rPr>
          <w:rFonts w:eastAsia="Times New Roman" w:cstheme="minorHAnsi"/>
          <w:sz w:val="20"/>
          <w:szCs w:val="20"/>
        </w:rPr>
        <w:t xml:space="preserve"> IMF, </w:t>
      </w:r>
      <w:r w:rsidRPr="00914B0B">
        <w:rPr>
          <w:rFonts w:eastAsia="Times New Roman" w:cstheme="minorHAnsi"/>
          <w:i/>
          <w:sz w:val="20"/>
          <w:szCs w:val="20"/>
        </w:rPr>
        <w:t>Papua New Guinea: Staff Report for the 2017 Article IV Consultation</w:t>
      </w:r>
      <w:r>
        <w:rPr>
          <w:rFonts w:eastAsia="Times New Roman" w:cstheme="minorHAnsi"/>
          <w:i/>
          <w:sz w:val="20"/>
          <w:szCs w:val="20"/>
        </w:rPr>
        <w:t>—</w:t>
      </w:r>
      <w:r w:rsidRPr="00914B0B">
        <w:rPr>
          <w:rFonts w:eastAsia="Times New Roman" w:cstheme="minorHAnsi"/>
          <w:i/>
          <w:sz w:val="20"/>
          <w:szCs w:val="20"/>
        </w:rPr>
        <w:t>Debt Sustainability Analysis</w:t>
      </w:r>
      <w:r w:rsidRPr="00914B0B">
        <w:rPr>
          <w:rFonts w:eastAsia="Times New Roman" w:cstheme="minorHAnsi"/>
          <w:sz w:val="20"/>
          <w:szCs w:val="20"/>
        </w:rPr>
        <w:t xml:space="preserve">, 2017. </w:t>
      </w:r>
    </w:p>
  </w:footnote>
  <w:footnote w:id="145">
    <w:p w14:paraId="553019BE" w14:textId="77777777" w:rsidR="00E82131" w:rsidRPr="007E2005" w:rsidRDefault="00E82131" w:rsidP="006B593E">
      <w:pPr>
        <w:pBdr>
          <w:top w:val="nil"/>
          <w:left w:val="nil"/>
          <w:bottom w:val="nil"/>
          <w:right w:val="nil"/>
          <w:between w:val="nil"/>
        </w:pBdr>
        <w:spacing w:after="0" w:line="240" w:lineRule="auto"/>
        <w:rPr>
          <w:rFonts w:ascii="Calibri" w:eastAsia="Times New Roman" w:hAnsi="Calibri" w:cs="Times New Roman"/>
          <w:color w:val="000000"/>
          <w:sz w:val="20"/>
          <w:szCs w:val="20"/>
        </w:rPr>
      </w:pPr>
      <w:r w:rsidRPr="00914B0B">
        <w:rPr>
          <w:rFonts w:cstheme="minorHAnsi"/>
          <w:sz w:val="20"/>
          <w:szCs w:val="20"/>
          <w:vertAlign w:val="superscript"/>
        </w:rPr>
        <w:footnoteRef/>
      </w:r>
      <w:r w:rsidRPr="00914B0B">
        <w:rPr>
          <w:rFonts w:eastAsia="Times New Roman" w:cstheme="minorHAnsi"/>
          <w:sz w:val="20"/>
          <w:szCs w:val="20"/>
        </w:rPr>
        <w:t xml:space="preserve"> </w:t>
      </w:r>
      <w:proofErr w:type="spellStart"/>
      <w:r w:rsidRPr="00914B0B">
        <w:rPr>
          <w:rFonts w:eastAsia="Times New Roman" w:cstheme="minorHAnsi"/>
          <w:sz w:val="20"/>
          <w:szCs w:val="20"/>
        </w:rPr>
        <w:t>Gorethy</w:t>
      </w:r>
      <w:proofErr w:type="spellEnd"/>
      <w:r w:rsidRPr="00914B0B">
        <w:rPr>
          <w:rFonts w:eastAsia="Times New Roman" w:cstheme="minorHAnsi"/>
          <w:sz w:val="20"/>
          <w:szCs w:val="20"/>
        </w:rPr>
        <w:t xml:space="preserve"> Kenneth, ‘ADB faces challenges to roll out programs’</w:t>
      </w:r>
      <w:r w:rsidRPr="00914B0B">
        <w:rPr>
          <w:rFonts w:eastAsia="Times New Roman" w:cstheme="minorHAnsi"/>
          <w:i/>
          <w:sz w:val="20"/>
          <w:szCs w:val="20"/>
        </w:rPr>
        <w:t>,</w:t>
      </w:r>
      <w:r w:rsidRPr="00914B0B">
        <w:rPr>
          <w:rFonts w:eastAsia="Times New Roman" w:cstheme="minorHAnsi"/>
          <w:sz w:val="20"/>
          <w:szCs w:val="20"/>
        </w:rPr>
        <w:t xml:space="preserve"> </w:t>
      </w:r>
      <w:r w:rsidRPr="00914B0B">
        <w:rPr>
          <w:rFonts w:eastAsia="Times New Roman" w:cstheme="minorHAnsi"/>
          <w:i/>
          <w:sz w:val="20"/>
          <w:szCs w:val="20"/>
        </w:rPr>
        <w:t>Papua New Guinea Post-Courier,</w:t>
      </w:r>
      <w:r w:rsidRPr="00914B0B">
        <w:rPr>
          <w:rFonts w:eastAsia="Times New Roman" w:cstheme="minorHAnsi"/>
          <w:sz w:val="20"/>
          <w:szCs w:val="20"/>
        </w:rPr>
        <w:t xml:space="preserve"> 9 December 2016. </w:t>
      </w:r>
      <w:hyperlink r:id="rId30" w:history="1">
        <w:r w:rsidRPr="00914B0B">
          <w:rPr>
            <w:rStyle w:val="Hyperlink"/>
            <w:rFonts w:eastAsia="Times New Roman" w:cstheme="minorHAnsi"/>
            <w:sz w:val="20"/>
            <w:szCs w:val="20"/>
          </w:rPr>
          <w:t>https://postcourier.com.pg/adb-face-challenges-to-roll-out-programs/</w:t>
        </w:r>
      </w:hyperlink>
    </w:p>
  </w:footnote>
  <w:footnote w:id="146">
    <w:p w14:paraId="7C45077E" w14:textId="77777777" w:rsidR="00E82131" w:rsidRPr="0076464E" w:rsidRDefault="00E82131" w:rsidP="00456443">
      <w:pPr>
        <w:pBdr>
          <w:top w:val="nil"/>
          <w:left w:val="nil"/>
          <w:bottom w:val="nil"/>
          <w:right w:val="nil"/>
          <w:between w:val="nil"/>
        </w:pBdr>
        <w:spacing w:after="0" w:line="240" w:lineRule="auto"/>
        <w:rPr>
          <w:rFonts w:eastAsia="Times New Roman" w:cstheme="minorHAnsi"/>
          <w:color w:val="000000"/>
          <w:sz w:val="20"/>
          <w:szCs w:val="20"/>
        </w:rPr>
      </w:pPr>
      <w:r w:rsidRPr="0076464E">
        <w:rPr>
          <w:rFonts w:cstheme="minorHAnsi"/>
          <w:sz w:val="20"/>
          <w:szCs w:val="20"/>
          <w:vertAlign w:val="superscript"/>
        </w:rPr>
        <w:footnoteRef/>
      </w:r>
      <w:r w:rsidRPr="0076464E">
        <w:rPr>
          <w:rFonts w:eastAsia="Times New Roman" w:cstheme="minorHAnsi"/>
          <w:color w:val="000000"/>
          <w:sz w:val="20"/>
          <w:szCs w:val="20"/>
        </w:rPr>
        <w:t xml:space="preserve"> Estimates based on data from OECD and reports on China’s aid. </w:t>
      </w:r>
    </w:p>
  </w:footnote>
  <w:footnote w:id="147">
    <w:p w14:paraId="7F3D6D0C" w14:textId="77777777" w:rsidR="00E82131" w:rsidRPr="0076464E" w:rsidRDefault="00E82131" w:rsidP="00456443">
      <w:pPr>
        <w:pBdr>
          <w:top w:val="nil"/>
          <w:left w:val="nil"/>
          <w:bottom w:val="nil"/>
          <w:right w:val="nil"/>
          <w:between w:val="nil"/>
        </w:pBdr>
        <w:spacing w:after="0" w:line="240" w:lineRule="auto"/>
        <w:rPr>
          <w:rFonts w:eastAsia="Times New Roman" w:cstheme="minorHAnsi"/>
          <w:color w:val="000000"/>
          <w:sz w:val="20"/>
          <w:szCs w:val="20"/>
        </w:rPr>
      </w:pPr>
      <w:r w:rsidRPr="0076464E">
        <w:rPr>
          <w:rFonts w:cstheme="minorHAnsi"/>
          <w:sz w:val="20"/>
          <w:szCs w:val="20"/>
          <w:vertAlign w:val="superscript"/>
        </w:rPr>
        <w:footnoteRef/>
      </w:r>
      <w:r w:rsidRPr="0076464E">
        <w:rPr>
          <w:rFonts w:eastAsia="Times New Roman" w:cstheme="minorHAnsi"/>
          <w:color w:val="000000"/>
          <w:sz w:val="20"/>
          <w:szCs w:val="20"/>
        </w:rPr>
        <w:t xml:space="preserve"> Government of Vanuatu, </w:t>
      </w:r>
      <w:r w:rsidRPr="0076464E">
        <w:rPr>
          <w:rFonts w:eastAsia="Times New Roman" w:cstheme="minorHAnsi"/>
          <w:i/>
          <w:color w:val="000000"/>
          <w:sz w:val="20"/>
          <w:szCs w:val="20"/>
        </w:rPr>
        <w:t>Select Budget Statements.</w:t>
      </w:r>
      <w:r w:rsidRPr="0076464E">
        <w:rPr>
          <w:rFonts w:eastAsia="Times New Roman" w:cstheme="minorHAnsi"/>
          <w:color w:val="000000"/>
          <w:sz w:val="20"/>
          <w:szCs w:val="20"/>
        </w:rPr>
        <w:t xml:space="preserve"> </w:t>
      </w:r>
    </w:p>
  </w:footnote>
  <w:footnote w:id="148">
    <w:p w14:paraId="728D645C" w14:textId="77777777" w:rsidR="00E82131" w:rsidRPr="0076464E" w:rsidRDefault="00E82131" w:rsidP="00456443">
      <w:pPr>
        <w:pBdr>
          <w:top w:val="nil"/>
          <w:left w:val="nil"/>
          <w:bottom w:val="nil"/>
          <w:right w:val="nil"/>
          <w:between w:val="nil"/>
        </w:pBdr>
        <w:spacing w:after="0" w:line="240" w:lineRule="auto"/>
        <w:rPr>
          <w:rFonts w:eastAsia="Times New Roman" w:cstheme="minorHAnsi"/>
          <w:color w:val="000000"/>
          <w:sz w:val="20"/>
          <w:szCs w:val="20"/>
        </w:rPr>
      </w:pPr>
      <w:r w:rsidRPr="0076464E">
        <w:rPr>
          <w:rFonts w:cstheme="minorHAnsi"/>
          <w:sz w:val="20"/>
          <w:szCs w:val="20"/>
          <w:vertAlign w:val="superscript"/>
        </w:rPr>
        <w:footnoteRef/>
      </w:r>
      <w:r w:rsidRPr="0076464E">
        <w:rPr>
          <w:rFonts w:eastAsia="Times New Roman" w:cstheme="minorHAnsi"/>
          <w:color w:val="000000"/>
          <w:sz w:val="20"/>
          <w:szCs w:val="20"/>
        </w:rPr>
        <w:t xml:space="preserve"> DFAT, </w:t>
      </w:r>
      <w:r w:rsidRPr="0076464E">
        <w:rPr>
          <w:rFonts w:eastAsia="Times New Roman" w:cstheme="minorHAnsi"/>
          <w:i/>
          <w:color w:val="000000"/>
          <w:sz w:val="20"/>
          <w:szCs w:val="20"/>
        </w:rPr>
        <w:t xml:space="preserve">Vanuatu country brief, </w:t>
      </w:r>
      <w:r w:rsidRPr="0076464E">
        <w:rPr>
          <w:rFonts w:eastAsia="Times New Roman" w:cstheme="minorHAnsi"/>
          <w:color w:val="000000"/>
          <w:sz w:val="20"/>
          <w:szCs w:val="20"/>
        </w:rPr>
        <w:t xml:space="preserve">2018. </w:t>
      </w:r>
    </w:p>
  </w:footnote>
  <w:footnote w:id="149">
    <w:p w14:paraId="35501921" w14:textId="77777777" w:rsidR="00E82131" w:rsidRPr="0076464E" w:rsidRDefault="00E82131" w:rsidP="00456443">
      <w:pPr>
        <w:pBdr>
          <w:top w:val="nil"/>
          <w:left w:val="nil"/>
          <w:bottom w:val="nil"/>
          <w:right w:val="nil"/>
          <w:between w:val="nil"/>
        </w:pBdr>
        <w:spacing w:after="0" w:line="240" w:lineRule="auto"/>
        <w:rPr>
          <w:rFonts w:eastAsia="Times New Roman" w:cstheme="minorHAnsi"/>
          <w:color w:val="000000"/>
          <w:sz w:val="20"/>
          <w:szCs w:val="20"/>
        </w:rPr>
      </w:pPr>
      <w:r w:rsidRPr="0076464E">
        <w:rPr>
          <w:rFonts w:cstheme="minorHAnsi"/>
          <w:sz w:val="20"/>
          <w:szCs w:val="20"/>
          <w:vertAlign w:val="superscript"/>
        </w:rPr>
        <w:footnoteRef/>
      </w:r>
      <w:r w:rsidRPr="0076464E">
        <w:rPr>
          <w:rFonts w:eastAsia="Times New Roman" w:cstheme="minorHAnsi"/>
          <w:color w:val="000000"/>
          <w:sz w:val="20"/>
          <w:szCs w:val="20"/>
        </w:rPr>
        <w:t xml:space="preserve"> Government of Vanuatu, </w:t>
      </w:r>
      <w:r w:rsidRPr="0076464E">
        <w:rPr>
          <w:rFonts w:eastAsia="Times New Roman" w:cstheme="minorHAnsi"/>
          <w:i/>
          <w:color w:val="000000"/>
          <w:sz w:val="20"/>
          <w:szCs w:val="20"/>
        </w:rPr>
        <w:t xml:space="preserve">Vanuatu Post-Disaster Needs Assessment, </w:t>
      </w:r>
      <w:r w:rsidRPr="0076464E">
        <w:rPr>
          <w:rFonts w:eastAsia="Times New Roman" w:cstheme="minorHAnsi"/>
          <w:color w:val="000000"/>
          <w:sz w:val="20"/>
          <w:szCs w:val="20"/>
        </w:rPr>
        <w:t>2015.</w:t>
      </w:r>
    </w:p>
  </w:footnote>
  <w:footnote w:id="150">
    <w:p w14:paraId="5CE0DCA1" w14:textId="77777777" w:rsidR="00E82131" w:rsidRPr="0076464E" w:rsidRDefault="00E82131" w:rsidP="00456443">
      <w:pPr>
        <w:pBdr>
          <w:top w:val="nil"/>
          <w:left w:val="nil"/>
          <w:bottom w:val="nil"/>
          <w:right w:val="nil"/>
          <w:between w:val="nil"/>
        </w:pBdr>
        <w:spacing w:after="0" w:line="240" w:lineRule="auto"/>
        <w:rPr>
          <w:rFonts w:eastAsia="Times New Roman" w:cstheme="minorHAnsi"/>
          <w:color w:val="000000"/>
          <w:sz w:val="20"/>
          <w:szCs w:val="20"/>
        </w:rPr>
      </w:pPr>
      <w:r w:rsidRPr="0076464E">
        <w:rPr>
          <w:rFonts w:cstheme="minorHAnsi"/>
          <w:sz w:val="20"/>
          <w:szCs w:val="20"/>
          <w:vertAlign w:val="superscript"/>
        </w:rPr>
        <w:footnoteRef/>
      </w:r>
      <w:r w:rsidRPr="0076464E">
        <w:rPr>
          <w:rFonts w:eastAsia="Times New Roman" w:cstheme="minorHAnsi"/>
          <w:color w:val="000000"/>
          <w:sz w:val="20"/>
          <w:szCs w:val="20"/>
        </w:rPr>
        <w:t xml:space="preserve"> </w:t>
      </w:r>
      <w:proofErr w:type="spellStart"/>
      <w:r w:rsidRPr="0076464E">
        <w:rPr>
          <w:rFonts w:eastAsia="Times New Roman" w:cstheme="minorHAnsi"/>
          <w:color w:val="000000"/>
          <w:sz w:val="20"/>
          <w:szCs w:val="20"/>
        </w:rPr>
        <w:t>GoV</w:t>
      </w:r>
      <w:proofErr w:type="spellEnd"/>
      <w:r w:rsidRPr="0076464E">
        <w:rPr>
          <w:rFonts w:eastAsia="Times New Roman" w:cstheme="minorHAnsi"/>
          <w:color w:val="000000"/>
          <w:sz w:val="20"/>
          <w:szCs w:val="20"/>
        </w:rPr>
        <w:t xml:space="preserve"> received grants worth USD 4.7 million and insurance payouts worth USD 2 million for cyclone recovery operations; exchange rate: USD 1 = VUV 100.</w:t>
      </w:r>
    </w:p>
  </w:footnote>
  <w:footnote w:id="151">
    <w:p w14:paraId="397CFDEE" w14:textId="77777777" w:rsidR="00E82131" w:rsidRPr="0076464E" w:rsidRDefault="00E82131" w:rsidP="00456443">
      <w:pPr>
        <w:pBdr>
          <w:top w:val="nil"/>
          <w:left w:val="nil"/>
          <w:bottom w:val="nil"/>
          <w:right w:val="nil"/>
          <w:between w:val="nil"/>
        </w:pBdr>
        <w:spacing w:after="0" w:line="240" w:lineRule="auto"/>
        <w:rPr>
          <w:rFonts w:eastAsia="Times New Roman" w:cstheme="minorHAnsi"/>
          <w:color w:val="000000"/>
          <w:sz w:val="20"/>
          <w:szCs w:val="20"/>
        </w:rPr>
      </w:pPr>
      <w:r w:rsidRPr="0076464E">
        <w:rPr>
          <w:rFonts w:cstheme="minorHAnsi"/>
          <w:sz w:val="20"/>
          <w:szCs w:val="20"/>
          <w:vertAlign w:val="superscript"/>
        </w:rPr>
        <w:footnoteRef/>
      </w:r>
      <w:r w:rsidRPr="0076464E">
        <w:rPr>
          <w:rFonts w:eastAsia="Times New Roman" w:cstheme="minorHAnsi"/>
          <w:color w:val="000000"/>
          <w:sz w:val="20"/>
          <w:szCs w:val="20"/>
        </w:rPr>
        <w:t xml:space="preserve"> Accounting for donor financing, the combined net borrowing (or fiscal deficit) for Vanuatu was estimated at USD 113 million in 2015, USD 149 million in 2016 and USD 140 million in 2017.</w:t>
      </w:r>
    </w:p>
  </w:footnote>
  <w:footnote w:id="152">
    <w:p w14:paraId="0B266D74" w14:textId="77777777" w:rsidR="00E82131" w:rsidRPr="0076464E" w:rsidRDefault="00E82131" w:rsidP="00456443">
      <w:pPr>
        <w:spacing w:after="0" w:line="240" w:lineRule="auto"/>
        <w:rPr>
          <w:rFonts w:eastAsia="Times New Roman" w:cstheme="minorHAnsi"/>
          <w:sz w:val="20"/>
          <w:szCs w:val="20"/>
        </w:rPr>
      </w:pPr>
      <w:r w:rsidRPr="0076464E">
        <w:rPr>
          <w:rFonts w:cstheme="minorHAnsi"/>
          <w:sz w:val="20"/>
          <w:szCs w:val="20"/>
          <w:vertAlign w:val="superscript"/>
        </w:rPr>
        <w:footnoteRef/>
      </w:r>
      <w:r w:rsidRPr="0076464E">
        <w:rPr>
          <w:rFonts w:eastAsia="Times New Roman" w:cstheme="minorHAnsi"/>
          <w:sz w:val="20"/>
          <w:szCs w:val="20"/>
        </w:rPr>
        <w:t xml:space="preserve"> World Bank, </w:t>
      </w:r>
      <w:r w:rsidRPr="0076464E">
        <w:rPr>
          <w:rFonts w:eastAsia="Times New Roman" w:cstheme="minorHAnsi"/>
          <w:i/>
          <w:sz w:val="20"/>
          <w:szCs w:val="20"/>
        </w:rPr>
        <w:t>Vanuatu Infrastructure Reconstruction and Improvement Project</w:t>
      </w:r>
      <w:r>
        <w:rPr>
          <w:rFonts w:eastAsia="Times New Roman" w:cstheme="minorHAnsi"/>
          <w:i/>
          <w:sz w:val="20"/>
          <w:szCs w:val="20"/>
        </w:rPr>
        <w:t>—</w:t>
      </w:r>
      <w:r w:rsidRPr="0076464E">
        <w:rPr>
          <w:rFonts w:eastAsia="Times New Roman" w:cstheme="minorHAnsi"/>
          <w:i/>
          <w:sz w:val="20"/>
          <w:szCs w:val="20"/>
        </w:rPr>
        <w:t xml:space="preserve">Procurement Plan, </w:t>
      </w:r>
      <w:r w:rsidRPr="0076464E">
        <w:rPr>
          <w:rFonts w:eastAsia="Times New Roman" w:cstheme="minorHAnsi"/>
          <w:sz w:val="20"/>
          <w:szCs w:val="20"/>
        </w:rPr>
        <w:t>2018.</w:t>
      </w:r>
    </w:p>
  </w:footnote>
  <w:footnote w:id="153">
    <w:p w14:paraId="5C41B462" w14:textId="77777777" w:rsidR="00E82131" w:rsidRPr="00862056" w:rsidRDefault="00E82131" w:rsidP="00456443">
      <w:pPr>
        <w:spacing w:after="0" w:line="240" w:lineRule="auto"/>
        <w:rPr>
          <w:rFonts w:ascii="Calibri" w:eastAsia="Times New Roman" w:hAnsi="Calibri" w:cs="Times New Roman"/>
          <w:color w:val="1E1E1E"/>
          <w:sz w:val="20"/>
          <w:szCs w:val="20"/>
        </w:rPr>
      </w:pPr>
      <w:r w:rsidRPr="0076464E">
        <w:rPr>
          <w:rFonts w:cstheme="minorHAnsi"/>
          <w:sz w:val="20"/>
          <w:szCs w:val="20"/>
          <w:vertAlign w:val="superscript"/>
        </w:rPr>
        <w:footnoteRef/>
      </w:r>
      <w:r w:rsidRPr="0076464E">
        <w:rPr>
          <w:rFonts w:eastAsia="Times New Roman" w:cstheme="minorHAnsi"/>
          <w:sz w:val="20"/>
          <w:szCs w:val="20"/>
        </w:rPr>
        <w:t xml:space="preserve"> BBC News, ‘</w:t>
      </w:r>
      <w:r w:rsidRPr="0076464E">
        <w:rPr>
          <w:rFonts w:eastAsia="Times New Roman" w:cstheme="minorHAnsi"/>
          <w:color w:val="1E1E1E"/>
          <w:sz w:val="20"/>
          <w:szCs w:val="20"/>
        </w:rPr>
        <w:t xml:space="preserve">Vanuatu: </w:t>
      </w:r>
      <w:proofErr w:type="spellStart"/>
      <w:r w:rsidRPr="0076464E">
        <w:rPr>
          <w:rFonts w:eastAsia="Times New Roman" w:cstheme="minorHAnsi"/>
          <w:color w:val="1E1E1E"/>
          <w:sz w:val="20"/>
          <w:szCs w:val="20"/>
        </w:rPr>
        <w:t>Ambae</w:t>
      </w:r>
      <w:proofErr w:type="spellEnd"/>
      <w:r w:rsidRPr="0076464E">
        <w:rPr>
          <w:rFonts w:eastAsia="Times New Roman" w:cstheme="minorHAnsi"/>
          <w:color w:val="1E1E1E"/>
          <w:sz w:val="20"/>
          <w:szCs w:val="20"/>
        </w:rPr>
        <w:t xml:space="preserve"> island evacuated again over volcano eruption’, 27 July 2018. </w:t>
      </w:r>
      <w:hyperlink r:id="rId31" w:history="1">
        <w:r w:rsidRPr="0076464E">
          <w:rPr>
            <w:rStyle w:val="Hyperlink"/>
            <w:rFonts w:eastAsia="Times New Roman" w:cstheme="minorHAnsi"/>
            <w:sz w:val="20"/>
            <w:szCs w:val="20"/>
          </w:rPr>
          <w:t>https://www.bbc.com/news/world-asia-44978132</w:t>
        </w:r>
      </w:hyperlink>
    </w:p>
  </w:footnote>
  <w:footnote w:id="154">
    <w:p w14:paraId="5FB20B1C" w14:textId="77777777" w:rsidR="00E82131" w:rsidRPr="00914B0B" w:rsidRDefault="00E82131" w:rsidP="00456443">
      <w:pPr>
        <w:pBdr>
          <w:top w:val="nil"/>
          <w:left w:val="nil"/>
          <w:bottom w:val="nil"/>
          <w:right w:val="nil"/>
          <w:between w:val="nil"/>
        </w:pBdr>
        <w:spacing w:after="0" w:line="240" w:lineRule="auto"/>
        <w:rPr>
          <w:rFonts w:eastAsia="Times New Roman" w:cstheme="minorHAnsi"/>
          <w:color w:val="000000"/>
          <w:sz w:val="20"/>
          <w:szCs w:val="20"/>
        </w:rPr>
      </w:pPr>
      <w:r w:rsidRPr="00862056">
        <w:rPr>
          <w:rFonts w:ascii="Calibri" w:hAnsi="Calibri"/>
          <w:sz w:val="20"/>
          <w:szCs w:val="20"/>
          <w:vertAlign w:val="superscript"/>
        </w:rPr>
        <w:footnoteRef/>
      </w:r>
      <w:r w:rsidRPr="00862056">
        <w:rPr>
          <w:rFonts w:ascii="Calibri" w:eastAsia="Times New Roman" w:hAnsi="Calibri" w:cs="Times New Roman"/>
          <w:color w:val="000000"/>
          <w:sz w:val="20"/>
          <w:szCs w:val="20"/>
        </w:rPr>
        <w:t xml:space="preserve"> ODA loan share may be underestimated given that the data do not include disbursements from China, w</w:t>
      </w:r>
      <w:r w:rsidRPr="00914B0B">
        <w:rPr>
          <w:rFonts w:eastAsia="Times New Roman" w:cstheme="minorHAnsi"/>
          <w:color w:val="000000"/>
          <w:sz w:val="20"/>
          <w:szCs w:val="20"/>
        </w:rPr>
        <w:t xml:space="preserve">hich is likely to have provided a higher share of loans than other donors. </w:t>
      </w:r>
    </w:p>
  </w:footnote>
  <w:footnote w:id="155">
    <w:p w14:paraId="4C612682" w14:textId="77777777" w:rsidR="00E82131" w:rsidRPr="00862056" w:rsidRDefault="00E82131" w:rsidP="00456443">
      <w:pPr>
        <w:pBdr>
          <w:top w:val="nil"/>
          <w:left w:val="nil"/>
          <w:bottom w:val="nil"/>
          <w:right w:val="nil"/>
          <w:between w:val="nil"/>
        </w:pBdr>
        <w:spacing w:after="0" w:line="240" w:lineRule="auto"/>
        <w:rPr>
          <w:rFonts w:ascii="Calibri" w:eastAsia="Times New Roman" w:hAnsi="Calibri" w:cs="Times New Roman"/>
          <w:color w:val="000000"/>
          <w:sz w:val="20"/>
          <w:szCs w:val="20"/>
        </w:rPr>
      </w:pPr>
      <w:r w:rsidRPr="00914B0B">
        <w:rPr>
          <w:rFonts w:cstheme="minorHAnsi"/>
          <w:sz w:val="20"/>
          <w:szCs w:val="20"/>
          <w:vertAlign w:val="superscript"/>
        </w:rPr>
        <w:footnoteRef/>
      </w:r>
      <w:r w:rsidRPr="00914B0B">
        <w:rPr>
          <w:rFonts w:eastAsia="Times New Roman" w:cstheme="minorHAnsi"/>
          <w:color w:val="000000"/>
          <w:sz w:val="20"/>
          <w:szCs w:val="20"/>
        </w:rPr>
        <w:t xml:space="preserve"> </w:t>
      </w:r>
      <w:r w:rsidRPr="00914B0B">
        <w:rPr>
          <w:rFonts w:eastAsia="Times New Roman" w:cstheme="minorHAnsi"/>
          <w:i/>
          <w:color w:val="000000"/>
          <w:sz w:val="20"/>
          <w:szCs w:val="20"/>
        </w:rPr>
        <w:t>The Blue Swan Daily</w:t>
      </w:r>
      <w:r w:rsidRPr="00914B0B">
        <w:rPr>
          <w:rFonts w:eastAsia="Times New Roman" w:cstheme="minorHAnsi"/>
          <w:color w:val="000000"/>
          <w:sz w:val="20"/>
          <w:szCs w:val="20"/>
        </w:rPr>
        <w:t xml:space="preserve">, ‘Vanuatu Govt confirm Port Vila </w:t>
      </w:r>
      <w:proofErr w:type="spellStart"/>
      <w:r w:rsidRPr="00914B0B">
        <w:rPr>
          <w:rFonts w:eastAsia="Times New Roman" w:cstheme="minorHAnsi"/>
          <w:color w:val="000000"/>
          <w:sz w:val="20"/>
          <w:szCs w:val="20"/>
        </w:rPr>
        <w:t>Bauerfield</w:t>
      </w:r>
      <w:proofErr w:type="spellEnd"/>
      <w:r w:rsidRPr="00914B0B">
        <w:rPr>
          <w:rFonts w:eastAsia="Times New Roman" w:cstheme="minorHAnsi"/>
          <w:color w:val="000000"/>
          <w:sz w:val="20"/>
          <w:szCs w:val="20"/>
        </w:rPr>
        <w:t xml:space="preserve"> Airport’s USD47m runway rehabilitation project is underway’, 3 November 2017.</w:t>
      </w:r>
      <w:r w:rsidRPr="00914B0B">
        <w:rPr>
          <w:rFonts w:eastAsia="Times New Roman" w:cstheme="minorHAnsi"/>
          <w:sz w:val="20"/>
          <w:szCs w:val="20"/>
        </w:rPr>
        <w:t xml:space="preserve"> </w:t>
      </w:r>
      <w:hyperlink r:id="rId32" w:history="1">
        <w:r w:rsidRPr="00914B0B">
          <w:rPr>
            <w:rStyle w:val="Hyperlink"/>
            <w:rFonts w:eastAsia="Times New Roman" w:cstheme="minorHAnsi"/>
            <w:sz w:val="20"/>
            <w:szCs w:val="20"/>
          </w:rPr>
          <w:t>https://blueswandaily.com/vanuatu-govt-confirm-port-vila-bauerfield-airports-usd47m-runway-rehabilitation-project-is-underway/</w:t>
        </w:r>
      </w:hyperlink>
    </w:p>
  </w:footnote>
  <w:footnote w:id="156">
    <w:p w14:paraId="460F344D" w14:textId="77777777" w:rsidR="00E82131" w:rsidRPr="00862056" w:rsidRDefault="00E82131" w:rsidP="00456443">
      <w:pPr>
        <w:pBdr>
          <w:top w:val="nil"/>
          <w:left w:val="nil"/>
          <w:bottom w:val="nil"/>
          <w:right w:val="nil"/>
          <w:between w:val="nil"/>
        </w:pBdr>
        <w:spacing w:after="0" w:line="240" w:lineRule="auto"/>
        <w:rPr>
          <w:rFonts w:ascii="Calibri" w:eastAsia="Times New Roman" w:hAnsi="Calibri" w:cs="Times New Roman"/>
          <w:color w:val="000000"/>
          <w:sz w:val="20"/>
          <w:szCs w:val="20"/>
        </w:rPr>
      </w:pPr>
      <w:r w:rsidRPr="00862056">
        <w:rPr>
          <w:rFonts w:ascii="Calibri" w:hAnsi="Calibri"/>
          <w:sz w:val="20"/>
          <w:szCs w:val="20"/>
          <w:vertAlign w:val="superscript"/>
        </w:rPr>
        <w:footnoteRef/>
      </w:r>
      <w:r w:rsidRPr="00862056">
        <w:rPr>
          <w:rFonts w:ascii="Calibri" w:eastAsia="Times New Roman" w:hAnsi="Calibri" w:cs="Times New Roman"/>
          <w:color w:val="000000"/>
          <w:sz w:val="20"/>
          <w:szCs w:val="20"/>
        </w:rPr>
        <w:t xml:space="preserve"> Government of Vanuatu, </w:t>
      </w:r>
      <w:r w:rsidRPr="00862056">
        <w:rPr>
          <w:rFonts w:ascii="Calibri" w:eastAsia="Times New Roman" w:hAnsi="Calibri" w:cs="Times New Roman"/>
          <w:i/>
          <w:color w:val="000000"/>
          <w:sz w:val="20"/>
          <w:szCs w:val="20"/>
        </w:rPr>
        <w:t xml:space="preserve">Vanuatu Infrastructure Strategic Investment Plan 2015-2040, </w:t>
      </w:r>
      <w:r w:rsidRPr="00862056">
        <w:rPr>
          <w:rFonts w:ascii="Calibri" w:eastAsia="Times New Roman" w:hAnsi="Calibri" w:cs="Times New Roman"/>
          <w:color w:val="000000"/>
          <w:sz w:val="20"/>
          <w:szCs w:val="20"/>
        </w:rPr>
        <w:t>2015.</w:t>
      </w:r>
    </w:p>
  </w:footnote>
  <w:footnote w:id="157">
    <w:p w14:paraId="5056371A" w14:textId="77777777" w:rsidR="00E82131" w:rsidRPr="00862056" w:rsidRDefault="00E82131" w:rsidP="00456443">
      <w:pPr>
        <w:pBdr>
          <w:top w:val="nil"/>
          <w:left w:val="nil"/>
          <w:bottom w:val="nil"/>
          <w:right w:val="nil"/>
          <w:between w:val="nil"/>
        </w:pBdr>
        <w:spacing w:after="0" w:line="240" w:lineRule="auto"/>
        <w:rPr>
          <w:rFonts w:ascii="Calibri" w:eastAsia="Times New Roman" w:hAnsi="Calibri" w:cs="Times New Roman"/>
          <w:color w:val="000000"/>
          <w:sz w:val="20"/>
          <w:szCs w:val="20"/>
        </w:rPr>
      </w:pPr>
      <w:r w:rsidRPr="00862056">
        <w:rPr>
          <w:rFonts w:ascii="Calibri" w:hAnsi="Calibri"/>
          <w:sz w:val="20"/>
          <w:szCs w:val="20"/>
          <w:vertAlign w:val="superscript"/>
        </w:rPr>
        <w:footnoteRef/>
      </w:r>
      <w:r w:rsidRPr="00914B0B">
        <w:rPr>
          <w:rFonts w:eastAsia="Times New Roman" w:cstheme="minorHAnsi"/>
          <w:color w:val="000000"/>
          <w:sz w:val="20"/>
          <w:szCs w:val="20"/>
        </w:rPr>
        <w:t xml:space="preserve"> </w:t>
      </w:r>
      <w:proofErr w:type="spellStart"/>
      <w:r w:rsidRPr="00914B0B">
        <w:rPr>
          <w:rFonts w:eastAsia="Times New Roman" w:cstheme="minorHAnsi"/>
          <w:i/>
          <w:color w:val="000000"/>
          <w:sz w:val="20"/>
          <w:szCs w:val="20"/>
        </w:rPr>
        <w:t>XinhuaNet</w:t>
      </w:r>
      <w:proofErr w:type="spellEnd"/>
      <w:r w:rsidRPr="00914B0B">
        <w:rPr>
          <w:rFonts w:eastAsia="Times New Roman" w:cstheme="minorHAnsi"/>
          <w:color w:val="000000"/>
          <w:sz w:val="20"/>
          <w:szCs w:val="20"/>
        </w:rPr>
        <w:t>, ‘Australian roads project in Vanuatu rated poor by audit office’, 1 February</w:t>
      </w:r>
      <w:r w:rsidRPr="00914B0B">
        <w:rPr>
          <w:rFonts w:eastAsia="Times New Roman" w:cstheme="minorHAnsi"/>
          <w:i/>
          <w:color w:val="000000"/>
          <w:sz w:val="20"/>
          <w:szCs w:val="20"/>
        </w:rPr>
        <w:t xml:space="preserve"> </w:t>
      </w:r>
      <w:r w:rsidRPr="00914B0B">
        <w:rPr>
          <w:rFonts w:eastAsia="Times New Roman" w:cstheme="minorHAnsi"/>
          <w:color w:val="000000"/>
          <w:sz w:val="20"/>
          <w:szCs w:val="20"/>
        </w:rPr>
        <w:t xml:space="preserve">2018. </w:t>
      </w:r>
      <w:hyperlink r:id="rId33" w:history="1">
        <w:r w:rsidRPr="00914B0B">
          <w:rPr>
            <w:rStyle w:val="Hyperlink"/>
            <w:rFonts w:eastAsia="Times New Roman" w:cstheme="minorHAnsi"/>
            <w:sz w:val="20"/>
            <w:szCs w:val="20"/>
          </w:rPr>
          <w:t>http://www.xinhuanet.com/english/2018-02/01/c_136941798.htm</w:t>
        </w:r>
      </w:hyperlink>
    </w:p>
  </w:footnote>
  <w:footnote w:id="158">
    <w:p w14:paraId="168CC514" w14:textId="77777777" w:rsidR="00E82131" w:rsidRPr="00862056" w:rsidRDefault="00E82131" w:rsidP="00456443">
      <w:pPr>
        <w:pBdr>
          <w:top w:val="nil"/>
          <w:left w:val="nil"/>
          <w:bottom w:val="nil"/>
          <w:right w:val="nil"/>
          <w:between w:val="nil"/>
        </w:pBdr>
        <w:spacing w:after="0" w:line="240" w:lineRule="auto"/>
        <w:rPr>
          <w:rFonts w:ascii="Calibri" w:hAnsi="Calibri"/>
          <w:b/>
          <w:sz w:val="20"/>
          <w:szCs w:val="20"/>
        </w:rPr>
      </w:pPr>
      <w:r w:rsidRPr="00862056">
        <w:rPr>
          <w:rFonts w:ascii="Calibri" w:hAnsi="Calibri"/>
          <w:sz w:val="20"/>
          <w:szCs w:val="20"/>
          <w:vertAlign w:val="superscript"/>
        </w:rPr>
        <w:footnoteRef/>
      </w:r>
      <w:r w:rsidRPr="00862056">
        <w:rPr>
          <w:rFonts w:ascii="Calibri" w:eastAsia="Times New Roman" w:hAnsi="Calibri" w:cs="Times New Roman"/>
          <w:sz w:val="20"/>
          <w:szCs w:val="20"/>
        </w:rPr>
        <w:t xml:space="preserve"> McKinsey &amp; Company, </w:t>
      </w:r>
      <w:r w:rsidRPr="00862056">
        <w:rPr>
          <w:rFonts w:ascii="Calibri" w:eastAsia="Times New Roman" w:hAnsi="Calibri" w:cs="Times New Roman"/>
          <w:i/>
          <w:sz w:val="20"/>
          <w:szCs w:val="20"/>
        </w:rPr>
        <w:t>Making the most of a wealth of infrastructure finance</w:t>
      </w:r>
      <w:r w:rsidRPr="00862056">
        <w:rPr>
          <w:rFonts w:ascii="Calibri" w:eastAsia="Times New Roman" w:hAnsi="Calibri" w:cs="Times New Roman"/>
          <w:sz w:val="20"/>
          <w:szCs w:val="20"/>
        </w:rPr>
        <w:t>, 2015.</w:t>
      </w:r>
    </w:p>
  </w:footnote>
  <w:footnote w:id="159">
    <w:p w14:paraId="31714192" w14:textId="77777777" w:rsidR="00E82131" w:rsidRPr="00862056" w:rsidRDefault="00E82131" w:rsidP="00456443">
      <w:pPr>
        <w:spacing w:after="0" w:line="240" w:lineRule="auto"/>
        <w:rPr>
          <w:rFonts w:ascii="Calibri" w:eastAsia="Times New Roman" w:hAnsi="Calibri" w:cs="Times New Roman"/>
          <w:sz w:val="20"/>
          <w:szCs w:val="20"/>
        </w:rPr>
      </w:pPr>
      <w:r w:rsidRPr="00862056">
        <w:rPr>
          <w:rFonts w:ascii="Calibri" w:hAnsi="Calibri"/>
          <w:sz w:val="20"/>
          <w:szCs w:val="20"/>
          <w:vertAlign w:val="superscript"/>
        </w:rPr>
        <w:footnoteRef/>
      </w:r>
      <w:r w:rsidRPr="00862056">
        <w:rPr>
          <w:rFonts w:ascii="Calibri" w:eastAsia="Times New Roman" w:hAnsi="Calibri" w:cs="Times New Roman"/>
          <w:sz w:val="20"/>
          <w:szCs w:val="20"/>
        </w:rPr>
        <w:t xml:space="preserve"> Assuming a 6% rate of interest compounded </w:t>
      </w:r>
      <w:proofErr w:type="gramStart"/>
      <w:r w:rsidRPr="00862056">
        <w:rPr>
          <w:rFonts w:ascii="Calibri" w:eastAsia="Times New Roman" w:hAnsi="Calibri" w:cs="Times New Roman"/>
          <w:sz w:val="20"/>
          <w:szCs w:val="20"/>
        </w:rPr>
        <w:t>annually;</w:t>
      </w:r>
      <w:proofErr w:type="gramEnd"/>
      <w:r w:rsidRPr="00862056">
        <w:rPr>
          <w:rFonts w:ascii="Calibri" w:eastAsia="Times New Roman" w:hAnsi="Calibri" w:cs="Times New Roman"/>
          <w:sz w:val="20"/>
          <w:szCs w:val="20"/>
        </w:rPr>
        <w:t xml:space="preserve"> conservative estimates not discounting for time value of accrued interest yields.</w:t>
      </w:r>
    </w:p>
  </w:footnote>
  <w:footnote w:id="160">
    <w:p w14:paraId="60ED4572" w14:textId="014702C7" w:rsidR="00E82131" w:rsidRPr="00862056" w:rsidRDefault="00E82131" w:rsidP="00456443">
      <w:pPr>
        <w:pBdr>
          <w:top w:val="nil"/>
          <w:left w:val="nil"/>
          <w:bottom w:val="nil"/>
          <w:right w:val="nil"/>
          <w:between w:val="nil"/>
        </w:pBdr>
        <w:spacing w:after="0" w:line="240" w:lineRule="auto"/>
        <w:rPr>
          <w:rFonts w:ascii="Calibri" w:eastAsia="Times New Roman" w:hAnsi="Calibri" w:cs="Times New Roman"/>
          <w:color w:val="000000"/>
          <w:sz w:val="20"/>
          <w:szCs w:val="20"/>
        </w:rPr>
      </w:pPr>
      <w:r w:rsidRPr="00862056">
        <w:rPr>
          <w:rFonts w:ascii="Calibri" w:hAnsi="Calibri"/>
          <w:sz w:val="20"/>
          <w:szCs w:val="20"/>
          <w:vertAlign w:val="superscript"/>
        </w:rPr>
        <w:footnoteRef/>
      </w:r>
      <w:r w:rsidRPr="00862056">
        <w:rPr>
          <w:rFonts w:ascii="Calibri" w:eastAsia="Times New Roman" w:hAnsi="Calibri" w:cs="Times New Roman"/>
          <w:color w:val="000000"/>
          <w:sz w:val="20"/>
          <w:szCs w:val="20"/>
        </w:rPr>
        <w:t xml:space="preserve"> Department of Foreign Affairs and Trade, </w:t>
      </w:r>
      <w:r w:rsidRPr="00862056">
        <w:rPr>
          <w:rFonts w:ascii="Calibri" w:eastAsia="Times New Roman" w:hAnsi="Calibri" w:cs="Times New Roman"/>
          <w:i/>
          <w:color w:val="000000"/>
          <w:sz w:val="20"/>
          <w:szCs w:val="20"/>
        </w:rPr>
        <w:t xml:space="preserve">Overview of Australia’s aid </w:t>
      </w:r>
      <w:r>
        <w:rPr>
          <w:rFonts w:ascii="Calibri" w:eastAsia="Times New Roman" w:hAnsi="Calibri" w:cs="Times New Roman"/>
          <w:i/>
          <w:color w:val="000000"/>
          <w:sz w:val="20"/>
          <w:szCs w:val="20"/>
        </w:rPr>
        <w:t>program</w:t>
      </w:r>
      <w:r w:rsidRPr="00862056">
        <w:rPr>
          <w:rFonts w:ascii="Calibri" w:eastAsia="Times New Roman" w:hAnsi="Calibri" w:cs="Times New Roman"/>
          <w:i/>
          <w:color w:val="000000"/>
          <w:sz w:val="20"/>
          <w:szCs w:val="20"/>
        </w:rPr>
        <w:t xml:space="preserve"> to Vanuatu, </w:t>
      </w:r>
      <w:r w:rsidRPr="00862056">
        <w:rPr>
          <w:rFonts w:ascii="Calibri" w:eastAsia="Times New Roman" w:hAnsi="Calibri" w:cs="Times New Roman"/>
          <w:color w:val="000000"/>
          <w:sz w:val="20"/>
          <w:szCs w:val="20"/>
        </w:rPr>
        <w:t>2018.</w:t>
      </w:r>
      <w:r w:rsidRPr="00862056">
        <w:rPr>
          <w:rFonts w:ascii="Calibri" w:eastAsia="Times New Roman" w:hAnsi="Calibri" w:cs="Times New Roman"/>
          <w:sz w:val="20"/>
          <w:szCs w:val="20"/>
        </w:rPr>
        <w:t xml:space="preserve"> </w:t>
      </w:r>
      <w:r w:rsidRPr="00862056">
        <w:rPr>
          <w:rFonts w:ascii="Calibri" w:eastAsia="Times New Roman" w:hAnsi="Calibri" w:cs="Times New Roman"/>
          <w:color w:val="000000"/>
          <w:sz w:val="20"/>
          <w:szCs w:val="20"/>
        </w:rPr>
        <w:t>Accessed on 16 October 2018</w:t>
      </w:r>
      <w:r w:rsidRPr="00862056">
        <w:rPr>
          <w:rFonts w:ascii="Calibri" w:eastAsia="Times New Roman" w:hAnsi="Calibri" w:cs="Times New Roman"/>
          <w:sz w:val="20"/>
          <w:szCs w:val="20"/>
        </w:rPr>
        <w:t>.</w:t>
      </w:r>
    </w:p>
  </w:footnote>
  <w:footnote w:id="161">
    <w:p w14:paraId="098E043A" w14:textId="77777777" w:rsidR="00E82131" w:rsidRPr="00862056" w:rsidRDefault="00E82131" w:rsidP="00456443">
      <w:pPr>
        <w:spacing w:after="0" w:line="240" w:lineRule="auto"/>
        <w:rPr>
          <w:rFonts w:ascii="Calibri" w:eastAsia="Times New Roman" w:hAnsi="Calibri" w:cs="Times New Roman"/>
          <w:sz w:val="20"/>
          <w:szCs w:val="20"/>
        </w:rPr>
      </w:pPr>
      <w:r w:rsidRPr="00862056">
        <w:rPr>
          <w:rFonts w:ascii="Calibri" w:hAnsi="Calibri"/>
          <w:sz w:val="20"/>
          <w:szCs w:val="20"/>
          <w:vertAlign w:val="superscript"/>
        </w:rPr>
        <w:footnoteRef/>
      </w:r>
      <w:r w:rsidRPr="00862056">
        <w:rPr>
          <w:rFonts w:ascii="Calibri" w:eastAsia="Times New Roman" w:hAnsi="Calibri" w:cs="Times New Roman"/>
          <w:sz w:val="20"/>
          <w:szCs w:val="20"/>
        </w:rPr>
        <w:t xml:space="preserve"> </w:t>
      </w:r>
      <w:proofErr w:type="spellStart"/>
      <w:r w:rsidRPr="00862056">
        <w:rPr>
          <w:rFonts w:ascii="Calibri" w:eastAsia="Times New Roman" w:hAnsi="Calibri" w:cs="Times New Roman"/>
          <w:sz w:val="20"/>
          <w:szCs w:val="20"/>
        </w:rPr>
        <w:t>Indexmundi</w:t>
      </w:r>
      <w:proofErr w:type="spellEnd"/>
      <w:r w:rsidRPr="00862056">
        <w:rPr>
          <w:rFonts w:ascii="Calibri" w:eastAsia="Times New Roman" w:hAnsi="Calibri" w:cs="Times New Roman"/>
          <w:sz w:val="20"/>
          <w:szCs w:val="20"/>
        </w:rPr>
        <w:t xml:space="preserve">, </w:t>
      </w:r>
      <w:r w:rsidRPr="00862056">
        <w:rPr>
          <w:rFonts w:ascii="Calibri" w:eastAsia="Times New Roman" w:hAnsi="Calibri" w:cs="Times New Roman"/>
          <w:i/>
          <w:sz w:val="20"/>
          <w:szCs w:val="20"/>
        </w:rPr>
        <w:t xml:space="preserve">Vanuatu International Tourism, </w:t>
      </w:r>
      <w:r w:rsidRPr="00862056">
        <w:rPr>
          <w:rFonts w:ascii="Calibri" w:eastAsia="Times New Roman" w:hAnsi="Calibri" w:cs="Times New Roman"/>
          <w:sz w:val="20"/>
          <w:szCs w:val="20"/>
        </w:rPr>
        <w:t>2016.</w:t>
      </w:r>
    </w:p>
  </w:footnote>
  <w:footnote w:id="162">
    <w:p w14:paraId="2844E86F" w14:textId="77777777" w:rsidR="00E82131" w:rsidRPr="00862056" w:rsidRDefault="00E82131" w:rsidP="00456443">
      <w:pPr>
        <w:spacing w:after="0" w:line="240" w:lineRule="auto"/>
        <w:rPr>
          <w:rFonts w:ascii="Calibri" w:eastAsia="Times New Roman" w:hAnsi="Calibri" w:cs="Times New Roman"/>
          <w:sz w:val="20"/>
          <w:szCs w:val="20"/>
        </w:rPr>
      </w:pPr>
      <w:r w:rsidRPr="00862056">
        <w:rPr>
          <w:rFonts w:ascii="Calibri" w:hAnsi="Calibri"/>
          <w:sz w:val="20"/>
          <w:szCs w:val="20"/>
          <w:vertAlign w:val="superscript"/>
        </w:rPr>
        <w:footnoteRef/>
      </w:r>
      <w:r w:rsidRPr="00862056">
        <w:rPr>
          <w:rFonts w:ascii="Calibri" w:eastAsia="Times New Roman" w:hAnsi="Calibri" w:cs="Times New Roman"/>
          <w:sz w:val="20"/>
          <w:szCs w:val="20"/>
        </w:rPr>
        <w:t xml:space="preserve"> </w:t>
      </w:r>
      <w:r w:rsidRPr="00DA4E72">
        <w:rPr>
          <w:sz w:val="20"/>
          <w:szCs w:val="20"/>
        </w:rPr>
        <w:fldChar w:fldCharType="begin"/>
      </w:r>
      <w:r w:rsidRPr="00DA4E72">
        <w:rPr>
          <w:sz w:val="20"/>
          <w:szCs w:val="20"/>
        </w:rPr>
        <w:instrText xml:space="preserve"> ADDIN ZOTERO_ITEM CSL_CITATION {"citationID":"aUmYd1jC","properties":{"formattedCitation":"Miriam Bruhn et al., \\uc0\\u8220{}MSME Finance Gap\\uc0\\u8239{}: Assessment of the Shortfalls and Opportunities in Financing Micro, Small, and Medium Enterprises in Emerging Markets\\uc0\\u8221{} (The World Bank, January 1, 2017), http://documents.worldbank.org/curated/en/653831510568517947/MSME-finance-gap-assessment-of-the-shortfalls-and-opportunities-in-financing-micro-small-and-medium-enterprises-in-emerging-markets.","plainCitation":"Miriam Bruhn et al., “MSME Finance Gap : Assessment of the Shortfalls and Opportunities in Financing Micro, Small, and Medium Enterprises in Emerging Markets” (The World Bank, January 1, 2017), http://documents.worldbank.org/curated/en/653831510568517947/MSME-finance-gap-assessment-of-the-shortfalls-and-opportunities-in-financing-micro-small-and-medium-enterprises-in-emerging-markets.","noteIndex":10},"citationItems":[{"id":2785,"uris":["http://zotero.org/users/2818427/items/IWF9IR65"],"uri":["http://zotero.org/users/2818427/items/IWF9IR65"],"itemData":{"id":2785,"type":"report","title":"MSME finance gap : assessment of the shortfalls and opportunities in financing micro, small, and medium enterprises in emerging markets","publisher":"The World Bank","page":"1-80","source":"documents.worldbank.org","abstract":"As in most economies, micro, small, and medium enterprises (MSMEs) in emerging markets are widely believed to be the engine of growth across. Over the last decade, many researchers and academics have tried to analyze the issue of MSME access to finance, emphasizing their dependence on credit and cash flows. This study presents a new approach to the estimation of the unmet demand for financing from MSMEs in developing countries. Importantly, it also describes the potential implications for the public-sector bodies, private sector financial institutions, and technology providers. The present research adds significant value to the repository of data in the MSME space, and opens new opportunities for further investigation. It estimates both supply of and demand for MSME finance on a global scale, which has never been done in a comprehensive way. This approach estimates MSME equilibrium lending in developed economies according to the industry, age, and size categories, and applies this benchmark to MSMEs in developing countries. It estimates the MSME finance gap as the difference between current supply and potential demand which can potentially be addressed by financial institutions. This report is divided into five sections. The first section reviews the literature about financing MSMEs. The second section describes the methodology of the present research, data sources, and the model specification. The third section analyzes the results of the finance gap estimation, including regional comparisons, formal, and informal MSME sector results, and gender disaggregated statistics. The fourth section elaborates on the implications of the finance gap for the public sector, including government agencies and multilateral organizations and lending institutions. Finally, the fifth section highlights implications for the private sector, including banks and non-bank financial institutions, as well as financial technology companies.","URL":"http://documents.worldbank.org/curated/en/653831510568517947/MSME-finance-gap-assessment-of-the-shortfalls-and-opportunities-in-financing-micro-small-and-medium-enterprises-in-emerging-markets","number":"121264","shortTitle":"MSME finance gap","language":"en","author":[{"family":"Bruhn","given":"Miriam"},{"family":"Hommes","given":"Martin"},{"family":"Khanna","given":"Mahima"},{"family":"Singh","given":"Sandeep"},{"family":"Sorokina","given":"Aksinya"},{"family":"Wimpey","given":"Joshua Seth"}],"issued":{"date-parts":[["2017",1,1]]},"accessed":{"date-parts":[["2018",11,28]]}}}],"schema":"https://github.com/citation-style-language/schema/raw/master/csl-citation.json"} </w:instrText>
      </w:r>
      <w:r w:rsidRPr="00DA4E72">
        <w:rPr>
          <w:sz w:val="20"/>
          <w:szCs w:val="20"/>
        </w:rPr>
        <w:fldChar w:fldCharType="separate"/>
      </w:r>
      <w:r w:rsidRPr="00594341">
        <w:rPr>
          <w:rFonts w:ascii="Calibri" w:cs="Calibri"/>
          <w:sz w:val="20"/>
          <w:szCs w:val="20"/>
        </w:rPr>
        <w:t xml:space="preserve">Miriam Bruhn et al., </w:t>
      </w:r>
      <w:r w:rsidRPr="00594341">
        <w:rPr>
          <w:rFonts w:ascii="Calibri" w:cs="Calibri"/>
          <w:i/>
          <w:sz w:val="20"/>
          <w:szCs w:val="20"/>
        </w:rPr>
        <w:t>MSME Finance Gap: Assessment of the Shortfalls and Opportunities in Financing Micro, Small, and Medium Enterprises in Emerging Markets</w:t>
      </w:r>
      <w:r w:rsidRPr="00DA4E72">
        <w:rPr>
          <w:rFonts w:ascii="Calibri" w:cs="Calibri"/>
          <w:sz w:val="20"/>
          <w:szCs w:val="20"/>
        </w:rPr>
        <w:t>,</w:t>
      </w:r>
      <w:r w:rsidRPr="00594341">
        <w:rPr>
          <w:rFonts w:ascii="Calibri" w:cs="Calibri"/>
          <w:sz w:val="20"/>
          <w:szCs w:val="20"/>
        </w:rPr>
        <w:t xml:space="preserve"> 2017</w:t>
      </w:r>
      <w:r w:rsidRPr="00DA4E72">
        <w:rPr>
          <w:sz w:val="20"/>
          <w:szCs w:val="20"/>
        </w:rPr>
        <w:fldChar w:fldCharType="end"/>
      </w:r>
    </w:p>
  </w:footnote>
  <w:footnote w:id="163">
    <w:p w14:paraId="7695A91C" w14:textId="77777777" w:rsidR="00E82131" w:rsidRPr="00862056" w:rsidRDefault="00E82131" w:rsidP="00456443">
      <w:pPr>
        <w:pBdr>
          <w:top w:val="nil"/>
          <w:left w:val="nil"/>
          <w:bottom w:val="nil"/>
          <w:right w:val="nil"/>
          <w:between w:val="nil"/>
        </w:pBdr>
        <w:spacing w:after="0" w:line="240" w:lineRule="auto"/>
        <w:rPr>
          <w:rFonts w:ascii="Calibri" w:eastAsia="Times New Roman" w:hAnsi="Calibri" w:cs="Times New Roman"/>
          <w:color w:val="000000"/>
          <w:sz w:val="20"/>
          <w:szCs w:val="20"/>
        </w:rPr>
      </w:pPr>
      <w:r w:rsidRPr="00862056">
        <w:rPr>
          <w:rFonts w:ascii="Calibri" w:hAnsi="Calibri"/>
          <w:sz w:val="20"/>
          <w:szCs w:val="20"/>
          <w:vertAlign w:val="superscript"/>
        </w:rPr>
        <w:footnoteRef/>
      </w:r>
      <w:r w:rsidRPr="00862056">
        <w:rPr>
          <w:rFonts w:ascii="Calibri" w:eastAsia="Times New Roman" w:hAnsi="Calibri" w:cs="Times New Roman"/>
          <w:color w:val="000000"/>
          <w:sz w:val="20"/>
          <w:szCs w:val="20"/>
        </w:rPr>
        <w:t xml:space="preserve"> Department of Foreign Affairs and Trade, </w:t>
      </w:r>
      <w:r w:rsidRPr="00862056">
        <w:rPr>
          <w:rFonts w:ascii="Calibri" w:eastAsia="Times New Roman" w:hAnsi="Calibri" w:cs="Times New Roman"/>
          <w:i/>
          <w:color w:val="000000"/>
          <w:sz w:val="20"/>
          <w:szCs w:val="20"/>
        </w:rPr>
        <w:t xml:space="preserve">Building resilient infrastructure and an environment for economic opportunity in Vanuatu, </w:t>
      </w:r>
      <w:r w:rsidRPr="00862056">
        <w:rPr>
          <w:rFonts w:ascii="Calibri" w:eastAsia="Times New Roman" w:hAnsi="Calibri" w:cs="Times New Roman"/>
          <w:color w:val="000000"/>
          <w:sz w:val="20"/>
          <w:szCs w:val="20"/>
        </w:rPr>
        <w:t>2018.</w:t>
      </w:r>
      <w:r w:rsidRPr="00862056">
        <w:rPr>
          <w:rFonts w:ascii="Calibri" w:eastAsia="Times New Roman" w:hAnsi="Calibri" w:cs="Times New Roman"/>
          <w:sz w:val="20"/>
          <w:szCs w:val="20"/>
        </w:rPr>
        <w:t xml:space="preserve"> </w:t>
      </w:r>
    </w:p>
  </w:footnote>
  <w:footnote w:id="164">
    <w:p w14:paraId="66859F9D" w14:textId="1C42453E" w:rsidR="00E82131" w:rsidRPr="00862056" w:rsidRDefault="00E82131" w:rsidP="00456443">
      <w:pPr>
        <w:pBdr>
          <w:top w:val="nil"/>
          <w:left w:val="nil"/>
          <w:bottom w:val="nil"/>
          <w:right w:val="nil"/>
          <w:between w:val="nil"/>
        </w:pBdr>
        <w:spacing w:after="0" w:line="240" w:lineRule="auto"/>
        <w:rPr>
          <w:rFonts w:ascii="Calibri" w:eastAsia="Times New Roman" w:hAnsi="Calibri" w:cs="Times New Roman"/>
          <w:color w:val="000000"/>
          <w:sz w:val="20"/>
          <w:szCs w:val="20"/>
        </w:rPr>
      </w:pPr>
      <w:r w:rsidRPr="00862056">
        <w:rPr>
          <w:rFonts w:ascii="Calibri" w:hAnsi="Calibri"/>
          <w:sz w:val="20"/>
          <w:szCs w:val="20"/>
          <w:vertAlign w:val="superscript"/>
        </w:rPr>
        <w:footnoteRef/>
      </w:r>
      <w:r w:rsidRPr="00862056">
        <w:rPr>
          <w:rFonts w:ascii="Calibri" w:eastAsia="Times New Roman" w:hAnsi="Calibri" w:cs="Times New Roman"/>
          <w:color w:val="000000"/>
          <w:sz w:val="20"/>
          <w:szCs w:val="20"/>
        </w:rPr>
        <w:t xml:space="preserve"> Ibid.; </w:t>
      </w:r>
      <w:r w:rsidRPr="00862056">
        <w:rPr>
          <w:rFonts w:ascii="Calibri" w:eastAsia="Times New Roman" w:hAnsi="Calibri" w:cs="Times New Roman"/>
          <w:sz w:val="20"/>
          <w:szCs w:val="20"/>
        </w:rPr>
        <w:t xml:space="preserve">DFAT, </w:t>
      </w:r>
      <w:r w:rsidRPr="00862056">
        <w:rPr>
          <w:rFonts w:ascii="Calibri" w:eastAsia="Times New Roman" w:hAnsi="Calibri" w:cs="Times New Roman"/>
          <w:i/>
          <w:sz w:val="20"/>
          <w:szCs w:val="20"/>
        </w:rPr>
        <w:t>Aid</w:t>
      </w:r>
      <w:r>
        <w:rPr>
          <w:rFonts w:ascii="Calibri" w:eastAsia="Times New Roman" w:hAnsi="Calibri" w:cs="Times New Roman"/>
          <w:i/>
          <w:sz w:val="20"/>
          <w:szCs w:val="20"/>
        </w:rPr>
        <w:t xml:space="preserve"> program </w:t>
      </w:r>
      <w:r w:rsidRPr="00862056">
        <w:rPr>
          <w:rFonts w:ascii="Calibri" w:eastAsia="Times New Roman" w:hAnsi="Calibri" w:cs="Times New Roman"/>
          <w:i/>
          <w:sz w:val="20"/>
          <w:szCs w:val="20"/>
        </w:rPr>
        <w:t>Performance Report 2016–17: Vanuatu</w:t>
      </w:r>
      <w:r w:rsidRPr="00862056">
        <w:rPr>
          <w:rFonts w:ascii="Calibri" w:eastAsia="Times New Roman" w:hAnsi="Calibri" w:cs="Times New Roman"/>
          <w:sz w:val="20"/>
          <w:szCs w:val="20"/>
        </w:rPr>
        <w:t>, 2017.</w:t>
      </w:r>
    </w:p>
  </w:footnote>
  <w:footnote w:id="165">
    <w:p w14:paraId="1CC0324F" w14:textId="77777777" w:rsidR="00E82131" w:rsidRDefault="00E82131" w:rsidP="002F756E">
      <w:pPr>
        <w:pStyle w:val="FootnoteText"/>
      </w:pPr>
      <w:r>
        <w:rPr>
          <w:rStyle w:val="FootnoteReference"/>
        </w:rPr>
        <w:footnoteRef/>
      </w:r>
      <w:r>
        <w:t xml:space="preserve"> </w:t>
      </w:r>
      <w:r w:rsidRPr="00511CD7">
        <w:t xml:space="preserve">ODA Korea, </w:t>
      </w:r>
      <w:r w:rsidRPr="00511CD7">
        <w:rPr>
          <w:i/>
        </w:rPr>
        <w:t>ODA White Paper</w:t>
      </w:r>
      <w:r w:rsidRPr="00511CD7">
        <w:t xml:space="preserve">, 2017. Not a historic list: as per Korea’s newly formulated 24 Country Partnership Strategy, which will concentrate resources in 24 countries to maximise aid effectiveness.   </w:t>
      </w:r>
    </w:p>
  </w:footnote>
  <w:footnote w:id="166">
    <w:p w14:paraId="1456B4A1" w14:textId="77777777" w:rsidR="00E82131" w:rsidRDefault="00E82131" w:rsidP="002F756E">
      <w:pPr>
        <w:pStyle w:val="FootnoteText"/>
      </w:pPr>
      <w:r>
        <w:rPr>
          <w:rStyle w:val="FootnoteReference"/>
        </w:rPr>
        <w:footnoteRef/>
      </w:r>
      <w:r>
        <w:t xml:space="preserve"> </w:t>
      </w:r>
      <w:r w:rsidRPr="000B018D">
        <w:t>OECD database; calculated across 2011-15</w:t>
      </w:r>
      <w:r>
        <w:t>.</w:t>
      </w:r>
    </w:p>
  </w:footnote>
  <w:footnote w:id="167">
    <w:p w14:paraId="5D5C333E" w14:textId="77777777" w:rsidR="00E82131" w:rsidRDefault="00E82131" w:rsidP="002F756E">
      <w:pPr>
        <w:pStyle w:val="FootnoteText"/>
      </w:pPr>
      <w:r>
        <w:rPr>
          <w:rStyle w:val="FootnoteReference"/>
        </w:rPr>
        <w:footnoteRef/>
      </w:r>
      <w:r>
        <w:t xml:space="preserve"> </w:t>
      </w:r>
      <w:r w:rsidRPr="00B16A7F">
        <w:t>Project list detailing disbursements and number of projects was unavailable.</w:t>
      </w:r>
    </w:p>
  </w:footnote>
  <w:footnote w:id="168">
    <w:p w14:paraId="3526B88D" w14:textId="77777777" w:rsidR="00E82131" w:rsidRPr="00477AB6" w:rsidRDefault="00E82131" w:rsidP="002F756E">
      <w:pPr>
        <w:pStyle w:val="FootnoteText"/>
        <w:rPr>
          <w:sz w:val="18"/>
          <w:szCs w:val="18"/>
        </w:rPr>
      </w:pPr>
      <w:r w:rsidRPr="00477AB6">
        <w:rPr>
          <w:rStyle w:val="FootnoteReference"/>
          <w:sz w:val="18"/>
          <w:szCs w:val="18"/>
        </w:rPr>
        <w:footnoteRef/>
      </w:r>
      <w:r w:rsidRPr="00477AB6">
        <w:rPr>
          <w:sz w:val="18"/>
          <w:szCs w:val="18"/>
        </w:rPr>
        <w:t xml:space="preserve"> Donor Tracker: Germany donor profile.</w:t>
      </w:r>
    </w:p>
  </w:footnote>
  <w:footnote w:id="169">
    <w:p w14:paraId="2982C9B3" w14:textId="77777777" w:rsidR="00E82131" w:rsidRPr="00477AB6" w:rsidRDefault="00E82131" w:rsidP="002F756E">
      <w:pPr>
        <w:pStyle w:val="FootnoteText"/>
        <w:rPr>
          <w:sz w:val="18"/>
          <w:szCs w:val="18"/>
        </w:rPr>
      </w:pPr>
      <w:r w:rsidRPr="00477AB6">
        <w:rPr>
          <w:rStyle w:val="FootnoteReference"/>
          <w:sz w:val="18"/>
          <w:szCs w:val="18"/>
        </w:rPr>
        <w:footnoteRef/>
      </w:r>
      <w:r w:rsidRPr="00477AB6">
        <w:rPr>
          <w:sz w:val="18"/>
          <w:szCs w:val="18"/>
        </w:rPr>
        <w:t xml:space="preserve"> EDFI member profile</w:t>
      </w:r>
      <w:r>
        <w:rPr>
          <w:sz w:val="18"/>
          <w:szCs w:val="18"/>
        </w:rPr>
        <w:t xml:space="preserve">: DEG. </w:t>
      </w:r>
    </w:p>
  </w:footnote>
  <w:footnote w:id="170">
    <w:p w14:paraId="19808EA7" w14:textId="356727CC" w:rsidR="00E82131" w:rsidRPr="00477AB6" w:rsidRDefault="00E82131" w:rsidP="002F756E">
      <w:pPr>
        <w:pStyle w:val="FootnoteText"/>
        <w:rPr>
          <w:sz w:val="18"/>
          <w:szCs w:val="18"/>
        </w:rPr>
      </w:pPr>
      <w:r w:rsidRPr="00477AB6">
        <w:rPr>
          <w:rStyle w:val="FootnoteReference"/>
          <w:sz w:val="18"/>
          <w:szCs w:val="18"/>
        </w:rPr>
        <w:footnoteRef/>
      </w:r>
      <w:r w:rsidRPr="00477AB6">
        <w:rPr>
          <w:sz w:val="18"/>
          <w:szCs w:val="18"/>
        </w:rPr>
        <w:t xml:space="preserve"> Countries highlighted in blue text are only recipients of </w:t>
      </w:r>
      <w:proofErr w:type="spellStart"/>
      <w:r w:rsidRPr="00477AB6">
        <w:rPr>
          <w:sz w:val="18"/>
          <w:szCs w:val="18"/>
        </w:rPr>
        <w:t>KfW</w:t>
      </w:r>
      <w:proofErr w:type="spellEnd"/>
      <w:r w:rsidRPr="00477AB6">
        <w:rPr>
          <w:sz w:val="18"/>
          <w:szCs w:val="18"/>
        </w:rPr>
        <w:t xml:space="preserve"> Development Bank’s </w:t>
      </w:r>
      <w:r>
        <w:rPr>
          <w:sz w:val="18"/>
          <w:szCs w:val="18"/>
        </w:rPr>
        <w:t>program</w:t>
      </w:r>
      <w:r w:rsidRPr="00477AB6">
        <w:rPr>
          <w:sz w:val="18"/>
          <w:szCs w:val="18"/>
        </w:rPr>
        <w:t xml:space="preserve">s, and not DEG’s. </w:t>
      </w:r>
    </w:p>
  </w:footnote>
  <w:footnote w:id="171">
    <w:p w14:paraId="73ED601A" w14:textId="77777777" w:rsidR="00E82131" w:rsidRPr="00477AB6" w:rsidRDefault="00E82131" w:rsidP="002F756E">
      <w:pPr>
        <w:pStyle w:val="FootnoteText"/>
        <w:rPr>
          <w:sz w:val="18"/>
          <w:szCs w:val="18"/>
        </w:rPr>
      </w:pPr>
      <w:r w:rsidRPr="00477AB6">
        <w:rPr>
          <w:rStyle w:val="FootnoteReference"/>
          <w:sz w:val="18"/>
          <w:szCs w:val="18"/>
        </w:rPr>
        <w:footnoteRef/>
      </w:r>
      <w:r w:rsidRPr="00477AB6">
        <w:rPr>
          <w:sz w:val="18"/>
          <w:szCs w:val="18"/>
        </w:rPr>
        <w:t xml:space="preserve"> EDFI member profile</w:t>
      </w:r>
      <w:r>
        <w:rPr>
          <w:sz w:val="18"/>
          <w:szCs w:val="18"/>
        </w:rPr>
        <w:t xml:space="preserve">: DEG. Figures as of 2017. </w:t>
      </w:r>
    </w:p>
  </w:footnote>
  <w:footnote w:id="172">
    <w:p w14:paraId="748CB190" w14:textId="77777777" w:rsidR="00E82131" w:rsidRPr="00AC5788" w:rsidRDefault="00E82131" w:rsidP="002F756E">
      <w:pPr>
        <w:pStyle w:val="FootnoteText"/>
      </w:pPr>
      <w:r w:rsidRPr="00477AB6">
        <w:rPr>
          <w:rStyle w:val="FootnoteReference"/>
          <w:sz w:val="18"/>
          <w:szCs w:val="18"/>
        </w:rPr>
        <w:footnoteRef/>
      </w:r>
      <w:r w:rsidRPr="00477AB6">
        <w:rPr>
          <w:sz w:val="18"/>
          <w:szCs w:val="18"/>
        </w:rPr>
        <w:t xml:space="preserve"> Charles Kenny, Jared </w:t>
      </w:r>
      <w:proofErr w:type="spellStart"/>
      <w:r w:rsidRPr="00477AB6">
        <w:rPr>
          <w:sz w:val="18"/>
          <w:szCs w:val="18"/>
        </w:rPr>
        <w:t>Kalow</w:t>
      </w:r>
      <w:proofErr w:type="spellEnd"/>
      <w:r w:rsidRPr="00477AB6">
        <w:rPr>
          <w:sz w:val="18"/>
          <w:szCs w:val="18"/>
        </w:rPr>
        <w:t xml:space="preserve">, Ben Leo, and Vijaya Ramachandran, </w:t>
      </w:r>
      <w:r w:rsidRPr="00477AB6">
        <w:rPr>
          <w:i/>
          <w:sz w:val="18"/>
          <w:szCs w:val="18"/>
        </w:rPr>
        <w:t>Comparing Five Bilateral Development Finance Institutions and the IFC</w:t>
      </w:r>
      <w:r w:rsidRPr="00477AB6">
        <w:rPr>
          <w:sz w:val="18"/>
          <w:szCs w:val="18"/>
        </w:rPr>
        <w:t xml:space="preserve">, CGD Policy Paper, 2018. Figure </w:t>
      </w:r>
      <w:r>
        <w:rPr>
          <w:sz w:val="18"/>
          <w:szCs w:val="18"/>
        </w:rPr>
        <w:t xml:space="preserve">is specific to DEG, </w:t>
      </w:r>
      <w:r w:rsidRPr="00477AB6">
        <w:rPr>
          <w:sz w:val="18"/>
          <w:szCs w:val="18"/>
        </w:rPr>
        <w:t>calculated across 2012-16.</w:t>
      </w:r>
      <w:r>
        <w:t xml:space="preserve">  </w:t>
      </w:r>
    </w:p>
  </w:footnote>
  <w:footnote w:id="173">
    <w:p w14:paraId="5484E5B6" w14:textId="77777777" w:rsidR="00E82131" w:rsidRPr="00477AB6" w:rsidRDefault="00E82131" w:rsidP="002F756E">
      <w:pPr>
        <w:pStyle w:val="FootnoteText"/>
        <w:rPr>
          <w:sz w:val="18"/>
          <w:szCs w:val="18"/>
        </w:rPr>
      </w:pPr>
      <w:r w:rsidRPr="00477AB6">
        <w:rPr>
          <w:rStyle w:val="FootnoteReference"/>
          <w:sz w:val="18"/>
          <w:szCs w:val="18"/>
        </w:rPr>
        <w:footnoteRef/>
      </w:r>
      <w:r w:rsidRPr="00477AB6">
        <w:rPr>
          <w:sz w:val="18"/>
          <w:szCs w:val="18"/>
        </w:rPr>
        <w:t xml:space="preserve"> Donor Tracker: Japan donor profile. </w:t>
      </w:r>
    </w:p>
  </w:footnote>
  <w:footnote w:id="174">
    <w:p w14:paraId="096D4F76" w14:textId="77777777" w:rsidR="00E82131" w:rsidRPr="00477AB6" w:rsidRDefault="00E82131" w:rsidP="002F756E">
      <w:pPr>
        <w:pStyle w:val="FootnoteText"/>
        <w:rPr>
          <w:sz w:val="18"/>
          <w:szCs w:val="18"/>
        </w:rPr>
      </w:pPr>
      <w:r w:rsidRPr="00477AB6">
        <w:rPr>
          <w:rStyle w:val="FootnoteReference"/>
          <w:sz w:val="18"/>
          <w:szCs w:val="18"/>
        </w:rPr>
        <w:footnoteRef/>
      </w:r>
      <w:r w:rsidRPr="00477AB6">
        <w:rPr>
          <w:sz w:val="18"/>
          <w:szCs w:val="18"/>
        </w:rPr>
        <w:t xml:space="preserve"> JICA, </w:t>
      </w:r>
      <w:r w:rsidRPr="00477AB6">
        <w:rPr>
          <w:i/>
          <w:sz w:val="18"/>
          <w:szCs w:val="18"/>
        </w:rPr>
        <w:t>Annual Report,</w:t>
      </w:r>
      <w:r w:rsidRPr="00477AB6">
        <w:rPr>
          <w:sz w:val="18"/>
          <w:szCs w:val="18"/>
        </w:rPr>
        <w:t xml:space="preserve"> 2018. </w:t>
      </w:r>
    </w:p>
  </w:footnote>
  <w:footnote w:id="175">
    <w:p w14:paraId="418E1B43" w14:textId="77777777" w:rsidR="00E82131" w:rsidRPr="00477AB6" w:rsidRDefault="00E82131" w:rsidP="002F756E">
      <w:pPr>
        <w:pStyle w:val="FootnoteText"/>
        <w:rPr>
          <w:sz w:val="18"/>
          <w:szCs w:val="18"/>
        </w:rPr>
      </w:pPr>
      <w:r w:rsidRPr="00477AB6">
        <w:rPr>
          <w:rStyle w:val="FootnoteReference"/>
          <w:sz w:val="18"/>
          <w:szCs w:val="18"/>
        </w:rPr>
        <w:footnoteRef/>
      </w:r>
      <w:r w:rsidRPr="00477AB6">
        <w:rPr>
          <w:sz w:val="18"/>
          <w:szCs w:val="18"/>
        </w:rPr>
        <w:t xml:space="preserve"> </w:t>
      </w:r>
      <w:r w:rsidRPr="00477AB6">
        <w:rPr>
          <w:i/>
          <w:sz w:val="18"/>
          <w:szCs w:val="18"/>
        </w:rPr>
        <w:t>Overview of JICA ODA Loans</w:t>
      </w:r>
      <w:r w:rsidRPr="00477AB6">
        <w:rPr>
          <w:sz w:val="18"/>
          <w:szCs w:val="18"/>
        </w:rPr>
        <w:t>, 2018. Figures are as of 2016.</w:t>
      </w:r>
    </w:p>
  </w:footnote>
  <w:footnote w:id="176">
    <w:p w14:paraId="03B8B86E" w14:textId="77777777" w:rsidR="00E82131" w:rsidRPr="00477AB6" w:rsidRDefault="00E82131" w:rsidP="002F756E">
      <w:pPr>
        <w:pStyle w:val="FootnoteText"/>
        <w:rPr>
          <w:sz w:val="18"/>
          <w:szCs w:val="18"/>
        </w:rPr>
      </w:pPr>
      <w:r w:rsidRPr="00477AB6">
        <w:rPr>
          <w:rStyle w:val="FootnoteReference"/>
          <w:sz w:val="18"/>
          <w:szCs w:val="18"/>
        </w:rPr>
        <w:footnoteRef/>
      </w:r>
      <w:r w:rsidRPr="00477AB6">
        <w:rPr>
          <w:sz w:val="18"/>
          <w:szCs w:val="18"/>
        </w:rPr>
        <w:t xml:space="preserve"> JICA, </w:t>
      </w:r>
      <w:r w:rsidRPr="00477AB6">
        <w:rPr>
          <w:i/>
          <w:sz w:val="18"/>
          <w:szCs w:val="18"/>
        </w:rPr>
        <w:t>Annual Report: Data Book,</w:t>
      </w:r>
      <w:r w:rsidRPr="00477AB6">
        <w:rPr>
          <w:sz w:val="18"/>
          <w:szCs w:val="18"/>
        </w:rPr>
        <w:t xml:space="preserve"> 2017. Calculated by dividing the total JPY amount of </w:t>
      </w:r>
      <w:r>
        <w:rPr>
          <w:sz w:val="18"/>
          <w:szCs w:val="18"/>
        </w:rPr>
        <w:t xml:space="preserve">ODA loan </w:t>
      </w:r>
      <w:r w:rsidRPr="00477AB6">
        <w:rPr>
          <w:sz w:val="18"/>
          <w:szCs w:val="18"/>
        </w:rPr>
        <w:t>disbursements for 2016 by the number of disbursements. 1 JPY = 0.0092 USD</w:t>
      </w:r>
    </w:p>
  </w:footnote>
  <w:footnote w:id="177">
    <w:p w14:paraId="73F18E84" w14:textId="216AF273" w:rsidR="00E82131" w:rsidRDefault="00E82131">
      <w:pPr>
        <w:pStyle w:val="FootnoteText"/>
      </w:pPr>
      <w:r>
        <w:rPr>
          <w:rStyle w:val="FootnoteReference"/>
        </w:rPr>
        <w:footnoteRef/>
      </w:r>
      <w:r>
        <w:t xml:space="preserve"> </w:t>
      </w:r>
      <w:r w:rsidRPr="000C73D2">
        <w:t>Charles Kenney et al., 2018. Figures calculated across 2012-16.</w:t>
      </w:r>
    </w:p>
  </w:footnote>
  <w:footnote w:id="178">
    <w:p w14:paraId="61B098AC" w14:textId="3E8231A5" w:rsidR="00E82131" w:rsidRDefault="00E82131">
      <w:pPr>
        <w:pStyle w:val="FootnoteText"/>
      </w:pPr>
      <w:r>
        <w:rPr>
          <w:rStyle w:val="FootnoteReference"/>
        </w:rPr>
        <w:footnoteRef/>
      </w:r>
      <w:r>
        <w:t xml:space="preserve"> </w:t>
      </w:r>
      <w:r w:rsidRPr="00477AB6">
        <w:rPr>
          <w:i/>
          <w:sz w:val="18"/>
          <w:szCs w:val="18"/>
        </w:rPr>
        <w:t>Ibid.</w:t>
      </w:r>
    </w:p>
  </w:footnote>
  <w:footnote w:id="179">
    <w:p w14:paraId="728C99B1" w14:textId="516E805B" w:rsidR="00E82131" w:rsidRPr="00121F56" w:rsidRDefault="00E82131" w:rsidP="002F756E">
      <w:pPr>
        <w:pStyle w:val="FootnoteText"/>
        <w:rPr>
          <w:rFonts w:cstheme="minorHAnsi"/>
          <w:i/>
          <w:sz w:val="18"/>
          <w:szCs w:val="18"/>
        </w:rPr>
      </w:pPr>
      <w:r w:rsidRPr="00121F56">
        <w:rPr>
          <w:rStyle w:val="FootnoteReference"/>
          <w:sz w:val="18"/>
          <w:szCs w:val="18"/>
        </w:rPr>
        <w:footnoteRef/>
      </w:r>
      <w:r w:rsidRPr="00121F56">
        <w:rPr>
          <w:sz w:val="18"/>
          <w:szCs w:val="18"/>
        </w:rPr>
        <w:t xml:space="preserve"> </w:t>
      </w:r>
      <w:r w:rsidRPr="00121F56">
        <w:rPr>
          <w:rFonts w:eastAsia="Times New Roman" w:cstheme="minorHAnsi"/>
          <w:color w:val="000000"/>
          <w:sz w:val="18"/>
          <w:szCs w:val="18"/>
          <w:lang w:eastAsia="en-IN"/>
        </w:rPr>
        <w:t xml:space="preserve">Dalberg analysis (China does not provide comprehensive official data on its development finance </w:t>
      </w:r>
      <w:r>
        <w:rPr>
          <w:rFonts w:eastAsia="Times New Roman" w:cstheme="minorHAnsi"/>
          <w:color w:val="000000"/>
          <w:sz w:val="18"/>
          <w:szCs w:val="18"/>
          <w:lang w:eastAsia="en-IN"/>
        </w:rPr>
        <w:t>program</w:t>
      </w:r>
      <w:r w:rsidRPr="00121F56">
        <w:rPr>
          <w:rFonts w:eastAsia="Times New Roman" w:cstheme="minorHAnsi"/>
          <w:color w:val="000000"/>
          <w:sz w:val="18"/>
          <w:szCs w:val="18"/>
          <w:lang w:eastAsia="en-IN"/>
        </w:rPr>
        <w:t>).</w:t>
      </w:r>
    </w:p>
  </w:footnote>
  <w:footnote w:id="180">
    <w:p w14:paraId="16F0FD16" w14:textId="77777777" w:rsidR="00E82131" w:rsidRPr="00121F56" w:rsidRDefault="00E82131" w:rsidP="002F756E">
      <w:pPr>
        <w:pStyle w:val="FootnoteText"/>
        <w:rPr>
          <w:sz w:val="18"/>
          <w:szCs w:val="18"/>
        </w:rPr>
      </w:pPr>
      <w:r w:rsidRPr="00121F56">
        <w:rPr>
          <w:rStyle w:val="FootnoteReference"/>
          <w:sz w:val="18"/>
          <w:szCs w:val="18"/>
        </w:rPr>
        <w:footnoteRef/>
      </w:r>
      <w:r w:rsidRPr="00121F56">
        <w:rPr>
          <w:sz w:val="18"/>
          <w:szCs w:val="18"/>
        </w:rPr>
        <w:t xml:space="preserve"> </w:t>
      </w:r>
      <w:r w:rsidRPr="00121F56">
        <w:rPr>
          <w:i/>
          <w:sz w:val="18"/>
          <w:szCs w:val="18"/>
        </w:rPr>
        <w:t xml:space="preserve">Ibid.  </w:t>
      </w:r>
    </w:p>
  </w:footnote>
  <w:footnote w:id="181">
    <w:p w14:paraId="3629EA1E" w14:textId="77777777" w:rsidR="00E82131" w:rsidRPr="00121F56" w:rsidRDefault="00E82131" w:rsidP="002F756E">
      <w:pPr>
        <w:pStyle w:val="FootnoteText"/>
        <w:rPr>
          <w:sz w:val="18"/>
          <w:szCs w:val="18"/>
        </w:rPr>
      </w:pPr>
      <w:r w:rsidRPr="00121F56">
        <w:rPr>
          <w:rStyle w:val="FootnoteReference"/>
          <w:sz w:val="18"/>
          <w:szCs w:val="18"/>
        </w:rPr>
        <w:footnoteRef/>
      </w:r>
      <w:r w:rsidRPr="00121F56">
        <w:rPr>
          <w:sz w:val="18"/>
          <w:szCs w:val="18"/>
        </w:rPr>
        <w:t xml:space="preserve"> </w:t>
      </w:r>
      <w:r w:rsidRPr="00121F56">
        <w:rPr>
          <w:i/>
          <w:sz w:val="18"/>
          <w:szCs w:val="18"/>
        </w:rPr>
        <w:t>Ibid.</w:t>
      </w:r>
      <w:r w:rsidRPr="00121F56">
        <w:rPr>
          <w:sz w:val="18"/>
          <w:szCs w:val="18"/>
        </w:rPr>
        <w:t xml:space="preserve"> Calculated across 2000-2014. </w:t>
      </w:r>
      <w:r>
        <w:rPr>
          <w:sz w:val="18"/>
          <w:szCs w:val="18"/>
        </w:rPr>
        <w:t>Caveats: t</w:t>
      </w:r>
      <w:r w:rsidRPr="00121F56">
        <w:rPr>
          <w:sz w:val="18"/>
          <w:szCs w:val="18"/>
        </w:rPr>
        <w:t xml:space="preserve">he database source, </w:t>
      </w:r>
      <w:proofErr w:type="spellStart"/>
      <w:r w:rsidRPr="00121F56">
        <w:rPr>
          <w:sz w:val="18"/>
          <w:szCs w:val="18"/>
        </w:rPr>
        <w:t>AidData</w:t>
      </w:r>
      <w:proofErr w:type="spellEnd"/>
      <w:r w:rsidRPr="00121F56">
        <w:rPr>
          <w:sz w:val="18"/>
          <w:szCs w:val="18"/>
        </w:rPr>
        <w:t>, compiles figures solely from media reports</w:t>
      </w:r>
      <w:r>
        <w:rPr>
          <w:sz w:val="18"/>
          <w:szCs w:val="18"/>
        </w:rPr>
        <w:t xml:space="preserve">. Further, these reports </w:t>
      </w:r>
      <w:r w:rsidRPr="00121F56">
        <w:rPr>
          <w:sz w:val="18"/>
          <w:szCs w:val="18"/>
        </w:rPr>
        <w:t xml:space="preserve">tend not to report smaller loan disbursements. Hence, this figure is </w:t>
      </w:r>
      <w:r>
        <w:rPr>
          <w:sz w:val="18"/>
          <w:szCs w:val="18"/>
        </w:rPr>
        <w:t xml:space="preserve">likely heavily </w:t>
      </w:r>
      <w:r w:rsidRPr="00121F56">
        <w:rPr>
          <w:sz w:val="18"/>
          <w:szCs w:val="18"/>
        </w:rPr>
        <w:t xml:space="preserve">skewed upwards. </w:t>
      </w:r>
    </w:p>
  </w:footnote>
  <w:footnote w:id="182">
    <w:p w14:paraId="0107526D" w14:textId="173F10E8" w:rsidR="00E82131" w:rsidRPr="006D2398" w:rsidRDefault="00E82131" w:rsidP="002F756E">
      <w:pPr>
        <w:pStyle w:val="FootnoteText"/>
        <w:rPr>
          <w:sz w:val="18"/>
          <w:szCs w:val="18"/>
        </w:rPr>
      </w:pPr>
      <w:r w:rsidRPr="006D2398">
        <w:rPr>
          <w:rStyle w:val="FootnoteReference"/>
          <w:sz w:val="18"/>
          <w:szCs w:val="18"/>
        </w:rPr>
        <w:footnoteRef/>
      </w:r>
      <w:r w:rsidRPr="006D2398">
        <w:rPr>
          <w:sz w:val="18"/>
          <w:szCs w:val="18"/>
        </w:rPr>
        <w:t xml:space="preserve"> Countries highlighted in blue text are recipients only of </w:t>
      </w:r>
      <w:proofErr w:type="spellStart"/>
      <w:r w:rsidRPr="006D2398">
        <w:rPr>
          <w:sz w:val="18"/>
          <w:szCs w:val="18"/>
        </w:rPr>
        <w:t>Proparco’s</w:t>
      </w:r>
      <w:proofErr w:type="spellEnd"/>
      <w:r w:rsidRPr="006D2398">
        <w:rPr>
          <w:sz w:val="18"/>
          <w:szCs w:val="18"/>
        </w:rPr>
        <w:t xml:space="preserve"> programs, and not AFD</w:t>
      </w:r>
      <w:r>
        <w:rPr>
          <w:sz w:val="18"/>
          <w:szCs w:val="18"/>
        </w:rPr>
        <w:t xml:space="preserve"> Group</w:t>
      </w:r>
      <w:r w:rsidRPr="006D2398">
        <w:rPr>
          <w:sz w:val="18"/>
          <w:szCs w:val="18"/>
        </w:rPr>
        <w:t xml:space="preserve">’s. </w:t>
      </w:r>
    </w:p>
  </w:footnote>
  <w:footnote w:id="183">
    <w:p w14:paraId="10F1C4B1" w14:textId="77777777" w:rsidR="00E82131" w:rsidRPr="006D2398" w:rsidRDefault="00E82131" w:rsidP="002F756E">
      <w:pPr>
        <w:pStyle w:val="FootnoteText"/>
        <w:rPr>
          <w:sz w:val="18"/>
          <w:szCs w:val="18"/>
        </w:rPr>
      </w:pPr>
      <w:r w:rsidRPr="006D2398">
        <w:rPr>
          <w:rStyle w:val="FootnoteReference"/>
          <w:sz w:val="18"/>
          <w:szCs w:val="18"/>
        </w:rPr>
        <w:footnoteRef/>
      </w:r>
      <w:r w:rsidRPr="006D2398">
        <w:rPr>
          <w:sz w:val="18"/>
          <w:szCs w:val="18"/>
        </w:rPr>
        <w:t xml:space="preserve"> EDFI member profile</w:t>
      </w:r>
      <w:r>
        <w:rPr>
          <w:sz w:val="18"/>
          <w:szCs w:val="18"/>
        </w:rPr>
        <w:t xml:space="preserve">: </w:t>
      </w:r>
      <w:proofErr w:type="spellStart"/>
      <w:r>
        <w:rPr>
          <w:sz w:val="18"/>
          <w:szCs w:val="18"/>
        </w:rPr>
        <w:t>Proparco</w:t>
      </w:r>
      <w:proofErr w:type="spellEnd"/>
      <w:r>
        <w:rPr>
          <w:sz w:val="18"/>
          <w:szCs w:val="18"/>
        </w:rPr>
        <w:t>.</w:t>
      </w:r>
      <w:r w:rsidRPr="006D2398">
        <w:rPr>
          <w:sz w:val="18"/>
          <w:szCs w:val="18"/>
        </w:rPr>
        <w:t xml:space="preserve"> Figures as of 2017</w:t>
      </w:r>
      <w:r>
        <w:rPr>
          <w:sz w:val="18"/>
          <w:szCs w:val="18"/>
        </w:rPr>
        <w:t>.</w:t>
      </w:r>
    </w:p>
  </w:footnote>
  <w:footnote w:id="184">
    <w:p w14:paraId="26136A68" w14:textId="77777777" w:rsidR="00E82131" w:rsidRDefault="00E82131" w:rsidP="002F756E">
      <w:pPr>
        <w:pStyle w:val="FootnoteText"/>
      </w:pPr>
      <w:r w:rsidRPr="006D2398">
        <w:rPr>
          <w:rStyle w:val="FootnoteReference"/>
          <w:sz w:val="18"/>
          <w:szCs w:val="18"/>
        </w:rPr>
        <w:footnoteRef/>
      </w:r>
      <w:r w:rsidRPr="006D2398">
        <w:rPr>
          <w:sz w:val="18"/>
          <w:szCs w:val="18"/>
        </w:rPr>
        <w:t xml:space="preserve"> Charles Kenney et al., 2018. </w:t>
      </w:r>
      <w:r w:rsidRPr="00477AB6">
        <w:rPr>
          <w:sz w:val="18"/>
          <w:szCs w:val="18"/>
        </w:rPr>
        <w:t xml:space="preserve">Figure </w:t>
      </w:r>
      <w:r>
        <w:rPr>
          <w:sz w:val="18"/>
          <w:szCs w:val="18"/>
        </w:rPr>
        <w:t xml:space="preserve">is specific to </w:t>
      </w:r>
      <w:proofErr w:type="spellStart"/>
      <w:r>
        <w:rPr>
          <w:sz w:val="18"/>
          <w:szCs w:val="18"/>
        </w:rPr>
        <w:t>Proparco</w:t>
      </w:r>
      <w:proofErr w:type="spellEnd"/>
      <w:r>
        <w:rPr>
          <w:sz w:val="18"/>
          <w:szCs w:val="18"/>
        </w:rPr>
        <w:t xml:space="preserve">, </w:t>
      </w:r>
      <w:r w:rsidRPr="00477AB6">
        <w:rPr>
          <w:sz w:val="18"/>
          <w:szCs w:val="18"/>
        </w:rPr>
        <w:t>calculated across 2012-16.</w:t>
      </w:r>
      <w:r>
        <w:t xml:space="preserve">  </w:t>
      </w:r>
    </w:p>
  </w:footnote>
  <w:footnote w:id="185">
    <w:p w14:paraId="51E5EE49" w14:textId="77777777" w:rsidR="00E82131" w:rsidRPr="006D2398" w:rsidRDefault="00E82131" w:rsidP="002F756E">
      <w:pPr>
        <w:pStyle w:val="FootnoteText"/>
        <w:rPr>
          <w:sz w:val="18"/>
          <w:szCs w:val="18"/>
        </w:rPr>
      </w:pPr>
      <w:r w:rsidRPr="006D2398">
        <w:rPr>
          <w:rStyle w:val="FootnoteReference"/>
          <w:sz w:val="18"/>
          <w:szCs w:val="18"/>
        </w:rPr>
        <w:footnoteRef/>
      </w:r>
      <w:r w:rsidRPr="006D2398">
        <w:rPr>
          <w:sz w:val="18"/>
          <w:szCs w:val="18"/>
        </w:rPr>
        <w:t xml:space="preserve"> EDFI member profile</w:t>
      </w:r>
      <w:r>
        <w:rPr>
          <w:sz w:val="18"/>
          <w:szCs w:val="18"/>
        </w:rPr>
        <w:t>: CDC Group.</w:t>
      </w:r>
      <w:r w:rsidRPr="006D2398">
        <w:rPr>
          <w:sz w:val="18"/>
          <w:szCs w:val="18"/>
        </w:rPr>
        <w:t xml:space="preserve"> Figures as of 2017. </w:t>
      </w:r>
    </w:p>
  </w:footnote>
  <w:footnote w:id="186">
    <w:p w14:paraId="7CF3482F" w14:textId="77777777" w:rsidR="00E82131" w:rsidRDefault="00E82131" w:rsidP="002F756E">
      <w:pPr>
        <w:pStyle w:val="FootnoteText"/>
      </w:pPr>
      <w:r w:rsidRPr="006D2398">
        <w:rPr>
          <w:rStyle w:val="FootnoteReference"/>
          <w:sz w:val="18"/>
          <w:szCs w:val="18"/>
        </w:rPr>
        <w:footnoteRef/>
      </w:r>
      <w:r w:rsidRPr="006D2398">
        <w:rPr>
          <w:sz w:val="18"/>
          <w:szCs w:val="18"/>
        </w:rPr>
        <w:t xml:space="preserve"> Charles Kenney et al., 2018. Figures calculated across 2012-16.</w:t>
      </w:r>
    </w:p>
  </w:footnote>
  <w:footnote w:id="187">
    <w:p w14:paraId="156473F1" w14:textId="77777777" w:rsidR="00E82131" w:rsidRPr="00DA614F" w:rsidRDefault="00E82131" w:rsidP="00BB5F6D">
      <w:pPr>
        <w:pStyle w:val="FootnoteText"/>
        <w:rPr>
          <w:lang w:val="en-US"/>
        </w:rPr>
      </w:pPr>
      <w:r>
        <w:rPr>
          <w:rStyle w:val="FootnoteReference"/>
        </w:rPr>
        <w:footnoteRef/>
      </w:r>
      <w:r>
        <w:t xml:space="preserve"> (</w:t>
      </w:r>
      <w:hyperlink r:id="rId34" w:history="1">
        <w:r>
          <w:rPr>
            <w:rStyle w:val="Hyperlink"/>
          </w:rPr>
          <w:t>Public Governance, Performance and Accountability (Finance Minister to Accountable Authorities of Non-Corporate Commonwealth Entities) Delegation 2014</w:t>
        </w:r>
      </w:hyperlink>
      <w:r>
        <w:t xml:space="preserve"> Part 6, cl 6.1 (2))</w:t>
      </w:r>
    </w:p>
  </w:footnote>
  <w:footnote w:id="188">
    <w:p w14:paraId="49C0AAC2" w14:textId="77777777" w:rsidR="00E82131" w:rsidRPr="00DA614F" w:rsidRDefault="00E82131" w:rsidP="00BB5F6D">
      <w:pPr>
        <w:pStyle w:val="FootnoteText"/>
        <w:rPr>
          <w:lang w:val="en-US"/>
        </w:rPr>
      </w:pPr>
      <w:r>
        <w:rPr>
          <w:rStyle w:val="FootnoteReference"/>
        </w:rPr>
        <w:footnoteRef/>
      </w:r>
      <w:r>
        <w:t xml:space="preserve"> (</w:t>
      </w:r>
      <w:hyperlink r:id="rId35" w:history="1">
        <w:r>
          <w:rPr>
            <w:rStyle w:val="Hyperlink"/>
          </w:rPr>
          <w:t>Public Governance, Performance and Accountability (Finance Minister to Accountable Authorities of Non-Corporate Commonwealth Entities) Delegation 2014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546F4" w14:textId="6D56D1C5" w:rsidR="00E82131" w:rsidRDefault="00E82131" w:rsidP="00B10D74">
    <w:pPr>
      <w:pStyle w:val="Header"/>
      <w:framePr w:wrap="none" w:vAnchor="text" w:hAnchor="margin" w:xAlign="right" w:y="1"/>
      <w:rPr>
        <w:rStyle w:val="PageNumber"/>
      </w:rPr>
    </w:pPr>
  </w:p>
  <w:sdt>
    <w:sdtPr>
      <w:rPr>
        <w:rStyle w:val="PageNumber"/>
      </w:rPr>
      <w:id w:val="-21860941"/>
      <w:docPartObj>
        <w:docPartGallery w:val="Page Numbers (Top of Page)"/>
        <w:docPartUnique/>
      </w:docPartObj>
    </w:sdtPr>
    <w:sdtEndPr>
      <w:rPr>
        <w:rStyle w:val="PageNumber"/>
      </w:rPr>
    </w:sdtEndPr>
    <w:sdtContent>
      <w:p w14:paraId="508BA05B" w14:textId="77777777" w:rsidR="00E82131" w:rsidRDefault="00E82131" w:rsidP="00B10D7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B28437" w14:textId="77777777" w:rsidR="00E82131" w:rsidRDefault="00E82131" w:rsidP="0059434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7C89D" w14:textId="5DEBC1C5" w:rsidR="00E82131" w:rsidRDefault="00E62CB5" w:rsidP="00B10D74">
    <w:pPr>
      <w:pStyle w:val="Header"/>
      <w:framePr w:wrap="none" w:vAnchor="text" w:hAnchor="margin" w:xAlign="right" w:y="1"/>
      <w:rPr>
        <w:rStyle w:val="PageNumber"/>
      </w:rPr>
    </w:pPr>
    <w:sdt>
      <w:sdtPr>
        <w:rPr>
          <w:rStyle w:val="PageNumber"/>
        </w:rPr>
        <w:id w:val="-1162547022"/>
        <w:docPartObj>
          <w:docPartGallery w:val="Page Numbers (Top of Page)"/>
          <w:docPartUnique/>
        </w:docPartObj>
      </w:sdtPr>
      <w:sdtEndPr>
        <w:rPr>
          <w:rStyle w:val="PageNumber"/>
        </w:rPr>
      </w:sdtEndPr>
      <w:sdtContent>
        <w:r w:rsidR="00E82131">
          <w:rPr>
            <w:rStyle w:val="PageNumber"/>
          </w:rPr>
          <w:fldChar w:fldCharType="begin"/>
        </w:r>
        <w:r w:rsidR="00E82131">
          <w:rPr>
            <w:rStyle w:val="PageNumber"/>
          </w:rPr>
          <w:instrText xml:space="preserve"> PAGE </w:instrText>
        </w:r>
        <w:r w:rsidR="00E82131">
          <w:rPr>
            <w:rStyle w:val="PageNumber"/>
          </w:rPr>
          <w:fldChar w:fldCharType="separate"/>
        </w:r>
        <w:r w:rsidR="00E82131">
          <w:rPr>
            <w:rStyle w:val="PageNumber"/>
            <w:noProof/>
          </w:rPr>
          <w:t>ii</w:t>
        </w:r>
        <w:r w:rsidR="00E82131">
          <w:rPr>
            <w:rStyle w:val="PageNumber"/>
          </w:rPr>
          <w:fldChar w:fldCharType="end"/>
        </w:r>
      </w:sdtContent>
    </w:sdt>
  </w:p>
  <w:p w14:paraId="460F5DF1" w14:textId="37513D97" w:rsidR="00E82131" w:rsidRDefault="00E82131" w:rsidP="00594341">
    <w:pPr>
      <w:ind w:right="360"/>
      <w:jc w:val="center"/>
      <w:rPr>
        <w:b/>
        <w:color w:val="FF0000"/>
        <w:lang w:val="en-US"/>
      </w:rPr>
    </w:pPr>
    <w:r w:rsidRPr="0030660A">
      <w:rPr>
        <w:b/>
        <w:color w:val="FF0000"/>
        <w:lang w:val="en-US"/>
      </w:rPr>
      <w:t xml:space="preserve"> </w:t>
    </w:r>
  </w:p>
  <w:p w14:paraId="5693B347" w14:textId="602358DC" w:rsidR="00E82131" w:rsidRPr="00654794" w:rsidRDefault="00E82131" w:rsidP="00E30871">
    <w:pPr>
      <w:pStyle w:val="Header"/>
      <w:rPr>
        <w:b/>
      </w:rPr>
    </w:pPr>
    <w:r w:rsidRPr="00654794">
      <w:rPr>
        <w:b/>
      </w:rPr>
      <w:t>Feasibility Study into Expanding the Australian Aid Program’s Development Finance Options</w:t>
    </w:r>
  </w:p>
  <w:p w14:paraId="7B5184A1" w14:textId="77777777" w:rsidR="00E82131" w:rsidRPr="0030660A" w:rsidRDefault="00E82131" w:rsidP="00E30871">
    <w:pPr>
      <w:jc w:val="center"/>
      <w:rPr>
        <w:b/>
        <w:color w:val="FF0000"/>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FF5A3" w14:textId="1F05A218" w:rsidR="00E82131" w:rsidRDefault="00E8213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7D6BB" w14:textId="362832EF" w:rsidR="00E82131" w:rsidRPr="00F96CD9" w:rsidRDefault="00E82131" w:rsidP="00F96CD9">
    <w:pPr>
      <w:pStyle w:val="Header"/>
      <w:jc w:val="center"/>
      <w:rPr>
        <w:b/>
      </w:rPr>
    </w:pPr>
    <w:r w:rsidRPr="00F96CD9">
      <w:rPr>
        <w:b/>
      </w:rPr>
      <w:t>Feasibility Study into Expanding the Australian Aid Program’s Development Financ</w:t>
    </w:r>
    <w:r>
      <w:rPr>
        <w:b/>
      </w:rPr>
      <w:t>e</w:t>
    </w:r>
    <w:r w:rsidRPr="00F96CD9">
      <w:rPr>
        <w:b/>
      </w:rPr>
      <w:t xml:space="preserve"> Options</w:t>
    </w:r>
  </w:p>
  <w:p w14:paraId="67EF858D" w14:textId="77777777" w:rsidR="00E82131" w:rsidRDefault="00E8213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69EBF" w14:textId="24EC79B4" w:rsidR="00E82131" w:rsidRDefault="00E821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1B66"/>
    <w:multiLevelType w:val="hybridMultilevel"/>
    <w:tmpl w:val="76B6B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2B4D1B"/>
    <w:multiLevelType w:val="hybridMultilevel"/>
    <w:tmpl w:val="B3D0A5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343B23"/>
    <w:multiLevelType w:val="hybridMultilevel"/>
    <w:tmpl w:val="E27A17F6"/>
    <w:lvl w:ilvl="0" w:tplc="B0D21B2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2465A01"/>
    <w:multiLevelType w:val="hybridMultilevel"/>
    <w:tmpl w:val="23C80A2C"/>
    <w:lvl w:ilvl="0" w:tplc="0C090001">
      <w:start w:val="1"/>
      <w:numFmt w:val="bullet"/>
      <w:lvlText w:val=""/>
      <w:lvlJc w:val="left"/>
      <w:pPr>
        <w:ind w:left="1083" w:hanging="360"/>
      </w:pPr>
      <w:rPr>
        <w:rFonts w:ascii="Symbol" w:hAnsi="Symbol" w:hint="default"/>
      </w:rPr>
    </w:lvl>
    <w:lvl w:ilvl="1" w:tplc="0C090003" w:tentative="1">
      <w:start w:val="1"/>
      <w:numFmt w:val="bullet"/>
      <w:lvlText w:val="o"/>
      <w:lvlJc w:val="left"/>
      <w:pPr>
        <w:ind w:left="1803" w:hanging="360"/>
      </w:pPr>
      <w:rPr>
        <w:rFonts w:ascii="Courier New" w:hAnsi="Courier New" w:cs="Courier New" w:hint="default"/>
      </w:rPr>
    </w:lvl>
    <w:lvl w:ilvl="2" w:tplc="0C090005" w:tentative="1">
      <w:start w:val="1"/>
      <w:numFmt w:val="bullet"/>
      <w:lvlText w:val=""/>
      <w:lvlJc w:val="left"/>
      <w:pPr>
        <w:ind w:left="2523" w:hanging="360"/>
      </w:pPr>
      <w:rPr>
        <w:rFonts w:ascii="Wingdings" w:hAnsi="Wingdings" w:hint="default"/>
      </w:rPr>
    </w:lvl>
    <w:lvl w:ilvl="3" w:tplc="0C090001" w:tentative="1">
      <w:start w:val="1"/>
      <w:numFmt w:val="bullet"/>
      <w:lvlText w:val=""/>
      <w:lvlJc w:val="left"/>
      <w:pPr>
        <w:ind w:left="3243" w:hanging="360"/>
      </w:pPr>
      <w:rPr>
        <w:rFonts w:ascii="Symbol" w:hAnsi="Symbol" w:hint="default"/>
      </w:rPr>
    </w:lvl>
    <w:lvl w:ilvl="4" w:tplc="0C090003" w:tentative="1">
      <w:start w:val="1"/>
      <w:numFmt w:val="bullet"/>
      <w:lvlText w:val="o"/>
      <w:lvlJc w:val="left"/>
      <w:pPr>
        <w:ind w:left="3963" w:hanging="360"/>
      </w:pPr>
      <w:rPr>
        <w:rFonts w:ascii="Courier New" w:hAnsi="Courier New" w:cs="Courier New" w:hint="default"/>
      </w:rPr>
    </w:lvl>
    <w:lvl w:ilvl="5" w:tplc="0C090005" w:tentative="1">
      <w:start w:val="1"/>
      <w:numFmt w:val="bullet"/>
      <w:lvlText w:val=""/>
      <w:lvlJc w:val="left"/>
      <w:pPr>
        <w:ind w:left="4683" w:hanging="360"/>
      </w:pPr>
      <w:rPr>
        <w:rFonts w:ascii="Wingdings" w:hAnsi="Wingdings" w:hint="default"/>
      </w:rPr>
    </w:lvl>
    <w:lvl w:ilvl="6" w:tplc="0C090001" w:tentative="1">
      <w:start w:val="1"/>
      <w:numFmt w:val="bullet"/>
      <w:lvlText w:val=""/>
      <w:lvlJc w:val="left"/>
      <w:pPr>
        <w:ind w:left="5403" w:hanging="360"/>
      </w:pPr>
      <w:rPr>
        <w:rFonts w:ascii="Symbol" w:hAnsi="Symbol" w:hint="default"/>
      </w:rPr>
    </w:lvl>
    <w:lvl w:ilvl="7" w:tplc="0C090003" w:tentative="1">
      <w:start w:val="1"/>
      <w:numFmt w:val="bullet"/>
      <w:lvlText w:val="o"/>
      <w:lvlJc w:val="left"/>
      <w:pPr>
        <w:ind w:left="6123" w:hanging="360"/>
      </w:pPr>
      <w:rPr>
        <w:rFonts w:ascii="Courier New" w:hAnsi="Courier New" w:cs="Courier New" w:hint="default"/>
      </w:rPr>
    </w:lvl>
    <w:lvl w:ilvl="8" w:tplc="0C090005" w:tentative="1">
      <w:start w:val="1"/>
      <w:numFmt w:val="bullet"/>
      <w:lvlText w:val=""/>
      <w:lvlJc w:val="left"/>
      <w:pPr>
        <w:ind w:left="6843" w:hanging="360"/>
      </w:pPr>
      <w:rPr>
        <w:rFonts w:ascii="Wingdings" w:hAnsi="Wingdings" w:hint="default"/>
      </w:rPr>
    </w:lvl>
  </w:abstractNum>
  <w:abstractNum w:abstractNumId="4" w15:restartNumberingAfterBreak="0">
    <w:nsid w:val="0478101B"/>
    <w:multiLevelType w:val="multilevel"/>
    <w:tmpl w:val="25AA4088"/>
    <w:lvl w:ilvl="0">
      <w:start w:val="1"/>
      <w:numFmt w:val="upperRoman"/>
      <w:lvlText w:val="Section %1"/>
      <w:lvlJc w:val="left"/>
      <w:pPr>
        <w:ind w:left="0" w:firstLine="0"/>
      </w:pPr>
    </w:lvl>
    <w:lvl w:ilvl="1">
      <w:start w:val="1"/>
      <w:numFmt w:val="decimal"/>
      <w:lvlText w:val="%1.%2"/>
      <w:lvlJc w:val="left"/>
      <w:pPr>
        <w:ind w:left="576" w:hanging="576"/>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590275C"/>
    <w:multiLevelType w:val="multilevel"/>
    <w:tmpl w:val="4B9E489A"/>
    <w:lvl w:ilvl="0">
      <w:start w:val="1"/>
      <w:numFmt w:val="decimal"/>
      <w:lvlText w:val="%1."/>
      <w:lvlJc w:val="left"/>
      <w:pPr>
        <w:ind w:left="720" w:hanging="360"/>
      </w:pPr>
      <w:rPr>
        <w:b w:val="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5DF6203"/>
    <w:multiLevelType w:val="hybridMultilevel"/>
    <w:tmpl w:val="BFE897D4"/>
    <w:lvl w:ilvl="0" w:tplc="A99C670E">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5E840C4"/>
    <w:multiLevelType w:val="hybridMultilevel"/>
    <w:tmpl w:val="D37835DA"/>
    <w:lvl w:ilvl="0" w:tplc="489CEA5A">
      <w:start w:val="3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AB225D"/>
    <w:multiLevelType w:val="hybridMultilevel"/>
    <w:tmpl w:val="0E5663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AF912DA"/>
    <w:multiLevelType w:val="multilevel"/>
    <w:tmpl w:val="E6C23F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C750F55"/>
    <w:multiLevelType w:val="hybridMultilevel"/>
    <w:tmpl w:val="ACAA7C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C447B8"/>
    <w:multiLevelType w:val="hybridMultilevel"/>
    <w:tmpl w:val="3B629EF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DF2281A"/>
    <w:multiLevelType w:val="hybridMultilevel"/>
    <w:tmpl w:val="2F9CE0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CB40F4"/>
    <w:multiLevelType w:val="hybridMultilevel"/>
    <w:tmpl w:val="0ABC2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EFF7AFA"/>
    <w:multiLevelType w:val="hybridMultilevel"/>
    <w:tmpl w:val="44F6F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0FF40FF"/>
    <w:multiLevelType w:val="hybridMultilevel"/>
    <w:tmpl w:val="553EA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3F563E1"/>
    <w:multiLevelType w:val="hybridMultilevel"/>
    <w:tmpl w:val="E12E43A2"/>
    <w:lvl w:ilvl="0" w:tplc="DA86D176">
      <w:start w:val="2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5E354FF"/>
    <w:multiLevelType w:val="hybridMultilevel"/>
    <w:tmpl w:val="13E6B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6382A16"/>
    <w:multiLevelType w:val="hybridMultilevel"/>
    <w:tmpl w:val="AD24D9FA"/>
    <w:lvl w:ilvl="0" w:tplc="60480D80">
      <w:start w:val="2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8CB5FB3"/>
    <w:multiLevelType w:val="hybridMultilevel"/>
    <w:tmpl w:val="2340CE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19144704"/>
    <w:multiLevelType w:val="hybridMultilevel"/>
    <w:tmpl w:val="D9EE0B5C"/>
    <w:lvl w:ilvl="0" w:tplc="0C090001">
      <w:start w:val="1"/>
      <w:numFmt w:val="bullet"/>
      <w:lvlText w:val=""/>
      <w:lvlJc w:val="left"/>
      <w:pPr>
        <w:ind w:left="720" w:hanging="360"/>
      </w:pPr>
      <w:rPr>
        <w:rFonts w:ascii="Symbol" w:hAnsi="Symbol" w:hint="default"/>
      </w:rPr>
    </w:lvl>
    <w:lvl w:ilvl="1" w:tplc="03B8225A">
      <w:numFmt w:val="bullet"/>
      <w:lvlText w:val="•"/>
      <w:lvlJc w:val="left"/>
      <w:pPr>
        <w:ind w:left="1800" w:hanging="720"/>
      </w:pPr>
      <w:rPr>
        <w:rFonts w:ascii="Calibri" w:eastAsiaTheme="minorHAnsi" w:hAnsi="Calibri"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96B6429"/>
    <w:multiLevelType w:val="hybridMultilevel"/>
    <w:tmpl w:val="942273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A14270E"/>
    <w:multiLevelType w:val="hybridMultilevel"/>
    <w:tmpl w:val="1784A9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A915486"/>
    <w:multiLevelType w:val="hybridMultilevel"/>
    <w:tmpl w:val="F4B2DECC"/>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BEE23D3"/>
    <w:multiLevelType w:val="hybridMultilevel"/>
    <w:tmpl w:val="41803EF0"/>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1D882518"/>
    <w:multiLevelType w:val="hybridMultilevel"/>
    <w:tmpl w:val="8ACE61CA"/>
    <w:lvl w:ilvl="0" w:tplc="04090003">
      <w:start w:val="1"/>
      <w:numFmt w:val="bullet"/>
      <w:lvlText w:val="o"/>
      <w:lvlJc w:val="left"/>
      <w:pPr>
        <w:ind w:left="900" w:hanging="360"/>
      </w:pPr>
      <w:rPr>
        <w:rFonts w:ascii="Courier New" w:hAnsi="Courier New" w:cs="Courier New" w:hint="default"/>
      </w:rPr>
    </w:lvl>
    <w:lvl w:ilvl="1" w:tplc="04090003">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 w15:restartNumberingAfterBreak="0">
    <w:nsid w:val="1DC83115"/>
    <w:multiLevelType w:val="hybridMultilevel"/>
    <w:tmpl w:val="8122710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3">
      <w:start w:val="1"/>
      <w:numFmt w:val="bullet"/>
      <w:lvlText w:val="o"/>
      <w:lvlJc w:val="left"/>
      <w:pPr>
        <w:ind w:left="108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1E2F1D03"/>
    <w:multiLevelType w:val="multilevel"/>
    <w:tmpl w:val="64962D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1E611A9E"/>
    <w:multiLevelType w:val="hybridMultilevel"/>
    <w:tmpl w:val="A33474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1EB65796"/>
    <w:multiLevelType w:val="hybridMultilevel"/>
    <w:tmpl w:val="ED80FF44"/>
    <w:lvl w:ilvl="0" w:tplc="B7FAA9C8">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1F094B07"/>
    <w:multiLevelType w:val="hybridMultilevel"/>
    <w:tmpl w:val="0406A22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1FFE0786"/>
    <w:multiLevelType w:val="hybridMultilevel"/>
    <w:tmpl w:val="BB0A19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1091B65"/>
    <w:multiLevelType w:val="hybridMultilevel"/>
    <w:tmpl w:val="5DC22E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60D01D0"/>
    <w:multiLevelType w:val="hybridMultilevel"/>
    <w:tmpl w:val="5E96176A"/>
    <w:lvl w:ilvl="0" w:tplc="B7FAA9C8">
      <w:numFmt w:val="bullet"/>
      <w:lvlText w:val="•"/>
      <w:lvlJc w:val="left"/>
      <w:pPr>
        <w:ind w:left="1440" w:hanging="720"/>
      </w:pPr>
      <w:rPr>
        <w:rFonts w:ascii="Calibri" w:eastAsiaTheme="minorHAnsi" w:hAnsi="Calibri"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26B93CB9"/>
    <w:multiLevelType w:val="multilevel"/>
    <w:tmpl w:val="710088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27CB5FE6"/>
    <w:multiLevelType w:val="hybridMultilevel"/>
    <w:tmpl w:val="845E7C8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29AA1FFF"/>
    <w:multiLevelType w:val="hybridMultilevel"/>
    <w:tmpl w:val="71007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2A744C84"/>
    <w:multiLevelType w:val="hybridMultilevel"/>
    <w:tmpl w:val="4FAC08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2AA376CE"/>
    <w:multiLevelType w:val="hybridMultilevel"/>
    <w:tmpl w:val="0F8A73FC"/>
    <w:lvl w:ilvl="0" w:tplc="26840460">
      <w:start w:val="2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B3A0BF0"/>
    <w:multiLevelType w:val="multilevel"/>
    <w:tmpl w:val="3B0A79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2CE62DAC"/>
    <w:multiLevelType w:val="multilevel"/>
    <w:tmpl w:val="C750D3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2D9D23CF"/>
    <w:multiLevelType w:val="hybridMultilevel"/>
    <w:tmpl w:val="C64CDA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3035127B"/>
    <w:multiLevelType w:val="hybridMultilevel"/>
    <w:tmpl w:val="B6903F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304A3F96"/>
    <w:multiLevelType w:val="hybridMultilevel"/>
    <w:tmpl w:val="44FE12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320112C9"/>
    <w:multiLevelType w:val="hybridMultilevel"/>
    <w:tmpl w:val="DC1E2E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320E6F7F"/>
    <w:multiLevelType w:val="hybridMultilevel"/>
    <w:tmpl w:val="39D27A36"/>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3475256F"/>
    <w:multiLevelType w:val="hybridMultilevel"/>
    <w:tmpl w:val="B4B882EC"/>
    <w:lvl w:ilvl="0" w:tplc="7A5A632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35681F44"/>
    <w:multiLevelType w:val="hybridMultilevel"/>
    <w:tmpl w:val="07F81898"/>
    <w:lvl w:ilvl="0" w:tplc="9716ABBE">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36C97FF3"/>
    <w:multiLevelType w:val="multilevel"/>
    <w:tmpl w:val="C2245836"/>
    <w:lvl w:ilvl="0">
      <w:start w:val="1"/>
      <w:numFmt w:val="upperRoman"/>
      <w:lvlText w:val="Section %1"/>
      <w:lvlJc w:val="left"/>
      <w:pPr>
        <w:ind w:left="0" w:firstLine="0"/>
      </w:pPr>
    </w:lvl>
    <w:lvl w:ilvl="1">
      <w:start w:val="1"/>
      <w:numFmt w:val="decimal"/>
      <w:lvlText w:val="%1.%2"/>
      <w:lvlJc w:val="left"/>
      <w:pPr>
        <w:ind w:left="576" w:hanging="576"/>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38BC45A5"/>
    <w:multiLevelType w:val="hybridMultilevel"/>
    <w:tmpl w:val="302EB6F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3E5C1630"/>
    <w:multiLevelType w:val="hybridMultilevel"/>
    <w:tmpl w:val="BA5254F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15:restartNumberingAfterBreak="0">
    <w:nsid w:val="3E78321A"/>
    <w:multiLevelType w:val="hybridMultilevel"/>
    <w:tmpl w:val="84481D0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40BC1B40"/>
    <w:multiLevelType w:val="hybridMultilevel"/>
    <w:tmpl w:val="25CEC90A"/>
    <w:lvl w:ilvl="0" w:tplc="0C09000F">
      <w:start w:val="1"/>
      <w:numFmt w:val="decimal"/>
      <w:lvlText w:val="%1."/>
      <w:lvlJc w:val="left"/>
      <w:pPr>
        <w:ind w:left="6" w:hanging="360"/>
      </w:p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53" w15:restartNumberingAfterBreak="0">
    <w:nsid w:val="43665916"/>
    <w:multiLevelType w:val="hybridMultilevel"/>
    <w:tmpl w:val="D3E200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444A09EC"/>
    <w:multiLevelType w:val="hybridMultilevel"/>
    <w:tmpl w:val="A866F1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46F9093E"/>
    <w:multiLevelType w:val="hybridMultilevel"/>
    <w:tmpl w:val="888E2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76F2A85"/>
    <w:multiLevelType w:val="hybridMultilevel"/>
    <w:tmpl w:val="ECBC881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47AB2715"/>
    <w:multiLevelType w:val="hybridMultilevel"/>
    <w:tmpl w:val="1646DC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8D379B5"/>
    <w:multiLevelType w:val="hybridMultilevel"/>
    <w:tmpl w:val="EA8212FE"/>
    <w:lvl w:ilvl="0" w:tplc="5F2EBEA0">
      <w:start w:val="3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9D82714"/>
    <w:multiLevelType w:val="hybridMultilevel"/>
    <w:tmpl w:val="A246061A"/>
    <w:lvl w:ilvl="0" w:tplc="1842F806">
      <w:start w:val="1"/>
      <w:numFmt w:val="upperLetter"/>
      <w:lvlText w:val="%1."/>
      <w:lvlJc w:val="left"/>
      <w:pPr>
        <w:ind w:left="1074" w:hanging="360"/>
      </w:pPr>
      <w:rPr>
        <w:rFonts w:hint="default"/>
      </w:rPr>
    </w:lvl>
    <w:lvl w:ilvl="1" w:tplc="0C090019">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60" w15:restartNumberingAfterBreak="0">
    <w:nsid w:val="49F0454F"/>
    <w:multiLevelType w:val="hybridMultilevel"/>
    <w:tmpl w:val="57C21D02"/>
    <w:lvl w:ilvl="0" w:tplc="EFB0C322">
      <w:start w:val="37"/>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BF542D0"/>
    <w:multiLevelType w:val="hybridMultilevel"/>
    <w:tmpl w:val="D8C46400"/>
    <w:lvl w:ilvl="0" w:tplc="DC7404CE">
      <w:start w:val="2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4CA93CD9"/>
    <w:multiLevelType w:val="multilevel"/>
    <w:tmpl w:val="1472DAB6"/>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4DF6202A"/>
    <w:multiLevelType w:val="hybridMultilevel"/>
    <w:tmpl w:val="475865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4F8D2931"/>
    <w:multiLevelType w:val="hybridMultilevel"/>
    <w:tmpl w:val="F09AD5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4FCB77DA"/>
    <w:multiLevelType w:val="hybridMultilevel"/>
    <w:tmpl w:val="03F40BA2"/>
    <w:lvl w:ilvl="0" w:tplc="8E3C3D2A">
      <w:start w:val="169"/>
      <w:numFmt w:val="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52717558"/>
    <w:multiLevelType w:val="hybridMultilevel"/>
    <w:tmpl w:val="11460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557F21F7"/>
    <w:multiLevelType w:val="multilevel"/>
    <w:tmpl w:val="8E56E116"/>
    <w:lvl w:ilvl="0">
      <w:start w:val="1"/>
      <w:numFmt w:val="upperRoman"/>
      <w:lvlText w:val="Section %1"/>
      <w:lvlJc w:val="left"/>
      <w:pPr>
        <w:ind w:left="0" w:firstLine="0"/>
      </w:pPr>
    </w:lvl>
    <w:lvl w:ilvl="1">
      <w:start w:val="1"/>
      <w:numFmt w:val="decimal"/>
      <w:lvlText w:val="%1.%2"/>
      <w:lvlJc w:val="left"/>
      <w:pPr>
        <w:ind w:left="576" w:hanging="576"/>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558A4EE6"/>
    <w:multiLevelType w:val="hybridMultilevel"/>
    <w:tmpl w:val="1CD8D62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7EC3059"/>
    <w:multiLevelType w:val="hybridMultilevel"/>
    <w:tmpl w:val="A246061A"/>
    <w:lvl w:ilvl="0" w:tplc="1842F806">
      <w:start w:val="1"/>
      <w:numFmt w:val="upperLetter"/>
      <w:lvlText w:val="%1."/>
      <w:lvlJc w:val="left"/>
      <w:pPr>
        <w:ind w:left="1074" w:hanging="360"/>
      </w:pPr>
      <w:rPr>
        <w:rFonts w:hint="default"/>
      </w:rPr>
    </w:lvl>
    <w:lvl w:ilvl="1" w:tplc="0C090019">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70" w15:restartNumberingAfterBreak="0">
    <w:nsid w:val="5972427F"/>
    <w:multiLevelType w:val="hybridMultilevel"/>
    <w:tmpl w:val="746A91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1" w15:restartNumberingAfterBreak="0">
    <w:nsid w:val="5AF41996"/>
    <w:multiLevelType w:val="hybridMultilevel"/>
    <w:tmpl w:val="72B633B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2" w15:restartNumberingAfterBreak="0">
    <w:nsid w:val="5B9A634C"/>
    <w:multiLevelType w:val="multilevel"/>
    <w:tmpl w:val="3C1E95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15:restartNumberingAfterBreak="0">
    <w:nsid w:val="5CAA30E3"/>
    <w:multiLevelType w:val="hybridMultilevel"/>
    <w:tmpl w:val="3E0EF12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hint="default"/>
      </w:rPr>
    </w:lvl>
    <w:lvl w:ilvl="2" w:tplc="04090003">
      <w:start w:val="1"/>
      <w:numFmt w:val="bullet"/>
      <w:lvlText w:val="o"/>
      <w:lvlJc w:val="left"/>
      <w:pPr>
        <w:ind w:left="1080" w:hanging="360"/>
      </w:pPr>
      <w:rPr>
        <w:rFonts w:ascii="Courier New" w:hAnsi="Courier New" w:cs="Courier New"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4" w15:restartNumberingAfterBreak="0">
    <w:nsid w:val="5D025CB3"/>
    <w:multiLevelType w:val="hybridMultilevel"/>
    <w:tmpl w:val="35AC4F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60AC70AE"/>
    <w:multiLevelType w:val="hybridMultilevel"/>
    <w:tmpl w:val="199AA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61066704"/>
    <w:multiLevelType w:val="hybridMultilevel"/>
    <w:tmpl w:val="50542A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62E23D31"/>
    <w:multiLevelType w:val="hybridMultilevel"/>
    <w:tmpl w:val="79449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650363D3"/>
    <w:multiLevelType w:val="hybridMultilevel"/>
    <w:tmpl w:val="E8B28A7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678236E2"/>
    <w:multiLevelType w:val="hybridMultilevel"/>
    <w:tmpl w:val="9B768FEA"/>
    <w:lvl w:ilvl="0" w:tplc="F5DA5EA8">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68CC1536"/>
    <w:multiLevelType w:val="hybridMultilevel"/>
    <w:tmpl w:val="FD2C34EC"/>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69D9041F"/>
    <w:multiLevelType w:val="hybridMultilevel"/>
    <w:tmpl w:val="B5EEE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AF91423"/>
    <w:multiLevelType w:val="hybridMultilevel"/>
    <w:tmpl w:val="4C860C4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6D0057A7"/>
    <w:multiLevelType w:val="hybridMultilevel"/>
    <w:tmpl w:val="D9C4F83A"/>
    <w:lvl w:ilvl="0" w:tplc="04090003">
      <w:start w:val="1"/>
      <w:numFmt w:val="bullet"/>
      <w:lvlText w:val="o"/>
      <w:lvlJc w:val="left"/>
      <w:pPr>
        <w:ind w:left="900" w:hanging="360"/>
      </w:pPr>
      <w:rPr>
        <w:rFonts w:ascii="Courier New" w:hAnsi="Courier New" w:cs="Courier New" w:hint="default"/>
      </w:rPr>
    </w:lvl>
    <w:lvl w:ilvl="1" w:tplc="04090005">
      <w:start w:val="1"/>
      <w:numFmt w:val="bullet"/>
      <w:lvlText w:val=""/>
      <w:lvlJc w:val="left"/>
      <w:pPr>
        <w:ind w:left="1620" w:hanging="360"/>
      </w:pPr>
      <w:rPr>
        <w:rFonts w:ascii="Wingdings" w:hAnsi="Wingdings"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4" w15:restartNumberingAfterBreak="0">
    <w:nsid w:val="6D7D3674"/>
    <w:multiLevelType w:val="hybridMultilevel"/>
    <w:tmpl w:val="7D1871AA"/>
    <w:lvl w:ilvl="0" w:tplc="1F7A048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DAB7E32"/>
    <w:multiLevelType w:val="hybridMultilevel"/>
    <w:tmpl w:val="3E5810B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6DEE0A5B"/>
    <w:multiLevelType w:val="hybridMultilevel"/>
    <w:tmpl w:val="D1820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6F49241A"/>
    <w:multiLevelType w:val="hybridMultilevel"/>
    <w:tmpl w:val="DDFEE320"/>
    <w:lvl w:ilvl="0" w:tplc="DB8C0AC0">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8" w15:restartNumberingAfterBreak="0">
    <w:nsid w:val="711D28C7"/>
    <w:multiLevelType w:val="hybridMultilevel"/>
    <w:tmpl w:val="2D7C5B5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71AE7740"/>
    <w:multiLevelType w:val="hybridMultilevel"/>
    <w:tmpl w:val="3C88B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1E47961"/>
    <w:multiLevelType w:val="multilevel"/>
    <w:tmpl w:val="8D56851A"/>
    <w:lvl w:ilvl="0">
      <w:start w:val="1"/>
      <w:numFmt w:val="decimal"/>
      <w:lvlText w:val="%1."/>
      <w:lvlJc w:val="left"/>
      <w:pPr>
        <w:ind w:left="720" w:hanging="360"/>
      </w:pPr>
      <w:rPr>
        <w:rFonts w:ascii="Calibri" w:eastAsia="Calibri" w:hAnsi="Calibri" w:cs="Calibri"/>
        <w:b w:val="0"/>
        <w:sz w:val="22"/>
        <w:szCs w:val="22"/>
      </w:rPr>
    </w:lvl>
    <w:lvl w:ilvl="1">
      <w:start w:val="1"/>
      <w:numFmt w:val="lowerLetter"/>
      <w:lvlText w:val="%2."/>
      <w:lvlJc w:val="left"/>
      <w:pPr>
        <w:ind w:left="1440" w:hanging="360"/>
      </w:pPr>
      <w:rPr>
        <w:b w:val="0"/>
        <w:i w:val="0"/>
      </w:rPr>
    </w:lvl>
    <w:lvl w:ilvl="2">
      <w:start w:val="1"/>
      <w:numFmt w:val="lowerRoman"/>
      <w:lvlText w:val="%3."/>
      <w:lvlJc w:val="right"/>
      <w:pPr>
        <w:ind w:left="2160" w:hanging="360"/>
      </w:pPr>
      <w:rPr>
        <w:rFonts w:ascii="Noto Sans Symbols" w:eastAsia="Noto Sans Symbols" w:hAnsi="Noto Sans Symbols" w:cs="Noto Sans Symbols"/>
        <w:sz w:val="20"/>
        <w:szCs w:val="20"/>
      </w:rPr>
    </w:lvl>
    <w:lvl w:ilvl="3">
      <w:start w:val="1"/>
      <w:numFmt w:val="decimal"/>
      <w:lvlText w:val="%4."/>
      <w:lvlJc w:val="left"/>
      <w:pPr>
        <w:ind w:left="2880" w:hanging="360"/>
      </w:pPr>
    </w:lvl>
    <w:lvl w:ilvl="4">
      <w:start w:val="1"/>
      <w:numFmt w:val="lowerLetter"/>
      <w:lvlText w:val="%5."/>
      <w:lvlJc w:val="left"/>
      <w:pPr>
        <w:ind w:left="3600" w:hanging="360"/>
      </w:pPr>
      <w:rPr>
        <w:rFonts w:ascii="Noto Sans Symbols" w:eastAsia="Noto Sans Symbols" w:hAnsi="Noto Sans Symbols" w:cs="Noto Sans Symbols"/>
        <w:sz w:val="20"/>
        <w:szCs w:val="20"/>
      </w:rPr>
    </w:lvl>
    <w:lvl w:ilvl="5">
      <w:start w:val="1"/>
      <w:numFmt w:val="lowerRoman"/>
      <w:lvlText w:val="%6."/>
      <w:lvlJc w:val="right"/>
      <w:pPr>
        <w:ind w:left="4680" w:hanging="720"/>
      </w:pPr>
    </w:lvl>
    <w:lvl w:ilvl="6">
      <w:start w:val="1"/>
      <w:numFmt w:val="decimal"/>
      <w:lvlText w:val="%7."/>
      <w:lvlJc w:val="left"/>
      <w:pPr>
        <w:ind w:left="5040" w:hanging="360"/>
      </w:pPr>
      <w:rPr>
        <w:rFonts w:ascii="Noto Sans Symbols" w:eastAsia="Noto Sans Symbols" w:hAnsi="Noto Sans Symbols" w:cs="Noto Sans Symbols"/>
        <w:sz w:val="20"/>
        <w:szCs w:val="20"/>
      </w:rPr>
    </w:lvl>
    <w:lvl w:ilvl="7">
      <w:start w:val="1"/>
      <w:numFmt w:val="lowerLetter"/>
      <w:lvlText w:val="%8."/>
      <w:lvlJc w:val="left"/>
      <w:pPr>
        <w:ind w:left="5760" w:hanging="360"/>
      </w:pPr>
      <w:rPr>
        <w:rFonts w:ascii="Noto Sans Symbols" w:eastAsia="Noto Sans Symbols" w:hAnsi="Noto Sans Symbols" w:cs="Noto Sans Symbols"/>
        <w:sz w:val="20"/>
        <w:szCs w:val="20"/>
      </w:rPr>
    </w:lvl>
    <w:lvl w:ilvl="8">
      <w:start w:val="1"/>
      <w:numFmt w:val="lowerRoman"/>
      <w:lvlText w:val="%9."/>
      <w:lvlJc w:val="right"/>
      <w:pPr>
        <w:ind w:left="6480" w:hanging="360"/>
      </w:pPr>
      <w:rPr>
        <w:rFonts w:ascii="Noto Sans Symbols" w:eastAsia="Noto Sans Symbols" w:hAnsi="Noto Sans Symbols" w:cs="Noto Sans Symbols"/>
        <w:sz w:val="20"/>
        <w:szCs w:val="20"/>
      </w:rPr>
    </w:lvl>
  </w:abstractNum>
  <w:abstractNum w:abstractNumId="91" w15:restartNumberingAfterBreak="0">
    <w:nsid w:val="730F4C5C"/>
    <w:multiLevelType w:val="hybridMultilevel"/>
    <w:tmpl w:val="563E1A9C"/>
    <w:lvl w:ilvl="0" w:tplc="2D6040FE">
      <w:start w:val="38"/>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30F6287"/>
    <w:multiLevelType w:val="multilevel"/>
    <w:tmpl w:val="1E6EA6F6"/>
    <w:lvl w:ilvl="0">
      <w:start w:val="1"/>
      <w:numFmt w:val="bullet"/>
      <w:lvlText w:val="●"/>
      <w:lvlJc w:val="left"/>
      <w:pPr>
        <w:ind w:left="720" w:hanging="360"/>
      </w:pPr>
      <w:rPr>
        <w:u w:val="none"/>
      </w:rPr>
    </w:lvl>
    <w:lvl w:ilvl="1">
      <w:start w:val="1"/>
      <w:numFmt w:val="lowerLetter"/>
      <w:lvlText w:val="%2."/>
      <w:lvlJc w:val="left"/>
      <w:pPr>
        <w:ind w:left="1440" w:hanging="360"/>
      </w:pPr>
      <w:rPr>
        <w:i/>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3" w15:restartNumberingAfterBreak="0">
    <w:nsid w:val="7389138E"/>
    <w:multiLevelType w:val="multilevel"/>
    <w:tmpl w:val="EBB065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 w15:restartNumberingAfterBreak="0">
    <w:nsid w:val="73B656EA"/>
    <w:multiLevelType w:val="hybridMultilevel"/>
    <w:tmpl w:val="544E904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hint="default"/>
      </w:rPr>
    </w:lvl>
    <w:lvl w:ilvl="2" w:tplc="04090003">
      <w:start w:val="1"/>
      <w:numFmt w:val="bullet"/>
      <w:lvlText w:val="o"/>
      <w:lvlJc w:val="left"/>
      <w:pPr>
        <w:ind w:left="1080" w:hanging="360"/>
      </w:pPr>
      <w:rPr>
        <w:rFonts w:ascii="Courier New" w:hAnsi="Courier New" w:cs="Courier New"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5" w15:restartNumberingAfterBreak="0">
    <w:nsid w:val="741B7B3C"/>
    <w:multiLevelType w:val="hybridMultilevel"/>
    <w:tmpl w:val="1904050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4A2425B"/>
    <w:multiLevelType w:val="hybridMultilevel"/>
    <w:tmpl w:val="AF72133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7" w15:restartNumberingAfterBreak="0">
    <w:nsid w:val="75D953D6"/>
    <w:multiLevelType w:val="hybridMultilevel"/>
    <w:tmpl w:val="E3BC264C"/>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8" w15:restartNumberingAfterBreak="0">
    <w:nsid w:val="76FF69FB"/>
    <w:multiLevelType w:val="hybridMultilevel"/>
    <w:tmpl w:val="13BA0C3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7760622D"/>
    <w:multiLevelType w:val="hybridMultilevel"/>
    <w:tmpl w:val="6658C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782753BC"/>
    <w:multiLevelType w:val="hybridMultilevel"/>
    <w:tmpl w:val="56624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793A0ACA"/>
    <w:multiLevelType w:val="hybridMultilevel"/>
    <w:tmpl w:val="4C9A4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CC60F74"/>
    <w:multiLevelType w:val="hybridMultilevel"/>
    <w:tmpl w:val="2CBA2F66"/>
    <w:lvl w:ilvl="0" w:tplc="E3AE4AD4">
      <w:start w:val="39"/>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F39009F"/>
    <w:multiLevelType w:val="multilevel"/>
    <w:tmpl w:val="279E47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4"/>
  </w:num>
  <w:num w:numId="2">
    <w:abstractNumId w:val="36"/>
  </w:num>
  <w:num w:numId="3">
    <w:abstractNumId w:val="44"/>
  </w:num>
  <w:num w:numId="4">
    <w:abstractNumId w:val="20"/>
  </w:num>
  <w:num w:numId="5">
    <w:abstractNumId w:val="77"/>
  </w:num>
  <w:num w:numId="6">
    <w:abstractNumId w:val="75"/>
  </w:num>
  <w:num w:numId="7">
    <w:abstractNumId w:val="53"/>
  </w:num>
  <w:num w:numId="8">
    <w:abstractNumId w:val="42"/>
  </w:num>
  <w:num w:numId="9">
    <w:abstractNumId w:val="63"/>
  </w:num>
  <w:num w:numId="10">
    <w:abstractNumId w:val="32"/>
  </w:num>
  <w:num w:numId="11">
    <w:abstractNumId w:val="8"/>
  </w:num>
  <w:num w:numId="12">
    <w:abstractNumId w:val="46"/>
  </w:num>
  <w:num w:numId="13">
    <w:abstractNumId w:val="2"/>
  </w:num>
  <w:num w:numId="14">
    <w:abstractNumId w:val="86"/>
  </w:num>
  <w:num w:numId="15">
    <w:abstractNumId w:val="13"/>
  </w:num>
  <w:num w:numId="16">
    <w:abstractNumId w:val="100"/>
  </w:num>
  <w:num w:numId="17">
    <w:abstractNumId w:val="23"/>
  </w:num>
  <w:num w:numId="18">
    <w:abstractNumId w:val="6"/>
  </w:num>
  <w:num w:numId="19">
    <w:abstractNumId w:val="79"/>
  </w:num>
  <w:num w:numId="20">
    <w:abstractNumId w:val="22"/>
  </w:num>
  <w:num w:numId="21">
    <w:abstractNumId w:val="74"/>
  </w:num>
  <w:num w:numId="22">
    <w:abstractNumId w:val="66"/>
  </w:num>
  <w:num w:numId="23">
    <w:abstractNumId w:val="50"/>
  </w:num>
  <w:num w:numId="24">
    <w:abstractNumId w:val="96"/>
  </w:num>
  <w:num w:numId="25">
    <w:abstractNumId w:val="0"/>
  </w:num>
  <w:num w:numId="26">
    <w:abstractNumId w:val="45"/>
  </w:num>
  <w:num w:numId="27">
    <w:abstractNumId w:val="3"/>
  </w:num>
  <w:num w:numId="28">
    <w:abstractNumId w:val="24"/>
  </w:num>
  <w:num w:numId="29">
    <w:abstractNumId w:val="52"/>
  </w:num>
  <w:num w:numId="30">
    <w:abstractNumId w:val="76"/>
  </w:num>
  <w:num w:numId="31">
    <w:abstractNumId w:val="14"/>
  </w:num>
  <w:num w:numId="32">
    <w:abstractNumId w:val="90"/>
  </w:num>
  <w:num w:numId="33">
    <w:abstractNumId w:val="62"/>
  </w:num>
  <w:num w:numId="34">
    <w:abstractNumId w:val="4"/>
  </w:num>
  <w:num w:numId="35">
    <w:abstractNumId w:val="5"/>
  </w:num>
  <w:num w:numId="36">
    <w:abstractNumId w:val="84"/>
  </w:num>
  <w:num w:numId="37">
    <w:abstractNumId w:val="81"/>
  </w:num>
  <w:num w:numId="38">
    <w:abstractNumId w:val="25"/>
  </w:num>
  <w:num w:numId="39">
    <w:abstractNumId w:val="89"/>
  </w:num>
  <w:num w:numId="40">
    <w:abstractNumId w:val="97"/>
  </w:num>
  <w:num w:numId="41">
    <w:abstractNumId w:val="83"/>
  </w:num>
  <w:num w:numId="42">
    <w:abstractNumId w:val="67"/>
  </w:num>
  <w:num w:numId="43">
    <w:abstractNumId w:val="37"/>
  </w:num>
  <w:num w:numId="44">
    <w:abstractNumId w:val="85"/>
  </w:num>
  <w:num w:numId="45">
    <w:abstractNumId w:val="82"/>
  </w:num>
  <w:num w:numId="46">
    <w:abstractNumId w:val="88"/>
  </w:num>
  <w:num w:numId="47">
    <w:abstractNumId w:val="11"/>
  </w:num>
  <w:num w:numId="48">
    <w:abstractNumId w:val="51"/>
  </w:num>
  <w:num w:numId="49">
    <w:abstractNumId w:val="78"/>
  </w:num>
  <w:num w:numId="50">
    <w:abstractNumId w:val="30"/>
  </w:num>
  <w:num w:numId="51">
    <w:abstractNumId w:val="98"/>
  </w:num>
  <w:num w:numId="52">
    <w:abstractNumId w:val="49"/>
  </w:num>
  <w:num w:numId="53">
    <w:abstractNumId w:val="35"/>
  </w:num>
  <w:num w:numId="54">
    <w:abstractNumId w:val="48"/>
  </w:num>
  <w:num w:numId="55">
    <w:abstractNumId w:val="12"/>
  </w:num>
  <w:num w:numId="56">
    <w:abstractNumId w:val="15"/>
  </w:num>
  <w:num w:numId="57">
    <w:abstractNumId w:val="57"/>
  </w:num>
  <w:num w:numId="58">
    <w:abstractNumId w:val="94"/>
  </w:num>
  <w:num w:numId="59">
    <w:abstractNumId w:val="73"/>
  </w:num>
  <w:num w:numId="60">
    <w:abstractNumId w:val="26"/>
  </w:num>
  <w:num w:numId="61">
    <w:abstractNumId w:val="95"/>
  </w:num>
  <w:num w:numId="62">
    <w:abstractNumId w:val="17"/>
  </w:num>
  <w:num w:numId="63">
    <w:abstractNumId w:val="55"/>
  </w:num>
  <w:num w:numId="64">
    <w:abstractNumId w:val="56"/>
  </w:num>
  <w:num w:numId="65">
    <w:abstractNumId w:val="68"/>
  </w:num>
  <w:num w:numId="66">
    <w:abstractNumId w:val="101"/>
  </w:num>
  <w:num w:numId="67">
    <w:abstractNumId w:val="47"/>
  </w:num>
  <w:num w:numId="68">
    <w:abstractNumId w:val="61"/>
  </w:num>
  <w:num w:numId="69">
    <w:abstractNumId w:val="18"/>
  </w:num>
  <w:num w:numId="70">
    <w:abstractNumId w:val="38"/>
  </w:num>
  <w:num w:numId="71">
    <w:abstractNumId w:val="16"/>
  </w:num>
  <w:num w:numId="72">
    <w:abstractNumId w:val="58"/>
  </w:num>
  <w:num w:numId="73">
    <w:abstractNumId w:val="7"/>
  </w:num>
  <w:num w:numId="74">
    <w:abstractNumId w:val="60"/>
  </w:num>
  <w:num w:numId="75">
    <w:abstractNumId w:val="91"/>
  </w:num>
  <w:num w:numId="76">
    <w:abstractNumId w:val="102"/>
  </w:num>
  <w:num w:numId="77">
    <w:abstractNumId w:val="65"/>
  </w:num>
  <w:num w:numId="78">
    <w:abstractNumId w:val="87"/>
  </w:num>
  <w:num w:numId="79">
    <w:abstractNumId w:val="10"/>
  </w:num>
  <w:num w:numId="80">
    <w:abstractNumId w:val="29"/>
  </w:num>
  <w:num w:numId="81">
    <w:abstractNumId w:val="33"/>
  </w:num>
  <w:num w:numId="82">
    <w:abstractNumId w:val="34"/>
  </w:num>
  <w:num w:numId="83">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9"/>
  </w:num>
  <w:num w:numId="85">
    <w:abstractNumId w:val="9"/>
  </w:num>
  <w:num w:numId="86">
    <w:abstractNumId w:val="93"/>
  </w:num>
  <w:num w:numId="87">
    <w:abstractNumId w:val="40"/>
  </w:num>
  <w:num w:numId="88">
    <w:abstractNumId w:val="103"/>
  </w:num>
  <w:num w:numId="89">
    <w:abstractNumId w:val="72"/>
  </w:num>
  <w:num w:numId="90">
    <w:abstractNumId w:val="27"/>
  </w:num>
  <w:num w:numId="91">
    <w:abstractNumId w:val="71"/>
  </w:num>
  <w:num w:numId="92">
    <w:abstractNumId w:val="31"/>
  </w:num>
  <w:num w:numId="93">
    <w:abstractNumId w:val="54"/>
  </w:num>
  <w:num w:numId="94">
    <w:abstractNumId w:val="21"/>
  </w:num>
  <w:num w:numId="95">
    <w:abstractNumId w:val="1"/>
  </w:num>
  <w:num w:numId="96">
    <w:abstractNumId w:val="28"/>
  </w:num>
  <w:num w:numId="97">
    <w:abstractNumId w:val="70"/>
  </w:num>
  <w:num w:numId="98">
    <w:abstractNumId w:val="41"/>
  </w:num>
  <w:num w:numId="99">
    <w:abstractNumId w:val="59"/>
  </w:num>
  <w:num w:numId="100">
    <w:abstractNumId w:val="43"/>
  </w:num>
  <w:num w:numId="101">
    <w:abstractNumId w:val="19"/>
  </w:num>
  <w:num w:numId="102">
    <w:abstractNumId w:val="69"/>
  </w:num>
  <w:num w:numId="103">
    <w:abstractNumId w:val="80"/>
  </w:num>
  <w:num w:numId="104">
    <w:abstractNumId w:val="99"/>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US"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IN" w:vendorID="64" w:dllVersion="0" w:nlCheck="1" w:checkStyle="0"/>
  <w:activeWritingStyle w:appName="MSWord" w:lang="en-GB" w:vendorID="64" w:dllVersion="0" w:nlCheck="1" w:checkStyle="0"/>
  <w:activeWritingStyle w:appName="MSWord" w:lang="es-US" w:vendorID="64" w:dllVersion="0" w:nlCheck="1" w:checkStyle="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301"/>
    <w:rsid w:val="00001A7B"/>
    <w:rsid w:val="000049CB"/>
    <w:rsid w:val="0000792F"/>
    <w:rsid w:val="0001371F"/>
    <w:rsid w:val="000137F8"/>
    <w:rsid w:val="00020423"/>
    <w:rsid w:val="00027C83"/>
    <w:rsid w:val="0003026F"/>
    <w:rsid w:val="00030E5F"/>
    <w:rsid w:val="00035627"/>
    <w:rsid w:val="000369F1"/>
    <w:rsid w:val="00040DE7"/>
    <w:rsid w:val="00041458"/>
    <w:rsid w:val="00042A33"/>
    <w:rsid w:val="000430DB"/>
    <w:rsid w:val="00044496"/>
    <w:rsid w:val="00044902"/>
    <w:rsid w:val="00045795"/>
    <w:rsid w:val="00047A67"/>
    <w:rsid w:val="000514E0"/>
    <w:rsid w:val="00053BD8"/>
    <w:rsid w:val="0006136F"/>
    <w:rsid w:val="00061C4B"/>
    <w:rsid w:val="00061F49"/>
    <w:rsid w:val="00062622"/>
    <w:rsid w:val="00062A56"/>
    <w:rsid w:val="000811AE"/>
    <w:rsid w:val="00081547"/>
    <w:rsid w:val="00082CB2"/>
    <w:rsid w:val="00090B74"/>
    <w:rsid w:val="000965C7"/>
    <w:rsid w:val="00096FB7"/>
    <w:rsid w:val="000B34FF"/>
    <w:rsid w:val="000B3F15"/>
    <w:rsid w:val="000C22D6"/>
    <w:rsid w:val="000C4D62"/>
    <w:rsid w:val="000C722B"/>
    <w:rsid w:val="000C73D2"/>
    <w:rsid w:val="000D06C5"/>
    <w:rsid w:val="000D222A"/>
    <w:rsid w:val="000D56A0"/>
    <w:rsid w:val="000D67BF"/>
    <w:rsid w:val="000D7CA9"/>
    <w:rsid w:val="000E0565"/>
    <w:rsid w:val="000F0382"/>
    <w:rsid w:val="000F209C"/>
    <w:rsid w:val="000F3CC5"/>
    <w:rsid w:val="000F4A09"/>
    <w:rsid w:val="0010004D"/>
    <w:rsid w:val="00100B62"/>
    <w:rsid w:val="00103257"/>
    <w:rsid w:val="00105CF3"/>
    <w:rsid w:val="00112737"/>
    <w:rsid w:val="00112928"/>
    <w:rsid w:val="001130DE"/>
    <w:rsid w:val="00122B49"/>
    <w:rsid w:val="00123CE7"/>
    <w:rsid w:val="001241AD"/>
    <w:rsid w:val="00125EA6"/>
    <w:rsid w:val="001261FD"/>
    <w:rsid w:val="00130900"/>
    <w:rsid w:val="001314D7"/>
    <w:rsid w:val="001334D8"/>
    <w:rsid w:val="001345F9"/>
    <w:rsid w:val="00136116"/>
    <w:rsid w:val="001444B6"/>
    <w:rsid w:val="00145DB0"/>
    <w:rsid w:val="0015258D"/>
    <w:rsid w:val="001530DE"/>
    <w:rsid w:val="00153F47"/>
    <w:rsid w:val="00156CC6"/>
    <w:rsid w:val="0016022B"/>
    <w:rsid w:val="001617D2"/>
    <w:rsid w:val="001700A9"/>
    <w:rsid w:val="00170664"/>
    <w:rsid w:val="001810DA"/>
    <w:rsid w:val="00182632"/>
    <w:rsid w:val="0018460E"/>
    <w:rsid w:val="00185A11"/>
    <w:rsid w:val="00185B8A"/>
    <w:rsid w:val="00186117"/>
    <w:rsid w:val="00187542"/>
    <w:rsid w:val="00190268"/>
    <w:rsid w:val="0019052B"/>
    <w:rsid w:val="001929B2"/>
    <w:rsid w:val="0019393E"/>
    <w:rsid w:val="00195BED"/>
    <w:rsid w:val="001A0D4D"/>
    <w:rsid w:val="001A19E6"/>
    <w:rsid w:val="001B0D3B"/>
    <w:rsid w:val="001B7745"/>
    <w:rsid w:val="001C5947"/>
    <w:rsid w:val="001C73CC"/>
    <w:rsid w:val="001D0E3F"/>
    <w:rsid w:val="001D10A8"/>
    <w:rsid w:val="001D579A"/>
    <w:rsid w:val="001D5DD4"/>
    <w:rsid w:val="001D6895"/>
    <w:rsid w:val="001E3A4B"/>
    <w:rsid w:val="001E50F3"/>
    <w:rsid w:val="001E54EA"/>
    <w:rsid w:val="001E58DF"/>
    <w:rsid w:val="001E5AA6"/>
    <w:rsid w:val="001E6E0E"/>
    <w:rsid w:val="001E774E"/>
    <w:rsid w:val="001F1082"/>
    <w:rsid w:val="001F13D1"/>
    <w:rsid w:val="001F2668"/>
    <w:rsid w:val="001F441A"/>
    <w:rsid w:val="001F5DA3"/>
    <w:rsid w:val="001F6E7B"/>
    <w:rsid w:val="001F773C"/>
    <w:rsid w:val="001F77B4"/>
    <w:rsid w:val="001F786B"/>
    <w:rsid w:val="00200045"/>
    <w:rsid w:val="00201D50"/>
    <w:rsid w:val="00203024"/>
    <w:rsid w:val="00205D98"/>
    <w:rsid w:val="00207487"/>
    <w:rsid w:val="00211D45"/>
    <w:rsid w:val="00212A56"/>
    <w:rsid w:val="00213D42"/>
    <w:rsid w:val="00214062"/>
    <w:rsid w:val="002203D4"/>
    <w:rsid w:val="00221C2C"/>
    <w:rsid w:val="00227E3F"/>
    <w:rsid w:val="00230C0D"/>
    <w:rsid w:val="002333BD"/>
    <w:rsid w:val="002340B2"/>
    <w:rsid w:val="00234615"/>
    <w:rsid w:val="00234911"/>
    <w:rsid w:val="00235189"/>
    <w:rsid w:val="002355E0"/>
    <w:rsid w:val="0023597F"/>
    <w:rsid w:val="00236AD9"/>
    <w:rsid w:val="002412F5"/>
    <w:rsid w:val="002434EA"/>
    <w:rsid w:val="00243D6E"/>
    <w:rsid w:val="00244429"/>
    <w:rsid w:val="00245C25"/>
    <w:rsid w:val="002468E0"/>
    <w:rsid w:val="00251B76"/>
    <w:rsid w:val="00252892"/>
    <w:rsid w:val="00252E15"/>
    <w:rsid w:val="0025301F"/>
    <w:rsid w:val="0025306F"/>
    <w:rsid w:val="002535F9"/>
    <w:rsid w:val="00256602"/>
    <w:rsid w:val="00256FB3"/>
    <w:rsid w:val="00263AE7"/>
    <w:rsid w:val="00263BD0"/>
    <w:rsid w:val="00264337"/>
    <w:rsid w:val="00264D7C"/>
    <w:rsid w:val="00275C84"/>
    <w:rsid w:val="00275ED5"/>
    <w:rsid w:val="00280E0D"/>
    <w:rsid w:val="00282729"/>
    <w:rsid w:val="002843CC"/>
    <w:rsid w:val="00285926"/>
    <w:rsid w:val="0028773F"/>
    <w:rsid w:val="00290919"/>
    <w:rsid w:val="002909C3"/>
    <w:rsid w:val="00297F81"/>
    <w:rsid w:val="002A46B3"/>
    <w:rsid w:val="002A4E49"/>
    <w:rsid w:val="002A6217"/>
    <w:rsid w:val="002B1939"/>
    <w:rsid w:val="002B422A"/>
    <w:rsid w:val="002C0873"/>
    <w:rsid w:val="002C2308"/>
    <w:rsid w:val="002C2F5A"/>
    <w:rsid w:val="002C449F"/>
    <w:rsid w:val="002C4CE2"/>
    <w:rsid w:val="002C6E67"/>
    <w:rsid w:val="002D03C6"/>
    <w:rsid w:val="002D1968"/>
    <w:rsid w:val="002D44B7"/>
    <w:rsid w:val="002D5D4D"/>
    <w:rsid w:val="002D5DCA"/>
    <w:rsid w:val="002D63D8"/>
    <w:rsid w:val="002D6C70"/>
    <w:rsid w:val="002D7109"/>
    <w:rsid w:val="002E13D7"/>
    <w:rsid w:val="002E23A9"/>
    <w:rsid w:val="002E3A6D"/>
    <w:rsid w:val="002E6822"/>
    <w:rsid w:val="002F1F38"/>
    <w:rsid w:val="002F5665"/>
    <w:rsid w:val="002F756E"/>
    <w:rsid w:val="002F769C"/>
    <w:rsid w:val="003000D6"/>
    <w:rsid w:val="003023AE"/>
    <w:rsid w:val="00302BDF"/>
    <w:rsid w:val="00302E58"/>
    <w:rsid w:val="00303589"/>
    <w:rsid w:val="00307FF6"/>
    <w:rsid w:val="00310087"/>
    <w:rsid w:val="00310B8F"/>
    <w:rsid w:val="00315595"/>
    <w:rsid w:val="00315E98"/>
    <w:rsid w:val="00317E08"/>
    <w:rsid w:val="00321836"/>
    <w:rsid w:val="00321A44"/>
    <w:rsid w:val="00321EB8"/>
    <w:rsid w:val="00323F81"/>
    <w:rsid w:val="00327106"/>
    <w:rsid w:val="00330D2F"/>
    <w:rsid w:val="0033721E"/>
    <w:rsid w:val="00341F0D"/>
    <w:rsid w:val="00346B4E"/>
    <w:rsid w:val="00350EDE"/>
    <w:rsid w:val="00354E15"/>
    <w:rsid w:val="00354F32"/>
    <w:rsid w:val="00355D3D"/>
    <w:rsid w:val="003603FB"/>
    <w:rsid w:val="00362979"/>
    <w:rsid w:val="00364140"/>
    <w:rsid w:val="00365350"/>
    <w:rsid w:val="00365802"/>
    <w:rsid w:val="00365BAA"/>
    <w:rsid w:val="00374C10"/>
    <w:rsid w:val="0039166E"/>
    <w:rsid w:val="00395AE1"/>
    <w:rsid w:val="0039605E"/>
    <w:rsid w:val="003A0B1D"/>
    <w:rsid w:val="003A0C24"/>
    <w:rsid w:val="003A1176"/>
    <w:rsid w:val="003A4969"/>
    <w:rsid w:val="003A4C79"/>
    <w:rsid w:val="003A74D6"/>
    <w:rsid w:val="003B0139"/>
    <w:rsid w:val="003B3F3F"/>
    <w:rsid w:val="003B4164"/>
    <w:rsid w:val="003B7139"/>
    <w:rsid w:val="003C2701"/>
    <w:rsid w:val="003C4F6E"/>
    <w:rsid w:val="003C5883"/>
    <w:rsid w:val="003C67AE"/>
    <w:rsid w:val="003D195D"/>
    <w:rsid w:val="003D2981"/>
    <w:rsid w:val="003D3974"/>
    <w:rsid w:val="003D537D"/>
    <w:rsid w:val="003D6BF7"/>
    <w:rsid w:val="003E13CA"/>
    <w:rsid w:val="003E7556"/>
    <w:rsid w:val="003E7F2D"/>
    <w:rsid w:val="003F07CE"/>
    <w:rsid w:val="003F1292"/>
    <w:rsid w:val="003F56E7"/>
    <w:rsid w:val="003F6D9E"/>
    <w:rsid w:val="003F7820"/>
    <w:rsid w:val="003F7E9D"/>
    <w:rsid w:val="00400FAA"/>
    <w:rsid w:val="0040625E"/>
    <w:rsid w:val="004141B4"/>
    <w:rsid w:val="004141F7"/>
    <w:rsid w:val="00417CC8"/>
    <w:rsid w:val="00425F61"/>
    <w:rsid w:val="00427AC8"/>
    <w:rsid w:val="00431AED"/>
    <w:rsid w:val="00431C3B"/>
    <w:rsid w:val="004322F4"/>
    <w:rsid w:val="004365B9"/>
    <w:rsid w:val="004425B3"/>
    <w:rsid w:val="004444CF"/>
    <w:rsid w:val="00446CB9"/>
    <w:rsid w:val="004512EE"/>
    <w:rsid w:val="00453049"/>
    <w:rsid w:val="0045519F"/>
    <w:rsid w:val="004559DA"/>
    <w:rsid w:val="00456443"/>
    <w:rsid w:val="00456EF2"/>
    <w:rsid w:val="0045778C"/>
    <w:rsid w:val="004624F4"/>
    <w:rsid w:val="004626CB"/>
    <w:rsid w:val="00464156"/>
    <w:rsid w:val="004671C2"/>
    <w:rsid w:val="00471136"/>
    <w:rsid w:val="00473807"/>
    <w:rsid w:val="004748B8"/>
    <w:rsid w:val="00474D54"/>
    <w:rsid w:val="00475D6D"/>
    <w:rsid w:val="00492CB7"/>
    <w:rsid w:val="00492ED9"/>
    <w:rsid w:val="00494B26"/>
    <w:rsid w:val="00494BD6"/>
    <w:rsid w:val="004A0530"/>
    <w:rsid w:val="004A15C2"/>
    <w:rsid w:val="004B0F13"/>
    <w:rsid w:val="004B1455"/>
    <w:rsid w:val="004B20AE"/>
    <w:rsid w:val="004B4C0B"/>
    <w:rsid w:val="004B59EB"/>
    <w:rsid w:val="004B6717"/>
    <w:rsid w:val="004B6D25"/>
    <w:rsid w:val="004C06CD"/>
    <w:rsid w:val="004C0F8F"/>
    <w:rsid w:val="004C1311"/>
    <w:rsid w:val="004C2D95"/>
    <w:rsid w:val="004C3488"/>
    <w:rsid w:val="004D315F"/>
    <w:rsid w:val="004F0448"/>
    <w:rsid w:val="004F1A61"/>
    <w:rsid w:val="004F5590"/>
    <w:rsid w:val="004F5D55"/>
    <w:rsid w:val="004F683D"/>
    <w:rsid w:val="00504FAD"/>
    <w:rsid w:val="00510397"/>
    <w:rsid w:val="0051132A"/>
    <w:rsid w:val="00512DF5"/>
    <w:rsid w:val="0051332D"/>
    <w:rsid w:val="00513FCE"/>
    <w:rsid w:val="00514C79"/>
    <w:rsid w:val="005158D6"/>
    <w:rsid w:val="0051595A"/>
    <w:rsid w:val="00515A7C"/>
    <w:rsid w:val="00515D56"/>
    <w:rsid w:val="0052014A"/>
    <w:rsid w:val="00521641"/>
    <w:rsid w:val="005219BC"/>
    <w:rsid w:val="0052405B"/>
    <w:rsid w:val="00524362"/>
    <w:rsid w:val="00527451"/>
    <w:rsid w:val="00527E22"/>
    <w:rsid w:val="005315A7"/>
    <w:rsid w:val="00535A92"/>
    <w:rsid w:val="0053633C"/>
    <w:rsid w:val="00536F84"/>
    <w:rsid w:val="00541669"/>
    <w:rsid w:val="00541E08"/>
    <w:rsid w:val="005447FE"/>
    <w:rsid w:val="0055176C"/>
    <w:rsid w:val="005519BD"/>
    <w:rsid w:val="00552264"/>
    <w:rsid w:val="00552F2C"/>
    <w:rsid w:val="00553625"/>
    <w:rsid w:val="00554C0B"/>
    <w:rsid w:val="005635F3"/>
    <w:rsid w:val="00563B00"/>
    <w:rsid w:val="005655A3"/>
    <w:rsid w:val="00565D85"/>
    <w:rsid w:val="00571756"/>
    <w:rsid w:val="005723E6"/>
    <w:rsid w:val="00572D9D"/>
    <w:rsid w:val="005745D0"/>
    <w:rsid w:val="00581DE9"/>
    <w:rsid w:val="00583378"/>
    <w:rsid w:val="0058491D"/>
    <w:rsid w:val="00585368"/>
    <w:rsid w:val="00585B03"/>
    <w:rsid w:val="00586F1E"/>
    <w:rsid w:val="00594341"/>
    <w:rsid w:val="005A2571"/>
    <w:rsid w:val="005A2BB3"/>
    <w:rsid w:val="005A413B"/>
    <w:rsid w:val="005A5087"/>
    <w:rsid w:val="005A5E9F"/>
    <w:rsid w:val="005B0F58"/>
    <w:rsid w:val="005B2213"/>
    <w:rsid w:val="005B7368"/>
    <w:rsid w:val="005B7A27"/>
    <w:rsid w:val="005B7DF3"/>
    <w:rsid w:val="005C37D1"/>
    <w:rsid w:val="005C3D89"/>
    <w:rsid w:val="005C4EC9"/>
    <w:rsid w:val="005D0FFC"/>
    <w:rsid w:val="005D2C3D"/>
    <w:rsid w:val="005D3657"/>
    <w:rsid w:val="005D46E1"/>
    <w:rsid w:val="005D4B88"/>
    <w:rsid w:val="005D4FA1"/>
    <w:rsid w:val="005D562A"/>
    <w:rsid w:val="005E030F"/>
    <w:rsid w:val="005E5A0F"/>
    <w:rsid w:val="005F0914"/>
    <w:rsid w:val="005F101D"/>
    <w:rsid w:val="005F27F4"/>
    <w:rsid w:val="005F78A1"/>
    <w:rsid w:val="0060019D"/>
    <w:rsid w:val="00602023"/>
    <w:rsid w:val="006020E4"/>
    <w:rsid w:val="00603D1D"/>
    <w:rsid w:val="00605114"/>
    <w:rsid w:val="00605900"/>
    <w:rsid w:val="006153D1"/>
    <w:rsid w:val="006223AD"/>
    <w:rsid w:val="00623DD5"/>
    <w:rsid w:val="0062697F"/>
    <w:rsid w:val="006304DE"/>
    <w:rsid w:val="006324C2"/>
    <w:rsid w:val="00633930"/>
    <w:rsid w:val="00634CC7"/>
    <w:rsid w:val="0063708B"/>
    <w:rsid w:val="006430F1"/>
    <w:rsid w:val="00651DCD"/>
    <w:rsid w:val="0065315E"/>
    <w:rsid w:val="00661105"/>
    <w:rsid w:val="00662859"/>
    <w:rsid w:val="00662BA1"/>
    <w:rsid w:val="00662EA8"/>
    <w:rsid w:val="00662FCA"/>
    <w:rsid w:val="00675772"/>
    <w:rsid w:val="00676407"/>
    <w:rsid w:val="00676891"/>
    <w:rsid w:val="00684EA6"/>
    <w:rsid w:val="00686E0A"/>
    <w:rsid w:val="00687192"/>
    <w:rsid w:val="00690A01"/>
    <w:rsid w:val="00694881"/>
    <w:rsid w:val="00694A0A"/>
    <w:rsid w:val="00694AE9"/>
    <w:rsid w:val="00696DB9"/>
    <w:rsid w:val="006A0625"/>
    <w:rsid w:val="006A2454"/>
    <w:rsid w:val="006A416E"/>
    <w:rsid w:val="006B446A"/>
    <w:rsid w:val="006B593E"/>
    <w:rsid w:val="006C5935"/>
    <w:rsid w:val="006D2301"/>
    <w:rsid w:val="006D24A3"/>
    <w:rsid w:val="006D35F6"/>
    <w:rsid w:val="006D4200"/>
    <w:rsid w:val="006E0F55"/>
    <w:rsid w:val="006E4A85"/>
    <w:rsid w:val="006E70CD"/>
    <w:rsid w:val="006F0DD0"/>
    <w:rsid w:val="006F12E0"/>
    <w:rsid w:val="006F249F"/>
    <w:rsid w:val="006F5A50"/>
    <w:rsid w:val="006F725C"/>
    <w:rsid w:val="006F79FA"/>
    <w:rsid w:val="00701F3F"/>
    <w:rsid w:val="0070381D"/>
    <w:rsid w:val="007047D8"/>
    <w:rsid w:val="00705B52"/>
    <w:rsid w:val="0071004E"/>
    <w:rsid w:val="0071103E"/>
    <w:rsid w:val="007179AA"/>
    <w:rsid w:val="00720D2B"/>
    <w:rsid w:val="00722478"/>
    <w:rsid w:val="00722932"/>
    <w:rsid w:val="0072468D"/>
    <w:rsid w:val="0072611D"/>
    <w:rsid w:val="00726C5E"/>
    <w:rsid w:val="00726DDB"/>
    <w:rsid w:val="00730A61"/>
    <w:rsid w:val="00732222"/>
    <w:rsid w:val="0073249A"/>
    <w:rsid w:val="007340D8"/>
    <w:rsid w:val="007362DF"/>
    <w:rsid w:val="00736888"/>
    <w:rsid w:val="00737638"/>
    <w:rsid w:val="00742C2F"/>
    <w:rsid w:val="0074539F"/>
    <w:rsid w:val="0075099E"/>
    <w:rsid w:val="00756056"/>
    <w:rsid w:val="00756A8F"/>
    <w:rsid w:val="00757DED"/>
    <w:rsid w:val="0076175A"/>
    <w:rsid w:val="0076464E"/>
    <w:rsid w:val="00770D31"/>
    <w:rsid w:val="007724F8"/>
    <w:rsid w:val="00781171"/>
    <w:rsid w:val="007818B7"/>
    <w:rsid w:val="00783072"/>
    <w:rsid w:val="00786711"/>
    <w:rsid w:val="00786D81"/>
    <w:rsid w:val="00787AE4"/>
    <w:rsid w:val="0079035B"/>
    <w:rsid w:val="007906F3"/>
    <w:rsid w:val="007912B7"/>
    <w:rsid w:val="007930D3"/>
    <w:rsid w:val="007946E8"/>
    <w:rsid w:val="00795873"/>
    <w:rsid w:val="007963F9"/>
    <w:rsid w:val="007A1349"/>
    <w:rsid w:val="007A37C7"/>
    <w:rsid w:val="007A4D51"/>
    <w:rsid w:val="007B1D9A"/>
    <w:rsid w:val="007B264F"/>
    <w:rsid w:val="007B2DB2"/>
    <w:rsid w:val="007B4C28"/>
    <w:rsid w:val="007B53E0"/>
    <w:rsid w:val="007C1470"/>
    <w:rsid w:val="007C22AF"/>
    <w:rsid w:val="007C354F"/>
    <w:rsid w:val="007C756B"/>
    <w:rsid w:val="007D389E"/>
    <w:rsid w:val="007D577F"/>
    <w:rsid w:val="007E0E6E"/>
    <w:rsid w:val="007E2005"/>
    <w:rsid w:val="007E28FA"/>
    <w:rsid w:val="007E4B18"/>
    <w:rsid w:val="007E6186"/>
    <w:rsid w:val="007E7059"/>
    <w:rsid w:val="007F078D"/>
    <w:rsid w:val="007F0CB9"/>
    <w:rsid w:val="007F37F2"/>
    <w:rsid w:val="007F3D47"/>
    <w:rsid w:val="007F56CD"/>
    <w:rsid w:val="007F74B4"/>
    <w:rsid w:val="00800236"/>
    <w:rsid w:val="00802874"/>
    <w:rsid w:val="0080324C"/>
    <w:rsid w:val="0080590D"/>
    <w:rsid w:val="0080747A"/>
    <w:rsid w:val="008113F8"/>
    <w:rsid w:val="0081201D"/>
    <w:rsid w:val="0081397A"/>
    <w:rsid w:val="00820510"/>
    <w:rsid w:val="00821538"/>
    <w:rsid w:val="00822628"/>
    <w:rsid w:val="00823410"/>
    <w:rsid w:val="00823B14"/>
    <w:rsid w:val="0082510E"/>
    <w:rsid w:val="00825322"/>
    <w:rsid w:val="008265C4"/>
    <w:rsid w:val="00827244"/>
    <w:rsid w:val="008320C1"/>
    <w:rsid w:val="008320E4"/>
    <w:rsid w:val="00836C5A"/>
    <w:rsid w:val="008373B6"/>
    <w:rsid w:val="00837F8D"/>
    <w:rsid w:val="00841E01"/>
    <w:rsid w:val="008422D5"/>
    <w:rsid w:val="00842532"/>
    <w:rsid w:val="008508BF"/>
    <w:rsid w:val="00856351"/>
    <w:rsid w:val="00856935"/>
    <w:rsid w:val="00856F17"/>
    <w:rsid w:val="00862056"/>
    <w:rsid w:val="00863C1C"/>
    <w:rsid w:val="00870532"/>
    <w:rsid w:val="00871970"/>
    <w:rsid w:val="00871A98"/>
    <w:rsid w:val="00872E3A"/>
    <w:rsid w:val="0087315E"/>
    <w:rsid w:val="008741C9"/>
    <w:rsid w:val="00875F6E"/>
    <w:rsid w:val="00880432"/>
    <w:rsid w:val="0089164A"/>
    <w:rsid w:val="00892DFA"/>
    <w:rsid w:val="0089378A"/>
    <w:rsid w:val="00895A80"/>
    <w:rsid w:val="008B1024"/>
    <w:rsid w:val="008B12A8"/>
    <w:rsid w:val="008B2D9A"/>
    <w:rsid w:val="008B5388"/>
    <w:rsid w:val="008B5579"/>
    <w:rsid w:val="008C1541"/>
    <w:rsid w:val="008C4017"/>
    <w:rsid w:val="008C42F0"/>
    <w:rsid w:val="008C5B4F"/>
    <w:rsid w:val="008D386B"/>
    <w:rsid w:val="008E03B8"/>
    <w:rsid w:val="008E32DE"/>
    <w:rsid w:val="008E3CB3"/>
    <w:rsid w:val="008E42FE"/>
    <w:rsid w:val="008E52A9"/>
    <w:rsid w:val="008E5B03"/>
    <w:rsid w:val="008E7D30"/>
    <w:rsid w:val="008F406B"/>
    <w:rsid w:val="008F7D3E"/>
    <w:rsid w:val="009032D1"/>
    <w:rsid w:val="00904529"/>
    <w:rsid w:val="0091128E"/>
    <w:rsid w:val="0091290F"/>
    <w:rsid w:val="00914B0B"/>
    <w:rsid w:val="00917EE6"/>
    <w:rsid w:val="00922B6A"/>
    <w:rsid w:val="0092322E"/>
    <w:rsid w:val="009246BC"/>
    <w:rsid w:val="009248CE"/>
    <w:rsid w:val="009259B1"/>
    <w:rsid w:val="00926579"/>
    <w:rsid w:val="00927AE8"/>
    <w:rsid w:val="00930DB1"/>
    <w:rsid w:val="00933F3F"/>
    <w:rsid w:val="00934963"/>
    <w:rsid w:val="00935262"/>
    <w:rsid w:val="009416CE"/>
    <w:rsid w:val="00944330"/>
    <w:rsid w:val="009473A7"/>
    <w:rsid w:val="00950CBB"/>
    <w:rsid w:val="00952CF0"/>
    <w:rsid w:val="00953F50"/>
    <w:rsid w:val="009552B9"/>
    <w:rsid w:val="009554F0"/>
    <w:rsid w:val="00956F4C"/>
    <w:rsid w:val="00963A0F"/>
    <w:rsid w:val="00963AB0"/>
    <w:rsid w:val="00966CC8"/>
    <w:rsid w:val="00967065"/>
    <w:rsid w:val="00971D7B"/>
    <w:rsid w:val="00971EB8"/>
    <w:rsid w:val="009779AD"/>
    <w:rsid w:val="00982D2A"/>
    <w:rsid w:val="00983A35"/>
    <w:rsid w:val="009843DA"/>
    <w:rsid w:val="00984632"/>
    <w:rsid w:val="009850B8"/>
    <w:rsid w:val="00985AAF"/>
    <w:rsid w:val="00990088"/>
    <w:rsid w:val="00990B3F"/>
    <w:rsid w:val="00990CD7"/>
    <w:rsid w:val="009929B0"/>
    <w:rsid w:val="00995602"/>
    <w:rsid w:val="009967AD"/>
    <w:rsid w:val="009A65D7"/>
    <w:rsid w:val="009A7E94"/>
    <w:rsid w:val="009B0C39"/>
    <w:rsid w:val="009B2246"/>
    <w:rsid w:val="009B2458"/>
    <w:rsid w:val="009B35B0"/>
    <w:rsid w:val="009B523B"/>
    <w:rsid w:val="009B5D9C"/>
    <w:rsid w:val="009B6ED9"/>
    <w:rsid w:val="009C05FF"/>
    <w:rsid w:val="009C2B53"/>
    <w:rsid w:val="009C4D49"/>
    <w:rsid w:val="009C6E41"/>
    <w:rsid w:val="009C7670"/>
    <w:rsid w:val="009D56B1"/>
    <w:rsid w:val="009D78D0"/>
    <w:rsid w:val="009E1360"/>
    <w:rsid w:val="009E637B"/>
    <w:rsid w:val="009E66C7"/>
    <w:rsid w:val="009E6A51"/>
    <w:rsid w:val="009E7708"/>
    <w:rsid w:val="009F0CDB"/>
    <w:rsid w:val="009F3BFE"/>
    <w:rsid w:val="00A07EB6"/>
    <w:rsid w:val="00A10550"/>
    <w:rsid w:val="00A1148A"/>
    <w:rsid w:val="00A14CB4"/>
    <w:rsid w:val="00A20EB2"/>
    <w:rsid w:val="00A315C5"/>
    <w:rsid w:val="00A33E07"/>
    <w:rsid w:val="00A3640D"/>
    <w:rsid w:val="00A37B22"/>
    <w:rsid w:val="00A4063F"/>
    <w:rsid w:val="00A4313E"/>
    <w:rsid w:val="00A51339"/>
    <w:rsid w:val="00A5214E"/>
    <w:rsid w:val="00A63EC9"/>
    <w:rsid w:val="00A65DF9"/>
    <w:rsid w:val="00A67179"/>
    <w:rsid w:val="00A7026D"/>
    <w:rsid w:val="00A73957"/>
    <w:rsid w:val="00A76A82"/>
    <w:rsid w:val="00A939A9"/>
    <w:rsid w:val="00A94002"/>
    <w:rsid w:val="00A959EB"/>
    <w:rsid w:val="00AA02AB"/>
    <w:rsid w:val="00AA1577"/>
    <w:rsid w:val="00AA35E5"/>
    <w:rsid w:val="00AA5AFF"/>
    <w:rsid w:val="00AA6EF9"/>
    <w:rsid w:val="00AB3C8E"/>
    <w:rsid w:val="00AB47F6"/>
    <w:rsid w:val="00AB5AEE"/>
    <w:rsid w:val="00AC28AD"/>
    <w:rsid w:val="00AC5694"/>
    <w:rsid w:val="00AC5F10"/>
    <w:rsid w:val="00AC7350"/>
    <w:rsid w:val="00AC7C27"/>
    <w:rsid w:val="00AD0DFD"/>
    <w:rsid w:val="00AD3549"/>
    <w:rsid w:val="00AD4C7C"/>
    <w:rsid w:val="00AD5F9D"/>
    <w:rsid w:val="00AE2F81"/>
    <w:rsid w:val="00AE630F"/>
    <w:rsid w:val="00AE7FE8"/>
    <w:rsid w:val="00AF0B47"/>
    <w:rsid w:val="00AF2054"/>
    <w:rsid w:val="00AF26BF"/>
    <w:rsid w:val="00AF3DDF"/>
    <w:rsid w:val="00AF40DD"/>
    <w:rsid w:val="00AF6A2E"/>
    <w:rsid w:val="00AF6BA7"/>
    <w:rsid w:val="00B0187B"/>
    <w:rsid w:val="00B01A7D"/>
    <w:rsid w:val="00B02E3A"/>
    <w:rsid w:val="00B048E3"/>
    <w:rsid w:val="00B0673B"/>
    <w:rsid w:val="00B10D74"/>
    <w:rsid w:val="00B11CA9"/>
    <w:rsid w:val="00B14F4F"/>
    <w:rsid w:val="00B23468"/>
    <w:rsid w:val="00B23BF7"/>
    <w:rsid w:val="00B24EC1"/>
    <w:rsid w:val="00B25957"/>
    <w:rsid w:val="00B30150"/>
    <w:rsid w:val="00B30702"/>
    <w:rsid w:val="00B31568"/>
    <w:rsid w:val="00B32DE0"/>
    <w:rsid w:val="00B3413E"/>
    <w:rsid w:val="00B366F0"/>
    <w:rsid w:val="00B3687A"/>
    <w:rsid w:val="00B43477"/>
    <w:rsid w:val="00B43A77"/>
    <w:rsid w:val="00B43E1E"/>
    <w:rsid w:val="00B46545"/>
    <w:rsid w:val="00B47CB5"/>
    <w:rsid w:val="00B53FBC"/>
    <w:rsid w:val="00B545F7"/>
    <w:rsid w:val="00B54DE5"/>
    <w:rsid w:val="00B5587D"/>
    <w:rsid w:val="00B62D10"/>
    <w:rsid w:val="00B65133"/>
    <w:rsid w:val="00B71F45"/>
    <w:rsid w:val="00B71F56"/>
    <w:rsid w:val="00B7461C"/>
    <w:rsid w:val="00B763C6"/>
    <w:rsid w:val="00B81FF3"/>
    <w:rsid w:val="00B82BA8"/>
    <w:rsid w:val="00B8617F"/>
    <w:rsid w:val="00B932BA"/>
    <w:rsid w:val="00B94BCF"/>
    <w:rsid w:val="00BA3542"/>
    <w:rsid w:val="00BA5DF2"/>
    <w:rsid w:val="00BB16BF"/>
    <w:rsid w:val="00BB3B3D"/>
    <w:rsid w:val="00BB5F6D"/>
    <w:rsid w:val="00BC1F86"/>
    <w:rsid w:val="00BC28AF"/>
    <w:rsid w:val="00BD16D3"/>
    <w:rsid w:val="00BD308C"/>
    <w:rsid w:val="00BD4331"/>
    <w:rsid w:val="00BD5908"/>
    <w:rsid w:val="00BE38D9"/>
    <w:rsid w:val="00BE4EB9"/>
    <w:rsid w:val="00BE5325"/>
    <w:rsid w:val="00BE6E17"/>
    <w:rsid w:val="00BF08AD"/>
    <w:rsid w:val="00BF19C1"/>
    <w:rsid w:val="00BF2886"/>
    <w:rsid w:val="00BF2B42"/>
    <w:rsid w:val="00BF2B8E"/>
    <w:rsid w:val="00BF7AE0"/>
    <w:rsid w:val="00C001DE"/>
    <w:rsid w:val="00C006F1"/>
    <w:rsid w:val="00C01A89"/>
    <w:rsid w:val="00C028E3"/>
    <w:rsid w:val="00C04BA5"/>
    <w:rsid w:val="00C10056"/>
    <w:rsid w:val="00C10238"/>
    <w:rsid w:val="00C1566A"/>
    <w:rsid w:val="00C20597"/>
    <w:rsid w:val="00C23BDB"/>
    <w:rsid w:val="00C23C9E"/>
    <w:rsid w:val="00C25D85"/>
    <w:rsid w:val="00C30CBB"/>
    <w:rsid w:val="00C331CD"/>
    <w:rsid w:val="00C339F5"/>
    <w:rsid w:val="00C33C97"/>
    <w:rsid w:val="00C3750D"/>
    <w:rsid w:val="00C407F7"/>
    <w:rsid w:val="00C413B9"/>
    <w:rsid w:val="00C41BCF"/>
    <w:rsid w:val="00C42AEB"/>
    <w:rsid w:val="00C47863"/>
    <w:rsid w:val="00C5270C"/>
    <w:rsid w:val="00C53990"/>
    <w:rsid w:val="00C53C9E"/>
    <w:rsid w:val="00C5409B"/>
    <w:rsid w:val="00C55DDA"/>
    <w:rsid w:val="00C562C6"/>
    <w:rsid w:val="00C6184D"/>
    <w:rsid w:val="00C62355"/>
    <w:rsid w:val="00C6469A"/>
    <w:rsid w:val="00C74194"/>
    <w:rsid w:val="00C741CD"/>
    <w:rsid w:val="00C74394"/>
    <w:rsid w:val="00C77925"/>
    <w:rsid w:val="00C80B3F"/>
    <w:rsid w:val="00C81729"/>
    <w:rsid w:val="00C81A4F"/>
    <w:rsid w:val="00C844C7"/>
    <w:rsid w:val="00C90D96"/>
    <w:rsid w:val="00C90DFA"/>
    <w:rsid w:val="00C911AF"/>
    <w:rsid w:val="00C927A5"/>
    <w:rsid w:val="00C951A9"/>
    <w:rsid w:val="00C9684A"/>
    <w:rsid w:val="00CA1657"/>
    <w:rsid w:val="00CA2164"/>
    <w:rsid w:val="00CA3886"/>
    <w:rsid w:val="00CA4549"/>
    <w:rsid w:val="00CB0E91"/>
    <w:rsid w:val="00CB5616"/>
    <w:rsid w:val="00CB56D9"/>
    <w:rsid w:val="00CB6128"/>
    <w:rsid w:val="00CC343E"/>
    <w:rsid w:val="00CC3F16"/>
    <w:rsid w:val="00CC74BA"/>
    <w:rsid w:val="00CD00A9"/>
    <w:rsid w:val="00CD1411"/>
    <w:rsid w:val="00CD2465"/>
    <w:rsid w:val="00CD3D15"/>
    <w:rsid w:val="00CD5C71"/>
    <w:rsid w:val="00CD64E6"/>
    <w:rsid w:val="00CD6ECD"/>
    <w:rsid w:val="00CD7AB1"/>
    <w:rsid w:val="00CE3BB3"/>
    <w:rsid w:val="00CE4EBE"/>
    <w:rsid w:val="00CE53FA"/>
    <w:rsid w:val="00CE6626"/>
    <w:rsid w:val="00CE6CC5"/>
    <w:rsid w:val="00CE701A"/>
    <w:rsid w:val="00CE704E"/>
    <w:rsid w:val="00CF3CDC"/>
    <w:rsid w:val="00D0618A"/>
    <w:rsid w:val="00D126D9"/>
    <w:rsid w:val="00D15E71"/>
    <w:rsid w:val="00D20E56"/>
    <w:rsid w:val="00D219C6"/>
    <w:rsid w:val="00D24627"/>
    <w:rsid w:val="00D25101"/>
    <w:rsid w:val="00D2537F"/>
    <w:rsid w:val="00D27B8A"/>
    <w:rsid w:val="00D31EBD"/>
    <w:rsid w:val="00D3219B"/>
    <w:rsid w:val="00D32DAA"/>
    <w:rsid w:val="00D335F7"/>
    <w:rsid w:val="00D3762E"/>
    <w:rsid w:val="00D408B1"/>
    <w:rsid w:val="00D410C5"/>
    <w:rsid w:val="00D41D64"/>
    <w:rsid w:val="00D445A2"/>
    <w:rsid w:val="00D467A3"/>
    <w:rsid w:val="00D54D51"/>
    <w:rsid w:val="00D62ECB"/>
    <w:rsid w:val="00D6354C"/>
    <w:rsid w:val="00D64BAA"/>
    <w:rsid w:val="00D66A66"/>
    <w:rsid w:val="00D71E1C"/>
    <w:rsid w:val="00D752A8"/>
    <w:rsid w:val="00D76799"/>
    <w:rsid w:val="00D813A4"/>
    <w:rsid w:val="00D83859"/>
    <w:rsid w:val="00D85DB4"/>
    <w:rsid w:val="00D86D0F"/>
    <w:rsid w:val="00D87054"/>
    <w:rsid w:val="00D9518D"/>
    <w:rsid w:val="00D97611"/>
    <w:rsid w:val="00DA0B21"/>
    <w:rsid w:val="00DA0E37"/>
    <w:rsid w:val="00DA109D"/>
    <w:rsid w:val="00DA49A7"/>
    <w:rsid w:val="00DA4E72"/>
    <w:rsid w:val="00DA5188"/>
    <w:rsid w:val="00DB15C8"/>
    <w:rsid w:val="00DB495C"/>
    <w:rsid w:val="00DB673F"/>
    <w:rsid w:val="00DC168D"/>
    <w:rsid w:val="00DC24A5"/>
    <w:rsid w:val="00DC4462"/>
    <w:rsid w:val="00DD0A10"/>
    <w:rsid w:val="00DD1CC9"/>
    <w:rsid w:val="00DE152A"/>
    <w:rsid w:val="00DE3F85"/>
    <w:rsid w:val="00DE6849"/>
    <w:rsid w:val="00DF2FCA"/>
    <w:rsid w:val="00E024B2"/>
    <w:rsid w:val="00E02B1E"/>
    <w:rsid w:val="00E03601"/>
    <w:rsid w:val="00E108F1"/>
    <w:rsid w:val="00E12765"/>
    <w:rsid w:val="00E16A6C"/>
    <w:rsid w:val="00E1745C"/>
    <w:rsid w:val="00E200B1"/>
    <w:rsid w:val="00E24841"/>
    <w:rsid w:val="00E248AC"/>
    <w:rsid w:val="00E251AF"/>
    <w:rsid w:val="00E2618B"/>
    <w:rsid w:val="00E26AC9"/>
    <w:rsid w:val="00E27151"/>
    <w:rsid w:val="00E30871"/>
    <w:rsid w:val="00E3649D"/>
    <w:rsid w:val="00E370E6"/>
    <w:rsid w:val="00E41A73"/>
    <w:rsid w:val="00E45E57"/>
    <w:rsid w:val="00E45F20"/>
    <w:rsid w:val="00E54295"/>
    <w:rsid w:val="00E55E61"/>
    <w:rsid w:val="00E60EB8"/>
    <w:rsid w:val="00E62CB5"/>
    <w:rsid w:val="00E63804"/>
    <w:rsid w:val="00E650F0"/>
    <w:rsid w:val="00E6754C"/>
    <w:rsid w:val="00E751AD"/>
    <w:rsid w:val="00E76149"/>
    <w:rsid w:val="00E800A4"/>
    <w:rsid w:val="00E80177"/>
    <w:rsid w:val="00E82131"/>
    <w:rsid w:val="00E84878"/>
    <w:rsid w:val="00E84C59"/>
    <w:rsid w:val="00E84FB2"/>
    <w:rsid w:val="00E860C9"/>
    <w:rsid w:val="00E8643E"/>
    <w:rsid w:val="00E87277"/>
    <w:rsid w:val="00E87D18"/>
    <w:rsid w:val="00E91720"/>
    <w:rsid w:val="00E93CCB"/>
    <w:rsid w:val="00E9417D"/>
    <w:rsid w:val="00E94C83"/>
    <w:rsid w:val="00EA0C02"/>
    <w:rsid w:val="00EA444D"/>
    <w:rsid w:val="00EA59FA"/>
    <w:rsid w:val="00EA70C1"/>
    <w:rsid w:val="00EB030E"/>
    <w:rsid w:val="00EB2691"/>
    <w:rsid w:val="00EB5272"/>
    <w:rsid w:val="00EB5B6C"/>
    <w:rsid w:val="00EB5F99"/>
    <w:rsid w:val="00EB702A"/>
    <w:rsid w:val="00EC0D13"/>
    <w:rsid w:val="00ED0973"/>
    <w:rsid w:val="00ED0F45"/>
    <w:rsid w:val="00ED299C"/>
    <w:rsid w:val="00EE12C3"/>
    <w:rsid w:val="00EE2C4E"/>
    <w:rsid w:val="00EE3200"/>
    <w:rsid w:val="00EE3651"/>
    <w:rsid w:val="00EE5E7E"/>
    <w:rsid w:val="00EF34FB"/>
    <w:rsid w:val="00EF3A1C"/>
    <w:rsid w:val="00EF44D8"/>
    <w:rsid w:val="00EF73D7"/>
    <w:rsid w:val="00F01257"/>
    <w:rsid w:val="00F01FB6"/>
    <w:rsid w:val="00F027AD"/>
    <w:rsid w:val="00F12DBA"/>
    <w:rsid w:val="00F168BB"/>
    <w:rsid w:val="00F16A17"/>
    <w:rsid w:val="00F247C5"/>
    <w:rsid w:val="00F25F5C"/>
    <w:rsid w:val="00F27181"/>
    <w:rsid w:val="00F27418"/>
    <w:rsid w:val="00F319F1"/>
    <w:rsid w:val="00F32616"/>
    <w:rsid w:val="00F33B67"/>
    <w:rsid w:val="00F34850"/>
    <w:rsid w:val="00F375E2"/>
    <w:rsid w:val="00F37F2E"/>
    <w:rsid w:val="00F37F69"/>
    <w:rsid w:val="00F41B95"/>
    <w:rsid w:val="00F42642"/>
    <w:rsid w:val="00F47081"/>
    <w:rsid w:val="00F55EE7"/>
    <w:rsid w:val="00F577DB"/>
    <w:rsid w:val="00F67C79"/>
    <w:rsid w:val="00F70923"/>
    <w:rsid w:val="00F74C99"/>
    <w:rsid w:val="00F77BAC"/>
    <w:rsid w:val="00F80163"/>
    <w:rsid w:val="00F8254A"/>
    <w:rsid w:val="00F840CF"/>
    <w:rsid w:val="00F8455B"/>
    <w:rsid w:val="00F8749E"/>
    <w:rsid w:val="00F95AB3"/>
    <w:rsid w:val="00F96CD9"/>
    <w:rsid w:val="00FA020C"/>
    <w:rsid w:val="00FA1544"/>
    <w:rsid w:val="00FA18D2"/>
    <w:rsid w:val="00FA329F"/>
    <w:rsid w:val="00FA3B7C"/>
    <w:rsid w:val="00FA3F2E"/>
    <w:rsid w:val="00FA52AF"/>
    <w:rsid w:val="00FA70BD"/>
    <w:rsid w:val="00FA7CBE"/>
    <w:rsid w:val="00FB10F6"/>
    <w:rsid w:val="00FB5B51"/>
    <w:rsid w:val="00FB60A1"/>
    <w:rsid w:val="00FC35BA"/>
    <w:rsid w:val="00FC50A8"/>
    <w:rsid w:val="00FC6575"/>
    <w:rsid w:val="00FC682D"/>
    <w:rsid w:val="00FD17ED"/>
    <w:rsid w:val="00FD1823"/>
    <w:rsid w:val="00FD24F6"/>
    <w:rsid w:val="00FD2B3D"/>
    <w:rsid w:val="00FD314B"/>
    <w:rsid w:val="00FD42EA"/>
    <w:rsid w:val="00FD42EF"/>
    <w:rsid w:val="00FD566E"/>
    <w:rsid w:val="00FD62FE"/>
    <w:rsid w:val="00FE304C"/>
    <w:rsid w:val="00FE7DB5"/>
    <w:rsid w:val="00FF07B4"/>
    <w:rsid w:val="00FF162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C72E8C"/>
  <w15:chartTrackingRefBased/>
  <w15:docId w15:val="{C664571F-77CF-4F05-8275-6A80229D1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477"/>
  </w:style>
  <w:style w:type="paragraph" w:styleId="Heading1">
    <w:name w:val="heading 1"/>
    <w:basedOn w:val="Normal"/>
    <w:next w:val="Normal"/>
    <w:link w:val="Heading1Char"/>
    <w:uiPriority w:val="9"/>
    <w:qFormat/>
    <w:rsid w:val="007617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E84878"/>
    <w:pPr>
      <w:outlineLvl w:val="1"/>
    </w:pPr>
  </w:style>
  <w:style w:type="paragraph" w:styleId="Heading3">
    <w:name w:val="heading 3"/>
    <w:basedOn w:val="Normal"/>
    <w:next w:val="Normal"/>
    <w:link w:val="Heading3Char"/>
    <w:uiPriority w:val="9"/>
    <w:unhideWhenUsed/>
    <w:qFormat/>
    <w:rsid w:val="00E84878"/>
    <w:pPr>
      <w:spacing w:before="120" w:after="120" w:line="240" w:lineRule="auto"/>
      <w:outlineLvl w:val="2"/>
    </w:pPr>
  </w:style>
  <w:style w:type="paragraph" w:styleId="Heading4">
    <w:name w:val="heading 4"/>
    <w:basedOn w:val="Normal"/>
    <w:next w:val="Normal"/>
    <w:link w:val="Heading4Char"/>
    <w:uiPriority w:val="9"/>
    <w:semiHidden/>
    <w:unhideWhenUsed/>
    <w:qFormat/>
    <w:rsid w:val="0087315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3F81"/>
    <w:pPr>
      <w:ind w:left="720"/>
      <w:contextualSpacing/>
    </w:pPr>
  </w:style>
  <w:style w:type="paragraph" w:styleId="Header">
    <w:name w:val="header"/>
    <w:basedOn w:val="Normal"/>
    <w:link w:val="HeaderChar"/>
    <w:uiPriority w:val="99"/>
    <w:unhideWhenUsed/>
    <w:rsid w:val="00F96C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6CD9"/>
  </w:style>
  <w:style w:type="paragraph" w:styleId="Footer">
    <w:name w:val="footer"/>
    <w:basedOn w:val="Normal"/>
    <w:link w:val="FooterChar"/>
    <w:uiPriority w:val="99"/>
    <w:unhideWhenUsed/>
    <w:rsid w:val="00F96C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6CD9"/>
  </w:style>
  <w:style w:type="character" w:customStyle="1" w:styleId="Heading1Char">
    <w:name w:val="Heading 1 Char"/>
    <w:basedOn w:val="DefaultParagraphFont"/>
    <w:link w:val="Heading1"/>
    <w:uiPriority w:val="9"/>
    <w:rsid w:val="0076175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84878"/>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semiHidden/>
    <w:unhideWhenUsed/>
    <w:rsid w:val="009552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52B9"/>
    <w:rPr>
      <w:sz w:val="20"/>
      <w:szCs w:val="20"/>
    </w:rPr>
  </w:style>
  <w:style w:type="character" w:styleId="FootnoteReference">
    <w:name w:val="footnote reference"/>
    <w:basedOn w:val="DefaultParagraphFont"/>
    <w:uiPriority w:val="99"/>
    <w:unhideWhenUsed/>
    <w:rsid w:val="009552B9"/>
    <w:rPr>
      <w:vertAlign w:val="superscript"/>
    </w:rPr>
  </w:style>
  <w:style w:type="character" w:customStyle="1" w:styleId="Heading3Char">
    <w:name w:val="Heading 3 Char"/>
    <w:basedOn w:val="DefaultParagraphFont"/>
    <w:link w:val="Heading3"/>
    <w:uiPriority w:val="9"/>
    <w:rsid w:val="00E84878"/>
  </w:style>
  <w:style w:type="character" w:customStyle="1" w:styleId="Heading4Char">
    <w:name w:val="Heading 4 Char"/>
    <w:basedOn w:val="DefaultParagraphFont"/>
    <w:link w:val="Heading4"/>
    <w:uiPriority w:val="9"/>
    <w:semiHidden/>
    <w:rsid w:val="0087315E"/>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201D50"/>
    <w:rPr>
      <w:rFonts w:ascii="Times New Roman" w:hAnsi="Times New Roman" w:cs="Times New Roman"/>
      <w:sz w:val="24"/>
      <w:szCs w:val="24"/>
    </w:rPr>
  </w:style>
  <w:style w:type="table" w:styleId="TableGrid">
    <w:name w:val="Table Grid"/>
    <w:basedOn w:val="TableNormal"/>
    <w:uiPriority w:val="59"/>
    <w:rsid w:val="00201D50"/>
    <w:pPr>
      <w:spacing w:after="0" w:line="240" w:lineRule="auto"/>
    </w:pPr>
    <w:rPr>
      <w:rFonts w:eastAsia="MS Mincho"/>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201D50"/>
    <w:rPr>
      <w:color w:val="0000FF"/>
      <w:u w:val="single"/>
    </w:rPr>
  </w:style>
  <w:style w:type="character" w:styleId="Hyperlink">
    <w:name w:val="Hyperlink"/>
    <w:basedOn w:val="DefaultParagraphFont"/>
    <w:uiPriority w:val="99"/>
    <w:unhideWhenUsed/>
    <w:rsid w:val="00201D50"/>
    <w:rPr>
      <w:color w:val="0563C1" w:themeColor="hyperlink"/>
      <w:u w:val="single"/>
    </w:rPr>
  </w:style>
  <w:style w:type="table" w:customStyle="1" w:styleId="TableGrid1">
    <w:name w:val="Table Grid1"/>
    <w:basedOn w:val="TableNormal"/>
    <w:next w:val="TableGrid"/>
    <w:uiPriority w:val="39"/>
    <w:rsid w:val="008251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168BB"/>
    <w:rPr>
      <w:b/>
      <w:bCs/>
    </w:rPr>
  </w:style>
  <w:style w:type="paragraph" w:styleId="TOCHeading">
    <w:name w:val="TOC Heading"/>
    <w:basedOn w:val="Heading1"/>
    <w:next w:val="Normal"/>
    <w:uiPriority w:val="39"/>
    <w:unhideWhenUsed/>
    <w:qFormat/>
    <w:rsid w:val="00603D1D"/>
    <w:pPr>
      <w:outlineLvl w:val="9"/>
    </w:pPr>
    <w:rPr>
      <w:lang w:val="en-US"/>
    </w:rPr>
  </w:style>
  <w:style w:type="paragraph" w:styleId="TOC1">
    <w:name w:val="toc 1"/>
    <w:basedOn w:val="Normal"/>
    <w:next w:val="Normal"/>
    <w:autoRedefine/>
    <w:uiPriority w:val="39"/>
    <w:unhideWhenUsed/>
    <w:rsid w:val="00603D1D"/>
    <w:pPr>
      <w:spacing w:after="100"/>
    </w:pPr>
  </w:style>
  <w:style w:type="paragraph" w:styleId="TOC3">
    <w:name w:val="toc 3"/>
    <w:basedOn w:val="Normal"/>
    <w:next w:val="Normal"/>
    <w:autoRedefine/>
    <w:uiPriority w:val="39"/>
    <w:unhideWhenUsed/>
    <w:rsid w:val="00603D1D"/>
    <w:pPr>
      <w:spacing w:after="100"/>
      <w:ind w:left="440"/>
    </w:pPr>
  </w:style>
  <w:style w:type="paragraph" w:styleId="TOC2">
    <w:name w:val="toc 2"/>
    <w:basedOn w:val="Normal"/>
    <w:next w:val="Normal"/>
    <w:autoRedefine/>
    <w:uiPriority w:val="39"/>
    <w:unhideWhenUsed/>
    <w:rsid w:val="00603D1D"/>
    <w:pPr>
      <w:spacing w:after="100"/>
      <w:ind w:left="220"/>
    </w:pPr>
  </w:style>
  <w:style w:type="table" w:customStyle="1" w:styleId="TableGrid2">
    <w:name w:val="Table Grid2"/>
    <w:basedOn w:val="TableNormal"/>
    <w:next w:val="TableGrid"/>
    <w:uiPriority w:val="39"/>
    <w:rsid w:val="00D767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B5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6464E"/>
    <w:pPr>
      <w:spacing w:after="0" w:line="240" w:lineRule="auto"/>
    </w:pPr>
  </w:style>
  <w:style w:type="character" w:customStyle="1" w:styleId="UnresolvedMention1">
    <w:name w:val="Unresolved Mention1"/>
    <w:basedOn w:val="DefaultParagraphFont"/>
    <w:uiPriority w:val="99"/>
    <w:semiHidden/>
    <w:unhideWhenUsed/>
    <w:rsid w:val="00586F1E"/>
    <w:rPr>
      <w:color w:val="605E5C"/>
      <w:shd w:val="clear" w:color="auto" w:fill="E1DFDD"/>
    </w:rPr>
  </w:style>
  <w:style w:type="paragraph" w:styleId="BalloonText">
    <w:name w:val="Balloon Text"/>
    <w:basedOn w:val="Normal"/>
    <w:link w:val="BalloonTextChar"/>
    <w:uiPriority w:val="99"/>
    <w:semiHidden/>
    <w:unhideWhenUsed/>
    <w:rsid w:val="007D577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D577F"/>
    <w:rPr>
      <w:rFonts w:ascii="Times New Roman" w:hAnsi="Times New Roman" w:cs="Times New Roman"/>
      <w:sz w:val="18"/>
      <w:szCs w:val="18"/>
    </w:rPr>
  </w:style>
  <w:style w:type="character" w:styleId="PageNumber">
    <w:name w:val="page number"/>
    <w:basedOn w:val="DefaultParagraphFont"/>
    <w:uiPriority w:val="99"/>
    <w:semiHidden/>
    <w:unhideWhenUsed/>
    <w:rsid w:val="002C449F"/>
  </w:style>
  <w:style w:type="character" w:styleId="CommentReference">
    <w:name w:val="annotation reference"/>
    <w:basedOn w:val="DefaultParagraphFont"/>
    <w:uiPriority w:val="99"/>
    <w:semiHidden/>
    <w:unhideWhenUsed/>
    <w:rsid w:val="002E23A9"/>
    <w:rPr>
      <w:sz w:val="16"/>
      <w:szCs w:val="16"/>
    </w:rPr>
  </w:style>
  <w:style w:type="paragraph" w:styleId="CommentText">
    <w:name w:val="annotation text"/>
    <w:basedOn w:val="Normal"/>
    <w:link w:val="CommentTextChar"/>
    <w:uiPriority w:val="99"/>
    <w:semiHidden/>
    <w:unhideWhenUsed/>
    <w:rsid w:val="002E23A9"/>
    <w:pPr>
      <w:spacing w:line="240" w:lineRule="auto"/>
    </w:pPr>
    <w:rPr>
      <w:sz w:val="20"/>
      <w:szCs w:val="20"/>
    </w:rPr>
  </w:style>
  <w:style w:type="character" w:customStyle="1" w:styleId="CommentTextChar">
    <w:name w:val="Comment Text Char"/>
    <w:basedOn w:val="DefaultParagraphFont"/>
    <w:link w:val="CommentText"/>
    <w:uiPriority w:val="99"/>
    <w:semiHidden/>
    <w:rsid w:val="002E23A9"/>
    <w:rPr>
      <w:sz w:val="20"/>
      <w:szCs w:val="20"/>
    </w:rPr>
  </w:style>
  <w:style w:type="paragraph" w:styleId="CommentSubject">
    <w:name w:val="annotation subject"/>
    <w:basedOn w:val="CommentText"/>
    <w:next w:val="CommentText"/>
    <w:link w:val="CommentSubjectChar"/>
    <w:uiPriority w:val="99"/>
    <w:semiHidden/>
    <w:unhideWhenUsed/>
    <w:rsid w:val="002E23A9"/>
    <w:rPr>
      <w:b/>
      <w:bCs/>
    </w:rPr>
  </w:style>
  <w:style w:type="character" w:customStyle="1" w:styleId="CommentSubjectChar">
    <w:name w:val="Comment Subject Char"/>
    <w:basedOn w:val="CommentTextChar"/>
    <w:link w:val="CommentSubject"/>
    <w:uiPriority w:val="99"/>
    <w:semiHidden/>
    <w:rsid w:val="002E23A9"/>
    <w:rPr>
      <w:b/>
      <w:bCs/>
      <w:sz w:val="20"/>
      <w:szCs w:val="20"/>
    </w:rPr>
  </w:style>
  <w:style w:type="paragraph" w:styleId="Revision">
    <w:name w:val="Revision"/>
    <w:hidden/>
    <w:uiPriority w:val="99"/>
    <w:semiHidden/>
    <w:rsid w:val="00D410C5"/>
    <w:pPr>
      <w:spacing w:after="0" w:line="240" w:lineRule="auto"/>
    </w:pPr>
  </w:style>
  <w:style w:type="character" w:styleId="IntenseReference">
    <w:name w:val="Intense Reference"/>
    <w:basedOn w:val="DefaultParagraphFont"/>
    <w:uiPriority w:val="32"/>
    <w:qFormat/>
    <w:rsid w:val="003C5883"/>
    <w:rPr>
      <w:b/>
      <w:bCs/>
      <w:smallCaps/>
      <w:color w:val="4472C4" w:themeColor="accent1"/>
      <w:spacing w:val="5"/>
    </w:rPr>
  </w:style>
  <w:style w:type="table" w:customStyle="1" w:styleId="TableGrid4">
    <w:name w:val="Table Grid4"/>
    <w:basedOn w:val="TableNormal"/>
    <w:next w:val="TableGrid"/>
    <w:uiPriority w:val="39"/>
    <w:rsid w:val="00A406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315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4C0F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2F7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7F3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951834">
      <w:bodyDiv w:val="1"/>
      <w:marLeft w:val="0"/>
      <w:marRight w:val="0"/>
      <w:marTop w:val="0"/>
      <w:marBottom w:val="0"/>
      <w:divBdr>
        <w:top w:val="none" w:sz="0" w:space="0" w:color="auto"/>
        <w:left w:val="none" w:sz="0" w:space="0" w:color="auto"/>
        <w:bottom w:val="none" w:sz="0" w:space="0" w:color="auto"/>
        <w:right w:val="none" w:sz="0" w:space="0" w:color="auto"/>
      </w:divBdr>
    </w:div>
    <w:div w:id="1132282613">
      <w:bodyDiv w:val="1"/>
      <w:marLeft w:val="0"/>
      <w:marRight w:val="0"/>
      <w:marTop w:val="0"/>
      <w:marBottom w:val="0"/>
      <w:divBdr>
        <w:top w:val="none" w:sz="0" w:space="0" w:color="auto"/>
        <w:left w:val="none" w:sz="0" w:space="0" w:color="auto"/>
        <w:bottom w:val="none" w:sz="0" w:space="0" w:color="auto"/>
        <w:right w:val="none" w:sz="0" w:space="0" w:color="auto"/>
      </w:divBdr>
    </w:div>
    <w:div w:id="1151099063">
      <w:bodyDiv w:val="1"/>
      <w:marLeft w:val="0"/>
      <w:marRight w:val="0"/>
      <w:marTop w:val="0"/>
      <w:marBottom w:val="0"/>
      <w:divBdr>
        <w:top w:val="none" w:sz="0" w:space="0" w:color="auto"/>
        <w:left w:val="none" w:sz="0" w:space="0" w:color="auto"/>
        <w:bottom w:val="none" w:sz="0" w:space="0" w:color="auto"/>
        <w:right w:val="none" w:sz="0" w:space="0" w:color="auto"/>
      </w:divBdr>
    </w:div>
    <w:div w:id="192421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x.doi.org/10.22617/TCS178770-2" TargetMode="External"/><Relationship Id="rId18" Type="http://schemas.openxmlformats.org/officeDocument/2006/relationships/hyperlink" Target="https://www.aph.gov.au/binaries/library/pubs/rp/1994-95/95rp15.pdf" TargetMode="External"/><Relationship Id="rId26" Type="http://schemas.openxmlformats.org/officeDocument/2006/relationships/hyperlink" Target="https://papers.ssrn.com/abstract=878986" TargetMode="External"/><Relationship Id="rId39" Type="http://schemas.openxmlformats.org/officeDocument/2006/relationships/hyperlink" Target="https://www.cgdev.org/publication/inside-portfolio-international-finance-corporation-does-ifc-do-enough-low-income" TargetMode="External"/><Relationship Id="rId21" Type="http://schemas.openxmlformats.org/officeDocument/2006/relationships/hyperlink" Target="https://doi.org/10.1002/jid.1798" TargetMode="External"/><Relationship Id="rId34" Type="http://schemas.openxmlformats.org/officeDocument/2006/relationships/hyperlink" Target="https://indicators.ifipartnership.org/indicators/" TargetMode="External"/><Relationship Id="rId42" Type="http://schemas.openxmlformats.org/officeDocument/2006/relationships/hyperlink" Target="https://www.norfund.no/" TargetMode="External"/><Relationship Id="rId47" Type="http://schemas.openxmlformats.org/officeDocument/2006/relationships/hyperlink" Target="https://www.un.org/development/desa/dpad/least-developed-country-category/ldc-inclusion.html" TargetMode="External"/><Relationship Id="rId50" Type="http://schemas.openxmlformats.org/officeDocument/2006/relationships/hyperlink" Target="http://www.worldbank.org/en/publication/gfdr/data/global-financial-development-database" TargetMode="External"/><Relationship Id="rId55" Type="http://schemas.openxmlformats.org/officeDocument/2006/relationships/image" Target="media/image2.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dx.doi.org/10.22617/FLS168388-2" TargetMode="External"/><Relationship Id="rId20" Type="http://schemas.openxmlformats.org/officeDocument/2006/relationships/hyperlink" Target="https://bluelikeanorangecapital.com/" TargetMode="External"/><Relationship Id="rId29" Type="http://schemas.openxmlformats.org/officeDocument/2006/relationships/hyperlink" Target="https://www.ifc.org/wps/wcm/connect/ddd28249-abd5-48c0-a24b-6306810e5326/EMCompass+Azura_Azito+9-30+Final.pdf?MOD=AJPERES" TargetMode="External"/><Relationship Id="rId41" Type="http://schemas.openxmlformats.org/officeDocument/2006/relationships/hyperlink" Target="https://www.cgdev.org/publication/more-mobilizing-less-lending-pragmatic-proposal-mdbs" TargetMode="External"/><Relationship Id="rId54" Type="http://schemas.openxmlformats.org/officeDocument/2006/relationships/hyperlink" Target="http://www.devpolicy.org/is-china-engaged-in-debt-trap-diplomacy-20181108/"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giin.org/" TargetMode="External"/><Relationship Id="rId24" Type="http://schemas.openxmlformats.org/officeDocument/2006/relationships/hyperlink" Target="https://www.g24.org/wp-content/uploads/2018/04/The-Role-of-Credit-Rating-Agencies-in-Shaping-Multilateral-Finance.pdf" TargetMode="External"/><Relationship Id="rId32" Type="http://schemas.openxmlformats.org/officeDocument/2006/relationships/hyperlink" Target="https://iris.thegiin.org/about-iris" TargetMode="External"/><Relationship Id="rId37" Type="http://schemas.openxmlformats.org/officeDocument/2006/relationships/hyperlink" Target="https://www.iadb.org/en/node/1867" TargetMode="External"/><Relationship Id="rId40" Type="http://schemas.openxmlformats.org/officeDocument/2006/relationships/hyperlink" Target="https://www.cgdev.org/publication/billions-trillions-issues-role-development-banks-mobilizing-private-finance" TargetMode="External"/><Relationship Id="rId45" Type="http://schemas.openxmlformats.org/officeDocument/2006/relationships/hyperlink" Target="https://www.pidg.org/resource-library/annual-reports/pidg-annual-report-2016.pdf/at_download/file" TargetMode="External"/><Relationship Id="rId53" Type="http://schemas.openxmlformats.org/officeDocument/2006/relationships/hyperlink" Target="https://doi.org/10.1016/j.jfineco.2006.12.006" TargetMode="External"/><Relationship Id="rId58"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dx.doi.org/10.22617/FLS189512-3" TargetMode="External"/><Relationship Id="rId23" Type="http://schemas.openxmlformats.org/officeDocument/2006/relationships/hyperlink" Target="https://onfrontiers.com/blog/40bn-coverage-800-projects-only-8-claims-whats-migas-secret/" TargetMode="External"/><Relationship Id="rId28" Type="http://schemas.openxmlformats.org/officeDocument/2006/relationships/hyperlink" Target="https://www.fpwhitepaper.gov.au/home" TargetMode="External"/><Relationship Id="rId36" Type="http://schemas.openxmlformats.org/officeDocument/2006/relationships/hyperlink" Target="https://www.odi.org/sites/odi.org.uk/files/odi-assets/publications-opinion-files/9398.pdf" TargetMode="External"/><Relationship Id="rId49" Type="http://schemas.openxmlformats.org/officeDocument/2006/relationships/hyperlink" Target="https://www.bis.org/publ/cgfs22bubaw2.pdf" TargetMode="External"/><Relationship Id="rId57" Type="http://schemas.openxmlformats.org/officeDocument/2006/relationships/header" Target="header4.xml"/><Relationship Id="rId61"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doi.org/10.1787/8135abde-en" TargetMode="External"/><Relationship Id="rId31" Type="http://schemas.openxmlformats.org/officeDocument/2006/relationships/hyperlink" Target="https://doi.org/10.1016/j.ejpoleco.2017.04.004" TargetMode="External"/><Relationship Id="rId44" Type="http://schemas.openxmlformats.org/officeDocument/2006/relationships/hyperlink" Target="https://doi.org/10.18235/0001008" TargetMode="External"/><Relationship Id="rId52" Type="http://schemas.openxmlformats.org/officeDocument/2006/relationships/hyperlink" Target="https://data.worldbank.org/" TargetMode="External"/><Relationship Id="rId6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aph.gov.au/DocumentStore.ashx?id=563f12ec-1176-4da0-b760-010f06c29941&amp;subId=657976" TargetMode="External"/><Relationship Id="rId22" Type="http://schemas.openxmlformats.org/officeDocument/2006/relationships/hyperlink" Target="http://documents.worldbank.org/curated/en/653831510568517947/MSME-finance-gap-assessment-of-the-shortfalls-and-opportunities-in-financing-micro-small-and-medium-enterprises-in-emerging-markets" TargetMode="External"/><Relationship Id="rId27" Type="http://schemas.openxmlformats.org/officeDocument/2006/relationships/hyperlink" Target="http://dfat.gov.au/international-relations/international-organisations/multilateral-development-banks/Pages/asian-development-bank.aspx" TargetMode="External"/><Relationship Id="rId30" Type="http://schemas.openxmlformats.org/officeDocument/2006/relationships/hyperlink" Target="http://www.devpolicy.org/is-china-engaged-in-debt-trap-diplomacy-20181108/" TargetMode="External"/><Relationship Id="rId35" Type="http://schemas.openxmlformats.org/officeDocument/2006/relationships/hyperlink" Target="https://doi.org/10.1016/j.jfs.2009.05.008" TargetMode="External"/><Relationship Id="rId43" Type="http://schemas.openxmlformats.org/officeDocument/2006/relationships/hyperlink" Target="http://www.fao.org/fileadmin/templates/wsfs/docs/Issues_papers/HLEF2050_Trade.pdf" TargetMode="External"/><Relationship Id="rId48" Type="http://schemas.openxmlformats.org/officeDocument/2006/relationships/hyperlink" Target="https://www.usaid.gov/documents/1865/crossboundary-energy-partnership" TargetMode="External"/><Relationship Id="rId56" Type="http://schemas.openxmlformats.org/officeDocument/2006/relationships/header" Target="header3.xml"/><Relationship Id="rId8" Type="http://schemas.openxmlformats.org/officeDocument/2006/relationships/header" Target="header1.xml"/><Relationship Id="rId51" Type="http://schemas.openxmlformats.org/officeDocument/2006/relationships/hyperlink" Target="https://ppp.worldbank.org/public-private-partnership/financing/mechanisms" TargetMode="External"/><Relationship Id="rId3"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pubdocs.worldbank.org/en/738131531492864948/1804-PCTFDP602A-Regional-Cover-Page-and-Project-Documents.pdf" TargetMode="External"/><Relationship Id="rId25" Type="http://schemas.openxmlformats.org/officeDocument/2006/relationships/hyperlink" Target="https://www.convergence.finance/knowledge/7LEqTu0YeceaQugSWaSKSk/view" TargetMode="External"/><Relationship Id="rId33" Type="http://schemas.openxmlformats.org/officeDocument/2006/relationships/hyperlink" Target="https://www.oxfordeconomics.com/recent-releases/Global-Infrastructure-Outlook" TargetMode="External"/><Relationship Id="rId38" Type="http://schemas.openxmlformats.org/officeDocument/2006/relationships/hyperlink" Target="https://www.jica.go.jp/uzbekistan/english/office/topics/171115.html" TargetMode="External"/><Relationship Id="rId46" Type="http://schemas.openxmlformats.org/officeDocument/2006/relationships/hyperlink" Target="https://www.convergence.finance/knowledge/53itVFMaSAogCwykaGaq22/view" TargetMode="External"/><Relationship Id="rId59" Type="http://schemas.openxmlformats.org/officeDocument/2006/relationships/header" Target="header5.xml"/></Relationships>
</file>

<file path=word/_rels/footnotes.xml.rels><?xml version="1.0" encoding="UTF-8" standalone="yes"?>
<Relationships xmlns="http://schemas.openxmlformats.org/package/2006/relationships"><Relationship Id="rId8" Type="http://schemas.openxmlformats.org/officeDocument/2006/relationships/hyperlink" Target="http://www.thejakartapost.com/news/2018/07/16/poverty-rate-falls-to-lowest-level-ever.html" TargetMode="External"/><Relationship Id="rId13" Type="http://schemas.openxmlformats.org/officeDocument/2006/relationships/hyperlink" Target="https://www.dealstreetasia.com/stories/exclusive-patamar-capital-strikes-maiden-investment-in-indonesias-sayurbox-90748/" TargetMode="External"/><Relationship Id="rId18" Type="http://schemas.openxmlformats.org/officeDocument/2006/relationships/hyperlink" Target="https://www.abc.net.au/news/2014-06-06/an-png-kina-trading-band/5504716" TargetMode="External"/><Relationship Id="rId26" Type="http://schemas.openxmlformats.org/officeDocument/2006/relationships/hyperlink" Target="http://www.worldbank.org/en/news/feature/2013/09/16/women-in-papua-new-guinea-to-play-stronger-role-in-agriculture" TargetMode="External"/><Relationship Id="rId3" Type="http://schemas.openxmlformats.org/officeDocument/2006/relationships/hyperlink" Target="https://convergence.finance" TargetMode="External"/><Relationship Id="rId21" Type="http://schemas.openxmlformats.org/officeDocument/2006/relationships/hyperlink" Target="http://www.new-ag.info/en/country/profile.php?a=2924" TargetMode="External"/><Relationship Id="rId34" Type="http://schemas.openxmlformats.org/officeDocument/2006/relationships/hyperlink" Target="https://www.finance.gov.au/sites/default/files/FM_Delegation_%20to_AA_Amendment_%202018.pdf" TargetMode="External"/><Relationship Id="rId7" Type="http://schemas.openxmlformats.org/officeDocument/2006/relationships/hyperlink" Target="https://asia.nikkei.com/Politics/International-Relations/China-becomes-Indonesia-s-No.-2-investor-with-infrastructure-drive" TargetMode="External"/><Relationship Id="rId12" Type="http://schemas.openxmlformats.org/officeDocument/2006/relationships/hyperlink" Target="https://www.opic.gov/press-releases/2018/opic-unveils-2x-womens-initiative-mobilize-more-1-billion-invest-worlds-women" TargetMode="External"/><Relationship Id="rId17" Type="http://schemas.openxmlformats.org/officeDocument/2006/relationships/hyperlink" Target="https://in.reuters.com/article/us-apec-summit-currency/cokes-coffers-crammed-with-kina-as-dollar-crunch-hits-papua-new-guinea-idINKCN1ND39U" TargetMode="External"/><Relationship Id="rId25" Type="http://schemas.openxmlformats.org/officeDocument/2006/relationships/hyperlink" Target="https://www.abc.net.au/news/2015-02-19/png-facing-a-domestic-violence-pandemic,-afp-officer-says/6150064" TargetMode="External"/><Relationship Id="rId33" Type="http://schemas.openxmlformats.org/officeDocument/2006/relationships/hyperlink" Target="http://www.xinhuanet.com/english/2018-02/01/c_136941798.htm" TargetMode="External"/><Relationship Id="rId2" Type="http://schemas.openxmlformats.org/officeDocument/2006/relationships/hyperlink" Target="https://www.fpwhitepaper.gov.au/home" TargetMode="External"/><Relationship Id="rId16" Type="http://schemas.openxmlformats.org/officeDocument/2006/relationships/hyperlink" Target="http://www.pireport.org/articles/2016/08/02/png-debt-surpass-legal-limits-set-under-fiscal-responsibility-act" TargetMode="External"/><Relationship Id="rId20" Type="http://schemas.openxmlformats.org/officeDocument/2006/relationships/hyperlink" Target="http://www.looppng.com/png-news/cabinet-approves-upgrade-national-roads-76876" TargetMode="External"/><Relationship Id="rId29" Type="http://schemas.openxmlformats.org/officeDocument/2006/relationships/hyperlink" Target="https://www.adb.org/news/videos/new-energy-grid-transmission-investments-are-lighting-papua-new-guinea" TargetMode="External"/><Relationship Id="rId1" Type="http://schemas.openxmlformats.org/officeDocument/2006/relationships/hyperlink" Target="https://dfat.gov.au/aid/Pages/australias-aid-program.aspx" TargetMode="External"/><Relationship Id="rId6" Type="http://schemas.openxmlformats.org/officeDocument/2006/relationships/hyperlink" Target="https://www.bloomberg.com/news/articles/2018-01-25/indonesia-seeks-to-plug-157-billion-gap-in-nation-building-plan" TargetMode="External"/><Relationship Id="rId11" Type="http://schemas.openxmlformats.org/officeDocument/2006/relationships/hyperlink" Target="https://www.hoganlovells.com/en/blogs/the-buyout-board/pe-in-indonesia-a-vibrant-market" TargetMode="External"/><Relationship Id="rId24" Type="http://schemas.openxmlformats.org/officeDocument/2006/relationships/hyperlink" Target="https://www.worldbank.org/en/news/feature/2018/03/20/papua-new-guinea-clean-water-access-to-end-the-walk-for-water-for-women-and-girls" TargetMode="External"/><Relationship Id="rId32" Type="http://schemas.openxmlformats.org/officeDocument/2006/relationships/hyperlink" Target="https://blueswandaily.com/vanuatu-govt-confirm-port-vila-bauerfield-airports-usd47m-runway-rehabilitation-project-is-underway/" TargetMode="External"/><Relationship Id="rId5" Type="http://schemas.openxmlformats.org/officeDocument/2006/relationships/hyperlink" Target="https://www.aiddata.org/data/chinese-global-official-finance-dataset" TargetMode="External"/><Relationship Id="rId15" Type="http://schemas.openxmlformats.org/officeDocument/2006/relationships/hyperlink" Target="https://www.ft.com/content/e8dbe9be-940f-11e8-b67b-b8205561c3fe" TargetMode="External"/><Relationship Id="rId23" Type="http://schemas.openxmlformats.org/officeDocument/2006/relationships/hyperlink" Target="https://www2.deloitte.com/insights/us/en/topics/social-impact/women-empowerment-energy-access.html" TargetMode="External"/><Relationship Id="rId28" Type="http://schemas.openxmlformats.org/officeDocument/2006/relationships/hyperlink" Target="https://www.businessadvantagepng.com/women-entrepreneurs-say-ict-infrastructure-and-expertise-delivering-economic-benefits/" TargetMode="External"/><Relationship Id="rId10" Type="http://schemas.openxmlformats.org/officeDocument/2006/relationships/hyperlink" Target="https://www.bloomberg.com/news/articles/2018-01-25/indonesia-seeks-to-plug-157-billion-gap-in-nation-building-plan" TargetMode="External"/><Relationship Id="rId19" Type="http://schemas.openxmlformats.org/officeDocument/2006/relationships/hyperlink" Target="https://www.zdnet.com/article/vocus-scores-au137m-subsea-cable-contract-with-australian-government/" TargetMode="External"/><Relationship Id="rId31" Type="http://schemas.openxmlformats.org/officeDocument/2006/relationships/hyperlink" Target="https://www.bbc.com/news/world-asia-44978132" TargetMode="External"/><Relationship Id="rId4" Type="http://schemas.openxmlformats.org/officeDocument/2006/relationships/hyperlink" Target="https://ida.worldbank.org/financing/replenishments/ida18-replenishment/ida18-private-sector-window/blended-finance-facility-bff" TargetMode="External"/><Relationship Id="rId9" Type="http://schemas.openxmlformats.org/officeDocument/2006/relationships/hyperlink" Target="https://www.statista.com/statistics/257046/smartphone-user-penetration-in-indonesia/" TargetMode="External"/><Relationship Id="rId14" Type="http://schemas.openxmlformats.org/officeDocument/2006/relationships/hyperlink" Target="https://www.adb.org/countries/indonesia/activities" TargetMode="External"/><Relationship Id="rId22" Type="http://schemas.openxmlformats.org/officeDocument/2006/relationships/hyperlink" Target="https://www.radionz.co.nz/international/pacific-news/360420/anz-selling-papua-new-guinea-assets" TargetMode="External"/><Relationship Id="rId27" Type="http://schemas.openxmlformats.org/officeDocument/2006/relationships/hyperlink" Target="http://www.fao.org/e-agriculture/news/fao-shares-7-success-factors-empowering-rural-women-through-icts" TargetMode="External"/><Relationship Id="rId30" Type="http://schemas.openxmlformats.org/officeDocument/2006/relationships/hyperlink" Target="https://postcourier.com.pg/adb-face-challenges-to-roll-out-programs/" TargetMode="External"/><Relationship Id="rId35" Type="http://schemas.openxmlformats.org/officeDocument/2006/relationships/hyperlink" Target="https://www.finance.gov.au/sites/default/files/FM_Delegation_%20to_AA_Amendment_%20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6FE07-696F-47EE-8281-ED02C00D9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114</Pages>
  <Words>44915</Words>
  <Characters>263790</Characters>
  <Application>Microsoft Office Word</Application>
  <DocSecurity>4</DocSecurity>
  <Lines>5595</Lines>
  <Paragraphs>1939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Eyers</dc:creator>
  <cp:keywords>[SEC=OFFICIAL]</cp:keywords>
  <dc:description/>
  <cp:lastModifiedBy>Joanna Pinkas</cp:lastModifiedBy>
  <cp:revision>2</cp:revision>
  <cp:lastPrinted>2022-09-20T02:38:00Z</cp:lastPrinted>
  <dcterms:created xsi:type="dcterms:W3CDTF">2022-10-06T06:58:00Z</dcterms:created>
  <dcterms:modified xsi:type="dcterms:W3CDTF">2022-10-06T06:58:00Z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zotero-version="5.0.58"&gt;&lt;session id="MoZAalRU"/&gt;&lt;style id="http://www.zotero.org/styles/chicago-fullnote-bibliography" locale="en-US" hasBibliography="1" bibliographyStyleHasBeenSet="0"/&gt;&lt;prefs&gt;&lt;pref name="fieldType" value="Field"/&gt;</vt:lpwstr>
  </property>
  <property fmtid="{D5CDD505-2E9C-101B-9397-08002B2CF9AE}" pid="3" name="ZOTERO_PREF_2">
    <vt:lpwstr>&lt;pref name="automaticJournalAbbreviations" value="true"/&gt;&lt;pref name="noteType" value="1"/&gt;&lt;/prefs&gt;&lt;/data&gt;</vt:lpwstr>
  </property>
  <property fmtid="{D5CDD505-2E9C-101B-9397-08002B2CF9AE}" pid="4" name="TitusGUID">
    <vt:lpwstr>226de82d-0ab7-4376-9bbf-00d2de711c7a</vt:lpwstr>
  </property>
  <property fmtid="{D5CDD505-2E9C-101B-9397-08002B2CF9AE}" pid="5" name="SEC">
    <vt:lpwstr>No Security Classification Required</vt:lpwstr>
  </property>
  <property fmtid="{D5CDD505-2E9C-101B-9397-08002B2CF9AE}" pid="6" name="DLM">
    <vt:lpwstr>For-Official-Use-Only</vt:lpwstr>
  </property>
  <property fmtid="{D5CDD505-2E9C-101B-9397-08002B2CF9AE}" pid="7" name="PM_ProtectiveMarkingImage_Header">
    <vt:lpwstr>C:\Program Files (x86)\Common Files\janusNET Shared\janusSEAL\Images\DocumentSlashBlue.png</vt:lpwstr>
  </property>
  <property fmtid="{D5CDD505-2E9C-101B-9397-08002B2CF9AE}" pid="8" name="PM_Caveats_Count">
    <vt:lpwstr>0</vt:lpwstr>
  </property>
  <property fmtid="{D5CDD505-2E9C-101B-9397-08002B2CF9AE}" pid="9" name="PM_DisplayValueSecClassificationWithQualifier">
    <vt:lpwstr>OFFICIAL</vt:lpwstr>
  </property>
  <property fmtid="{D5CDD505-2E9C-101B-9397-08002B2CF9AE}" pid="10" name="PM_Qualifier">
    <vt:lpwstr/>
  </property>
  <property fmtid="{D5CDD505-2E9C-101B-9397-08002B2CF9AE}" pid="11" name="PM_SecurityClassification">
    <vt:lpwstr>OFFICIAL</vt:lpwstr>
  </property>
  <property fmtid="{D5CDD505-2E9C-101B-9397-08002B2CF9AE}" pid="12" name="PM_InsertionValue">
    <vt:lpwstr>OFFICIAL</vt:lpwstr>
  </property>
  <property fmtid="{D5CDD505-2E9C-101B-9397-08002B2CF9AE}" pid="13" name="PM_Originating_FileId">
    <vt:lpwstr>9F9C5F801676431D9A0038999674BAB6</vt:lpwstr>
  </property>
  <property fmtid="{D5CDD505-2E9C-101B-9397-08002B2CF9AE}" pid="14" name="PM_ProtectiveMarkingValue_Footer">
    <vt:lpwstr>OFFICIAL</vt:lpwstr>
  </property>
  <property fmtid="{D5CDD505-2E9C-101B-9397-08002B2CF9AE}" pid="15" name="PM_Originator_Hash_SHA1">
    <vt:lpwstr>3156C694C7253CF75D849AF5D8A3A7E913FAC85E</vt:lpwstr>
  </property>
  <property fmtid="{D5CDD505-2E9C-101B-9397-08002B2CF9AE}" pid="16" name="PM_OriginationTimeStamp">
    <vt:lpwstr>2022-10-06T06:37:42Z</vt:lpwstr>
  </property>
  <property fmtid="{D5CDD505-2E9C-101B-9397-08002B2CF9AE}" pid="17" name="PM_ProtectiveMarkingValue_Header">
    <vt:lpwstr>OFFICIAL</vt:lpwstr>
  </property>
  <property fmtid="{D5CDD505-2E9C-101B-9397-08002B2CF9AE}" pid="18" name="PM_ProtectiveMarkingImage_Footer">
    <vt:lpwstr>C:\Program Files (x86)\Common Files\janusNET Shared\janusSEAL\Images\DocumentSlashBlue.png</vt:lpwstr>
  </property>
  <property fmtid="{D5CDD505-2E9C-101B-9397-08002B2CF9AE}" pid="19" name="PM_Namespace">
    <vt:lpwstr>gov.au</vt:lpwstr>
  </property>
  <property fmtid="{D5CDD505-2E9C-101B-9397-08002B2CF9AE}" pid="20" name="PM_Version">
    <vt:lpwstr>2018.4</vt:lpwstr>
  </property>
  <property fmtid="{D5CDD505-2E9C-101B-9397-08002B2CF9AE}" pid="21" name="PM_Note">
    <vt:lpwstr/>
  </property>
  <property fmtid="{D5CDD505-2E9C-101B-9397-08002B2CF9AE}" pid="22" name="PM_Markers">
    <vt:lpwstr/>
  </property>
  <property fmtid="{D5CDD505-2E9C-101B-9397-08002B2CF9AE}" pid="23" name="PM_Hash_Version">
    <vt:lpwstr>2018.0</vt:lpwstr>
  </property>
  <property fmtid="{D5CDD505-2E9C-101B-9397-08002B2CF9AE}" pid="24" name="PM_Hash_Salt_Prev">
    <vt:lpwstr>C05B18C3ABA3E36672DF06D795E30477</vt:lpwstr>
  </property>
  <property fmtid="{D5CDD505-2E9C-101B-9397-08002B2CF9AE}" pid="25" name="PM_Hash_Salt">
    <vt:lpwstr>A57769354C26CDC8584B0D2F8A2A04A2</vt:lpwstr>
  </property>
  <property fmtid="{D5CDD505-2E9C-101B-9397-08002B2CF9AE}" pid="26" name="PM_Hash_SHA1">
    <vt:lpwstr>85FD740C8B15A22AE3F5F613ABDD268A21849E50</vt:lpwstr>
  </property>
  <property fmtid="{D5CDD505-2E9C-101B-9397-08002B2CF9AE}" pid="27" name="PM_SecurityClassification_Prev">
    <vt:lpwstr>OFFICIAL</vt:lpwstr>
  </property>
  <property fmtid="{D5CDD505-2E9C-101B-9397-08002B2CF9AE}" pid="28" name="PM_Qualifier_Prev">
    <vt:lpwstr/>
  </property>
</Properties>
</file>